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DBCFA" w14:textId="77777777" w:rsidR="005E31A9" w:rsidRDefault="005E31A9" w:rsidP="005E31A9">
      <w:pPr>
        <w:pStyle w:val="BasicParagraph"/>
        <w:suppressAutoHyphens/>
        <w:jc w:val="center"/>
        <w:rPr>
          <w:rFonts w:cs="Arial"/>
          <w:b/>
          <w:bCs/>
          <w:color w:val="77328A"/>
          <w:sz w:val="36"/>
          <w:szCs w:val="36"/>
        </w:rPr>
      </w:pPr>
      <w:bookmarkStart w:id="0" w:name="_GoBack"/>
      <w:bookmarkEnd w:id="0"/>
      <w:r>
        <w:rPr>
          <w:noProof/>
          <w:lang w:eastAsia="en-GB"/>
        </w:rPr>
        <w:drawing>
          <wp:inline distT="0" distB="0" distL="0" distR="0" wp14:anchorId="484358EB" wp14:editId="5AB71486">
            <wp:extent cx="2908485" cy="3886623"/>
            <wp:effectExtent l="0" t="0" r="0" b="0"/>
            <wp:docPr id="9" name="Picture 9"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2908485" cy="3886623"/>
                    </a:xfrm>
                    <a:prstGeom prst="rect">
                      <a:avLst/>
                    </a:prstGeom>
                  </pic:spPr>
                </pic:pic>
              </a:graphicData>
            </a:graphic>
          </wp:inline>
        </w:drawing>
      </w:r>
      <w:r w:rsidRPr="3285EAFF">
        <w:rPr>
          <w:rFonts w:cs="Arial"/>
          <w:b/>
          <w:bCs/>
          <w:color w:val="77328A"/>
          <w:sz w:val="36"/>
          <w:szCs w:val="36"/>
        </w:rPr>
        <w:t xml:space="preserve"> </w:t>
      </w:r>
    </w:p>
    <w:p w14:paraId="5FF7B4A3" w14:textId="77777777" w:rsidR="005E31A9" w:rsidRDefault="005E31A9" w:rsidP="005E31A9">
      <w:pPr>
        <w:pStyle w:val="BasicParagraph"/>
        <w:suppressAutoHyphens/>
        <w:jc w:val="center"/>
        <w:rPr>
          <w:rFonts w:cs="Arial"/>
          <w:b/>
          <w:bCs/>
          <w:color w:val="77328A"/>
          <w:sz w:val="36"/>
          <w:szCs w:val="36"/>
        </w:rPr>
      </w:pPr>
    </w:p>
    <w:p w14:paraId="3CD9A7C2" w14:textId="77777777" w:rsidR="005E31A9" w:rsidRDefault="005E31A9" w:rsidP="005E31A9">
      <w:pPr>
        <w:pStyle w:val="BasicParagraph"/>
        <w:suppressAutoHyphens/>
        <w:jc w:val="center"/>
        <w:rPr>
          <w:rFonts w:ascii="Verdana" w:hAnsi="Verdana" w:cs="Arial"/>
          <w:b/>
          <w:bCs/>
          <w:color w:val="77328A"/>
          <w:sz w:val="36"/>
          <w:szCs w:val="36"/>
        </w:rPr>
      </w:pPr>
    </w:p>
    <w:p w14:paraId="05058F74" w14:textId="77777777" w:rsidR="005E31A9" w:rsidRDefault="005E31A9" w:rsidP="005E31A9">
      <w:pPr>
        <w:pStyle w:val="BasicParagraph"/>
        <w:suppressAutoHyphens/>
        <w:jc w:val="center"/>
        <w:rPr>
          <w:rFonts w:ascii="Verdana" w:hAnsi="Verdana" w:cs="Arial"/>
          <w:b/>
          <w:bCs/>
          <w:color w:val="77328A"/>
          <w:sz w:val="36"/>
          <w:szCs w:val="36"/>
        </w:rPr>
      </w:pPr>
    </w:p>
    <w:p w14:paraId="415CFDAD" w14:textId="77777777" w:rsidR="005E31A9" w:rsidRPr="005E31A9" w:rsidRDefault="005E31A9" w:rsidP="005E31A9">
      <w:pPr>
        <w:pStyle w:val="BasicParagraph"/>
        <w:suppressAutoHyphens/>
        <w:jc w:val="center"/>
        <w:rPr>
          <w:rFonts w:ascii="Verdana" w:hAnsi="Verdana" w:cs="Arial"/>
          <w:b/>
          <w:bCs/>
          <w:color w:val="77328A"/>
          <w:sz w:val="36"/>
          <w:szCs w:val="36"/>
        </w:rPr>
      </w:pPr>
      <w:r w:rsidRPr="005E31A9">
        <w:rPr>
          <w:rFonts w:ascii="Verdana" w:hAnsi="Verdana" w:cs="Arial"/>
          <w:b/>
          <w:bCs/>
          <w:color w:val="77328A"/>
          <w:sz w:val="36"/>
          <w:szCs w:val="36"/>
        </w:rPr>
        <w:t>Annual Report and Accounts</w:t>
      </w:r>
    </w:p>
    <w:p w14:paraId="277CB9F4" w14:textId="77777777" w:rsidR="005E31A9" w:rsidRDefault="00EE7090" w:rsidP="005E31A9">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2021-22</w:t>
      </w:r>
    </w:p>
    <w:p w14:paraId="76F692E3" w14:textId="77777777" w:rsidR="005E31A9" w:rsidRDefault="005E31A9" w:rsidP="005E31A9">
      <w:pPr>
        <w:pStyle w:val="BasicParagraph"/>
        <w:suppressAutoHyphens/>
        <w:jc w:val="center"/>
        <w:rPr>
          <w:rFonts w:ascii="Verdana" w:hAnsi="Verdana" w:cs="Arial"/>
          <w:b/>
          <w:bCs/>
          <w:color w:val="77328A"/>
          <w:sz w:val="36"/>
          <w:szCs w:val="36"/>
        </w:rPr>
      </w:pPr>
    </w:p>
    <w:p w14:paraId="6C6E1914" w14:textId="77777777" w:rsidR="005E31A9" w:rsidRDefault="005E31A9" w:rsidP="005E31A9">
      <w:pPr>
        <w:pStyle w:val="BasicParagraph"/>
        <w:suppressAutoHyphens/>
        <w:jc w:val="center"/>
        <w:rPr>
          <w:rFonts w:ascii="Verdana" w:hAnsi="Verdana" w:cs="Arial"/>
          <w:b/>
          <w:bCs/>
          <w:color w:val="77328A"/>
          <w:sz w:val="36"/>
          <w:szCs w:val="36"/>
        </w:rPr>
      </w:pPr>
    </w:p>
    <w:p w14:paraId="56C515F7" w14:textId="77777777" w:rsidR="005E31A9" w:rsidRDefault="005E31A9" w:rsidP="005E31A9">
      <w:pPr>
        <w:pStyle w:val="BasicParagraph"/>
        <w:suppressAutoHyphens/>
        <w:jc w:val="center"/>
        <w:rPr>
          <w:rFonts w:ascii="Verdana" w:hAnsi="Verdana" w:cs="Arial"/>
          <w:b/>
          <w:bCs/>
          <w:color w:val="77328A"/>
          <w:sz w:val="36"/>
          <w:szCs w:val="36"/>
        </w:rPr>
      </w:pPr>
    </w:p>
    <w:p w14:paraId="61E88EC1" w14:textId="77777777" w:rsidR="005E31A9" w:rsidRDefault="005E31A9" w:rsidP="005E31A9">
      <w:pPr>
        <w:pStyle w:val="BasicParagraph"/>
        <w:suppressAutoHyphens/>
        <w:jc w:val="center"/>
        <w:rPr>
          <w:rFonts w:ascii="Verdana" w:hAnsi="Verdana" w:cs="Arial"/>
          <w:b/>
          <w:bCs/>
          <w:color w:val="77328A"/>
          <w:sz w:val="36"/>
          <w:szCs w:val="36"/>
        </w:rPr>
      </w:pPr>
    </w:p>
    <w:p w14:paraId="31B95CC7" w14:textId="77777777" w:rsidR="005E31A9" w:rsidRDefault="005E31A9" w:rsidP="005E31A9">
      <w:pPr>
        <w:pStyle w:val="BasicParagraph"/>
        <w:suppressAutoHyphens/>
        <w:jc w:val="center"/>
        <w:rPr>
          <w:rFonts w:ascii="Verdana" w:hAnsi="Verdana" w:cs="Arial"/>
          <w:b/>
          <w:bCs/>
          <w:color w:val="77328A"/>
          <w:sz w:val="36"/>
          <w:szCs w:val="36"/>
        </w:rPr>
      </w:pPr>
    </w:p>
    <w:p w14:paraId="2F290FE4" w14:textId="77777777" w:rsidR="005E31A9" w:rsidRDefault="005E31A9" w:rsidP="005E31A9">
      <w:pPr>
        <w:pStyle w:val="BasicParagraph"/>
        <w:suppressAutoHyphens/>
        <w:jc w:val="center"/>
        <w:rPr>
          <w:rFonts w:ascii="Verdana" w:hAnsi="Verdana" w:cs="Arial"/>
          <w:b/>
          <w:bCs/>
          <w:color w:val="77328A"/>
          <w:sz w:val="36"/>
          <w:szCs w:val="36"/>
        </w:rPr>
      </w:pPr>
    </w:p>
    <w:p w14:paraId="55537040" w14:textId="77777777" w:rsidR="005E31A9" w:rsidRPr="005E31A9" w:rsidRDefault="005E31A9" w:rsidP="005E31A9">
      <w:pPr>
        <w:pStyle w:val="BasicParagraph"/>
        <w:suppressAutoHyphens/>
        <w:jc w:val="center"/>
        <w:rPr>
          <w:rFonts w:ascii="Verdana" w:hAnsi="Verdana" w:cs="Arial"/>
          <w:b/>
          <w:bCs/>
          <w:color w:val="77328A"/>
          <w:sz w:val="72"/>
          <w:szCs w:val="72"/>
        </w:rPr>
      </w:pPr>
    </w:p>
    <w:p w14:paraId="7D061998" w14:textId="347761E2" w:rsidR="005E31A9" w:rsidRDefault="005E31A9" w:rsidP="005E31A9">
      <w:r>
        <w:t>HC</w:t>
      </w:r>
      <w:r w:rsidR="00BB58F7">
        <w:t xml:space="preserve"> 715</w:t>
      </w:r>
    </w:p>
    <w:p w14:paraId="6E10CDF5" w14:textId="77777777" w:rsidR="005E31A9" w:rsidRDefault="005E31A9">
      <w:r>
        <w:br w:type="page"/>
      </w:r>
    </w:p>
    <w:p w14:paraId="15BA2605" w14:textId="77777777" w:rsidR="00B56BAA" w:rsidRPr="005E31A9" w:rsidRDefault="005E31A9" w:rsidP="005E31A9">
      <w:pPr>
        <w:rPr>
          <w:rFonts w:cs="Arial"/>
          <w:b/>
          <w:bCs/>
          <w:color w:val="77328A"/>
          <w:sz w:val="36"/>
          <w:szCs w:val="36"/>
        </w:rPr>
      </w:pPr>
      <w:r>
        <w:rPr>
          <w:rFonts w:cs="Arial"/>
          <w:b/>
          <w:bCs/>
          <w:color w:val="77328A"/>
          <w:sz w:val="36"/>
          <w:szCs w:val="36"/>
        </w:rPr>
        <w:lastRenderedPageBreak/>
        <w:br w:type="page"/>
      </w:r>
    </w:p>
    <w:p w14:paraId="21514497" w14:textId="77777777" w:rsidR="00E751D1" w:rsidRDefault="007117EA" w:rsidP="008C0A34">
      <w:pPr>
        <w:jc w:val="center"/>
        <w:rPr>
          <w:highlight w:val="yellow"/>
        </w:rPr>
      </w:pPr>
      <w:r>
        <w:rPr>
          <w:noProof/>
          <w:lang w:eastAsia="en-GB"/>
        </w:rPr>
        <w:lastRenderedPageBreak/>
        <w:drawing>
          <wp:inline distT="0" distB="0" distL="0" distR="0" wp14:anchorId="3C9B3AC3" wp14:editId="2A2A1BC4">
            <wp:extent cx="2908485" cy="3886623"/>
            <wp:effectExtent l="0" t="0" r="0" b="0"/>
            <wp:docPr id="12" name="Picture 12"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2908485" cy="3886623"/>
                    </a:xfrm>
                    <a:prstGeom prst="rect">
                      <a:avLst/>
                    </a:prstGeom>
                  </pic:spPr>
                </pic:pic>
              </a:graphicData>
            </a:graphic>
          </wp:inline>
        </w:drawing>
      </w:r>
    </w:p>
    <w:p w14:paraId="45C1263A" w14:textId="77777777" w:rsidR="0052683A" w:rsidRPr="00B80F07" w:rsidRDefault="0052683A" w:rsidP="00E675F1">
      <w:pPr>
        <w:rPr>
          <w:highlight w:val="yellow"/>
        </w:rPr>
      </w:pPr>
    </w:p>
    <w:p w14:paraId="1DE462F4" w14:textId="77777777" w:rsidR="0052683A" w:rsidRPr="005A7FE6" w:rsidRDefault="0052683A" w:rsidP="007F636E">
      <w:pPr>
        <w:rPr>
          <w:b/>
          <w:sz w:val="36"/>
        </w:rPr>
      </w:pPr>
    </w:p>
    <w:p w14:paraId="5DB4E2FC" w14:textId="77777777" w:rsidR="007117EA" w:rsidRDefault="007117EA" w:rsidP="007117EA">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Annual Report and Accounts</w:t>
      </w:r>
    </w:p>
    <w:p w14:paraId="7F74CE29" w14:textId="77777777" w:rsidR="0052683A" w:rsidRPr="005C6D9D" w:rsidRDefault="00042BB0" w:rsidP="007117EA">
      <w:pPr>
        <w:widowControl w:val="0"/>
        <w:autoSpaceDE w:val="0"/>
        <w:autoSpaceDN w:val="0"/>
        <w:adjustRightInd w:val="0"/>
        <w:jc w:val="center"/>
        <w:rPr>
          <w:b/>
          <w:sz w:val="36"/>
          <w:szCs w:val="36"/>
        </w:rPr>
      </w:pPr>
      <w:r>
        <w:rPr>
          <w:rFonts w:cs="Arial"/>
          <w:b/>
          <w:bCs/>
          <w:color w:val="77328A"/>
          <w:sz w:val="36"/>
          <w:szCs w:val="36"/>
        </w:rPr>
        <w:t>20</w:t>
      </w:r>
      <w:r w:rsidR="00E27D84">
        <w:rPr>
          <w:rFonts w:cs="Arial"/>
          <w:b/>
          <w:bCs/>
          <w:color w:val="77328A"/>
          <w:sz w:val="36"/>
          <w:szCs w:val="36"/>
        </w:rPr>
        <w:t>21</w:t>
      </w:r>
      <w:r>
        <w:rPr>
          <w:rFonts w:cs="Arial"/>
          <w:b/>
          <w:bCs/>
          <w:color w:val="77328A"/>
          <w:sz w:val="36"/>
          <w:szCs w:val="36"/>
        </w:rPr>
        <w:t>-22</w:t>
      </w:r>
    </w:p>
    <w:p w14:paraId="3F15FB52" w14:textId="77777777" w:rsidR="0052683A" w:rsidRDefault="0052683A" w:rsidP="0052683A">
      <w:pPr>
        <w:widowControl w:val="0"/>
        <w:autoSpaceDE w:val="0"/>
        <w:autoSpaceDN w:val="0"/>
        <w:adjustRightInd w:val="0"/>
        <w:jc w:val="center"/>
        <w:rPr>
          <w:b/>
          <w:sz w:val="32"/>
          <w:szCs w:val="32"/>
        </w:rPr>
      </w:pPr>
    </w:p>
    <w:p w14:paraId="49575F84" w14:textId="77777777" w:rsidR="0052683A" w:rsidRDefault="0052683A" w:rsidP="0052683A">
      <w:pPr>
        <w:widowControl w:val="0"/>
        <w:autoSpaceDE w:val="0"/>
        <w:autoSpaceDN w:val="0"/>
        <w:adjustRightInd w:val="0"/>
        <w:jc w:val="center"/>
        <w:rPr>
          <w:b/>
          <w:sz w:val="32"/>
          <w:szCs w:val="32"/>
        </w:rPr>
      </w:pPr>
    </w:p>
    <w:p w14:paraId="37F825EB" w14:textId="77777777" w:rsidR="0052683A" w:rsidRDefault="0052683A" w:rsidP="0052683A">
      <w:pPr>
        <w:widowControl w:val="0"/>
        <w:autoSpaceDE w:val="0"/>
        <w:autoSpaceDN w:val="0"/>
        <w:adjustRightInd w:val="0"/>
        <w:jc w:val="center"/>
        <w:rPr>
          <w:b/>
          <w:sz w:val="32"/>
          <w:szCs w:val="32"/>
        </w:rPr>
      </w:pPr>
    </w:p>
    <w:p w14:paraId="45D36F7A" w14:textId="77777777" w:rsidR="0052683A" w:rsidRPr="005A7FE6" w:rsidRDefault="0052683A" w:rsidP="0052683A"/>
    <w:p w14:paraId="5B68839F" w14:textId="77777777" w:rsidR="0073049C" w:rsidRPr="00EB5423" w:rsidRDefault="0073049C" w:rsidP="0073049C">
      <w:pPr>
        <w:autoSpaceDE w:val="0"/>
        <w:autoSpaceDN w:val="0"/>
        <w:jc w:val="center"/>
        <w:rPr>
          <w:sz w:val="22"/>
          <w:szCs w:val="22"/>
          <w:lang w:val="en-US"/>
        </w:rPr>
      </w:pPr>
      <w:r w:rsidRPr="00EB5423">
        <w:rPr>
          <w:sz w:val="22"/>
          <w:szCs w:val="22"/>
          <w:lang w:val="en-US"/>
        </w:rPr>
        <w:t xml:space="preserve">Presented to Parliament </w:t>
      </w:r>
      <w:r w:rsidR="00684F41">
        <w:rPr>
          <w:sz w:val="22"/>
          <w:szCs w:val="22"/>
          <w:lang w:val="en-US"/>
        </w:rPr>
        <w:t>pursuant</w:t>
      </w:r>
      <w:r w:rsidRPr="00EB5423">
        <w:rPr>
          <w:sz w:val="22"/>
          <w:szCs w:val="22"/>
          <w:lang w:val="en-US"/>
        </w:rPr>
        <w:t xml:space="preserve"> </w:t>
      </w:r>
      <w:r w:rsidR="00684F41">
        <w:rPr>
          <w:sz w:val="22"/>
          <w:szCs w:val="22"/>
          <w:lang w:val="en-US"/>
        </w:rPr>
        <w:t>to</w:t>
      </w:r>
      <w:r w:rsidRPr="00EB5423">
        <w:rPr>
          <w:sz w:val="22"/>
          <w:szCs w:val="22"/>
          <w:lang w:val="en-US"/>
        </w:rPr>
        <w:t xml:space="preserve"> paragraph 5(2) </w:t>
      </w:r>
      <w:r w:rsidR="00325426">
        <w:rPr>
          <w:sz w:val="22"/>
          <w:szCs w:val="22"/>
          <w:lang w:val="en-US"/>
        </w:rPr>
        <w:t>and</w:t>
      </w:r>
      <w:r w:rsidRPr="00EB5423">
        <w:rPr>
          <w:sz w:val="22"/>
          <w:szCs w:val="22"/>
          <w:lang w:val="en-US"/>
        </w:rPr>
        <w:t xml:space="preserve"> paragraph 7(3)(b) of Schedule 7 to the Northern Ireland Act 1998.</w:t>
      </w:r>
    </w:p>
    <w:p w14:paraId="538E3E9B" w14:textId="77777777" w:rsidR="0073049C" w:rsidRDefault="0073049C" w:rsidP="0073049C">
      <w:pPr>
        <w:rPr>
          <w:sz w:val="32"/>
          <w:szCs w:val="44"/>
        </w:rPr>
      </w:pPr>
    </w:p>
    <w:p w14:paraId="1304A3F7" w14:textId="77777777" w:rsidR="0073049C" w:rsidRDefault="0073049C" w:rsidP="0073049C">
      <w:pPr>
        <w:rPr>
          <w:sz w:val="32"/>
          <w:szCs w:val="44"/>
        </w:rPr>
      </w:pPr>
    </w:p>
    <w:p w14:paraId="34130489" w14:textId="77777777" w:rsidR="0073049C" w:rsidRDefault="0073049C" w:rsidP="0073049C">
      <w:pPr>
        <w:rPr>
          <w:sz w:val="32"/>
          <w:szCs w:val="44"/>
        </w:rPr>
      </w:pPr>
    </w:p>
    <w:p w14:paraId="58A1D263" w14:textId="3BA1DAF4" w:rsidR="0073049C" w:rsidRDefault="0073049C" w:rsidP="0073049C">
      <w:pPr>
        <w:pStyle w:val="Pa7"/>
        <w:jc w:val="center"/>
        <w:outlineLvl w:val="0"/>
        <w:rPr>
          <w:rFonts w:ascii="Verdana" w:hAnsi="Verdana" w:cs="Arial"/>
          <w:color w:val="000000"/>
          <w:sz w:val="28"/>
          <w:szCs w:val="28"/>
        </w:rPr>
      </w:pPr>
      <w:r w:rsidRPr="0073049C">
        <w:rPr>
          <w:rFonts w:ascii="Verdana" w:hAnsi="Verdana" w:cs="Arial"/>
          <w:color w:val="000000"/>
          <w:sz w:val="28"/>
          <w:szCs w:val="28"/>
        </w:rPr>
        <w:t>Ordered by the House of Commons to be printed</w:t>
      </w:r>
    </w:p>
    <w:p w14:paraId="4B598DB8" w14:textId="5B41E88C" w:rsidR="00671DA5" w:rsidRPr="00671DA5" w:rsidRDefault="00671DA5" w:rsidP="00671DA5">
      <w:pPr>
        <w:jc w:val="center"/>
        <w:rPr>
          <w:sz w:val="28"/>
          <w:szCs w:val="28"/>
        </w:rPr>
      </w:pPr>
      <w:r w:rsidRPr="00671DA5">
        <w:rPr>
          <w:sz w:val="28"/>
          <w:szCs w:val="28"/>
        </w:rPr>
        <w:t>on 18 October 2022</w:t>
      </w:r>
    </w:p>
    <w:p w14:paraId="5310F8E7" w14:textId="6BFA2A27" w:rsidR="0052683A" w:rsidRDefault="0052683A" w:rsidP="0052683A">
      <w:pPr>
        <w:pStyle w:val="Header"/>
        <w:jc w:val="center"/>
        <w:rPr>
          <w:rFonts w:cs="ZurichBT-LightCondensed"/>
          <w:sz w:val="28"/>
          <w:szCs w:val="28"/>
          <w:lang w:val="en-US"/>
        </w:rPr>
      </w:pPr>
      <w:r w:rsidRPr="0073049C">
        <w:rPr>
          <w:rFonts w:cs="ZurichBT-LightCondensed"/>
          <w:sz w:val="28"/>
          <w:szCs w:val="28"/>
          <w:lang w:val="en-US"/>
        </w:rPr>
        <w:t xml:space="preserve"> </w:t>
      </w:r>
    </w:p>
    <w:p w14:paraId="4D29A70F" w14:textId="77777777" w:rsidR="00684F41" w:rsidRDefault="00684F41" w:rsidP="0052683A">
      <w:pPr>
        <w:pStyle w:val="Header"/>
        <w:jc w:val="center"/>
        <w:rPr>
          <w:rFonts w:cs="ZurichBT-LightCondensed"/>
          <w:sz w:val="28"/>
          <w:szCs w:val="28"/>
          <w:lang w:val="en-US"/>
        </w:rPr>
      </w:pPr>
    </w:p>
    <w:p w14:paraId="1DE14A31" w14:textId="77777777" w:rsidR="00684F41" w:rsidRDefault="00684F41" w:rsidP="00671DA5">
      <w:pPr>
        <w:pStyle w:val="Header"/>
        <w:rPr>
          <w:rFonts w:cs="ZurichBT-LightCondensed"/>
          <w:sz w:val="28"/>
          <w:szCs w:val="28"/>
          <w:lang w:val="en-US"/>
        </w:rPr>
      </w:pPr>
    </w:p>
    <w:p w14:paraId="66E80973" w14:textId="77777777" w:rsidR="00684F41" w:rsidRDefault="00684F41" w:rsidP="0052683A">
      <w:pPr>
        <w:pStyle w:val="Header"/>
        <w:jc w:val="center"/>
        <w:rPr>
          <w:rFonts w:cs="ZurichBT-LightCondensed"/>
          <w:sz w:val="28"/>
          <w:szCs w:val="28"/>
          <w:lang w:val="en-US"/>
        </w:rPr>
      </w:pPr>
    </w:p>
    <w:p w14:paraId="6EBF5DD6" w14:textId="77777777" w:rsidR="00325426" w:rsidRDefault="00325426" w:rsidP="00684F41">
      <w:pPr>
        <w:pStyle w:val="Header"/>
        <w:rPr>
          <w:rFonts w:cs="ZurichBT-LightCondensed"/>
          <w:lang w:val="en-US"/>
        </w:rPr>
      </w:pPr>
    </w:p>
    <w:p w14:paraId="3E7FCB82" w14:textId="77777777" w:rsidR="00325426" w:rsidRDefault="00325426" w:rsidP="00684F41">
      <w:pPr>
        <w:pStyle w:val="Header"/>
        <w:rPr>
          <w:rFonts w:cs="ZurichBT-LightCondensed"/>
          <w:lang w:val="en-US"/>
        </w:rPr>
      </w:pPr>
    </w:p>
    <w:p w14:paraId="47AF224D" w14:textId="77777777" w:rsidR="00325426" w:rsidRDefault="00325426" w:rsidP="00684F41">
      <w:pPr>
        <w:pStyle w:val="Header"/>
        <w:rPr>
          <w:rFonts w:cs="ZurichBT-LightCondensed"/>
          <w:lang w:val="en-US"/>
        </w:rPr>
      </w:pPr>
    </w:p>
    <w:p w14:paraId="24C3C947" w14:textId="14355AEF" w:rsidR="00684F41" w:rsidRPr="00684F41" w:rsidRDefault="00366447" w:rsidP="00684F41">
      <w:pPr>
        <w:pStyle w:val="Header"/>
      </w:pPr>
      <w:r>
        <w:rPr>
          <w:rFonts w:cs="ZurichBT-LightCondensed"/>
          <w:lang w:val="en-US"/>
        </w:rPr>
        <w:t xml:space="preserve">HC </w:t>
      </w:r>
      <w:r w:rsidR="00BB58F7">
        <w:rPr>
          <w:rFonts w:cs="ZurichBT-LightCondensed"/>
          <w:lang w:val="en-US"/>
        </w:rPr>
        <w:t>715</w:t>
      </w:r>
    </w:p>
    <w:p w14:paraId="060D7274" w14:textId="77777777" w:rsidR="0052683A" w:rsidRPr="005A7FE6" w:rsidRDefault="0052683A" w:rsidP="0052683A">
      <w:pPr>
        <w:pStyle w:val="Header"/>
        <w:jc w:val="center"/>
      </w:pPr>
    </w:p>
    <w:p w14:paraId="4CEC6E75" w14:textId="77777777" w:rsidR="0052683A" w:rsidRPr="005A7FE6" w:rsidRDefault="0052683A" w:rsidP="0052683A">
      <w:pPr>
        <w:pStyle w:val="Header"/>
        <w:jc w:val="center"/>
      </w:pPr>
    </w:p>
    <w:p w14:paraId="25565FB0" w14:textId="77777777" w:rsidR="0052683A" w:rsidRPr="005A7FE6" w:rsidRDefault="0052683A" w:rsidP="0052683A">
      <w:pPr>
        <w:jc w:val="center"/>
        <w:rPr>
          <w:b/>
          <w:caps/>
          <w:sz w:val="28"/>
          <w:szCs w:val="28"/>
        </w:rPr>
      </w:pPr>
    </w:p>
    <w:p w14:paraId="7DA1ACF7" w14:textId="77777777" w:rsidR="0052683A" w:rsidRPr="005A7FE6" w:rsidRDefault="0052683A" w:rsidP="0052683A">
      <w:pPr>
        <w:jc w:val="center"/>
        <w:rPr>
          <w:b/>
          <w:caps/>
          <w:sz w:val="28"/>
          <w:szCs w:val="28"/>
        </w:rPr>
      </w:pPr>
    </w:p>
    <w:p w14:paraId="3E756B41" w14:textId="77777777" w:rsidR="0052683A" w:rsidRPr="005A7FE6" w:rsidRDefault="0052683A" w:rsidP="0052683A">
      <w:pPr>
        <w:jc w:val="center"/>
        <w:rPr>
          <w:b/>
          <w:caps/>
          <w:sz w:val="28"/>
          <w:szCs w:val="28"/>
        </w:rPr>
      </w:pPr>
    </w:p>
    <w:p w14:paraId="39A06944" w14:textId="77777777" w:rsidR="0052683A" w:rsidRPr="005A7FE6" w:rsidRDefault="0052683A" w:rsidP="0052683A">
      <w:pPr>
        <w:jc w:val="center"/>
        <w:rPr>
          <w:b/>
          <w:caps/>
          <w:sz w:val="28"/>
          <w:szCs w:val="28"/>
        </w:rPr>
      </w:pPr>
    </w:p>
    <w:p w14:paraId="59F32893" w14:textId="77777777" w:rsidR="0052683A" w:rsidRPr="005A7FE6" w:rsidRDefault="0052683A" w:rsidP="0052683A">
      <w:pPr>
        <w:jc w:val="center"/>
        <w:rPr>
          <w:b/>
          <w:caps/>
          <w:sz w:val="28"/>
          <w:szCs w:val="28"/>
        </w:rPr>
      </w:pPr>
    </w:p>
    <w:p w14:paraId="60686532" w14:textId="77777777" w:rsidR="0052683A" w:rsidRPr="005A7FE6" w:rsidRDefault="0052683A" w:rsidP="0052683A">
      <w:pPr>
        <w:jc w:val="center"/>
        <w:rPr>
          <w:b/>
          <w:caps/>
          <w:sz w:val="28"/>
          <w:szCs w:val="28"/>
        </w:rPr>
      </w:pPr>
    </w:p>
    <w:p w14:paraId="1FFF082E" w14:textId="77777777" w:rsidR="0052683A" w:rsidRPr="005A7FE6" w:rsidRDefault="0052683A" w:rsidP="0052683A">
      <w:pPr>
        <w:jc w:val="center"/>
        <w:rPr>
          <w:b/>
          <w:caps/>
          <w:sz w:val="28"/>
          <w:szCs w:val="28"/>
        </w:rPr>
      </w:pPr>
    </w:p>
    <w:p w14:paraId="15E99E76" w14:textId="77777777" w:rsidR="0052683A" w:rsidRPr="005A7FE6" w:rsidRDefault="0052683A" w:rsidP="0052683A">
      <w:pPr>
        <w:jc w:val="center"/>
        <w:rPr>
          <w:b/>
          <w:caps/>
          <w:sz w:val="28"/>
          <w:szCs w:val="28"/>
        </w:rPr>
      </w:pPr>
    </w:p>
    <w:p w14:paraId="3E70CEDD" w14:textId="77777777" w:rsidR="0052683A" w:rsidRPr="005A7FE6" w:rsidRDefault="0052683A" w:rsidP="0052683A">
      <w:pPr>
        <w:jc w:val="center"/>
        <w:rPr>
          <w:b/>
          <w:caps/>
          <w:sz w:val="28"/>
          <w:szCs w:val="28"/>
        </w:rPr>
      </w:pPr>
    </w:p>
    <w:p w14:paraId="08BCBE65" w14:textId="77777777" w:rsidR="0052683A" w:rsidRPr="005A7FE6" w:rsidRDefault="0052683A" w:rsidP="0052683A">
      <w:pPr>
        <w:jc w:val="center"/>
        <w:rPr>
          <w:b/>
          <w:caps/>
          <w:sz w:val="28"/>
          <w:szCs w:val="28"/>
        </w:rPr>
      </w:pPr>
    </w:p>
    <w:p w14:paraId="4BE0CE74" w14:textId="77777777" w:rsidR="0052683A" w:rsidRDefault="0052683A" w:rsidP="0052683A">
      <w:pPr>
        <w:jc w:val="center"/>
        <w:rPr>
          <w:b/>
          <w:caps/>
          <w:sz w:val="28"/>
          <w:szCs w:val="28"/>
        </w:rPr>
      </w:pPr>
    </w:p>
    <w:p w14:paraId="0A5D26F7" w14:textId="77777777" w:rsidR="0052683A" w:rsidRDefault="0052683A" w:rsidP="0052683A">
      <w:pPr>
        <w:jc w:val="center"/>
        <w:rPr>
          <w:b/>
          <w:caps/>
          <w:sz w:val="28"/>
          <w:szCs w:val="28"/>
        </w:rPr>
      </w:pPr>
    </w:p>
    <w:p w14:paraId="32AC77A5" w14:textId="77777777" w:rsidR="0052683A" w:rsidRDefault="0052683A" w:rsidP="0052683A">
      <w:pPr>
        <w:jc w:val="center"/>
        <w:rPr>
          <w:b/>
          <w:caps/>
          <w:sz w:val="28"/>
          <w:szCs w:val="28"/>
        </w:rPr>
      </w:pPr>
    </w:p>
    <w:p w14:paraId="1D76CB56" w14:textId="77777777" w:rsidR="0052683A" w:rsidRDefault="0052683A" w:rsidP="0052683A">
      <w:pPr>
        <w:jc w:val="center"/>
        <w:rPr>
          <w:b/>
          <w:caps/>
          <w:sz w:val="28"/>
          <w:szCs w:val="28"/>
        </w:rPr>
      </w:pPr>
    </w:p>
    <w:p w14:paraId="71636646" w14:textId="77777777" w:rsidR="0052683A" w:rsidRPr="005A7FE6" w:rsidRDefault="0052683A" w:rsidP="0052683A">
      <w:pPr>
        <w:jc w:val="center"/>
        <w:rPr>
          <w:b/>
          <w:caps/>
          <w:sz w:val="28"/>
          <w:szCs w:val="28"/>
        </w:rPr>
      </w:pPr>
    </w:p>
    <w:p w14:paraId="0D5788F0" w14:textId="77777777" w:rsidR="0052683A" w:rsidRPr="005A7FE6" w:rsidRDefault="00947780" w:rsidP="00947780">
      <w:pPr>
        <w:rPr>
          <w:b/>
          <w:caps/>
          <w:sz w:val="28"/>
          <w:szCs w:val="28"/>
        </w:rPr>
      </w:pPr>
      <w:r>
        <w:rPr>
          <w:noProof/>
          <w:lang w:eastAsia="en-GB"/>
        </w:rPr>
        <w:drawing>
          <wp:inline distT="0" distB="0" distL="0" distR="0" wp14:anchorId="2C77E846" wp14:editId="0F169681">
            <wp:extent cx="762000" cy="381000"/>
            <wp:effectExtent l="0" t="0" r="0" b="0"/>
            <wp:docPr id="10" name="Picture 10"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000" cy="381000"/>
                    </a:xfrm>
                    <a:prstGeom prst="rect">
                      <a:avLst/>
                    </a:prstGeom>
                  </pic:spPr>
                </pic:pic>
              </a:graphicData>
            </a:graphic>
          </wp:inline>
        </w:drawing>
      </w:r>
    </w:p>
    <w:p w14:paraId="722D1C40" w14:textId="77777777" w:rsidR="002913DD" w:rsidRDefault="002913DD" w:rsidP="007C40C2">
      <w:pPr>
        <w:rPr>
          <w:sz w:val="20"/>
          <w:szCs w:val="20"/>
        </w:rPr>
      </w:pPr>
    </w:p>
    <w:p w14:paraId="47A1C4E0" w14:textId="77777777" w:rsidR="0073049C" w:rsidRPr="0073049C" w:rsidRDefault="0073049C" w:rsidP="0073049C">
      <w:pPr>
        <w:pStyle w:val="NormalWeb"/>
        <w:jc w:val="center"/>
        <w:rPr>
          <w:rStyle w:val="Strong"/>
          <w:rFonts w:ascii="Verdana" w:hAnsi="Verdana" w:cs="Arial"/>
          <w:b w:val="0"/>
          <w:sz w:val="22"/>
          <w:szCs w:val="22"/>
        </w:rPr>
      </w:pPr>
      <w:r w:rsidRPr="0073049C">
        <w:rPr>
          <w:rFonts w:ascii="Verdana" w:hAnsi="Verdana" w:cs="Arial"/>
          <w:sz w:val="22"/>
          <w:szCs w:val="22"/>
        </w:rPr>
        <w:t xml:space="preserve">© Northern Ireland Human Rights Commission copyright </w:t>
      </w:r>
      <w:r w:rsidR="001F0440" w:rsidRPr="00A7712C">
        <w:rPr>
          <w:rStyle w:val="Strong"/>
          <w:rFonts w:ascii="Verdana" w:hAnsi="Verdana" w:cs="Arial"/>
          <w:b w:val="0"/>
          <w:sz w:val="22"/>
          <w:szCs w:val="22"/>
        </w:rPr>
        <w:t>202</w:t>
      </w:r>
      <w:r w:rsidR="00042BB0">
        <w:rPr>
          <w:rStyle w:val="Strong"/>
          <w:rFonts w:ascii="Verdana" w:hAnsi="Verdana" w:cs="Arial"/>
          <w:b w:val="0"/>
          <w:sz w:val="22"/>
          <w:szCs w:val="22"/>
        </w:rPr>
        <w:t>2</w:t>
      </w:r>
    </w:p>
    <w:p w14:paraId="240AA882" w14:textId="77777777" w:rsidR="0073049C" w:rsidRDefault="0073049C" w:rsidP="0073049C">
      <w:pPr>
        <w:pStyle w:val="NormalWeb"/>
        <w:rPr>
          <w:rFonts w:ascii="Verdana" w:hAnsi="Verdana" w:cs="Arial"/>
          <w:sz w:val="22"/>
          <w:szCs w:val="22"/>
        </w:rPr>
      </w:pPr>
      <w:r w:rsidRPr="0073049C">
        <w:rPr>
          <w:rFonts w:ascii="Verdana" w:hAnsi="Verdana" w:cs="Arial"/>
          <w:bCs/>
          <w:sz w:val="22"/>
          <w:szCs w:val="22"/>
        </w:rPr>
        <w:br/>
      </w:r>
    </w:p>
    <w:p w14:paraId="47EF429E" w14:textId="77777777" w:rsidR="00A77DAC" w:rsidRDefault="00ED4C99" w:rsidP="00A77DAC">
      <w:pPr>
        <w:shd w:val="clear" w:color="auto" w:fill="FFFFFF"/>
        <w:spacing w:after="360" w:line="384" w:lineRule="atLeast"/>
        <w:rPr>
          <w:rFonts w:cs="Arial"/>
          <w:sz w:val="22"/>
          <w:szCs w:val="22"/>
        </w:rPr>
      </w:pPr>
      <w:r>
        <w:rPr>
          <w:rFonts w:cs="Arial"/>
          <w:sz w:val="22"/>
          <w:szCs w:val="22"/>
        </w:rPr>
        <w:t xml:space="preserve">This publication is licensed under the terms of the Open Government Licence v3.0 except where otherwise stated.  To view this licence, visit </w:t>
      </w:r>
      <w:hyperlink r:id="rId13" w:history="1">
        <w:r w:rsidR="00A77DAC" w:rsidRPr="00532501">
          <w:rPr>
            <w:rStyle w:val="Hyperlink"/>
            <w:rFonts w:cs="Arial"/>
            <w:sz w:val="22"/>
            <w:szCs w:val="22"/>
          </w:rPr>
          <w:t>nationalarchives.gov.uk/doc/open-government-licence/version/3</w:t>
        </w:r>
      </w:hyperlink>
    </w:p>
    <w:p w14:paraId="40DB7480" w14:textId="3DDE263F" w:rsidR="0073049C" w:rsidRPr="0073049C" w:rsidRDefault="0073049C" w:rsidP="0073049C">
      <w:pPr>
        <w:pStyle w:val="NormalWeb"/>
        <w:rPr>
          <w:rFonts w:ascii="Verdana" w:hAnsi="Verdana" w:cs="Arial"/>
          <w:sz w:val="22"/>
          <w:szCs w:val="22"/>
        </w:rPr>
      </w:pPr>
      <w:r w:rsidRPr="0073049C">
        <w:rPr>
          <w:rFonts w:ascii="Verdana" w:hAnsi="Verdana" w:cs="Arial"/>
          <w:sz w:val="22"/>
          <w:szCs w:val="22"/>
        </w:rPr>
        <w:t xml:space="preserve">Where </w:t>
      </w:r>
      <w:r w:rsidR="000F5ED9">
        <w:rPr>
          <w:rFonts w:ascii="Verdana" w:hAnsi="Verdana" w:cs="Arial"/>
          <w:sz w:val="22"/>
          <w:szCs w:val="22"/>
        </w:rPr>
        <w:t xml:space="preserve">we have identified any </w:t>
      </w:r>
      <w:r w:rsidR="000C7C45" w:rsidRPr="0073049C">
        <w:rPr>
          <w:rFonts w:ascii="Verdana" w:hAnsi="Verdana" w:cs="Arial"/>
          <w:sz w:val="22"/>
          <w:szCs w:val="22"/>
        </w:rPr>
        <w:t>third-party</w:t>
      </w:r>
      <w:r w:rsidRPr="0073049C">
        <w:rPr>
          <w:rFonts w:ascii="Verdana" w:hAnsi="Verdana" w:cs="Arial"/>
          <w:sz w:val="22"/>
          <w:szCs w:val="22"/>
        </w:rPr>
        <w:t xml:space="preserve"> </w:t>
      </w:r>
      <w:r w:rsidR="000F5ED9">
        <w:rPr>
          <w:rFonts w:ascii="Verdana" w:hAnsi="Verdana" w:cs="Arial"/>
          <w:sz w:val="22"/>
          <w:szCs w:val="22"/>
        </w:rPr>
        <w:t>copyright information you will need to obtain</w:t>
      </w:r>
      <w:r w:rsidRPr="0073049C">
        <w:rPr>
          <w:rFonts w:ascii="Verdana" w:hAnsi="Verdana" w:cs="Arial"/>
          <w:sz w:val="22"/>
          <w:szCs w:val="22"/>
        </w:rPr>
        <w:t xml:space="preserve"> permission from the copyright holder</w:t>
      </w:r>
      <w:r w:rsidR="000F5ED9">
        <w:rPr>
          <w:rFonts w:ascii="Verdana" w:hAnsi="Verdana" w:cs="Arial"/>
          <w:sz w:val="22"/>
          <w:szCs w:val="22"/>
        </w:rPr>
        <w:t>s</w:t>
      </w:r>
      <w:r w:rsidRPr="0073049C">
        <w:rPr>
          <w:rFonts w:ascii="Verdana" w:hAnsi="Verdana" w:cs="Arial"/>
          <w:sz w:val="22"/>
          <w:szCs w:val="22"/>
        </w:rPr>
        <w:t xml:space="preserve"> </w:t>
      </w:r>
      <w:r w:rsidR="000F5ED9">
        <w:rPr>
          <w:rFonts w:ascii="Verdana" w:hAnsi="Verdana" w:cs="Arial"/>
          <w:sz w:val="22"/>
          <w:szCs w:val="22"/>
        </w:rPr>
        <w:t>concerned</w:t>
      </w:r>
      <w:r w:rsidRPr="0073049C">
        <w:rPr>
          <w:rFonts w:ascii="Verdana" w:hAnsi="Verdana" w:cs="Arial"/>
          <w:sz w:val="22"/>
          <w:szCs w:val="22"/>
        </w:rPr>
        <w:t>.</w:t>
      </w:r>
    </w:p>
    <w:p w14:paraId="3E1128D1" w14:textId="77777777" w:rsidR="0073049C" w:rsidRPr="00A77DAC" w:rsidRDefault="0073049C" w:rsidP="005749B9">
      <w:pPr>
        <w:pStyle w:val="NormalWeb"/>
        <w:rPr>
          <w:rStyle w:val="Hyperlink"/>
          <w:rFonts w:ascii="Verdana" w:hAnsi="Verdana"/>
          <w:sz w:val="22"/>
          <w:szCs w:val="22"/>
        </w:rPr>
      </w:pPr>
      <w:r w:rsidRPr="0073049C">
        <w:rPr>
          <w:rFonts w:ascii="Verdana" w:hAnsi="Verdana" w:cs="Arial"/>
          <w:sz w:val="22"/>
          <w:szCs w:val="22"/>
        </w:rPr>
        <w:t xml:space="preserve">This publication is available </w:t>
      </w:r>
      <w:r w:rsidRPr="00A77DAC">
        <w:rPr>
          <w:rFonts w:ascii="Verdana" w:hAnsi="Verdana" w:cs="Arial"/>
          <w:sz w:val="22"/>
          <w:szCs w:val="22"/>
        </w:rPr>
        <w:t xml:space="preserve">at </w:t>
      </w:r>
      <w:hyperlink r:id="rId14" w:history="1">
        <w:r w:rsidR="00A77DAC" w:rsidRPr="00A77DAC">
          <w:rPr>
            <w:rStyle w:val="Hyperlink"/>
            <w:rFonts w:ascii="Verdana" w:hAnsi="Verdana"/>
            <w:sz w:val="22"/>
            <w:szCs w:val="22"/>
            <w:lang w:eastAsia="en-GB"/>
          </w:rPr>
          <w:t>www.gov.uk/official-documents</w:t>
        </w:r>
      </w:hyperlink>
      <w:r w:rsidR="00A77DAC" w:rsidRPr="00A77DAC">
        <w:rPr>
          <w:rFonts w:ascii="Arial" w:hAnsi="Arial" w:cs="Arial"/>
          <w:sz w:val="22"/>
          <w:szCs w:val="22"/>
          <w:lang w:eastAsia="en-GB"/>
        </w:rPr>
        <w:t>.</w:t>
      </w:r>
    </w:p>
    <w:p w14:paraId="3357BD5B" w14:textId="77777777" w:rsidR="005749B9" w:rsidRPr="0073049C" w:rsidRDefault="005749B9" w:rsidP="005749B9">
      <w:pPr>
        <w:pStyle w:val="NormalWeb"/>
        <w:ind w:right="-514"/>
        <w:rPr>
          <w:rFonts w:ascii="Verdana" w:hAnsi="Verdana" w:cs="Arial"/>
          <w:sz w:val="22"/>
          <w:szCs w:val="22"/>
        </w:rPr>
      </w:pPr>
      <w:r w:rsidRPr="0073049C">
        <w:rPr>
          <w:rFonts w:ascii="Verdana" w:hAnsi="Verdana" w:cs="Arial"/>
          <w:sz w:val="22"/>
          <w:szCs w:val="22"/>
        </w:rPr>
        <w:t xml:space="preserve">Any enquiries </w:t>
      </w:r>
      <w:r>
        <w:rPr>
          <w:rFonts w:ascii="Verdana" w:hAnsi="Verdana" w:cs="Arial"/>
          <w:sz w:val="22"/>
          <w:szCs w:val="22"/>
        </w:rPr>
        <w:t>regarding</w:t>
      </w:r>
      <w:r w:rsidRPr="0073049C">
        <w:rPr>
          <w:rFonts w:ascii="Verdana" w:hAnsi="Verdana" w:cs="Arial"/>
          <w:sz w:val="22"/>
          <w:szCs w:val="22"/>
        </w:rPr>
        <w:t xml:space="preserve"> this publication should be sent to us at </w:t>
      </w:r>
      <w:r>
        <w:rPr>
          <w:rFonts w:ascii="Verdana" w:hAnsi="Verdana" w:cs="Arial"/>
          <w:sz w:val="22"/>
          <w:szCs w:val="22"/>
        </w:rPr>
        <w:t>info</w:t>
      </w:r>
      <w:r w:rsidRPr="001601E5">
        <w:rPr>
          <w:rFonts w:ascii="Verdana" w:hAnsi="Verdana" w:cs="Arial"/>
          <w:sz w:val="22"/>
          <w:szCs w:val="22"/>
        </w:rPr>
        <w:t>@nihrc.org</w:t>
      </w:r>
    </w:p>
    <w:p w14:paraId="48082752" w14:textId="77777777" w:rsidR="005749B9" w:rsidRDefault="005749B9" w:rsidP="005749B9">
      <w:pPr>
        <w:pStyle w:val="NormalWeb"/>
        <w:rPr>
          <w:rFonts w:ascii="Arial" w:hAnsi="Arial" w:cs="Arial"/>
          <w:sz w:val="22"/>
          <w:szCs w:val="22"/>
        </w:rPr>
      </w:pPr>
    </w:p>
    <w:p w14:paraId="7BD957C4" w14:textId="7D5FF1BC" w:rsidR="0073049C" w:rsidRPr="00EB5423" w:rsidRDefault="0073049C" w:rsidP="0073049C">
      <w:pPr>
        <w:jc w:val="center"/>
        <w:outlineLvl w:val="0"/>
        <w:rPr>
          <w:rFonts w:cs="Arial"/>
          <w:sz w:val="22"/>
          <w:szCs w:val="22"/>
        </w:rPr>
      </w:pPr>
      <w:r w:rsidRPr="00EB5423">
        <w:rPr>
          <w:rFonts w:cs="Arial"/>
          <w:sz w:val="22"/>
          <w:szCs w:val="22"/>
        </w:rPr>
        <w:t>ISBN</w:t>
      </w:r>
      <w:r w:rsidR="005749B9">
        <w:rPr>
          <w:rFonts w:cs="Arial"/>
          <w:sz w:val="22"/>
          <w:szCs w:val="22"/>
        </w:rPr>
        <w:t xml:space="preserve"> </w:t>
      </w:r>
      <w:r w:rsidR="001C49E3">
        <w:rPr>
          <w:rFonts w:cs="Arial"/>
          <w:sz w:val="22"/>
          <w:szCs w:val="22"/>
        </w:rPr>
        <w:t>978-5286-3682-7</w:t>
      </w:r>
    </w:p>
    <w:p w14:paraId="5C08F862" w14:textId="77777777" w:rsidR="00684F41" w:rsidRDefault="00684F41" w:rsidP="0073049C">
      <w:pPr>
        <w:jc w:val="center"/>
        <w:rPr>
          <w:rFonts w:cs="Arial"/>
          <w:sz w:val="22"/>
          <w:szCs w:val="22"/>
        </w:rPr>
      </w:pPr>
    </w:p>
    <w:p w14:paraId="5F2D9CF1" w14:textId="2E8065DF" w:rsidR="00B20E02" w:rsidRPr="001E26EF" w:rsidRDefault="001C49E3" w:rsidP="00B20E02">
      <w:pPr>
        <w:jc w:val="center"/>
        <w:rPr>
          <w:sz w:val="22"/>
          <w:szCs w:val="22"/>
        </w:rPr>
      </w:pPr>
      <w:r>
        <w:rPr>
          <w:sz w:val="22"/>
          <w:szCs w:val="22"/>
        </w:rPr>
        <w:t>E-Number E02795674</w:t>
      </w:r>
    </w:p>
    <w:p w14:paraId="73EAC57B" w14:textId="77777777" w:rsidR="00684F41" w:rsidRDefault="00684F41" w:rsidP="0073049C">
      <w:pPr>
        <w:jc w:val="center"/>
        <w:rPr>
          <w:rFonts w:cs="Arial"/>
          <w:sz w:val="22"/>
          <w:szCs w:val="22"/>
        </w:rPr>
      </w:pPr>
    </w:p>
    <w:p w14:paraId="10A6EA29" w14:textId="08E0D60A" w:rsidR="00684F41" w:rsidRPr="00EB5423" w:rsidRDefault="00684F41" w:rsidP="00684F41">
      <w:pPr>
        <w:rPr>
          <w:rFonts w:cs="Arial"/>
          <w:sz w:val="22"/>
          <w:szCs w:val="22"/>
        </w:rPr>
      </w:pPr>
      <w:r>
        <w:rPr>
          <w:rFonts w:cs="Arial"/>
          <w:sz w:val="22"/>
          <w:szCs w:val="22"/>
        </w:rPr>
        <w:t xml:space="preserve">Printed on paper containing </w:t>
      </w:r>
      <w:r w:rsidR="00216086">
        <w:rPr>
          <w:rFonts w:cs="Arial"/>
          <w:sz w:val="22"/>
          <w:szCs w:val="22"/>
        </w:rPr>
        <w:t>40</w:t>
      </w:r>
      <w:r>
        <w:rPr>
          <w:rFonts w:cs="Arial"/>
          <w:sz w:val="22"/>
          <w:szCs w:val="22"/>
        </w:rPr>
        <w:t>% recycled fibre content minimum.</w:t>
      </w:r>
    </w:p>
    <w:p w14:paraId="6E71DEB7" w14:textId="77777777" w:rsidR="0073049C" w:rsidRPr="00EB5423" w:rsidRDefault="0073049C" w:rsidP="0073049C">
      <w:pPr>
        <w:rPr>
          <w:rFonts w:cs="Arial"/>
          <w:sz w:val="22"/>
          <w:szCs w:val="22"/>
        </w:rPr>
      </w:pPr>
    </w:p>
    <w:p w14:paraId="2179F8AF" w14:textId="52F90D18" w:rsidR="0073049C" w:rsidRPr="009D540E" w:rsidRDefault="0073049C" w:rsidP="00684F41">
      <w:pPr>
        <w:rPr>
          <w:rFonts w:cs="Arial"/>
          <w:sz w:val="22"/>
          <w:szCs w:val="22"/>
        </w:rPr>
      </w:pPr>
      <w:r w:rsidRPr="00EB5423">
        <w:rPr>
          <w:rFonts w:cs="Arial"/>
          <w:sz w:val="22"/>
          <w:szCs w:val="22"/>
        </w:rPr>
        <w:t xml:space="preserve">Printed in the UK by </w:t>
      </w:r>
      <w:r w:rsidR="00245858">
        <w:rPr>
          <w:rFonts w:cs="Arial"/>
          <w:sz w:val="22"/>
          <w:szCs w:val="22"/>
        </w:rPr>
        <w:t xml:space="preserve">HH </w:t>
      </w:r>
      <w:r w:rsidR="00216086">
        <w:rPr>
          <w:rFonts w:cs="Arial"/>
          <w:sz w:val="22"/>
          <w:szCs w:val="22"/>
        </w:rPr>
        <w:t>Associates Ltd</w:t>
      </w:r>
      <w:r w:rsidRPr="009D540E">
        <w:rPr>
          <w:rFonts w:cs="Arial"/>
          <w:sz w:val="22"/>
          <w:szCs w:val="22"/>
        </w:rPr>
        <w:t xml:space="preserve"> on behalf of the Controller of H</w:t>
      </w:r>
      <w:r w:rsidR="00BB58F7">
        <w:rPr>
          <w:rFonts w:cs="Arial"/>
          <w:sz w:val="22"/>
          <w:szCs w:val="22"/>
        </w:rPr>
        <w:t>is</w:t>
      </w:r>
      <w:r w:rsidRPr="009D540E">
        <w:rPr>
          <w:rFonts w:cs="Arial"/>
          <w:sz w:val="22"/>
          <w:szCs w:val="22"/>
        </w:rPr>
        <w:t xml:space="preserve"> Majesty’s Stationery Office</w:t>
      </w:r>
      <w:r w:rsidR="00684F41" w:rsidRPr="009D540E">
        <w:rPr>
          <w:rFonts w:cs="Arial"/>
          <w:sz w:val="22"/>
          <w:szCs w:val="22"/>
        </w:rPr>
        <w:t>.</w:t>
      </w:r>
    </w:p>
    <w:p w14:paraId="5F46221F" w14:textId="77777777" w:rsidR="002913DD" w:rsidRDefault="002913DD" w:rsidP="002913DD">
      <w:pPr>
        <w:tabs>
          <w:tab w:val="left" w:pos="0"/>
        </w:tabs>
        <w:jc w:val="center"/>
        <w:rPr>
          <w:rFonts w:cs="ZurichBT-LightCondensed"/>
          <w:lang w:val="en-US"/>
        </w:rPr>
      </w:pPr>
    </w:p>
    <w:p w14:paraId="2097E338" w14:textId="77777777" w:rsidR="00C30D95" w:rsidRDefault="00C30D95" w:rsidP="0052683A">
      <w:pPr>
        <w:tabs>
          <w:tab w:val="left" w:pos="0"/>
        </w:tabs>
        <w:rPr>
          <w:sz w:val="22"/>
          <w:szCs w:val="22"/>
        </w:rPr>
      </w:pPr>
    </w:p>
    <w:p w14:paraId="7DF49AA8" w14:textId="77777777" w:rsidR="00C30D95" w:rsidRDefault="00C30D95" w:rsidP="0052683A">
      <w:pPr>
        <w:tabs>
          <w:tab w:val="left" w:pos="0"/>
        </w:tabs>
        <w:rPr>
          <w:sz w:val="22"/>
          <w:szCs w:val="22"/>
        </w:rPr>
      </w:pPr>
    </w:p>
    <w:p w14:paraId="2BDE0B87" w14:textId="77777777" w:rsidR="00C30D95" w:rsidRDefault="00C30D95" w:rsidP="0052683A">
      <w:pPr>
        <w:tabs>
          <w:tab w:val="left" w:pos="0"/>
        </w:tabs>
        <w:rPr>
          <w:sz w:val="22"/>
          <w:szCs w:val="22"/>
        </w:rPr>
      </w:pPr>
    </w:p>
    <w:p w14:paraId="006D147C" w14:textId="77777777" w:rsidR="00C30D95" w:rsidRDefault="00C30D95" w:rsidP="0052683A">
      <w:pPr>
        <w:tabs>
          <w:tab w:val="left" w:pos="0"/>
        </w:tabs>
        <w:rPr>
          <w:sz w:val="22"/>
          <w:szCs w:val="22"/>
        </w:rPr>
      </w:pPr>
    </w:p>
    <w:p w14:paraId="73B795BC" w14:textId="77777777" w:rsidR="00C30D95" w:rsidRDefault="00C30D95" w:rsidP="0052683A">
      <w:pPr>
        <w:tabs>
          <w:tab w:val="left" w:pos="0"/>
        </w:tabs>
        <w:rPr>
          <w:sz w:val="22"/>
          <w:szCs w:val="22"/>
        </w:rPr>
      </w:pPr>
    </w:p>
    <w:p w14:paraId="64F85272" w14:textId="77777777" w:rsidR="00C30D95" w:rsidRDefault="00C30D95" w:rsidP="0052683A">
      <w:pPr>
        <w:tabs>
          <w:tab w:val="left" w:pos="0"/>
        </w:tabs>
        <w:rPr>
          <w:sz w:val="22"/>
          <w:szCs w:val="22"/>
        </w:rPr>
      </w:pPr>
    </w:p>
    <w:p w14:paraId="257FBC41" w14:textId="77777777" w:rsidR="00C30D95" w:rsidRDefault="00C30D95" w:rsidP="0052683A">
      <w:pPr>
        <w:tabs>
          <w:tab w:val="left" w:pos="0"/>
        </w:tabs>
        <w:rPr>
          <w:sz w:val="22"/>
          <w:szCs w:val="22"/>
        </w:rPr>
      </w:pPr>
    </w:p>
    <w:p w14:paraId="3065BF1D" w14:textId="381DC949" w:rsidR="0052683A" w:rsidRPr="007F2DCD" w:rsidRDefault="0052683A" w:rsidP="0052683A">
      <w:pPr>
        <w:tabs>
          <w:tab w:val="left" w:pos="0"/>
        </w:tabs>
        <w:rPr>
          <w:sz w:val="22"/>
          <w:szCs w:val="22"/>
        </w:rPr>
      </w:pPr>
    </w:p>
    <w:p w14:paraId="4A618989" w14:textId="77777777" w:rsidR="0052683A" w:rsidRPr="007F2DCD" w:rsidRDefault="0052683A" w:rsidP="0052683A">
      <w:pPr>
        <w:tabs>
          <w:tab w:val="left" w:pos="0"/>
        </w:tabs>
        <w:rPr>
          <w:sz w:val="22"/>
          <w:szCs w:val="22"/>
        </w:rPr>
      </w:pPr>
    </w:p>
    <w:p w14:paraId="1AE629FC" w14:textId="77777777" w:rsidR="009D2F63" w:rsidRPr="007F2DCD" w:rsidRDefault="009D2F63" w:rsidP="0052683A">
      <w:pPr>
        <w:tabs>
          <w:tab w:val="left" w:pos="0"/>
        </w:tabs>
        <w:rPr>
          <w:sz w:val="22"/>
          <w:szCs w:val="22"/>
        </w:rPr>
      </w:pPr>
    </w:p>
    <w:p w14:paraId="0AE55A87" w14:textId="52B636B2" w:rsidR="0052683A" w:rsidRPr="007F2DCD" w:rsidRDefault="007E6992" w:rsidP="0052683A">
      <w:pPr>
        <w:tabs>
          <w:tab w:val="left" w:pos="0"/>
        </w:tabs>
        <w:rPr>
          <w:sz w:val="22"/>
          <w:szCs w:val="22"/>
        </w:rPr>
      </w:pPr>
      <w:r>
        <w:rPr>
          <w:sz w:val="22"/>
          <w:szCs w:val="22"/>
        </w:rPr>
        <w:t>11 October 2022</w:t>
      </w:r>
    </w:p>
    <w:p w14:paraId="1BCEA671" w14:textId="77777777" w:rsidR="0052683A" w:rsidRPr="007F2DCD" w:rsidRDefault="0052683A" w:rsidP="0052683A">
      <w:pPr>
        <w:tabs>
          <w:tab w:val="left" w:pos="0"/>
        </w:tabs>
        <w:rPr>
          <w:sz w:val="22"/>
          <w:szCs w:val="22"/>
        </w:rPr>
      </w:pPr>
    </w:p>
    <w:p w14:paraId="61D3F5C5" w14:textId="599AE459" w:rsidR="0052683A" w:rsidRPr="007F2DCD" w:rsidRDefault="0052683A" w:rsidP="0052683A">
      <w:pPr>
        <w:tabs>
          <w:tab w:val="left" w:pos="0"/>
        </w:tabs>
        <w:rPr>
          <w:sz w:val="22"/>
          <w:szCs w:val="22"/>
        </w:rPr>
      </w:pPr>
      <w:r w:rsidRPr="007F2DCD">
        <w:rPr>
          <w:sz w:val="22"/>
          <w:szCs w:val="22"/>
        </w:rPr>
        <w:t xml:space="preserve">Rt Hon </w:t>
      </w:r>
      <w:r w:rsidR="00953497">
        <w:rPr>
          <w:sz w:val="22"/>
          <w:szCs w:val="22"/>
        </w:rPr>
        <w:t>Chris Heaton-Harris</w:t>
      </w:r>
      <w:r w:rsidRPr="007F2DCD">
        <w:rPr>
          <w:sz w:val="22"/>
          <w:szCs w:val="22"/>
        </w:rPr>
        <w:t xml:space="preserve"> MP</w:t>
      </w:r>
    </w:p>
    <w:p w14:paraId="1B8873AA" w14:textId="77777777" w:rsidR="0052683A" w:rsidRPr="007F2DCD" w:rsidRDefault="0052683A" w:rsidP="0052683A">
      <w:pPr>
        <w:tabs>
          <w:tab w:val="left" w:pos="0"/>
        </w:tabs>
        <w:rPr>
          <w:sz w:val="22"/>
          <w:szCs w:val="22"/>
        </w:rPr>
      </w:pPr>
      <w:r w:rsidRPr="007F2DCD">
        <w:rPr>
          <w:sz w:val="22"/>
          <w:szCs w:val="22"/>
        </w:rPr>
        <w:t>Secretary of State for Northern Ireland</w:t>
      </w:r>
    </w:p>
    <w:p w14:paraId="1EC2C03E" w14:textId="19F4D195" w:rsidR="0052683A" w:rsidRDefault="00D27041" w:rsidP="0052683A">
      <w:pPr>
        <w:tabs>
          <w:tab w:val="left" w:pos="0"/>
        </w:tabs>
        <w:rPr>
          <w:sz w:val="22"/>
          <w:szCs w:val="22"/>
        </w:rPr>
      </w:pPr>
      <w:r>
        <w:rPr>
          <w:sz w:val="22"/>
          <w:szCs w:val="22"/>
        </w:rPr>
        <w:t>Erskine House</w:t>
      </w:r>
    </w:p>
    <w:p w14:paraId="0ABF3216" w14:textId="4043C0F5" w:rsidR="00D27041" w:rsidRDefault="00D27041" w:rsidP="0052683A">
      <w:pPr>
        <w:tabs>
          <w:tab w:val="left" w:pos="0"/>
        </w:tabs>
        <w:rPr>
          <w:sz w:val="22"/>
          <w:szCs w:val="22"/>
        </w:rPr>
      </w:pPr>
      <w:r>
        <w:rPr>
          <w:sz w:val="22"/>
          <w:szCs w:val="22"/>
        </w:rPr>
        <w:t>20-32 Chichester Street</w:t>
      </w:r>
    </w:p>
    <w:p w14:paraId="024E3AE5" w14:textId="60F91942" w:rsidR="00D27041" w:rsidRDefault="00D27041" w:rsidP="0052683A">
      <w:pPr>
        <w:tabs>
          <w:tab w:val="left" w:pos="0"/>
        </w:tabs>
        <w:rPr>
          <w:sz w:val="22"/>
          <w:szCs w:val="22"/>
        </w:rPr>
      </w:pPr>
      <w:r>
        <w:rPr>
          <w:sz w:val="22"/>
          <w:szCs w:val="22"/>
        </w:rPr>
        <w:t>Belfast</w:t>
      </w:r>
    </w:p>
    <w:p w14:paraId="4F4ADCEE" w14:textId="68E6282B" w:rsidR="00D27041" w:rsidRPr="007F2DCD" w:rsidRDefault="00D27041" w:rsidP="0052683A">
      <w:pPr>
        <w:tabs>
          <w:tab w:val="left" w:pos="0"/>
        </w:tabs>
        <w:rPr>
          <w:sz w:val="22"/>
          <w:szCs w:val="22"/>
        </w:rPr>
      </w:pPr>
      <w:r>
        <w:rPr>
          <w:sz w:val="22"/>
          <w:szCs w:val="22"/>
        </w:rPr>
        <w:t>BT1 4GF</w:t>
      </w:r>
    </w:p>
    <w:p w14:paraId="3055DA19" w14:textId="77777777" w:rsidR="0052683A" w:rsidRPr="007F2DCD" w:rsidRDefault="0052683A" w:rsidP="0052683A">
      <w:pPr>
        <w:tabs>
          <w:tab w:val="left" w:pos="0"/>
        </w:tabs>
        <w:rPr>
          <w:sz w:val="22"/>
          <w:szCs w:val="22"/>
        </w:rPr>
      </w:pPr>
    </w:p>
    <w:p w14:paraId="689CC72C" w14:textId="77777777" w:rsidR="0052683A" w:rsidRPr="007F2DCD" w:rsidRDefault="0052683A" w:rsidP="0052683A">
      <w:pPr>
        <w:tabs>
          <w:tab w:val="left" w:pos="0"/>
        </w:tabs>
        <w:rPr>
          <w:sz w:val="22"/>
          <w:szCs w:val="22"/>
        </w:rPr>
      </w:pPr>
    </w:p>
    <w:p w14:paraId="6191D7DF" w14:textId="77777777" w:rsidR="0052683A" w:rsidRPr="007F2DCD" w:rsidRDefault="0052683A" w:rsidP="0052683A">
      <w:pPr>
        <w:tabs>
          <w:tab w:val="left" w:pos="0"/>
        </w:tabs>
        <w:rPr>
          <w:sz w:val="22"/>
          <w:szCs w:val="22"/>
        </w:rPr>
      </w:pPr>
    </w:p>
    <w:p w14:paraId="33136DA3" w14:textId="77777777" w:rsidR="0052683A" w:rsidRPr="007F2DCD" w:rsidRDefault="0052683A" w:rsidP="0052683A">
      <w:pPr>
        <w:tabs>
          <w:tab w:val="left" w:pos="0"/>
        </w:tabs>
        <w:rPr>
          <w:sz w:val="22"/>
          <w:szCs w:val="22"/>
        </w:rPr>
      </w:pPr>
      <w:r w:rsidRPr="007F2DCD">
        <w:rPr>
          <w:sz w:val="22"/>
          <w:szCs w:val="22"/>
        </w:rPr>
        <w:t>Dear Secretary of State</w:t>
      </w:r>
    </w:p>
    <w:p w14:paraId="0B61E813" w14:textId="77777777" w:rsidR="0052683A" w:rsidRPr="007F2DCD" w:rsidRDefault="0052683A" w:rsidP="0052683A">
      <w:pPr>
        <w:tabs>
          <w:tab w:val="left" w:pos="0"/>
        </w:tabs>
        <w:rPr>
          <w:sz w:val="22"/>
          <w:szCs w:val="22"/>
        </w:rPr>
      </w:pPr>
    </w:p>
    <w:p w14:paraId="4610DCEB" w14:textId="77777777" w:rsidR="0052683A" w:rsidRPr="007F2DCD" w:rsidRDefault="0052683A" w:rsidP="0052683A">
      <w:pPr>
        <w:tabs>
          <w:tab w:val="left" w:pos="0"/>
        </w:tabs>
        <w:rPr>
          <w:sz w:val="22"/>
          <w:szCs w:val="22"/>
        </w:rPr>
      </w:pPr>
      <w:r w:rsidRPr="007F2DCD">
        <w:rPr>
          <w:sz w:val="22"/>
          <w:szCs w:val="22"/>
        </w:rPr>
        <w:t xml:space="preserve">I have pleasure in submitting to you, as required by paragraph 5(1) of Schedule 7 of the Northern Ireland Act 1998, the </w:t>
      </w:r>
      <w:r w:rsidR="00042BB0">
        <w:rPr>
          <w:sz w:val="22"/>
          <w:szCs w:val="22"/>
        </w:rPr>
        <w:t>twenty second</w:t>
      </w:r>
      <w:r w:rsidR="00B37601" w:rsidRPr="007F2DCD">
        <w:rPr>
          <w:sz w:val="22"/>
          <w:szCs w:val="22"/>
        </w:rPr>
        <w:t xml:space="preserve"> </w:t>
      </w:r>
      <w:r w:rsidRPr="007F2DCD">
        <w:rPr>
          <w:sz w:val="22"/>
          <w:szCs w:val="22"/>
        </w:rPr>
        <w:t xml:space="preserve">Annual Report of the Northern Ireland Human Rights Commission.  It shows how the Commission has performed its functions during the </w:t>
      </w:r>
      <w:r w:rsidR="005630C2" w:rsidRPr="007F2DCD">
        <w:rPr>
          <w:sz w:val="22"/>
          <w:szCs w:val="22"/>
        </w:rPr>
        <w:t xml:space="preserve">year </w:t>
      </w:r>
      <w:r w:rsidRPr="007F2DCD">
        <w:rPr>
          <w:sz w:val="22"/>
          <w:szCs w:val="22"/>
        </w:rPr>
        <w:t>1 April 20</w:t>
      </w:r>
      <w:r w:rsidR="00042BB0">
        <w:rPr>
          <w:sz w:val="22"/>
          <w:szCs w:val="22"/>
        </w:rPr>
        <w:t>21 to 31 March 2022</w:t>
      </w:r>
      <w:r w:rsidRPr="007F2DCD">
        <w:rPr>
          <w:sz w:val="22"/>
          <w:szCs w:val="22"/>
        </w:rPr>
        <w:t>.</w:t>
      </w:r>
    </w:p>
    <w:p w14:paraId="0FF8102C" w14:textId="77777777" w:rsidR="0052683A" w:rsidRPr="007F2DCD" w:rsidRDefault="0052683A" w:rsidP="0052683A">
      <w:pPr>
        <w:tabs>
          <w:tab w:val="left" w:pos="0"/>
        </w:tabs>
        <w:rPr>
          <w:sz w:val="22"/>
          <w:szCs w:val="22"/>
        </w:rPr>
      </w:pPr>
    </w:p>
    <w:p w14:paraId="3A911192" w14:textId="4C757D94" w:rsidR="0052683A" w:rsidRDefault="0052683A" w:rsidP="0052683A">
      <w:pPr>
        <w:tabs>
          <w:tab w:val="left" w:pos="0"/>
        </w:tabs>
        <w:rPr>
          <w:sz w:val="22"/>
          <w:szCs w:val="22"/>
        </w:rPr>
      </w:pPr>
      <w:r w:rsidRPr="007F2DCD">
        <w:rPr>
          <w:sz w:val="22"/>
          <w:szCs w:val="22"/>
        </w:rPr>
        <w:t xml:space="preserve">The Annual Report </w:t>
      </w:r>
      <w:r w:rsidR="00BC2E47">
        <w:rPr>
          <w:sz w:val="22"/>
          <w:szCs w:val="22"/>
        </w:rPr>
        <w:t xml:space="preserve">and Accounts </w:t>
      </w:r>
      <w:r w:rsidRPr="007F2DCD">
        <w:rPr>
          <w:sz w:val="22"/>
          <w:szCs w:val="22"/>
        </w:rPr>
        <w:t xml:space="preserve">includes the Commission’s financial statements </w:t>
      </w:r>
      <w:r w:rsidR="001F0440">
        <w:rPr>
          <w:sz w:val="22"/>
          <w:szCs w:val="22"/>
        </w:rPr>
        <w:t>f</w:t>
      </w:r>
      <w:r w:rsidR="00E27D84">
        <w:rPr>
          <w:sz w:val="22"/>
          <w:szCs w:val="22"/>
        </w:rPr>
        <w:t>or the ye</w:t>
      </w:r>
      <w:r w:rsidR="00042BB0">
        <w:rPr>
          <w:sz w:val="22"/>
          <w:szCs w:val="22"/>
        </w:rPr>
        <w:t>ar ending 31 March 2022</w:t>
      </w:r>
      <w:r w:rsidRPr="007F2DCD">
        <w:rPr>
          <w:sz w:val="22"/>
          <w:szCs w:val="22"/>
        </w:rPr>
        <w:t xml:space="preserve">, which have been prepared in accordance with Paragraph 7 of Schedule 7 of the Northern Ireland Act 1998, and which were certified by the Comptroller and Auditor </w:t>
      </w:r>
      <w:r w:rsidR="00D1552B" w:rsidRPr="007F2DCD">
        <w:rPr>
          <w:sz w:val="22"/>
          <w:szCs w:val="22"/>
        </w:rPr>
        <w:t>General</w:t>
      </w:r>
      <w:r w:rsidR="00671DA5">
        <w:rPr>
          <w:sz w:val="22"/>
          <w:szCs w:val="22"/>
        </w:rPr>
        <w:t xml:space="preserve"> on 10 October 2022</w:t>
      </w:r>
      <w:r w:rsidR="00D1552B">
        <w:rPr>
          <w:sz w:val="22"/>
          <w:szCs w:val="22"/>
        </w:rPr>
        <w:t>.</w:t>
      </w:r>
    </w:p>
    <w:p w14:paraId="6A5BE09C" w14:textId="77777777" w:rsidR="00E029FF" w:rsidRPr="007F2DCD" w:rsidRDefault="00E029FF" w:rsidP="0052683A">
      <w:pPr>
        <w:tabs>
          <w:tab w:val="left" w:pos="0"/>
        </w:tabs>
        <w:rPr>
          <w:sz w:val="22"/>
          <w:szCs w:val="22"/>
        </w:rPr>
      </w:pPr>
    </w:p>
    <w:p w14:paraId="61C4A0F4" w14:textId="77777777" w:rsidR="0052683A" w:rsidRPr="007F2DCD" w:rsidRDefault="0052683A" w:rsidP="0052683A">
      <w:pPr>
        <w:tabs>
          <w:tab w:val="left" w:pos="0"/>
        </w:tabs>
        <w:rPr>
          <w:sz w:val="22"/>
          <w:szCs w:val="22"/>
        </w:rPr>
      </w:pPr>
      <w:r w:rsidRPr="007F2DCD">
        <w:rPr>
          <w:sz w:val="22"/>
          <w:szCs w:val="22"/>
        </w:rPr>
        <w:t>Yours sincerely</w:t>
      </w:r>
    </w:p>
    <w:p w14:paraId="4F5F9A24" w14:textId="77777777" w:rsidR="0052683A" w:rsidRPr="007F2DCD" w:rsidRDefault="0052683A" w:rsidP="0052683A">
      <w:pPr>
        <w:tabs>
          <w:tab w:val="left" w:pos="0"/>
        </w:tabs>
        <w:rPr>
          <w:sz w:val="22"/>
          <w:szCs w:val="22"/>
        </w:rPr>
      </w:pPr>
    </w:p>
    <w:p w14:paraId="21A92754" w14:textId="77777777" w:rsidR="0052683A" w:rsidRDefault="0052683A" w:rsidP="0052683A">
      <w:pPr>
        <w:tabs>
          <w:tab w:val="left" w:pos="0"/>
        </w:tabs>
        <w:rPr>
          <w:noProof/>
          <w:lang w:eastAsia="en-GB"/>
        </w:rPr>
      </w:pPr>
    </w:p>
    <w:p w14:paraId="71568998" w14:textId="77777777" w:rsidR="00283CC4" w:rsidRDefault="00283CC4" w:rsidP="0052683A">
      <w:pPr>
        <w:tabs>
          <w:tab w:val="left" w:pos="0"/>
        </w:tabs>
        <w:rPr>
          <w:noProof/>
          <w:lang w:eastAsia="en-GB"/>
        </w:rPr>
      </w:pPr>
    </w:p>
    <w:p w14:paraId="1FE98262" w14:textId="77777777" w:rsidR="00283CC4" w:rsidRDefault="00283CC4" w:rsidP="0052683A">
      <w:pPr>
        <w:tabs>
          <w:tab w:val="left" w:pos="0"/>
        </w:tabs>
        <w:rPr>
          <w:noProof/>
          <w:lang w:eastAsia="en-GB"/>
        </w:rPr>
      </w:pPr>
    </w:p>
    <w:p w14:paraId="5C3BAE4F" w14:textId="77777777" w:rsidR="00283CC4" w:rsidRPr="007F2DCD" w:rsidRDefault="00283CC4" w:rsidP="0052683A">
      <w:pPr>
        <w:tabs>
          <w:tab w:val="left" w:pos="0"/>
        </w:tabs>
        <w:rPr>
          <w:sz w:val="22"/>
          <w:szCs w:val="22"/>
        </w:rPr>
      </w:pPr>
    </w:p>
    <w:p w14:paraId="789AFC30" w14:textId="77777777" w:rsidR="00D92D7A" w:rsidRPr="007F2DCD" w:rsidRDefault="00D92D7A" w:rsidP="0052683A">
      <w:pPr>
        <w:tabs>
          <w:tab w:val="left" w:pos="0"/>
        </w:tabs>
        <w:rPr>
          <w:sz w:val="22"/>
          <w:szCs w:val="22"/>
        </w:rPr>
      </w:pPr>
    </w:p>
    <w:p w14:paraId="6CC9C86D" w14:textId="77777777" w:rsidR="0052683A" w:rsidRPr="007F2DCD" w:rsidRDefault="00042BB0" w:rsidP="0052683A">
      <w:pPr>
        <w:tabs>
          <w:tab w:val="left" w:pos="0"/>
        </w:tabs>
        <w:rPr>
          <w:b/>
          <w:sz w:val="22"/>
          <w:szCs w:val="22"/>
        </w:rPr>
      </w:pPr>
      <w:r>
        <w:rPr>
          <w:b/>
          <w:sz w:val="22"/>
          <w:szCs w:val="22"/>
        </w:rPr>
        <w:t>Alyson Kilpatrick</w:t>
      </w:r>
    </w:p>
    <w:p w14:paraId="141AFBB4" w14:textId="77777777" w:rsidR="009A6DE3" w:rsidRPr="007F2DCD" w:rsidRDefault="009A6DE3" w:rsidP="0052683A">
      <w:pPr>
        <w:rPr>
          <w:b/>
          <w:sz w:val="22"/>
          <w:szCs w:val="22"/>
        </w:rPr>
      </w:pPr>
      <w:r w:rsidRPr="007F2DCD">
        <w:rPr>
          <w:b/>
          <w:sz w:val="22"/>
          <w:szCs w:val="22"/>
        </w:rPr>
        <w:t>Chief Commissioner</w:t>
      </w:r>
    </w:p>
    <w:p w14:paraId="6A36F6D7" w14:textId="77777777" w:rsidR="009A6DE3" w:rsidRPr="007F2DCD" w:rsidRDefault="009A6DE3" w:rsidP="0052683A">
      <w:pPr>
        <w:rPr>
          <w:b/>
          <w:sz w:val="22"/>
          <w:szCs w:val="22"/>
        </w:rPr>
      </w:pPr>
    </w:p>
    <w:p w14:paraId="59A876C3" w14:textId="77777777" w:rsidR="009A6DE3" w:rsidRPr="007F2DCD" w:rsidRDefault="009A6DE3" w:rsidP="0052683A">
      <w:pPr>
        <w:rPr>
          <w:b/>
          <w:sz w:val="22"/>
          <w:szCs w:val="22"/>
        </w:rPr>
      </w:pPr>
    </w:p>
    <w:p w14:paraId="2EE0FCD2" w14:textId="77777777" w:rsidR="009A6DE3" w:rsidRPr="007F2DCD" w:rsidRDefault="009A6DE3" w:rsidP="0052683A">
      <w:pPr>
        <w:rPr>
          <w:b/>
          <w:sz w:val="22"/>
          <w:szCs w:val="22"/>
        </w:rPr>
      </w:pPr>
    </w:p>
    <w:p w14:paraId="084FBFF0" w14:textId="77777777" w:rsidR="009A6DE3" w:rsidRPr="007F2DCD" w:rsidRDefault="009A6DE3" w:rsidP="0052683A">
      <w:pPr>
        <w:rPr>
          <w:b/>
          <w:sz w:val="22"/>
          <w:szCs w:val="22"/>
        </w:rPr>
      </w:pPr>
    </w:p>
    <w:p w14:paraId="7682FDC7" w14:textId="77777777" w:rsidR="009A6DE3" w:rsidRPr="007F2DCD" w:rsidRDefault="009A6DE3" w:rsidP="0052683A">
      <w:pPr>
        <w:rPr>
          <w:b/>
          <w:sz w:val="22"/>
          <w:szCs w:val="22"/>
        </w:rPr>
      </w:pPr>
    </w:p>
    <w:p w14:paraId="1A4E9FD9" w14:textId="77777777" w:rsidR="009A6DE3" w:rsidRDefault="009A6DE3" w:rsidP="0052683A">
      <w:pPr>
        <w:rPr>
          <w:b/>
          <w:sz w:val="22"/>
          <w:szCs w:val="22"/>
        </w:rPr>
      </w:pPr>
    </w:p>
    <w:p w14:paraId="555718AE" w14:textId="77777777" w:rsidR="00C30D95" w:rsidRPr="007F2DCD" w:rsidRDefault="00C30D95" w:rsidP="0052683A">
      <w:pPr>
        <w:rPr>
          <w:b/>
          <w:sz w:val="22"/>
          <w:szCs w:val="22"/>
        </w:rPr>
      </w:pPr>
    </w:p>
    <w:p w14:paraId="095AA4AE" w14:textId="77777777" w:rsidR="009A6DE3" w:rsidRPr="007F2DCD" w:rsidRDefault="009A6DE3" w:rsidP="0052683A">
      <w:pPr>
        <w:rPr>
          <w:b/>
          <w:sz w:val="22"/>
          <w:szCs w:val="22"/>
        </w:rPr>
      </w:pPr>
    </w:p>
    <w:p w14:paraId="756C560A" w14:textId="77777777" w:rsidR="009A6DE3" w:rsidRPr="007F2DCD" w:rsidRDefault="009A6DE3" w:rsidP="0052683A">
      <w:pPr>
        <w:rPr>
          <w:b/>
          <w:sz w:val="22"/>
          <w:szCs w:val="22"/>
        </w:rPr>
      </w:pPr>
    </w:p>
    <w:p w14:paraId="582DABA0" w14:textId="77777777" w:rsidR="009D1493" w:rsidRPr="007F2DCD" w:rsidRDefault="009D1493" w:rsidP="0052683A">
      <w:pPr>
        <w:rPr>
          <w:sz w:val="22"/>
          <w:szCs w:val="22"/>
        </w:rPr>
      </w:pPr>
    </w:p>
    <w:p w14:paraId="6B1E0BD7" w14:textId="77777777" w:rsidR="009D1493" w:rsidRPr="007F2DCD" w:rsidRDefault="009D1493" w:rsidP="0052683A">
      <w:pPr>
        <w:rPr>
          <w:sz w:val="22"/>
          <w:szCs w:val="22"/>
        </w:rPr>
      </w:pPr>
    </w:p>
    <w:p w14:paraId="7AB91476" w14:textId="77777777" w:rsidR="009D1493" w:rsidRPr="007F2DCD" w:rsidRDefault="009D1493" w:rsidP="0052683A">
      <w:pPr>
        <w:rPr>
          <w:sz w:val="22"/>
          <w:szCs w:val="22"/>
        </w:rPr>
      </w:pPr>
    </w:p>
    <w:p w14:paraId="2952FFA9" w14:textId="77777777" w:rsidR="009D1493" w:rsidRPr="007F2DCD" w:rsidRDefault="009D1493" w:rsidP="0052683A">
      <w:pPr>
        <w:rPr>
          <w:sz w:val="22"/>
          <w:szCs w:val="22"/>
        </w:rPr>
      </w:pPr>
    </w:p>
    <w:p w14:paraId="7026B58E" w14:textId="77777777" w:rsidR="009D1493" w:rsidRPr="007F2DCD" w:rsidRDefault="009D1493" w:rsidP="0052683A">
      <w:pPr>
        <w:rPr>
          <w:sz w:val="22"/>
          <w:szCs w:val="22"/>
        </w:rPr>
      </w:pPr>
    </w:p>
    <w:p w14:paraId="18100D83" w14:textId="77777777" w:rsidR="009D1493" w:rsidRPr="007F2DCD" w:rsidRDefault="009D1493" w:rsidP="0052683A">
      <w:pPr>
        <w:rPr>
          <w:sz w:val="22"/>
          <w:szCs w:val="22"/>
        </w:rPr>
      </w:pPr>
    </w:p>
    <w:p w14:paraId="3AE3170F" w14:textId="77777777" w:rsidR="009D1493" w:rsidRPr="007F2DCD" w:rsidRDefault="009D1493" w:rsidP="0052683A">
      <w:pPr>
        <w:rPr>
          <w:sz w:val="22"/>
          <w:szCs w:val="22"/>
        </w:rPr>
      </w:pPr>
    </w:p>
    <w:p w14:paraId="34F86454" w14:textId="77777777" w:rsidR="009D1493" w:rsidRPr="007F2DCD" w:rsidRDefault="009D1493" w:rsidP="0052683A">
      <w:pPr>
        <w:rPr>
          <w:sz w:val="22"/>
          <w:szCs w:val="22"/>
        </w:rPr>
        <w:sectPr w:rsidR="009D1493" w:rsidRPr="007F2DCD" w:rsidSect="006A739C">
          <w:headerReference w:type="default" r:id="rId15"/>
          <w:footerReference w:type="even" r:id="rId16"/>
          <w:footerReference w:type="default" r:id="rId17"/>
          <w:pgSz w:w="11907" w:h="16840" w:code="9"/>
          <w:pgMar w:top="1418" w:right="1418" w:bottom="851" w:left="1418" w:header="709" w:footer="709" w:gutter="0"/>
          <w:pgNumType w:start="0"/>
          <w:cols w:space="708"/>
          <w:titlePg/>
          <w:docGrid w:linePitch="360"/>
        </w:sectPr>
      </w:pPr>
      <w:bookmarkStart w:id="1" w:name="_Hlk104795679"/>
    </w:p>
    <w:p w14:paraId="382DC81A" w14:textId="77777777" w:rsidR="0052683A" w:rsidRPr="005049F6" w:rsidRDefault="0045027A" w:rsidP="005049F6">
      <w:pPr>
        <w:jc w:val="center"/>
        <w:rPr>
          <w:b/>
          <w:sz w:val="28"/>
          <w:szCs w:val="28"/>
        </w:rPr>
      </w:pPr>
      <w:r w:rsidRPr="0045027A">
        <w:rPr>
          <w:rFonts w:cs="Arial"/>
          <w:b/>
          <w:color w:val="77328A"/>
          <w:sz w:val="36"/>
          <w:szCs w:val="36"/>
        </w:rPr>
        <w:t xml:space="preserve"> </w:t>
      </w:r>
      <w:r w:rsidRPr="003B7D0E">
        <w:rPr>
          <w:rFonts w:cs="Arial"/>
          <w:b/>
          <w:color w:val="77328A"/>
          <w:sz w:val="36"/>
          <w:szCs w:val="36"/>
        </w:rPr>
        <w:t>Contents</w:t>
      </w:r>
      <w:r>
        <w:rPr>
          <w:rStyle w:val="CommentReference"/>
        </w:rPr>
        <w:t xml:space="preserve"> </w:t>
      </w:r>
    </w:p>
    <w:p w14:paraId="4F626243" w14:textId="77777777" w:rsidR="0052683A" w:rsidRPr="007F2DCD" w:rsidRDefault="0052683A" w:rsidP="0052683A">
      <w:pPr>
        <w:rPr>
          <w:sz w:val="22"/>
          <w:szCs w:val="22"/>
        </w:rPr>
      </w:pPr>
    </w:p>
    <w:p w14:paraId="0C6095DC" w14:textId="77777777" w:rsidR="0052683A" w:rsidRPr="007F2DCD" w:rsidRDefault="0052683A" w:rsidP="009D1493">
      <w:pPr>
        <w:rPr>
          <w:b/>
          <w:sz w:val="22"/>
          <w:szCs w:val="22"/>
        </w:rPr>
      </w:pPr>
    </w:p>
    <w:p w14:paraId="7061D383" w14:textId="77777777" w:rsidR="009D1493" w:rsidRPr="007F2DCD" w:rsidRDefault="009D1493" w:rsidP="009D1493">
      <w:pPr>
        <w:tabs>
          <w:tab w:val="right" w:pos="8820"/>
        </w:tabs>
        <w:ind w:right="113"/>
        <w:jc w:val="right"/>
        <w:rPr>
          <w:b/>
          <w:sz w:val="22"/>
          <w:szCs w:val="22"/>
        </w:rPr>
      </w:pPr>
      <w:r w:rsidRPr="007F2DCD">
        <w:rPr>
          <w:b/>
          <w:sz w:val="22"/>
          <w:szCs w:val="22"/>
        </w:rPr>
        <w:t>Page</w:t>
      </w:r>
    </w:p>
    <w:p w14:paraId="73FC4A70" w14:textId="77777777" w:rsidR="009D1493" w:rsidRPr="009C7EA6" w:rsidRDefault="009D1493" w:rsidP="009D1493">
      <w:pPr>
        <w:tabs>
          <w:tab w:val="right" w:pos="8820"/>
        </w:tabs>
        <w:ind w:right="113"/>
        <w:jc w:val="right"/>
        <w:rPr>
          <w:b/>
          <w:color w:val="auto"/>
          <w:sz w:val="22"/>
          <w:szCs w:val="22"/>
        </w:rPr>
      </w:pPr>
    </w:p>
    <w:p w14:paraId="30C0A2A6" w14:textId="1CE33D19" w:rsidR="0052683A" w:rsidRPr="009C7EA6" w:rsidRDefault="00806377" w:rsidP="009D1493">
      <w:pPr>
        <w:tabs>
          <w:tab w:val="right" w:pos="8820"/>
        </w:tabs>
        <w:rPr>
          <w:color w:val="auto"/>
          <w:sz w:val="22"/>
          <w:szCs w:val="22"/>
        </w:rPr>
      </w:pPr>
      <w:hyperlink w:anchor="PerformanceReport" w:history="1">
        <w:r w:rsidR="00521220" w:rsidRPr="009C7EA6">
          <w:rPr>
            <w:rStyle w:val="Hyperlink"/>
            <w:b/>
            <w:color w:val="auto"/>
            <w:sz w:val="22"/>
            <w:szCs w:val="22"/>
          </w:rPr>
          <w:t>Performance Report</w:t>
        </w:r>
      </w:hyperlink>
      <w:r w:rsidR="009D1493" w:rsidRPr="009C7EA6">
        <w:rPr>
          <w:color w:val="auto"/>
          <w:sz w:val="22"/>
          <w:szCs w:val="22"/>
        </w:rPr>
        <w:tab/>
      </w:r>
      <w:r w:rsidR="00612DE1">
        <w:rPr>
          <w:color w:val="auto"/>
          <w:sz w:val="22"/>
          <w:szCs w:val="22"/>
        </w:rPr>
        <w:t>8</w:t>
      </w:r>
    </w:p>
    <w:p w14:paraId="692C8CCC" w14:textId="77777777" w:rsidR="0052683A" w:rsidRPr="009C7EA6" w:rsidRDefault="0052683A" w:rsidP="009D1493">
      <w:pPr>
        <w:tabs>
          <w:tab w:val="right" w:pos="8820"/>
        </w:tabs>
        <w:rPr>
          <w:color w:val="auto"/>
          <w:sz w:val="22"/>
          <w:szCs w:val="22"/>
        </w:rPr>
      </w:pPr>
    </w:p>
    <w:p w14:paraId="6D226DC9" w14:textId="59F3C6A8" w:rsidR="00521220" w:rsidRPr="009C7EA6" w:rsidRDefault="00806377" w:rsidP="00310B25">
      <w:pPr>
        <w:pStyle w:val="ListParagraph"/>
        <w:numPr>
          <w:ilvl w:val="0"/>
          <w:numId w:val="10"/>
        </w:numPr>
        <w:tabs>
          <w:tab w:val="right" w:pos="8820"/>
        </w:tabs>
        <w:rPr>
          <w:color w:val="auto"/>
          <w:sz w:val="22"/>
          <w:szCs w:val="22"/>
        </w:rPr>
      </w:pPr>
      <w:hyperlink w:anchor="Overview" w:history="1">
        <w:r w:rsidR="00521220" w:rsidRPr="009C7EA6">
          <w:rPr>
            <w:rStyle w:val="Hyperlink"/>
            <w:b/>
            <w:color w:val="auto"/>
            <w:sz w:val="22"/>
            <w:szCs w:val="22"/>
            <w:u w:val="none"/>
          </w:rPr>
          <w:t>Overview</w:t>
        </w:r>
      </w:hyperlink>
      <w:r w:rsidR="00285993" w:rsidRPr="009C7EA6">
        <w:rPr>
          <w:color w:val="auto"/>
          <w:sz w:val="22"/>
          <w:szCs w:val="22"/>
        </w:rPr>
        <w:tab/>
      </w:r>
      <w:r w:rsidR="00612DE1">
        <w:rPr>
          <w:color w:val="auto"/>
          <w:sz w:val="22"/>
          <w:szCs w:val="22"/>
        </w:rPr>
        <w:t>8</w:t>
      </w:r>
    </w:p>
    <w:p w14:paraId="5CDAA5A3" w14:textId="7508CC0C" w:rsidR="0052683A" w:rsidRPr="0045027A" w:rsidRDefault="00806377" w:rsidP="00310B25">
      <w:pPr>
        <w:pStyle w:val="ListParagraph"/>
        <w:numPr>
          <w:ilvl w:val="1"/>
          <w:numId w:val="8"/>
        </w:numPr>
        <w:tabs>
          <w:tab w:val="right" w:pos="8820"/>
        </w:tabs>
        <w:rPr>
          <w:color w:val="auto"/>
          <w:sz w:val="20"/>
          <w:szCs w:val="20"/>
        </w:rPr>
      </w:pPr>
      <w:hyperlink w:anchor="ChiefCommissionersForeword" w:history="1">
        <w:r w:rsidR="00521220" w:rsidRPr="0045027A">
          <w:rPr>
            <w:rStyle w:val="Hyperlink"/>
            <w:color w:val="auto"/>
            <w:sz w:val="20"/>
            <w:szCs w:val="20"/>
            <w:u w:val="none"/>
          </w:rPr>
          <w:t>Chief Commissioner’s Foreword</w:t>
        </w:r>
      </w:hyperlink>
      <w:r w:rsidR="0052683A" w:rsidRPr="0045027A">
        <w:rPr>
          <w:color w:val="auto"/>
          <w:sz w:val="20"/>
          <w:szCs w:val="20"/>
        </w:rPr>
        <w:tab/>
      </w:r>
      <w:r w:rsidR="00612DE1">
        <w:rPr>
          <w:color w:val="auto"/>
          <w:sz w:val="20"/>
          <w:szCs w:val="20"/>
        </w:rPr>
        <w:t>8</w:t>
      </w:r>
    </w:p>
    <w:p w14:paraId="4B115487" w14:textId="2299A2C7" w:rsidR="00521220" w:rsidRPr="0045027A" w:rsidRDefault="00806377" w:rsidP="00310B25">
      <w:pPr>
        <w:pStyle w:val="ListParagraph"/>
        <w:numPr>
          <w:ilvl w:val="1"/>
          <w:numId w:val="8"/>
        </w:numPr>
        <w:tabs>
          <w:tab w:val="right" w:pos="8820"/>
        </w:tabs>
        <w:rPr>
          <w:color w:val="auto"/>
          <w:sz w:val="20"/>
          <w:szCs w:val="20"/>
        </w:rPr>
      </w:pPr>
      <w:hyperlink w:anchor="StatementofPurposeandActivities" w:history="1">
        <w:r w:rsidR="00521220" w:rsidRPr="0045027A">
          <w:rPr>
            <w:rStyle w:val="Hyperlink"/>
            <w:color w:val="auto"/>
            <w:sz w:val="20"/>
            <w:szCs w:val="20"/>
            <w:u w:val="none"/>
          </w:rPr>
          <w:t xml:space="preserve">Statement of Purpose and </w:t>
        </w:r>
        <w:r w:rsidR="0034603D" w:rsidRPr="0045027A">
          <w:rPr>
            <w:rStyle w:val="Hyperlink"/>
            <w:color w:val="auto"/>
            <w:sz w:val="20"/>
            <w:szCs w:val="20"/>
            <w:u w:val="none"/>
          </w:rPr>
          <w:t>A</w:t>
        </w:r>
        <w:r w:rsidR="00285993" w:rsidRPr="0045027A">
          <w:rPr>
            <w:rStyle w:val="Hyperlink"/>
            <w:color w:val="auto"/>
            <w:sz w:val="20"/>
            <w:szCs w:val="20"/>
            <w:u w:val="none"/>
          </w:rPr>
          <w:t>ctivities of the Organisation</w:t>
        </w:r>
      </w:hyperlink>
      <w:r w:rsidR="00285993" w:rsidRPr="0045027A">
        <w:rPr>
          <w:color w:val="auto"/>
          <w:sz w:val="20"/>
          <w:szCs w:val="20"/>
        </w:rPr>
        <w:tab/>
      </w:r>
      <w:r w:rsidR="00612DE1">
        <w:rPr>
          <w:color w:val="auto"/>
          <w:sz w:val="20"/>
          <w:szCs w:val="20"/>
        </w:rPr>
        <w:t>10</w:t>
      </w:r>
    </w:p>
    <w:p w14:paraId="72E4919C" w14:textId="75B85F9D" w:rsidR="005B063F" w:rsidRPr="009C7EA6" w:rsidRDefault="00806377" w:rsidP="00310B25">
      <w:pPr>
        <w:pStyle w:val="ListParagraph"/>
        <w:numPr>
          <w:ilvl w:val="1"/>
          <w:numId w:val="8"/>
        </w:numPr>
        <w:tabs>
          <w:tab w:val="right" w:pos="8820"/>
        </w:tabs>
        <w:rPr>
          <w:color w:val="auto"/>
          <w:sz w:val="22"/>
          <w:szCs w:val="22"/>
        </w:rPr>
      </w:pPr>
      <w:hyperlink w:anchor="KeyRisks" w:history="1">
        <w:r w:rsidR="005B063F" w:rsidRPr="0045027A">
          <w:rPr>
            <w:rStyle w:val="Hyperlink"/>
            <w:color w:val="auto"/>
            <w:sz w:val="20"/>
            <w:szCs w:val="20"/>
            <w:u w:val="none"/>
          </w:rPr>
          <w:t>Key Risks facing the Northern I</w:t>
        </w:r>
        <w:r w:rsidR="0034603D" w:rsidRPr="0045027A">
          <w:rPr>
            <w:rStyle w:val="Hyperlink"/>
            <w:color w:val="auto"/>
            <w:sz w:val="20"/>
            <w:szCs w:val="20"/>
            <w:u w:val="none"/>
          </w:rPr>
          <w:t>re</w:t>
        </w:r>
        <w:r w:rsidR="00FC1AFF" w:rsidRPr="0045027A">
          <w:rPr>
            <w:rStyle w:val="Hyperlink"/>
            <w:color w:val="auto"/>
            <w:sz w:val="20"/>
            <w:szCs w:val="20"/>
            <w:u w:val="none"/>
          </w:rPr>
          <w:t xml:space="preserve">land Human Rights </w:t>
        </w:r>
        <w:r w:rsidR="002C647F">
          <w:rPr>
            <w:rStyle w:val="Hyperlink"/>
            <w:color w:val="auto"/>
            <w:sz w:val="20"/>
            <w:szCs w:val="20"/>
            <w:u w:val="none"/>
          </w:rPr>
          <w:tab/>
          <w:t>19</w:t>
        </w:r>
        <w:r w:rsidR="00FC1AFF" w:rsidRPr="0045027A">
          <w:rPr>
            <w:rStyle w:val="Hyperlink"/>
            <w:color w:val="auto"/>
            <w:sz w:val="20"/>
            <w:szCs w:val="20"/>
            <w:u w:val="none"/>
          </w:rPr>
          <w:br/>
          <w:t>Commission</w:t>
        </w:r>
      </w:hyperlink>
      <w:r w:rsidR="000651D3">
        <w:rPr>
          <w:color w:val="auto"/>
          <w:sz w:val="22"/>
          <w:szCs w:val="22"/>
        </w:rPr>
        <w:tab/>
      </w:r>
    </w:p>
    <w:p w14:paraId="45B31451" w14:textId="77777777" w:rsidR="00521220" w:rsidRPr="009C7EA6" w:rsidRDefault="00521220" w:rsidP="00521220">
      <w:pPr>
        <w:tabs>
          <w:tab w:val="right" w:pos="8820"/>
        </w:tabs>
        <w:rPr>
          <w:color w:val="auto"/>
          <w:sz w:val="22"/>
          <w:szCs w:val="22"/>
        </w:rPr>
      </w:pPr>
    </w:p>
    <w:p w14:paraId="021F5101" w14:textId="79DE27A4" w:rsidR="00521220" w:rsidRPr="009C7EA6" w:rsidRDefault="00806377" w:rsidP="00310B25">
      <w:pPr>
        <w:pStyle w:val="ListParagraph"/>
        <w:numPr>
          <w:ilvl w:val="0"/>
          <w:numId w:val="8"/>
        </w:numPr>
        <w:tabs>
          <w:tab w:val="right" w:pos="8820"/>
        </w:tabs>
        <w:rPr>
          <w:color w:val="auto"/>
          <w:sz w:val="22"/>
          <w:szCs w:val="22"/>
        </w:rPr>
      </w:pPr>
      <w:hyperlink w:anchor="PerformanceAnalysis" w:history="1">
        <w:r w:rsidR="00521220" w:rsidRPr="009C7EA6">
          <w:rPr>
            <w:rStyle w:val="Hyperlink"/>
            <w:b/>
            <w:color w:val="auto"/>
            <w:sz w:val="22"/>
            <w:szCs w:val="22"/>
            <w:u w:val="none"/>
          </w:rPr>
          <w:t>Performance Analysis</w:t>
        </w:r>
      </w:hyperlink>
      <w:r w:rsidR="00285993" w:rsidRPr="009C7EA6">
        <w:rPr>
          <w:color w:val="auto"/>
          <w:sz w:val="22"/>
          <w:szCs w:val="22"/>
        </w:rPr>
        <w:tab/>
      </w:r>
      <w:r w:rsidR="00C95126">
        <w:rPr>
          <w:color w:val="auto"/>
          <w:sz w:val="22"/>
          <w:szCs w:val="22"/>
        </w:rPr>
        <w:t>21</w:t>
      </w:r>
    </w:p>
    <w:p w14:paraId="06734438" w14:textId="77777777" w:rsidR="00521220" w:rsidRPr="009C7EA6" w:rsidRDefault="00521220" w:rsidP="00521220">
      <w:pPr>
        <w:tabs>
          <w:tab w:val="right" w:pos="8820"/>
        </w:tabs>
        <w:rPr>
          <w:color w:val="auto"/>
          <w:sz w:val="22"/>
          <w:szCs w:val="22"/>
        </w:rPr>
      </w:pPr>
    </w:p>
    <w:p w14:paraId="0F0CDC4F" w14:textId="336BAEEE" w:rsidR="00521220" w:rsidRPr="009C7EA6" w:rsidRDefault="00806377" w:rsidP="00521220">
      <w:pPr>
        <w:tabs>
          <w:tab w:val="right" w:pos="8820"/>
        </w:tabs>
        <w:rPr>
          <w:color w:val="auto"/>
          <w:sz w:val="22"/>
          <w:szCs w:val="22"/>
        </w:rPr>
      </w:pPr>
      <w:hyperlink w:anchor="AccountabilityReport" w:history="1">
        <w:r w:rsidR="00521220" w:rsidRPr="009C7EA6">
          <w:rPr>
            <w:rStyle w:val="Hyperlink"/>
            <w:b/>
            <w:color w:val="auto"/>
            <w:sz w:val="22"/>
            <w:szCs w:val="22"/>
          </w:rPr>
          <w:t>Accountability Report</w:t>
        </w:r>
      </w:hyperlink>
      <w:r w:rsidR="00285993" w:rsidRPr="009C7EA6">
        <w:rPr>
          <w:color w:val="auto"/>
          <w:sz w:val="22"/>
          <w:szCs w:val="22"/>
        </w:rPr>
        <w:tab/>
      </w:r>
      <w:r w:rsidR="00C95126">
        <w:rPr>
          <w:color w:val="auto"/>
          <w:sz w:val="22"/>
          <w:szCs w:val="22"/>
        </w:rPr>
        <w:t>22</w:t>
      </w:r>
    </w:p>
    <w:p w14:paraId="7B6C8380" w14:textId="77777777" w:rsidR="00521220" w:rsidRPr="009C7EA6" w:rsidRDefault="00521220" w:rsidP="00521220">
      <w:pPr>
        <w:tabs>
          <w:tab w:val="right" w:pos="8820"/>
        </w:tabs>
        <w:rPr>
          <w:color w:val="auto"/>
          <w:sz w:val="22"/>
          <w:szCs w:val="22"/>
        </w:rPr>
      </w:pPr>
    </w:p>
    <w:p w14:paraId="0CFDBB07" w14:textId="28E0A313" w:rsidR="00521220" w:rsidRPr="009C7EA6" w:rsidRDefault="00806377" w:rsidP="00310B25">
      <w:pPr>
        <w:pStyle w:val="ListParagraph"/>
        <w:numPr>
          <w:ilvl w:val="0"/>
          <w:numId w:val="9"/>
        </w:numPr>
        <w:tabs>
          <w:tab w:val="right" w:pos="8820"/>
        </w:tabs>
        <w:rPr>
          <w:color w:val="auto"/>
          <w:sz w:val="22"/>
          <w:szCs w:val="22"/>
        </w:rPr>
      </w:pPr>
      <w:hyperlink w:anchor="CorporateGovernanceReport" w:history="1">
        <w:r w:rsidR="00521220" w:rsidRPr="009C7EA6">
          <w:rPr>
            <w:rStyle w:val="Hyperlink"/>
            <w:b/>
            <w:color w:val="auto"/>
            <w:sz w:val="22"/>
            <w:szCs w:val="22"/>
            <w:u w:val="none"/>
          </w:rPr>
          <w:t>Corporate Governance Report</w:t>
        </w:r>
      </w:hyperlink>
      <w:r w:rsidR="00285993" w:rsidRPr="009C7EA6">
        <w:rPr>
          <w:color w:val="auto"/>
          <w:sz w:val="22"/>
          <w:szCs w:val="22"/>
        </w:rPr>
        <w:tab/>
      </w:r>
      <w:r w:rsidR="00C95126">
        <w:rPr>
          <w:color w:val="auto"/>
          <w:sz w:val="22"/>
          <w:szCs w:val="22"/>
        </w:rPr>
        <w:t>22</w:t>
      </w:r>
    </w:p>
    <w:p w14:paraId="7CFCBE9A" w14:textId="39929DC0" w:rsidR="00521220" w:rsidRPr="0045027A" w:rsidRDefault="00806377" w:rsidP="00310B25">
      <w:pPr>
        <w:pStyle w:val="ListParagraph"/>
        <w:numPr>
          <w:ilvl w:val="1"/>
          <w:numId w:val="9"/>
        </w:numPr>
        <w:tabs>
          <w:tab w:val="right" w:pos="8820"/>
        </w:tabs>
        <w:rPr>
          <w:color w:val="auto"/>
          <w:sz w:val="20"/>
          <w:szCs w:val="20"/>
        </w:rPr>
      </w:pPr>
      <w:hyperlink w:anchor="DirectorsReport" w:history="1">
        <w:r w:rsidR="00FC1AFF" w:rsidRPr="0045027A">
          <w:rPr>
            <w:rStyle w:val="Hyperlink"/>
            <w:color w:val="auto"/>
            <w:sz w:val="20"/>
            <w:szCs w:val="20"/>
            <w:u w:val="none"/>
          </w:rPr>
          <w:t>Director’s Report</w:t>
        </w:r>
      </w:hyperlink>
      <w:r w:rsidR="00042BB0">
        <w:rPr>
          <w:color w:val="auto"/>
          <w:sz w:val="20"/>
          <w:szCs w:val="20"/>
        </w:rPr>
        <w:tab/>
      </w:r>
      <w:r w:rsidR="00C95126">
        <w:rPr>
          <w:color w:val="auto"/>
          <w:sz w:val="20"/>
          <w:szCs w:val="20"/>
        </w:rPr>
        <w:t>22</w:t>
      </w:r>
    </w:p>
    <w:p w14:paraId="07290998" w14:textId="025D30E8" w:rsidR="00521220" w:rsidRPr="0045027A" w:rsidRDefault="00806377" w:rsidP="00310B25">
      <w:pPr>
        <w:pStyle w:val="ListParagraph"/>
        <w:numPr>
          <w:ilvl w:val="1"/>
          <w:numId w:val="9"/>
        </w:numPr>
        <w:tabs>
          <w:tab w:val="right" w:pos="8820"/>
        </w:tabs>
        <w:rPr>
          <w:color w:val="auto"/>
          <w:sz w:val="20"/>
          <w:szCs w:val="20"/>
        </w:rPr>
      </w:pPr>
      <w:hyperlink w:anchor="StatementofAccountingOfficer" w:history="1">
        <w:r w:rsidR="00521220" w:rsidRPr="0045027A">
          <w:rPr>
            <w:rStyle w:val="Hyperlink"/>
            <w:color w:val="auto"/>
            <w:sz w:val="20"/>
            <w:szCs w:val="20"/>
            <w:u w:val="none"/>
          </w:rPr>
          <w:t>Statement of Account</w:t>
        </w:r>
        <w:r w:rsidR="0034603D" w:rsidRPr="0045027A">
          <w:rPr>
            <w:rStyle w:val="Hyperlink"/>
            <w:color w:val="auto"/>
            <w:sz w:val="20"/>
            <w:szCs w:val="20"/>
            <w:u w:val="none"/>
          </w:rPr>
          <w:t>i</w:t>
        </w:r>
        <w:r w:rsidR="000C2A54" w:rsidRPr="0045027A">
          <w:rPr>
            <w:rStyle w:val="Hyperlink"/>
            <w:color w:val="auto"/>
            <w:sz w:val="20"/>
            <w:szCs w:val="20"/>
            <w:u w:val="none"/>
          </w:rPr>
          <w:t>ng Officer’s Responsibilities</w:t>
        </w:r>
      </w:hyperlink>
      <w:r w:rsidR="00042BB0">
        <w:rPr>
          <w:color w:val="auto"/>
          <w:sz w:val="20"/>
          <w:szCs w:val="20"/>
        </w:rPr>
        <w:tab/>
      </w:r>
      <w:r w:rsidR="00C95126">
        <w:rPr>
          <w:color w:val="auto"/>
          <w:sz w:val="20"/>
          <w:szCs w:val="20"/>
        </w:rPr>
        <w:t>26</w:t>
      </w:r>
    </w:p>
    <w:p w14:paraId="4C61B235" w14:textId="2932AC7E" w:rsidR="00521220" w:rsidRPr="008C73A2" w:rsidRDefault="00806377" w:rsidP="00310B25">
      <w:pPr>
        <w:pStyle w:val="ListParagraph"/>
        <w:numPr>
          <w:ilvl w:val="1"/>
          <w:numId w:val="9"/>
        </w:numPr>
        <w:tabs>
          <w:tab w:val="right" w:pos="8820"/>
        </w:tabs>
        <w:rPr>
          <w:color w:val="auto"/>
          <w:sz w:val="20"/>
          <w:szCs w:val="20"/>
        </w:rPr>
      </w:pPr>
      <w:hyperlink w:anchor="GovernanceStatement" w:history="1">
        <w:r w:rsidR="00521220" w:rsidRPr="0045027A">
          <w:rPr>
            <w:rStyle w:val="Hyperlink"/>
            <w:color w:val="auto"/>
            <w:sz w:val="20"/>
            <w:szCs w:val="20"/>
            <w:u w:val="none"/>
          </w:rPr>
          <w:t>Gove</w:t>
        </w:r>
        <w:r w:rsidR="00FC1AFF" w:rsidRPr="0045027A">
          <w:rPr>
            <w:rStyle w:val="Hyperlink"/>
            <w:color w:val="auto"/>
            <w:sz w:val="20"/>
            <w:szCs w:val="20"/>
            <w:u w:val="none"/>
          </w:rPr>
          <w:t>rnance Statement</w:t>
        </w:r>
      </w:hyperlink>
      <w:r w:rsidR="000651D3">
        <w:rPr>
          <w:color w:val="auto"/>
          <w:sz w:val="22"/>
          <w:szCs w:val="22"/>
        </w:rPr>
        <w:tab/>
      </w:r>
      <w:r w:rsidR="00C95126">
        <w:rPr>
          <w:color w:val="auto"/>
          <w:sz w:val="20"/>
          <w:szCs w:val="20"/>
        </w:rPr>
        <w:t>27</w:t>
      </w:r>
    </w:p>
    <w:p w14:paraId="5AFE789D" w14:textId="77777777" w:rsidR="00521220" w:rsidRPr="009C7EA6" w:rsidRDefault="00521220" w:rsidP="00521220">
      <w:pPr>
        <w:tabs>
          <w:tab w:val="right" w:pos="8820"/>
        </w:tabs>
        <w:rPr>
          <w:color w:val="auto"/>
          <w:sz w:val="22"/>
          <w:szCs w:val="22"/>
        </w:rPr>
      </w:pPr>
    </w:p>
    <w:p w14:paraId="6F66054F" w14:textId="470C5CB3" w:rsidR="00521220" w:rsidRPr="009C7EA6" w:rsidRDefault="00806377" w:rsidP="00310B25">
      <w:pPr>
        <w:pStyle w:val="ListParagraph"/>
        <w:numPr>
          <w:ilvl w:val="0"/>
          <w:numId w:val="9"/>
        </w:numPr>
        <w:tabs>
          <w:tab w:val="right" w:pos="8820"/>
        </w:tabs>
        <w:rPr>
          <w:color w:val="auto"/>
          <w:sz w:val="22"/>
          <w:szCs w:val="22"/>
        </w:rPr>
      </w:pPr>
      <w:hyperlink w:anchor="RemunerationandStaffReport" w:history="1">
        <w:r w:rsidR="00521220" w:rsidRPr="009C7EA6">
          <w:rPr>
            <w:rStyle w:val="Hyperlink"/>
            <w:b/>
            <w:color w:val="auto"/>
            <w:sz w:val="22"/>
            <w:szCs w:val="22"/>
            <w:u w:val="none"/>
          </w:rPr>
          <w:t>Remuneration and Staff Report</w:t>
        </w:r>
      </w:hyperlink>
      <w:r w:rsidR="00042BB0">
        <w:rPr>
          <w:color w:val="auto"/>
          <w:sz w:val="22"/>
          <w:szCs w:val="22"/>
        </w:rPr>
        <w:tab/>
      </w:r>
      <w:r w:rsidR="00C95126">
        <w:rPr>
          <w:color w:val="auto"/>
          <w:sz w:val="22"/>
          <w:szCs w:val="22"/>
        </w:rPr>
        <w:t>36</w:t>
      </w:r>
    </w:p>
    <w:p w14:paraId="37E6A594" w14:textId="0BD39AF2" w:rsidR="00521220" w:rsidRPr="0045027A" w:rsidRDefault="00806377" w:rsidP="00310B25">
      <w:pPr>
        <w:pStyle w:val="ListParagraph"/>
        <w:numPr>
          <w:ilvl w:val="1"/>
          <w:numId w:val="9"/>
        </w:numPr>
        <w:tabs>
          <w:tab w:val="right" w:pos="8820"/>
        </w:tabs>
        <w:rPr>
          <w:color w:val="auto"/>
          <w:sz w:val="20"/>
          <w:szCs w:val="20"/>
        </w:rPr>
      </w:pPr>
      <w:hyperlink w:anchor="RemunerationPolicy" w:history="1">
        <w:r w:rsidR="00FC1AFF" w:rsidRPr="0045027A">
          <w:rPr>
            <w:rStyle w:val="Hyperlink"/>
            <w:color w:val="auto"/>
            <w:sz w:val="20"/>
            <w:szCs w:val="20"/>
            <w:u w:val="none"/>
          </w:rPr>
          <w:t>Remuneration Policy</w:t>
        </w:r>
      </w:hyperlink>
      <w:r w:rsidR="00042BB0">
        <w:rPr>
          <w:color w:val="auto"/>
          <w:sz w:val="20"/>
          <w:szCs w:val="20"/>
        </w:rPr>
        <w:tab/>
      </w:r>
      <w:r w:rsidR="00C95126">
        <w:rPr>
          <w:color w:val="auto"/>
          <w:sz w:val="20"/>
          <w:szCs w:val="20"/>
        </w:rPr>
        <w:t>36</w:t>
      </w:r>
    </w:p>
    <w:p w14:paraId="266AFE9A" w14:textId="3386742C" w:rsidR="00521220" w:rsidRPr="0045027A" w:rsidRDefault="00806377" w:rsidP="00310B25">
      <w:pPr>
        <w:pStyle w:val="ListParagraph"/>
        <w:numPr>
          <w:ilvl w:val="1"/>
          <w:numId w:val="9"/>
        </w:numPr>
        <w:tabs>
          <w:tab w:val="right" w:pos="8820"/>
        </w:tabs>
        <w:rPr>
          <w:color w:val="auto"/>
          <w:sz w:val="20"/>
          <w:szCs w:val="20"/>
        </w:rPr>
      </w:pPr>
      <w:hyperlink w:anchor="RemunerationandPensionEntitlements" w:history="1">
        <w:r w:rsidR="00521220" w:rsidRPr="0045027A">
          <w:rPr>
            <w:rStyle w:val="Hyperlink"/>
            <w:color w:val="auto"/>
            <w:sz w:val="20"/>
            <w:szCs w:val="20"/>
            <w:u w:val="none"/>
          </w:rPr>
          <w:t>Remunerat</w:t>
        </w:r>
        <w:r w:rsidR="005B063F" w:rsidRPr="0045027A">
          <w:rPr>
            <w:rStyle w:val="Hyperlink"/>
            <w:color w:val="auto"/>
            <w:sz w:val="20"/>
            <w:szCs w:val="20"/>
            <w:u w:val="none"/>
          </w:rPr>
          <w:t>ion and Pension Entitlements</w:t>
        </w:r>
      </w:hyperlink>
      <w:r w:rsidR="00042BB0">
        <w:rPr>
          <w:color w:val="auto"/>
          <w:sz w:val="20"/>
          <w:szCs w:val="20"/>
        </w:rPr>
        <w:tab/>
      </w:r>
      <w:r w:rsidR="00C95126">
        <w:rPr>
          <w:color w:val="auto"/>
          <w:sz w:val="20"/>
          <w:szCs w:val="20"/>
        </w:rPr>
        <w:t>37</w:t>
      </w:r>
    </w:p>
    <w:p w14:paraId="71B619A2" w14:textId="30ECFC66" w:rsidR="001C4D92" w:rsidRPr="009C7EA6" w:rsidRDefault="00806377" w:rsidP="00310B25">
      <w:pPr>
        <w:pStyle w:val="ListParagraph"/>
        <w:numPr>
          <w:ilvl w:val="1"/>
          <w:numId w:val="9"/>
        </w:numPr>
        <w:tabs>
          <w:tab w:val="right" w:pos="8820"/>
        </w:tabs>
        <w:rPr>
          <w:color w:val="auto"/>
          <w:sz w:val="22"/>
          <w:szCs w:val="22"/>
        </w:rPr>
      </w:pPr>
      <w:hyperlink w:anchor="StaffReport" w:history="1">
        <w:r w:rsidR="00FC1AFF" w:rsidRPr="0045027A">
          <w:rPr>
            <w:rStyle w:val="Hyperlink"/>
            <w:color w:val="auto"/>
            <w:sz w:val="20"/>
            <w:szCs w:val="20"/>
            <w:u w:val="none"/>
          </w:rPr>
          <w:t>Staff Report</w:t>
        </w:r>
      </w:hyperlink>
      <w:r w:rsidR="000651D3">
        <w:rPr>
          <w:color w:val="auto"/>
          <w:sz w:val="22"/>
          <w:szCs w:val="22"/>
        </w:rPr>
        <w:tab/>
      </w:r>
      <w:r w:rsidR="00C95126">
        <w:rPr>
          <w:color w:val="auto"/>
          <w:sz w:val="20"/>
          <w:szCs w:val="20"/>
        </w:rPr>
        <w:t>44</w:t>
      </w:r>
    </w:p>
    <w:p w14:paraId="720244D3" w14:textId="77777777" w:rsidR="00521220" w:rsidRPr="009C7EA6" w:rsidRDefault="00521220" w:rsidP="00521220">
      <w:pPr>
        <w:tabs>
          <w:tab w:val="right" w:pos="8820"/>
        </w:tabs>
        <w:rPr>
          <w:color w:val="auto"/>
          <w:sz w:val="22"/>
          <w:szCs w:val="22"/>
        </w:rPr>
      </w:pPr>
    </w:p>
    <w:p w14:paraId="5C173EEC" w14:textId="2ED2B7E9" w:rsidR="00521220" w:rsidRPr="009C7EA6" w:rsidRDefault="00806377" w:rsidP="00310B25">
      <w:pPr>
        <w:pStyle w:val="ListParagraph"/>
        <w:numPr>
          <w:ilvl w:val="0"/>
          <w:numId w:val="11"/>
        </w:numPr>
        <w:tabs>
          <w:tab w:val="right" w:pos="8820"/>
        </w:tabs>
        <w:rPr>
          <w:b/>
          <w:color w:val="auto"/>
          <w:sz w:val="22"/>
          <w:szCs w:val="22"/>
        </w:rPr>
      </w:pPr>
      <w:hyperlink w:anchor="ParliamentaryAccountability" w:history="1">
        <w:r w:rsidR="00521220" w:rsidRPr="009C7EA6">
          <w:rPr>
            <w:rStyle w:val="Hyperlink"/>
            <w:b/>
            <w:color w:val="auto"/>
            <w:sz w:val="22"/>
            <w:szCs w:val="22"/>
            <w:u w:val="none"/>
          </w:rPr>
          <w:t>Parliamentary Accountability and Audit Report</w:t>
        </w:r>
      </w:hyperlink>
      <w:r w:rsidR="00521220" w:rsidRPr="009C7EA6">
        <w:rPr>
          <w:color w:val="auto"/>
          <w:sz w:val="22"/>
          <w:szCs w:val="22"/>
        </w:rPr>
        <w:tab/>
      </w:r>
      <w:r w:rsidR="00C95126">
        <w:rPr>
          <w:color w:val="auto"/>
          <w:sz w:val="22"/>
          <w:szCs w:val="22"/>
        </w:rPr>
        <w:t>48</w:t>
      </w:r>
    </w:p>
    <w:p w14:paraId="02D5CFB6" w14:textId="2B4C19A0" w:rsidR="00521220" w:rsidRPr="009C7EA6" w:rsidRDefault="00806377" w:rsidP="00310B25">
      <w:pPr>
        <w:pStyle w:val="ListParagraph"/>
        <w:numPr>
          <w:ilvl w:val="1"/>
          <w:numId w:val="11"/>
        </w:numPr>
        <w:tabs>
          <w:tab w:val="right" w:pos="8820"/>
        </w:tabs>
        <w:rPr>
          <w:b/>
          <w:color w:val="auto"/>
          <w:sz w:val="22"/>
          <w:szCs w:val="22"/>
        </w:rPr>
      </w:pPr>
      <w:hyperlink w:anchor="CertificateoftheComptroller" w:history="1">
        <w:r w:rsidR="00521220" w:rsidRPr="0045027A">
          <w:rPr>
            <w:rStyle w:val="Hyperlink"/>
            <w:color w:val="auto"/>
            <w:sz w:val="20"/>
            <w:szCs w:val="20"/>
            <w:u w:val="none"/>
          </w:rPr>
          <w:t>Certificate and Report of the Comptroller and Auditor General</w:t>
        </w:r>
      </w:hyperlink>
      <w:r w:rsidR="00521220" w:rsidRPr="009C7EA6">
        <w:rPr>
          <w:color w:val="auto"/>
          <w:sz w:val="22"/>
          <w:szCs w:val="22"/>
        </w:rPr>
        <w:tab/>
      </w:r>
      <w:r w:rsidR="00C95126">
        <w:rPr>
          <w:color w:val="auto"/>
          <w:sz w:val="20"/>
          <w:szCs w:val="20"/>
        </w:rPr>
        <w:t>49</w:t>
      </w:r>
    </w:p>
    <w:p w14:paraId="5F8E22C7" w14:textId="77777777" w:rsidR="00521220" w:rsidRPr="009C7EA6" w:rsidRDefault="00521220" w:rsidP="00521220">
      <w:pPr>
        <w:tabs>
          <w:tab w:val="right" w:pos="8820"/>
        </w:tabs>
        <w:rPr>
          <w:b/>
          <w:color w:val="auto"/>
          <w:sz w:val="22"/>
          <w:szCs w:val="22"/>
        </w:rPr>
      </w:pPr>
    </w:p>
    <w:p w14:paraId="6AD905D5" w14:textId="143BC3DF" w:rsidR="00521220" w:rsidRPr="009C7EA6" w:rsidRDefault="00806377" w:rsidP="00521220">
      <w:pPr>
        <w:tabs>
          <w:tab w:val="right" w:pos="8820"/>
        </w:tabs>
        <w:rPr>
          <w:color w:val="auto"/>
          <w:sz w:val="22"/>
          <w:szCs w:val="22"/>
        </w:rPr>
      </w:pPr>
      <w:hyperlink w:anchor="FinancialStatements" w:history="1">
        <w:r w:rsidR="00521220" w:rsidRPr="009C7EA6">
          <w:rPr>
            <w:rStyle w:val="Hyperlink"/>
            <w:b/>
            <w:color w:val="auto"/>
            <w:sz w:val="22"/>
            <w:szCs w:val="22"/>
          </w:rPr>
          <w:t>Financial Statements</w:t>
        </w:r>
      </w:hyperlink>
      <w:r w:rsidR="00521220" w:rsidRPr="009C7EA6">
        <w:rPr>
          <w:b/>
          <w:color w:val="auto"/>
          <w:sz w:val="22"/>
          <w:szCs w:val="22"/>
        </w:rPr>
        <w:tab/>
      </w:r>
      <w:r w:rsidR="00C95126">
        <w:rPr>
          <w:color w:val="auto"/>
          <w:sz w:val="22"/>
          <w:szCs w:val="22"/>
        </w:rPr>
        <w:t>56</w:t>
      </w:r>
    </w:p>
    <w:p w14:paraId="22C1AF8C" w14:textId="77777777" w:rsidR="00521220" w:rsidRPr="009C7EA6" w:rsidRDefault="00521220" w:rsidP="00521220">
      <w:pPr>
        <w:tabs>
          <w:tab w:val="right" w:pos="8820"/>
        </w:tabs>
        <w:rPr>
          <w:color w:val="auto"/>
          <w:sz w:val="22"/>
          <w:szCs w:val="22"/>
        </w:rPr>
      </w:pPr>
    </w:p>
    <w:p w14:paraId="7B784860" w14:textId="59FDFA47" w:rsidR="001C4D92" w:rsidRPr="009C7EA6" w:rsidRDefault="00806377" w:rsidP="00310B25">
      <w:pPr>
        <w:pStyle w:val="ListParagraph"/>
        <w:numPr>
          <w:ilvl w:val="0"/>
          <w:numId w:val="11"/>
        </w:numPr>
        <w:tabs>
          <w:tab w:val="right" w:pos="8820"/>
        </w:tabs>
        <w:rPr>
          <w:color w:val="auto"/>
          <w:sz w:val="22"/>
          <w:szCs w:val="22"/>
        </w:rPr>
      </w:pPr>
      <w:hyperlink w:anchor="StatementofComprehensiveNetExpenditure" w:history="1">
        <w:r w:rsidR="001C4D92" w:rsidRPr="009C7EA6">
          <w:rPr>
            <w:rStyle w:val="Hyperlink"/>
            <w:b/>
            <w:color w:val="auto"/>
            <w:sz w:val="22"/>
            <w:szCs w:val="22"/>
            <w:u w:val="none"/>
          </w:rPr>
          <w:t>Statement of Comprehensive Net Expenditure</w:t>
        </w:r>
      </w:hyperlink>
      <w:r w:rsidR="001C4D92" w:rsidRPr="009C7EA6">
        <w:rPr>
          <w:b/>
          <w:color w:val="auto"/>
          <w:sz w:val="22"/>
          <w:szCs w:val="22"/>
        </w:rPr>
        <w:tab/>
      </w:r>
      <w:r w:rsidR="00C95126">
        <w:rPr>
          <w:color w:val="auto"/>
          <w:sz w:val="22"/>
          <w:szCs w:val="22"/>
        </w:rPr>
        <w:t>56</w:t>
      </w:r>
      <w:r w:rsidR="001C4D92" w:rsidRPr="009C7EA6">
        <w:rPr>
          <w:color w:val="auto"/>
          <w:sz w:val="22"/>
          <w:szCs w:val="22"/>
        </w:rPr>
        <w:br/>
      </w:r>
    </w:p>
    <w:p w14:paraId="507D85C2" w14:textId="11891A5E" w:rsidR="008244B9" w:rsidRPr="009C7EA6" w:rsidRDefault="00806377" w:rsidP="00310B25">
      <w:pPr>
        <w:pStyle w:val="ListParagraph"/>
        <w:numPr>
          <w:ilvl w:val="0"/>
          <w:numId w:val="11"/>
        </w:numPr>
        <w:tabs>
          <w:tab w:val="right" w:pos="8820"/>
        </w:tabs>
        <w:rPr>
          <w:color w:val="auto"/>
          <w:sz w:val="22"/>
          <w:szCs w:val="22"/>
        </w:rPr>
      </w:pPr>
      <w:hyperlink w:anchor="StatementofFinancialPosition" w:history="1">
        <w:r w:rsidR="008244B9" w:rsidRPr="009C7EA6">
          <w:rPr>
            <w:rStyle w:val="Hyperlink"/>
            <w:b/>
            <w:color w:val="auto"/>
            <w:sz w:val="22"/>
            <w:szCs w:val="22"/>
            <w:u w:val="none"/>
          </w:rPr>
          <w:t>Statement of Financial Position</w:t>
        </w:r>
      </w:hyperlink>
      <w:r w:rsidR="008244B9" w:rsidRPr="009C7EA6">
        <w:rPr>
          <w:b/>
          <w:color w:val="auto"/>
          <w:sz w:val="22"/>
          <w:szCs w:val="22"/>
        </w:rPr>
        <w:tab/>
      </w:r>
      <w:r w:rsidR="00C95126">
        <w:rPr>
          <w:color w:val="auto"/>
          <w:sz w:val="22"/>
          <w:szCs w:val="22"/>
        </w:rPr>
        <w:t>57</w:t>
      </w:r>
      <w:r w:rsidR="008244B9" w:rsidRPr="009C7EA6">
        <w:rPr>
          <w:color w:val="auto"/>
          <w:sz w:val="22"/>
          <w:szCs w:val="22"/>
        </w:rPr>
        <w:br/>
      </w:r>
    </w:p>
    <w:p w14:paraId="7A81391E" w14:textId="5CD02ADC" w:rsidR="008244B9" w:rsidRPr="009C7EA6" w:rsidRDefault="00806377" w:rsidP="00310B25">
      <w:pPr>
        <w:pStyle w:val="ListParagraph"/>
        <w:numPr>
          <w:ilvl w:val="0"/>
          <w:numId w:val="11"/>
        </w:numPr>
        <w:tabs>
          <w:tab w:val="right" w:pos="8820"/>
        </w:tabs>
        <w:rPr>
          <w:color w:val="auto"/>
          <w:sz w:val="22"/>
          <w:szCs w:val="22"/>
        </w:rPr>
      </w:pPr>
      <w:hyperlink w:anchor="StatementofCashFlows" w:history="1">
        <w:r w:rsidR="008244B9" w:rsidRPr="009C7EA6">
          <w:rPr>
            <w:rStyle w:val="Hyperlink"/>
            <w:b/>
            <w:color w:val="auto"/>
            <w:sz w:val="22"/>
            <w:szCs w:val="22"/>
            <w:u w:val="none"/>
          </w:rPr>
          <w:t>Statement of Cash Flows</w:t>
        </w:r>
      </w:hyperlink>
      <w:r w:rsidR="008244B9" w:rsidRPr="009C7EA6">
        <w:rPr>
          <w:b/>
          <w:color w:val="auto"/>
          <w:sz w:val="22"/>
          <w:szCs w:val="22"/>
        </w:rPr>
        <w:tab/>
      </w:r>
      <w:r w:rsidR="00C95126">
        <w:rPr>
          <w:color w:val="auto"/>
          <w:sz w:val="22"/>
          <w:szCs w:val="22"/>
        </w:rPr>
        <w:t>58</w:t>
      </w:r>
      <w:r w:rsidR="008244B9" w:rsidRPr="009C7EA6">
        <w:rPr>
          <w:color w:val="auto"/>
          <w:sz w:val="22"/>
          <w:szCs w:val="22"/>
        </w:rPr>
        <w:br/>
      </w:r>
    </w:p>
    <w:p w14:paraId="4A792557" w14:textId="410C4DBD" w:rsidR="008244B9" w:rsidRPr="009C7EA6" w:rsidRDefault="00806377" w:rsidP="00310B25">
      <w:pPr>
        <w:pStyle w:val="ListParagraph"/>
        <w:numPr>
          <w:ilvl w:val="0"/>
          <w:numId w:val="11"/>
        </w:numPr>
        <w:tabs>
          <w:tab w:val="right" w:pos="8820"/>
        </w:tabs>
        <w:rPr>
          <w:color w:val="auto"/>
          <w:sz w:val="22"/>
          <w:szCs w:val="22"/>
        </w:rPr>
      </w:pPr>
      <w:hyperlink w:anchor="StatementofChangesinEquity" w:history="1">
        <w:r w:rsidR="008244B9" w:rsidRPr="009C7EA6">
          <w:rPr>
            <w:rStyle w:val="Hyperlink"/>
            <w:b/>
            <w:color w:val="auto"/>
            <w:sz w:val="22"/>
            <w:szCs w:val="22"/>
            <w:u w:val="none"/>
          </w:rPr>
          <w:t>Statement of Change</w:t>
        </w:r>
        <w:r w:rsidR="00E6065B">
          <w:rPr>
            <w:rStyle w:val="Hyperlink"/>
            <w:b/>
            <w:color w:val="auto"/>
            <w:sz w:val="22"/>
            <w:szCs w:val="22"/>
            <w:u w:val="none"/>
          </w:rPr>
          <w:t>s</w:t>
        </w:r>
        <w:r w:rsidR="008244B9" w:rsidRPr="009C7EA6">
          <w:rPr>
            <w:rStyle w:val="Hyperlink"/>
            <w:b/>
            <w:color w:val="auto"/>
            <w:sz w:val="22"/>
            <w:szCs w:val="22"/>
            <w:u w:val="none"/>
          </w:rPr>
          <w:t xml:space="preserve"> in </w:t>
        </w:r>
        <w:r w:rsidR="00450391">
          <w:rPr>
            <w:rStyle w:val="Hyperlink"/>
            <w:b/>
            <w:color w:val="auto"/>
            <w:sz w:val="22"/>
            <w:szCs w:val="22"/>
            <w:u w:val="none"/>
          </w:rPr>
          <w:t xml:space="preserve">Taxpayers’ </w:t>
        </w:r>
        <w:r w:rsidR="008244B9" w:rsidRPr="009C7EA6">
          <w:rPr>
            <w:rStyle w:val="Hyperlink"/>
            <w:b/>
            <w:color w:val="auto"/>
            <w:sz w:val="22"/>
            <w:szCs w:val="22"/>
            <w:u w:val="none"/>
          </w:rPr>
          <w:t>Equity</w:t>
        </w:r>
      </w:hyperlink>
      <w:r w:rsidR="008244B9" w:rsidRPr="009C7EA6">
        <w:rPr>
          <w:b/>
          <w:color w:val="auto"/>
          <w:sz w:val="22"/>
          <w:szCs w:val="22"/>
        </w:rPr>
        <w:tab/>
      </w:r>
      <w:r w:rsidR="00C95126">
        <w:rPr>
          <w:color w:val="auto"/>
          <w:sz w:val="22"/>
          <w:szCs w:val="22"/>
        </w:rPr>
        <w:t>59</w:t>
      </w:r>
      <w:r w:rsidR="008244B9" w:rsidRPr="009C7EA6">
        <w:rPr>
          <w:color w:val="auto"/>
          <w:sz w:val="22"/>
          <w:szCs w:val="22"/>
        </w:rPr>
        <w:br/>
      </w:r>
    </w:p>
    <w:p w14:paraId="249A54BF" w14:textId="26AF2E14" w:rsidR="008244B9" w:rsidRPr="008244B9" w:rsidRDefault="00806377" w:rsidP="00310B25">
      <w:pPr>
        <w:pStyle w:val="ListParagraph"/>
        <w:numPr>
          <w:ilvl w:val="0"/>
          <w:numId w:val="11"/>
        </w:numPr>
        <w:tabs>
          <w:tab w:val="right" w:pos="8820"/>
        </w:tabs>
        <w:rPr>
          <w:sz w:val="22"/>
          <w:szCs w:val="22"/>
        </w:rPr>
      </w:pPr>
      <w:hyperlink w:anchor="NotesToTheAccounts" w:history="1">
        <w:r w:rsidR="00E6065B" w:rsidRPr="009C7EA6">
          <w:rPr>
            <w:rStyle w:val="Hyperlink"/>
            <w:b/>
            <w:color w:val="auto"/>
            <w:sz w:val="22"/>
            <w:szCs w:val="22"/>
            <w:u w:val="none"/>
          </w:rPr>
          <w:t xml:space="preserve">Notes to the </w:t>
        </w:r>
        <w:r w:rsidR="00E6065B">
          <w:rPr>
            <w:rStyle w:val="Hyperlink"/>
            <w:b/>
            <w:color w:val="auto"/>
            <w:sz w:val="22"/>
            <w:szCs w:val="22"/>
            <w:u w:val="none"/>
          </w:rPr>
          <w:t>Financial</w:t>
        </w:r>
      </w:hyperlink>
      <w:r w:rsidR="00E6065B">
        <w:rPr>
          <w:rStyle w:val="Hyperlink"/>
          <w:b/>
          <w:color w:val="auto"/>
          <w:sz w:val="22"/>
          <w:szCs w:val="22"/>
          <w:u w:val="none"/>
        </w:rPr>
        <w:t xml:space="preserve"> Statement</w:t>
      </w:r>
      <w:r w:rsidR="000C463C">
        <w:rPr>
          <w:rStyle w:val="Hyperlink"/>
          <w:b/>
          <w:color w:val="auto"/>
          <w:sz w:val="22"/>
          <w:szCs w:val="22"/>
          <w:u w:val="none"/>
        </w:rPr>
        <w:t>s</w:t>
      </w:r>
      <w:r w:rsidR="008244B9">
        <w:rPr>
          <w:b/>
          <w:sz w:val="22"/>
          <w:szCs w:val="22"/>
        </w:rPr>
        <w:tab/>
      </w:r>
      <w:r w:rsidR="00C95126">
        <w:rPr>
          <w:sz w:val="22"/>
          <w:szCs w:val="22"/>
        </w:rPr>
        <w:t>60</w:t>
      </w:r>
    </w:p>
    <w:bookmarkEnd w:id="1"/>
    <w:p w14:paraId="4FB1EA91" w14:textId="77777777" w:rsidR="008244B9" w:rsidRDefault="008244B9" w:rsidP="008244B9">
      <w:pPr>
        <w:pStyle w:val="ListParagraph"/>
        <w:tabs>
          <w:tab w:val="right" w:pos="8820"/>
        </w:tabs>
        <w:rPr>
          <w:b/>
          <w:sz w:val="22"/>
          <w:szCs w:val="22"/>
        </w:rPr>
      </w:pPr>
    </w:p>
    <w:p w14:paraId="7780ABF1" w14:textId="77777777" w:rsidR="008244B9" w:rsidRPr="008244B9" w:rsidRDefault="008244B9" w:rsidP="008244B9">
      <w:pPr>
        <w:pStyle w:val="ListParagraph"/>
        <w:tabs>
          <w:tab w:val="right" w:pos="8820"/>
        </w:tabs>
        <w:rPr>
          <w:sz w:val="22"/>
          <w:szCs w:val="22"/>
        </w:rPr>
      </w:pPr>
    </w:p>
    <w:p w14:paraId="1E5132A4" w14:textId="77777777" w:rsidR="0052683A" w:rsidRPr="007F2DCD" w:rsidRDefault="0052683A" w:rsidP="009D1493">
      <w:pPr>
        <w:tabs>
          <w:tab w:val="right" w:pos="8820"/>
        </w:tabs>
        <w:rPr>
          <w:i/>
          <w:sz w:val="22"/>
          <w:szCs w:val="22"/>
        </w:rPr>
      </w:pPr>
    </w:p>
    <w:p w14:paraId="2C107B3F" w14:textId="77777777" w:rsidR="009D1493" w:rsidRPr="007F2DCD" w:rsidRDefault="009D1493" w:rsidP="009D1493">
      <w:pPr>
        <w:tabs>
          <w:tab w:val="right" w:pos="8820"/>
        </w:tabs>
        <w:rPr>
          <w:i/>
          <w:sz w:val="22"/>
          <w:szCs w:val="22"/>
        </w:rPr>
      </w:pPr>
    </w:p>
    <w:p w14:paraId="0F54E62C" w14:textId="77777777" w:rsidR="009D1493" w:rsidRPr="007F2DCD" w:rsidRDefault="009D1493" w:rsidP="009D1493">
      <w:pPr>
        <w:tabs>
          <w:tab w:val="right" w:pos="8820"/>
        </w:tabs>
        <w:rPr>
          <w:i/>
          <w:sz w:val="22"/>
          <w:szCs w:val="22"/>
        </w:rPr>
      </w:pPr>
    </w:p>
    <w:p w14:paraId="470EE7FF" w14:textId="77777777" w:rsidR="009D1493" w:rsidRPr="007F2DCD" w:rsidRDefault="009D1493" w:rsidP="009D1493">
      <w:pPr>
        <w:tabs>
          <w:tab w:val="right" w:pos="8820"/>
        </w:tabs>
        <w:rPr>
          <w:i/>
          <w:sz w:val="22"/>
          <w:szCs w:val="22"/>
        </w:rPr>
      </w:pPr>
    </w:p>
    <w:p w14:paraId="21E6FC74" w14:textId="77777777" w:rsidR="009D1493" w:rsidRPr="007F2DCD" w:rsidRDefault="009D1493" w:rsidP="009D1493">
      <w:pPr>
        <w:tabs>
          <w:tab w:val="right" w:pos="8820"/>
        </w:tabs>
        <w:rPr>
          <w:i/>
          <w:sz w:val="22"/>
          <w:szCs w:val="22"/>
        </w:rPr>
      </w:pPr>
    </w:p>
    <w:p w14:paraId="356FA750" w14:textId="77777777" w:rsidR="009D1493" w:rsidRPr="007F2DCD" w:rsidRDefault="009D1493" w:rsidP="009D1493">
      <w:pPr>
        <w:tabs>
          <w:tab w:val="right" w:pos="8820"/>
        </w:tabs>
        <w:rPr>
          <w:i/>
          <w:sz w:val="22"/>
          <w:szCs w:val="22"/>
        </w:rPr>
      </w:pPr>
    </w:p>
    <w:p w14:paraId="1772723F" w14:textId="77777777" w:rsidR="009D1493" w:rsidRPr="007F2DCD" w:rsidRDefault="009D1493" w:rsidP="009D1493">
      <w:pPr>
        <w:tabs>
          <w:tab w:val="right" w:pos="8820"/>
        </w:tabs>
        <w:rPr>
          <w:i/>
          <w:sz w:val="22"/>
          <w:szCs w:val="22"/>
        </w:rPr>
      </w:pPr>
    </w:p>
    <w:p w14:paraId="1C95879F" w14:textId="77777777" w:rsidR="009D1493" w:rsidRPr="007F2DCD" w:rsidRDefault="009D1493" w:rsidP="009D1493">
      <w:pPr>
        <w:tabs>
          <w:tab w:val="right" w:pos="8820"/>
        </w:tabs>
        <w:rPr>
          <w:i/>
          <w:sz w:val="22"/>
          <w:szCs w:val="22"/>
        </w:rPr>
      </w:pPr>
    </w:p>
    <w:p w14:paraId="2F80A319" w14:textId="77777777" w:rsidR="009D1493" w:rsidRPr="007F2DCD" w:rsidRDefault="009D1493" w:rsidP="009D1493">
      <w:pPr>
        <w:tabs>
          <w:tab w:val="right" w:pos="8820"/>
        </w:tabs>
        <w:rPr>
          <w:i/>
          <w:sz w:val="22"/>
          <w:szCs w:val="22"/>
        </w:rPr>
      </w:pPr>
    </w:p>
    <w:p w14:paraId="74FDC2BB" w14:textId="77777777" w:rsidR="009D1493" w:rsidRDefault="009D1493" w:rsidP="009D1493">
      <w:pPr>
        <w:tabs>
          <w:tab w:val="right" w:pos="8820"/>
        </w:tabs>
        <w:rPr>
          <w:i/>
          <w:sz w:val="22"/>
          <w:szCs w:val="22"/>
        </w:rPr>
      </w:pPr>
    </w:p>
    <w:p w14:paraId="4624792B" w14:textId="77777777" w:rsidR="008244B9" w:rsidRDefault="008244B9" w:rsidP="009D1493">
      <w:pPr>
        <w:tabs>
          <w:tab w:val="right" w:pos="8820"/>
        </w:tabs>
        <w:rPr>
          <w:i/>
          <w:sz w:val="22"/>
          <w:szCs w:val="22"/>
        </w:rPr>
      </w:pPr>
    </w:p>
    <w:p w14:paraId="00493C91" w14:textId="77777777" w:rsidR="008244B9" w:rsidRDefault="008244B9" w:rsidP="009D1493">
      <w:pPr>
        <w:tabs>
          <w:tab w:val="right" w:pos="8820"/>
        </w:tabs>
        <w:rPr>
          <w:i/>
          <w:sz w:val="22"/>
          <w:szCs w:val="22"/>
        </w:rPr>
      </w:pPr>
    </w:p>
    <w:p w14:paraId="14A54744" w14:textId="77777777" w:rsidR="008244B9" w:rsidRDefault="008244B9" w:rsidP="009D1493">
      <w:pPr>
        <w:tabs>
          <w:tab w:val="right" w:pos="8820"/>
        </w:tabs>
        <w:rPr>
          <w:i/>
          <w:sz w:val="22"/>
          <w:szCs w:val="22"/>
        </w:rPr>
      </w:pPr>
    </w:p>
    <w:p w14:paraId="23ABC536" w14:textId="77777777" w:rsidR="008244B9" w:rsidRDefault="008244B9" w:rsidP="009D1493">
      <w:pPr>
        <w:tabs>
          <w:tab w:val="right" w:pos="8820"/>
        </w:tabs>
        <w:rPr>
          <w:i/>
          <w:sz w:val="22"/>
          <w:szCs w:val="22"/>
        </w:rPr>
      </w:pPr>
    </w:p>
    <w:p w14:paraId="0FB971BB" w14:textId="77777777" w:rsidR="008244B9" w:rsidRDefault="008244B9" w:rsidP="009D1493">
      <w:pPr>
        <w:tabs>
          <w:tab w:val="right" w:pos="8820"/>
        </w:tabs>
        <w:rPr>
          <w:i/>
          <w:sz w:val="22"/>
          <w:szCs w:val="22"/>
        </w:rPr>
      </w:pPr>
    </w:p>
    <w:p w14:paraId="584CD911" w14:textId="77777777" w:rsidR="008244B9" w:rsidRDefault="008244B9" w:rsidP="009D1493">
      <w:pPr>
        <w:tabs>
          <w:tab w:val="right" w:pos="8820"/>
        </w:tabs>
        <w:rPr>
          <w:i/>
          <w:sz w:val="22"/>
          <w:szCs w:val="22"/>
        </w:rPr>
      </w:pPr>
    </w:p>
    <w:p w14:paraId="17303B9E" w14:textId="77777777" w:rsidR="008244B9" w:rsidRDefault="008244B9" w:rsidP="009D1493">
      <w:pPr>
        <w:tabs>
          <w:tab w:val="right" w:pos="8820"/>
        </w:tabs>
        <w:rPr>
          <w:i/>
          <w:sz w:val="22"/>
          <w:szCs w:val="22"/>
        </w:rPr>
      </w:pPr>
    </w:p>
    <w:p w14:paraId="306BD917" w14:textId="77777777" w:rsidR="008244B9" w:rsidRDefault="008244B9" w:rsidP="009D1493">
      <w:pPr>
        <w:tabs>
          <w:tab w:val="right" w:pos="8820"/>
        </w:tabs>
        <w:rPr>
          <w:i/>
          <w:sz w:val="22"/>
          <w:szCs w:val="22"/>
        </w:rPr>
      </w:pPr>
    </w:p>
    <w:p w14:paraId="34742624" w14:textId="77777777" w:rsidR="008244B9" w:rsidRDefault="008244B9" w:rsidP="009D1493">
      <w:pPr>
        <w:tabs>
          <w:tab w:val="right" w:pos="8820"/>
        </w:tabs>
        <w:rPr>
          <w:i/>
          <w:sz w:val="22"/>
          <w:szCs w:val="22"/>
        </w:rPr>
      </w:pPr>
    </w:p>
    <w:p w14:paraId="66E8044C" w14:textId="77777777" w:rsidR="008244B9" w:rsidRDefault="008244B9" w:rsidP="009D1493">
      <w:pPr>
        <w:tabs>
          <w:tab w:val="right" w:pos="8820"/>
        </w:tabs>
        <w:rPr>
          <w:i/>
          <w:sz w:val="22"/>
          <w:szCs w:val="22"/>
        </w:rPr>
      </w:pPr>
    </w:p>
    <w:p w14:paraId="6DF9D3EA" w14:textId="77777777" w:rsidR="008244B9" w:rsidRDefault="008244B9" w:rsidP="009D1493">
      <w:pPr>
        <w:tabs>
          <w:tab w:val="right" w:pos="8820"/>
        </w:tabs>
        <w:rPr>
          <w:i/>
          <w:sz w:val="22"/>
          <w:szCs w:val="22"/>
        </w:rPr>
      </w:pPr>
    </w:p>
    <w:p w14:paraId="24439EF6" w14:textId="77777777" w:rsidR="008244B9" w:rsidRDefault="008244B9" w:rsidP="009D1493">
      <w:pPr>
        <w:tabs>
          <w:tab w:val="right" w:pos="8820"/>
        </w:tabs>
        <w:rPr>
          <w:i/>
          <w:sz w:val="22"/>
          <w:szCs w:val="22"/>
        </w:rPr>
      </w:pPr>
    </w:p>
    <w:p w14:paraId="51360D05" w14:textId="77777777" w:rsidR="008244B9" w:rsidRDefault="008244B9" w:rsidP="009D1493">
      <w:pPr>
        <w:tabs>
          <w:tab w:val="right" w:pos="8820"/>
        </w:tabs>
        <w:rPr>
          <w:i/>
          <w:sz w:val="22"/>
          <w:szCs w:val="22"/>
        </w:rPr>
      </w:pPr>
    </w:p>
    <w:p w14:paraId="219E67DD" w14:textId="77777777" w:rsidR="008244B9" w:rsidRDefault="008244B9" w:rsidP="009D1493">
      <w:pPr>
        <w:tabs>
          <w:tab w:val="right" w:pos="8820"/>
        </w:tabs>
        <w:rPr>
          <w:i/>
          <w:sz w:val="22"/>
          <w:szCs w:val="22"/>
        </w:rPr>
      </w:pPr>
    </w:p>
    <w:p w14:paraId="5503441A" w14:textId="77777777" w:rsidR="008244B9" w:rsidRDefault="008244B9" w:rsidP="009D1493">
      <w:pPr>
        <w:tabs>
          <w:tab w:val="right" w:pos="8820"/>
        </w:tabs>
        <w:rPr>
          <w:i/>
          <w:sz w:val="22"/>
          <w:szCs w:val="22"/>
        </w:rPr>
      </w:pPr>
    </w:p>
    <w:p w14:paraId="795889D6" w14:textId="77777777" w:rsidR="008244B9" w:rsidRDefault="008244B9" w:rsidP="009D1493">
      <w:pPr>
        <w:tabs>
          <w:tab w:val="right" w:pos="8820"/>
        </w:tabs>
        <w:rPr>
          <w:i/>
          <w:sz w:val="22"/>
          <w:szCs w:val="22"/>
        </w:rPr>
      </w:pPr>
    </w:p>
    <w:p w14:paraId="54ACC243" w14:textId="77777777" w:rsidR="008244B9" w:rsidRPr="007F2DCD" w:rsidRDefault="008244B9" w:rsidP="009D1493">
      <w:pPr>
        <w:tabs>
          <w:tab w:val="right" w:pos="8820"/>
        </w:tabs>
        <w:rPr>
          <w:i/>
          <w:sz w:val="22"/>
          <w:szCs w:val="22"/>
        </w:rPr>
      </w:pPr>
    </w:p>
    <w:p w14:paraId="02A5775C" w14:textId="77777777" w:rsidR="009D1493" w:rsidRPr="007F2DCD" w:rsidRDefault="009D1493" w:rsidP="009D1493">
      <w:pPr>
        <w:tabs>
          <w:tab w:val="right" w:pos="8820"/>
        </w:tabs>
        <w:rPr>
          <w:i/>
          <w:sz w:val="22"/>
          <w:szCs w:val="22"/>
        </w:rPr>
      </w:pPr>
    </w:p>
    <w:p w14:paraId="20E0B0EE" w14:textId="77777777" w:rsidR="009D1493" w:rsidRPr="007F2DCD" w:rsidRDefault="009D1493" w:rsidP="009D1493">
      <w:pPr>
        <w:tabs>
          <w:tab w:val="right" w:pos="8820"/>
        </w:tabs>
        <w:rPr>
          <w:i/>
          <w:sz w:val="22"/>
          <w:szCs w:val="22"/>
        </w:rPr>
      </w:pPr>
    </w:p>
    <w:p w14:paraId="66F07041" w14:textId="77777777" w:rsidR="009D1493" w:rsidRPr="007F2DCD" w:rsidRDefault="009D1493" w:rsidP="009D1493">
      <w:pPr>
        <w:tabs>
          <w:tab w:val="right" w:pos="8820"/>
        </w:tabs>
        <w:rPr>
          <w:i/>
          <w:sz w:val="22"/>
          <w:szCs w:val="22"/>
        </w:rPr>
      </w:pPr>
    </w:p>
    <w:p w14:paraId="310F5DA2" w14:textId="77777777" w:rsidR="009D1493" w:rsidRPr="007F2DCD" w:rsidRDefault="009D1493" w:rsidP="009D1493">
      <w:pPr>
        <w:tabs>
          <w:tab w:val="right" w:pos="8820"/>
        </w:tabs>
        <w:rPr>
          <w:i/>
          <w:sz w:val="22"/>
          <w:szCs w:val="22"/>
        </w:rPr>
      </w:pPr>
    </w:p>
    <w:p w14:paraId="3587D888" w14:textId="77777777" w:rsidR="009D1493" w:rsidRPr="007F2DCD" w:rsidRDefault="009D1493" w:rsidP="009D1493">
      <w:pPr>
        <w:tabs>
          <w:tab w:val="right" w:pos="8820"/>
        </w:tabs>
        <w:rPr>
          <w:i/>
          <w:sz w:val="22"/>
          <w:szCs w:val="22"/>
        </w:rPr>
      </w:pPr>
    </w:p>
    <w:p w14:paraId="378ABA97" w14:textId="77777777" w:rsidR="009D1493" w:rsidRPr="007F2DCD" w:rsidRDefault="009D1493" w:rsidP="009D1493">
      <w:pPr>
        <w:tabs>
          <w:tab w:val="right" w:pos="8820"/>
        </w:tabs>
        <w:rPr>
          <w:i/>
          <w:sz w:val="22"/>
          <w:szCs w:val="22"/>
        </w:rPr>
      </w:pPr>
    </w:p>
    <w:p w14:paraId="6024FCE2" w14:textId="77777777" w:rsidR="009D1493" w:rsidRPr="007F2DCD" w:rsidRDefault="009D1493" w:rsidP="009D1493">
      <w:pPr>
        <w:tabs>
          <w:tab w:val="right" w:pos="8820"/>
        </w:tabs>
        <w:rPr>
          <w:i/>
          <w:sz w:val="22"/>
          <w:szCs w:val="22"/>
        </w:rPr>
      </w:pPr>
    </w:p>
    <w:p w14:paraId="060655A1" w14:textId="77777777" w:rsidR="009D1493" w:rsidRPr="007F2DCD" w:rsidRDefault="009D1493" w:rsidP="009D1493">
      <w:pPr>
        <w:tabs>
          <w:tab w:val="right" w:pos="8820"/>
        </w:tabs>
        <w:rPr>
          <w:i/>
          <w:sz w:val="22"/>
          <w:szCs w:val="22"/>
        </w:rPr>
      </w:pPr>
    </w:p>
    <w:p w14:paraId="3C0FA7B4" w14:textId="77777777" w:rsidR="0052683A" w:rsidRPr="007F2DCD" w:rsidRDefault="0052683A" w:rsidP="009D1493">
      <w:pPr>
        <w:tabs>
          <w:tab w:val="right" w:pos="8820"/>
        </w:tabs>
        <w:autoSpaceDE w:val="0"/>
        <w:autoSpaceDN w:val="0"/>
        <w:adjustRightInd w:val="0"/>
        <w:rPr>
          <w:rFonts w:cs="ZurichBT-LightCondensed"/>
          <w:sz w:val="22"/>
          <w:szCs w:val="22"/>
          <w:lang w:val="en-US"/>
        </w:rPr>
      </w:pPr>
      <w:r w:rsidRPr="007F2DCD">
        <w:rPr>
          <w:rFonts w:cs="ZurichBT-LightCondensed"/>
          <w:sz w:val="22"/>
          <w:szCs w:val="22"/>
          <w:lang w:val="en-US"/>
        </w:rPr>
        <w:t xml:space="preserve">This document can be made available in </w:t>
      </w:r>
      <w:r w:rsidR="009D1493" w:rsidRPr="007F2DCD">
        <w:rPr>
          <w:rFonts w:cs="ZurichBT-LightCondensed"/>
          <w:sz w:val="22"/>
          <w:szCs w:val="22"/>
          <w:lang w:val="en-US"/>
        </w:rPr>
        <w:t>other</w:t>
      </w:r>
      <w:r w:rsidRPr="007F2DCD">
        <w:rPr>
          <w:rFonts w:cs="ZurichBT-LightCondensed"/>
          <w:sz w:val="22"/>
          <w:szCs w:val="22"/>
          <w:lang w:val="en-US"/>
        </w:rPr>
        <w:t xml:space="preserve"> formats upon request.</w:t>
      </w:r>
    </w:p>
    <w:p w14:paraId="3FA1704B" w14:textId="77777777" w:rsidR="0052683A" w:rsidRPr="007F2DCD" w:rsidRDefault="0052683A" w:rsidP="009D1493">
      <w:pPr>
        <w:tabs>
          <w:tab w:val="right" w:pos="8820"/>
        </w:tabs>
        <w:rPr>
          <w:sz w:val="22"/>
          <w:szCs w:val="22"/>
        </w:rPr>
      </w:pPr>
      <w:r w:rsidRPr="007F2DCD">
        <w:rPr>
          <w:rFonts w:cs="ZurichBT-LightCondensed"/>
          <w:sz w:val="22"/>
          <w:szCs w:val="22"/>
          <w:lang w:val="en-US"/>
        </w:rPr>
        <w:t xml:space="preserve">It is available for download at </w:t>
      </w:r>
      <w:r w:rsidRPr="007F2DCD">
        <w:rPr>
          <w:rFonts w:cs="ZurichBT-BoldCondensed"/>
          <w:bCs/>
          <w:i/>
          <w:sz w:val="22"/>
          <w:szCs w:val="22"/>
          <w:lang w:val="en-US"/>
        </w:rPr>
        <w:t>www.nihrc.org</w:t>
      </w:r>
      <w:r w:rsidRPr="007F2DCD">
        <w:rPr>
          <w:sz w:val="22"/>
          <w:szCs w:val="22"/>
        </w:rPr>
        <w:t xml:space="preserve"> </w:t>
      </w:r>
    </w:p>
    <w:p w14:paraId="2F5DC729" w14:textId="77777777" w:rsidR="009D1493" w:rsidRDefault="0052683A" w:rsidP="009D1493">
      <w:pPr>
        <w:rPr>
          <w:b/>
          <w:sz w:val="22"/>
          <w:szCs w:val="22"/>
        </w:rPr>
      </w:pPr>
      <w:r w:rsidRPr="007F2DCD">
        <w:rPr>
          <w:b/>
          <w:sz w:val="22"/>
          <w:szCs w:val="22"/>
        </w:rPr>
        <w:br w:type="page"/>
      </w:r>
    </w:p>
    <w:p w14:paraId="3BAE4889" w14:textId="77777777" w:rsidR="00D56D0F" w:rsidRDefault="00D56D0F" w:rsidP="009D1493">
      <w:pPr>
        <w:rPr>
          <w:b/>
          <w:sz w:val="22"/>
          <w:szCs w:val="22"/>
        </w:rPr>
      </w:pPr>
    </w:p>
    <w:p w14:paraId="02D3BD0E" w14:textId="77777777" w:rsidR="00D56D0F" w:rsidRDefault="009D1493" w:rsidP="006C693F">
      <w:pPr>
        <w:jc w:val="center"/>
        <w:rPr>
          <w:b/>
          <w:sz w:val="22"/>
          <w:szCs w:val="22"/>
        </w:rPr>
      </w:pPr>
      <w:r w:rsidRPr="007F2DCD">
        <w:rPr>
          <w:b/>
          <w:sz w:val="22"/>
          <w:szCs w:val="22"/>
        </w:rPr>
        <w:br w:type="page"/>
      </w:r>
    </w:p>
    <w:p w14:paraId="100871D2" w14:textId="77777777" w:rsidR="00D56D0F" w:rsidRDefault="0045027A" w:rsidP="006C693F">
      <w:pPr>
        <w:jc w:val="center"/>
        <w:rPr>
          <w:rStyle w:val="CommentReference"/>
        </w:rPr>
      </w:pPr>
      <w:r>
        <w:rPr>
          <w:rFonts w:cs="Arial"/>
          <w:b/>
          <w:color w:val="77328A"/>
          <w:sz w:val="30"/>
          <w:szCs w:val="30"/>
        </w:rPr>
        <w:t>Performance Report</w:t>
      </w:r>
      <w:r>
        <w:rPr>
          <w:rStyle w:val="CommentReference"/>
        </w:rPr>
        <w:t xml:space="preserve"> </w:t>
      </w:r>
    </w:p>
    <w:p w14:paraId="2F032D74" w14:textId="77777777" w:rsidR="00D56D0F" w:rsidRPr="0045027A" w:rsidRDefault="0045027A" w:rsidP="005049F6">
      <w:pPr>
        <w:jc w:val="center"/>
        <w:rPr>
          <w:b/>
        </w:rPr>
      </w:pPr>
      <w:r>
        <w:rPr>
          <w:rFonts w:cs="Arial"/>
          <w:b/>
          <w:color w:val="77328A"/>
          <w:sz w:val="30"/>
          <w:szCs w:val="30"/>
        </w:rPr>
        <w:t>Overview</w:t>
      </w:r>
    </w:p>
    <w:p w14:paraId="27F39368" w14:textId="77777777" w:rsidR="00D56D0F" w:rsidRPr="005049F6" w:rsidRDefault="00D56D0F" w:rsidP="006C693F">
      <w:pPr>
        <w:jc w:val="center"/>
        <w:rPr>
          <w:b/>
        </w:rPr>
      </w:pPr>
    </w:p>
    <w:p w14:paraId="466AD592" w14:textId="77777777" w:rsidR="00FF1C2B" w:rsidRDefault="000B2111" w:rsidP="005049F6">
      <w:pPr>
        <w:rPr>
          <w:rFonts w:cs="Arial"/>
          <w:b/>
          <w:color w:val="FF0000"/>
        </w:rPr>
      </w:pPr>
      <w:bookmarkStart w:id="2" w:name="ChiefCommissionersForeword"/>
      <w:r w:rsidRPr="000B2111">
        <w:rPr>
          <w:rFonts w:cs="Arial"/>
          <w:b/>
          <w:color w:val="77328A"/>
        </w:rPr>
        <w:t>Chief Commissioner’s Foreword</w:t>
      </w:r>
      <w:r w:rsidR="000149F6">
        <w:rPr>
          <w:rFonts w:cs="Arial"/>
          <w:b/>
          <w:color w:val="77328A"/>
        </w:rPr>
        <w:t xml:space="preserve"> </w:t>
      </w:r>
    </w:p>
    <w:p w14:paraId="0B90253F" w14:textId="491749AE" w:rsidR="000149F6" w:rsidRDefault="000149F6" w:rsidP="005049F6">
      <w:pPr>
        <w:rPr>
          <w:rFonts w:cs="Arial"/>
          <w:b/>
          <w:color w:val="FF0000"/>
        </w:rPr>
      </w:pPr>
    </w:p>
    <w:p w14:paraId="4B1CDD18" w14:textId="2F8F151A" w:rsidR="00B208B5" w:rsidRDefault="00B208B5" w:rsidP="00B208B5">
      <w:pPr>
        <w:jc w:val="both"/>
        <w:rPr>
          <w:rFonts w:cs="Arial"/>
        </w:rPr>
      </w:pPr>
      <w:r w:rsidRPr="00DF66C8">
        <w:rPr>
          <w:rFonts w:cs="Arial"/>
        </w:rPr>
        <w:t xml:space="preserve">This is the annual report and accounts for 1 April 2021 to 31 March 2022. It reflects a year of loss and enormous challenge but also considerable achievement. The Commission continues to fulfil the functions set out in the Belfast (Good Friday) Agreement and added to since then. It has done so, however, by stretching resources which are now beyond their limit. We continue to seek a way forward that enables the Commission to do its job for the benefit of the people of Northern Ireland.  </w:t>
      </w:r>
    </w:p>
    <w:p w14:paraId="1F295246" w14:textId="77777777" w:rsidR="00B208B5" w:rsidRPr="00DF66C8" w:rsidRDefault="00B208B5" w:rsidP="00B208B5">
      <w:pPr>
        <w:jc w:val="both"/>
        <w:rPr>
          <w:rFonts w:cs="Arial"/>
        </w:rPr>
      </w:pPr>
    </w:p>
    <w:p w14:paraId="2D5AC4DA" w14:textId="7D536D44" w:rsidR="00B208B5" w:rsidRDefault="00B208B5" w:rsidP="00B208B5">
      <w:pPr>
        <w:jc w:val="both"/>
        <w:rPr>
          <w:rFonts w:cs="Arial"/>
        </w:rPr>
      </w:pPr>
      <w:r w:rsidRPr="00DF66C8">
        <w:rPr>
          <w:rFonts w:cs="Arial"/>
        </w:rPr>
        <w:t xml:space="preserve">I was appointed as Chief Commissioner in September 2021. I succeeded Les Allamby, whom I must thank for making my task so much easier than it might have been. Les steered the organisation for seven years during which time he ushered in many advances for human rights. I know Les is proud of his work with the Commission, as he should be. Northern Ireland will continue to benefit from his leadership for some time to come. </w:t>
      </w:r>
    </w:p>
    <w:p w14:paraId="0493C0EB" w14:textId="77777777" w:rsidR="00B208B5" w:rsidRPr="00DF66C8" w:rsidRDefault="00B208B5" w:rsidP="00B208B5">
      <w:pPr>
        <w:jc w:val="both"/>
        <w:rPr>
          <w:rFonts w:cs="Arial"/>
        </w:rPr>
      </w:pPr>
    </w:p>
    <w:p w14:paraId="0E3E9E97" w14:textId="194D950F" w:rsidR="00B208B5" w:rsidRDefault="00B208B5" w:rsidP="00B208B5">
      <w:pPr>
        <w:jc w:val="both"/>
        <w:rPr>
          <w:rFonts w:cs="Arial"/>
        </w:rPr>
      </w:pPr>
      <w:r w:rsidRPr="00DF66C8">
        <w:rPr>
          <w:rFonts w:cs="Arial"/>
        </w:rPr>
        <w:t>Sadly, during this year, Commissioner Maura Muldoon passed away. In the short time she sat as a Commissioner she had an enormous impact both on the Commission and with stakeholders. She was building on a life time as a champion of human rights and equality. The Commission is very sorry not to have her with us but will continue to honour her approach by making human rights more practical and effective for every person in Northern Ireland.</w:t>
      </w:r>
    </w:p>
    <w:p w14:paraId="505C1B91" w14:textId="77777777" w:rsidR="00B208B5" w:rsidRPr="00DF66C8" w:rsidRDefault="00B208B5" w:rsidP="00B208B5">
      <w:pPr>
        <w:jc w:val="both"/>
        <w:rPr>
          <w:rFonts w:cs="Arial"/>
        </w:rPr>
      </w:pPr>
    </w:p>
    <w:p w14:paraId="1356AD99" w14:textId="09DD2AD7" w:rsidR="00B208B5" w:rsidRDefault="00B208B5" w:rsidP="00B208B5">
      <w:pPr>
        <w:jc w:val="both"/>
        <w:rPr>
          <w:rFonts w:cs="Arial"/>
        </w:rPr>
      </w:pPr>
      <w:r w:rsidRPr="00DF66C8">
        <w:rPr>
          <w:rFonts w:cs="Arial"/>
        </w:rPr>
        <w:t xml:space="preserve">The work reflected in this report is due to the incredible team at the Commission. Each and every person has made their own unique contribution and it is greatly appreciated. The Chief Executive David Russell and the Director (Finance, Personnel and Corporate Affairs) Lorraine Hamill require a special thank you for their governance during Covid 19. They kept people safe while making sure that our statutory functions were discharged. </w:t>
      </w:r>
    </w:p>
    <w:p w14:paraId="04C128DD" w14:textId="77777777" w:rsidR="00B208B5" w:rsidRPr="00DF66C8" w:rsidRDefault="00B208B5" w:rsidP="00B208B5">
      <w:pPr>
        <w:jc w:val="both"/>
        <w:rPr>
          <w:rFonts w:cs="Arial"/>
        </w:rPr>
      </w:pPr>
    </w:p>
    <w:p w14:paraId="7F4E7688" w14:textId="77777777" w:rsidR="00B208B5" w:rsidRPr="00DF66C8" w:rsidRDefault="00B208B5" w:rsidP="00B208B5">
      <w:pPr>
        <w:jc w:val="both"/>
        <w:rPr>
          <w:rFonts w:cs="Arial"/>
        </w:rPr>
      </w:pPr>
      <w:r w:rsidRPr="00DF66C8">
        <w:rPr>
          <w:rFonts w:cs="Arial"/>
        </w:rPr>
        <w:t>We learned many lessons and are still implementing our solutions through our revised strategic plan. For example, we identified the pressing and growing need for a human rights approach to the provision of public services. Those considering review of the Human Rights Act 1998 will no doubt keep in mind the desperate need greater protection.</w:t>
      </w:r>
    </w:p>
    <w:p w14:paraId="00264934" w14:textId="77777777" w:rsidR="00B208B5" w:rsidRPr="00DF66C8" w:rsidRDefault="00B208B5" w:rsidP="00B208B5">
      <w:pPr>
        <w:jc w:val="both"/>
        <w:rPr>
          <w:rFonts w:cs="Arial"/>
        </w:rPr>
      </w:pPr>
    </w:p>
    <w:p w14:paraId="57D304DD" w14:textId="77777777" w:rsidR="00B208B5" w:rsidRPr="00DF66C8" w:rsidRDefault="00B208B5" w:rsidP="00B208B5">
      <w:pPr>
        <w:jc w:val="both"/>
        <w:rPr>
          <w:rFonts w:cs="Arial"/>
        </w:rPr>
      </w:pPr>
      <w:r w:rsidRPr="00DF66C8">
        <w:rPr>
          <w:rFonts w:cs="Arial"/>
        </w:rPr>
        <w:t xml:space="preserve">Last year the Commission accepted additional responsibilities to advise on and monitor the rights protections built into the Ireland/Northern Ireland Protocol. With the Equality Commission NI, we form the Dedicated Mechanism. To accommodate that extra work, the Commission was fortunate to find additional staff of expertise and experience who have been working relentlessly to explore the scope of protection and the practical impact of withdrawal from the EU. They have achieved so much already. </w:t>
      </w:r>
    </w:p>
    <w:p w14:paraId="556E7C3C" w14:textId="77777777" w:rsidR="00B208B5" w:rsidRPr="00DF66C8" w:rsidRDefault="00B208B5" w:rsidP="00B208B5">
      <w:pPr>
        <w:jc w:val="both"/>
        <w:rPr>
          <w:rFonts w:cs="Arial"/>
          <w:color w:val="0B0C0C"/>
        </w:rPr>
      </w:pPr>
      <w:bookmarkStart w:id="3" w:name="_Hlk88206201"/>
    </w:p>
    <w:p w14:paraId="0AA0EBE2" w14:textId="77777777" w:rsidR="00B208B5" w:rsidRPr="00DF66C8" w:rsidRDefault="00B208B5" w:rsidP="00B208B5">
      <w:pPr>
        <w:jc w:val="both"/>
        <w:rPr>
          <w:rFonts w:cs="Arial"/>
          <w:color w:val="0B0C0C"/>
        </w:rPr>
      </w:pPr>
      <w:r w:rsidRPr="00DF66C8">
        <w:rPr>
          <w:rFonts w:cs="Arial"/>
          <w:color w:val="0B0C0C"/>
        </w:rPr>
        <w:t xml:space="preserve">Finally, I must thank my colleagues on the Board of the Commission. They have welcomed me, supported me, advised me when I was unsure and come together to keep the Commission as an effective organisation that really makes a difference to the lives of Northern Ireland’s people. Their experience and expertise across a range of disciplines has been of enormous benefit to our work. While they may be part-time Commissioners they have never refused to give me more of their time than I am entitled to expect. I have only ever had to ask and for that I am truly grateful. It has been my pleasure and privilege to chair this Board since September and I look forward to building on our work.  </w:t>
      </w:r>
    </w:p>
    <w:bookmarkEnd w:id="3"/>
    <w:p w14:paraId="5A85E7A9" w14:textId="77777777" w:rsidR="00B208B5" w:rsidRPr="00DF66C8" w:rsidRDefault="00B208B5" w:rsidP="00B208B5">
      <w:pPr>
        <w:jc w:val="both"/>
        <w:rPr>
          <w:rFonts w:cs="Arial"/>
          <w:color w:val="0B0C0C"/>
        </w:rPr>
      </w:pPr>
    </w:p>
    <w:p w14:paraId="1D727BDE" w14:textId="77777777" w:rsidR="00B208B5" w:rsidRDefault="00B208B5" w:rsidP="005049F6">
      <w:pPr>
        <w:rPr>
          <w:rFonts w:cs="Arial"/>
          <w:b/>
          <w:color w:val="FF0000"/>
        </w:rPr>
      </w:pPr>
    </w:p>
    <w:p w14:paraId="33F1A83F" w14:textId="77777777" w:rsidR="009527E9" w:rsidRPr="008A5EF2" w:rsidRDefault="009527E9" w:rsidP="009527E9"/>
    <w:bookmarkEnd w:id="2"/>
    <w:p w14:paraId="4F63F6A1" w14:textId="77777777" w:rsidR="00042BB0" w:rsidRDefault="00042BB0" w:rsidP="007520FB">
      <w:pPr>
        <w:rPr>
          <w:b/>
          <w:sz w:val="22"/>
          <w:szCs w:val="22"/>
        </w:rPr>
      </w:pPr>
    </w:p>
    <w:p w14:paraId="48F96DAF" w14:textId="77777777" w:rsidR="009A6DE3" w:rsidRPr="007F2DCD" w:rsidRDefault="00042BB0" w:rsidP="007520FB">
      <w:pPr>
        <w:rPr>
          <w:b/>
          <w:sz w:val="22"/>
          <w:szCs w:val="22"/>
        </w:rPr>
      </w:pPr>
      <w:r>
        <w:rPr>
          <w:b/>
          <w:sz w:val="22"/>
          <w:szCs w:val="22"/>
        </w:rPr>
        <w:t>Alyson Kilpatrick</w:t>
      </w:r>
    </w:p>
    <w:p w14:paraId="23F19B55" w14:textId="77777777" w:rsidR="007520FB" w:rsidRPr="007F2DCD" w:rsidRDefault="009A6DE3" w:rsidP="007520FB">
      <w:pPr>
        <w:rPr>
          <w:sz w:val="22"/>
          <w:szCs w:val="22"/>
        </w:rPr>
      </w:pPr>
      <w:r w:rsidRPr="007F2DCD">
        <w:rPr>
          <w:b/>
          <w:sz w:val="22"/>
          <w:szCs w:val="22"/>
        </w:rPr>
        <w:t>Chief Commissioner</w:t>
      </w:r>
      <w:r w:rsidR="007520FB" w:rsidRPr="007F2DCD">
        <w:rPr>
          <w:b/>
          <w:sz w:val="22"/>
          <w:szCs w:val="22"/>
        </w:rPr>
        <w:br w:type="page"/>
      </w:r>
    </w:p>
    <w:p w14:paraId="06E0CDAB" w14:textId="77777777" w:rsidR="000B2111" w:rsidRPr="005049F6" w:rsidRDefault="009A4B3C" w:rsidP="000B2111">
      <w:pPr>
        <w:rPr>
          <w:b/>
        </w:rPr>
      </w:pPr>
      <w:bookmarkStart w:id="4" w:name="StatementofPurposeandActivities"/>
      <w:r>
        <w:rPr>
          <w:rFonts w:cs="Arial"/>
          <w:b/>
          <w:color w:val="77328A"/>
        </w:rPr>
        <w:t>Statement of Purpose and Activities of the Organisation</w:t>
      </w:r>
    </w:p>
    <w:bookmarkEnd w:id="4"/>
    <w:p w14:paraId="793EDF07" w14:textId="77777777" w:rsidR="00D56D0F" w:rsidRDefault="00D56D0F" w:rsidP="006C693F">
      <w:pPr>
        <w:jc w:val="center"/>
        <w:rPr>
          <w:b/>
        </w:rPr>
      </w:pPr>
    </w:p>
    <w:p w14:paraId="7BFEFB70" w14:textId="77777777" w:rsidR="00517462" w:rsidRPr="008C73A2" w:rsidRDefault="00517462" w:rsidP="00517462">
      <w:pPr>
        <w:widowControl w:val="0"/>
        <w:autoSpaceDE w:val="0"/>
        <w:autoSpaceDN w:val="0"/>
        <w:adjustRightInd w:val="0"/>
        <w:rPr>
          <w:b/>
        </w:rPr>
      </w:pPr>
      <w:r w:rsidRPr="008C73A2">
        <w:rPr>
          <w:b/>
        </w:rPr>
        <w:t>Introduction</w:t>
      </w:r>
      <w:r w:rsidR="006C2DD7">
        <w:rPr>
          <w:b/>
        </w:rPr>
        <w:t xml:space="preserve"> </w:t>
      </w:r>
    </w:p>
    <w:p w14:paraId="0000E71C" w14:textId="77777777" w:rsidR="00517462" w:rsidRPr="003F7E43" w:rsidRDefault="00517462" w:rsidP="00517462">
      <w:pPr>
        <w:widowControl w:val="0"/>
        <w:autoSpaceDE w:val="0"/>
        <w:autoSpaceDN w:val="0"/>
        <w:adjustRightInd w:val="0"/>
        <w:rPr>
          <w:b/>
        </w:rPr>
      </w:pPr>
    </w:p>
    <w:p w14:paraId="3DAED48B" w14:textId="77777777" w:rsidR="00F97B80" w:rsidRPr="006E6AE8" w:rsidRDefault="00F97B80" w:rsidP="00F97B80">
      <w:pPr>
        <w:widowControl w:val="0"/>
        <w:autoSpaceDE w:val="0"/>
        <w:autoSpaceDN w:val="0"/>
        <w:adjustRightInd w:val="0"/>
        <w:rPr>
          <w:color w:val="auto"/>
        </w:rPr>
      </w:pPr>
      <w:r w:rsidRPr="006E6AE8">
        <w:rPr>
          <w:color w:val="auto"/>
        </w:rPr>
        <w:t xml:space="preserve">I am pleased to report on the </w:t>
      </w:r>
      <w:r w:rsidR="00785676" w:rsidRPr="006E6AE8">
        <w:rPr>
          <w:color w:val="auto"/>
        </w:rPr>
        <w:t xml:space="preserve">work </w:t>
      </w:r>
      <w:r w:rsidRPr="006E6AE8">
        <w:rPr>
          <w:color w:val="auto"/>
        </w:rPr>
        <w:t xml:space="preserve">of the Northern Ireland </w:t>
      </w:r>
      <w:r w:rsidR="00C200AF" w:rsidRPr="006E6AE8">
        <w:rPr>
          <w:color w:val="auto"/>
        </w:rPr>
        <w:t xml:space="preserve">Human </w:t>
      </w:r>
      <w:r w:rsidRPr="006E6AE8">
        <w:rPr>
          <w:color w:val="auto"/>
        </w:rPr>
        <w:t>Rights Commission</w:t>
      </w:r>
      <w:r w:rsidR="00C200AF" w:rsidRPr="006E6AE8">
        <w:rPr>
          <w:color w:val="auto"/>
        </w:rPr>
        <w:t xml:space="preserve"> in</w:t>
      </w:r>
      <w:r w:rsidR="009A6DE3" w:rsidRPr="006E6AE8">
        <w:rPr>
          <w:color w:val="auto"/>
        </w:rPr>
        <w:t xml:space="preserve"> </w:t>
      </w:r>
      <w:r w:rsidR="00F01EB8">
        <w:rPr>
          <w:color w:val="auto"/>
        </w:rPr>
        <w:t>2021-22</w:t>
      </w:r>
      <w:r w:rsidR="000B7B5E" w:rsidRPr="006E6AE8">
        <w:rPr>
          <w:color w:val="auto"/>
        </w:rPr>
        <w:t>.</w:t>
      </w:r>
      <w:r w:rsidRPr="006E6AE8">
        <w:rPr>
          <w:color w:val="auto"/>
        </w:rPr>
        <w:t xml:space="preserve"> </w:t>
      </w:r>
    </w:p>
    <w:p w14:paraId="771CBB40" w14:textId="77777777" w:rsidR="00517462" w:rsidRPr="006E6AE8" w:rsidRDefault="00517462" w:rsidP="00517462">
      <w:pPr>
        <w:widowControl w:val="0"/>
        <w:autoSpaceDE w:val="0"/>
        <w:autoSpaceDN w:val="0"/>
        <w:adjustRightInd w:val="0"/>
        <w:rPr>
          <w:color w:val="auto"/>
        </w:rPr>
      </w:pPr>
    </w:p>
    <w:p w14:paraId="24487D50" w14:textId="77777777" w:rsidR="006867D6" w:rsidRPr="006867D6" w:rsidRDefault="006867D6" w:rsidP="006867D6">
      <w:pPr>
        <w:widowControl w:val="0"/>
        <w:autoSpaceDE w:val="0"/>
        <w:autoSpaceDN w:val="0"/>
        <w:adjustRightInd w:val="0"/>
        <w:rPr>
          <w:bCs/>
          <w:color w:val="auto"/>
        </w:rPr>
      </w:pPr>
      <w:r w:rsidRPr="006867D6">
        <w:rPr>
          <w:bCs/>
          <w:color w:val="auto"/>
        </w:rPr>
        <w:t xml:space="preserve">The Commission was established by the Belfast (Good Friday) Agreement. Our governing legislation is the Northern Ireland Act 1998, as amended by the Justice and Security (Northern Ireland) Act 2007 and the European Union (Withdrawal Agreement) Act 2020. </w:t>
      </w:r>
    </w:p>
    <w:p w14:paraId="0BFC31AB" w14:textId="77777777" w:rsidR="006867D6" w:rsidRPr="006867D6" w:rsidRDefault="006867D6" w:rsidP="006867D6">
      <w:pPr>
        <w:widowControl w:val="0"/>
        <w:autoSpaceDE w:val="0"/>
        <w:autoSpaceDN w:val="0"/>
        <w:adjustRightInd w:val="0"/>
        <w:rPr>
          <w:bCs/>
          <w:color w:val="auto"/>
        </w:rPr>
      </w:pPr>
    </w:p>
    <w:p w14:paraId="650A2B29" w14:textId="77777777" w:rsidR="006867D6" w:rsidRDefault="006867D6" w:rsidP="00785676">
      <w:pPr>
        <w:widowControl w:val="0"/>
        <w:autoSpaceDE w:val="0"/>
        <w:autoSpaceDN w:val="0"/>
        <w:adjustRightInd w:val="0"/>
        <w:rPr>
          <w:bCs/>
        </w:rPr>
      </w:pPr>
      <w:r w:rsidRPr="006867D6">
        <w:rPr>
          <w:bCs/>
          <w:color w:val="auto"/>
        </w:rPr>
        <w:t xml:space="preserve">The Commission is a National Human Rights Institution with A status accreditation from the United Nations. This recognition </w:t>
      </w:r>
      <w:r w:rsidRPr="006E6AE8">
        <w:rPr>
          <w:rFonts w:cs="Verdana"/>
          <w:color w:val="auto"/>
        </w:rPr>
        <w:t>affords special access to the United Nations Human Rights Council and treaty bodies.</w:t>
      </w:r>
      <w:r>
        <w:rPr>
          <w:rFonts w:cs="Verdana"/>
          <w:color w:val="auto"/>
        </w:rPr>
        <w:t xml:space="preserve"> It </w:t>
      </w:r>
      <w:r w:rsidRPr="006867D6">
        <w:rPr>
          <w:bCs/>
          <w:color w:val="auto"/>
        </w:rPr>
        <w:t xml:space="preserve">means that the organisation operates independently in full accordance with the </w:t>
      </w:r>
      <w:r w:rsidRPr="006867D6">
        <w:rPr>
          <w:bCs/>
          <w:color w:val="auto"/>
          <w:lang w:val="en-US"/>
        </w:rPr>
        <w:t>United Nations General Assembly Resolution 48/134 (the Paris Principles)</w:t>
      </w:r>
      <w:r w:rsidRPr="006867D6">
        <w:rPr>
          <w:bCs/>
          <w:color w:val="auto"/>
        </w:rPr>
        <w:t>.</w:t>
      </w:r>
      <w:r>
        <w:rPr>
          <w:bCs/>
          <w:color w:val="auto"/>
        </w:rPr>
        <w:t xml:space="preserve"> Further </w:t>
      </w:r>
      <w:r w:rsidR="000F5BB9" w:rsidRPr="006E6AE8">
        <w:rPr>
          <w:rFonts w:cs="Arial"/>
          <w:color w:val="auto"/>
        </w:rPr>
        <w:t xml:space="preserve">information is available at: </w:t>
      </w:r>
      <w:hyperlink r:id="rId18" w:history="1">
        <w:r w:rsidR="000F5BB9" w:rsidRPr="003F7E43">
          <w:rPr>
            <w:rStyle w:val="Hyperlink"/>
            <w:rFonts w:cs="Arial"/>
          </w:rPr>
          <w:t>www.ohchr.org/english/law/parisprinciples</w:t>
        </w:r>
      </w:hyperlink>
      <w:r w:rsidR="000F5BB9" w:rsidRPr="003F7E43">
        <w:rPr>
          <w:rFonts w:cs="Arial"/>
        </w:rPr>
        <w:t>)</w:t>
      </w:r>
      <w:r w:rsidR="000F5BB9" w:rsidRPr="003F7E43">
        <w:rPr>
          <w:bCs/>
        </w:rPr>
        <w:t xml:space="preserve">. </w:t>
      </w:r>
    </w:p>
    <w:p w14:paraId="5226AD05" w14:textId="77777777" w:rsidR="000F5BB9" w:rsidRPr="006E6AE8" w:rsidRDefault="000F5BB9" w:rsidP="00785676">
      <w:pPr>
        <w:widowControl w:val="0"/>
        <w:autoSpaceDE w:val="0"/>
        <w:autoSpaceDN w:val="0"/>
        <w:adjustRightInd w:val="0"/>
        <w:rPr>
          <w:rFonts w:cs="Arial"/>
          <w:color w:val="auto"/>
        </w:rPr>
      </w:pPr>
    </w:p>
    <w:p w14:paraId="30C86C96" w14:textId="77777777" w:rsidR="006867D6" w:rsidRDefault="006867D6" w:rsidP="00517462">
      <w:pPr>
        <w:widowControl w:val="0"/>
        <w:autoSpaceDE w:val="0"/>
        <w:autoSpaceDN w:val="0"/>
        <w:adjustRightInd w:val="0"/>
        <w:rPr>
          <w:color w:val="auto"/>
        </w:rPr>
      </w:pPr>
      <w:r w:rsidRPr="006867D6">
        <w:rPr>
          <w:color w:val="auto"/>
        </w:rPr>
        <w:t xml:space="preserve">The Commission is also a non-departmental public body, and receives grant-in-aid from the United Kingdom government through the Northern Ireland Office. </w:t>
      </w:r>
      <w:r w:rsidR="006D76FA">
        <w:rPr>
          <w:color w:val="auto"/>
        </w:rPr>
        <w:t>It</w:t>
      </w:r>
      <w:r w:rsidRPr="006867D6">
        <w:rPr>
          <w:color w:val="auto"/>
        </w:rPr>
        <w:t xml:space="preserve"> report</w:t>
      </w:r>
      <w:r w:rsidR="006D76FA">
        <w:rPr>
          <w:color w:val="auto"/>
        </w:rPr>
        <w:t>s</w:t>
      </w:r>
      <w:r w:rsidRPr="006867D6">
        <w:rPr>
          <w:color w:val="auto"/>
        </w:rPr>
        <w:t xml:space="preserve"> to Parliament through the Secretary of State for Northern Ireland.</w:t>
      </w:r>
    </w:p>
    <w:p w14:paraId="13FA932E" w14:textId="77777777" w:rsidR="006867D6" w:rsidRPr="006E6AE8" w:rsidRDefault="006867D6" w:rsidP="00517462">
      <w:pPr>
        <w:widowControl w:val="0"/>
        <w:autoSpaceDE w:val="0"/>
        <w:autoSpaceDN w:val="0"/>
        <w:adjustRightInd w:val="0"/>
        <w:rPr>
          <w:color w:val="auto"/>
        </w:rPr>
      </w:pPr>
    </w:p>
    <w:p w14:paraId="0EED19A4" w14:textId="77777777" w:rsidR="00517462" w:rsidRPr="006E6AE8" w:rsidRDefault="00517462" w:rsidP="00517462">
      <w:pPr>
        <w:rPr>
          <w:b/>
          <w:bCs/>
          <w:color w:val="auto"/>
        </w:rPr>
      </w:pPr>
      <w:r w:rsidRPr="006E6AE8">
        <w:rPr>
          <w:b/>
          <w:bCs/>
          <w:color w:val="auto"/>
        </w:rPr>
        <w:t>What we do</w:t>
      </w:r>
      <w:r w:rsidR="00EF03EB">
        <w:rPr>
          <w:b/>
          <w:bCs/>
          <w:color w:val="auto"/>
        </w:rPr>
        <w:t xml:space="preserve"> </w:t>
      </w:r>
    </w:p>
    <w:p w14:paraId="38FD5875" w14:textId="77777777" w:rsidR="00517462" w:rsidRPr="006E6AE8" w:rsidRDefault="00517462" w:rsidP="00517462">
      <w:pPr>
        <w:rPr>
          <w:b/>
          <w:bCs/>
          <w:color w:val="auto"/>
        </w:rPr>
      </w:pPr>
    </w:p>
    <w:p w14:paraId="6A375CF7" w14:textId="45FC7F8F" w:rsidR="00402F91" w:rsidRPr="00402F91" w:rsidRDefault="00402F91" w:rsidP="00402F91">
      <w:pPr>
        <w:autoSpaceDE w:val="0"/>
        <w:autoSpaceDN w:val="0"/>
        <w:adjustRightInd w:val="0"/>
        <w:rPr>
          <w:rFonts w:cs="VGOJM V+ Zurich BT"/>
          <w:bCs/>
          <w:color w:val="auto"/>
        </w:rPr>
      </w:pPr>
      <w:r w:rsidRPr="00402F91">
        <w:rPr>
          <w:rFonts w:cs="VGOJM V+ Zurich BT"/>
          <w:bCs/>
          <w:color w:val="auto"/>
        </w:rPr>
        <w:t xml:space="preserve">The Commission’s primary role is to make sure government and public authorities protect, respect and fulfil the human rights of everyone in Northern Ireland. We also help people understand what their human rights are and what they can do if their rights are violated or abused. To pursue this </w:t>
      </w:r>
      <w:r w:rsidR="000C7C45" w:rsidRPr="00402F91">
        <w:rPr>
          <w:rFonts w:cs="VGOJM V+ Zurich BT"/>
          <w:bCs/>
          <w:color w:val="auto"/>
        </w:rPr>
        <w:t>objective,</w:t>
      </w:r>
      <w:r w:rsidRPr="00402F91">
        <w:rPr>
          <w:rFonts w:cs="VGOJM V+ Zurich BT"/>
          <w:bCs/>
          <w:color w:val="auto"/>
        </w:rPr>
        <w:t xml:space="preserve"> we consider the full range of civil, political, social, economic and cultural rights. Our work is based on the international human rights treaties ratified by the United Kingdom government, domestic legislation and relevant soft law standards.</w:t>
      </w:r>
    </w:p>
    <w:p w14:paraId="68F64F1D" w14:textId="77777777" w:rsidR="00402F91" w:rsidRPr="00402F91" w:rsidRDefault="00402F91" w:rsidP="00402F91">
      <w:pPr>
        <w:autoSpaceDE w:val="0"/>
        <w:autoSpaceDN w:val="0"/>
        <w:adjustRightInd w:val="0"/>
        <w:rPr>
          <w:rFonts w:cs="VGOJM V+ Zurich BT"/>
          <w:bCs/>
          <w:color w:val="auto"/>
        </w:rPr>
      </w:pPr>
    </w:p>
    <w:p w14:paraId="4C45EE24" w14:textId="77777777" w:rsidR="00402F91" w:rsidRPr="00402F91" w:rsidRDefault="00402F91" w:rsidP="00402F91">
      <w:pPr>
        <w:autoSpaceDE w:val="0"/>
        <w:autoSpaceDN w:val="0"/>
        <w:adjustRightInd w:val="0"/>
        <w:rPr>
          <w:rFonts w:cs="VGOJM V+ Zurich BT"/>
          <w:bCs/>
          <w:color w:val="auto"/>
        </w:rPr>
      </w:pPr>
      <w:r w:rsidRPr="00402F91">
        <w:rPr>
          <w:rFonts w:cs="VGOJM V+ Zurich BT"/>
          <w:bCs/>
          <w:color w:val="auto"/>
        </w:rPr>
        <w:t xml:space="preserve">The statutory functions of the Commission in accordance with the Northern Ireland Act 1998 are: </w:t>
      </w:r>
    </w:p>
    <w:p w14:paraId="31CDB66B" w14:textId="77777777" w:rsidR="00402F91" w:rsidRPr="00402F91" w:rsidRDefault="00402F91" w:rsidP="00402F91">
      <w:pPr>
        <w:autoSpaceDE w:val="0"/>
        <w:autoSpaceDN w:val="0"/>
        <w:adjustRightInd w:val="0"/>
        <w:rPr>
          <w:rFonts w:cs="VGOJM V+ Zurich BT"/>
          <w:bCs/>
          <w:color w:val="auto"/>
        </w:rPr>
      </w:pPr>
    </w:p>
    <w:p w14:paraId="3BDBEA75" w14:textId="77777777" w:rsidR="00402F91" w:rsidRPr="00402F91" w:rsidRDefault="00402F91" w:rsidP="00310B25">
      <w:pPr>
        <w:numPr>
          <w:ilvl w:val="0"/>
          <w:numId w:val="14"/>
        </w:numPr>
        <w:autoSpaceDE w:val="0"/>
        <w:autoSpaceDN w:val="0"/>
        <w:adjustRightInd w:val="0"/>
        <w:rPr>
          <w:rFonts w:cs="VGOJM V+ Zurich BT"/>
          <w:bCs/>
          <w:color w:val="auto"/>
        </w:rPr>
      </w:pPr>
      <w:r w:rsidRPr="00402F91">
        <w:rPr>
          <w:rFonts w:cs="VGOJM V+ Zurich BT"/>
          <w:bCs/>
          <w:color w:val="auto"/>
        </w:rPr>
        <w:t>keeping under review the adequacy and effectiveness in Northern Ireland of law and practice relating to the protection of human rights.</w:t>
      </w:r>
    </w:p>
    <w:p w14:paraId="7EBE5E32" w14:textId="77777777" w:rsidR="00402F91" w:rsidRPr="00402F91" w:rsidRDefault="00402F91" w:rsidP="00402F91">
      <w:pPr>
        <w:autoSpaceDE w:val="0"/>
        <w:autoSpaceDN w:val="0"/>
        <w:adjustRightInd w:val="0"/>
        <w:rPr>
          <w:rFonts w:cs="VGOJM V+ Zurich BT"/>
          <w:bCs/>
          <w:color w:val="auto"/>
        </w:rPr>
      </w:pPr>
    </w:p>
    <w:p w14:paraId="6830A03E" w14:textId="77777777" w:rsidR="00402F91" w:rsidRPr="00402F91" w:rsidRDefault="00402F91" w:rsidP="00310B25">
      <w:pPr>
        <w:numPr>
          <w:ilvl w:val="0"/>
          <w:numId w:val="14"/>
        </w:numPr>
        <w:autoSpaceDE w:val="0"/>
        <w:autoSpaceDN w:val="0"/>
        <w:adjustRightInd w:val="0"/>
        <w:rPr>
          <w:rFonts w:cs="VGOJM V+ Zurich BT"/>
          <w:bCs/>
          <w:color w:val="auto"/>
        </w:rPr>
      </w:pPr>
      <w:r w:rsidRPr="00402F91">
        <w:rPr>
          <w:rFonts w:cs="VGOJM V+ Zurich BT"/>
          <w:bCs/>
          <w:color w:val="auto"/>
        </w:rPr>
        <w:t>advising the Secretary of State and the Northern Ireland Executive of legislative and other measures which ought to be taken to protect human rights—as soon as reasonably practicable after receipt of a general or specific request for advice; and on such other occasions as the Commission thinks appropriate.</w:t>
      </w:r>
    </w:p>
    <w:p w14:paraId="2C8062EF" w14:textId="77777777" w:rsidR="00402F91" w:rsidRPr="00402F91" w:rsidRDefault="00402F91" w:rsidP="00402F91">
      <w:pPr>
        <w:autoSpaceDE w:val="0"/>
        <w:autoSpaceDN w:val="0"/>
        <w:adjustRightInd w:val="0"/>
        <w:rPr>
          <w:rFonts w:cs="VGOJM V+ Zurich BT"/>
          <w:bCs/>
          <w:color w:val="auto"/>
        </w:rPr>
      </w:pPr>
    </w:p>
    <w:p w14:paraId="546040B1" w14:textId="77777777" w:rsidR="00402F91" w:rsidRPr="00402F91" w:rsidRDefault="00402F91" w:rsidP="00310B25">
      <w:pPr>
        <w:numPr>
          <w:ilvl w:val="0"/>
          <w:numId w:val="14"/>
        </w:numPr>
        <w:autoSpaceDE w:val="0"/>
        <w:autoSpaceDN w:val="0"/>
        <w:adjustRightInd w:val="0"/>
        <w:rPr>
          <w:rFonts w:cs="VGOJM V+ Zurich BT"/>
          <w:bCs/>
          <w:color w:val="auto"/>
        </w:rPr>
      </w:pPr>
      <w:r w:rsidRPr="00402F91">
        <w:rPr>
          <w:rFonts w:cs="VGOJM V+ Zurich BT"/>
          <w:bCs/>
          <w:color w:val="auto"/>
        </w:rPr>
        <w:t>advising the Northern Ireland Assembly whether legislative Bills are compatible with human rights</w:t>
      </w:r>
    </w:p>
    <w:p w14:paraId="0B9EA64A" w14:textId="77777777" w:rsidR="00402F91" w:rsidRPr="00402F91" w:rsidRDefault="00402F91" w:rsidP="00402F91">
      <w:pPr>
        <w:autoSpaceDE w:val="0"/>
        <w:autoSpaceDN w:val="0"/>
        <w:adjustRightInd w:val="0"/>
        <w:rPr>
          <w:rFonts w:cs="VGOJM V+ Zurich BT"/>
          <w:bCs/>
          <w:color w:val="auto"/>
        </w:rPr>
      </w:pPr>
    </w:p>
    <w:p w14:paraId="605E0C25" w14:textId="77777777" w:rsidR="00402F91" w:rsidRPr="00402F91" w:rsidRDefault="00402F91" w:rsidP="00310B25">
      <w:pPr>
        <w:numPr>
          <w:ilvl w:val="0"/>
          <w:numId w:val="14"/>
        </w:numPr>
        <w:autoSpaceDE w:val="0"/>
        <w:autoSpaceDN w:val="0"/>
        <w:adjustRightInd w:val="0"/>
        <w:rPr>
          <w:rFonts w:cs="VGOJM V+ Zurich BT"/>
          <w:bCs/>
          <w:color w:val="auto"/>
        </w:rPr>
      </w:pPr>
      <w:r w:rsidRPr="00402F91">
        <w:rPr>
          <w:rFonts w:cs="VGOJM V+ Zurich BT"/>
          <w:bCs/>
          <w:color w:val="auto"/>
        </w:rPr>
        <w:t>providing advice to the UK government and Westminster Parliament on matters affecting human rights in NI.</w:t>
      </w:r>
    </w:p>
    <w:p w14:paraId="1304C82D" w14:textId="77777777" w:rsidR="00402F91" w:rsidRPr="00402F91" w:rsidRDefault="00402F91" w:rsidP="00402F91">
      <w:pPr>
        <w:autoSpaceDE w:val="0"/>
        <w:autoSpaceDN w:val="0"/>
        <w:adjustRightInd w:val="0"/>
        <w:rPr>
          <w:rFonts w:cs="VGOJM V+ Zurich BT"/>
          <w:bCs/>
          <w:color w:val="auto"/>
        </w:rPr>
      </w:pPr>
    </w:p>
    <w:p w14:paraId="39802CEE" w14:textId="77777777" w:rsidR="00402F91" w:rsidRPr="00402F91" w:rsidRDefault="00402F91" w:rsidP="00310B25">
      <w:pPr>
        <w:numPr>
          <w:ilvl w:val="0"/>
          <w:numId w:val="14"/>
        </w:numPr>
        <w:autoSpaceDE w:val="0"/>
        <w:autoSpaceDN w:val="0"/>
        <w:adjustRightInd w:val="0"/>
        <w:rPr>
          <w:rFonts w:cs="VGOJM V+ Zurich BT"/>
          <w:bCs/>
          <w:color w:val="auto"/>
        </w:rPr>
      </w:pPr>
      <w:r w:rsidRPr="00402F91">
        <w:rPr>
          <w:rFonts w:cs="VGOJM V+ Zurich BT"/>
          <w:bCs/>
          <w:color w:val="auto"/>
        </w:rPr>
        <w:t>conducting investigations on systemic human rights issues. To do so, we may enter places of detention, and can compel individuals and agencies to give oral testimony or to produce documents.</w:t>
      </w:r>
    </w:p>
    <w:p w14:paraId="0548845A" w14:textId="77777777" w:rsidR="00402F91" w:rsidRPr="00402F91" w:rsidRDefault="00402F91" w:rsidP="00402F91">
      <w:pPr>
        <w:autoSpaceDE w:val="0"/>
        <w:autoSpaceDN w:val="0"/>
        <w:adjustRightInd w:val="0"/>
        <w:rPr>
          <w:rFonts w:cs="VGOJM V+ Zurich BT"/>
          <w:bCs/>
          <w:color w:val="auto"/>
        </w:rPr>
      </w:pPr>
    </w:p>
    <w:p w14:paraId="4A0A14A9" w14:textId="77777777" w:rsidR="00402F91" w:rsidRPr="00402F91" w:rsidRDefault="00402F91" w:rsidP="00310B25">
      <w:pPr>
        <w:numPr>
          <w:ilvl w:val="0"/>
          <w:numId w:val="14"/>
        </w:numPr>
        <w:autoSpaceDE w:val="0"/>
        <w:autoSpaceDN w:val="0"/>
        <w:adjustRightInd w:val="0"/>
        <w:rPr>
          <w:rFonts w:cs="VGOJM V+ Zurich BT"/>
          <w:bCs/>
          <w:color w:val="auto"/>
        </w:rPr>
      </w:pPr>
      <w:r w:rsidRPr="00402F91">
        <w:rPr>
          <w:rFonts w:cs="VGOJM V+ Zurich BT"/>
          <w:bCs/>
          <w:color w:val="auto"/>
        </w:rPr>
        <w:t>promoting understanding and awareness of the importance of human rights in Northern Ireland. To do so, we may undertake or support research and educational activities.</w:t>
      </w:r>
    </w:p>
    <w:p w14:paraId="7FC7786C" w14:textId="77777777" w:rsidR="00402F91" w:rsidRPr="00402F91" w:rsidRDefault="00402F91" w:rsidP="00402F91">
      <w:pPr>
        <w:autoSpaceDE w:val="0"/>
        <w:autoSpaceDN w:val="0"/>
        <w:adjustRightInd w:val="0"/>
        <w:rPr>
          <w:rFonts w:cs="VGOJM V+ Zurich BT"/>
          <w:bCs/>
          <w:color w:val="auto"/>
        </w:rPr>
      </w:pPr>
    </w:p>
    <w:p w14:paraId="2263D00E" w14:textId="77777777" w:rsidR="00402F91" w:rsidRPr="00402F91" w:rsidRDefault="00402F91" w:rsidP="00310B25">
      <w:pPr>
        <w:numPr>
          <w:ilvl w:val="0"/>
          <w:numId w:val="14"/>
        </w:numPr>
        <w:autoSpaceDE w:val="0"/>
        <w:autoSpaceDN w:val="0"/>
        <w:adjustRightInd w:val="0"/>
        <w:rPr>
          <w:rFonts w:cs="VGOJM V+ Zurich BT"/>
          <w:bCs/>
          <w:color w:val="auto"/>
        </w:rPr>
      </w:pPr>
      <w:r w:rsidRPr="00402F91">
        <w:rPr>
          <w:rFonts w:cs="VGOJM V+ Zurich BT"/>
          <w:bCs/>
          <w:color w:val="auto"/>
        </w:rPr>
        <w:t>providing legal assistance to individuals and initiating strategic cases, including own motion legal challenges.</w:t>
      </w:r>
    </w:p>
    <w:p w14:paraId="6A3176A2" w14:textId="77777777" w:rsidR="00402F91" w:rsidRPr="00402F91" w:rsidRDefault="00402F91" w:rsidP="00402F91">
      <w:pPr>
        <w:autoSpaceDE w:val="0"/>
        <w:autoSpaceDN w:val="0"/>
        <w:adjustRightInd w:val="0"/>
        <w:rPr>
          <w:rFonts w:cs="VGOJM V+ Zurich BT"/>
          <w:bCs/>
          <w:color w:val="auto"/>
        </w:rPr>
      </w:pPr>
    </w:p>
    <w:p w14:paraId="06A124FC" w14:textId="77777777" w:rsidR="00402F91" w:rsidRPr="00402F91" w:rsidRDefault="00402F91" w:rsidP="00310B25">
      <w:pPr>
        <w:numPr>
          <w:ilvl w:val="0"/>
          <w:numId w:val="14"/>
        </w:numPr>
        <w:autoSpaceDE w:val="0"/>
        <w:autoSpaceDN w:val="0"/>
        <w:adjustRightInd w:val="0"/>
        <w:rPr>
          <w:rFonts w:cs="VGOJM V+ Zurich BT"/>
          <w:bCs/>
          <w:color w:val="auto"/>
        </w:rPr>
      </w:pPr>
      <w:r w:rsidRPr="00402F91">
        <w:rPr>
          <w:rFonts w:cs="VGOJM V+ Zurich BT"/>
          <w:bCs/>
          <w:color w:val="auto"/>
        </w:rPr>
        <w:t>monitoring the implementation of international human rights treaties and reporting to the United Nations and Council of Europe.</w:t>
      </w:r>
    </w:p>
    <w:p w14:paraId="6F147BE2" w14:textId="77777777" w:rsidR="00402F91" w:rsidRPr="00402F91" w:rsidRDefault="00402F91" w:rsidP="00402F91">
      <w:pPr>
        <w:autoSpaceDE w:val="0"/>
        <w:autoSpaceDN w:val="0"/>
        <w:adjustRightInd w:val="0"/>
        <w:rPr>
          <w:rFonts w:cs="VGOJM V+ Zurich BT"/>
          <w:bCs/>
          <w:color w:val="auto"/>
        </w:rPr>
      </w:pPr>
    </w:p>
    <w:p w14:paraId="7FE190F9" w14:textId="77777777" w:rsidR="00402F91" w:rsidRPr="00402F91" w:rsidRDefault="00402F91" w:rsidP="00310B25">
      <w:pPr>
        <w:numPr>
          <w:ilvl w:val="0"/>
          <w:numId w:val="14"/>
        </w:numPr>
        <w:autoSpaceDE w:val="0"/>
        <w:autoSpaceDN w:val="0"/>
        <w:adjustRightInd w:val="0"/>
        <w:rPr>
          <w:rFonts w:cs="VGOJM V+ Zurich BT"/>
          <w:bCs/>
          <w:color w:val="auto"/>
        </w:rPr>
      </w:pPr>
      <w:r w:rsidRPr="00402F91">
        <w:rPr>
          <w:rFonts w:cs="VGOJM V+ Zurich BT"/>
          <w:bCs/>
          <w:color w:val="auto"/>
        </w:rPr>
        <w:t>working in partnership with the Irish Human Rights and Equality Commission as mandated through the joint committee created in accordance with the Belfast (Good Friday) Agreement.</w:t>
      </w:r>
    </w:p>
    <w:p w14:paraId="0B8394AD" w14:textId="77777777" w:rsidR="00402F91" w:rsidRPr="00402F91" w:rsidRDefault="00402F91" w:rsidP="00402F91">
      <w:pPr>
        <w:autoSpaceDE w:val="0"/>
        <w:autoSpaceDN w:val="0"/>
        <w:adjustRightInd w:val="0"/>
        <w:rPr>
          <w:rFonts w:cs="VGOJM V+ Zurich BT"/>
          <w:bCs/>
          <w:color w:val="auto"/>
        </w:rPr>
      </w:pPr>
    </w:p>
    <w:p w14:paraId="51EB59D5" w14:textId="77777777" w:rsidR="00402F91" w:rsidRDefault="6D9E0A1E" w:rsidP="62F844E5">
      <w:pPr>
        <w:rPr>
          <w:rFonts w:cs="VGOJM V+ Zurich BT"/>
          <w:color w:val="auto"/>
        </w:rPr>
      </w:pPr>
      <w:r w:rsidRPr="62F844E5">
        <w:rPr>
          <w:rFonts w:eastAsia="Verdana" w:cs="Verdana"/>
        </w:rPr>
        <w:t>The Commission is mandated in accordance with Article 2(1) of the Protocol on Ireland/Northern Ireland of the European Union Withdrawal Agreement to ensure there is no diminution of rights protected in the ‘Rights, Safeguards and Equality of Opportunity’ chapter of the Belfast (Good Friday) Agreement as a result of United Kingdom’s withdrawal from the European Union. It is also mandated to ensure that, if certain European Union equality laws are changed after 1 January 2021 to improve the protection of human rights, then Northern Ireland will keep pace with those changes.</w:t>
      </w:r>
    </w:p>
    <w:p w14:paraId="4CE227EE" w14:textId="77777777" w:rsidR="6D9E0A1E" w:rsidRDefault="6D9E0A1E">
      <w:r w:rsidRPr="62F844E5">
        <w:rPr>
          <w:rFonts w:eastAsia="Verdana" w:cs="Verdana"/>
        </w:rPr>
        <w:t xml:space="preserve"> </w:t>
      </w:r>
    </w:p>
    <w:p w14:paraId="1B22B05A" w14:textId="77777777" w:rsidR="6D9E0A1E" w:rsidRDefault="6D9E0A1E">
      <w:r w:rsidRPr="62F844E5">
        <w:rPr>
          <w:rFonts w:eastAsia="Verdana" w:cs="Verdana"/>
        </w:rPr>
        <w:t>The Commission exercises this mandate alongside the Equality Commission for Northern Ireland, and through the Joint Committee of representatives of the Human Rights Commissions of Northern Ireland and Ireland.</w:t>
      </w:r>
    </w:p>
    <w:p w14:paraId="1CD42CD6" w14:textId="77777777" w:rsidR="62F844E5" w:rsidRDefault="62F844E5" w:rsidP="62F844E5">
      <w:pPr>
        <w:rPr>
          <w:color w:val="000000" w:themeColor="text1"/>
        </w:rPr>
      </w:pPr>
    </w:p>
    <w:p w14:paraId="12C8D3CE" w14:textId="77777777" w:rsidR="6D9E0A1E" w:rsidRDefault="6D9E0A1E">
      <w:r w:rsidRPr="62F844E5">
        <w:rPr>
          <w:rFonts w:eastAsia="Verdana" w:cs="Verdana"/>
        </w:rPr>
        <w:t xml:space="preserve">The Commission’s statutory functions for this purpose in accordance with the </w:t>
      </w:r>
      <w:bookmarkStart w:id="5" w:name="_Hlk74054886"/>
      <w:r w:rsidRPr="62F844E5">
        <w:rPr>
          <w:rFonts w:eastAsia="Verdana" w:cs="Verdana"/>
        </w:rPr>
        <w:t xml:space="preserve">European Union (Withdrawal Agreement) Act 2020 </w:t>
      </w:r>
      <w:bookmarkEnd w:id="5"/>
      <w:r w:rsidRPr="62F844E5">
        <w:rPr>
          <w:rFonts w:eastAsia="Verdana" w:cs="Verdana"/>
        </w:rPr>
        <w:t>are:</w:t>
      </w:r>
    </w:p>
    <w:p w14:paraId="3D7232F1" w14:textId="77777777" w:rsidR="62F844E5" w:rsidRDefault="62F844E5" w:rsidP="62F844E5">
      <w:pPr>
        <w:rPr>
          <w:color w:val="000000" w:themeColor="text1"/>
        </w:rPr>
      </w:pPr>
    </w:p>
    <w:p w14:paraId="61192EBA" w14:textId="77777777" w:rsidR="006867D6" w:rsidRDefault="7115F08F" w:rsidP="00E029DB">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monitoring the implementation of Article 2(1) of the Protocol on Ireland/Northern Ireland in the EU withdrawal agreement (rights of individuals).</w:t>
      </w:r>
    </w:p>
    <w:p w14:paraId="1E2273FB" w14:textId="77777777" w:rsidR="006867D6" w:rsidRDefault="7115F08F" w:rsidP="00E029DB">
      <w:pPr>
        <w:autoSpaceDE w:val="0"/>
        <w:autoSpaceDN w:val="0"/>
        <w:adjustRightInd w:val="0"/>
        <w:rPr>
          <w:color w:val="000000" w:themeColor="text1"/>
        </w:rPr>
      </w:pPr>
      <w:r w:rsidRPr="3285EAFF">
        <w:rPr>
          <w:rFonts w:eastAsia="Verdana" w:cs="Verdana"/>
        </w:rPr>
        <w:t xml:space="preserve"> </w:t>
      </w:r>
    </w:p>
    <w:p w14:paraId="2AC838EE" w14:textId="77777777" w:rsidR="006867D6" w:rsidRDefault="7115F08F" w:rsidP="00E029DB">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reporting to the Secretary of State and the Executive Office in Northern Ireland on the implementation of Article 2(1)—as soon as reasonably practicable after receipt of a general or specific request for such a report, and on such other occasions as the Commission thinks.</w:t>
      </w:r>
    </w:p>
    <w:p w14:paraId="5E3CC6A5" w14:textId="77777777" w:rsidR="006867D6" w:rsidRDefault="006867D6" w:rsidP="00E029DB">
      <w:pPr>
        <w:autoSpaceDE w:val="0"/>
        <w:autoSpaceDN w:val="0"/>
        <w:adjustRightInd w:val="0"/>
        <w:spacing w:line="276" w:lineRule="auto"/>
        <w:rPr>
          <w:color w:val="000000" w:themeColor="text1"/>
        </w:rPr>
      </w:pPr>
    </w:p>
    <w:p w14:paraId="5C9D8D05" w14:textId="32A584C1" w:rsidR="006867D6" w:rsidRDefault="7115F08F" w:rsidP="00E029DB">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 xml:space="preserve">advising the Secretary of State and the Executive Committee of the Assembly of legislative and other measures which ought to be taken to implement Article 2(1)—as soon as reasonably practicable </w:t>
      </w:r>
      <w:r w:rsidR="000C7C45" w:rsidRPr="62F844E5">
        <w:rPr>
          <w:rFonts w:eastAsia="Verdana" w:cs="Verdana"/>
        </w:rPr>
        <w:t xml:space="preserve">after </w:t>
      </w:r>
      <w:r w:rsidR="000C7C45">
        <w:rPr>
          <w:rFonts w:eastAsia="Verdana" w:cs="Verdana"/>
        </w:rPr>
        <w:t>receipt</w:t>
      </w:r>
      <w:r w:rsidRPr="62F844E5">
        <w:rPr>
          <w:rFonts w:eastAsia="Verdana" w:cs="Verdana"/>
        </w:rPr>
        <w:t xml:space="preserve"> of a general or specific request for advice, and on such other occasions as the Commission thinks appropriate.</w:t>
      </w:r>
    </w:p>
    <w:p w14:paraId="2337D3EE" w14:textId="77777777" w:rsidR="006867D6" w:rsidRDefault="006867D6" w:rsidP="00E029DB">
      <w:pPr>
        <w:autoSpaceDE w:val="0"/>
        <w:autoSpaceDN w:val="0"/>
        <w:adjustRightInd w:val="0"/>
        <w:spacing w:line="276" w:lineRule="auto"/>
        <w:rPr>
          <w:color w:val="000000" w:themeColor="text1"/>
        </w:rPr>
      </w:pPr>
    </w:p>
    <w:p w14:paraId="2FCA2682" w14:textId="77777777" w:rsidR="006867D6" w:rsidRDefault="7115F08F" w:rsidP="00E029DB">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advising the Assembly (or a committee of the Assembly) whether a Bill is compatible with Article 2(1)—as soon as reasonably practicable after receipt of a request for advice, and on such other occasions as the Commission thinks appropriate.</w:t>
      </w:r>
    </w:p>
    <w:p w14:paraId="793402EB" w14:textId="77777777" w:rsidR="006867D6" w:rsidRDefault="7115F08F" w:rsidP="00E029DB">
      <w:pPr>
        <w:autoSpaceDE w:val="0"/>
        <w:autoSpaceDN w:val="0"/>
        <w:adjustRightInd w:val="0"/>
        <w:spacing w:line="276" w:lineRule="auto"/>
        <w:rPr>
          <w:color w:val="000000" w:themeColor="text1"/>
        </w:rPr>
      </w:pPr>
      <w:r w:rsidRPr="3285EAFF">
        <w:rPr>
          <w:rFonts w:eastAsia="Verdana" w:cs="Verdana"/>
        </w:rPr>
        <w:t xml:space="preserve"> </w:t>
      </w:r>
    </w:p>
    <w:p w14:paraId="5B60EC54" w14:textId="77777777" w:rsidR="006867D6" w:rsidRDefault="7115F08F" w:rsidP="00E029DB">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promoting understanding and awareness of the importance of Article 2(1); and for this purpose we may undertake, commission or provide financial or other assistance for—research, and educational activities.</w:t>
      </w:r>
    </w:p>
    <w:p w14:paraId="30572F34" w14:textId="77777777" w:rsidR="006867D6" w:rsidRDefault="006867D6" w:rsidP="00E029DB">
      <w:pPr>
        <w:autoSpaceDE w:val="0"/>
        <w:autoSpaceDN w:val="0"/>
        <w:adjustRightInd w:val="0"/>
        <w:spacing w:line="276" w:lineRule="auto"/>
        <w:rPr>
          <w:color w:val="000000" w:themeColor="text1"/>
        </w:rPr>
      </w:pPr>
    </w:p>
    <w:p w14:paraId="1BBAABD2" w14:textId="77777777" w:rsidR="006867D6" w:rsidRDefault="7115F08F" w:rsidP="00E029DB">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bringing any appropriate matters of relevance to Article 2(1) to the attention of the Specialised Committee on issues related to the implementation of the Protocol on Ireland/Northern Ireland established by Article 165 of the Withdrawal Agreement.</w:t>
      </w:r>
    </w:p>
    <w:p w14:paraId="635E472B" w14:textId="77777777" w:rsidR="006867D6" w:rsidRDefault="006867D6" w:rsidP="00E029DB">
      <w:pPr>
        <w:autoSpaceDE w:val="0"/>
        <w:autoSpaceDN w:val="0"/>
        <w:adjustRightInd w:val="0"/>
        <w:spacing w:line="276" w:lineRule="auto"/>
        <w:rPr>
          <w:color w:val="000000" w:themeColor="text1"/>
        </w:rPr>
      </w:pPr>
    </w:p>
    <w:p w14:paraId="32DD1915" w14:textId="77777777" w:rsidR="006867D6" w:rsidRDefault="7115F08F" w:rsidP="00E029DB">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taking judicial review proceedings in respect of an alleged breach (or potential future breach) of Article 2(1) of the Protocol on Ireland/Northern Ireland in the EU withdrawal agreement; or intervening in legal proceedings, whether for judicial review or otherwise, in so far as they relate to an alleged breach (or potential future breach) of Article 2(1).</w:t>
      </w:r>
    </w:p>
    <w:p w14:paraId="67181A03" w14:textId="77777777" w:rsidR="006867D6" w:rsidRDefault="006867D6" w:rsidP="00E029DB">
      <w:pPr>
        <w:autoSpaceDE w:val="0"/>
        <w:autoSpaceDN w:val="0"/>
        <w:adjustRightInd w:val="0"/>
        <w:rPr>
          <w:color w:val="000000" w:themeColor="text1"/>
        </w:rPr>
      </w:pPr>
    </w:p>
    <w:p w14:paraId="22AAC7B3" w14:textId="77777777" w:rsidR="006867D6" w:rsidRDefault="37FA106E" w:rsidP="00E029DB">
      <w:pPr>
        <w:autoSpaceDE w:val="0"/>
        <w:autoSpaceDN w:val="0"/>
        <w:adjustRightInd w:val="0"/>
        <w:rPr>
          <w:color w:val="000000" w:themeColor="text1"/>
        </w:rPr>
      </w:pPr>
      <w:r w:rsidRPr="3285EAFF">
        <w:rPr>
          <w:rFonts w:eastAsia="Verdana" w:cs="Verdana"/>
        </w:rPr>
        <w:t>The Commission</w:t>
      </w:r>
      <w:r w:rsidR="7115F08F" w:rsidRPr="3285EAFF">
        <w:rPr>
          <w:rFonts w:eastAsia="Verdana" w:cs="Verdana"/>
        </w:rPr>
        <w:t xml:space="preserve"> is also designated, with the Equality Commission, under the United Nations Convention on the Rights of Disabled Persons as the independent mechanism tasked with promoting, protecting and monitoring implementation of Convention in Northern Ireland. We also engage with other the National Human Rights Institutions in the United Kingdom on issues of common interest.</w:t>
      </w:r>
    </w:p>
    <w:p w14:paraId="0CBBD301" w14:textId="77777777" w:rsidR="006867D6" w:rsidRDefault="006867D6" w:rsidP="62F844E5">
      <w:pPr>
        <w:autoSpaceDE w:val="0"/>
        <w:autoSpaceDN w:val="0"/>
        <w:adjustRightInd w:val="0"/>
        <w:rPr>
          <w:rFonts w:eastAsia="Verdana" w:cs="Verdana"/>
        </w:rPr>
      </w:pPr>
    </w:p>
    <w:p w14:paraId="1C9A90F3" w14:textId="3D5F41FA" w:rsidR="006867D6" w:rsidRDefault="7115F08F" w:rsidP="62F844E5">
      <w:pPr>
        <w:autoSpaceDE w:val="0"/>
        <w:autoSpaceDN w:val="0"/>
        <w:adjustRightInd w:val="0"/>
        <w:rPr>
          <w:color w:val="000000" w:themeColor="text1"/>
        </w:rPr>
      </w:pPr>
      <w:r w:rsidRPr="62F844E5">
        <w:rPr>
          <w:rFonts w:eastAsia="Verdana" w:cs="Verdana"/>
        </w:rPr>
        <w:t>Our Annual Statement</w:t>
      </w:r>
      <w:r w:rsidR="00A730F4">
        <w:rPr>
          <w:rStyle w:val="FootnoteReference"/>
          <w:rFonts w:eastAsia="Verdana" w:cs="Verdana"/>
        </w:rPr>
        <w:footnoteReference w:id="2"/>
      </w:r>
      <w:r w:rsidRPr="62F844E5">
        <w:rPr>
          <w:rFonts w:eastAsia="Verdana" w:cs="Verdana"/>
        </w:rPr>
        <w:t xml:space="preserve">, published in December each year, records how much progress has been made towards meeting human rights obligations in Northern Ireland. This strongly informs our future work priorities.  </w:t>
      </w:r>
      <w:r w:rsidR="00402F91" w:rsidRPr="62F844E5">
        <w:rPr>
          <w:rFonts w:cs="VGOJM V+ Zurich BT"/>
          <w:color w:val="auto"/>
        </w:rPr>
        <w:t xml:space="preserve"> </w:t>
      </w:r>
    </w:p>
    <w:p w14:paraId="70B78DF8" w14:textId="77777777" w:rsidR="006867D6" w:rsidRDefault="006867D6" w:rsidP="009D7D75">
      <w:pPr>
        <w:autoSpaceDE w:val="0"/>
        <w:autoSpaceDN w:val="0"/>
        <w:adjustRightInd w:val="0"/>
        <w:rPr>
          <w:rFonts w:cs="VGOJM V+ Zurich BT"/>
          <w:bCs/>
          <w:color w:val="auto"/>
        </w:rPr>
      </w:pPr>
    </w:p>
    <w:p w14:paraId="4CCE5F2D" w14:textId="77777777" w:rsidR="00402F91" w:rsidRPr="00402F91" w:rsidRDefault="00402F91" w:rsidP="00402F91">
      <w:pPr>
        <w:autoSpaceDE w:val="0"/>
        <w:autoSpaceDN w:val="0"/>
        <w:adjustRightInd w:val="0"/>
        <w:rPr>
          <w:rFonts w:cs="TT150t00"/>
          <w:b/>
          <w:color w:val="auto"/>
        </w:rPr>
      </w:pPr>
      <w:r>
        <w:rPr>
          <w:rFonts w:cs="TT150t00"/>
          <w:bCs/>
          <w:color w:val="auto"/>
        </w:rPr>
        <w:t>T</w:t>
      </w:r>
      <w:r w:rsidRPr="00402F91">
        <w:rPr>
          <w:rFonts w:cs="TT150t00"/>
          <w:bCs/>
          <w:color w:val="auto"/>
        </w:rPr>
        <w:t xml:space="preserve">he Commission’s work </w:t>
      </w:r>
      <w:r w:rsidRPr="00402F91">
        <w:rPr>
          <w:rFonts w:cs="TT150t00"/>
          <w:color w:val="auto"/>
        </w:rPr>
        <w:t xml:space="preserve">is based on five priorities agreed in our Strategic Plan 2019-22.  Each priority is one of substantive public interest, where we believe a real and lasting impact can be made to benefit the lives of people in Northern Ireland.  </w:t>
      </w:r>
    </w:p>
    <w:p w14:paraId="24261365" w14:textId="77777777" w:rsidR="00402F91" w:rsidRDefault="00402F91" w:rsidP="009D7D75">
      <w:pPr>
        <w:autoSpaceDE w:val="0"/>
        <w:autoSpaceDN w:val="0"/>
        <w:adjustRightInd w:val="0"/>
        <w:rPr>
          <w:rFonts w:cs="TT150t00"/>
          <w:color w:val="auto"/>
        </w:rPr>
      </w:pPr>
    </w:p>
    <w:p w14:paraId="63C2DF8F" w14:textId="77777777" w:rsidR="00402F91" w:rsidRDefault="00402F91" w:rsidP="009D7D75">
      <w:pPr>
        <w:autoSpaceDE w:val="0"/>
        <w:autoSpaceDN w:val="0"/>
        <w:adjustRightInd w:val="0"/>
        <w:rPr>
          <w:rFonts w:cs="TT150t00"/>
          <w:color w:val="auto"/>
        </w:rPr>
      </w:pPr>
    </w:p>
    <w:p w14:paraId="460750EF" w14:textId="77777777" w:rsidR="00627E1D" w:rsidRPr="00C64196" w:rsidRDefault="00627E1D" w:rsidP="00627E1D">
      <w:pPr>
        <w:autoSpaceDE w:val="0"/>
        <w:autoSpaceDN w:val="0"/>
        <w:adjustRightInd w:val="0"/>
        <w:rPr>
          <w:rFonts w:cs="TT150t00"/>
          <w:b/>
          <w:bCs/>
          <w:color w:val="auto"/>
        </w:rPr>
      </w:pPr>
      <w:r w:rsidRPr="4462ADAA">
        <w:rPr>
          <w:rFonts w:cs="TT150t00"/>
          <w:b/>
          <w:bCs/>
          <w:color w:val="auto"/>
        </w:rPr>
        <w:t xml:space="preserve">Priority 1: Building a culture of human rights - </w:t>
      </w:r>
    </w:p>
    <w:p w14:paraId="21B8AE74" w14:textId="77777777" w:rsidR="00627E1D" w:rsidRDefault="00627E1D" w:rsidP="00627E1D">
      <w:pPr>
        <w:rPr>
          <w:b/>
          <w:bCs/>
          <w:color w:val="000000" w:themeColor="text1"/>
        </w:rPr>
      </w:pPr>
    </w:p>
    <w:p w14:paraId="45095283" w14:textId="616BC192" w:rsidR="00627E1D" w:rsidRDefault="00627E1D" w:rsidP="00627E1D">
      <w:r w:rsidRPr="32D6215E">
        <w:rPr>
          <w:rFonts w:eastAsia="Verdana" w:cs="Verdana"/>
          <w:color w:val="000000" w:themeColor="text1"/>
        </w:rPr>
        <w:t>The Commission continued to work with all of its stakeholders to promote understanding and awareness of human rights across Northern Ireland. Following a wide consultation pr</w:t>
      </w:r>
      <w:r w:rsidR="0022484D">
        <w:rPr>
          <w:rFonts w:eastAsia="Verdana" w:cs="Verdana"/>
          <w:color w:val="000000" w:themeColor="text1"/>
        </w:rPr>
        <w:t xml:space="preserve">ocess its </w:t>
      </w:r>
      <w:r w:rsidR="003826F9">
        <w:rPr>
          <w:rFonts w:eastAsia="Verdana" w:cs="Verdana"/>
          <w:color w:val="000000" w:themeColor="text1"/>
        </w:rPr>
        <w:t xml:space="preserve">new </w:t>
      </w:r>
      <w:r w:rsidR="0022484D">
        <w:rPr>
          <w:rFonts w:eastAsia="Verdana" w:cs="Verdana"/>
          <w:color w:val="000000" w:themeColor="text1"/>
        </w:rPr>
        <w:t>strategic plan 2022-</w:t>
      </w:r>
      <w:r w:rsidRPr="32D6215E">
        <w:rPr>
          <w:rFonts w:eastAsia="Verdana" w:cs="Verdana"/>
          <w:color w:val="000000" w:themeColor="text1"/>
        </w:rPr>
        <w:t xml:space="preserve">25 identifies five key priorities that will guide the Commission’s work for the next three years. It reflects some of NI’s most pressing human rights issues including the impact of poverty on quality of living, victims’ rights, and access to justice. </w:t>
      </w:r>
    </w:p>
    <w:p w14:paraId="11AF322D" w14:textId="77777777" w:rsidR="00627E1D" w:rsidRDefault="00627E1D" w:rsidP="00627E1D">
      <w:pPr>
        <w:rPr>
          <w:color w:val="000000" w:themeColor="text1"/>
        </w:rPr>
      </w:pPr>
    </w:p>
    <w:p w14:paraId="09249FE0" w14:textId="7DEDEDAE" w:rsidR="00627E1D" w:rsidRDefault="00627E1D" w:rsidP="00627E1D">
      <w:r w:rsidRPr="272474F4">
        <w:rPr>
          <w:rFonts w:eastAsia="Verdana" w:cs="Verdana"/>
          <w:color w:val="000000" w:themeColor="text1"/>
        </w:rPr>
        <w:t>These priorities were informed by consulting individuals, organisations, and bodies across Northern Ireland. Events and surveys took place throughout the Autumn 2021 and included 3 public consultations in November 2021 held in Belfast, Derry/Londonderry and an online consultation.</w:t>
      </w:r>
    </w:p>
    <w:p w14:paraId="5D15F857" w14:textId="77777777" w:rsidR="00627E1D" w:rsidRDefault="00627E1D" w:rsidP="00627E1D">
      <w:pPr>
        <w:rPr>
          <w:color w:val="000000" w:themeColor="text1"/>
        </w:rPr>
      </w:pPr>
    </w:p>
    <w:p w14:paraId="2EE502A4" w14:textId="77777777" w:rsidR="00627E1D" w:rsidRDefault="00627E1D" w:rsidP="00627E1D">
      <w:pPr>
        <w:rPr>
          <w:rFonts w:eastAsia="Verdana" w:cs="Verdana"/>
          <w:color w:val="232120"/>
        </w:rPr>
      </w:pPr>
      <w:r w:rsidRPr="272474F4">
        <w:rPr>
          <w:rFonts w:eastAsia="Verdana" w:cs="Verdana"/>
          <w:color w:val="000000" w:themeColor="text1"/>
        </w:rPr>
        <w:t xml:space="preserve">The organisation led through the Chief Commissioners engagement met with a wide range of stakeholders. It continued to engage with the local media to release public statements on a range of issues including: its joint role with the Equality Commission on monitoring the human rights and equality implications of </w:t>
      </w:r>
      <w:r w:rsidRPr="0022484D">
        <w:rPr>
          <w:rFonts w:eastAsia="Verdana" w:cs="Verdana"/>
        </w:rPr>
        <w:t xml:space="preserve">Brexit, concern over potential Human Right Act Reform, its successful </w:t>
      </w:r>
      <w:r w:rsidRPr="272474F4">
        <w:rPr>
          <w:rFonts w:eastAsia="Verdana" w:cs="Verdana"/>
          <w:color w:val="232120"/>
        </w:rPr>
        <w:t xml:space="preserve">challenge to the law on the rehabilitation of offenders, and on the human rights compliance of the ongoing UK Government legacy proposals. </w:t>
      </w:r>
    </w:p>
    <w:p w14:paraId="22A309AC" w14:textId="77777777" w:rsidR="00627E1D" w:rsidRDefault="00627E1D" w:rsidP="00627E1D">
      <w:pPr>
        <w:rPr>
          <w:color w:val="000000" w:themeColor="text1"/>
        </w:rPr>
      </w:pPr>
    </w:p>
    <w:p w14:paraId="63B6D8E2" w14:textId="5D8965E4" w:rsidR="00627E1D" w:rsidRDefault="00627E1D" w:rsidP="0022484D">
      <w:pPr>
        <w:spacing w:line="257" w:lineRule="auto"/>
        <w:rPr>
          <w:rFonts w:eastAsia="Verdana" w:cs="Verdana"/>
        </w:rPr>
      </w:pPr>
      <w:r w:rsidRPr="272474F4">
        <w:rPr>
          <w:rFonts w:eastAsia="Verdana" w:cs="Verdana"/>
        </w:rPr>
        <w:t xml:space="preserve">In addition to the </w:t>
      </w:r>
      <w:r w:rsidR="000C7C45" w:rsidRPr="272474F4">
        <w:rPr>
          <w:rFonts w:eastAsia="Verdana" w:cs="Verdana"/>
        </w:rPr>
        <w:t>organisation’s</w:t>
      </w:r>
      <w:r w:rsidRPr="272474F4">
        <w:rPr>
          <w:rFonts w:eastAsia="Verdana" w:cs="Verdana"/>
        </w:rPr>
        <w:t xml:space="preserve"> appearances </w:t>
      </w:r>
      <w:r w:rsidR="003826F9">
        <w:rPr>
          <w:rFonts w:eastAsia="Verdana" w:cs="Verdana"/>
        </w:rPr>
        <w:t xml:space="preserve">before legislative scrutiny </w:t>
      </w:r>
      <w:r w:rsidR="003826F9" w:rsidRPr="272474F4">
        <w:rPr>
          <w:rFonts w:eastAsia="Verdana" w:cs="Verdana"/>
        </w:rPr>
        <w:t>committee</w:t>
      </w:r>
      <w:r w:rsidR="003826F9">
        <w:rPr>
          <w:rFonts w:eastAsia="Verdana" w:cs="Verdana"/>
        </w:rPr>
        <w:t>s</w:t>
      </w:r>
      <w:r w:rsidR="003826F9" w:rsidRPr="272474F4">
        <w:rPr>
          <w:rFonts w:eastAsia="Verdana" w:cs="Verdana"/>
        </w:rPr>
        <w:t xml:space="preserve"> </w:t>
      </w:r>
      <w:r w:rsidR="003826F9">
        <w:rPr>
          <w:rFonts w:eastAsia="Verdana" w:cs="Verdana"/>
        </w:rPr>
        <w:t xml:space="preserve">the Commission </w:t>
      </w:r>
      <w:r w:rsidRPr="272474F4">
        <w:rPr>
          <w:rFonts w:eastAsia="Verdana" w:cs="Verdana"/>
        </w:rPr>
        <w:t xml:space="preserve">met with representatives from all the five </w:t>
      </w:r>
      <w:r w:rsidR="003826F9">
        <w:rPr>
          <w:rFonts w:eastAsia="Verdana" w:cs="Verdana"/>
        </w:rPr>
        <w:t>NI Executive</w:t>
      </w:r>
      <w:r w:rsidR="003826F9" w:rsidRPr="272474F4">
        <w:rPr>
          <w:rFonts w:eastAsia="Verdana" w:cs="Verdana"/>
        </w:rPr>
        <w:t xml:space="preserve"> </w:t>
      </w:r>
      <w:r w:rsidR="003826F9">
        <w:rPr>
          <w:rFonts w:eastAsia="Verdana" w:cs="Verdana"/>
        </w:rPr>
        <w:t xml:space="preserve">political </w:t>
      </w:r>
      <w:r w:rsidRPr="272474F4">
        <w:rPr>
          <w:rFonts w:eastAsia="Verdana" w:cs="Verdana"/>
        </w:rPr>
        <w:t xml:space="preserve">parties in year. </w:t>
      </w:r>
      <w:r w:rsidR="003826F9">
        <w:rPr>
          <w:rFonts w:eastAsia="Verdana" w:cs="Verdana"/>
        </w:rPr>
        <w:t>It</w:t>
      </w:r>
      <w:r w:rsidRPr="272474F4">
        <w:rPr>
          <w:rFonts w:eastAsia="Verdana" w:cs="Verdana"/>
        </w:rPr>
        <w:t xml:space="preserve"> also continued engagement with Members of the House of Commons and House of Lords, including the NI Affairs Committee, Women and Equalities Committee and the Joint Committee on Human Rights. </w:t>
      </w:r>
    </w:p>
    <w:p w14:paraId="78AB484A" w14:textId="77777777" w:rsidR="00627E1D" w:rsidRDefault="00627E1D" w:rsidP="00627E1D">
      <w:pPr>
        <w:spacing w:line="257" w:lineRule="auto"/>
        <w:rPr>
          <w:color w:val="000000" w:themeColor="text1"/>
        </w:rPr>
      </w:pPr>
    </w:p>
    <w:p w14:paraId="5E013831" w14:textId="1A903189" w:rsidR="00627E1D" w:rsidRDefault="00627E1D" w:rsidP="0022484D">
      <w:pPr>
        <w:spacing w:line="257" w:lineRule="auto"/>
        <w:rPr>
          <w:rFonts w:eastAsia="Verdana" w:cs="Verdana"/>
          <w:color w:val="000000" w:themeColor="text1"/>
        </w:rPr>
      </w:pPr>
      <w:r w:rsidRPr="272474F4">
        <w:rPr>
          <w:rFonts w:eastAsia="Verdana" w:cs="Verdana"/>
        </w:rPr>
        <w:t xml:space="preserve">The Commission worked in 2021-22, within its available resources, to prioritise engagement with </w:t>
      </w:r>
      <w:r w:rsidR="003826F9">
        <w:rPr>
          <w:rFonts w:eastAsia="Verdana" w:cs="Verdana"/>
        </w:rPr>
        <w:t xml:space="preserve">children and </w:t>
      </w:r>
      <w:r w:rsidRPr="272474F4">
        <w:rPr>
          <w:rFonts w:eastAsia="Verdana" w:cs="Verdana"/>
        </w:rPr>
        <w:t xml:space="preserve">young people.  Engagement sessions were provided to North West Regional College, Fivemiletown, Belfast High, Foyle College and the </w:t>
      </w:r>
      <w:r w:rsidRPr="272474F4">
        <w:rPr>
          <w:rFonts w:eastAsia="Verdana" w:cs="Verdana"/>
          <w:color w:val="232120"/>
        </w:rPr>
        <w:t>North Down Community Network's DICE Project</w:t>
      </w:r>
      <w:r w:rsidRPr="272474F4">
        <w:rPr>
          <w:rFonts w:eastAsia="Verdana" w:cs="Verdana"/>
          <w:color w:val="000000" w:themeColor="text1"/>
        </w:rPr>
        <w:t>.</w:t>
      </w:r>
    </w:p>
    <w:p w14:paraId="6FD58CA2" w14:textId="77777777" w:rsidR="00627E1D" w:rsidRDefault="00627E1D" w:rsidP="00627E1D">
      <w:pPr>
        <w:spacing w:line="257" w:lineRule="auto"/>
        <w:rPr>
          <w:color w:val="000000" w:themeColor="text1"/>
        </w:rPr>
      </w:pPr>
    </w:p>
    <w:p w14:paraId="6E812513" w14:textId="77777777" w:rsidR="00627E1D" w:rsidRDefault="00627E1D" w:rsidP="0022484D">
      <w:pPr>
        <w:spacing w:line="257" w:lineRule="auto"/>
        <w:rPr>
          <w:rFonts w:eastAsia="Verdana" w:cs="Verdana"/>
        </w:rPr>
      </w:pPr>
      <w:r w:rsidRPr="272474F4">
        <w:rPr>
          <w:rFonts w:eastAsia="Verdana" w:cs="Verdana"/>
        </w:rPr>
        <w:t>The Commission continued to provide secretariat support for the Northern Ireland Business and Human Rights Forum, a multi-stakeholder platform which allows Government, business, and civil society to engage on human rights. The current Chair of the Forum is Stephen Abram from A&amp;L Goodbody and the Vice-Chair is Barbara Henry from Caterpillar.</w:t>
      </w:r>
    </w:p>
    <w:p w14:paraId="6B783E6A" w14:textId="77777777" w:rsidR="00627E1D" w:rsidRDefault="00627E1D" w:rsidP="00627E1D">
      <w:pPr>
        <w:spacing w:line="257" w:lineRule="auto"/>
        <w:rPr>
          <w:color w:val="000000" w:themeColor="text1"/>
        </w:rPr>
      </w:pPr>
    </w:p>
    <w:p w14:paraId="7EFF53BA" w14:textId="65E30829" w:rsidR="00627E1D" w:rsidRDefault="00627E1D" w:rsidP="0022484D">
      <w:pPr>
        <w:spacing w:line="257" w:lineRule="auto"/>
        <w:rPr>
          <w:rFonts w:eastAsia="Verdana" w:cs="Verdana"/>
        </w:rPr>
      </w:pPr>
      <w:r w:rsidRPr="272474F4">
        <w:rPr>
          <w:rFonts w:eastAsia="Verdana" w:cs="Verdana"/>
        </w:rPr>
        <w:t xml:space="preserve">In </w:t>
      </w:r>
      <w:r w:rsidR="00FF1FA8" w:rsidRPr="272474F4">
        <w:rPr>
          <w:rFonts w:eastAsia="Verdana" w:cs="Verdana"/>
        </w:rPr>
        <w:t xml:space="preserve">February </w:t>
      </w:r>
      <w:r w:rsidR="00FF1FA8">
        <w:rPr>
          <w:rFonts w:eastAsia="Verdana" w:cs="Verdana"/>
        </w:rPr>
        <w:t>20</w:t>
      </w:r>
      <w:r w:rsidR="00FF1FA8" w:rsidRPr="272474F4">
        <w:rPr>
          <w:rFonts w:eastAsia="Verdana" w:cs="Verdana"/>
        </w:rPr>
        <w:t>22,</w:t>
      </w:r>
      <w:r w:rsidRPr="272474F4">
        <w:rPr>
          <w:rFonts w:eastAsia="Verdana" w:cs="Verdana"/>
        </w:rPr>
        <w:t xml:space="preserve"> the Business and Human Rights Forum was joined by Minister of Finance, Conor Murphy MLA, to discuss the implementation of the PPN 05/21 Human Rights in Public Procurement policy which outlines the actions that Departments </w:t>
      </w:r>
      <w:r w:rsidR="003826F9">
        <w:rPr>
          <w:rFonts w:eastAsia="Verdana" w:cs="Verdana"/>
        </w:rPr>
        <w:t xml:space="preserve">and other designated public authorities </w:t>
      </w:r>
      <w:r w:rsidRPr="272474F4">
        <w:rPr>
          <w:rFonts w:eastAsia="Verdana" w:cs="Verdana"/>
        </w:rPr>
        <w:t xml:space="preserve">must take to incorporate human rights considerations into contracts when conducting a procurement process. This policy follows on from a lengthy partnership between the Department </w:t>
      </w:r>
      <w:r w:rsidR="003826F9">
        <w:rPr>
          <w:rFonts w:eastAsia="Verdana" w:cs="Verdana"/>
        </w:rPr>
        <w:t xml:space="preserve">of Finance </w:t>
      </w:r>
      <w:r w:rsidRPr="272474F4">
        <w:rPr>
          <w:rFonts w:eastAsia="Verdana" w:cs="Verdana"/>
        </w:rPr>
        <w:t xml:space="preserve">and the Commission to seek </w:t>
      </w:r>
      <w:r w:rsidRPr="272474F4">
        <w:rPr>
          <w:rFonts w:eastAsia="Verdana" w:cs="Verdana"/>
          <w:color w:val="232120"/>
        </w:rPr>
        <w:t xml:space="preserve">to protect better protect human rights in public </w:t>
      </w:r>
      <w:r w:rsidR="00075FFD">
        <w:rPr>
          <w:rFonts w:eastAsia="Verdana" w:cs="Verdana"/>
          <w:color w:val="232120"/>
        </w:rPr>
        <w:t>sector contracting</w:t>
      </w:r>
      <w:r w:rsidRPr="272474F4">
        <w:rPr>
          <w:rFonts w:eastAsia="Verdana" w:cs="Verdana"/>
        </w:rPr>
        <w:t xml:space="preserve">. </w:t>
      </w:r>
    </w:p>
    <w:p w14:paraId="243C0414" w14:textId="77777777" w:rsidR="00627E1D" w:rsidRDefault="00627E1D" w:rsidP="00627E1D">
      <w:pPr>
        <w:spacing w:line="257" w:lineRule="auto"/>
        <w:rPr>
          <w:color w:val="000000" w:themeColor="text1"/>
        </w:rPr>
      </w:pPr>
    </w:p>
    <w:p w14:paraId="2D753055" w14:textId="77777777" w:rsidR="00627E1D" w:rsidRDefault="00627E1D" w:rsidP="00627E1D">
      <w:r w:rsidRPr="32D6215E">
        <w:rPr>
          <w:rFonts w:eastAsia="Verdana" w:cs="Verdana"/>
          <w:color w:val="232120"/>
        </w:rPr>
        <w:t>In January 2022, Queen’s Management School and the Forum launched the third cohort of the 'Business and Human Rights Student Ambassador Programme.'</w:t>
      </w:r>
      <w:r w:rsidRPr="32D6215E">
        <w:rPr>
          <w:rFonts w:eastAsia="Verdana" w:cs="Verdana"/>
          <w:b/>
          <w:bCs/>
          <w:color w:val="232120"/>
        </w:rPr>
        <w:t xml:space="preserve"> </w:t>
      </w:r>
      <w:r w:rsidRPr="32D6215E">
        <w:rPr>
          <w:rFonts w:eastAsia="Verdana" w:cs="Verdana"/>
          <w:color w:val="232120"/>
        </w:rPr>
        <w:t>The purpose of the Programme is to equip students with the knowledge and skills to act as ambassadors to promote ethics and human rights within business during both their academic studies and future professional careers.</w:t>
      </w:r>
    </w:p>
    <w:p w14:paraId="03CC0825" w14:textId="77777777" w:rsidR="00627E1D" w:rsidRDefault="00627E1D" w:rsidP="00627E1D">
      <w:pPr>
        <w:rPr>
          <w:color w:val="000000" w:themeColor="text1"/>
        </w:rPr>
      </w:pPr>
    </w:p>
    <w:p w14:paraId="4561300F" w14:textId="77777777" w:rsidR="00627E1D" w:rsidRDefault="00627E1D" w:rsidP="0022484D">
      <w:pPr>
        <w:spacing w:line="257" w:lineRule="auto"/>
        <w:rPr>
          <w:rFonts w:eastAsia="Verdana" w:cs="Verdana"/>
        </w:rPr>
      </w:pPr>
      <w:r w:rsidRPr="272474F4">
        <w:rPr>
          <w:rFonts w:eastAsia="Verdana" w:cs="Verdana"/>
        </w:rPr>
        <w:t xml:space="preserve">Ahead of COP26, in October </w:t>
      </w:r>
      <w:r w:rsidR="0022484D">
        <w:rPr>
          <w:rFonts w:eastAsia="Verdana" w:cs="Verdana"/>
        </w:rPr>
        <w:t>20</w:t>
      </w:r>
      <w:r w:rsidRPr="272474F4">
        <w:rPr>
          <w:rFonts w:eastAsia="Verdana" w:cs="Verdana"/>
        </w:rPr>
        <w:t>21, United Nations Special Rapporteur on Human Rights and Environment, Dr. David Boyd provided the keynote address at a Business and Human Rights Forum. Dr Boyd highlighted the vital role human rights institutions have to play in educating the public about the relationship between human rights and the climate crisis as well as in holding governments accountable for protecting everyone's rights from the adverse impacts of climate change and other types of environmental degradation. Forum members also heard a local perspective from Steven Agnew, Head of Renewable NI.</w:t>
      </w:r>
    </w:p>
    <w:p w14:paraId="3C7D8744" w14:textId="77777777" w:rsidR="00627E1D" w:rsidRDefault="00627E1D" w:rsidP="00627E1D">
      <w:pPr>
        <w:spacing w:line="257" w:lineRule="auto"/>
        <w:rPr>
          <w:color w:val="000000" w:themeColor="text1"/>
        </w:rPr>
      </w:pPr>
    </w:p>
    <w:p w14:paraId="36BB110C" w14:textId="77777777" w:rsidR="00627E1D" w:rsidRDefault="00627E1D" w:rsidP="00627E1D">
      <w:r w:rsidRPr="04903AB9">
        <w:rPr>
          <w:rFonts w:eastAsia="Verdana" w:cs="Verdana"/>
          <w:color w:val="000000" w:themeColor="text1"/>
        </w:rPr>
        <w:t xml:space="preserve">In </w:t>
      </w:r>
      <w:r w:rsidR="0022484D">
        <w:rPr>
          <w:rFonts w:eastAsia="Verdana" w:cs="Verdana"/>
          <w:color w:val="000000" w:themeColor="text1"/>
        </w:rPr>
        <w:t>20</w:t>
      </w:r>
      <w:r w:rsidRPr="04903AB9">
        <w:rPr>
          <w:rFonts w:eastAsia="Verdana" w:cs="Verdana"/>
          <w:color w:val="000000" w:themeColor="text1"/>
        </w:rPr>
        <w:t>21-22 the Commission also provided secretariat support to the NI Sport and Human Rights Forum. The Forum has been established as a multi-stakeholder platform to facilitate the exchange of knowledge and good practice on sport and human rights issues. The current chair is Conal Heatley from the Commonwealth Games Northern Ireland.</w:t>
      </w:r>
    </w:p>
    <w:p w14:paraId="4189CEED" w14:textId="77777777" w:rsidR="00627E1D" w:rsidRDefault="00627E1D" w:rsidP="00627E1D">
      <w:r w:rsidRPr="272474F4">
        <w:rPr>
          <w:rFonts w:eastAsia="Verdana" w:cs="Verdana"/>
          <w:color w:val="232120"/>
        </w:rPr>
        <w:t>On International Women's Day, 8 March 2022, the Forum hosted the first Sport and Human Rights Conference. The Conference supported by the Ulster University, aimed to tackle the barriers to women and girls participating in sport and champion human rights and gender equality in sport. Representation at the event included the Centre for Sport and Human Rights, Disability Sport NI, Women’s Aid, Ulster GAA and the Irish Football Association.</w:t>
      </w:r>
    </w:p>
    <w:p w14:paraId="5ED44492" w14:textId="77777777" w:rsidR="00627E1D" w:rsidRDefault="00627E1D" w:rsidP="00627E1D">
      <w:pPr>
        <w:rPr>
          <w:color w:val="000000" w:themeColor="text1"/>
        </w:rPr>
      </w:pPr>
    </w:p>
    <w:p w14:paraId="05E9580B" w14:textId="34DA1056" w:rsidR="00627E1D" w:rsidRDefault="00627E1D" w:rsidP="00075FFD">
      <w:pPr>
        <w:rPr>
          <w:rFonts w:eastAsia="Verdana" w:cs="Verdana"/>
          <w:color w:val="232120"/>
        </w:rPr>
      </w:pPr>
      <w:r w:rsidRPr="04903AB9">
        <w:rPr>
          <w:rFonts w:eastAsia="Verdana" w:cs="Verdana"/>
          <w:color w:val="232120"/>
        </w:rPr>
        <w:t xml:space="preserve">In February </w:t>
      </w:r>
      <w:r w:rsidR="0022484D">
        <w:rPr>
          <w:rFonts w:eastAsia="Verdana" w:cs="Verdana"/>
          <w:color w:val="232120"/>
        </w:rPr>
        <w:t>20</w:t>
      </w:r>
      <w:r w:rsidRPr="04903AB9">
        <w:rPr>
          <w:rFonts w:eastAsia="Verdana" w:cs="Verdana"/>
          <w:color w:val="232120"/>
        </w:rPr>
        <w:t xml:space="preserve">22 participants from sport governing bodies, charities, policy makers and community groups attended a Forum focused meeting on gender identity and sport. Keynote speaker Simon Croft from Gendered Intelligence informed all the participants </w:t>
      </w:r>
      <w:r w:rsidR="00075FFD">
        <w:rPr>
          <w:rFonts w:eastAsia="Verdana" w:cs="Verdana"/>
          <w:color w:val="232120"/>
        </w:rPr>
        <w:t>on</w:t>
      </w:r>
      <w:r w:rsidR="00075FFD" w:rsidRPr="04903AB9">
        <w:rPr>
          <w:rFonts w:eastAsia="Verdana" w:cs="Verdana"/>
          <w:color w:val="232120"/>
        </w:rPr>
        <w:t xml:space="preserve"> </w:t>
      </w:r>
      <w:r w:rsidRPr="04903AB9">
        <w:rPr>
          <w:rFonts w:eastAsia="Verdana" w:cs="Verdana"/>
          <w:color w:val="232120"/>
        </w:rPr>
        <w:t>the current context relating to gender identity and sport</w:t>
      </w:r>
      <w:r w:rsidR="00075FFD">
        <w:rPr>
          <w:rFonts w:eastAsia="Verdana" w:cs="Verdana"/>
          <w:color w:val="232120"/>
        </w:rPr>
        <w:t>:</w:t>
      </w:r>
      <w:r w:rsidRPr="04903AB9">
        <w:rPr>
          <w:rFonts w:eastAsia="Verdana" w:cs="Verdana"/>
          <w:color w:val="232120"/>
        </w:rPr>
        <w:t xml:space="preserve"> a subject the Commission will be exploring further in </w:t>
      </w:r>
      <w:r w:rsidR="0022484D">
        <w:rPr>
          <w:rFonts w:eastAsia="Verdana" w:cs="Verdana"/>
          <w:color w:val="232120"/>
        </w:rPr>
        <w:t>20</w:t>
      </w:r>
      <w:r w:rsidRPr="04903AB9">
        <w:rPr>
          <w:rFonts w:eastAsia="Verdana" w:cs="Verdana"/>
          <w:color w:val="232120"/>
        </w:rPr>
        <w:t>22-23.</w:t>
      </w:r>
    </w:p>
    <w:p w14:paraId="2CB170AF" w14:textId="77777777" w:rsidR="000A30FB" w:rsidRDefault="000A30FB" w:rsidP="00075FFD">
      <w:pPr>
        <w:rPr>
          <w:rFonts w:eastAsia="Verdana" w:cs="Verdana"/>
          <w:b/>
          <w:bCs/>
          <w:color w:val="000000" w:themeColor="text1"/>
        </w:rPr>
      </w:pPr>
    </w:p>
    <w:p w14:paraId="503FA6DA" w14:textId="77777777" w:rsidR="00A83539" w:rsidRDefault="00A83539" w:rsidP="0022484D">
      <w:pPr>
        <w:spacing w:line="252" w:lineRule="auto"/>
        <w:rPr>
          <w:rFonts w:eastAsia="Verdana" w:cs="Verdana"/>
          <w:b/>
          <w:bCs/>
          <w:color w:val="000000" w:themeColor="text1"/>
        </w:rPr>
      </w:pPr>
    </w:p>
    <w:p w14:paraId="3975A4E9" w14:textId="77777777" w:rsidR="00A83539" w:rsidRDefault="00A83539" w:rsidP="0022484D">
      <w:pPr>
        <w:spacing w:line="252" w:lineRule="auto"/>
        <w:rPr>
          <w:rFonts w:eastAsia="Verdana" w:cs="Verdana"/>
          <w:b/>
          <w:bCs/>
          <w:color w:val="000000" w:themeColor="text1"/>
        </w:rPr>
      </w:pPr>
    </w:p>
    <w:p w14:paraId="0514861A" w14:textId="77777777" w:rsidR="00A83539" w:rsidRDefault="00A83539" w:rsidP="0022484D">
      <w:pPr>
        <w:spacing w:line="252" w:lineRule="auto"/>
        <w:rPr>
          <w:rFonts w:eastAsia="Verdana" w:cs="Verdana"/>
          <w:b/>
          <w:bCs/>
          <w:color w:val="000000" w:themeColor="text1"/>
        </w:rPr>
      </w:pPr>
    </w:p>
    <w:p w14:paraId="4E1C0CFD" w14:textId="77777777" w:rsidR="00A83539" w:rsidRDefault="00A83539" w:rsidP="0022484D">
      <w:pPr>
        <w:spacing w:line="252" w:lineRule="auto"/>
        <w:rPr>
          <w:rFonts w:eastAsia="Verdana" w:cs="Verdana"/>
          <w:b/>
          <w:bCs/>
          <w:color w:val="000000" w:themeColor="text1"/>
        </w:rPr>
      </w:pPr>
    </w:p>
    <w:p w14:paraId="63E34C4D" w14:textId="286455CF" w:rsidR="0022484D" w:rsidRDefault="0022484D" w:rsidP="0022484D">
      <w:pPr>
        <w:spacing w:line="252" w:lineRule="auto"/>
        <w:rPr>
          <w:rFonts w:eastAsia="Verdana" w:cs="Verdana"/>
          <w:b/>
          <w:bCs/>
          <w:color w:val="000000" w:themeColor="text1"/>
        </w:rPr>
      </w:pPr>
      <w:r w:rsidRPr="04903AB9">
        <w:rPr>
          <w:rFonts w:eastAsia="Verdana" w:cs="Verdana"/>
          <w:b/>
          <w:bCs/>
          <w:color w:val="000000" w:themeColor="text1"/>
        </w:rPr>
        <w:t>COP26 NI</w:t>
      </w:r>
    </w:p>
    <w:p w14:paraId="2C3C9E3F" w14:textId="77777777" w:rsidR="00A83539" w:rsidRDefault="00A83539" w:rsidP="0022484D">
      <w:pPr>
        <w:spacing w:line="252" w:lineRule="auto"/>
        <w:rPr>
          <w:rFonts w:eastAsia="Verdana" w:cs="Verdana"/>
          <w:b/>
          <w:bCs/>
          <w:color w:val="000000" w:themeColor="text1"/>
        </w:rPr>
      </w:pPr>
    </w:p>
    <w:p w14:paraId="21F3098E" w14:textId="2794A7A0" w:rsidR="0022484D" w:rsidRDefault="0022484D" w:rsidP="0022484D">
      <w:r w:rsidRPr="272474F4">
        <w:rPr>
          <w:rFonts w:eastAsia="Verdana" w:cs="Verdana"/>
          <w:color w:val="232120"/>
        </w:rPr>
        <w:t xml:space="preserve">In </w:t>
      </w:r>
      <w:r w:rsidR="00FF1FA8" w:rsidRPr="272474F4">
        <w:rPr>
          <w:rFonts w:eastAsia="Verdana" w:cs="Verdana"/>
          <w:color w:val="232120"/>
        </w:rPr>
        <w:t>November 2021,</w:t>
      </w:r>
      <w:r w:rsidRPr="272474F4">
        <w:rPr>
          <w:rFonts w:eastAsia="Verdana" w:cs="Verdana"/>
          <w:color w:val="232120"/>
        </w:rPr>
        <w:t xml:space="preserve"> the Commission alongside the UK’s National Human Rights Institutions produced a joint statement on human rights implications of the climate during the UN Climate Change Conference 2021 (COP26) in Glasgow.</w:t>
      </w:r>
    </w:p>
    <w:p w14:paraId="03C24F6D" w14:textId="77777777" w:rsidR="00627E1D" w:rsidRDefault="00627E1D" w:rsidP="00627E1D">
      <w:pPr>
        <w:rPr>
          <w:color w:val="000000" w:themeColor="text1"/>
        </w:rPr>
      </w:pPr>
    </w:p>
    <w:p w14:paraId="506DBCF9" w14:textId="77777777" w:rsidR="00627E1D" w:rsidRDefault="00627E1D" w:rsidP="00627E1D">
      <w:r w:rsidRPr="272474F4">
        <w:rPr>
          <w:rFonts w:eastAsia="Verdana" w:cs="Verdana"/>
          <w:color w:val="232120"/>
        </w:rPr>
        <w:t xml:space="preserve">Together with the Scottish Human Rights Commission and the Equality and Human Rights Commission the statement highlighted that climate change continues to </w:t>
      </w:r>
      <w:r w:rsidRPr="07FA5E0B">
        <w:rPr>
          <w:rFonts w:eastAsia="Verdana" w:cs="Verdana"/>
          <w:color w:val="232120"/>
        </w:rPr>
        <w:t>threaten</w:t>
      </w:r>
      <w:r w:rsidRPr="272474F4">
        <w:rPr>
          <w:rFonts w:eastAsia="Verdana" w:cs="Verdana"/>
          <w:color w:val="232120"/>
        </w:rPr>
        <w:t xml:space="preserve"> the effective enjoyment of a wide range of human rights including the right to life, water and sanitation, food, health, housing, self-determination, culture, and development.</w:t>
      </w:r>
    </w:p>
    <w:p w14:paraId="1CF77506" w14:textId="77777777" w:rsidR="00627E1D" w:rsidRDefault="00627E1D" w:rsidP="00627E1D">
      <w:pPr>
        <w:rPr>
          <w:color w:val="000000" w:themeColor="text1"/>
        </w:rPr>
      </w:pPr>
    </w:p>
    <w:p w14:paraId="5C51357A" w14:textId="730FB279" w:rsidR="00627E1D" w:rsidRDefault="00627E1D" w:rsidP="0022484D">
      <w:pPr>
        <w:spacing w:line="252" w:lineRule="auto"/>
        <w:rPr>
          <w:rFonts w:eastAsia="Verdana" w:cs="Verdana"/>
          <w:color w:val="000000" w:themeColor="text1"/>
        </w:rPr>
      </w:pPr>
      <w:r w:rsidRPr="272474F4">
        <w:rPr>
          <w:rFonts w:eastAsia="Verdana" w:cs="Verdana"/>
          <w:color w:val="232120"/>
        </w:rPr>
        <w:t xml:space="preserve">In </w:t>
      </w:r>
      <w:r w:rsidR="00FF1FA8" w:rsidRPr="272474F4">
        <w:rPr>
          <w:rFonts w:eastAsia="Verdana" w:cs="Verdana"/>
          <w:color w:val="232120"/>
        </w:rPr>
        <w:t>November,</w:t>
      </w:r>
      <w:r w:rsidRPr="272474F4">
        <w:rPr>
          <w:rFonts w:eastAsia="Verdana" w:cs="Verdana"/>
          <w:color w:val="232120"/>
        </w:rPr>
        <w:t xml:space="preserve"> the Commission once again joined the UK Human Rights Bodies to participate in the 2021 </w:t>
      </w:r>
      <w:r w:rsidRPr="272474F4">
        <w:rPr>
          <w:rFonts w:eastAsia="Verdana" w:cs="Verdana"/>
          <w:color w:val="000000" w:themeColor="text1"/>
        </w:rPr>
        <w:t>Global Alliance NHRI Symposium at COP26. The Commission presented in one of the sessions: NHRIs work on climate change: an interactive exhibition on diverse NHRI practices – Youth, climate change and human rights. This was an opportunity to showcase the Commission</w:t>
      </w:r>
      <w:r w:rsidR="00A730F4">
        <w:rPr>
          <w:rFonts w:eastAsia="Verdana" w:cs="Verdana"/>
          <w:color w:val="000000" w:themeColor="text1"/>
        </w:rPr>
        <w:t>’</w:t>
      </w:r>
      <w:r w:rsidRPr="272474F4">
        <w:rPr>
          <w:rFonts w:eastAsia="Verdana" w:cs="Verdana"/>
          <w:color w:val="000000" w:themeColor="text1"/>
        </w:rPr>
        <w:t>s project with Queens University Broadcast Journalism graduates in developing two educational climate animations. These animations explore climate change from a youth perspective, through a human rights lens.  The ‘Nia’ animation has won an award at the Queens University Belfast Students Union Awards and the Commission would like to congratulate all those involved in the project.</w:t>
      </w:r>
    </w:p>
    <w:p w14:paraId="75C62978" w14:textId="77777777" w:rsidR="00627E1D" w:rsidRDefault="00627E1D" w:rsidP="00627E1D">
      <w:pPr>
        <w:rPr>
          <w:b/>
          <w:bCs/>
          <w:color w:val="000000" w:themeColor="text1"/>
        </w:rPr>
      </w:pPr>
    </w:p>
    <w:p w14:paraId="4E31D7F4" w14:textId="77777777" w:rsidR="00627E1D" w:rsidRDefault="00627E1D" w:rsidP="00627E1D">
      <w:pPr>
        <w:rPr>
          <w:b/>
          <w:bCs/>
          <w:color w:val="auto"/>
        </w:rPr>
      </w:pPr>
      <w:r>
        <w:rPr>
          <w:b/>
          <w:bCs/>
          <w:color w:val="auto"/>
        </w:rPr>
        <w:t xml:space="preserve">Priority 2: </w:t>
      </w:r>
      <w:r w:rsidRPr="00C64196">
        <w:rPr>
          <w:b/>
          <w:bCs/>
          <w:color w:val="auto"/>
        </w:rPr>
        <w:t>Protecting human rights as a consequenc</w:t>
      </w:r>
      <w:r>
        <w:rPr>
          <w:b/>
          <w:bCs/>
          <w:color w:val="auto"/>
        </w:rPr>
        <w:t xml:space="preserve">e of leaving the European Union </w:t>
      </w:r>
      <w:r w:rsidR="0022484D">
        <w:rPr>
          <w:b/>
          <w:bCs/>
          <w:color w:val="auto"/>
        </w:rPr>
        <w:t>–</w:t>
      </w:r>
    </w:p>
    <w:p w14:paraId="6936931D" w14:textId="77777777" w:rsidR="0022484D" w:rsidRPr="00BC1691" w:rsidRDefault="0022484D" w:rsidP="00627E1D">
      <w:pPr>
        <w:rPr>
          <w:b/>
          <w:bCs/>
        </w:rPr>
      </w:pPr>
    </w:p>
    <w:p w14:paraId="6DB6B9D1" w14:textId="77777777" w:rsidR="00627E1D" w:rsidRPr="00D1075E" w:rsidRDefault="00627E1D" w:rsidP="00627E1D">
      <w:pPr>
        <w:spacing w:after="240"/>
      </w:pPr>
      <w:r w:rsidRPr="00D1075E">
        <w:t>During 2021/22, the Commission initiated a significant programme of research and awareness-raising on Article 2 of the Ireland/NI Protocol, engaging with government, parliaments, stakeholders and the public, as well as considering legal issues, continuing to recruit and train staff and embedding new systems to fulfil its mandate.</w:t>
      </w:r>
    </w:p>
    <w:p w14:paraId="1603718D" w14:textId="77777777" w:rsidR="00627E1D" w:rsidRPr="00D1075E" w:rsidRDefault="00627E1D" w:rsidP="00627E1D">
      <w:pPr>
        <w:spacing w:after="240"/>
        <w:rPr>
          <w:rFonts w:cstheme="minorHAnsi"/>
        </w:rPr>
      </w:pPr>
      <w:r w:rsidRPr="00D1075E">
        <w:rPr>
          <w:rFonts w:cstheme="minorHAnsi"/>
        </w:rPr>
        <w:t xml:space="preserve">NIHRC has raised Protocol Article 2 issues, </w:t>
      </w:r>
      <w:r>
        <w:rPr>
          <w:rFonts w:cstheme="minorHAnsi"/>
        </w:rPr>
        <w:t xml:space="preserve">independently, and </w:t>
      </w:r>
      <w:r w:rsidRPr="00D1075E">
        <w:rPr>
          <w:rFonts w:cstheme="minorHAnsi"/>
        </w:rPr>
        <w:t xml:space="preserve">jointly with ECNI, in submissions on </w:t>
      </w:r>
      <w:r>
        <w:rPr>
          <w:rFonts w:cstheme="minorHAnsi"/>
        </w:rPr>
        <w:t>Bills and</w:t>
      </w:r>
      <w:r w:rsidRPr="00D1075E">
        <w:rPr>
          <w:rFonts w:cstheme="minorHAnsi"/>
        </w:rPr>
        <w:t xml:space="preserve"> </w:t>
      </w:r>
      <w:r>
        <w:rPr>
          <w:rFonts w:cstheme="minorHAnsi"/>
        </w:rPr>
        <w:t>Committee I</w:t>
      </w:r>
      <w:r w:rsidRPr="00D1075E">
        <w:rPr>
          <w:rFonts w:cstheme="minorHAnsi"/>
        </w:rPr>
        <w:t>nquiries. These include:</w:t>
      </w:r>
    </w:p>
    <w:p w14:paraId="1D27F3FC" w14:textId="77777777" w:rsidR="00627E1D" w:rsidRPr="00D1075E" w:rsidRDefault="00627E1D" w:rsidP="00310B25">
      <w:pPr>
        <w:pStyle w:val="ListParagraph"/>
        <w:numPr>
          <w:ilvl w:val="0"/>
          <w:numId w:val="17"/>
        </w:numPr>
        <w:spacing w:after="120" w:line="259" w:lineRule="auto"/>
        <w:ind w:left="714" w:hanging="357"/>
      </w:pPr>
      <w:r w:rsidRPr="00D1075E">
        <w:t>The Nationality and Borders Bill</w:t>
      </w:r>
      <w:r w:rsidRPr="00D1075E">
        <w:rPr>
          <w:rStyle w:val="FootnoteReference"/>
        </w:rPr>
        <w:footnoteReference w:id="3"/>
      </w:r>
    </w:p>
    <w:p w14:paraId="20C7C225" w14:textId="77777777" w:rsidR="00627E1D" w:rsidRPr="00D1075E" w:rsidRDefault="00627E1D" w:rsidP="00310B25">
      <w:pPr>
        <w:pStyle w:val="ListParagraph"/>
        <w:numPr>
          <w:ilvl w:val="0"/>
          <w:numId w:val="17"/>
        </w:numPr>
        <w:spacing w:after="120" w:line="259" w:lineRule="auto"/>
        <w:ind w:left="714" w:hanging="357"/>
      </w:pPr>
      <w:r w:rsidRPr="00D1075E">
        <w:t>The Elections Bill</w:t>
      </w:r>
      <w:r w:rsidRPr="00D1075E">
        <w:rPr>
          <w:rStyle w:val="FootnoteReference"/>
        </w:rPr>
        <w:footnoteReference w:id="4"/>
      </w:r>
    </w:p>
    <w:p w14:paraId="2A6FD6BE" w14:textId="77777777" w:rsidR="00627E1D" w:rsidRPr="00D1075E" w:rsidRDefault="00627E1D" w:rsidP="00310B25">
      <w:pPr>
        <w:pStyle w:val="ListParagraph"/>
        <w:numPr>
          <w:ilvl w:val="0"/>
          <w:numId w:val="17"/>
        </w:numPr>
        <w:spacing w:after="120" w:line="259" w:lineRule="auto"/>
        <w:ind w:left="714" w:hanging="357"/>
      </w:pPr>
      <w:r w:rsidRPr="00D1075E">
        <w:rPr>
          <w:rFonts w:cstheme="minorHAnsi"/>
        </w:rPr>
        <w:t>House of Lords EU Affairs Committee Sub Committee on the Protocol Introductory Inquiry (June 2021) and Inquiry on UK Government and EU Proposals on the Protocol (November 2021)</w:t>
      </w:r>
    </w:p>
    <w:p w14:paraId="1F8DED93" w14:textId="77777777" w:rsidR="00627E1D" w:rsidRPr="00D1075E" w:rsidRDefault="00627E1D" w:rsidP="00310B25">
      <w:pPr>
        <w:pStyle w:val="ListParagraph"/>
        <w:numPr>
          <w:ilvl w:val="0"/>
          <w:numId w:val="17"/>
        </w:numPr>
        <w:spacing w:after="120" w:line="259" w:lineRule="auto"/>
        <w:ind w:left="714" w:hanging="357"/>
      </w:pPr>
      <w:r w:rsidRPr="00D1075E">
        <w:t>House of Commons European Scrutiny Committee Inquiry into the institutional framework of the UK-EU Trade and Co-operation Agreement (October 2021)</w:t>
      </w:r>
    </w:p>
    <w:p w14:paraId="22DFDCDF" w14:textId="77777777" w:rsidR="00627E1D" w:rsidRPr="00D1075E" w:rsidRDefault="00627E1D" w:rsidP="00310B25">
      <w:pPr>
        <w:pStyle w:val="ListParagraph"/>
        <w:numPr>
          <w:ilvl w:val="0"/>
          <w:numId w:val="17"/>
        </w:numPr>
        <w:spacing w:after="120" w:line="259" w:lineRule="auto"/>
        <w:ind w:left="714" w:hanging="357"/>
      </w:pPr>
      <w:r w:rsidRPr="00D1075E">
        <w:t>NI Assembly Ad Hoc Cttee on a Bill of Rights (April 2021)</w:t>
      </w:r>
    </w:p>
    <w:p w14:paraId="012920E5" w14:textId="77777777" w:rsidR="00627E1D" w:rsidRPr="00D1075E" w:rsidRDefault="00627E1D" w:rsidP="00310B25">
      <w:pPr>
        <w:pStyle w:val="ListParagraph"/>
        <w:numPr>
          <w:ilvl w:val="0"/>
          <w:numId w:val="17"/>
        </w:numPr>
        <w:spacing w:after="240" w:line="259" w:lineRule="auto"/>
        <w:contextualSpacing/>
      </w:pPr>
      <w:r w:rsidRPr="00D1075E">
        <w:t>Council of Europe Committee on Political Affairs and Democracy, Inquiry into Human Rights on the island of Ireland after Brexit (December 2021)</w:t>
      </w:r>
    </w:p>
    <w:p w14:paraId="21DFA86A" w14:textId="77777777" w:rsidR="00627E1D" w:rsidRPr="00E56F94" w:rsidRDefault="00627E1D" w:rsidP="00627E1D">
      <w:pPr>
        <w:spacing w:after="240"/>
      </w:pPr>
      <w:r>
        <w:t xml:space="preserve">NIHRC has also highlighted Protocol Article 2 within its treaty-monitoring work as set out under </w:t>
      </w:r>
      <w:r w:rsidRPr="000361C1">
        <w:t xml:space="preserve">objective </w:t>
      </w:r>
      <w:r>
        <w:t>4 and within responses to legislation &amp; policy consultation referenced under objective 5, including the review.</w:t>
      </w:r>
    </w:p>
    <w:p w14:paraId="1C4CBF55" w14:textId="77777777" w:rsidR="00627E1D" w:rsidRDefault="00627E1D" w:rsidP="00627E1D">
      <w:pPr>
        <w:spacing w:after="240"/>
        <w:rPr>
          <w:rFonts w:cstheme="minorHAnsi"/>
        </w:rPr>
      </w:pPr>
      <w:r w:rsidRPr="001A5908">
        <w:rPr>
          <w:rFonts w:cstheme="minorHAnsi"/>
        </w:rPr>
        <w:t xml:space="preserve">The Commissions </w:t>
      </w:r>
      <w:r>
        <w:rPr>
          <w:rFonts w:cstheme="minorHAnsi"/>
        </w:rPr>
        <w:t>initiated</w:t>
      </w:r>
      <w:r w:rsidRPr="001A5908">
        <w:rPr>
          <w:rFonts w:cstheme="minorHAnsi"/>
        </w:rPr>
        <w:t xml:space="preserve"> work to examine the scope of Protocol Article 2</w:t>
      </w:r>
      <w:r>
        <w:rPr>
          <w:rFonts w:cstheme="minorHAnsi"/>
        </w:rPr>
        <w:t>,</w:t>
      </w:r>
      <w:r w:rsidRPr="001A5908">
        <w:rPr>
          <w:rFonts w:cstheme="minorHAnsi"/>
        </w:rPr>
        <w:t xml:space="preserve"> </w:t>
      </w:r>
      <w:r>
        <w:rPr>
          <w:rFonts w:cstheme="minorHAnsi"/>
        </w:rPr>
        <w:t xml:space="preserve">reaching agreement with ECNI on key parts of a working paper, to be published in 2022. Legal opinions were commissioned to assist in this work and research was contracted on the interaction of Protocol Article 2 with access to health, human trafficking, frontier workers, asylum and immigration, all of which will be published in 2022. </w:t>
      </w:r>
    </w:p>
    <w:p w14:paraId="4754D02C" w14:textId="77777777" w:rsidR="00627E1D" w:rsidRPr="0036576F" w:rsidRDefault="00627E1D" w:rsidP="00627E1D">
      <w:pPr>
        <w:spacing w:after="240"/>
        <w:rPr>
          <w:rFonts w:cstheme="minorHAnsi"/>
        </w:rPr>
      </w:pPr>
      <w:r w:rsidRPr="0036576F">
        <w:rPr>
          <w:rFonts w:cstheme="minorHAnsi"/>
        </w:rPr>
        <w:t>The Commission alongside ECNI continued to raise public awareness of the commitment to equality and human rights which the UK Government has made and of the dedicated mechanism function.</w:t>
      </w:r>
    </w:p>
    <w:p w14:paraId="1BC2F13B" w14:textId="77777777" w:rsidR="00627E1D" w:rsidRPr="0036576F" w:rsidRDefault="00627E1D" w:rsidP="00627E1D">
      <w:pPr>
        <w:spacing w:after="240"/>
        <w:rPr>
          <w:rFonts w:cstheme="minorHAnsi"/>
        </w:rPr>
      </w:pPr>
      <w:r w:rsidRPr="0036576F">
        <w:rPr>
          <w:rFonts w:cstheme="minorHAnsi"/>
        </w:rPr>
        <w:t>In year we highlighted issues facing the community including pet passports, delayed EU Settled Status applications, and access to kosher and halal food.</w:t>
      </w:r>
    </w:p>
    <w:p w14:paraId="20AD19EF" w14:textId="77777777" w:rsidR="00627E1D" w:rsidRPr="0036576F" w:rsidRDefault="00627E1D" w:rsidP="00627E1D">
      <w:pPr>
        <w:spacing w:after="240"/>
        <w:rPr>
          <w:rFonts w:cstheme="minorBidi"/>
        </w:rPr>
      </w:pPr>
      <w:r w:rsidRPr="32D6215E">
        <w:rPr>
          <w:rFonts w:cstheme="minorBidi"/>
        </w:rPr>
        <w:t>In January and March 2022, we led a digital and outdoor advertising campaign to raise awareness of the related powers and functions of the Commissions to provide advice and support to individuals who believe their rights have been breached.  It ran across the eleven council areas for a period of two weeks in January and again for another period of two weeks in March. In addition, digital advertisements were promoted across Facebook, Instagram and LinkedIn for two periods of four weeks from 17 January to 15 February and 14 March to 11 April.</w:t>
      </w:r>
    </w:p>
    <w:p w14:paraId="2BC8B3D3" w14:textId="77777777" w:rsidR="00627E1D" w:rsidRDefault="00627E1D" w:rsidP="00627E1D">
      <w:pPr>
        <w:spacing w:after="240"/>
        <w:rPr>
          <w:rFonts w:cstheme="minorHAnsi"/>
        </w:rPr>
      </w:pPr>
      <w:r w:rsidRPr="0036576F">
        <w:rPr>
          <w:rFonts w:cstheme="minorHAnsi"/>
        </w:rPr>
        <w:t>We have also developed a range of information resources in accessible formats range which have been distributed to advice centres, and community groups across Northern Ireland</w:t>
      </w:r>
      <w:r>
        <w:rPr>
          <w:rFonts w:cstheme="minorHAnsi"/>
        </w:rPr>
        <w:t xml:space="preserve"> and engaged directly with stakeholders</w:t>
      </w:r>
      <w:r w:rsidRPr="0036576F">
        <w:rPr>
          <w:rFonts w:cstheme="minorHAnsi"/>
        </w:rPr>
        <w:t>.</w:t>
      </w:r>
    </w:p>
    <w:p w14:paraId="4DA782DD" w14:textId="77777777" w:rsidR="00627E1D" w:rsidRDefault="00627E1D" w:rsidP="00627E1D">
      <w:pPr>
        <w:spacing w:after="240"/>
      </w:pPr>
      <w:r>
        <w:rPr>
          <w:rFonts w:cstheme="minorHAnsi"/>
        </w:rPr>
        <w:t xml:space="preserve">NIHRC and </w:t>
      </w:r>
      <w:r>
        <w:t xml:space="preserve">ECNI have jointly presented on Protocol Article 2 to a range of stakeholder groups including the disability sector; the </w:t>
      </w:r>
      <w:r w:rsidRPr="001A5908">
        <w:rPr>
          <w:rFonts w:cstheme="minorHAnsi"/>
        </w:rPr>
        <w:t xml:space="preserve">Human Rights Consortium; the NI Committee of the Irish Congress of Trade Unions; women’s sector </w:t>
      </w:r>
      <w:r>
        <w:rPr>
          <w:rFonts w:cstheme="minorHAnsi"/>
        </w:rPr>
        <w:t xml:space="preserve">and </w:t>
      </w:r>
      <w:r w:rsidRPr="001A5908">
        <w:rPr>
          <w:rFonts w:cstheme="minorHAnsi"/>
        </w:rPr>
        <w:t>the Law Society Employment Lawyers Group</w:t>
      </w:r>
      <w:r>
        <w:rPr>
          <w:rFonts w:cstheme="minorHAnsi"/>
        </w:rPr>
        <w:t>. The Commissions also met with stakeholders including the Independent Monitoring Authority, the Law Centre and the Ad Hoc Group on North-South and East-West Co-operation.</w:t>
      </w:r>
    </w:p>
    <w:p w14:paraId="2E5430A1" w14:textId="77777777" w:rsidR="00627E1D" w:rsidRPr="00E43D3E" w:rsidRDefault="00627E1D" w:rsidP="00627E1D">
      <w:pPr>
        <w:spacing w:after="240"/>
        <w:rPr>
          <w:rFonts w:cstheme="minorHAnsi"/>
        </w:rPr>
      </w:pPr>
      <w:r>
        <w:rPr>
          <w:rFonts w:cstheme="minorHAnsi"/>
        </w:rPr>
        <w:t>A working group comprising NIHRC, ECNI and IHREC, met three times to take forward work on the island of Ireland dimension to Protocol Article 2. I</w:t>
      </w:r>
      <w:r w:rsidRPr="00E43D3E">
        <w:rPr>
          <w:rFonts w:cstheme="minorHAnsi"/>
        </w:rPr>
        <w:t>n November 2021, the boards of the three Commissions met in person in Dundalk</w:t>
      </w:r>
      <w:r>
        <w:rPr>
          <w:rFonts w:cstheme="minorHAnsi"/>
        </w:rPr>
        <w:t>. The three Commissions contracted work on the risk of divergence of rights on the island of Ireland, due for publication in 2022.</w:t>
      </w:r>
    </w:p>
    <w:p w14:paraId="4751422F" w14:textId="2E3CC151" w:rsidR="00627E1D" w:rsidRPr="000A30FB" w:rsidRDefault="00627E1D" w:rsidP="000A30FB">
      <w:pPr>
        <w:spacing w:after="240"/>
      </w:pPr>
      <w:r>
        <w:rPr>
          <w:rFonts w:cstheme="minorHAnsi"/>
        </w:rPr>
        <w:t>T</w:t>
      </w:r>
      <w:r w:rsidRPr="001A5908">
        <w:rPr>
          <w:rFonts w:cstheme="minorHAnsi"/>
        </w:rPr>
        <w:t xml:space="preserve">he three Commissions </w:t>
      </w:r>
      <w:r>
        <w:rPr>
          <w:rFonts w:cstheme="minorHAnsi"/>
        </w:rPr>
        <w:t xml:space="preserve">collaborated with stakeholders to run </w:t>
      </w:r>
      <w:r w:rsidRPr="001A5908">
        <w:rPr>
          <w:rFonts w:cstheme="minorHAnsi"/>
        </w:rPr>
        <w:t>cross</w:t>
      </w:r>
      <w:r>
        <w:rPr>
          <w:rFonts w:cstheme="minorHAnsi"/>
        </w:rPr>
        <w:t>-</w:t>
      </w:r>
      <w:r w:rsidRPr="001A5908">
        <w:rPr>
          <w:rFonts w:cstheme="minorHAnsi"/>
        </w:rPr>
        <w:t>border stakeholder engagement</w:t>
      </w:r>
      <w:r>
        <w:rPr>
          <w:rFonts w:cstheme="minorHAnsi"/>
        </w:rPr>
        <w:t xml:space="preserve">s in May 2021 and March 2022 and </w:t>
      </w:r>
      <w:r w:rsidRPr="00674CE1">
        <w:rPr>
          <w:rFonts w:cstheme="minorHAnsi"/>
        </w:rPr>
        <w:t>gave evidence to</w:t>
      </w:r>
      <w:r>
        <w:rPr>
          <w:rFonts w:cstheme="minorHAnsi"/>
        </w:rPr>
        <w:t xml:space="preserve"> the </w:t>
      </w:r>
      <w:r w:rsidRPr="001A5908">
        <w:rPr>
          <w:rFonts w:cstheme="minorHAnsi"/>
        </w:rPr>
        <w:t>Seanad Special Select Committee on the withdrawal of the UK from the EU</w:t>
      </w:r>
      <w:r>
        <w:rPr>
          <w:rFonts w:cstheme="minorHAnsi"/>
        </w:rPr>
        <w:t xml:space="preserve"> (May 2021); and to</w:t>
      </w:r>
      <w:r w:rsidRPr="00674CE1">
        <w:rPr>
          <w:rFonts w:cstheme="minorHAnsi"/>
        </w:rPr>
        <w:t xml:space="preserve"> the </w:t>
      </w:r>
      <w:r>
        <w:t>NI Assembly Committee for the Executive Office (April 2021 and December 2021).</w:t>
      </w:r>
    </w:p>
    <w:p w14:paraId="1364F23F" w14:textId="77777777" w:rsidR="00627E1D" w:rsidRDefault="00627E1D" w:rsidP="00627E1D">
      <w:pPr>
        <w:autoSpaceDE w:val="0"/>
        <w:autoSpaceDN w:val="0"/>
        <w:adjustRightInd w:val="0"/>
        <w:rPr>
          <w:b/>
          <w:color w:val="auto"/>
        </w:rPr>
      </w:pPr>
      <w:r w:rsidRPr="001C7925">
        <w:rPr>
          <w:b/>
          <w:color w:val="auto"/>
        </w:rPr>
        <w:t>Priority 3: Poverty, health and well-being</w:t>
      </w:r>
      <w:r>
        <w:rPr>
          <w:b/>
          <w:color w:val="auto"/>
        </w:rPr>
        <w:t xml:space="preserve"> -</w:t>
      </w:r>
    </w:p>
    <w:p w14:paraId="22AE2751" w14:textId="77777777" w:rsidR="00627E1D" w:rsidRPr="00BB0077" w:rsidRDefault="00627E1D" w:rsidP="00627E1D">
      <w:pPr>
        <w:autoSpaceDE w:val="0"/>
        <w:autoSpaceDN w:val="0"/>
        <w:adjustRightInd w:val="0"/>
        <w:rPr>
          <w:b/>
          <w:color w:val="auto"/>
        </w:rPr>
      </w:pPr>
    </w:p>
    <w:p w14:paraId="0E270C65" w14:textId="77777777" w:rsidR="00627E1D" w:rsidRDefault="00627E1D" w:rsidP="00627E1D">
      <w:pPr>
        <w:autoSpaceDE w:val="0"/>
        <w:autoSpaceDN w:val="0"/>
        <w:adjustRightInd w:val="0"/>
        <w:rPr>
          <w:rFonts w:cs="Arial"/>
          <w:color w:val="auto"/>
        </w:rPr>
      </w:pPr>
      <w:r>
        <w:rPr>
          <w:rFonts w:cs="Arial"/>
          <w:color w:val="auto"/>
        </w:rPr>
        <w:t>The Commission has published two research reports on ‘</w:t>
      </w:r>
      <w:r w:rsidRPr="00417ECE">
        <w:rPr>
          <w:rFonts w:cs="Arial"/>
          <w:color w:val="auto"/>
        </w:rPr>
        <w:t>The impact of public spending changes in Northern Ireland</w:t>
      </w:r>
      <w:r>
        <w:rPr>
          <w:rFonts w:cs="Arial"/>
          <w:color w:val="auto"/>
        </w:rPr>
        <w:t>’ and ‘</w:t>
      </w:r>
      <w:r w:rsidRPr="00417ECE">
        <w:rPr>
          <w:rFonts w:cs="Arial"/>
          <w:color w:val="auto"/>
        </w:rPr>
        <w:t>The impact of Covid-19 on public services in Northern Ireland</w:t>
      </w:r>
      <w:r>
        <w:rPr>
          <w:rFonts w:cs="Arial"/>
          <w:color w:val="auto"/>
        </w:rPr>
        <w:t>’. These reports were provided to the Department for Communities following the establishment of an Independent Advisory Panel for its review of Welfare Mitigations.</w:t>
      </w:r>
    </w:p>
    <w:p w14:paraId="0B133A7D" w14:textId="77777777" w:rsidR="00627E1D" w:rsidRDefault="00627E1D" w:rsidP="00627E1D">
      <w:pPr>
        <w:autoSpaceDE w:val="0"/>
        <w:autoSpaceDN w:val="0"/>
        <w:adjustRightInd w:val="0"/>
        <w:rPr>
          <w:rFonts w:cs="Arial"/>
          <w:color w:val="auto"/>
        </w:rPr>
      </w:pPr>
    </w:p>
    <w:p w14:paraId="7BB77EEF" w14:textId="77777777" w:rsidR="00627E1D" w:rsidRDefault="00627E1D" w:rsidP="00627E1D">
      <w:pPr>
        <w:autoSpaceDE w:val="0"/>
        <w:autoSpaceDN w:val="0"/>
        <w:adjustRightInd w:val="0"/>
        <w:rPr>
          <w:rFonts w:cs="Arial"/>
          <w:color w:val="auto"/>
        </w:rPr>
      </w:pPr>
      <w:r>
        <w:rPr>
          <w:rFonts w:cs="Arial"/>
          <w:color w:val="auto"/>
        </w:rPr>
        <w:t xml:space="preserve">In May 2021, the Commission published its monitoring report on the provision of abortion healthcare services, following the recommendations made by the </w:t>
      </w:r>
      <w:r w:rsidRPr="00E16491">
        <w:rPr>
          <w:rFonts w:cs="Arial"/>
          <w:color w:val="auto"/>
        </w:rPr>
        <w:t>UN Committee on the Elimination of Discrimination against Women</w:t>
      </w:r>
      <w:r>
        <w:rPr>
          <w:rFonts w:cs="Arial"/>
          <w:color w:val="auto"/>
        </w:rPr>
        <w:t xml:space="preserve">. </w:t>
      </w:r>
    </w:p>
    <w:p w14:paraId="498D9980" w14:textId="77777777" w:rsidR="00627E1D" w:rsidRDefault="00627E1D" w:rsidP="00627E1D">
      <w:pPr>
        <w:autoSpaceDE w:val="0"/>
        <w:autoSpaceDN w:val="0"/>
        <w:adjustRightInd w:val="0"/>
        <w:rPr>
          <w:rFonts w:cs="Arial"/>
          <w:color w:val="auto"/>
        </w:rPr>
      </w:pPr>
    </w:p>
    <w:p w14:paraId="584694F2" w14:textId="77777777" w:rsidR="00627E1D" w:rsidRDefault="00627E1D" w:rsidP="00627E1D">
      <w:pPr>
        <w:autoSpaceDE w:val="0"/>
        <w:autoSpaceDN w:val="0"/>
        <w:adjustRightInd w:val="0"/>
        <w:rPr>
          <w:rFonts w:cs="Arial"/>
          <w:color w:val="auto"/>
        </w:rPr>
      </w:pPr>
      <w:r>
        <w:rPr>
          <w:rFonts w:cs="Arial"/>
          <w:color w:val="auto"/>
        </w:rPr>
        <w:t xml:space="preserve">The Commission has initiated an investigation, under s.69 of the Northern Ireland Act 1998, for the purposes of its monitoring the extent to which </w:t>
      </w:r>
      <w:r w:rsidRPr="00E16491">
        <w:rPr>
          <w:rFonts w:cs="Arial"/>
          <w:color w:val="auto"/>
        </w:rPr>
        <w:t>“age-appropriate, comprehensive and scientifically accurate education on sexual and reproductive health a compulsory component of curriculum for adolescents covering prevention of early pregnancy and access to abortion” in Northern Ireland in accordance with recommendation of the UN Committee on the Elimination of Discrimination against Women.</w:t>
      </w:r>
      <w:r>
        <w:rPr>
          <w:rFonts w:cs="Arial"/>
          <w:color w:val="auto"/>
        </w:rPr>
        <w:t xml:space="preserve"> This remains ongoing and is due to be completed in March 2023. </w:t>
      </w:r>
    </w:p>
    <w:p w14:paraId="26CCF2C3" w14:textId="77777777" w:rsidR="00627E1D" w:rsidRDefault="00627E1D" w:rsidP="00627E1D">
      <w:pPr>
        <w:autoSpaceDE w:val="0"/>
        <w:autoSpaceDN w:val="0"/>
        <w:adjustRightInd w:val="0"/>
        <w:rPr>
          <w:rFonts w:cs="Arial"/>
          <w:color w:val="auto"/>
        </w:rPr>
      </w:pPr>
    </w:p>
    <w:p w14:paraId="1F89FD6E" w14:textId="7B16CD7E" w:rsidR="00627E1D" w:rsidRDefault="00627E1D" w:rsidP="00627E1D">
      <w:pPr>
        <w:autoSpaceDE w:val="0"/>
        <w:autoSpaceDN w:val="0"/>
        <w:adjustRightInd w:val="0"/>
        <w:rPr>
          <w:rFonts w:cs="Arial"/>
          <w:color w:val="auto"/>
        </w:rPr>
      </w:pPr>
      <w:r>
        <w:rPr>
          <w:rFonts w:cs="Arial"/>
          <w:color w:val="auto"/>
        </w:rPr>
        <w:t>The Commission also tendered external researche</w:t>
      </w:r>
      <w:r w:rsidR="000C7C45">
        <w:rPr>
          <w:rFonts w:cs="Arial"/>
          <w:color w:val="auto"/>
        </w:rPr>
        <w:t>r</w:t>
      </w:r>
      <w:r>
        <w:rPr>
          <w:rFonts w:cs="Arial"/>
          <w:color w:val="auto"/>
        </w:rPr>
        <w:t xml:space="preserve">s to produce a landscape review on </w:t>
      </w:r>
      <w:r w:rsidRPr="00E16491">
        <w:rPr>
          <w:rFonts w:cs="Arial"/>
          <w:color w:val="auto"/>
        </w:rPr>
        <w:t>the Prevention of Drug Addiction and Substance Abuse in Northern Ireland</w:t>
      </w:r>
      <w:r>
        <w:rPr>
          <w:rFonts w:cs="Arial"/>
          <w:color w:val="auto"/>
        </w:rPr>
        <w:t xml:space="preserve">, which will be finalised in 2022. </w:t>
      </w:r>
    </w:p>
    <w:p w14:paraId="334A8A66" w14:textId="77777777" w:rsidR="00627E1D" w:rsidRDefault="00627E1D" w:rsidP="00627E1D">
      <w:pPr>
        <w:autoSpaceDE w:val="0"/>
        <w:autoSpaceDN w:val="0"/>
        <w:adjustRightInd w:val="0"/>
        <w:rPr>
          <w:rFonts w:cs="Arial"/>
          <w:color w:val="auto"/>
        </w:rPr>
      </w:pPr>
    </w:p>
    <w:p w14:paraId="4DAC3D07" w14:textId="77777777" w:rsidR="00627E1D" w:rsidRPr="00C64196" w:rsidRDefault="00627E1D" w:rsidP="00627E1D">
      <w:pPr>
        <w:autoSpaceDE w:val="0"/>
        <w:autoSpaceDN w:val="0"/>
        <w:adjustRightInd w:val="0"/>
        <w:rPr>
          <w:rFonts w:cs="Arial"/>
          <w:b/>
          <w:color w:val="auto"/>
        </w:rPr>
      </w:pPr>
      <w:r w:rsidRPr="00C64196">
        <w:rPr>
          <w:rFonts w:cs="Arial"/>
          <w:b/>
          <w:color w:val="auto"/>
        </w:rPr>
        <w:t>Priority 4: Meeting domestic and international human rights standards and good governance</w:t>
      </w:r>
      <w:r>
        <w:rPr>
          <w:rFonts w:cs="Arial"/>
          <w:b/>
          <w:color w:val="auto"/>
        </w:rPr>
        <w:t xml:space="preserve"> -</w:t>
      </w:r>
    </w:p>
    <w:p w14:paraId="63AE0471" w14:textId="77777777" w:rsidR="00627E1D" w:rsidRPr="002603AF" w:rsidRDefault="00627E1D" w:rsidP="00627E1D">
      <w:pPr>
        <w:autoSpaceDE w:val="0"/>
        <w:autoSpaceDN w:val="0"/>
        <w:adjustRightInd w:val="0"/>
        <w:rPr>
          <w:rFonts w:cs="Arial"/>
          <w:color w:val="auto"/>
        </w:rPr>
      </w:pPr>
    </w:p>
    <w:p w14:paraId="25ED4728" w14:textId="77777777" w:rsidR="00627E1D" w:rsidRPr="00417ECE" w:rsidRDefault="00627E1D" w:rsidP="00627E1D">
      <w:pPr>
        <w:autoSpaceDE w:val="0"/>
        <w:autoSpaceDN w:val="0"/>
        <w:adjustRightInd w:val="0"/>
        <w:rPr>
          <w:rFonts w:cs="TT150t00"/>
          <w:color w:val="auto"/>
          <w:szCs w:val="22"/>
        </w:rPr>
      </w:pPr>
      <w:r w:rsidRPr="00417ECE">
        <w:rPr>
          <w:rFonts w:cs="TT150t00"/>
          <w:color w:val="auto"/>
          <w:szCs w:val="22"/>
        </w:rPr>
        <w:t>The Commission’s 2021 Annual Statement highlighted progress on meeting human rights obligations in Northern Ireland. It was launched online on 9 December 2021</w:t>
      </w:r>
      <w:r>
        <w:rPr>
          <w:rFonts w:cs="TT150t00"/>
          <w:color w:val="auto"/>
          <w:szCs w:val="22"/>
        </w:rPr>
        <w:t>,</w:t>
      </w:r>
      <w:r w:rsidRPr="00417ECE">
        <w:rPr>
          <w:rFonts w:cs="TT150t00"/>
          <w:color w:val="auto"/>
          <w:szCs w:val="22"/>
        </w:rPr>
        <w:t xml:space="preserve"> in con</w:t>
      </w:r>
      <w:r>
        <w:rPr>
          <w:rFonts w:cs="TT150t00"/>
          <w:color w:val="auto"/>
          <w:szCs w:val="22"/>
        </w:rPr>
        <w:t>jun</w:t>
      </w:r>
      <w:r w:rsidRPr="00417ECE">
        <w:rPr>
          <w:rFonts w:cs="TT150t00"/>
          <w:color w:val="auto"/>
          <w:szCs w:val="22"/>
        </w:rPr>
        <w:t xml:space="preserve">ction with the Speakers Office, led by the new Chief Commissioner. </w:t>
      </w:r>
    </w:p>
    <w:p w14:paraId="1ACF96C9" w14:textId="77777777" w:rsidR="00627E1D" w:rsidRPr="00417ECE" w:rsidRDefault="00627E1D" w:rsidP="00627E1D">
      <w:pPr>
        <w:autoSpaceDE w:val="0"/>
        <w:autoSpaceDN w:val="0"/>
        <w:adjustRightInd w:val="0"/>
        <w:rPr>
          <w:rFonts w:cs="TT150t00"/>
          <w:color w:val="auto"/>
          <w:szCs w:val="22"/>
        </w:rPr>
      </w:pPr>
    </w:p>
    <w:p w14:paraId="28D85AE9" w14:textId="77777777" w:rsidR="00627E1D" w:rsidRPr="00417ECE" w:rsidRDefault="00627E1D" w:rsidP="00627E1D">
      <w:pPr>
        <w:autoSpaceDE w:val="0"/>
        <w:autoSpaceDN w:val="0"/>
        <w:adjustRightInd w:val="0"/>
        <w:rPr>
          <w:rFonts w:cs="TT150t00"/>
          <w:color w:val="auto"/>
          <w:szCs w:val="22"/>
        </w:rPr>
      </w:pPr>
      <w:r w:rsidRPr="00417ECE">
        <w:rPr>
          <w:rFonts w:cs="TT150t00"/>
          <w:color w:val="auto"/>
          <w:szCs w:val="22"/>
        </w:rPr>
        <w:t xml:space="preserve">In line with our role of monitoring compliance and engaging with international human rights mechanisms, the Commission submitted follow-up reports to the Council of Europe Committee of Experts on the European Charter for Regional and Minority Languages and the UN Committee on the Elimination of Discrimination against Women. </w:t>
      </w:r>
      <w:r>
        <w:rPr>
          <w:rFonts w:cs="TT150t00"/>
          <w:color w:val="auto"/>
          <w:szCs w:val="22"/>
        </w:rPr>
        <w:t xml:space="preserve">The Commission further contributed a report to the UN Human Rights Committee for its consideration of the List of Issues under the International Covenant on Civil and Political Rights. </w:t>
      </w:r>
      <w:r w:rsidRPr="00417ECE">
        <w:rPr>
          <w:rFonts w:cs="TT150t00"/>
          <w:color w:val="auto"/>
          <w:szCs w:val="22"/>
        </w:rPr>
        <w:t xml:space="preserve">Submissions have also been made to the Council of European Framework Convention on the Protection of National Minorities and the UN Universal Periodic Review. </w:t>
      </w:r>
    </w:p>
    <w:p w14:paraId="0F2477D6" w14:textId="77777777" w:rsidR="00627E1D" w:rsidRPr="00417ECE" w:rsidRDefault="00627E1D" w:rsidP="00627E1D">
      <w:pPr>
        <w:autoSpaceDE w:val="0"/>
        <w:autoSpaceDN w:val="0"/>
        <w:adjustRightInd w:val="0"/>
        <w:rPr>
          <w:rFonts w:cs="TT150t00"/>
          <w:color w:val="auto"/>
          <w:szCs w:val="22"/>
        </w:rPr>
      </w:pPr>
    </w:p>
    <w:p w14:paraId="05160265" w14:textId="77777777" w:rsidR="00627E1D" w:rsidRDefault="00627E1D" w:rsidP="00627E1D">
      <w:pPr>
        <w:autoSpaceDE w:val="0"/>
        <w:autoSpaceDN w:val="0"/>
        <w:adjustRightInd w:val="0"/>
        <w:rPr>
          <w:rFonts w:cs="TT150t00"/>
          <w:color w:val="auto"/>
          <w:szCs w:val="22"/>
        </w:rPr>
      </w:pPr>
      <w:r w:rsidRPr="00417ECE">
        <w:rPr>
          <w:rFonts w:cs="TT150t00"/>
          <w:color w:val="auto"/>
          <w:szCs w:val="22"/>
        </w:rPr>
        <w:t>The Disability Forum, established with the Equality Commission, continues to meet in respect of disability issues and preparations for the Northern Ireland input into the UK</w:t>
      </w:r>
      <w:r>
        <w:rPr>
          <w:rFonts w:cs="TT150t00"/>
          <w:color w:val="auto"/>
          <w:szCs w:val="22"/>
        </w:rPr>
        <w:t xml:space="preserve"> </w:t>
      </w:r>
      <w:r w:rsidRPr="00417ECE">
        <w:rPr>
          <w:rFonts w:cs="TT150t00"/>
          <w:color w:val="auto"/>
          <w:szCs w:val="22"/>
        </w:rPr>
        <w:t>I</w:t>
      </w:r>
      <w:r>
        <w:rPr>
          <w:rFonts w:cs="TT150t00"/>
          <w:color w:val="auto"/>
          <w:szCs w:val="22"/>
        </w:rPr>
        <w:t xml:space="preserve">ndependent </w:t>
      </w:r>
      <w:r w:rsidRPr="00417ECE">
        <w:rPr>
          <w:rFonts w:cs="TT150t00"/>
          <w:color w:val="auto"/>
          <w:szCs w:val="22"/>
        </w:rPr>
        <w:t>M</w:t>
      </w:r>
      <w:r>
        <w:rPr>
          <w:rFonts w:cs="TT150t00"/>
          <w:color w:val="auto"/>
          <w:szCs w:val="22"/>
        </w:rPr>
        <w:t>echanism</w:t>
      </w:r>
      <w:r w:rsidRPr="00417ECE">
        <w:rPr>
          <w:rFonts w:cs="TT150t00"/>
          <w:color w:val="auto"/>
          <w:szCs w:val="22"/>
        </w:rPr>
        <w:t xml:space="preserve"> report to the UN Committee on the Rights of Persons with Disabilities. The timetable for the examination by the UN Committee has been delayed and so this work will continue into 2022</w:t>
      </w:r>
      <w:r>
        <w:rPr>
          <w:rFonts w:cs="TT150t00"/>
          <w:color w:val="auto"/>
          <w:szCs w:val="22"/>
        </w:rPr>
        <w:t xml:space="preserve"> and beyond</w:t>
      </w:r>
      <w:r w:rsidRPr="00417ECE">
        <w:rPr>
          <w:rFonts w:cs="TT150t00"/>
          <w:color w:val="auto"/>
          <w:szCs w:val="22"/>
        </w:rPr>
        <w:t xml:space="preserve">. </w:t>
      </w:r>
    </w:p>
    <w:p w14:paraId="38669244" w14:textId="77777777" w:rsidR="00627E1D" w:rsidRDefault="00627E1D" w:rsidP="00627E1D">
      <w:pPr>
        <w:autoSpaceDE w:val="0"/>
        <w:autoSpaceDN w:val="0"/>
        <w:adjustRightInd w:val="0"/>
        <w:rPr>
          <w:rFonts w:cs="TT150t00"/>
          <w:color w:val="auto"/>
          <w:szCs w:val="22"/>
        </w:rPr>
      </w:pPr>
    </w:p>
    <w:p w14:paraId="44996A1E" w14:textId="0E33B974" w:rsidR="00627E1D" w:rsidRDefault="00627E1D" w:rsidP="00627E1D">
      <w:pPr>
        <w:autoSpaceDE w:val="0"/>
        <w:autoSpaceDN w:val="0"/>
        <w:adjustRightInd w:val="0"/>
        <w:rPr>
          <w:rFonts w:cs="TT150t00"/>
          <w:color w:val="auto"/>
          <w:szCs w:val="22"/>
        </w:rPr>
      </w:pPr>
      <w:r>
        <w:rPr>
          <w:rFonts w:cs="TT150t00"/>
          <w:color w:val="auto"/>
          <w:szCs w:val="22"/>
        </w:rPr>
        <w:t>The Commission continued to monitor developments on proposals to deal with the legacy of the NI conflict</w:t>
      </w:r>
      <w:r w:rsidR="00075FFD">
        <w:rPr>
          <w:rFonts w:cs="TT150t00"/>
          <w:color w:val="auto"/>
          <w:szCs w:val="22"/>
        </w:rPr>
        <w:t xml:space="preserve"> and </w:t>
      </w:r>
      <w:r w:rsidR="000C7C45">
        <w:rPr>
          <w:rFonts w:cs="TT150t00"/>
          <w:color w:val="auto"/>
          <w:szCs w:val="22"/>
        </w:rPr>
        <w:t>in respect</w:t>
      </w:r>
      <w:r>
        <w:rPr>
          <w:rFonts w:cs="TT150t00"/>
          <w:color w:val="auto"/>
          <w:szCs w:val="22"/>
        </w:rPr>
        <w:t xml:space="preserve"> of </w:t>
      </w:r>
      <w:r w:rsidR="00075FFD">
        <w:rPr>
          <w:rFonts w:cs="TT150t00"/>
          <w:color w:val="auto"/>
          <w:szCs w:val="22"/>
        </w:rPr>
        <w:t xml:space="preserve">the </w:t>
      </w:r>
      <w:r>
        <w:rPr>
          <w:rFonts w:cs="TT150t00"/>
          <w:color w:val="auto"/>
          <w:szCs w:val="22"/>
        </w:rPr>
        <w:t xml:space="preserve">Irish language </w:t>
      </w:r>
      <w:r w:rsidR="00075FFD">
        <w:rPr>
          <w:rFonts w:cs="TT150t00"/>
          <w:color w:val="auto"/>
          <w:szCs w:val="22"/>
        </w:rPr>
        <w:t xml:space="preserve">and </w:t>
      </w:r>
      <w:r>
        <w:rPr>
          <w:rFonts w:cs="TT150t00"/>
          <w:color w:val="auto"/>
          <w:szCs w:val="22"/>
        </w:rPr>
        <w:t>Ulster-Scots</w:t>
      </w:r>
      <w:r w:rsidR="00075FFD">
        <w:rPr>
          <w:rFonts w:cs="TT150t00"/>
          <w:color w:val="auto"/>
          <w:szCs w:val="22"/>
        </w:rPr>
        <w:t xml:space="preserve"> commitment contained in the New Decade, New Approach document</w:t>
      </w:r>
      <w:r>
        <w:rPr>
          <w:rFonts w:cs="TT150t00"/>
          <w:color w:val="auto"/>
          <w:szCs w:val="22"/>
        </w:rPr>
        <w:t xml:space="preserve">. </w:t>
      </w:r>
      <w:r w:rsidR="00075FFD">
        <w:rPr>
          <w:rFonts w:cs="TT150t00"/>
          <w:color w:val="auto"/>
          <w:szCs w:val="22"/>
        </w:rPr>
        <w:t xml:space="preserve">It also </w:t>
      </w:r>
      <w:r>
        <w:rPr>
          <w:rFonts w:cs="TT150t00"/>
          <w:color w:val="auto"/>
          <w:szCs w:val="22"/>
        </w:rPr>
        <w:t>continue</w:t>
      </w:r>
      <w:r w:rsidR="00075FFD">
        <w:rPr>
          <w:rFonts w:cs="TT150t00"/>
          <w:color w:val="auto"/>
          <w:szCs w:val="22"/>
        </w:rPr>
        <w:t>d</w:t>
      </w:r>
      <w:r>
        <w:rPr>
          <w:rFonts w:cs="TT150t00"/>
          <w:color w:val="auto"/>
          <w:szCs w:val="22"/>
        </w:rPr>
        <w:t xml:space="preserve"> to engage with the NI Office in respect of the designation of Ulster Scots under the Framework Convention for the Protection of National Minorities.</w:t>
      </w:r>
    </w:p>
    <w:p w14:paraId="4C88DD22" w14:textId="77777777" w:rsidR="00627E1D" w:rsidRDefault="00627E1D" w:rsidP="00627E1D">
      <w:pPr>
        <w:autoSpaceDE w:val="0"/>
        <w:autoSpaceDN w:val="0"/>
        <w:adjustRightInd w:val="0"/>
        <w:rPr>
          <w:rFonts w:cs="TT150t00"/>
          <w:color w:val="auto"/>
          <w:szCs w:val="22"/>
        </w:rPr>
      </w:pPr>
    </w:p>
    <w:p w14:paraId="39985232" w14:textId="3A18D930" w:rsidR="00627E1D" w:rsidRPr="00417ECE" w:rsidRDefault="00627E1D" w:rsidP="00627E1D">
      <w:pPr>
        <w:autoSpaceDE w:val="0"/>
        <w:autoSpaceDN w:val="0"/>
        <w:adjustRightInd w:val="0"/>
        <w:rPr>
          <w:rFonts w:cs="TT150t00"/>
          <w:color w:val="auto"/>
          <w:szCs w:val="22"/>
        </w:rPr>
      </w:pPr>
      <w:r>
        <w:rPr>
          <w:rFonts w:cs="TT150t00"/>
          <w:color w:val="auto"/>
          <w:szCs w:val="22"/>
        </w:rPr>
        <w:t xml:space="preserve">The Commission has published its research report on the rights of children who </w:t>
      </w:r>
      <w:r w:rsidR="00A730F4">
        <w:rPr>
          <w:rFonts w:cs="TT150t00"/>
          <w:color w:val="auto"/>
          <w:szCs w:val="22"/>
        </w:rPr>
        <w:t xml:space="preserve">went </w:t>
      </w:r>
      <w:r>
        <w:rPr>
          <w:rFonts w:cs="TT150t00"/>
          <w:color w:val="auto"/>
          <w:szCs w:val="22"/>
        </w:rPr>
        <w:t xml:space="preserve">missing whilst in the care of the State, focusing on the rights to liberty and the prohibition of inhuman degrading treatment and punishment. </w:t>
      </w:r>
    </w:p>
    <w:p w14:paraId="239610C6" w14:textId="77777777" w:rsidR="00627E1D" w:rsidRPr="002603AF" w:rsidRDefault="00627E1D" w:rsidP="00627E1D">
      <w:pPr>
        <w:autoSpaceDE w:val="0"/>
        <w:autoSpaceDN w:val="0"/>
        <w:adjustRightInd w:val="0"/>
        <w:rPr>
          <w:rFonts w:cs="TT150t00"/>
          <w:color w:val="auto"/>
          <w:sz w:val="22"/>
          <w:szCs w:val="22"/>
        </w:rPr>
      </w:pPr>
    </w:p>
    <w:p w14:paraId="4F0E2FC8" w14:textId="77777777" w:rsidR="00627E1D" w:rsidRPr="001C7925" w:rsidRDefault="00627E1D" w:rsidP="00627E1D">
      <w:pPr>
        <w:autoSpaceDE w:val="0"/>
        <w:autoSpaceDN w:val="0"/>
        <w:adjustRightInd w:val="0"/>
        <w:rPr>
          <w:rFonts w:cs="TT150t00"/>
          <w:b/>
          <w:color w:val="auto"/>
        </w:rPr>
      </w:pPr>
      <w:r w:rsidRPr="001C7925">
        <w:rPr>
          <w:rFonts w:cs="TT150t00"/>
          <w:b/>
          <w:color w:val="auto"/>
        </w:rPr>
        <w:t>Priority 5: Protecting human rights in a digital age</w:t>
      </w:r>
      <w:r>
        <w:rPr>
          <w:rFonts w:cs="TT150t00"/>
          <w:b/>
          <w:color w:val="auto"/>
        </w:rPr>
        <w:t xml:space="preserve"> - </w:t>
      </w:r>
    </w:p>
    <w:p w14:paraId="6E4BD9CE" w14:textId="77777777" w:rsidR="00627E1D" w:rsidRDefault="00627E1D" w:rsidP="00627E1D">
      <w:pPr>
        <w:autoSpaceDE w:val="0"/>
        <w:autoSpaceDN w:val="0"/>
        <w:adjustRightInd w:val="0"/>
        <w:rPr>
          <w:rFonts w:cs="TT150t00"/>
          <w:color w:val="auto"/>
        </w:rPr>
      </w:pPr>
    </w:p>
    <w:p w14:paraId="6EEF9EFB" w14:textId="5449006B" w:rsidR="00627E1D" w:rsidRDefault="000C7C45" w:rsidP="00627E1D">
      <w:pPr>
        <w:autoSpaceDE w:val="0"/>
        <w:autoSpaceDN w:val="0"/>
        <w:adjustRightInd w:val="0"/>
        <w:rPr>
          <w:rFonts w:cs="TT150t00"/>
          <w:color w:val="auto"/>
        </w:rPr>
      </w:pPr>
      <w:r>
        <w:rPr>
          <w:rFonts w:cs="TT150t00"/>
          <w:color w:val="auto"/>
        </w:rPr>
        <w:t>Unfortunately,</w:t>
      </w:r>
      <w:r w:rsidR="00075FFD">
        <w:rPr>
          <w:rFonts w:cs="TT150t00"/>
          <w:color w:val="auto"/>
        </w:rPr>
        <w:t xml:space="preserve"> th</w:t>
      </w:r>
      <w:r w:rsidR="004E26E9">
        <w:rPr>
          <w:rFonts w:cs="TT150t00"/>
          <w:color w:val="auto"/>
        </w:rPr>
        <w:t xml:space="preserve">is area of work was ceased </w:t>
      </w:r>
      <w:r w:rsidR="00075FFD">
        <w:rPr>
          <w:rFonts w:cs="TT150t00"/>
          <w:color w:val="auto"/>
        </w:rPr>
        <w:t>due to lack of resource and capacity.</w:t>
      </w:r>
    </w:p>
    <w:p w14:paraId="79B2F9CB" w14:textId="77777777" w:rsidR="00627E1D" w:rsidRPr="001C7925" w:rsidRDefault="00627E1D" w:rsidP="00627E1D">
      <w:pPr>
        <w:autoSpaceDE w:val="0"/>
        <w:autoSpaceDN w:val="0"/>
        <w:adjustRightInd w:val="0"/>
        <w:rPr>
          <w:rFonts w:cs="TT150t00"/>
          <w:color w:val="auto"/>
        </w:rPr>
      </w:pPr>
    </w:p>
    <w:p w14:paraId="6225CF43" w14:textId="77777777" w:rsidR="00627E1D" w:rsidRPr="001C7925" w:rsidRDefault="00627E1D" w:rsidP="00627E1D">
      <w:pPr>
        <w:autoSpaceDE w:val="0"/>
        <w:autoSpaceDN w:val="0"/>
        <w:adjustRightInd w:val="0"/>
        <w:rPr>
          <w:color w:val="auto"/>
        </w:rPr>
      </w:pPr>
      <w:r w:rsidRPr="001C7925">
        <w:rPr>
          <w:b/>
          <w:color w:val="auto"/>
        </w:rPr>
        <w:t>Core activities</w:t>
      </w:r>
      <w:r>
        <w:rPr>
          <w:b/>
          <w:color w:val="auto"/>
        </w:rPr>
        <w:t xml:space="preserve"> -</w:t>
      </w:r>
    </w:p>
    <w:p w14:paraId="5F8D3A8B" w14:textId="77777777" w:rsidR="00627E1D" w:rsidRPr="001C7925" w:rsidRDefault="00627E1D" w:rsidP="00627E1D">
      <w:pPr>
        <w:autoSpaceDE w:val="0"/>
        <w:autoSpaceDN w:val="0"/>
        <w:adjustRightInd w:val="0"/>
        <w:rPr>
          <w:color w:val="auto"/>
        </w:rPr>
      </w:pPr>
    </w:p>
    <w:p w14:paraId="480BD457" w14:textId="77777777" w:rsidR="00627E1D" w:rsidRDefault="00627E1D" w:rsidP="00627E1D">
      <w:pPr>
        <w:autoSpaceDE w:val="0"/>
        <w:autoSpaceDN w:val="0"/>
        <w:adjustRightInd w:val="0"/>
        <w:rPr>
          <w:color w:val="auto"/>
        </w:rPr>
      </w:pPr>
      <w:r w:rsidRPr="001C7925">
        <w:rPr>
          <w:color w:val="auto"/>
        </w:rPr>
        <w:t xml:space="preserve">In fulfilment of and in compliance with its statutory obligations and the strategic objectives for 2019-22, the Commission identified </w:t>
      </w:r>
      <w:r>
        <w:rPr>
          <w:color w:val="auto"/>
        </w:rPr>
        <w:t xml:space="preserve">and delivered </w:t>
      </w:r>
      <w:r w:rsidRPr="001C7925">
        <w:rPr>
          <w:color w:val="auto"/>
        </w:rPr>
        <w:t>the following core activities:</w:t>
      </w:r>
    </w:p>
    <w:p w14:paraId="08DDF263" w14:textId="77777777" w:rsidR="00627E1D" w:rsidRDefault="00627E1D" w:rsidP="00627E1D"/>
    <w:p w14:paraId="45A87F34" w14:textId="77777777" w:rsidR="00627E1D" w:rsidRDefault="00627E1D" w:rsidP="00627E1D">
      <w:r w:rsidRPr="00417ECE">
        <w:t>Throughout the year, the Commission has continued to advise government on legislative measures necessary to ensure compliance with human rights obligations. Examples</w:t>
      </w:r>
      <w:r>
        <w:t xml:space="preserve"> of our advice</w:t>
      </w:r>
      <w:r w:rsidRPr="00417ECE">
        <w:t xml:space="preserve"> include our responses to</w:t>
      </w:r>
      <w:r>
        <w:t xml:space="preserve"> consultations on Restraint in the Health and Social Care System, the Refugee Integration Strategy, Charlotte’s Law and Reform of the Human </w:t>
      </w:r>
      <w:r w:rsidRPr="00F54DA4">
        <w:t xml:space="preserve">Rights Act. The Commission has also provided written and oral advice </w:t>
      </w:r>
      <w:r>
        <w:t xml:space="preserve">to Committees of the NI Assembly </w:t>
      </w:r>
      <w:r w:rsidRPr="00F54DA4">
        <w:t xml:space="preserve">on </w:t>
      </w:r>
      <w:r>
        <w:t xml:space="preserve">the retention of biometric data, </w:t>
      </w:r>
      <w:r w:rsidRPr="00F54DA4">
        <w:t xml:space="preserve">the Integrated Education Bill, </w:t>
      </w:r>
      <w:hyperlink r:id="rId19" w:history="1">
        <w:r w:rsidRPr="0058676B">
          <w:rPr>
            <w:rStyle w:val="Hyperlink"/>
            <w:rFonts w:cs="Arial"/>
            <w:color w:val="46679D"/>
            <w:bdr w:val="none" w:sz="0" w:space="0" w:color="auto" w:frame="1"/>
            <w:shd w:val="clear" w:color="auto" w:fill="FAFAFA"/>
          </w:rPr>
          <w:t>Adoption and Children Bill</w:t>
        </w:r>
      </w:hyperlink>
      <w:r w:rsidRPr="00F54DA4">
        <w:t xml:space="preserve">, Abortion Services (Safe Access Zones) Bill and the </w:t>
      </w:r>
      <w:hyperlink r:id="rId20" w:history="1">
        <w:r w:rsidRPr="0058676B">
          <w:rPr>
            <w:rStyle w:val="Hyperlink"/>
            <w:rFonts w:cs="Arial"/>
            <w:color w:val="46679D"/>
            <w:bdr w:val="none" w:sz="0" w:space="0" w:color="auto" w:frame="1"/>
            <w:shd w:val="clear" w:color="auto" w:fill="FAFAFA"/>
          </w:rPr>
          <w:t>Justice (Sexual Offences and Trafficking Victims) Bill</w:t>
        </w:r>
      </w:hyperlink>
      <w:r w:rsidRPr="00F54DA4">
        <w:t>.</w:t>
      </w:r>
    </w:p>
    <w:p w14:paraId="6C24D36B" w14:textId="77777777" w:rsidR="00627E1D" w:rsidRDefault="00627E1D" w:rsidP="00627E1D"/>
    <w:p w14:paraId="5BCF8E6E" w14:textId="77777777" w:rsidR="00627E1D" w:rsidRDefault="00627E1D" w:rsidP="00627E1D">
      <w:r w:rsidRPr="00417ECE">
        <w:t>The Commission also monitored the impact of the legislative response to Coronavirus, responding to</w:t>
      </w:r>
      <w:r>
        <w:t xml:space="preserve"> the Executive Office’s Covid Recovery Plan and the Terms of Reference to the UK Covid Inquiry. </w:t>
      </w:r>
    </w:p>
    <w:p w14:paraId="4497F4CB" w14:textId="77777777" w:rsidR="00627E1D" w:rsidRDefault="00627E1D" w:rsidP="00627E1D"/>
    <w:p w14:paraId="1496D9A1" w14:textId="77777777" w:rsidR="00627E1D" w:rsidRDefault="00627E1D" w:rsidP="00627E1D">
      <w:r>
        <w:t xml:space="preserve">The Commission continues to monitor the implementation of the Abortion (NI) (No.2) Regulations 2020, following its challenge in respect of the commissioning of abortion services and the judgment of the NI High Court in October 2021. The Commission has also intervened in other legal proceedings challenging the Abortion Services Directions 2021, which is now under appeal. </w:t>
      </w:r>
    </w:p>
    <w:p w14:paraId="7A27ACB5" w14:textId="77777777" w:rsidR="00627E1D" w:rsidRDefault="00627E1D" w:rsidP="00627E1D"/>
    <w:p w14:paraId="5F1996EF" w14:textId="77777777" w:rsidR="00627E1D" w:rsidRDefault="00627E1D" w:rsidP="00627E1D">
      <w:r>
        <w:t>The Commission continues to assist individuals on a broad range of human rights issues, including the provision of advice and utilising legal powers under the Northern Ireland Act 1998. This Commission responded to approximately 550 queries in year. The Commission received judgment in a challenge to the Rehabilitation of Offenders (NI) Order 1978, the issue remains before the Court.</w:t>
      </w:r>
    </w:p>
    <w:p w14:paraId="73C04056" w14:textId="77777777" w:rsidR="00627E1D" w:rsidRDefault="00627E1D" w:rsidP="00627E1D"/>
    <w:p w14:paraId="31712A90" w14:textId="77777777" w:rsidR="00627E1D" w:rsidRDefault="00627E1D" w:rsidP="00627E1D">
      <w:r>
        <w:t xml:space="preserve">The Commission received leave to intervene in a legal challenge to the PSNI on the extraction of data from mobile telephone, which is due to be heard in 2022. </w:t>
      </w:r>
    </w:p>
    <w:p w14:paraId="470996BC" w14:textId="77777777" w:rsidR="00ED684D" w:rsidRDefault="00ED684D" w:rsidP="002531F4">
      <w:pPr>
        <w:autoSpaceDE w:val="0"/>
        <w:autoSpaceDN w:val="0"/>
        <w:adjustRightInd w:val="0"/>
        <w:rPr>
          <w:color w:val="auto"/>
        </w:rPr>
      </w:pPr>
    </w:p>
    <w:p w14:paraId="55E893DF" w14:textId="77777777" w:rsidR="00D3720D" w:rsidRPr="00112AF2" w:rsidRDefault="000C2A54" w:rsidP="001C7925">
      <w:pPr>
        <w:rPr>
          <w:bCs/>
        </w:rPr>
      </w:pPr>
      <w:bookmarkStart w:id="6" w:name="KeyRisks"/>
      <w:r w:rsidRPr="00112AF2">
        <w:rPr>
          <w:rFonts w:eastAsia="Calibri"/>
          <w:b/>
          <w:color w:val="auto"/>
          <w:lang w:eastAsia="en-GB"/>
        </w:rPr>
        <w:t>Key r</w:t>
      </w:r>
      <w:r w:rsidR="00202A40" w:rsidRPr="00112AF2">
        <w:rPr>
          <w:rFonts w:eastAsia="Calibri"/>
          <w:b/>
          <w:color w:val="auto"/>
          <w:lang w:eastAsia="en-GB"/>
        </w:rPr>
        <w:t>isks</w:t>
      </w:r>
      <w:r w:rsidRPr="00112AF2">
        <w:rPr>
          <w:rFonts w:eastAsia="Calibri"/>
          <w:b/>
          <w:color w:val="auto"/>
          <w:lang w:eastAsia="en-GB"/>
        </w:rPr>
        <w:t xml:space="preserve"> facing the Northern Ireland Human Rights Commission</w:t>
      </w:r>
      <w:bookmarkEnd w:id="6"/>
      <w:r w:rsidR="00202A40" w:rsidRPr="00112AF2">
        <w:rPr>
          <w:rFonts w:eastAsia="Calibri"/>
          <w:b/>
          <w:color w:val="auto"/>
          <w:lang w:eastAsia="en-GB"/>
        </w:rPr>
        <w:t xml:space="preserve"> </w:t>
      </w:r>
      <w:r w:rsidR="00C6256C" w:rsidRPr="00112AF2">
        <w:rPr>
          <w:rFonts w:eastAsia="Calibri"/>
          <w:b/>
          <w:color w:val="auto"/>
          <w:lang w:eastAsia="en-GB"/>
        </w:rPr>
        <w:t xml:space="preserve"> </w:t>
      </w:r>
    </w:p>
    <w:p w14:paraId="567DA93A" w14:textId="77777777" w:rsidR="005049F6" w:rsidRDefault="005049F6" w:rsidP="00C33FEB">
      <w:pPr>
        <w:pStyle w:val="ListParagraph"/>
        <w:ind w:left="0"/>
      </w:pPr>
    </w:p>
    <w:p w14:paraId="7C1BDFF8" w14:textId="566F5F7A" w:rsidR="009B6E93" w:rsidRDefault="003A0F0C" w:rsidP="00C33FEB">
      <w:pPr>
        <w:pStyle w:val="ListParagraph"/>
        <w:ind w:left="0"/>
      </w:pPr>
      <w:r>
        <w:t>T</w:t>
      </w:r>
      <w:r w:rsidR="009B6E93">
        <w:t xml:space="preserve">he Global Alliance of National Human Rights Institutions (GANHRI) is mandated by the United Nations to evaluate the work of National Human Rights Institutions around the world and thereafter designate their status.  GANHRI </w:t>
      </w:r>
      <w:r>
        <w:t xml:space="preserve">was due to </w:t>
      </w:r>
      <w:r w:rsidR="009B6E93">
        <w:t>complete its 5-year periodic review of the Commissio</w:t>
      </w:r>
      <w:r w:rsidR="00F27F88">
        <w:t xml:space="preserve">n </w:t>
      </w:r>
      <w:r>
        <w:t xml:space="preserve">in 2021 and highlighted a significant </w:t>
      </w:r>
      <w:r w:rsidR="009B6E93">
        <w:t xml:space="preserve">concern about the future financial footing of the </w:t>
      </w:r>
      <w:r>
        <w:t xml:space="preserve">organisation. This resulted in </w:t>
      </w:r>
      <w:r w:rsidR="009B6E93">
        <w:t xml:space="preserve">the unprecedented step of refusing to reaccredit the Commission with ‘A’ status recognition and instead </w:t>
      </w:r>
      <w:r w:rsidR="008C45E0">
        <w:t xml:space="preserve">deferring its decision until autumn 2022.  </w:t>
      </w:r>
    </w:p>
    <w:p w14:paraId="546C1505" w14:textId="77777777" w:rsidR="009B6E93" w:rsidRDefault="009B6E93" w:rsidP="00C33FEB">
      <w:pPr>
        <w:pStyle w:val="ListParagraph"/>
        <w:ind w:left="0"/>
      </w:pPr>
    </w:p>
    <w:p w14:paraId="516F3842" w14:textId="0B36D0C1" w:rsidR="00AF287A" w:rsidRDefault="009B6E93" w:rsidP="00C33FEB">
      <w:pPr>
        <w:pStyle w:val="ListParagraph"/>
        <w:ind w:left="0"/>
      </w:pPr>
      <w:r>
        <w:t xml:space="preserve">The </w:t>
      </w:r>
      <w:r w:rsidR="008C45E0">
        <w:t xml:space="preserve">deferral </w:t>
      </w:r>
      <w:r>
        <w:t>was made because GANHRI did not believe the Commission would be able to continue to operate in full compliance with UN General Assembly Resolution 48/134 (known as ‘the Paris Principles’).  It referred expressly to inadequate funding from the United Kingdom government as the primary reason for its decision.  It described the situation as “very serious and time sensitive” and “strongly recommended that an improved and sustainable position” be provided by the UK government before the end of the deferral period.</w:t>
      </w:r>
    </w:p>
    <w:p w14:paraId="6D1ABBB7" w14:textId="77777777" w:rsidR="003A0F0C" w:rsidRDefault="003A0F0C" w:rsidP="00C33FEB">
      <w:pPr>
        <w:pStyle w:val="ListParagraph"/>
        <w:ind w:left="0"/>
      </w:pPr>
    </w:p>
    <w:p w14:paraId="32CE14D8" w14:textId="67D9C412" w:rsidR="00AF287A" w:rsidRDefault="00AF287A" w:rsidP="00C33FEB">
      <w:pPr>
        <w:pStyle w:val="ListParagraph"/>
        <w:ind w:left="0"/>
      </w:pPr>
      <w:r>
        <w:t xml:space="preserve">The Commission was informed that its budget </w:t>
      </w:r>
      <w:r w:rsidR="003A0F0C">
        <w:t xml:space="preserve">would </w:t>
      </w:r>
      <w:r>
        <w:t>be reduced significantly over the next three years.  The Commission advised the UK government, and had to advise GANHRI, that this reduction will hamper the ability of the Commission to operate.  It is the Commission’s assessment that this reduction will undermine the very foundation of the Commission in the discharge of its core functions as well as its capacity to discharge its new dedicated mechanism role</w:t>
      </w:r>
      <w:r w:rsidR="003A0F0C">
        <w:t xml:space="preserve"> in accordance with the EU Withdrawal Agreement</w:t>
      </w:r>
      <w:r>
        <w:t>.</w:t>
      </w:r>
    </w:p>
    <w:p w14:paraId="27026648" w14:textId="77777777" w:rsidR="00AF287A" w:rsidRDefault="00AF287A" w:rsidP="00C33FEB">
      <w:pPr>
        <w:pStyle w:val="ListParagraph"/>
        <w:ind w:left="0"/>
      </w:pPr>
    </w:p>
    <w:p w14:paraId="221A9A65" w14:textId="76011D07" w:rsidR="00AF287A" w:rsidRDefault="00AF287A" w:rsidP="00C33FEB">
      <w:pPr>
        <w:pStyle w:val="ListParagraph"/>
        <w:ind w:left="0"/>
      </w:pPr>
      <w:r>
        <w:t xml:space="preserve">The </w:t>
      </w:r>
      <w:r w:rsidR="003A0F0C">
        <w:t xml:space="preserve">budget reduction </w:t>
      </w:r>
      <w:r>
        <w:t>mean</w:t>
      </w:r>
      <w:r w:rsidR="00E0427D">
        <w:t>s</w:t>
      </w:r>
      <w:r>
        <w:t xml:space="preserve"> that the Commission will be unable to play an active role in international bodies such as GANHRI, the European Network of National Human Rights Institutions, and the Commonwealth Forum of National Human Rights Institutions.  Northern Ireland will no longer be represented, able to make any contribution to, or benefit from, the Commission’s alliance with those organisations.  The alliance with those organisations has been to the great benefit of Northern Ireland, but the Commission is now likely to be stripped by the UN of its recognition in the next twelve months</w:t>
      </w:r>
      <w:r w:rsidR="003A0F0C">
        <w:t xml:space="preserve"> unless the situation is re</w:t>
      </w:r>
      <w:r w:rsidR="000457B1">
        <w:t>solved</w:t>
      </w:r>
      <w:r>
        <w:t>.</w:t>
      </w:r>
    </w:p>
    <w:p w14:paraId="71A1DE0B" w14:textId="77777777" w:rsidR="00AF287A" w:rsidRDefault="00AF287A" w:rsidP="00C33FEB">
      <w:pPr>
        <w:pStyle w:val="ListParagraph"/>
        <w:ind w:left="0"/>
      </w:pPr>
    </w:p>
    <w:p w14:paraId="69D04587" w14:textId="7C5A416B" w:rsidR="00AF287A" w:rsidRDefault="00AF287A" w:rsidP="00C33FEB">
      <w:pPr>
        <w:pStyle w:val="ListParagraph"/>
        <w:ind w:left="0"/>
      </w:pPr>
      <w:r>
        <w:t xml:space="preserve">It is deeply concerning that this recognition </w:t>
      </w:r>
      <w:r w:rsidR="000457B1">
        <w:t xml:space="preserve">may </w:t>
      </w:r>
      <w:r>
        <w:t>come to an end, not least because Ireland, Scotland, and England and Wales still have ‘A’ status.  Indeed, the Irish Human Rights and Equality Commission has recently been reaccredited with ‘A’ status.    Northern Ireland will be the only part of these islands with no independent representation before the UN Human Rights Council or International Human Rights Treaty Bodies, which are responsible for holding the UK to account for its human rights record.</w:t>
      </w:r>
    </w:p>
    <w:p w14:paraId="76083DDB" w14:textId="77777777" w:rsidR="00F27F88" w:rsidRDefault="00F27F88" w:rsidP="00C33FEB">
      <w:pPr>
        <w:pStyle w:val="ListParagraph"/>
        <w:ind w:left="0"/>
      </w:pPr>
    </w:p>
    <w:p w14:paraId="3539F764" w14:textId="77777777" w:rsidR="00F27F88" w:rsidRDefault="00F27F88" w:rsidP="00C33FEB">
      <w:pPr>
        <w:pStyle w:val="ListParagraph"/>
        <w:ind w:left="0"/>
      </w:pPr>
      <w:r>
        <w:t>GANHRI were also concerned that because of the cuts the Commission could not exercise its statutory functions – including its statutory investigatory powers, education, as well as its legal advice service and ability to support strategic litigation.</w:t>
      </w:r>
    </w:p>
    <w:p w14:paraId="729E89A3" w14:textId="77777777" w:rsidR="0010450B" w:rsidRDefault="0010450B" w:rsidP="00112AF2">
      <w:pPr>
        <w:rPr>
          <w:rFonts w:eastAsia="Calibri"/>
          <w:lang w:eastAsia="en-GB"/>
        </w:rPr>
      </w:pPr>
    </w:p>
    <w:p w14:paraId="47133411" w14:textId="77777777" w:rsidR="0010450B" w:rsidRDefault="0021697E" w:rsidP="00112AF2">
      <w:pPr>
        <w:rPr>
          <w:rFonts w:eastAsia="Calibri"/>
          <w:b/>
          <w:lang w:eastAsia="en-GB"/>
        </w:rPr>
      </w:pPr>
      <w:r>
        <w:rPr>
          <w:rFonts w:eastAsia="Calibri"/>
          <w:b/>
          <w:lang w:eastAsia="en-GB"/>
        </w:rPr>
        <w:t>Sustainability Report</w:t>
      </w:r>
    </w:p>
    <w:p w14:paraId="46C141C6" w14:textId="77777777" w:rsidR="0021697E" w:rsidRDefault="0021697E" w:rsidP="00112AF2">
      <w:pPr>
        <w:rPr>
          <w:rFonts w:eastAsia="Calibri"/>
          <w:b/>
          <w:lang w:eastAsia="en-GB"/>
        </w:rPr>
      </w:pPr>
    </w:p>
    <w:p w14:paraId="7F051B59" w14:textId="5AC03F18" w:rsidR="0021697E" w:rsidRDefault="00CC3C0D" w:rsidP="00112AF2">
      <w:pPr>
        <w:rPr>
          <w:rFonts w:eastAsia="Calibri"/>
          <w:lang w:eastAsia="en-GB"/>
        </w:rPr>
      </w:pPr>
      <w:r>
        <w:rPr>
          <w:rFonts w:eastAsia="Calibri"/>
          <w:lang w:eastAsia="en-GB"/>
        </w:rPr>
        <w:t>As the Commission’s office space is less than 500m</w:t>
      </w:r>
      <w:r w:rsidRPr="00CC3C0D">
        <w:rPr>
          <w:rFonts w:eastAsia="Calibri"/>
          <w:vertAlign w:val="superscript"/>
          <w:lang w:eastAsia="en-GB"/>
        </w:rPr>
        <w:t>2</w:t>
      </w:r>
      <w:r>
        <w:rPr>
          <w:rFonts w:eastAsia="Calibri"/>
          <w:lang w:eastAsia="en-GB"/>
        </w:rPr>
        <w:t xml:space="preserve"> and has a staff complement of less than 50 a full sustainability report has not been produced.  </w:t>
      </w:r>
    </w:p>
    <w:p w14:paraId="01F71E0C" w14:textId="77777777" w:rsidR="0021697E" w:rsidRDefault="0021697E" w:rsidP="00112AF2">
      <w:pPr>
        <w:rPr>
          <w:rFonts w:eastAsia="Calibri"/>
          <w:lang w:eastAsia="en-GB"/>
        </w:rPr>
      </w:pPr>
    </w:p>
    <w:p w14:paraId="00485774" w14:textId="5243B395" w:rsidR="0021697E" w:rsidRDefault="00361CB5" w:rsidP="00112AF2">
      <w:pPr>
        <w:rPr>
          <w:rFonts w:eastAsia="Calibri"/>
          <w:lang w:eastAsia="en-GB"/>
        </w:rPr>
      </w:pPr>
      <w:r>
        <w:rPr>
          <w:rFonts w:eastAsia="Calibri"/>
          <w:lang w:eastAsia="en-GB"/>
        </w:rPr>
        <w:t xml:space="preserve">However, the Commission is continuing to take action to meet the Greening Government Commitments 2021 to 2025 policy by operating a paperless office; recycling of dry office waste, printer cartridges, plastic bottles and cans; use of recycled paper; removing single use plastic from the office; </w:t>
      </w:r>
      <w:r w:rsidR="00440BCB">
        <w:rPr>
          <w:rFonts w:eastAsia="Calibri"/>
          <w:lang w:eastAsia="en-GB"/>
        </w:rPr>
        <w:t>and engagement</w:t>
      </w:r>
      <w:r>
        <w:rPr>
          <w:rFonts w:eastAsia="Calibri"/>
          <w:lang w:eastAsia="en-GB"/>
        </w:rPr>
        <w:t xml:space="preserve"> with the Commission’s Business and Human Rights Forum </w:t>
      </w:r>
      <w:r w:rsidR="00440BCB">
        <w:rPr>
          <w:rFonts w:eastAsia="Calibri"/>
          <w:lang w:eastAsia="en-GB"/>
        </w:rPr>
        <w:t>to promote sustainable and efficient products and services</w:t>
      </w:r>
      <w:r w:rsidR="00E0427D">
        <w:rPr>
          <w:rFonts w:eastAsia="Calibri"/>
          <w:lang w:eastAsia="en-GB"/>
        </w:rPr>
        <w:t>.</w:t>
      </w:r>
    </w:p>
    <w:p w14:paraId="724FAD3F" w14:textId="77777777" w:rsidR="0022484D" w:rsidRDefault="0022484D" w:rsidP="0022484D">
      <w:pPr>
        <w:spacing w:line="252" w:lineRule="auto"/>
        <w:rPr>
          <w:rFonts w:eastAsia="Verdana" w:cs="Verdana"/>
          <w:b/>
          <w:bCs/>
          <w:color w:val="000000" w:themeColor="text1"/>
        </w:rPr>
      </w:pPr>
    </w:p>
    <w:p w14:paraId="68BE8398" w14:textId="77777777" w:rsidR="00DE5804" w:rsidRPr="0021697E" w:rsidRDefault="00DE5804" w:rsidP="00112AF2">
      <w:pPr>
        <w:rPr>
          <w:rFonts w:eastAsia="Calibri"/>
          <w:sz w:val="28"/>
          <w:szCs w:val="28"/>
          <w:lang w:eastAsia="en-GB"/>
        </w:rPr>
      </w:pPr>
    </w:p>
    <w:p w14:paraId="6FCB6037" w14:textId="77777777" w:rsidR="00C33FEB" w:rsidRPr="00604C51" w:rsidRDefault="00E16AD5" w:rsidP="000A30FB">
      <w:pPr>
        <w:jc w:val="center"/>
        <w:rPr>
          <w:rFonts w:cs="Arial"/>
          <w:b/>
          <w:color w:val="77328A"/>
          <w:sz w:val="30"/>
          <w:szCs w:val="30"/>
        </w:rPr>
      </w:pPr>
      <w:r>
        <w:rPr>
          <w:rFonts w:cs="Arial"/>
          <w:b/>
          <w:color w:val="77328A"/>
          <w:sz w:val="30"/>
          <w:szCs w:val="30"/>
        </w:rPr>
        <w:br w:type="page"/>
      </w:r>
      <w:r w:rsidR="0045027A">
        <w:rPr>
          <w:rFonts w:cs="Arial"/>
          <w:b/>
          <w:color w:val="77328A"/>
          <w:sz w:val="30"/>
          <w:szCs w:val="30"/>
        </w:rPr>
        <w:t>Performance Analysis</w:t>
      </w:r>
    </w:p>
    <w:p w14:paraId="683723CD" w14:textId="77777777" w:rsidR="00BC79D7" w:rsidRPr="00014CBD" w:rsidRDefault="00BC79D7" w:rsidP="00B61325">
      <w:pPr>
        <w:rPr>
          <w:rFonts w:eastAsia="Calibri"/>
          <w:b/>
          <w:sz w:val="22"/>
          <w:szCs w:val="22"/>
          <w:lang w:eastAsia="en-GB"/>
        </w:rPr>
      </w:pPr>
    </w:p>
    <w:p w14:paraId="26655933" w14:textId="77777777" w:rsidR="00C31C0E" w:rsidRPr="00014CBD" w:rsidRDefault="004F15B4" w:rsidP="00C31C0E">
      <w:pPr>
        <w:pStyle w:val="ListParagraph"/>
        <w:ind w:left="0"/>
      </w:pPr>
      <w:r w:rsidRPr="00014CBD">
        <w:t>T</w:t>
      </w:r>
      <w:r w:rsidR="00C31C0E" w:rsidRPr="00014CBD">
        <w:t>he Commission report</w:t>
      </w:r>
      <w:r w:rsidR="00B61325" w:rsidRPr="00014CBD">
        <w:t>s</w:t>
      </w:r>
      <w:r w:rsidR="00C31C0E" w:rsidRPr="00014CBD">
        <w:t xml:space="preserve"> on</w:t>
      </w:r>
      <w:r w:rsidR="00C31C0E" w:rsidRPr="00014CBD">
        <w:rPr>
          <w:b/>
        </w:rPr>
        <w:t xml:space="preserve"> </w:t>
      </w:r>
      <w:r w:rsidRPr="00014CBD">
        <w:t xml:space="preserve">its </w:t>
      </w:r>
      <w:r w:rsidR="00C31C0E" w:rsidRPr="00014CBD">
        <w:t xml:space="preserve">performance to </w:t>
      </w:r>
      <w:r w:rsidR="00127D7D" w:rsidRPr="00014CBD">
        <w:t xml:space="preserve">the </w:t>
      </w:r>
      <w:r w:rsidR="00A57A71" w:rsidRPr="00014CBD">
        <w:t>U</w:t>
      </w:r>
      <w:r w:rsidR="00A57A71">
        <w:t>nited Nations</w:t>
      </w:r>
      <w:r w:rsidR="00A57A71" w:rsidRPr="00014CBD">
        <w:t xml:space="preserve"> </w:t>
      </w:r>
      <w:r w:rsidR="00127D7D" w:rsidRPr="00014CBD">
        <w:t>through the</w:t>
      </w:r>
      <w:r w:rsidRPr="00014CBD">
        <w:t xml:space="preserve"> </w:t>
      </w:r>
      <w:r w:rsidR="00F4445C" w:rsidRPr="00014CBD">
        <w:t xml:space="preserve">periodic </w:t>
      </w:r>
      <w:r w:rsidRPr="00014CBD">
        <w:t>re-</w:t>
      </w:r>
      <w:r w:rsidR="00127D7D" w:rsidRPr="00014CBD">
        <w:t>a</w:t>
      </w:r>
      <w:r w:rsidRPr="00014CBD">
        <w:t>ccreditation process,</w:t>
      </w:r>
      <w:r w:rsidR="00C31C0E" w:rsidRPr="00014CBD">
        <w:t xml:space="preserve"> to the Northern Ireland Office as </w:t>
      </w:r>
      <w:r w:rsidRPr="00014CBD">
        <w:t xml:space="preserve">its </w:t>
      </w:r>
      <w:r w:rsidR="00C31C0E" w:rsidRPr="00014CBD">
        <w:t>sponsor branch</w:t>
      </w:r>
      <w:r w:rsidRPr="00014CBD">
        <w:t xml:space="preserve"> as well as to Parliament through the Secretary of State for </w:t>
      </w:r>
      <w:r w:rsidR="00A57A71">
        <w:t>Northern Ireland</w:t>
      </w:r>
      <w:r w:rsidR="00DC44A2" w:rsidRPr="00014CBD">
        <w:t>.</w:t>
      </w:r>
    </w:p>
    <w:p w14:paraId="191BB852" w14:textId="77777777" w:rsidR="00DC44A2" w:rsidRPr="00014CBD" w:rsidRDefault="00DC44A2" w:rsidP="00C31C0E">
      <w:pPr>
        <w:pStyle w:val="ListParagraph"/>
        <w:ind w:left="0"/>
      </w:pPr>
    </w:p>
    <w:p w14:paraId="577ADD81" w14:textId="77777777" w:rsidR="009A269F" w:rsidRDefault="00A57A71" w:rsidP="00481761">
      <w:pPr>
        <w:rPr>
          <w:noProof/>
          <w:lang w:eastAsia="en-GB"/>
        </w:rPr>
      </w:pPr>
      <w:r>
        <w:t>We</w:t>
      </w:r>
      <w:r w:rsidRPr="00014CBD">
        <w:t xml:space="preserve"> ha</w:t>
      </w:r>
      <w:r>
        <w:t>ve</w:t>
      </w:r>
      <w:r w:rsidRPr="00014CBD">
        <w:t xml:space="preserve"> </w:t>
      </w:r>
      <w:r w:rsidR="00DC44A2" w:rsidRPr="00014CBD">
        <w:t>continue</w:t>
      </w:r>
      <w:r w:rsidR="00B61325" w:rsidRPr="00014CBD">
        <w:t>d</w:t>
      </w:r>
      <w:r w:rsidR="00DC44A2" w:rsidRPr="00014CBD">
        <w:t xml:space="preserve"> to adopt a robust</w:t>
      </w:r>
      <w:r w:rsidR="00C31C0E" w:rsidRPr="00014CBD">
        <w:t xml:space="preserve"> performance management system to ensure </w:t>
      </w:r>
      <w:r w:rsidR="001418F9" w:rsidRPr="00014CBD">
        <w:t>regularity, propriety</w:t>
      </w:r>
      <w:r w:rsidR="00C31C0E" w:rsidRPr="00014CBD">
        <w:t xml:space="preserve"> and value for money.</w:t>
      </w:r>
      <w:r w:rsidR="00B61325" w:rsidRPr="00014CBD">
        <w:rPr>
          <w:noProof/>
          <w:lang w:eastAsia="en-GB"/>
        </w:rPr>
        <w:t xml:space="preserve"> </w:t>
      </w:r>
      <w:r>
        <w:rPr>
          <w:noProof/>
          <w:lang w:eastAsia="en-GB"/>
        </w:rPr>
        <w:t>This year we</w:t>
      </w:r>
      <w:r w:rsidRPr="00014CBD">
        <w:rPr>
          <w:noProof/>
          <w:lang w:eastAsia="en-GB"/>
        </w:rPr>
        <w:t xml:space="preserve"> </w:t>
      </w:r>
      <w:r w:rsidR="00B61325" w:rsidRPr="00014CBD">
        <w:rPr>
          <w:noProof/>
          <w:lang w:eastAsia="en-GB"/>
        </w:rPr>
        <w:t>op</w:t>
      </w:r>
      <w:r w:rsidR="00FF0F4D" w:rsidRPr="00014CBD">
        <w:rPr>
          <w:noProof/>
          <w:lang w:eastAsia="en-GB"/>
        </w:rPr>
        <w:t xml:space="preserve">erated with </w:t>
      </w:r>
      <w:r w:rsidR="00DE5804">
        <w:rPr>
          <w:noProof/>
          <w:lang w:eastAsia="en-GB"/>
        </w:rPr>
        <w:t xml:space="preserve">one Chief Commissioner and </w:t>
      </w:r>
      <w:r w:rsidR="001B27EA">
        <w:rPr>
          <w:noProof/>
          <w:lang w:eastAsia="en-GB"/>
        </w:rPr>
        <w:t>six</w:t>
      </w:r>
      <w:r w:rsidR="00B61325" w:rsidRPr="00014CBD">
        <w:rPr>
          <w:noProof/>
          <w:lang w:eastAsia="en-GB"/>
        </w:rPr>
        <w:t xml:space="preserve"> part time Commissio</w:t>
      </w:r>
      <w:r w:rsidR="00FF0F4D" w:rsidRPr="00014CBD">
        <w:rPr>
          <w:noProof/>
          <w:lang w:eastAsia="en-GB"/>
        </w:rPr>
        <w:t>ners</w:t>
      </w:r>
      <w:r w:rsidR="00F01EB8">
        <w:rPr>
          <w:noProof/>
          <w:lang w:eastAsia="en-GB"/>
        </w:rPr>
        <w:t xml:space="preserve"> (five from 1 September 2021</w:t>
      </w:r>
      <w:r w:rsidR="00DE5804">
        <w:rPr>
          <w:noProof/>
          <w:lang w:eastAsia="en-GB"/>
        </w:rPr>
        <w:t xml:space="preserve"> following the sad passing of Commissioner Maura Muldoon</w:t>
      </w:r>
      <w:r w:rsidR="00F01EB8">
        <w:rPr>
          <w:noProof/>
          <w:lang w:eastAsia="en-GB"/>
        </w:rPr>
        <w:t>)</w:t>
      </w:r>
      <w:r w:rsidR="00AC1D5B">
        <w:rPr>
          <w:noProof/>
          <w:lang w:eastAsia="en-GB"/>
        </w:rPr>
        <w:t xml:space="preserve">.  </w:t>
      </w:r>
      <w:r w:rsidR="00DE5804">
        <w:rPr>
          <w:noProof/>
          <w:lang w:eastAsia="en-GB"/>
        </w:rPr>
        <w:t xml:space="preserve">The position of Chief Commissioner changed during the year as Professor Les Allamby’s term of office ended on 31 August 2021 and Alyson Kilpatrick was appointed by the Secretary of State and took over the role on 1 September 2021.  </w:t>
      </w:r>
      <w:r w:rsidR="008D7A27">
        <w:rPr>
          <w:noProof/>
          <w:lang w:eastAsia="en-GB"/>
        </w:rPr>
        <w:t>In addition to the 16 permanent staff, seven new posts were filled on a permanent basis and two temporary posts were created.  The complement of staff at year-end was 25 along with one temporary agency post.</w:t>
      </w:r>
      <w:r w:rsidR="00DE5804">
        <w:rPr>
          <w:noProof/>
          <w:lang w:eastAsia="en-GB"/>
        </w:rPr>
        <w:t xml:space="preserve">  Planned recru</w:t>
      </w:r>
      <w:r w:rsidR="009A269F">
        <w:rPr>
          <w:noProof/>
          <w:lang w:eastAsia="en-GB"/>
        </w:rPr>
        <w:t>it</w:t>
      </w:r>
      <w:r w:rsidR="00DE5804">
        <w:rPr>
          <w:noProof/>
          <w:lang w:eastAsia="en-GB"/>
        </w:rPr>
        <w:t xml:space="preserve">ment for an additional six posts was suspended </w:t>
      </w:r>
      <w:r w:rsidR="009A269F">
        <w:rPr>
          <w:noProof/>
          <w:lang w:eastAsia="en-GB"/>
        </w:rPr>
        <w:t>pending the outcome of the UK government’s spending review.  This had a significant impact on the Commission’s capacity to deliver a range of planned activities across its statutory functions.</w:t>
      </w:r>
    </w:p>
    <w:p w14:paraId="1F909527" w14:textId="77777777" w:rsidR="009A269F" w:rsidRDefault="009A269F" w:rsidP="00481761">
      <w:pPr>
        <w:rPr>
          <w:noProof/>
          <w:lang w:eastAsia="en-GB"/>
        </w:rPr>
      </w:pPr>
    </w:p>
    <w:p w14:paraId="08B6B33E" w14:textId="77777777" w:rsidR="009A269F" w:rsidRDefault="009A269F" w:rsidP="00481761">
      <w:pPr>
        <w:rPr>
          <w:noProof/>
          <w:lang w:eastAsia="en-GB"/>
        </w:rPr>
      </w:pPr>
      <w:r>
        <w:rPr>
          <w:noProof/>
          <w:lang w:eastAsia="en-GB"/>
        </w:rPr>
        <w:t xml:space="preserve">The Joint Committee </w:t>
      </w:r>
      <w:r w:rsidR="007D5128">
        <w:rPr>
          <w:noProof/>
          <w:lang w:eastAsia="en-GB"/>
        </w:rPr>
        <w:t>of representatives from the Irish Human Rights and Equality Commission and the Northern Ireland Human Rights Commission did not meet in 2021-22.  However, a considerable programme of work was delivered</w:t>
      </w:r>
      <w:r w:rsidR="002711B5">
        <w:rPr>
          <w:noProof/>
          <w:lang w:eastAsia="en-GB"/>
        </w:rPr>
        <w:t xml:space="preserve"> in partnership</w:t>
      </w:r>
      <w:r w:rsidR="007D5128">
        <w:rPr>
          <w:noProof/>
          <w:lang w:eastAsia="en-GB"/>
        </w:rPr>
        <w:t xml:space="preserve"> focusing on the impacts of the UK withdrawal from the EU.</w:t>
      </w:r>
    </w:p>
    <w:p w14:paraId="6406FC3B" w14:textId="77777777" w:rsidR="002711B5" w:rsidRDefault="002711B5" w:rsidP="00481761">
      <w:pPr>
        <w:rPr>
          <w:noProof/>
          <w:lang w:eastAsia="en-GB"/>
        </w:rPr>
      </w:pPr>
    </w:p>
    <w:p w14:paraId="7B0751CD" w14:textId="77777777" w:rsidR="002711B5" w:rsidRPr="009A269F" w:rsidRDefault="002711B5" w:rsidP="00481761">
      <w:pPr>
        <w:rPr>
          <w:noProof/>
          <w:lang w:eastAsia="en-GB"/>
        </w:rPr>
      </w:pPr>
      <w:r w:rsidRPr="62F844E5">
        <w:rPr>
          <w:noProof/>
          <w:lang w:eastAsia="en-GB"/>
        </w:rPr>
        <w:t>The Commission</w:t>
      </w:r>
      <w:r>
        <w:rPr>
          <w:noProof/>
          <w:lang w:eastAsia="en-GB"/>
        </w:rPr>
        <w:t xml:space="preserve"> continued to </w:t>
      </w:r>
      <w:r w:rsidRPr="62F844E5">
        <w:rPr>
          <w:noProof/>
          <w:lang w:eastAsia="en-GB"/>
        </w:rPr>
        <w:t xml:space="preserve">respond throughout the year to a number of requests for assistance from the government and members of the public relating to the </w:t>
      </w:r>
      <w:r>
        <w:rPr>
          <w:noProof/>
          <w:lang w:eastAsia="en-GB"/>
        </w:rPr>
        <w:t xml:space="preserve">Covid-19 </w:t>
      </w:r>
      <w:r w:rsidRPr="62F844E5">
        <w:rPr>
          <w:noProof/>
          <w:lang w:eastAsia="en-GB"/>
        </w:rPr>
        <w:t xml:space="preserve">pandemic. </w:t>
      </w:r>
    </w:p>
    <w:p w14:paraId="62DA14AA" w14:textId="77777777" w:rsidR="00C31C0E" w:rsidRPr="00014CBD" w:rsidRDefault="00C31C0E" w:rsidP="00C31C0E">
      <w:pPr>
        <w:pStyle w:val="ListParagraph"/>
        <w:ind w:left="0"/>
      </w:pPr>
    </w:p>
    <w:p w14:paraId="6357ACE0" w14:textId="1A3F3F02" w:rsidR="00623C38" w:rsidRDefault="00F01EB8" w:rsidP="00481761">
      <w:pPr>
        <w:rPr>
          <w:bCs/>
          <w:noProof/>
          <w:lang w:eastAsia="en-GB"/>
        </w:rPr>
      </w:pPr>
      <w:r>
        <w:rPr>
          <w:bCs/>
          <w:noProof/>
          <w:lang w:eastAsia="en-GB"/>
        </w:rPr>
        <w:t>For 20</w:t>
      </w:r>
      <w:r w:rsidR="00AF1B54">
        <w:rPr>
          <w:bCs/>
          <w:noProof/>
          <w:lang w:eastAsia="en-GB"/>
        </w:rPr>
        <w:t>21</w:t>
      </w:r>
      <w:r>
        <w:rPr>
          <w:bCs/>
          <w:noProof/>
          <w:lang w:eastAsia="en-GB"/>
        </w:rPr>
        <w:t>-22</w:t>
      </w:r>
      <w:r w:rsidR="00AF1B54">
        <w:rPr>
          <w:bCs/>
          <w:noProof/>
          <w:lang w:eastAsia="en-GB"/>
        </w:rPr>
        <w:t xml:space="preserve"> the Commission had a core budget of </w:t>
      </w:r>
      <w:r>
        <w:rPr>
          <w:bCs/>
          <w:noProof/>
          <w:lang w:eastAsia="en-GB"/>
        </w:rPr>
        <w:t xml:space="preserve">£1,689,887, </w:t>
      </w:r>
      <w:r w:rsidR="008F677F">
        <w:rPr>
          <w:bCs/>
          <w:noProof/>
          <w:lang w:eastAsia="en-GB"/>
        </w:rPr>
        <w:t>(</w:t>
      </w:r>
      <w:r>
        <w:rPr>
          <w:bCs/>
          <w:noProof/>
          <w:lang w:eastAsia="en-GB"/>
        </w:rPr>
        <w:t>£11,000 of which was for capital</w:t>
      </w:r>
      <w:r w:rsidR="008F677F">
        <w:rPr>
          <w:bCs/>
          <w:noProof/>
          <w:lang w:eastAsia="en-GB"/>
        </w:rPr>
        <w:t>)</w:t>
      </w:r>
      <w:r>
        <w:rPr>
          <w:bCs/>
          <w:noProof/>
          <w:lang w:eastAsia="en-GB"/>
        </w:rPr>
        <w:t xml:space="preserve"> and £838,000</w:t>
      </w:r>
      <w:r w:rsidR="00623C38">
        <w:rPr>
          <w:bCs/>
          <w:noProof/>
          <w:lang w:eastAsia="en-GB"/>
        </w:rPr>
        <w:t xml:space="preserve"> for the Dedicat</w:t>
      </w:r>
      <w:r w:rsidR="001E5939">
        <w:rPr>
          <w:bCs/>
          <w:noProof/>
          <w:lang w:eastAsia="en-GB"/>
        </w:rPr>
        <w:t xml:space="preserve">ed Mechanism.  </w:t>
      </w:r>
      <w:r w:rsidR="00623C38">
        <w:rPr>
          <w:bCs/>
          <w:noProof/>
          <w:lang w:eastAsia="en-GB"/>
        </w:rPr>
        <w:t>This was funded by grant-in-aid from Parliament through our sponsor branch, the Northern Ireland Office.</w:t>
      </w:r>
      <w:r w:rsidR="009F7727">
        <w:rPr>
          <w:bCs/>
          <w:noProof/>
          <w:lang w:eastAsia="en-GB"/>
        </w:rPr>
        <w:t xml:space="preserve">  </w:t>
      </w:r>
      <w:r w:rsidR="009F7727">
        <w:t xml:space="preserve">The Commission’s net expenditure in 2021-22 was </w:t>
      </w:r>
      <w:r w:rsidR="009B2BC5">
        <w:t>£2,333,573</w:t>
      </w:r>
      <w:r w:rsidR="009F7727">
        <w:t>.</w:t>
      </w:r>
    </w:p>
    <w:p w14:paraId="358FF587" w14:textId="77777777" w:rsidR="00A57A71" w:rsidRDefault="00A57A71" w:rsidP="00481761">
      <w:pPr>
        <w:rPr>
          <w:bCs/>
          <w:noProof/>
          <w:lang w:eastAsia="en-GB"/>
        </w:rPr>
      </w:pPr>
    </w:p>
    <w:p w14:paraId="6ECB01F3" w14:textId="77777777" w:rsidR="001E24FD" w:rsidRDefault="00043FCE" w:rsidP="00BC79D7">
      <w:pPr>
        <w:rPr>
          <w:noProof/>
          <w:lang w:eastAsia="en-GB"/>
        </w:rPr>
      </w:pPr>
      <w:r>
        <w:rPr>
          <w:noProof/>
          <w:lang w:eastAsia="en-GB"/>
        </w:rPr>
        <w:drawing>
          <wp:inline distT="0" distB="0" distL="0" distR="0" wp14:anchorId="70989ADE" wp14:editId="30FA7AF6">
            <wp:extent cx="1889924" cy="10859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1897161" cy="1090114"/>
                    </a:xfrm>
                    <a:prstGeom prst="rect">
                      <a:avLst/>
                    </a:prstGeom>
                  </pic:spPr>
                </pic:pic>
              </a:graphicData>
            </a:graphic>
          </wp:inline>
        </w:drawing>
      </w:r>
    </w:p>
    <w:p w14:paraId="7D16B32C" w14:textId="77777777" w:rsidR="00BC79D7" w:rsidRPr="009B4441" w:rsidRDefault="000C2A54" w:rsidP="00BC79D7">
      <w:pPr>
        <w:rPr>
          <w:b/>
          <w:color w:val="auto"/>
        </w:rPr>
      </w:pPr>
      <w:r>
        <w:rPr>
          <w:b/>
          <w:color w:val="auto"/>
        </w:rPr>
        <w:t>Dr David Russell</w:t>
      </w:r>
    </w:p>
    <w:p w14:paraId="6AE48E67" w14:textId="77777777" w:rsidR="00BC79D7" w:rsidRDefault="00BC79D7" w:rsidP="00BC79D7">
      <w:pPr>
        <w:rPr>
          <w:b/>
          <w:color w:val="auto"/>
        </w:rPr>
      </w:pPr>
      <w:r w:rsidRPr="009B4441">
        <w:rPr>
          <w:b/>
          <w:color w:val="auto"/>
        </w:rPr>
        <w:t>Accounting Officer</w:t>
      </w:r>
    </w:p>
    <w:p w14:paraId="5D37E327" w14:textId="77777777" w:rsidR="00F46F69" w:rsidRPr="009B4441" w:rsidRDefault="00F46F69" w:rsidP="00BC79D7">
      <w:pPr>
        <w:rPr>
          <w:b/>
          <w:color w:val="auto"/>
        </w:rPr>
      </w:pPr>
    </w:p>
    <w:p w14:paraId="44123200" w14:textId="4C30784B" w:rsidR="00B61325" w:rsidRDefault="00BC79D7" w:rsidP="00B61325">
      <w:pPr>
        <w:rPr>
          <w:b/>
          <w:color w:val="auto"/>
        </w:rPr>
      </w:pPr>
      <w:r w:rsidRPr="009B4441">
        <w:rPr>
          <w:b/>
          <w:color w:val="auto"/>
        </w:rPr>
        <w:t xml:space="preserve">Date:  </w:t>
      </w:r>
      <w:r w:rsidR="0049664F">
        <w:rPr>
          <w:b/>
          <w:color w:val="auto"/>
        </w:rPr>
        <w:t>10 October</w:t>
      </w:r>
      <w:r w:rsidR="00953497">
        <w:rPr>
          <w:b/>
          <w:color w:val="auto"/>
        </w:rPr>
        <w:t xml:space="preserve"> 2022</w:t>
      </w:r>
    </w:p>
    <w:p w14:paraId="0914F3E2" w14:textId="77777777" w:rsidR="000C2A54" w:rsidRDefault="0045027A" w:rsidP="00B61325">
      <w:pPr>
        <w:jc w:val="center"/>
        <w:rPr>
          <w:rFonts w:cs="Arial"/>
          <w:b/>
          <w:color w:val="77328A"/>
          <w:sz w:val="30"/>
          <w:szCs w:val="30"/>
        </w:rPr>
      </w:pPr>
      <w:bookmarkStart w:id="7" w:name="AccountabilityReport"/>
      <w:r>
        <w:rPr>
          <w:rFonts w:cs="Arial"/>
          <w:b/>
          <w:color w:val="77328A"/>
          <w:sz w:val="30"/>
          <w:szCs w:val="30"/>
        </w:rPr>
        <w:t>Accountability Report</w:t>
      </w:r>
    </w:p>
    <w:p w14:paraId="03DCDC54" w14:textId="77777777" w:rsidR="0045027A" w:rsidRDefault="0045027A" w:rsidP="00B61325">
      <w:pPr>
        <w:jc w:val="center"/>
        <w:rPr>
          <w:rFonts w:cs="Arial"/>
          <w:b/>
          <w:color w:val="77328A"/>
          <w:sz w:val="30"/>
          <w:szCs w:val="30"/>
        </w:rPr>
      </w:pPr>
    </w:p>
    <w:p w14:paraId="4AFD30F9" w14:textId="77777777" w:rsidR="0045027A" w:rsidRPr="00B61325" w:rsidRDefault="0045027A" w:rsidP="00B61325">
      <w:pPr>
        <w:jc w:val="center"/>
        <w:rPr>
          <w:b/>
          <w:color w:val="auto"/>
        </w:rPr>
      </w:pPr>
      <w:r>
        <w:rPr>
          <w:rFonts w:cs="Arial"/>
          <w:b/>
          <w:color w:val="77328A"/>
          <w:sz w:val="30"/>
          <w:szCs w:val="30"/>
        </w:rPr>
        <w:t>Corporate Governance Report</w:t>
      </w:r>
    </w:p>
    <w:bookmarkEnd w:id="7"/>
    <w:p w14:paraId="6E4C8B9C" w14:textId="77777777" w:rsidR="000C2A54" w:rsidRPr="009B4441" w:rsidRDefault="000C2A54" w:rsidP="000C2A54">
      <w:pPr>
        <w:jc w:val="center"/>
        <w:rPr>
          <w:rFonts w:eastAsia="Calibri"/>
          <w:b/>
          <w:lang w:eastAsia="en-GB"/>
        </w:rPr>
      </w:pPr>
    </w:p>
    <w:p w14:paraId="0994C0A2" w14:textId="77777777" w:rsidR="00914095" w:rsidRPr="005049F6" w:rsidRDefault="00914095" w:rsidP="00914095">
      <w:pPr>
        <w:rPr>
          <w:b/>
        </w:rPr>
      </w:pPr>
      <w:bookmarkStart w:id="8" w:name="DirectorsReport"/>
      <w:r>
        <w:rPr>
          <w:rFonts w:cs="Arial"/>
          <w:b/>
          <w:color w:val="77328A"/>
        </w:rPr>
        <w:t>Director’s Report</w:t>
      </w:r>
    </w:p>
    <w:p w14:paraId="2AAEBC21" w14:textId="77777777" w:rsidR="000C2A54" w:rsidRPr="009B4441" w:rsidRDefault="000C2A54" w:rsidP="000C2A54">
      <w:pPr>
        <w:rPr>
          <w:rFonts w:eastAsia="Calibri"/>
          <w:b/>
          <w:lang w:eastAsia="en-GB"/>
        </w:rPr>
      </w:pPr>
    </w:p>
    <w:bookmarkEnd w:id="8"/>
    <w:p w14:paraId="0C73F716" w14:textId="77777777" w:rsidR="000C2A54" w:rsidRPr="009B4441" w:rsidRDefault="000C2A54" w:rsidP="000C2A54">
      <w:pPr>
        <w:widowControl w:val="0"/>
        <w:tabs>
          <w:tab w:val="left" w:pos="0"/>
        </w:tabs>
        <w:autoSpaceDE w:val="0"/>
        <w:autoSpaceDN w:val="0"/>
        <w:adjustRightInd w:val="0"/>
        <w:rPr>
          <w:b/>
        </w:rPr>
      </w:pPr>
      <w:r w:rsidRPr="009B4441">
        <w:rPr>
          <w:b/>
        </w:rPr>
        <w:t>Entity</w:t>
      </w:r>
    </w:p>
    <w:p w14:paraId="57DACA34" w14:textId="77777777" w:rsidR="000C2A54" w:rsidRPr="009B4441" w:rsidRDefault="000C2A54" w:rsidP="000C2A54">
      <w:pPr>
        <w:widowControl w:val="0"/>
        <w:tabs>
          <w:tab w:val="left" w:pos="0"/>
        </w:tabs>
        <w:autoSpaceDE w:val="0"/>
        <w:autoSpaceDN w:val="0"/>
        <w:adjustRightInd w:val="0"/>
        <w:rPr>
          <w:b/>
        </w:rPr>
      </w:pPr>
    </w:p>
    <w:p w14:paraId="7F8C041B" w14:textId="77777777" w:rsidR="000C2A54" w:rsidRPr="003F7E43" w:rsidRDefault="000C2A54" w:rsidP="000C2A54">
      <w:pPr>
        <w:widowControl w:val="0"/>
        <w:tabs>
          <w:tab w:val="left" w:pos="0"/>
        </w:tabs>
        <w:autoSpaceDE w:val="0"/>
        <w:autoSpaceDN w:val="0"/>
        <w:adjustRightInd w:val="0"/>
      </w:pPr>
      <w:r w:rsidRPr="003F7E43">
        <w:t>The Commission is a non-departmental public body established as part of the Belfast (Good Friday) Agreement through the Northern Ireland Act 1998 and in accordance with the United Nations Paris Principles as a National Human Rights Institution.</w:t>
      </w:r>
    </w:p>
    <w:p w14:paraId="39866A22" w14:textId="77777777" w:rsidR="000C2A54" w:rsidRPr="003F7E43" w:rsidRDefault="000C2A54" w:rsidP="000C2A54">
      <w:pPr>
        <w:widowControl w:val="0"/>
        <w:tabs>
          <w:tab w:val="left" w:pos="0"/>
        </w:tabs>
        <w:autoSpaceDE w:val="0"/>
        <w:autoSpaceDN w:val="0"/>
        <w:adjustRightInd w:val="0"/>
      </w:pPr>
    </w:p>
    <w:p w14:paraId="74A26A99" w14:textId="77777777" w:rsidR="000C2A54" w:rsidRPr="003F7E43" w:rsidRDefault="000C2A54" w:rsidP="000C2A54">
      <w:pPr>
        <w:widowControl w:val="0"/>
        <w:tabs>
          <w:tab w:val="left" w:pos="0"/>
        </w:tabs>
        <w:autoSpaceDE w:val="0"/>
        <w:autoSpaceDN w:val="0"/>
        <w:adjustRightInd w:val="0"/>
      </w:pPr>
      <w:r w:rsidRPr="003F7E43">
        <w:t xml:space="preserve">The Commission’s </w:t>
      </w:r>
      <w:r w:rsidRPr="003F7E43">
        <w:rPr>
          <w:rFonts w:cs="Verdana"/>
        </w:rPr>
        <w:t>powers and duties are derived from sections 69 and 70 of the Northern Ireland Act 1998</w:t>
      </w:r>
      <w:r w:rsidR="009A2C67">
        <w:rPr>
          <w:rFonts w:cs="Verdana"/>
        </w:rPr>
        <w:t xml:space="preserve">, </w:t>
      </w:r>
      <w:r w:rsidRPr="003F7E43">
        <w:rPr>
          <w:rFonts w:cs="Verdana"/>
        </w:rPr>
        <w:t>sections 14 to 16 of the Justice and Security (Northern Ireland) Act 2007</w:t>
      </w:r>
      <w:r w:rsidR="009A2C67">
        <w:rPr>
          <w:rFonts w:cs="Verdana"/>
        </w:rPr>
        <w:t xml:space="preserve">, and Schedule 3 of the </w:t>
      </w:r>
      <w:r w:rsidR="009A2C67" w:rsidRPr="009A2C67">
        <w:rPr>
          <w:rFonts w:cs="Verdana"/>
        </w:rPr>
        <w:t>European Union (Withdrawal Agreement) Act 2020</w:t>
      </w:r>
      <w:r w:rsidRPr="003F7E43">
        <w:rPr>
          <w:rFonts w:cs="Verdana"/>
        </w:rPr>
        <w:t xml:space="preserve">.  </w:t>
      </w:r>
    </w:p>
    <w:p w14:paraId="15E05E07" w14:textId="77777777" w:rsidR="000C2A54" w:rsidRPr="003F7E43" w:rsidRDefault="000C2A54" w:rsidP="000C2A54">
      <w:pPr>
        <w:widowControl w:val="0"/>
        <w:tabs>
          <w:tab w:val="left" w:pos="0"/>
        </w:tabs>
        <w:autoSpaceDE w:val="0"/>
        <w:autoSpaceDN w:val="0"/>
        <w:adjustRightInd w:val="0"/>
      </w:pPr>
    </w:p>
    <w:p w14:paraId="5B84027D" w14:textId="0CA59C9A" w:rsidR="000C2A54" w:rsidRPr="003F7E43" w:rsidRDefault="00633DEF" w:rsidP="000C2A54">
      <w:pPr>
        <w:widowControl w:val="0"/>
        <w:tabs>
          <w:tab w:val="left" w:pos="0"/>
        </w:tabs>
        <w:autoSpaceDE w:val="0"/>
        <w:autoSpaceDN w:val="0"/>
        <w:adjustRightInd w:val="0"/>
      </w:pPr>
      <w:r w:rsidRPr="00A22300">
        <w:t xml:space="preserve">The Commission is located at </w:t>
      </w:r>
      <w:r w:rsidR="00A22300" w:rsidRPr="00A22300">
        <w:t>4</w:t>
      </w:r>
      <w:r w:rsidR="00A22300" w:rsidRPr="00A22300">
        <w:rPr>
          <w:vertAlign w:val="superscript"/>
        </w:rPr>
        <w:t>th</w:t>
      </w:r>
      <w:r w:rsidR="00A22300" w:rsidRPr="00A22300">
        <w:t xml:space="preserve"> Floor, </w:t>
      </w:r>
      <w:r w:rsidRPr="00A22300">
        <w:t>19-21 Alfred Street, Belfast, BT</w:t>
      </w:r>
      <w:r w:rsidR="00A22300" w:rsidRPr="00A22300">
        <w:t>2 8ED</w:t>
      </w:r>
      <w:r w:rsidR="000C2A54" w:rsidRPr="00A22300">
        <w:t xml:space="preserve"> and its sponsor branch is the Northern Ireland Office located at </w:t>
      </w:r>
      <w:r w:rsidR="00D27041">
        <w:t>Erskine House, 20-32 Chichester Street, Belfast, BT1 4GF</w:t>
      </w:r>
      <w:r w:rsidR="000C2A54" w:rsidRPr="00A22300">
        <w:t>.</w:t>
      </w:r>
    </w:p>
    <w:p w14:paraId="72606E57" w14:textId="77777777" w:rsidR="000C2A54" w:rsidRPr="003F7E43" w:rsidRDefault="000C2A54" w:rsidP="000C2A54">
      <w:pPr>
        <w:widowControl w:val="0"/>
        <w:autoSpaceDE w:val="0"/>
        <w:autoSpaceDN w:val="0"/>
        <w:adjustRightInd w:val="0"/>
        <w:rPr>
          <w:b/>
        </w:rPr>
      </w:pPr>
    </w:p>
    <w:p w14:paraId="78760640" w14:textId="77777777" w:rsidR="000C2A54" w:rsidRPr="003F7E43" w:rsidRDefault="000C2A54" w:rsidP="000C2A54">
      <w:pPr>
        <w:widowControl w:val="0"/>
        <w:autoSpaceDE w:val="0"/>
        <w:autoSpaceDN w:val="0"/>
        <w:adjustRightInd w:val="0"/>
        <w:rPr>
          <w:b/>
        </w:rPr>
      </w:pPr>
      <w:r w:rsidRPr="003F7E43">
        <w:rPr>
          <w:b/>
        </w:rPr>
        <w:t>Commissioners and Management Team</w:t>
      </w:r>
    </w:p>
    <w:p w14:paraId="62DAAED2" w14:textId="77777777" w:rsidR="000C2A54" w:rsidRPr="003F7E43" w:rsidRDefault="000C2A54" w:rsidP="000C2A54">
      <w:pPr>
        <w:widowControl w:val="0"/>
        <w:autoSpaceDE w:val="0"/>
        <w:autoSpaceDN w:val="0"/>
        <w:adjustRightInd w:val="0"/>
        <w:rPr>
          <w:b/>
        </w:rPr>
      </w:pPr>
    </w:p>
    <w:p w14:paraId="7A71ABF1" w14:textId="77777777" w:rsidR="000C2A54" w:rsidRPr="003F7E43" w:rsidRDefault="000C2A54" w:rsidP="000C2A54">
      <w:pPr>
        <w:widowControl w:val="0"/>
        <w:autoSpaceDE w:val="0"/>
        <w:autoSpaceDN w:val="0"/>
        <w:adjustRightInd w:val="0"/>
      </w:pPr>
      <w:r w:rsidRPr="003F7E43">
        <w:t xml:space="preserve">The Commission is governed by its Commissioners.  The following served as Commissioners during </w:t>
      </w:r>
      <w:r w:rsidRPr="003F7E43">
        <w:rPr>
          <w:rFonts w:cs="MetaPlusNormal-Roman"/>
          <w:lang w:val="en-US"/>
        </w:rPr>
        <w:t>20</w:t>
      </w:r>
      <w:r w:rsidR="00AC1D5B">
        <w:t>21</w:t>
      </w:r>
      <w:r w:rsidR="00FA0F19">
        <w:t>-22</w:t>
      </w:r>
      <w:r w:rsidRPr="003F7E43">
        <w:t xml:space="preserve">:  </w:t>
      </w:r>
    </w:p>
    <w:p w14:paraId="75DE2DD7" w14:textId="77777777" w:rsidR="000C2A54" w:rsidRPr="003F7E43" w:rsidRDefault="000C2A54" w:rsidP="000C2A54">
      <w:pPr>
        <w:tabs>
          <w:tab w:val="right" w:pos="8820"/>
        </w:tabs>
        <w:ind w:left="360"/>
      </w:pPr>
    </w:p>
    <w:p w14:paraId="67918385" w14:textId="77777777" w:rsidR="00FA0F19" w:rsidRDefault="00FA0F19" w:rsidP="003061F1">
      <w:pPr>
        <w:numPr>
          <w:ilvl w:val="0"/>
          <w:numId w:val="4"/>
        </w:numPr>
        <w:tabs>
          <w:tab w:val="clear" w:pos="360"/>
        </w:tabs>
        <w:ind w:left="567" w:hanging="567"/>
      </w:pPr>
      <w:r>
        <w:t>Alyson Kilpatrick (from 1 September 2021)</w:t>
      </w:r>
    </w:p>
    <w:p w14:paraId="546F6D3E" w14:textId="77777777" w:rsidR="000C2A54" w:rsidRDefault="000C2A54" w:rsidP="003061F1">
      <w:pPr>
        <w:numPr>
          <w:ilvl w:val="0"/>
          <w:numId w:val="4"/>
        </w:numPr>
        <w:tabs>
          <w:tab w:val="clear" w:pos="360"/>
        </w:tabs>
        <w:ind w:left="567" w:hanging="567"/>
      </w:pPr>
      <w:r w:rsidRPr="003F7E43">
        <w:t xml:space="preserve">Les Allamby </w:t>
      </w:r>
      <w:r w:rsidR="00FA0F19">
        <w:t>(until 31 August 2021)</w:t>
      </w:r>
    </w:p>
    <w:p w14:paraId="51BEBAE4" w14:textId="77777777" w:rsidR="00AC1D5B" w:rsidRDefault="00AC1D5B" w:rsidP="003061F1">
      <w:pPr>
        <w:numPr>
          <w:ilvl w:val="0"/>
          <w:numId w:val="4"/>
        </w:numPr>
        <w:tabs>
          <w:tab w:val="clear" w:pos="360"/>
        </w:tabs>
        <w:ind w:left="567" w:hanging="567"/>
      </w:pPr>
      <w:r>
        <w:t xml:space="preserve">Helen Henderson </w:t>
      </w:r>
    </w:p>
    <w:p w14:paraId="1D148EBA" w14:textId="77777777" w:rsidR="00AC1D5B" w:rsidRDefault="00AC1D5B" w:rsidP="003061F1">
      <w:pPr>
        <w:numPr>
          <w:ilvl w:val="0"/>
          <w:numId w:val="4"/>
        </w:numPr>
        <w:tabs>
          <w:tab w:val="clear" w:pos="360"/>
        </w:tabs>
        <w:ind w:left="567" w:hanging="567"/>
      </w:pPr>
      <w:r>
        <w:t xml:space="preserve">Jonathan Kearney </w:t>
      </w:r>
    </w:p>
    <w:p w14:paraId="38B43D81" w14:textId="77777777" w:rsidR="00AC1D5B" w:rsidRDefault="00AC1D5B" w:rsidP="003061F1">
      <w:pPr>
        <w:numPr>
          <w:ilvl w:val="0"/>
          <w:numId w:val="4"/>
        </w:numPr>
        <w:tabs>
          <w:tab w:val="clear" w:pos="360"/>
        </w:tabs>
        <w:ind w:left="567" w:hanging="567"/>
      </w:pPr>
      <w:r>
        <w:t xml:space="preserve">David A Lavery CB </w:t>
      </w:r>
    </w:p>
    <w:p w14:paraId="75A83FB9" w14:textId="77777777" w:rsidR="00AC1D5B" w:rsidRDefault="00FA0F19" w:rsidP="003061F1">
      <w:pPr>
        <w:numPr>
          <w:ilvl w:val="0"/>
          <w:numId w:val="4"/>
        </w:numPr>
        <w:tabs>
          <w:tab w:val="clear" w:pos="360"/>
        </w:tabs>
        <w:ind w:left="567" w:hanging="567"/>
      </w:pPr>
      <w:r>
        <w:t>Eddie Rooney</w:t>
      </w:r>
    </w:p>
    <w:p w14:paraId="52A18F72" w14:textId="77777777" w:rsidR="000C2A54" w:rsidRDefault="00AC1D5B" w:rsidP="003061F1">
      <w:pPr>
        <w:numPr>
          <w:ilvl w:val="0"/>
          <w:numId w:val="4"/>
        </w:numPr>
        <w:tabs>
          <w:tab w:val="clear" w:pos="360"/>
        </w:tabs>
        <w:ind w:left="567" w:hanging="567"/>
      </w:pPr>
      <w:r>
        <w:t xml:space="preserve">Stephen White OBE </w:t>
      </w:r>
    </w:p>
    <w:p w14:paraId="1B08F058" w14:textId="77777777" w:rsidR="00FA0F19" w:rsidRDefault="00FA0F19" w:rsidP="003061F1">
      <w:pPr>
        <w:numPr>
          <w:ilvl w:val="0"/>
          <w:numId w:val="4"/>
        </w:numPr>
        <w:tabs>
          <w:tab w:val="clear" w:pos="360"/>
        </w:tabs>
        <w:ind w:left="567" w:hanging="567"/>
      </w:pPr>
      <w:r>
        <w:t>Maura Muldoon (until 31 August 2021)</w:t>
      </w:r>
    </w:p>
    <w:p w14:paraId="40F910F9" w14:textId="77777777" w:rsidR="00FA0F19" w:rsidRPr="003F7E43" w:rsidRDefault="00FA0F19" w:rsidP="00FA0F19">
      <w:pPr>
        <w:ind w:left="567"/>
      </w:pPr>
    </w:p>
    <w:p w14:paraId="2E0CF25B" w14:textId="77777777" w:rsidR="000C2A54" w:rsidRPr="003F7E43" w:rsidRDefault="000C2A54" w:rsidP="000C2A54">
      <w:pPr>
        <w:autoSpaceDE w:val="0"/>
        <w:autoSpaceDN w:val="0"/>
        <w:adjustRightInd w:val="0"/>
        <w:rPr>
          <w:rFonts w:cs="HelveticaNeueLTStd-Lt"/>
          <w:lang w:val="en-US"/>
        </w:rPr>
      </w:pPr>
      <w:r w:rsidRPr="003F7E43">
        <w:t xml:space="preserve">The Commission’s </w:t>
      </w:r>
      <w:r w:rsidR="00F5464A" w:rsidRPr="003F7E43">
        <w:t xml:space="preserve">Director is its Chief Executive, </w:t>
      </w:r>
      <w:r w:rsidRPr="003F7E43">
        <w:t xml:space="preserve">Dr David Russell.  As Accounting Officer, the Chief Executive is responsible for maintaining a sound system of internal control. The Governance Statement sets out how this responsibility has been discharged in </w:t>
      </w:r>
      <w:r w:rsidRPr="003F7E43">
        <w:rPr>
          <w:rFonts w:cs="MetaPlusNormal-Roman"/>
          <w:lang w:val="en-US"/>
        </w:rPr>
        <w:t>20</w:t>
      </w:r>
      <w:r w:rsidR="00AF7B8A">
        <w:t>21</w:t>
      </w:r>
      <w:r w:rsidR="00FA0F19">
        <w:t>-22</w:t>
      </w:r>
      <w:r w:rsidRPr="003F7E43">
        <w:rPr>
          <w:rFonts w:cs="HelveticaNeueLTStd-Lt"/>
          <w:lang w:val="en-US"/>
        </w:rPr>
        <w:t>.</w:t>
      </w:r>
    </w:p>
    <w:p w14:paraId="41BA54FD" w14:textId="77777777" w:rsidR="000C2A54" w:rsidRPr="003F7E43" w:rsidRDefault="000C2A54" w:rsidP="000C2A54">
      <w:pPr>
        <w:autoSpaceDE w:val="0"/>
        <w:autoSpaceDN w:val="0"/>
        <w:adjustRightInd w:val="0"/>
        <w:rPr>
          <w:rFonts w:cs="Univers"/>
          <w:lang w:val="en-US"/>
        </w:rPr>
      </w:pPr>
    </w:p>
    <w:p w14:paraId="245B5623" w14:textId="77777777" w:rsidR="000C2A54" w:rsidRPr="009B4441" w:rsidRDefault="000C2A54" w:rsidP="000C2A54">
      <w:pPr>
        <w:autoSpaceDE w:val="0"/>
        <w:autoSpaceDN w:val="0"/>
        <w:adjustRightInd w:val="0"/>
        <w:rPr>
          <w:rFonts w:cs="Univers"/>
          <w:lang w:val="en-US"/>
        </w:rPr>
      </w:pPr>
      <w:r w:rsidRPr="003F7E43">
        <w:rPr>
          <w:rFonts w:cs="Univers"/>
          <w:lang w:val="en-US"/>
        </w:rPr>
        <w:t>Details of remuneration can be found in the Remuneration Report.</w:t>
      </w:r>
    </w:p>
    <w:p w14:paraId="5F044997" w14:textId="77777777" w:rsidR="000C2A54" w:rsidRDefault="000C2A54" w:rsidP="000C2A54">
      <w:pPr>
        <w:autoSpaceDE w:val="0"/>
        <w:autoSpaceDN w:val="0"/>
        <w:adjustRightInd w:val="0"/>
        <w:rPr>
          <w:rFonts w:cs="Univers"/>
          <w:i/>
          <w:lang w:val="en-US"/>
        </w:rPr>
      </w:pPr>
      <w:r w:rsidRPr="003F7E43">
        <w:rPr>
          <w:rFonts w:cs="Univers"/>
          <w:lang w:val="en-US"/>
        </w:rPr>
        <w:t xml:space="preserve">A register of interests of the Commissioners and the Management Team can be found on our website: </w:t>
      </w:r>
      <w:hyperlink r:id="rId22" w:history="1">
        <w:r w:rsidR="00FA0F19" w:rsidRPr="00B56F25">
          <w:rPr>
            <w:rStyle w:val="Hyperlink"/>
            <w:rFonts w:cs="Univers"/>
            <w:i/>
            <w:lang w:val="en-US"/>
          </w:rPr>
          <w:t>www.nihrc.org</w:t>
        </w:r>
      </w:hyperlink>
    </w:p>
    <w:p w14:paraId="42880DA2" w14:textId="77777777" w:rsidR="00FA0F19" w:rsidRPr="003F7E43" w:rsidRDefault="00FA0F19" w:rsidP="000C2A54">
      <w:pPr>
        <w:autoSpaceDE w:val="0"/>
        <w:autoSpaceDN w:val="0"/>
        <w:adjustRightInd w:val="0"/>
        <w:rPr>
          <w:rFonts w:cs="Univers"/>
          <w:lang w:val="en-US"/>
        </w:rPr>
      </w:pPr>
    </w:p>
    <w:p w14:paraId="52A3709B" w14:textId="77777777" w:rsidR="000A30FB" w:rsidRDefault="000A30FB" w:rsidP="000C2A54">
      <w:pPr>
        <w:widowControl w:val="0"/>
        <w:autoSpaceDE w:val="0"/>
        <w:autoSpaceDN w:val="0"/>
        <w:adjustRightInd w:val="0"/>
        <w:rPr>
          <w:b/>
        </w:rPr>
      </w:pPr>
    </w:p>
    <w:p w14:paraId="6EB87102" w14:textId="77777777" w:rsidR="000A30FB" w:rsidRDefault="000A30FB" w:rsidP="000C2A54">
      <w:pPr>
        <w:widowControl w:val="0"/>
        <w:autoSpaceDE w:val="0"/>
        <w:autoSpaceDN w:val="0"/>
        <w:adjustRightInd w:val="0"/>
        <w:rPr>
          <w:b/>
        </w:rPr>
      </w:pPr>
    </w:p>
    <w:p w14:paraId="4F576A8E" w14:textId="77777777" w:rsidR="000A30FB" w:rsidRDefault="000A30FB" w:rsidP="000C2A54">
      <w:pPr>
        <w:widowControl w:val="0"/>
        <w:autoSpaceDE w:val="0"/>
        <w:autoSpaceDN w:val="0"/>
        <w:adjustRightInd w:val="0"/>
        <w:rPr>
          <w:b/>
        </w:rPr>
      </w:pPr>
    </w:p>
    <w:p w14:paraId="787FC947" w14:textId="34D44B3E" w:rsidR="000C2A54" w:rsidRPr="003F7E43" w:rsidRDefault="000C2A54" w:rsidP="000C2A54">
      <w:pPr>
        <w:widowControl w:val="0"/>
        <w:autoSpaceDE w:val="0"/>
        <w:autoSpaceDN w:val="0"/>
        <w:adjustRightInd w:val="0"/>
        <w:rPr>
          <w:b/>
        </w:rPr>
      </w:pPr>
      <w:r w:rsidRPr="003F7E43">
        <w:rPr>
          <w:b/>
        </w:rPr>
        <w:t>Audit and Risk Management Committee</w:t>
      </w:r>
    </w:p>
    <w:p w14:paraId="5959A94B" w14:textId="77777777" w:rsidR="000C2A54" w:rsidRPr="003F7E43" w:rsidRDefault="000C2A54" w:rsidP="000C2A54">
      <w:pPr>
        <w:widowControl w:val="0"/>
        <w:autoSpaceDE w:val="0"/>
        <w:autoSpaceDN w:val="0"/>
        <w:adjustRightInd w:val="0"/>
        <w:rPr>
          <w:b/>
        </w:rPr>
      </w:pPr>
    </w:p>
    <w:p w14:paraId="5FC08FDD" w14:textId="1C62AC5C" w:rsidR="000C2A54" w:rsidRPr="003F7E43" w:rsidRDefault="000C2A54" w:rsidP="000C2A54">
      <w:pPr>
        <w:autoSpaceDE w:val="0"/>
        <w:autoSpaceDN w:val="0"/>
        <w:adjustRightInd w:val="0"/>
        <w:rPr>
          <w:rFonts w:cs="Univers"/>
          <w:lang w:val="en-US"/>
        </w:rPr>
      </w:pPr>
      <w:r w:rsidRPr="003F7E43">
        <w:rPr>
          <w:rFonts w:cs="Univers"/>
          <w:lang w:val="en-US"/>
        </w:rPr>
        <w:t xml:space="preserve">The Commission’s Audit and Risk Management Committee met </w:t>
      </w:r>
      <w:r w:rsidR="00FA0F19">
        <w:t>four times</w:t>
      </w:r>
      <w:r w:rsidRPr="003F7E43">
        <w:rPr>
          <w:rFonts w:cs="Univers"/>
          <w:lang w:val="en-US"/>
        </w:rPr>
        <w:t xml:space="preserve"> during </w:t>
      </w:r>
      <w:r w:rsidRPr="003F7E43">
        <w:rPr>
          <w:rFonts w:cs="MetaPlusNormal-Roman"/>
          <w:lang w:val="en-US"/>
        </w:rPr>
        <w:t>the year</w:t>
      </w:r>
      <w:r w:rsidR="00FA0F19">
        <w:rPr>
          <w:rFonts w:cs="Univers"/>
          <w:lang w:val="en-US"/>
        </w:rPr>
        <w:t>, with a new independent Chairperson appointed in June 2021</w:t>
      </w:r>
      <w:r w:rsidR="00FF1FA8">
        <w:rPr>
          <w:rFonts w:cs="Univers"/>
          <w:lang w:val="en-US"/>
        </w:rPr>
        <w:t xml:space="preserve">. </w:t>
      </w:r>
    </w:p>
    <w:p w14:paraId="795C0785" w14:textId="77777777" w:rsidR="000C2A54" w:rsidRPr="003F7E43" w:rsidRDefault="000C2A54" w:rsidP="000C2A54">
      <w:pPr>
        <w:autoSpaceDE w:val="0"/>
        <w:autoSpaceDN w:val="0"/>
        <w:adjustRightInd w:val="0"/>
        <w:rPr>
          <w:rFonts w:cs="Univers"/>
          <w:lang w:val="en-US"/>
        </w:rPr>
      </w:pPr>
    </w:p>
    <w:p w14:paraId="5A996B48" w14:textId="77777777" w:rsidR="000C2A54" w:rsidRPr="003F7E43" w:rsidRDefault="000C2A54" w:rsidP="000C2A54">
      <w:pPr>
        <w:autoSpaceDE w:val="0"/>
        <w:autoSpaceDN w:val="0"/>
        <w:adjustRightInd w:val="0"/>
        <w:rPr>
          <w:rFonts w:cs="Univers"/>
          <w:lang w:val="en-US"/>
        </w:rPr>
      </w:pPr>
      <w:r w:rsidRPr="003F7E43">
        <w:rPr>
          <w:rFonts w:cs="Univers"/>
          <w:lang w:val="en-US"/>
        </w:rPr>
        <w:t xml:space="preserve">The Audit and Risk Management Committee </w:t>
      </w:r>
      <w:r w:rsidR="00AF7B8A">
        <w:rPr>
          <w:rFonts w:cs="Univers"/>
          <w:lang w:val="en-US"/>
        </w:rPr>
        <w:t>2021</w:t>
      </w:r>
      <w:r w:rsidR="00FA0F19">
        <w:rPr>
          <w:rFonts w:cs="Univers"/>
          <w:lang w:val="en-US"/>
        </w:rPr>
        <w:t>-22</w:t>
      </w:r>
      <w:r w:rsidR="000F2DC4">
        <w:rPr>
          <w:rFonts w:cs="Univers"/>
          <w:lang w:val="en-US"/>
        </w:rPr>
        <w:t xml:space="preserve"> comprised</w:t>
      </w:r>
      <w:r w:rsidRPr="003F7E43">
        <w:rPr>
          <w:rFonts w:cs="Univers"/>
          <w:lang w:val="en-US"/>
        </w:rPr>
        <w:t>:</w:t>
      </w:r>
    </w:p>
    <w:p w14:paraId="4AB58DA2" w14:textId="77777777" w:rsidR="000C2A54" w:rsidRPr="003F7E43" w:rsidRDefault="000C2A54" w:rsidP="000C2A54">
      <w:pPr>
        <w:autoSpaceDE w:val="0"/>
        <w:autoSpaceDN w:val="0"/>
        <w:adjustRightInd w:val="0"/>
        <w:rPr>
          <w:rFonts w:cs="Univers"/>
          <w:lang w:val="en-US"/>
        </w:rPr>
      </w:pPr>
    </w:p>
    <w:p w14:paraId="32076FF2" w14:textId="77777777" w:rsidR="00AF7B8A" w:rsidRPr="00FA0F19" w:rsidRDefault="00FA0F19" w:rsidP="00FA0F19">
      <w:pPr>
        <w:numPr>
          <w:ilvl w:val="2"/>
          <w:numId w:val="5"/>
        </w:numPr>
        <w:tabs>
          <w:tab w:val="clear" w:pos="2160"/>
        </w:tabs>
        <w:autoSpaceDE w:val="0"/>
        <w:autoSpaceDN w:val="0"/>
        <w:adjustRightInd w:val="0"/>
        <w:ind w:left="567" w:hanging="567"/>
        <w:rPr>
          <w:rFonts w:cs="Arial"/>
        </w:rPr>
      </w:pPr>
      <w:r>
        <w:rPr>
          <w:rFonts w:cs="Arial"/>
        </w:rPr>
        <w:t>Sean Donaghy</w:t>
      </w:r>
      <w:r w:rsidR="00AF7B8A" w:rsidRPr="3285EAFF">
        <w:rPr>
          <w:rFonts w:cs="Arial"/>
        </w:rPr>
        <w:t>, Independent Chairperson</w:t>
      </w:r>
      <w:r w:rsidR="35ED7880" w:rsidRPr="3285EAFF">
        <w:rPr>
          <w:rFonts w:cs="Arial"/>
        </w:rPr>
        <w:t xml:space="preserve"> (</w:t>
      </w:r>
      <w:r>
        <w:rPr>
          <w:rFonts w:cs="Arial"/>
        </w:rPr>
        <w:t>from 2 June 2021</w:t>
      </w:r>
      <w:r w:rsidR="35ED7880" w:rsidRPr="3285EAFF">
        <w:rPr>
          <w:rFonts w:cs="Arial"/>
        </w:rPr>
        <w:t>)</w:t>
      </w:r>
    </w:p>
    <w:p w14:paraId="625E6690" w14:textId="77777777" w:rsidR="00AF7B8A" w:rsidRPr="00FA0F19" w:rsidRDefault="00AF7B8A" w:rsidP="007407FB">
      <w:pPr>
        <w:numPr>
          <w:ilvl w:val="2"/>
          <w:numId w:val="5"/>
        </w:numPr>
        <w:tabs>
          <w:tab w:val="clear" w:pos="2160"/>
        </w:tabs>
        <w:autoSpaceDE w:val="0"/>
        <w:autoSpaceDN w:val="0"/>
        <w:adjustRightInd w:val="0"/>
        <w:ind w:left="567" w:hanging="567"/>
        <w:rPr>
          <w:rFonts w:cs="Univers"/>
          <w:lang w:val="en-US"/>
        </w:rPr>
      </w:pPr>
      <w:r>
        <w:rPr>
          <w:rFonts w:cs="Arial"/>
        </w:rPr>
        <w:t xml:space="preserve">David A Lavery CB </w:t>
      </w:r>
    </w:p>
    <w:p w14:paraId="5A917F5F" w14:textId="77777777" w:rsidR="00FA0F19" w:rsidRPr="00FA0F19" w:rsidRDefault="00FA0F19" w:rsidP="007407FB">
      <w:pPr>
        <w:numPr>
          <w:ilvl w:val="2"/>
          <w:numId w:val="5"/>
        </w:numPr>
        <w:tabs>
          <w:tab w:val="clear" w:pos="2160"/>
        </w:tabs>
        <w:autoSpaceDE w:val="0"/>
        <w:autoSpaceDN w:val="0"/>
        <w:adjustRightInd w:val="0"/>
        <w:ind w:left="567" w:hanging="567"/>
        <w:rPr>
          <w:rFonts w:cs="Univers"/>
          <w:lang w:val="en-US"/>
        </w:rPr>
      </w:pPr>
      <w:r>
        <w:rPr>
          <w:rFonts w:cs="Arial"/>
        </w:rPr>
        <w:t>Eddie Rooney</w:t>
      </w:r>
    </w:p>
    <w:p w14:paraId="1AD05048" w14:textId="77777777" w:rsidR="00FA0F19" w:rsidRPr="00AF7B8A" w:rsidRDefault="00FA0F19" w:rsidP="007407FB">
      <w:pPr>
        <w:numPr>
          <w:ilvl w:val="2"/>
          <w:numId w:val="5"/>
        </w:numPr>
        <w:tabs>
          <w:tab w:val="clear" w:pos="2160"/>
        </w:tabs>
        <w:autoSpaceDE w:val="0"/>
        <w:autoSpaceDN w:val="0"/>
        <w:adjustRightInd w:val="0"/>
        <w:ind w:left="567" w:hanging="567"/>
        <w:rPr>
          <w:rFonts w:cs="Univers"/>
          <w:lang w:val="en-US"/>
        </w:rPr>
      </w:pPr>
      <w:r>
        <w:rPr>
          <w:rFonts w:cs="Arial"/>
        </w:rPr>
        <w:t>Stephen White</w:t>
      </w:r>
      <w:r w:rsidR="00597D6B">
        <w:rPr>
          <w:rFonts w:cs="Arial"/>
        </w:rPr>
        <w:t xml:space="preserve"> OBE</w:t>
      </w:r>
      <w:r w:rsidR="00B052DC">
        <w:rPr>
          <w:rFonts w:cs="Arial"/>
        </w:rPr>
        <w:t xml:space="preserve"> (from 1 October 2021)</w:t>
      </w:r>
    </w:p>
    <w:p w14:paraId="44A49BCB" w14:textId="77777777" w:rsidR="00AF7B8A" w:rsidRPr="001324BD" w:rsidRDefault="00AF7B8A" w:rsidP="007407FB">
      <w:pPr>
        <w:numPr>
          <w:ilvl w:val="2"/>
          <w:numId w:val="5"/>
        </w:numPr>
        <w:tabs>
          <w:tab w:val="clear" w:pos="2160"/>
        </w:tabs>
        <w:autoSpaceDE w:val="0"/>
        <w:autoSpaceDN w:val="0"/>
        <w:adjustRightInd w:val="0"/>
        <w:ind w:left="567" w:hanging="567"/>
        <w:rPr>
          <w:rFonts w:cs="Univers"/>
          <w:lang w:val="en-US"/>
        </w:rPr>
      </w:pPr>
      <w:r>
        <w:rPr>
          <w:rFonts w:cs="Arial"/>
        </w:rPr>
        <w:t>Maura Muldoon (</w:t>
      </w:r>
      <w:r w:rsidR="00FA0F19">
        <w:rPr>
          <w:rFonts w:cs="Arial"/>
        </w:rPr>
        <w:t>until 31 August 2021</w:t>
      </w:r>
      <w:r>
        <w:rPr>
          <w:rFonts w:cs="Arial"/>
        </w:rPr>
        <w:t>)</w:t>
      </w:r>
    </w:p>
    <w:p w14:paraId="79F99914" w14:textId="77777777" w:rsidR="001324BD" w:rsidRPr="001324BD" w:rsidRDefault="001324BD" w:rsidP="001324BD">
      <w:pPr>
        <w:autoSpaceDE w:val="0"/>
        <w:autoSpaceDN w:val="0"/>
        <w:adjustRightInd w:val="0"/>
        <w:ind w:left="567"/>
        <w:rPr>
          <w:rFonts w:cs="Univers"/>
          <w:lang w:val="en-US"/>
        </w:rPr>
      </w:pPr>
    </w:p>
    <w:p w14:paraId="77728867" w14:textId="77777777" w:rsidR="000C2A54" w:rsidRPr="00C6256C" w:rsidRDefault="000C2A54" w:rsidP="000C2A54">
      <w:pPr>
        <w:autoSpaceDE w:val="0"/>
        <w:autoSpaceDN w:val="0"/>
        <w:adjustRightInd w:val="0"/>
        <w:rPr>
          <w:rFonts w:cs="Arial"/>
        </w:rPr>
      </w:pPr>
      <w:r w:rsidRPr="003F7E43">
        <w:rPr>
          <w:rFonts w:cs="Univers"/>
          <w:lang w:val="en-US"/>
        </w:rPr>
        <w:t xml:space="preserve">The Chief Executive, </w:t>
      </w:r>
      <w:r w:rsidR="006C6D23" w:rsidRPr="003F7E43">
        <w:rPr>
          <w:rFonts w:cs="Univers"/>
          <w:lang w:val="en-US"/>
        </w:rPr>
        <w:t>Director (Finance, Personnel and Corporate Affairs)</w:t>
      </w:r>
      <w:r w:rsidRPr="003F7E43">
        <w:rPr>
          <w:rFonts w:cs="Univers"/>
          <w:lang w:val="en-US"/>
        </w:rPr>
        <w:t>,</w:t>
      </w:r>
      <w:r w:rsidR="00C6256C">
        <w:rPr>
          <w:rFonts w:cs="Univers"/>
          <w:lang w:val="en-US"/>
        </w:rPr>
        <w:t xml:space="preserve"> Director </w:t>
      </w:r>
      <w:r w:rsidR="00C6256C">
        <w:rPr>
          <w:rFonts w:cs="Arial"/>
        </w:rPr>
        <w:t>(</w:t>
      </w:r>
      <w:r w:rsidR="00B052DC">
        <w:rPr>
          <w:rFonts w:cs="Arial"/>
        </w:rPr>
        <w:t>Engagement and Communications</w:t>
      </w:r>
      <w:r w:rsidR="00C6256C">
        <w:rPr>
          <w:rFonts w:cs="Arial"/>
        </w:rPr>
        <w:t xml:space="preserve">), Director (Legal, Research and Investigations, and Advice to Government), </w:t>
      </w:r>
      <w:r w:rsidR="00B052DC">
        <w:rPr>
          <w:rFonts w:cs="Arial"/>
        </w:rPr>
        <w:t xml:space="preserve">Director (Human Rights after EU Withdrawal), </w:t>
      </w:r>
      <w:r w:rsidRPr="003F7E43">
        <w:rPr>
          <w:rFonts w:cs="Univers"/>
          <w:lang w:val="en-US"/>
        </w:rPr>
        <w:t>Internal Audit</w:t>
      </w:r>
      <w:r w:rsidR="00D33D70">
        <w:rPr>
          <w:rFonts w:cs="Univers"/>
          <w:lang w:val="en-US"/>
        </w:rPr>
        <w:t xml:space="preserve">or, </w:t>
      </w:r>
      <w:r w:rsidRPr="003F7E43">
        <w:rPr>
          <w:rFonts w:cs="Univers"/>
          <w:lang w:val="en-US"/>
        </w:rPr>
        <w:t xml:space="preserve">External Auditor </w:t>
      </w:r>
      <w:r w:rsidR="00D33D70">
        <w:rPr>
          <w:rFonts w:cs="Univers"/>
          <w:lang w:val="en-US"/>
        </w:rPr>
        <w:t xml:space="preserve">and a representative from the NIO </w:t>
      </w:r>
      <w:r w:rsidRPr="003F7E43">
        <w:rPr>
          <w:rFonts w:cs="Univers"/>
          <w:lang w:val="en-US"/>
        </w:rPr>
        <w:t>attend Audit and Risk Management Committee meetings.</w:t>
      </w:r>
    </w:p>
    <w:p w14:paraId="7FE7C63C" w14:textId="77777777" w:rsidR="000C2A54" w:rsidRPr="003F7E43" w:rsidRDefault="000C2A54" w:rsidP="000C2A54">
      <w:pPr>
        <w:autoSpaceDE w:val="0"/>
        <w:autoSpaceDN w:val="0"/>
        <w:adjustRightInd w:val="0"/>
        <w:rPr>
          <w:rFonts w:cs="Univers"/>
          <w:lang w:val="en-US"/>
        </w:rPr>
      </w:pPr>
    </w:p>
    <w:p w14:paraId="79ACDE82" w14:textId="504BBE31" w:rsidR="000C2A54" w:rsidRPr="003F7E43" w:rsidRDefault="000C2A54" w:rsidP="000C2A54">
      <w:pPr>
        <w:autoSpaceDE w:val="0"/>
        <w:autoSpaceDN w:val="0"/>
        <w:adjustRightInd w:val="0"/>
        <w:rPr>
          <w:lang w:val="en-US"/>
        </w:rPr>
      </w:pPr>
      <w:r w:rsidRPr="003F7E43">
        <w:rPr>
          <w:rFonts w:cs="Univers"/>
          <w:lang w:val="en-US"/>
        </w:rPr>
        <w:t xml:space="preserve">The Audit and Risk Management Committee supports the Accounting Officer, and the Commission, </w:t>
      </w:r>
      <w:r w:rsidRPr="003F7E43">
        <w:rPr>
          <w:lang w:val="en-US"/>
        </w:rPr>
        <w:t>by monitoring and reviewing the risk, control and governance systems, and the associated assurance processes</w:t>
      </w:r>
      <w:r w:rsidR="00FF1FA8" w:rsidRPr="003F7E43">
        <w:rPr>
          <w:lang w:val="en-US"/>
        </w:rPr>
        <w:t xml:space="preserve">. </w:t>
      </w:r>
      <w:r w:rsidRPr="003F7E43">
        <w:rPr>
          <w:lang w:val="en-US"/>
        </w:rPr>
        <w:t>This is achieved by providing an independent perspective and through a process of constructive challenge</w:t>
      </w:r>
      <w:r w:rsidR="00FF1FA8" w:rsidRPr="003F7E43">
        <w:rPr>
          <w:lang w:val="en-US"/>
        </w:rPr>
        <w:t xml:space="preserve">. </w:t>
      </w:r>
      <w:r w:rsidRPr="003F7E43">
        <w:rPr>
          <w:lang w:val="en-US"/>
        </w:rPr>
        <w:t xml:space="preserve">The Chairperson or nominated Committee member </w:t>
      </w:r>
      <w:r w:rsidRPr="003F7E43">
        <w:rPr>
          <w:rFonts w:cs="Univers"/>
          <w:lang w:val="en-US"/>
        </w:rPr>
        <w:t xml:space="preserve">reports on the activities </w:t>
      </w:r>
      <w:r w:rsidRPr="003F7E43">
        <w:rPr>
          <w:lang w:val="en-US"/>
        </w:rPr>
        <w:t xml:space="preserve">of the </w:t>
      </w:r>
      <w:r w:rsidRPr="003F7E43">
        <w:rPr>
          <w:rFonts w:cs="Univers"/>
          <w:lang w:val="en-US"/>
        </w:rPr>
        <w:t>Audit and Risk Management Committee at Commission meetings</w:t>
      </w:r>
      <w:r w:rsidR="00FF1FA8" w:rsidRPr="003F7E43">
        <w:rPr>
          <w:rFonts w:cs="Univers"/>
          <w:lang w:val="en-US"/>
        </w:rPr>
        <w:t xml:space="preserve">. </w:t>
      </w:r>
      <w:r w:rsidRPr="003F7E43">
        <w:rPr>
          <w:rFonts w:cs="Univers"/>
          <w:lang w:val="en-US"/>
        </w:rPr>
        <w:t>Minutes of Audit and Risk Management Committee meetings are circulated to all Commissioners.</w:t>
      </w:r>
    </w:p>
    <w:p w14:paraId="77E12506" w14:textId="77777777" w:rsidR="000C2A54" w:rsidRPr="003F7E43" w:rsidRDefault="000C2A54" w:rsidP="000C2A54">
      <w:pPr>
        <w:widowControl w:val="0"/>
        <w:autoSpaceDE w:val="0"/>
        <w:autoSpaceDN w:val="0"/>
        <w:adjustRightInd w:val="0"/>
        <w:rPr>
          <w:b/>
        </w:rPr>
      </w:pPr>
    </w:p>
    <w:p w14:paraId="13564481" w14:textId="77777777" w:rsidR="000C2A54" w:rsidRPr="00C6256C" w:rsidRDefault="000C2A54" w:rsidP="000C2A54">
      <w:pPr>
        <w:rPr>
          <w:bCs/>
          <w:noProof/>
          <w:lang w:eastAsia="en-GB"/>
        </w:rPr>
      </w:pPr>
      <w:r w:rsidRPr="003F7E43">
        <w:rPr>
          <w:b/>
        </w:rPr>
        <w:t>Risk management</w:t>
      </w:r>
      <w:r w:rsidR="00C6256C">
        <w:rPr>
          <w:b/>
        </w:rPr>
        <w:t xml:space="preserve"> </w:t>
      </w:r>
    </w:p>
    <w:p w14:paraId="6F8EBCF0" w14:textId="77777777" w:rsidR="000C2A54" w:rsidRPr="003F7E43" w:rsidRDefault="000C2A54" w:rsidP="000C2A54">
      <w:pPr>
        <w:rPr>
          <w:b/>
        </w:rPr>
      </w:pPr>
    </w:p>
    <w:p w14:paraId="51F3263E" w14:textId="77777777" w:rsidR="000C2A54" w:rsidRPr="00215C42" w:rsidRDefault="000C2A54" w:rsidP="000C2A54">
      <w:r w:rsidRPr="00215C42">
        <w:t xml:space="preserve">The Commission is committed to ensuring </w:t>
      </w:r>
      <w:r w:rsidR="001324BD" w:rsidRPr="00215C42">
        <w:t xml:space="preserve">a </w:t>
      </w:r>
      <w:r w:rsidRPr="00215C42">
        <w:t xml:space="preserve">high standard of corporate governance. We have identified our risk appetite as well as defining strategy and determining resource allocation to ensure the delivery of the Commission objectives. The system of internal control is designed to manage risk to a reasonable level rather than to eliminate all risk. The Audit and Risk Committee oversee this work under an independent Chair. </w:t>
      </w:r>
    </w:p>
    <w:p w14:paraId="780EF774" w14:textId="77777777" w:rsidR="000C2A54" w:rsidRPr="00215C42" w:rsidRDefault="000C2A54" w:rsidP="000C2A54"/>
    <w:p w14:paraId="1196A19D" w14:textId="679FAC0A" w:rsidR="000C2A54" w:rsidRPr="00014CBD" w:rsidRDefault="000C2A54" w:rsidP="000C2A54">
      <w:r w:rsidRPr="00215C42">
        <w:t>All Commissioners have received training in the role and responsibilities of N</w:t>
      </w:r>
      <w:r w:rsidR="00A22929" w:rsidRPr="00215C42">
        <w:t xml:space="preserve">ational </w:t>
      </w:r>
      <w:r w:rsidRPr="00215C42">
        <w:t>H</w:t>
      </w:r>
      <w:r w:rsidR="00A22929" w:rsidRPr="00215C42">
        <w:t xml:space="preserve">uman </w:t>
      </w:r>
      <w:r w:rsidRPr="00215C42">
        <w:t>R</w:t>
      </w:r>
      <w:r w:rsidR="00A22929" w:rsidRPr="00215C42">
        <w:t xml:space="preserve">ights </w:t>
      </w:r>
      <w:r w:rsidRPr="00215C42">
        <w:t>I</w:t>
      </w:r>
      <w:r w:rsidR="00A22929" w:rsidRPr="00215C42">
        <w:t>nstitution</w:t>
      </w:r>
      <w:r w:rsidRPr="00215C42">
        <w:t xml:space="preserve"> Commissioners and as board members of non-Departmental public bodies as well as induction and </w:t>
      </w:r>
      <w:r w:rsidR="00C23DDA">
        <w:t xml:space="preserve">follow up </w:t>
      </w:r>
      <w:r w:rsidRPr="00215C42">
        <w:t xml:space="preserve">training </w:t>
      </w:r>
      <w:r w:rsidR="00E53041">
        <w:t>on</w:t>
      </w:r>
      <w:r w:rsidR="00E53041" w:rsidRPr="00215C42">
        <w:t xml:space="preserve"> </w:t>
      </w:r>
      <w:r w:rsidRPr="00215C42">
        <w:t xml:space="preserve">the work of the Commission. The Audit and Risk Management Committee reviews its effectiveness by assessing its operation and constitution against good practice guidelines issued by the National Audit Office. </w:t>
      </w:r>
      <w:r w:rsidR="006C392B">
        <w:t>A member of the</w:t>
      </w:r>
      <w:r w:rsidRPr="00215C42">
        <w:t xml:space="preserve"> Audit and Risk Management committee reports</w:t>
      </w:r>
      <w:r w:rsidR="00F54347" w:rsidRPr="00215C42">
        <w:t xml:space="preserve"> </w:t>
      </w:r>
      <w:r w:rsidR="006C392B">
        <w:t>to the full Commission board following a committee meeting</w:t>
      </w:r>
      <w:r w:rsidR="002A501C">
        <w:t>.</w:t>
      </w:r>
      <w:r w:rsidR="009A2C67" w:rsidRPr="009A2C67">
        <w:t xml:space="preserve"> The independent chairperson normally reports annually to the full Comm</w:t>
      </w:r>
      <w:r w:rsidR="00B052DC">
        <w:t>ission board, usually in August</w:t>
      </w:r>
      <w:r w:rsidR="009A2C67" w:rsidRPr="009A2C67">
        <w:t>.</w:t>
      </w:r>
    </w:p>
    <w:p w14:paraId="5AC2AD05" w14:textId="77777777" w:rsidR="000C2A54" w:rsidRPr="00215C42" w:rsidRDefault="000C2A54" w:rsidP="000C2A54">
      <w:pPr>
        <w:widowControl w:val="0"/>
        <w:autoSpaceDE w:val="0"/>
        <w:autoSpaceDN w:val="0"/>
        <w:adjustRightInd w:val="0"/>
      </w:pPr>
      <w:r w:rsidRPr="00215C42">
        <w:t>Overall responsibility for ensuring that risks are identified and an appropriate framework is in place to manage those risks down to an acceptable level rests with the Commission’s Accounting Officer. Individual staff members can be nominated as ‘risk owners’ with responsibility delegated from the Accounting Officer. The risk register is reviewed monthly by the management team who are also responsible for reviewing the Business Continuity Plan.</w:t>
      </w:r>
    </w:p>
    <w:p w14:paraId="7974805D" w14:textId="77777777" w:rsidR="00F54347" w:rsidRPr="00215C42" w:rsidRDefault="00F54347" w:rsidP="000C2A54">
      <w:pPr>
        <w:widowControl w:val="0"/>
        <w:autoSpaceDE w:val="0"/>
        <w:autoSpaceDN w:val="0"/>
        <w:adjustRightInd w:val="0"/>
      </w:pPr>
    </w:p>
    <w:p w14:paraId="056D710A" w14:textId="77777777" w:rsidR="00750293" w:rsidRPr="00215C42" w:rsidRDefault="00F54347" w:rsidP="000C2A54">
      <w:pPr>
        <w:widowControl w:val="0"/>
        <w:autoSpaceDE w:val="0"/>
        <w:autoSpaceDN w:val="0"/>
        <w:adjustRightInd w:val="0"/>
      </w:pPr>
      <w:r w:rsidRPr="00215C42">
        <w:t>The Commission’s risk register is presented to the Commission bi-monthly and to each Audit and Risk Management Committee meeting for scrutiny and discussion.  The Commission uses a bespoke software package for the recording of any risks, and identifies the likelihood of occurrence and the impact of the risk.  Any controls that are put in place to mitigate the risk are recorded and, if necessary, any remedial action</w:t>
      </w:r>
      <w:r w:rsidR="00750293" w:rsidRPr="00215C42">
        <w:t>.</w:t>
      </w:r>
      <w:r w:rsidR="00542DDF" w:rsidRPr="00215C42">
        <w:t xml:space="preserve">  Changes to the assessment and evaluation of risk are noted by the Audit and Risk Management Committee and the full Commission.</w:t>
      </w:r>
    </w:p>
    <w:p w14:paraId="52964CD8" w14:textId="77777777" w:rsidR="00750293" w:rsidRPr="008D428E" w:rsidRDefault="00750293" w:rsidP="000C2A54">
      <w:pPr>
        <w:widowControl w:val="0"/>
        <w:autoSpaceDE w:val="0"/>
        <w:autoSpaceDN w:val="0"/>
        <w:adjustRightInd w:val="0"/>
        <w:rPr>
          <w:highlight w:val="yellow"/>
        </w:rPr>
      </w:pPr>
    </w:p>
    <w:p w14:paraId="6B0EEDDB" w14:textId="77777777" w:rsidR="000C2A54" w:rsidRPr="00C6256C" w:rsidRDefault="00C6256C" w:rsidP="000C2A54">
      <w:pPr>
        <w:rPr>
          <w:b/>
          <w:color w:val="FF0000"/>
        </w:rPr>
      </w:pPr>
      <w:r w:rsidRPr="00820476">
        <w:t xml:space="preserve">There </w:t>
      </w:r>
      <w:r w:rsidR="00B052DC">
        <w:t>was one</w:t>
      </w:r>
      <w:r w:rsidR="00AF7B8A">
        <w:t xml:space="preserve"> </w:t>
      </w:r>
      <w:r w:rsidRPr="00820476">
        <w:t>complaint</w:t>
      </w:r>
      <w:r w:rsidR="000C2A54" w:rsidRPr="00820476">
        <w:t xml:space="preserve"> to the</w:t>
      </w:r>
      <w:r w:rsidR="00AF7B8A">
        <w:t xml:space="preserve"> Parliamentary Ombudsman in </w:t>
      </w:r>
      <w:r w:rsidR="00B052DC">
        <w:t>2021-22 which was not taken further (</w:t>
      </w:r>
      <w:r w:rsidR="00AF7B8A">
        <w:t>20</w:t>
      </w:r>
      <w:r w:rsidR="00B12D00" w:rsidRPr="00820476">
        <w:t>20</w:t>
      </w:r>
      <w:r w:rsidR="00AF7B8A">
        <w:t>-21</w:t>
      </w:r>
      <w:r w:rsidR="00B052DC">
        <w:t>: None).</w:t>
      </w:r>
      <w:r>
        <w:t xml:space="preserve">  </w:t>
      </w:r>
    </w:p>
    <w:p w14:paraId="36C7E046" w14:textId="77777777" w:rsidR="000C2A54" w:rsidRPr="003F7E43" w:rsidRDefault="000C2A54" w:rsidP="000C2A54"/>
    <w:p w14:paraId="2CF39EB2" w14:textId="77777777" w:rsidR="000C2A54" w:rsidRDefault="000C2A54" w:rsidP="000C2A54">
      <w:pPr>
        <w:widowControl w:val="0"/>
        <w:autoSpaceDE w:val="0"/>
        <w:autoSpaceDN w:val="0"/>
        <w:adjustRightInd w:val="0"/>
        <w:rPr>
          <w:b/>
          <w:color w:val="FF0000"/>
        </w:rPr>
      </w:pPr>
      <w:r w:rsidRPr="009B4441">
        <w:rPr>
          <w:b/>
          <w:color w:val="auto"/>
        </w:rPr>
        <w:t>Personal data</w:t>
      </w:r>
      <w:r w:rsidR="00F824B3">
        <w:rPr>
          <w:b/>
          <w:color w:val="auto"/>
        </w:rPr>
        <w:t xml:space="preserve"> related incidents</w:t>
      </w:r>
      <w:r w:rsidR="00C6256C">
        <w:rPr>
          <w:b/>
          <w:color w:val="auto"/>
        </w:rPr>
        <w:t xml:space="preserve"> </w:t>
      </w:r>
    </w:p>
    <w:p w14:paraId="191BCE29" w14:textId="77777777" w:rsidR="00325E27" w:rsidRPr="009B4441" w:rsidRDefault="00325E27" w:rsidP="000C2A54">
      <w:pPr>
        <w:widowControl w:val="0"/>
        <w:autoSpaceDE w:val="0"/>
        <w:autoSpaceDN w:val="0"/>
        <w:adjustRightInd w:val="0"/>
        <w:rPr>
          <w:color w:val="auto"/>
        </w:rPr>
      </w:pPr>
    </w:p>
    <w:p w14:paraId="5AC0B6E9" w14:textId="08B6335D" w:rsidR="00F824B3" w:rsidRDefault="000C2A54" w:rsidP="000C2A54">
      <w:pPr>
        <w:widowControl w:val="0"/>
        <w:autoSpaceDE w:val="0"/>
        <w:autoSpaceDN w:val="0"/>
        <w:adjustRightInd w:val="0"/>
        <w:rPr>
          <w:rFonts w:cs="MetaPlusNormal-Roman"/>
          <w:color w:val="auto"/>
          <w:lang w:val="en-US"/>
        </w:rPr>
      </w:pPr>
      <w:r w:rsidRPr="009B4441">
        <w:rPr>
          <w:rFonts w:cs="MetaPlusNormal-Roman"/>
          <w:color w:val="auto"/>
          <w:lang w:val="en-US"/>
        </w:rPr>
        <w:t xml:space="preserve">We are committed to safeguarding all retained personal </w:t>
      </w:r>
      <w:r w:rsidR="00F824B3">
        <w:rPr>
          <w:rFonts w:cs="MetaPlusNormal-Roman"/>
          <w:color w:val="auto"/>
          <w:lang w:val="en-US"/>
        </w:rPr>
        <w:t>data and follow the General Data Protection Regulation (GDPR) as it applies in the UK, tailored by the Data Protection Act 2018</w:t>
      </w:r>
      <w:r w:rsidR="00FF1FA8" w:rsidRPr="009B4441">
        <w:rPr>
          <w:rFonts w:cs="MetaPlusNormal-Roman"/>
          <w:color w:val="auto"/>
          <w:lang w:val="en-US"/>
        </w:rPr>
        <w:t>.</w:t>
      </w:r>
      <w:r w:rsidR="00FF1FA8">
        <w:rPr>
          <w:rFonts w:cs="MetaPlusNormal-Roman"/>
          <w:color w:val="auto"/>
          <w:lang w:val="en-US"/>
        </w:rPr>
        <w:t xml:space="preserve"> </w:t>
      </w:r>
      <w:r w:rsidR="00CB5595">
        <w:rPr>
          <w:rFonts w:cs="MetaPlusNormal-Roman"/>
          <w:color w:val="auto"/>
          <w:lang w:val="en-US"/>
        </w:rPr>
        <w:t>A Commissioner has been appointed as the Data Protection Officer and a member of staff provides support in the role of the Data Protection Practitioner</w:t>
      </w:r>
      <w:r w:rsidR="00FF1FA8">
        <w:rPr>
          <w:rFonts w:cs="MetaPlusNormal-Roman"/>
          <w:color w:val="auto"/>
          <w:lang w:val="en-US"/>
        </w:rPr>
        <w:t>.</w:t>
      </w:r>
      <w:r w:rsidR="00FF1FA8" w:rsidRPr="009B4441">
        <w:rPr>
          <w:rFonts w:cs="MetaPlusNormal-Roman"/>
          <w:color w:val="auto"/>
          <w:lang w:val="en-US"/>
        </w:rPr>
        <w:t xml:space="preserve"> </w:t>
      </w:r>
    </w:p>
    <w:p w14:paraId="2E35F571" w14:textId="77777777" w:rsidR="00F824B3" w:rsidRDefault="00F824B3" w:rsidP="000C2A54">
      <w:pPr>
        <w:widowControl w:val="0"/>
        <w:autoSpaceDE w:val="0"/>
        <w:autoSpaceDN w:val="0"/>
        <w:adjustRightInd w:val="0"/>
        <w:rPr>
          <w:rFonts w:cs="MetaPlusNormal-Roman"/>
          <w:color w:val="auto"/>
          <w:lang w:val="en-US"/>
        </w:rPr>
      </w:pPr>
    </w:p>
    <w:p w14:paraId="6715BFFF" w14:textId="4E6C0C5E" w:rsidR="000C2A54" w:rsidRPr="009B4441" w:rsidRDefault="000C2A54" w:rsidP="000C2A54">
      <w:pPr>
        <w:widowControl w:val="0"/>
        <w:autoSpaceDE w:val="0"/>
        <w:autoSpaceDN w:val="0"/>
        <w:adjustRightInd w:val="0"/>
        <w:rPr>
          <w:rFonts w:cs="MetaPlusNormal-Roman"/>
          <w:color w:val="auto"/>
          <w:lang w:val="en-US"/>
        </w:rPr>
      </w:pPr>
      <w:r w:rsidRPr="009B4441">
        <w:rPr>
          <w:rFonts w:cs="MetaPlusNormal-Roman"/>
          <w:color w:val="auto"/>
          <w:lang w:val="en-US"/>
        </w:rPr>
        <w:t>Risks in this area are recorded in the Commission’s risk register and the Audit and Risk Management Committee receives regular reports on activities to</w:t>
      </w:r>
      <w:r w:rsidRPr="009B4441">
        <w:rPr>
          <w:rFonts w:cs="MetaPlusNormal-Roman"/>
          <w:color w:val="auto"/>
        </w:rPr>
        <w:t xml:space="preserve"> minimise</w:t>
      </w:r>
      <w:r w:rsidRPr="009B4441">
        <w:rPr>
          <w:rFonts w:cs="MetaPlusNormal-Roman"/>
          <w:color w:val="auto"/>
          <w:lang w:val="en-US"/>
        </w:rPr>
        <w:t xml:space="preserve"> the likeli</w:t>
      </w:r>
      <w:r>
        <w:rPr>
          <w:rFonts w:cs="MetaPlusNormal-Roman"/>
          <w:color w:val="auto"/>
          <w:lang w:val="en-US"/>
        </w:rPr>
        <w:t>hood of the occurrence of these and other</w:t>
      </w:r>
      <w:r w:rsidRPr="009B4441">
        <w:rPr>
          <w:rFonts w:cs="MetaPlusNormal-Roman"/>
          <w:color w:val="auto"/>
          <w:lang w:val="en-US"/>
        </w:rPr>
        <w:t xml:space="preserve"> risks</w:t>
      </w:r>
      <w:r w:rsidR="00FF1FA8" w:rsidRPr="009B4441">
        <w:rPr>
          <w:rFonts w:cs="MetaPlusNormal-Roman"/>
          <w:color w:val="auto"/>
          <w:lang w:val="en-US"/>
        </w:rPr>
        <w:t xml:space="preserve">. </w:t>
      </w:r>
    </w:p>
    <w:p w14:paraId="48739292" w14:textId="77777777" w:rsidR="00F824B3" w:rsidRDefault="00F824B3" w:rsidP="000C2A54">
      <w:pPr>
        <w:widowControl w:val="0"/>
        <w:autoSpaceDE w:val="0"/>
        <w:autoSpaceDN w:val="0"/>
        <w:adjustRightInd w:val="0"/>
        <w:rPr>
          <w:rFonts w:cs="MetaPlusNormal-Roman"/>
          <w:color w:val="auto"/>
          <w:lang w:val="en-US"/>
        </w:rPr>
      </w:pPr>
    </w:p>
    <w:p w14:paraId="14CACB53" w14:textId="77777777" w:rsidR="00F824B3" w:rsidRPr="009B4441" w:rsidRDefault="00F824B3" w:rsidP="00F824B3">
      <w:r w:rsidRPr="003F7E43">
        <w:t>There w</w:t>
      </w:r>
      <w:r w:rsidR="00B052DC">
        <w:t>as one personal data related incident</w:t>
      </w:r>
      <w:r>
        <w:t xml:space="preserve"> </w:t>
      </w:r>
      <w:r w:rsidR="0092177E">
        <w:t xml:space="preserve">during 2021-22 which was formally </w:t>
      </w:r>
      <w:r>
        <w:t>reported to the Informati</w:t>
      </w:r>
      <w:r w:rsidR="00AF7B8A">
        <w:t>on Co</w:t>
      </w:r>
      <w:r w:rsidR="0092177E">
        <w:t>mmissioner’s Office (ICO) who confirmed that the breach did not meet the criteria for formal enforcement action by the ICO</w:t>
      </w:r>
      <w:r w:rsidR="00AF7B8A">
        <w:t xml:space="preserve"> </w:t>
      </w:r>
      <w:r w:rsidR="00B052DC">
        <w:t>(</w:t>
      </w:r>
      <w:r w:rsidR="00AF7B8A">
        <w:t>20</w:t>
      </w:r>
      <w:r w:rsidR="00C6256C">
        <w:t>20</w:t>
      </w:r>
      <w:r w:rsidR="00AF7B8A">
        <w:t>-21</w:t>
      </w:r>
      <w:r w:rsidRPr="003F7E43">
        <w:t>: None).</w:t>
      </w:r>
      <w:r w:rsidR="00597D6B">
        <w:t xml:space="preserve">  All staff completed the </w:t>
      </w:r>
      <w:r w:rsidR="005965F7">
        <w:t xml:space="preserve">mandatory </w:t>
      </w:r>
      <w:r w:rsidR="00597D6B">
        <w:t xml:space="preserve">Civil Service Learning </w:t>
      </w:r>
      <w:r w:rsidR="005965F7">
        <w:t>training on Responsible for Information (2018) during the year.</w:t>
      </w:r>
    </w:p>
    <w:p w14:paraId="30E9D122" w14:textId="77777777" w:rsidR="00F61A65" w:rsidRDefault="00F61A65" w:rsidP="000C2A54">
      <w:pPr>
        <w:rPr>
          <w:b/>
        </w:rPr>
      </w:pPr>
    </w:p>
    <w:p w14:paraId="1508CD6F" w14:textId="77777777" w:rsidR="000C2A54" w:rsidRPr="003F7E43" w:rsidRDefault="000C2A54" w:rsidP="000C2A54">
      <w:pPr>
        <w:rPr>
          <w:b/>
        </w:rPr>
      </w:pPr>
      <w:r w:rsidRPr="003F7E43">
        <w:rPr>
          <w:b/>
        </w:rPr>
        <w:t>Register of Interests</w:t>
      </w:r>
    </w:p>
    <w:p w14:paraId="0DBDEB20" w14:textId="77777777" w:rsidR="000C2A54" w:rsidRPr="003F7E43" w:rsidRDefault="000C2A54" w:rsidP="000C2A54">
      <w:pPr>
        <w:rPr>
          <w:b/>
        </w:rPr>
      </w:pPr>
    </w:p>
    <w:p w14:paraId="49F1EF42" w14:textId="77777777" w:rsidR="000C2A54" w:rsidRPr="003F7E43" w:rsidRDefault="000C2A54" w:rsidP="000C2A54">
      <w:r w:rsidRPr="003F7E43">
        <w:t xml:space="preserve">The Register of Interests and Related Party Declarations for the Chief Commissioner, Commissioners, </w:t>
      </w:r>
      <w:r w:rsidR="00F76370" w:rsidRPr="003F7E43">
        <w:t>Chief Executive and senior management</w:t>
      </w:r>
      <w:r w:rsidRPr="003F7E43">
        <w:t xml:space="preserve"> can be found on the Commission’s website at </w:t>
      </w:r>
      <w:hyperlink r:id="rId23" w:history="1">
        <w:r w:rsidRPr="003F7E43">
          <w:rPr>
            <w:rStyle w:val="Hyperlink"/>
          </w:rPr>
          <w:t>www.nihrc.org</w:t>
        </w:r>
      </w:hyperlink>
    </w:p>
    <w:p w14:paraId="61749F80" w14:textId="77777777" w:rsidR="000C2A54" w:rsidRPr="003F7E43" w:rsidRDefault="000C2A54" w:rsidP="000C2A54">
      <w:pPr>
        <w:widowControl w:val="0"/>
        <w:autoSpaceDE w:val="0"/>
        <w:autoSpaceDN w:val="0"/>
        <w:adjustRightInd w:val="0"/>
        <w:rPr>
          <w:b/>
        </w:rPr>
      </w:pPr>
    </w:p>
    <w:p w14:paraId="5217DA40" w14:textId="77777777" w:rsidR="000C2A54" w:rsidRPr="003F7E43" w:rsidRDefault="000C2A54" w:rsidP="000C2A54">
      <w:pPr>
        <w:widowControl w:val="0"/>
        <w:autoSpaceDE w:val="0"/>
        <w:autoSpaceDN w:val="0"/>
        <w:adjustRightInd w:val="0"/>
        <w:rPr>
          <w:b/>
        </w:rPr>
      </w:pPr>
      <w:r w:rsidRPr="003F7E43">
        <w:rPr>
          <w:b/>
        </w:rPr>
        <w:t>Auditors</w:t>
      </w:r>
    </w:p>
    <w:p w14:paraId="781CA08A" w14:textId="77777777" w:rsidR="000C2A54" w:rsidRPr="003F7E43" w:rsidRDefault="000C2A54" w:rsidP="000C2A54">
      <w:pPr>
        <w:widowControl w:val="0"/>
        <w:autoSpaceDE w:val="0"/>
        <w:autoSpaceDN w:val="0"/>
        <w:adjustRightInd w:val="0"/>
        <w:rPr>
          <w:b/>
        </w:rPr>
      </w:pPr>
    </w:p>
    <w:p w14:paraId="7D47BF6C" w14:textId="77777777" w:rsidR="000C2A54" w:rsidRPr="003F7E43" w:rsidRDefault="000C2A54" w:rsidP="000C2A54">
      <w:pPr>
        <w:widowControl w:val="0"/>
        <w:autoSpaceDE w:val="0"/>
        <w:autoSpaceDN w:val="0"/>
        <w:adjustRightInd w:val="0"/>
      </w:pPr>
      <w:r w:rsidRPr="003F7E43">
        <w:t>The financial statements are audited by the Comptroller and Auditor General.  The audit fe</w:t>
      </w:r>
      <w:r w:rsidR="001324BD">
        <w:t xml:space="preserve">e for this year is </w:t>
      </w:r>
      <w:r w:rsidR="0092177E">
        <w:t>£17</w:t>
      </w:r>
      <w:r w:rsidR="00C612B3">
        <w:t>,5</w:t>
      </w:r>
      <w:r w:rsidR="0092177E">
        <w:t>00 (20</w:t>
      </w:r>
      <w:r w:rsidR="00BE5140">
        <w:t>20</w:t>
      </w:r>
      <w:r w:rsidR="0092177E">
        <w:t>-21: £16</w:t>
      </w:r>
      <w:r w:rsidR="00BE5140">
        <w:t>,5</w:t>
      </w:r>
      <w:r w:rsidRPr="003F7E43">
        <w:t>00).</w:t>
      </w:r>
    </w:p>
    <w:p w14:paraId="448784A6" w14:textId="77777777" w:rsidR="000C2A54" w:rsidRPr="003F7E43" w:rsidRDefault="000C2A54" w:rsidP="000C2A54">
      <w:pPr>
        <w:widowControl w:val="0"/>
        <w:autoSpaceDE w:val="0"/>
        <w:autoSpaceDN w:val="0"/>
        <w:adjustRightInd w:val="0"/>
      </w:pPr>
    </w:p>
    <w:p w14:paraId="1DF8BC3C" w14:textId="77777777" w:rsidR="000C2A54" w:rsidRPr="009B4441" w:rsidRDefault="000C2A54" w:rsidP="000C2A54">
      <w:pPr>
        <w:widowControl w:val="0"/>
        <w:autoSpaceDE w:val="0"/>
        <w:autoSpaceDN w:val="0"/>
        <w:adjustRightInd w:val="0"/>
      </w:pPr>
      <w:r>
        <w:t>The Commission’s inter</w:t>
      </w:r>
      <w:r w:rsidR="00BE5140">
        <w:t xml:space="preserve">nal audit </w:t>
      </w:r>
      <w:r w:rsidR="0092177E">
        <w:t xml:space="preserve">is </w:t>
      </w:r>
      <w:r>
        <w:t xml:space="preserve">provided </w:t>
      </w:r>
      <w:r w:rsidR="0092177E">
        <w:t>by</w:t>
      </w:r>
      <w:r w:rsidR="00BE5140">
        <w:t xml:space="preserve"> ASM</w:t>
      </w:r>
      <w:r w:rsidR="0092177E">
        <w:t xml:space="preserve"> who</w:t>
      </w:r>
      <w:r w:rsidR="00BE5140">
        <w:t xml:space="preserve"> were appointed and commenced work with the Commission in March 2021. </w:t>
      </w:r>
    </w:p>
    <w:p w14:paraId="6A59FACC" w14:textId="77777777" w:rsidR="000C2A54" w:rsidRPr="009B4441" w:rsidRDefault="000C2A54" w:rsidP="000C2A54">
      <w:pPr>
        <w:widowControl w:val="0"/>
        <w:autoSpaceDE w:val="0"/>
        <w:autoSpaceDN w:val="0"/>
        <w:adjustRightInd w:val="0"/>
        <w:rPr>
          <w:color w:val="auto"/>
        </w:rPr>
      </w:pPr>
    </w:p>
    <w:p w14:paraId="18F75C5F" w14:textId="77777777" w:rsidR="000C2A54" w:rsidRPr="004113D9" w:rsidRDefault="000C2A54" w:rsidP="000C2A54">
      <w:pPr>
        <w:widowControl w:val="0"/>
        <w:autoSpaceDE w:val="0"/>
        <w:autoSpaceDN w:val="0"/>
        <w:adjustRightInd w:val="0"/>
        <w:rPr>
          <w:b/>
          <w:color w:val="auto"/>
        </w:rPr>
      </w:pPr>
      <w:r w:rsidRPr="004113D9">
        <w:rPr>
          <w:b/>
          <w:color w:val="auto"/>
        </w:rPr>
        <w:t>Creditor payment, policy and performance</w:t>
      </w:r>
    </w:p>
    <w:p w14:paraId="649F7071" w14:textId="77777777" w:rsidR="000C2A54" w:rsidRPr="004113D9" w:rsidRDefault="000C2A54" w:rsidP="000C2A54">
      <w:pPr>
        <w:widowControl w:val="0"/>
        <w:autoSpaceDE w:val="0"/>
        <w:autoSpaceDN w:val="0"/>
        <w:adjustRightInd w:val="0"/>
        <w:rPr>
          <w:color w:val="auto"/>
        </w:rPr>
      </w:pPr>
    </w:p>
    <w:p w14:paraId="53A98746" w14:textId="77777777" w:rsidR="000C2A54" w:rsidRDefault="000C2A54" w:rsidP="000C2A54">
      <w:pPr>
        <w:pStyle w:val="Default"/>
        <w:rPr>
          <w:rFonts w:ascii="Verdana" w:hAnsi="Verdana"/>
          <w:color w:val="auto"/>
        </w:rPr>
      </w:pPr>
      <w:r w:rsidRPr="004113D9">
        <w:rPr>
          <w:rFonts w:ascii="Verdana" w:hAnsi="Verdana"/>
          <w:color w:val="auto"/>
        </w:rPr>
        <w:t xml:space="preserve">Monthly statistics submitted to the Northern Ireland Office highlight that the Commission has paid </w:t>
      </w:r>
      <w:r w:rsidR="008F677F">
        <w:rPr>
          <w:rFonts w:ascii="Verdana" w:hAnsi="Verdana"/>
          <w:color w:val="auto"/>
        </w:rPr>
        <w:t xml:space="preserve">99.8 </w:t>
      </w:r>
      <w:r w:rsidRPr="004113D9">
        <w:rPr>
          <w:rFonts w:ascii="Verdana" w:hAnsi="Verdana"/>
          <w:color w:val="auto"/>
        </w:rPr>
        <w:t>per cent of all undisputed invoices within five working days against the Government target of paying 80 per cent of such invoic</w:t>
      </w:r>
      <w:r w:rsidR="00C52307">
        <w:rPr>
          <w:rFonts w:ascii="Verdana" w:hAnsi="Verdana"/>
          <w:color w:val="auto"/>
        </w:rPr>
        <w:t>es within this time period (2020</w:t>
      </w:r>
      <w:r w:rsidR="00227D02">
        <w:rPr>
          <w:rFonts w:ascii="Verdana" w:hAnsi="Verdana"/>
          <w:color w:val="auto"/>
        </w:rPr>
        <w:t>-21</w:t>
      </w:r>
      <w:r w:rsidRPr="004113D9">
        <w:rPr>
          <w:rFonts w:ascii="Verdana" w:hAnsi="Verdana"/>
          <w:color w:val="auto"/>
        </w:rPr>
        <w:t xml:space="preserve">: </w:t>
      </w:r>
      <w:r w:rsidR="00C52307">
        <w:rPr>
          <w:rFonts w:ascii="Verdana" w:hAnsi="Verdana"/>
          <w:color w:val="auto"/>
        </w:rPr>
        <w:t>100</w:t>
      </w:r>
      <w:r w:rsidRPr="004113D9">
        <w:rPr>
          <w:rFonts w:ascii="Verdana" w:hAnsi="Verdana"/>
          <w:color w:val="auto"/>
        </w:rPr>
        <w:t xml:space="preserve"> per cent).</w:t>
      </w:r>
      <w:r w:rsidRPr="009B4441">
        <w:rPr>
          <w:rFonts w:ascii="Verdana" w:hAnsi="Verdana"/>
          <w:color w:val="auto"/>
        </w:rPr>
        <w:t xml:space="preserve"> </w:t>
      </w:r>
    </w:p>
    <w:p w14:paraId="29B77BAC" w14:textId="77777777" w:rsidR="000C2A54" w:rsidRPr="009B4441" w:rsidRDefault="000C2A54" w:rsidP="000C2A54">
      <w:pPr>
        <w:pStyle w:val="Default"/>
        <w:rPr>
          <w:rFonts w:ascii="Verdana" w:hAnsi="Verdana"/>
          <w:color w:val="auto"/>
          <w:lang w:eastAsia="en-GB"/>
        </w:rPr>
      </w:pPr>
    </w:p>
    <w:p w14:paraId="7F1036E5" w14:textId="77777777" w:rsidR="000C2A54" w:rsidRPr="00467207" w:rsidRDefault="000C2A54" w:rsidP="000C2A54">
      <w:pPr>
        <w:autoSpaceDE w:val="0"/>
        <w:autoSpaceDN w:val="0"/>
        <w:adjustRightInd w:val="0"/>
        <w:rPr>
          <w:rFonts w:cs="Univers-Bold"/>
          <w:b/>
          <w:bCs/>
          <w:color w:val="auto"/>
          <w:lang w:val="en-US"/>
        </w:rPr>
      </w:pPr>
      <w:r w:rsidRPr="00467207">
        <w:rPr>
          <w:rFonts w:cs="Univers-Bold"/>
          <w:b/>
          <w:bCs/>
          <w:color w:val="auto"/>
          <w:lang w:val="en-US"/>
        </w:rPr>
        <w:t>Days lost due to absence</w:t>
      </w:r>
    </w:p>
    <w:p w14:paraId="2C16DEFC" w14:textId="77777777" w:rsidR="000C2A54" w:rsidRPr="00467207" w:rsidRDefault="000C2A54" w:rsidP="000C2A54">
      <w:pPr>
        <w:autoSpaceDE w:val="0"/>
        <w:autoSpaceDN w:val="0"/>
        <w:adjustRightInd w:val="0"/>
        <w:rPr>
          <w:rFonts w:cs="Univers"/>
          <w:color w:val="auto"/>
          <w:lang w:val="en-US"/>
        </w:rPr>
      </w:pPr>
    </w:p>
    <w:p w14:paraId="047543B1" w14:textId="0CD63763" w:rsidR="000C2A54" w:rsidRPr="00467207" w:rsidRDefault="000C2A54" w:rsidP="000C2A54">
      <w:pPr>
        <w:autoSpaceDE w:val="0"/>
        <w:autoSpaceDN w:val="0"/>
        <w:adjustRightInd w:val="0"/>
        <w:rPr>
          <w:rFonts w:cs="Univers"/>
          <w:color w:val="auto"/>
          <w:lang w:val="en-US"/>
        </w:rPr>
      </w:pPr>
      <w:r w:rsidRPr="00467207">
        <w:rPr>
          <w:rFonts w:cs="Univers"/>
          <w:color w:val="auto"/>
          <w:lang w:val="en-US"/>
        </w:rPr>
        <w:t>The Commission encourages a culture where good attendance is expected and valued</w:t>
      </w:r>
      <w:r w:rsidR="00FF1FA8" w:rsidRPr="00467207">
        <w:rPr>
          <w:rFonts w:cs="Univers"/>
          <w:color w:val="auto"/>
          <w:lang w:val="en-US"/>
        </w:rPr>
        <w:t xml:space="preserve">. </w:t>
      </w:r>
      <w:r w:rsidRPr="00467207">
        <w:rPr>
          <w:rFonts w:cs="Univers"/>
          <w:color w:val="auto"/>
          <w:lang w:val="en-US"/>
        </w:rPr>
        <w:t>However, we</w:t>
      </w:r>
      <w:r w:rsidRPr="00467207">
        <w:rPr>
          <w:rFonts w:cs="Univers"/>
          <w:color w:val="auto"/>
        </w:rPr>
        <w:t xml:space="preserve"> recognise</w:t>
      </w:r>
      <w:r w:rsidRPr="00467207">
        <w:rPr>
          <w:rFonts w:cs="Univers"/>
          <w:color w:val="auto"/>
          <w:lang w:val="en-US"/>
        </w:rPr>
        <w:t xml:space="preserve"> that from time to time absences for medical reasons may be unavoidable</w:t>
      </w:r>
      <w:r w:rsidR="00FF1FA8" w:rsidRPr="00467207">
        <w:rPr>
          <w:rFonts w:cs="Univers"/>
          <w:color w:val="auto"/>
          <w:lang w:val="en-US"/>
        </w:rPr>
        <w:t xml:space="preserve">. </w:t>
      </w:r>
      <w:r w:rsidRPr="00467207">
        <w:rPr>
          <w:rFonts w:cs="Univers"/>
          <w:color w:val="auto"/>
          <w:lang w:val="en-US"/>
        </w:rPr>
        <w:t xml:space="preserve">We aim to treat staff who are ill with sympathy and fairness and where possible provide them with </w:t>
      </w:r>
      <w:r w:rsidR="00B12D00" w:rsidRPr="00467207">
        <w:rPr>
          <w:rFonts w:cs="Univers"/>
          <w:color w:val="auto"/>
          <w:lang w:val="en-US"/>
        </w:rPr>
        <w:t>support, which</w:t>
      </w:r>
      <w:r w:rsidRPr="00467207">
        <w:rPr>
          <w:rFonts w:cs="Univers"/>
          <w:color w:val="auto"/>
          <w:lang w:val="en-US"/>
        </w:rPr>
        <w:t xml:space="preserve"> will enable them to recover their health and attend work regularly</w:t>
      </w:r>
      <w:r w:rsidR="00FF1FA8" w:rsidRPr="00467207">
        <w:rPr>
          <w:rFonts w:cs="Univers"/>
          <w:color w:val="auto"/>
          <w:lang w:val="en-US"/>
        </w:rPr>
        <w:t xml:space="preserve">. </w:t>
      </w:r>
    </w:p>
    <w:p w14:paraId="21B27E1F" w14:textId="77777777" w:rsidR="000C2A54" w:rsidRPr="00467207" w:rsidRDefault="000C2A54" w:rsidP="000C2A54">
      <w:pPr>
        <w:autoSpaceDE w:val="0"/>
        <w:autoSpaceDN w:val="0"/>
        <w:adjustRightInd w:val="0"/>
        <w:rPr>
          <w:rFonts w:cs="Univers"/>
          <w:color w:val="auto"/>
          <w:highlight w:val="yellow"/>
          <w:lang w:val="en-US"/>
        </w:rPr>
      </w:pPr>
    </w:p>
    <w:p w14:paraId="579D342A" w14:textId="3AB91766" w:rsidR="00467207" w:rsidRDefault="00467207" w:rsidP="62F844E5">
      <w:pPr>
        <w:widowControl w:val="0"/>
        <w:tabs>
          <w:tab w:val="right" w:pos="7371"/>
          <w:tab w:val="right" w:pos="9356"/>
        </w:tabs>
        <w:autoSpaceDE w:val="0"/>
        <w:autoSpaceDN w:val="0"/>
        <w:adjustRightInd w:val="0"/>
        <w:rPr>
          <w:strike/>
        </w:rPr>
      </w:pPr>
      <w:r>
        <w:t xml:space="preserve">Staff absence arising as a result of illness, including injuries, disability or other health </w:t>
      </w:r>
      <w:r w:rsidR="00227D02">
        <w:t>problems, was approximately 1.3</w:t>
      </w:r>
      <w:r>
        <w:t xml:space="preserve"> day</w:t>
      </w:r>
      <w:r w:rsidR="00227D02">
        <w:t>s per employee in 20</w:t>
      </w:r>
      <w:r w:rsidR="00C52307">
        <w:t>21</w:t>
      </w:r>
      <w:r w:rsidR="00227D02">
        <w:t>-22</w:t>
      </w:r>
      <w:r w:rsidR="00C52307">
        <w:t xml:space="preserve"> (20</w:t>
      </w:r>
      <w:r w:rsidR="00227D02">
        <w:t>20-21: 2.4</w:t>
      </w:r>
      <w:r>
        <w:t xml:space="preserve"> days).  </w:t>
      </w:r>
      <w:r w:rsidR="00C52307">
        <w:t xml:space="preserve">The significant decrease in the number of days sick per employee is due to the fact that there </w:t>
      </w:r>
      <w:r w:rsidR="005965F7">
        <w:t xml:space="preserve">continued to be </w:t>
      </w:r>
      <w:r w:rsidR="00C52307">
        <w:t xml:space="preserve">no </w:t>
      </w:r>
      <w:r w:rsidR="007370B2">
        <w:t>long-term</w:t>
      </w:r>
      <w:r w:rsidR="005965F7">
        <w:t xml:space="preserve"> sick absence in 2021-22</w:t>
      </w:r>
      <w:r w:rsidR="00C52307">
        <w:t xml:space="preserve">. </w:t>
      </w:r>
      <w:r w:rsidR="32861F3D">
        <w:t>The size of the Commission means that small changes in absence can appear to have a dispropo</w:t>
      </w:r>
      <w:r w:rsidR="2AE788E6">
        <w:t>r</w:t>
      </w:r>
      <w:r w:rsidR="32861F3D">
        <w:t>ti</w:t>
      </w:r>
      <w:r w:rsidR="4890DF49">
        <w:t>o</w:t>
      </w:r>
      <w:r w:rsidR="32861F3D">
        <w:t>nate impact</w:t>
      </w:r>
      <w:r w:rsidR="6233FA3B">
        <w:t xml:space="preserve"> on reporting statistics</w:t>
      </w:r>
      <w:r w:rsidR="229AC436">
        <w:t>.</w:t>
      </w:r>
    </w:p>
    <w:p w14:paraId="44E72558" w14:textId="77777777" w:rsidR="00467207" w:rsidRDefault="00467207" w:rsidP="00467207">
      <w:pPr>
        <w:widowControl w:val="0"/>
        <w:tabs>
          <w:tab w:val="right" w:pos="7371"/>
          <w:tab w:val="right" w:pos="9356"/>
        </w:tabs>
        <w:autoSpaceDE w:val="0"/>
        <w:autoSpaceDN w:val="0"/>
        <w:adjustRightInd w:val="0"/>
      </w:pPr>
    </w:p>
    <w:p w14:paraId="729084FF" w14:textId="77777777" w:rsidR="001E24FD" w:rsidRDefault="00DD7949" w:rsidP="00DD7949">
      <w:pPr>
        <w:rPr>
          <w:noProof/>
          <w:lang w:eastAsia="en-GB"/>
        </w:rPr>
      </w:pPr>
      <w:r>
        <w:rPr>
          <w:noProof/>
          <w:lang w:eastAsia="en-GB"/>
        </w:rPr>
        <w:drawing>
          <wp:inline distT="0" distB="0" distL="0" distR="0" wp14:anchorId="4E0A9839" wp14:editId="077EAADC">
            <wp:extent cx="2057399" cy="1182188"/>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2057399" cy="1182188"/>
                    </a:xfrm>
                    <a:prstGeom prst="rect">
                      <a:avLst/>
                    </a:prstGeom>
                  </pic:spPr>
                </pic:pic>
              </a:graphicData>
            </a:graphic>
          </wp:inline>
        </w:drawing>
      </w:r>
    </w:p>
    <w:p w14:paraId="2D4B1749" w14:textId="77777777" w:rsidR="00033356" w:rsidRPr="00D80497" w:rsidRDefault="00033356" w:rsidP="00033356">
      <w:pPr>
        <w:widowControl w:val="0"/>
        <w:autoSpaceDE w:val="0"/>
        <w:autoSpaceDN w:val="0"/>
        <w:adjustRightInd w:val="0"/>
        <w:rPr>
          <w:b/>
        </w:rPr>
      </w:pPr>
      <w:r>
        <w:rPr>
          <w:b/>
        </w:rPr>
        <w:t>Dr David Russell</w:t>
      </w:r>
    </w:p>
    <w:p w14:paraId="34C90DAF" w14:textId="77777777" w:rsidR="00033356" w:rsidRPr="00D80497" w:rsidRDefault="00033356" w:rsidP="00033356">
      <w:pPr>
        <w:widowControl w:val="0"/>
        <w:autoSpaceDE w:val="0"/>
        <w:autoSpaceDN w:val="0"/>
        <w:adjustRightInd w:val="0"/>
        <w:rPr>
          <w:b/>
        </w:rPr>
      </w:pPr>
      <w:r w:rsidRPr="00D80497">
        <w:rPr>
          <w:b/>
        </w:rPr>
        <w:t>Accounting Officer</w:t>
      </w:r>
    </w:p>
    <w:p w14:paraId="201EB4F7" w14:textId="77777777" w:rsidR="00033356" w:rsidRPr="00D80497" w:rsidRDefault="00033356" w:rsidP="00033356">
      <w:pPr>
        <w:widowControl w:val="0"/>
        <w:tabs>
          <w:tab w:val="left" w:pos="2802"/>
        </w:tabs>
        <w:autoSpaceDE w:val="0"/>
        <w:autoSpaceDN w:val="0"/>
        <w:adjustRightInd w:val="0"/>
      </w:pPr>
    </w:p>
    <w:p w14:paraId="551118A8" w14:textId="2C2DE1A6" w:rsidR="00033356" w:rsidRDefault="00033356" w:rsidP="00033356">
      <w:pPr>
        <w:widowControl w:val="0"/>
        <w:tabs>
          <w:tab w:val="left" w:pos="851"/>
        </w:tabs>
        <w:autoSpaceDE w:val="0"/>
        <w:autoSpaceDN w:val="0"/>
        <w:adjustRightInd w:val="0"/>
        <w:rPr>
          <w:b/>
        </w:rPr>
      </w:pPr>
      <w:r w:rsidRPr="00D80497">
        <w:rPr>
          <w:b/>
        </w:rPr>
        <w:t xml:space="preserve">Date: </w:t>
      </w:r>
      <w:r w:rsidR="0049664F">
        <w:rPr>
          <w:b/>
        </w:rPr>
        <w:t>10 October</w:t>
      </w:r>
      <w:r w:rsidR="00CD2ACA">
        <w:rPr>
          <w:b/>
        </w:rPr>
        <w:t xml:space="preserve"> </w:t>
      </w:r>
      <w:r w:rsidR="00953497">
        <w:rPr>
          <w:b/>
        </w:rPr>
        <w:t>2022</w:t>
      </w:r>
      <w:r w:rsidR="008F677F">
        <w:rPr>
          <w:b/>
        </w:rPr>
        <w:t xml:space="preserve"> </w:t>
      </w:r>
    </w:p>
    <w:p w14:paraId="0BEBD654" w14:textId="77777777" w:rsidR="008F677F" w:rsidRDefault="008F677F" w:rsidP="00033356">
      <w:pPr>
        <w:widowControl w:val="0"/>
        <w:tabs>
          <w:tab w:val="left" w:pos="851"/>
        </w:tabs>
        <w:autoSpaceDE w:val="0"/>
        <w:autoSpaceDN w:val="0"/>
        <w:adjustRightInd w:val="0"/>
        <w:rPr>
          <w:b/>
        </w:rPr>
      </w:pPr>
    </w:p>
    <w:p w14:paraId="7189FA34" w14:textId="77777777" w:rsidR="008F677F" w:rsidRDefault="008F677F" w:rsidP="00033356">
      <w:pPr>
        <w:widowControl w:val="0"/>
        <w:tabs>
          <w:tab w:val="left" w:pos="851"/>
        </w:tabs>
        <w:autoSpaceDE w:val="0"/>
        <w:autoSpaceDN w:val="0"/>
        <w:adjustRightInd w:val="0"/>
        <w:rPr>
          <w:b/>
        </w:rPr>
      </w:pPr>
    </w:p>
    <w:p w14:paraId="555084BE" w14:textId="77777777" w:rsidR="00F27F88" w:rsidRDefault="00F27F88">
      <w:pPr>
        <w:rPr>
          <w:b/>
        </w:rPr>
      </w:pPr>
      <w:bookmarkStart w:id="9" w:name="StatementofAccountingOfficer"/>
      <w:r>
        <w:rPr>
          <w:b/>
        </w:rPr>
        <w:br w:type="page"/>
      </w:r>
    </w:p>
    <w:p w14:paraId="0D013D93" w14:textId="77777777" w:rsidR="000C2A54" w:rsidRPr="008D428E" w:rsidRDefault="000C2A54" w:rsidP="000C2A54">
      <w:pPr>
        <w:rPr>
          <w:b/>
        </w:rPr>
      </w:pPr>
      <w:r w:rsidRPr="003F7E43">
        <w:rPr>
          <w:b/>
        </w:rPr>
        <w:t>Statement of Accounting Officer’s Responsibilities</w:t>
      </w:r>
    </w:p>
    <w:bookmarkEnd w:id="9"/>
    <w:p w14:paraId="03A3EDFF" w14:textId="77777777" w:rsidR="000C2A54" w:rsidRPr="003F7E43" w:rsidRDefault="000C2A54" w:rsidP="000C2A54">
      <w:pPr>
        <w:jc w:val="center"/>
      </w:pPr>
    </w:p>
    <w:p w14:paraId="42EE0EF4" w14:textId="77777777" w:rsidR="000C2A54" w:rsidRPr="003F7E43" w:rsidRDefault="000C2A54" w:rsidP="000C2A54">
      <w:pPr>
        <w:rPr>
          <w:rFonts w:cs="Arial"/>
        </w:rPr>
      </w:pPr>
      <w:r w:rsidRPr="003F7E43">
        <w:t>Under Section 7(2)(a) of Schedule 7 to the Northern Ireland Act 1998</w:t>
      </w:r>
      <w:r w:rsidRPr="003F7E43">
        <w:rPr>
          <w:rFonts w:cs="Arial"/>
        </w:rPr>
        <w:t xml:space="preserve">, the Secretary of State for Northern Ireland (with the consent of HM Treasury) has directed the Northern Ireland Human Rights Commission to prepare for each financial year a statement of accounts in the form and on the basis set out in the Accounts Direction.  The accounts are prepared on an accruals basis and must give a true and fair view of the Northern Ireland Human Rights Commission’s state of affairs at the </w:t>
      </w:r>
      <w:r w:rsidR="00B12D00" w:rsidRPr="003F7E43">
        <w:rPr>
          <w:rFonts w:cs="Arial"/>
        </w:rPr>
        <w:t>year-end</w:t>
      </w:r>
      <w:r w:rsidRPr="003F7E43">
        <w:rPr>
          <w:rFonts w:cs="Arial"/>
        </w:rPr>
        <w:t xml:space="preserve"> and of its income and expenditure, changes in Taxpayers’ Equity, and cash flows for the financial year.</w:t>
      </w:r>
      <w:r w:rsidRPr="003F7E43">
        <w:t xml:space="preserve"> </w:t>
      </w:r>
    </w:p>
    <w:p w14:paraId="41C06CC6" w14:textId="77777777" w:rsidR="000C2A54" w:rsidRPr="003F7E43" w:rsidRDefault="000C2A54" w:rsidP="000C2A54">
      <w:pPr>
        <w:rPr>
          <w:rFonts w:cs="Arial"/>
          <w:lang w:val="en-US"/>
        </w:rPr>
      </w:pPr>
    </w:p>
    <w:p w14:paraId="0E19C25F" w14:textId="77777777" w:rsidR="000C2A54" w:rsidRPr="003F7E43" w:rsidRDefault="000C2A54" w:rsidP="000C2A54">
      <w:pPr>
        <w:rPr>
          <w:rFonts w:cs="Arial"/>
        </w:rPr>
      </w:pPr>
      <w:r w:rsidRPr="003F7E43">
        <w:rPr>
          <w:rFonts w:cs="Arial"/>
        </w:rPr>
        <w:t>In preparing the accounts, the Accounting Officer is required to comply with the requirements of the HM Treasury’s</w:t>
      </w:r>
      <w:r w:rsidRPr="003F7E43">
        <w:rPr>
          <w:rFonts w:cs="Arial"/>
          <w:i/>
        </w:rPr>
        <w:t xml:space="preserve"> Financial Reporting Manual</w:t>
      </w:r>
      <w:r w:rsidRPr="003F7E43">
        <w:rPr>
          <w:rFonts w:cs="Arial"/>
          <w:iCs/>
        </w:rPr>
        <w:t xml:space="preserve"> </w:t>
      </w:r>
      <w:r w:rsidRPr="003F7E43">
        <w:rPr>
          <w:rFonts w:cs="Arial"/>
        </w:rPr>
        <w:t xml:space="preserve">and, in particular, to: </w:t>
      </w:r>
    </w:p>
    <w:p w14:paraId="0D427335" w14:textId="77777777" w:rsidR="000C2A54" w:rsidRPr="003F7E43" w:rsidRDefault="000C2A54" w:rsidP="000C2A54">
      <w:pPr>
        <w:rPr>
          <w:rFonts w:cs="Arial"/>
        </w:rPr>
      </w:pPr>
    </w:p>
    <w:p w14:paraId="494A70AD" w14:textId="77777777" w:rsidR="00043C18" w:rsidRDefault="00043C18" w:rsidP="000C2A54">
      <w:pPr>
        <w:numPr>
          <w:ilvl w:val="0"/>
          <w:numId w:val="2"/>
        </w:numPr>
        <w:rPr>
          <w:rFonts w:cs="Arial"/>
        </w:rPr>
      </w:pPr>
      <w:r>
        <w:rPr>
          <w:rFonts w:cs="Arial"/>
        </w:rPr>
        <w:t>confirm that the annual report and accounts as a whole are fair, balanced and understandable and that he takes personal responsibility for the annual report and accounts and the judgements required for determin</w:t>
      </w:r>
      <w:r w:rsidR="00BA4EC9">
        <w:rPr>
          <w:rFonts w:cs="Arial"/>
        </w:rPr>
        <w:t>ing that they are fair, balanced</w:t>
      </w:r>
      <w:r>
        <w:rPr>
          <w:rFonts w:cs="Arial"/>
        </w:rPr>
        <w:t xml:space="preserve"> and understandable;</w:t>
      </w:r>
    </w:p>
    <w:p w14:paraId="47D16E12" w14:textId="77777777" w:rsidR="00043C18" w:rsidRDefault="00043C18" w:rsidP="00043C18">
      <w:pPr>
        <w:ind w:left="567"/>
        <w:rPr>
          <w:rFonts w:cs="Arial"/>
        </w:rPr>
      </w:pPr>
    </w:p>
    <w:p w14:paraId="48787E7B" w14:textId="77777777" w:rsidR="000C2A54" w:rsidRPr="003F7E43" w:rsidRDefault="000C2A54" w:rsidP="000C2A54">
      <w:pPr>
        <w:numPr>
          <w:ilvl w:val="0"/>
          <w:numId w:val="2"/>
        </w:numPr>
        <w:rPr>
          <w:rFonts w:cs="Arial"/>
        </w:rPr>
      </w:pPr>
      <w:r w:rsidRPr="003F7E43">
        <w:rPr>
          <w:rFonts w:cs="Arial"/>
        </w:rPr>
        <w:t>observe the Accounts Direction issued by the Secretary of State for Northern Ireland, including the relevant accounting and disclosure requirements, and apply suitable accounting policies on a consistent basis</w:t>
      </w:r>
      <w:r w:rsidR="00BA4EC9">
        <w:rPr>
          <w:rFonts w:cs="Arial"/>
        </w:rPr>
        <w:t>;</w:t>
      </w:r>
    </w:p>
    <w:p w14:paraId="51991BA2" w14:textId="77777777" w:rsidR="000C2A54" w:rsidRPr="003F7E43" w:rsidRDefault="000C2A54" w:rsidP="000C2A54">
      <w:pPr>
        <w:rPr>
          <w:rFonts w:cs="Arial"/>
        </w:rPr>
      </w:pPr>
    </w:p>
    <w:p w14:paraId="79C605B7" w14:textId="77777777" w:rsidR="000C2A54" w:rsidRPr="003F7E43" w:rsidRDefault="000C2A54" w:rsidP="000C2A54">
      <w:pPr>
        <w:numPr>
          <w:ilvl w:val="0"/>
          <w:numId w:val="2"/>
        </w:numPr>
        <w:rPr>
          <w:rFonts w:cs="Arial"/>
        </w:rPr>
      </w:pPr>
      <w:r w:rsidRPr="003F7E43">
        <w:rPr>
          <w:rFonts w:cs="Arial"/>
        </w:rPr>
        <w:t>make judgements and estimates on a reasonable basis</w:t>
      </w:r>
      <w:r w:rsidR="00BA4EC9">
        <w:rPr>
          <w:rFonts w:cs="Arial"/>
        </w:rPr>
        <w:t>;</w:t>
      </w:r>
    </w:p>
    <w:p w14:paraId="3CD644F4" w14:textId="77777777" w:rsidR="000C2A54" w:rsidRPr="003F7E43" w:rsidRDefault="000C2A54" w:rsidP="000C2A54">
      <w:pPr>
        <w:rPr>
          <w:rFonts w:cs="Arial"/>
        </w:rPr>
      </w:pPr>
    </w:p>
    <w:p w14:paraId="032007B5" w14:textId="77777777" w:rsidR="000C2A54" w:rsidRPr="003F7E43" w:rsidRDefault="000C2A54" w:rsidP="000C2A54">
      <w:pPr>
        <w:numPr>
          <w:ilvl w:val="0"/>
          <w:numId w:val="2"/>
        </w:numPr>
        <w:rPr>
          <w:rFonts w:cs="Arial"/>
        </w:rPr>
      </w:pPr>
      <w:r w:rsidRPr="003F7E43">
        <w:rPr>
          <w:rFonts w:cs="Arial"/>
        </w:rPr>
        <w:t>state whether applicable accounting standards as set out in the HM Treasury’s Financial Reporting Manual</w:t>
      </w:r>
      <w:r w:rsidRPr="003F7E43">
        <w:rPr>
          <w:rFonts w:cs="Arial"/>
          <w:iCs/>
        </w:rPr>
        <w:t xml:space="preserve"> </w:t>
      </w:r>
      <w:r w:rsidRPr="003F7E43">
        <w:rPr>
          <w:rFonts w:cs="Arial"/>
        </w:rPr>
        <w:t>have been followed, and disclose and explain any material departures in the financial statements, and</w:t>
      </w:r>
      <w:r w:rsidR="00BA4EC9">
        <w:rPr>
          <w:rFonts w:cs="Arial"/>
        </w:rPr>
        <w:t>;</w:t>
      </w:r>
      <w:r w:rsidRPr="003F7E43">
        <w:rPr>
          <w:rFonts w:cs="Arial"/>
        </w:rPr>
        <w:t xml:space="preserve"> </w:t>
      </w:r>
    </w:p>
    <w:p w14:paraId="7ED44DAB" w14:textId="77777777" w:rsidR="000C2A54" w:rsidRPr="003F7E43" w:rsidRDefault="000C2A54" w:rsidP="000C2A54">
      <w:pPr>
        <w:rPr>
          <w:rFonts w:cs="Arial"/>
        </w:rPr>
      </w:pPr>
    </w:p>
    <w:p w14:paraId="31B48BB1" w14:textId="77777777" w:rsidR="000C2A54" w:rsidRPr="003F7E43" w:rsidRDefault="000C2A54" w:rsidP="000C2A54">
      <w:pPr>
        <w:numPr>
          <w:ilvl w:val="0"/>
          <w:numId w:val="2"/>
        </w:numPr>
        <w:rPr>
          <w:rFonts w:cs="Arial"/>
        </w:rPr>
      </w:pPr>
      <w:r w:rsidRPr="003F7E43">
        <w:rPr>
          <w:rFonts w:cs="Arial"/>
        </w:rPr>
        <w:t xml:space="preserve">prepare the financial statements on a going concern basis. </w:t>
      </w:r>
    </w:p>
    <w:p w14:paraId="765FC55D" w14:textId="77777777" w:rsidR="000C2A54" w:rsidRPr="003F7E43" w:rsidRDefault="000C2A54" w:rsidP="000C2A54">
      <w:pPr>
        <w:rPr>
          <w:rFonts w:cs="Arial"/>
          <w:lang w:val="en-US"/>
        </w:rPr>
      </w:pPr>
    </w:p>
    <w:p w14:paraId="5323663D" w14:textId="77777777" w:rsidR="00DB5737" w:rsidRDefault="000C2A54" w:rsidP="000C2A54">
      <w:pPr>
        <w:autoSpaceDE w:val="0"/>
        <w:autoSpaceDN w:val="0"/>
        <w:adjustRightInd w:val="0"/>
        <w:rPr>
          <w:rFonts w:cs="Arial"/>
        </w:rPr>
      </w:pPr>
      <w:r w:rsidRPr="003F7E43">
        <w:rPr>
          <w:rFonts w:cs="Arial"/>
        </w:rPr>
        <w:t xml:space="preserve">The Accounting Officer of the Northern Ireland Office has designated the </w:t>
      </w:r>
      <w:r w:rsidR="009F0840">
        <w:rPr>
          <w:rFonts w:cs="Arial"/>
        </w:rPr>
        <w:t>Chief Executive</w:t>
      </w:r>
      <w:r w:rsidRPr="003F7E43">
        <w:rPr>
          <w:rFonts w:cs="Arial"/>
        </w:rPr>
        <w:t xml:space="preserve"> as Accounting Officer of the Northern Ireland Human Rights Commission.</w:t>
      </w:r>
      <w:r w:rsidR="00DB5737">
        <w:rPr>
          <w:rFonts w:cs="Arial"/>
        </w:rPr>
        <w:t xml:space="preserve"> The Accounting Officer is responsible for ensuring that, as far as he is aware, there is no relevant audit information of which the entity’s auditors are unaware. The Accounting Officer is required to take all steps to ensure he is aware of any relevant audit information and to establish that the entity’s auditors are aware of that information.</w:t>
      </w:r>
      <w:r w:rsidRPr="003F7E43">
        <w:rPr>
          <w:rFonts w:cs="Arial"/>
        </w:rPr>
        <w:t xml:space="preserve">  </w:t>
      </w:r>
    </w:p>
    <w:p w14:paraId="101609E8" w14:textId="77777777" w:rsidR="00DB5737" w:rsidRDefault="00DB5737" w:rsidP="000C2A54">
      <w:pPr>
        <w:autoSpaceDE w:val="0"/>
        <w:autoSpaceDN w:val="0"/>
        <w:adjustRightInd w:val="0"/>
        <w:rPr>
          <w:rFonts w:cs="Arial"/>
        </w:rPr>
      </w:pPr>
    </w:p>
    <w:p w14:paraId="224C63F0" w14:textId="7397EF65" w:rsidR="00CA0E4C" w:rsidRDefault="000C2A54" w:rsidP="000C2A54">
      <w:pPr>
        <w:autoSpaceDE w:val="0"/>
        <w:autoSpaceDN w:val="0"/>
        <w:adjustRightInd w:val="0"/>
        <w:rPr>
          <w:rFonts w:eastAsia="Univers-Light" w:cs="Univers-Light"/>
          <w:color w:val="auto"/>
          <w:lang w:val="en-US"/>
        </w:rPr>
      </w:pPr>
      <w:r w:rsidRPr="003F7E43">
        <w:rPr>
          <w:rFonts w:eastAsia="Univers-Light" w:cs="Univers-Light"/>
          <w:color w:val="auto"/>
          <w:lang w:val="en-US"/>
        </w:rPr>
        <w:t xml:space="preserve">The responsibilities of an Accounting Officer, including responsibility for the propriety and regularity of the public finances for which the Accounting Officer is answerable, for keeping proper records and for safeguarding </w:t>
      </w:r>
      <w:r w:rsidRPr="003F7E43">
        <w:rPr>
          <w:rFonts w:cs="Arial"/>
        </w:rPr>
        <w:t>the Northern Ireland Human Rights Commission’s</w:t>
      </w:r>
      <w:r w:rsidRPr="003F7E43">
        <w:rPr>
          <w:rFonts w:eastAsia="Univers-Light" w:cs="Univers-Light"/>
          <w:color w:val="auto"/>
          <w:lang w:val="en-US"/>
        </w:rPr>
        <w:t xml:space="preserve"> assets, are set out in </w:t>
      </w:r>
      <w:r w:rsidRPr="003F7E43">
        <w:rPr>
          <w:rFonts w:eastAsia="Univers-Light" w:cs="Univers-Light"/>
          <w:i/>
          <w:color w:val="auto"/>
          <w:lang w:val="en-US"/>
        </w:rPr>
        <w:t>Managing Public Money</w:t>
      </w:r>
      <w:r w:rsidRPr="003F7E43">
        <w:rPr>
          <w:rFonts w:eastAsia="Univers-Light" w:cs="Univers-Light"/>
          <w:color w:val="auto"/>
          <w:lang w:val="en-US"/>
        </w:rPr>
        <w:t>, published by HM Treasury.</w:t>
      </w:r>
    </w:p>
    <w:p w14:paraId="67A2B1EC" w14:textId="77777777" w:rsidR="00A96FDE" w:rsidRPr="003F7E43" w:rsidRDefault="00A96FDE" w:rsidP="00A96FDE">
      <w:pPr>
        <w:autoSpaceDE w:val="0"/>
        <w:autoSpaceDN w:val="0"/>
        <w:adjustRightInd w:val="0"/>
        <w:rPr>
          <w:rFonts w:cs="Univers-Bold"/>
          <w:b/>
          <w:bCs/>
          <w:color w:val="auto"/>
          <w:lang w:val="en-US"/>
        </w:rPr>
      </w:pPr>
      <w:r w:rsidRPr="003F7E43">
        <w:rPr>
          <w:rFonts w:cs="Univers-Bold"/>
          <w:b/>
          <w:bCs/>
          <w:color w:val="auto"/>
          <w:lang w:val="en-US"/>
        </w:rPr>
        <w:t>Disclosure of audit information</w:t>
      </w:r>
    </w:p>
    <w:p w14:paraId="67908C5D" w14:textId="77777777" w:rsidR="00A96FDE" w:rsidRPr="003F7E43" w:rsidRDefault="00A96FDE" w:rsidP="00A96FDE">
      <w:pPr>
        <w:autoSpaceDE w:val="0"/>
        <w:autoSpaceDN w:val="0"/>
        <w:adjustRightInd w:val="0"/>
        <w:rPr>
          <w:rFonts w:cs="Univers"/>
          <w:color w:val="auto"/>
          <w:lang w:val="en-US"/>
        </w:rPr>
      </w:pPr>
    </w:p>
    <w:p w14:paraId="2F65BFA0" w14:textId="77777777" w:rsidR="00A96FDE" w:rsidRPr="003F7E43" w:rsidRDefault="00A96FDE" w:rsidP="00A96FDE">
      <w:pPr>
        <w:widowControl w:val="0"/>
        <w:autoSpaceDE w:val="0"/>
        <w:autoSpaceDN w:val="0"/>
        <w:adjustRightInd w:val="0"/>
        <w:rPr>
          <w:rFonts w:cs="Arial"/>
        </w:rPr>
      </w:pPr>
      <w:r w:rsidRPr="003F7E43">
        <w:rPr>
          <w:color w:val="auto"/>
        </w:rPr>
        <w:t xml:space="preserve">As Accounting Officer, I confirm that I have taken all steps to ensure that I am aware of any relevant audit information and to ensure the Commission’s auditors are aware of that information.  As far as I am aware, there is no relevant information of which the Commission’s auditors are unaware.  The </w:t>
      </w:r>
      <w:r w:rsidRPr="003F7E43">
        <w:rPr>
          <w:rFonts w:cs="Arial"/>
        </w:rPr>
        <w:t>auditor has not received any remuneration for non-audit work.</w:t>
      </w:r>
    </w:p>
    <w:p w14:paraId="6D752FEB" w14:textId="77777777" w:rsidR="00A96FDE" w:rsidRPr="003F7E43" w:rsidRDefault="00A96FDE" w:rsidP="00A96FDE">
      <w:pPr>
        <w:widowControl w:val="0"/>
        <w:autoSpaceDE w:val="0"/>
        <w:autoSpaceDN w:val="0"/>
        <w:adjustRightInd w:val="0"/>
        <w:rPr>
          <w:rFonts w:cs="Arial"/>
        </w:rPr>
      </w:pPr>
    </w:p>
    <w:p w14:paraId="43BC3F8F" w14:textId="77777777" w:rsidR="00A96FDE" w:rsidRPr="009B4441" w:rsidRDefault="00A96FDE" w:rsidP="00A96FDE">
      <w:pPr>
        <w:widowControl w:val="0"/>
        <w:autoSpaceDE w:val="0"/>
        <w:autoSpaceDN w:val="0"/>
        <w:adjustRightInd w:val="0"/>
        <w:rPr>
          <w:color w:val="auto"/>
        </w:rPr>
      </w:pPr>
      <w:r w:rsidRPr="003F7E43">
        <w:rPr>
          <w:rFonts w:cs="Arial"/>
        </w:rPr>
        <w:t xml:space="preserve">As Accounting </w:t>
      </w:r>
      <w:r w:rsidR="00B12D00" w:rsidRPr="003F7E43">
        <w:rPr>
          <w:rFonts w:cs="Arial"/>
        </w:rPr>
        <w:t>Officer,</w:t>
      </w:r>
      <w:r w:rsidRPr="003F7E43">
        <w:rPr>
          <w:rFonts w:cs="Arial"/>
        </w:rPr>
        <w:t xml:space="preserve"> I confirm that the annual report as a whole is fair, balanced and understandable and that I take personal responsibility for the annual report and accounts and the judgments required for determining that it is fair, balanced and understandable.</w:t>
      </w:r>
    </w:p>
    <w:p w14:paraId="27DF2E16" w14:textId="77777777" w:rsidR="00A96FDE" w:rsidRDefault="00A96FDE">
      <w:pPr>
        <w:rPr>
          <w:b/>
        </w:rPr>
      </w:pPr>
      <w:bookmarkStart w:id="10" w:name="GovernanceStatement"/>
    </w:p>
    <w:p w14:paraId="37F7D35D" w14:textId="77777777" w:rsidR="000C2A54" w:rsidRPr="003F7E43" w:rsidRDefault="000C2A54" w:rsidP="000C2A54">
      <w:pPr>
        <w:rPr>
          <w:b/>
        </w:rPr>
      </w:pPr>
      <w:r w:rsidRPr="003F7E43">
        <w:rPr>
          <w:b/>
        </w:rPr>
        <w:t>Governance Statement</w:t>
      </w:r>
    </w:p>
    <w:bookmarkEnd w:id="10"/>
    <w:p w14:paraId="39747AAA" w14:textId="77777777" w:rsidR="000C2A54" w:rsidRPr="003F7E43" w:rsidRDefault="000C2A54" w:rsidP="000C2A54">
      <w:pPr>
        <w:jc w:val="center"/>
        <w:rPr>
          <w:b/>
        </w:rPr>
      </w:pPr>
    </w:p>
    <w:p w14:paraId="4492AA78" w14:textId="77777777" w:rsidR="000C2A54" w:rsidRPr="003F7E43" w:rsidRDefault="000C2A54" w:rsidP="000C2A54">
      <w:pPr>
        <w:rPr>
          <w:rFonts w:eastAsia="PMingLiU"/>
        </w:rPr>
      </w:pPr>
      <w:r w:rsidRPr="003F7E43">
        <w:rPr>
          <w:rFonts w:eastAsia="PMingLiU"/>
        </w:rPr>
        <w:t xml:space="preserve">As Accounting Officer, I have responsibility for maintaining a sound system of internal control that supports the achievement of the Northern Ireland Human Rights Commission’s policies, aims and objectives, as set by Commissioners, and approved by the Secretary of State for Northern Ireland, whilst safeguarding the public funds and the Commission’s assets for which I am personally responsible, in accordance with the responsibilities assigned to me in </w:t>
      </w:r>
      <w:r w:rsidRPr="003F7E43">
        <w:rPr>
          <w:rFonts w:cs="Arial"/>
          <w:i/>
        </w:rPr>
        <w:t>Managing Public Money</w:t>
      </w:r>
      <w:r w:rsidRPr="003F7E43">
        <w:rPr>
          <w:rFonts w:eastAsia="PMingLiU"/>
        </w:rPr>
        <w:t xml:space="preserve">.  Our focus is upon outcomes and robust governance </w:t>
      </w:r>
      <w:r w:rsidR="00B12D00" w:rsidRPr="003F7E43">
        <w:rPr>
          <w:rFonts w:eastAsia="PMingLiU"/>
        </w:rPr>
        <w:t>procedures, which</w:t>
      </w:r>
      <w:r w:rsidRPr="003F7E43">
        <w:rPr>
          <w:rFonts w:eastAsia="PMingLiU"/>
        </w:rPr>
        <w:t xml:space="preserve"> are designed to ensure that risk and opportunity are clearly identified and responded to.  </w:t>
      </w:r>
    </w:p>
    <w:p w14:paraId="49A287D9" w14:textId="77777777" w:rsidR="000C2A54" w:rsidRPr="003F7E43" w:rsidRDefault="000C2A54" w:rsidP="000C2A54">
      <w:pPr>
        <w:widowControl w:val="0"/>
        <w:rPr>
          <w:rFonts w:cs="Humanist777BT-LightB"/>
          <w:color w:val="auto"/>
          <w:lang w:eastAsia="en-GB"/>
        </w:rPr>
      </w:pPr>
      <w:r w:rsidRPr="003F7E43">
        <w:rPr>
          <w:rFonts w:eastAsia="PMingLiU"/>
        </w:rPr>
        <w:t xml:space="preserve">The Commission complies materially with the guidance provided in </w:t>
      </w:r>
      <w:r w:rsidR="00D970E1">
        <w:rPr>
          <w:rFonts w:eastAsia="PMingLiU"/>
        </w:rPr>
        <w:t>HM Treasury’s</w:t>
      </w:r>
      <w:r w:rsidR="00D970E1" w:rsidRPr="003F7E43">
        <w:rPr>
          <w:rFonts w:eastAsia="PMingLiU"/>
        </w:rPr>
        <w:t xml:space="preserve"> </w:t>
      </w:r>
      <w:r w:rsidRPr="003F7E43">
        <w:rPr>
          <w:rFonts w:cs="Humanist777BT-LightB"/>
          <w:color w:val="auto"/>
          <w:lang w:eastAsia="en-GB"/>
        </w:rPr>
        <w:t>corporate governance code for central government departments</w:t>
      </w:r>
      <w:r w:rsidR="000F2DC4">
        <w:rPr>
          <w:rFonts w:cs="Humanist777BT-LightB"/>
          <w:color w:val="auto"/>
          <w:lang w:eastAsia="en-GB"/>
        </w:rPr>
        <w:t xml:space="preserve"> (April 2017)</w:t>
      </w:r>
      <w:r w:rsidRPr="003F7E43">
        <w:rPr>
          <w:rFonts w:cs="Humanist777BT-LightB"/>
          <w:color w:val="auto"/>
          <w:lang w:eastAsia="en-GB"/>
        </w:rPr>
        <w:t>.</w:t>
      </w:r>
      <w:r w:rsidR="00C612B3">
        <w:rPr>
          <w:rFonts w:cs="Humanist777BT-LightB"/>
          <w:color w:val="auto"/>
          <w:lang w:eastAsia="en-GB"/>
        </w:rPr>
        <w:t xml:space="preserve"> </w:t>
      </w:r>
    </w:p>
    <w:p w14:paraId="7B4269E4" w14:textId="77777777" w:rsidR="000C2A54" w:rsidRPr="003F7E43" w:rsidRDefault="000C2A54" w:rsidP="000C2A54">
      <w:pPr>
        <w:widowControl w:val="0"/>
        <w:rPr>
          <w:rFonts w:ascii="Humanist777BT-LightB" w:hAnsi="Humanist777BT-LightB" w:cs="Humanist777BT-LightB"/>
          <w:color w:val="auto"/>
          <w:lang w:eastAsia="en-GB"/>
        </w:rPr>
      </w:pPr>
    </w:p>
    <w:p w14:paraId="0FF1EA6B" w14:textId="77777777" w:rsidR="008F3A4A" w:rsidRPr="003F7E43" w:rsidRDefault="000C2A54" w:rsidP="008F3A4A">
      <w:pPr>
        <w:widowControl w:val="0"/>
      </w:pPr>
      <w:r w:rsidRPr="003F7E43">
        <w:rPr>
          <w:rFonts w:eastAsia="PMingLiU"/>
        </w:rPr>
        <w:t>As a non–departmental public body (NDPB), sponsored by the Northern Ireland Office, responsible to Parliament through the Secretary of State for Northern Ireland the governance framework of the organisation includes a Financial Sta</w:t>
      </w:r>
      <w:r w:rsidR="00851CBE">
        <w:rPr>
          <w:rFonts w:eastAsia="PMingLiU"/>
        </w:rPr>
        <w:t xml:space="preserve">tement and Management Agreement, </w:t>
      </w:r>
      <w:r w:rsidR="00817BBC">
        <w:rPr>
          <w:rFonts w:eastAsia="PMingLiU"/>
        </w:rPr>
        <w:t xml:space="preserve">(Framework Document).  The previous version </w:t>
      </w:r>
      <w:r w:rsidR="0084632B">
        <w:rPr>
          <w:rFonts w:eastAsia="PMingLiU"/>
        </w:rPr>
        <w:t>was reviewed</w:t>
      </w:r>
      <w:r w:rsidR="00817BBC">
        <w:rPr>
          <w:rFonts w:eastAsia="PMingLiU"/>
        </w:rPr>
        <w:t xml:space="preserve"> and finalised in </w:t>
      </w:r>
      <w:r w:rsidR="00DB4C79">
        <w:rPr>
          <w:rFonts w:eastAsia="PMingLiU"/>
        </w:rPr>
        <w:t>August</w:t>
      </w:r>
      <w:r w:rsidR="00817BBC">
        <w:rPr>
          <w:rFonts w:eastAsia="PMingLiU"/>
        </w:rPr>
        <w:t xml:space="preserve"> 2022</w:t>
      </w:r>
      <w:r w:rsidR="00851CBE">
        <w:rPr>
          <w:rFonts w:eastAsia="PMingLiU"/>
        </w:rPr>
        <w:t>.</w:t>
      </w:r>
      <w:r w:rsidRPr="003F7E43">
        <w:rPr>
          <w:rFonts w:eastAsia="PMingLiU"/>
        </w:rPr>
        <w:t xml:space="preserve"> The Commissioners also operate in accordance with Standing Orders and guidance on corporate governance as well as agreed principles of public service in the Nolan Principles. The Chief </w:t>
      </w:r>
      <w:r w:rsidRPr="003F7E43">
        <w:t>Commissioner and Commissioners have corporate responsibility for promoting the efficient and effective use of staff and other resources by the Commission, demonstrating high standards of corporate governance at all times.  This role includes ensuring that they receive and review regular financial information concerning the management of the Commission, are informed in a timely manner about any concerns about the activities of the Commission, and provide assurance to the sponsoring Department that appropriate action has been taken on such concerns.</w:t>
      </w:r>
      <w:r w:rsidR="008F3A4A">
        <w:t xml:space="preserve">  The Commission maintains whistleblowing procedures consistent with the Public Interest Disclosures Act 1998 and standards of conduct for staff are in place.</w:t>
      </w:r>
    </w:p>
    <w:p w14:paraId="3DE55CC5" w14:textId="4EBAD354" w:rsidR="000C2A54" w:rsidRPr="003F7E43" w:rsidRDefault="000C2A54" w:rsidP="000C2A54">
      <w:pPr>
        <w:widowControl w:val="0"/>
      </w:pPr>
    </w:p>
    <w:p w14:paraId="2324BEAB" w14:textId="77777777" w:rsidR="000C2A54" w:rsidRPr="003F7E43" w:rsidRDefault="000C2A54" w:rsidP="000C2A54">
      <w:pPr>
        <w:rPr>
          <w:rFonts w:eastAsia="PMingLiU"/>
        </w:rPr>
      </w:pPr>
    </w:p>
    <w:p w14:paraId="53B37C70" w14:textId="77777777" w:rsidR="000C2A54" w:rsidRDefault="000C2A54" w:rsidP="000C2A54">
      <w:pPr>
        <w:rPr>
          <w:rFonts w:eastAsia="PMingLiU"/>
        </w:rPr>
      </w:pPr>
      <w:r w:rsidRPr="003F7E43">
        <w:rPr>
          <w:rFonts w:eastAsia="PMingLiU"/>
        </w:rPr>
        <w:t>Discussions on financial matters and risk are normally held with officials at the NIO, rather than directly with Ministers.  The NIO has, in ongoing formal meetings confirmed the Commission’s fulfilment of assurances. The Chief Commissioner and Commissioners have access to the Secretary of State on request.</w:t>
      </w:r>
      <w:r w:rsidRPr="009B4441">
        <w:rPr>
          <w:rFonts w:eastAsia="PMingLiU"/>
        </w:rPr>
        <w:t xml:space="preserve">  </w:t>
      </w:r>
    </w:p>
    <w:p w14:paraId="27B9B81F" w14:textId="77777777" w:rsidR="00283726" w:rsidRDefault="00283726" w:rsidP="000C2A54">
      <w:pPr>
        <w:rPr>
          <w:rFonts w:eastAsia="PMingLiU"/>
        </w:rPr>
      </w:pPr>
    </w:p>
    <w:p w14:paraId="1AD9322A" w14:textId="77777777" w:rsidR="00283726" w:rsidRDefault="00283726" w:rsidP="000C2A54">
      <w:pPr>
        <w:rPr>
          <w:rFonts w:eastAsia="PMingLiU"/>
          <w:b/>
        </w:rPr>
      </w:pPr>
      <w:r>
        <w:rPr>
          <w:rFonts w:eastAsia="PMingLiU"/>
          <w:b/>
        </w:rPr>
        <w:t>Governance Framework</w:t>
      </w:r>
    </w:p>
    <w:p w14:paraId="196631E1" w14:textId="77777777" w:rsidR="00283726" w:rsidRDefault="00283726" w:rsidP="000C2A54">
      <w:pPr>
        <w:rPr>
          <w:rFonts w:eastAsia="PMingLiU"/>
          <w:b/>
        </w:rPr>
      </w:pPr>
    </w:p>
    <w:p w14:paraId="00943632" w14:textId="77777777" w:rsidR="00283726" w:rsidRPr="00283726" w:rsidRDefault="00283726" w:rsidP="000C2A54">
      <w:pPr>
        <w:rPr>
          <w:rFonts w:eastAsia="PMingLiU"/>
        </w:rPr>
      </w:pPr>
      <w:r>
        <w:rPr>
          <w:rFonts w:eastAsia="PMingLiU"/>
        </w:rPr>
        <w:t>As Accounting Officer, I function with the support of the Audit and Risk Management Committee and the Senior Management Team.</w:t>
      </w:r>
    </w:p>
    <w:p w14:paraId="50EFCB25" w14:textId="77777777" w:rsidR="000C2A54" w:rsidRPr="009B4441" w:rsidRDefault="000C2A54" w:rsidP="000C2A54">
      <w:pPr>
        <w:rPr>
          <w:rFonts w:eastAsia="PMingLiU"/>
        </w:rPr>
      </w:pPr>
    </w:p>
    <w:p w14:paraId="1A512003" w14:textId="77777777" w:rsidR="000C2A54" w:rsidRPr="00B814F8" w:rsidRDefault="000C2A54" w:rsidP="000C2A54">
      <w:pPr>
        <w:rPr>
          <w:rFonts w:eastAsia="PMingLiU"/>
          <w:b/>
        </w:rPr>
      </w:pPr>
      <w:r w:rsidRPr="00B814F8">
        <w:rPr>
          <w:rFonts w:eastAsia="PMingLiU"/>
          <w:b/>
        </w:rPr>
        <w:t>Commissioners’ Meetings</w:t>
      </w:r>
    </w:p>
    <w:p w14:paraId="3545E2AA" w14:textId="77777777" w:rsidR="000C2A54" w:rsidRPr="00B814F8" w:rsidRDefault="000C2A54" w:rsidP="000C2A54">
      <w:pPr>
        <w:rPr>
          <w:rFonts w:eastAsia="PMingLiU"/>
          <w:b/>
        </w:rPr>
      </w:pPr>
    </w:p>
    <w:p w14:paraId="551569D9" w14:textId="77777777" w:rsidR="000C2A54" w:rsidRPr="00B814F8" w:rsidRDefault="000C2A54" w:rsidP="000C2A54">
      <w:pPr>
        <w:rPr>
          <w:rFonts w:eastAsia="PMingLiU"/>
        </w:rPr>
      </w:pPr>
      <w:r w:rsidRPr="3285EAFF">
        <w:rPr>
          <w:rFonts w:eastAsia="PMingLiU"/>
        </w:rPr>
        <w:t xml:space="preserve">The Commission met </w:t>
      </w:r>
      <w:r w:rsidR="00AD6E28">
        <w:rPr>
          <w:rFonts w:eastAsia="PMingLiU"/>
        </w:rPr>
        <w:t>15</w:t>
      </w:r>
      <w:r w:rsidRPr="3285EAFF">
        <w:rPr>
          <w:rFonts w:eastAsia="PMingLiU"/>
        </w:rPr>
        <w:t xml:space="preserve"> times during the reporting period</w:t>
      </w:r>
      <w:r w:rsidR="00AD6E28">
        <w:rPr>
          <w:rFonts w:eastAsia="PMingLiU"/>
        </w:rPr>
        <w:t xml:space="preserve"> (11 ordinary Commission meetings and 4 special Commission meetings</w:t>
      </w:r>
      <w:r w:rsidR="005965F7">
        <w:rPr>
          <w:rFonts w:eastAsia="PMingLiU"/>
        </w:rPr>
        <w:t>)</w:t>
      </w:r>
      <w:r w:rsidR="03039C95" w:rsidRPr="3285EAFF">
        <w:rPr>
          <w:rFonts w:eastAsia="PMingLiU"/>
        </w:rPr>
        <w:t>.</w:t>
      </w:r>
    </w:p>
    <w:p w14:paraId="318A9EB9" w14:textId="77777777" w:rsidR="000C2A54" w:rsidRPr="00B814F8" w:rsidRDefault="000C2A54" w:rsidP="000C2A54">
      <w:pPr>
        <w:rPr>
          <w:rFonts w:eastAsia="PMingLiU"/>
        </w:rPr>
      </w:pPr>
    </w:p>
    <w:p w14:paraId="2DF7E079" w14:textId="77777777" w:rsidR="000C2A54" w:rsidRPr="00B814F8" w:rsidRDefault="000C2A54" w:rsidP="000C2A54">
      <w:pPr>
        <w:rPr>
          <w:rFonts w:eastAsia="PMingLiU"/>
        </w:rPr>
      </w:pPr>
      <w:r w:rsidRPr="00B814F8">
        <w:rPr>
          <w:rFonts w:eastAsia="PMingLiU"/>
        </w:rPr>
        <w:t>The following served as</w:t>
      </w:r>
      <w:r w:rsidR="00AD6E28">
        <w:rPr>
          <w:rFonts w:eastAsia="PMingLiU"/>
        </w:rPr>
        <w:t xml:space="preserve"> Commissioners from 1 April 2021 - 31 March 2022</w:t>
      </w:r>
    </w:p>
    <w:p w14:paraId="196B3D74" w14:textId="77777777" w:rsidR="000C2A54" w:rsidRPr="00B814F8" w:rsidRDefault="000C2A54" w:rsidP="000C2A54">
      <w:pPr>
        <w:rPr>
          <w:rFonts w:eastAsia="PMingLiU"/>
        </w:rPr>
      </w:pPr>
    </w:p>
    <w:tbl>
      <w:tblPr>
        <w:tblW w:w="0" w:type="auto"/>
        <w:tblLook w:val="04A0" w:firstRow="1" w:lastRow="0" w:firstColumn="1" w:lastColumn="0" w:noHBand="0" w:noVBand="1"/>
      </w:tblPr>
      <w:tblGrid>
        <w:gridCol w:w="6318"/>
        <w:gridCol w:w="2753"/>
      </w:tblGrid>
      <w:tr w:rsidR="000C2A54" w:rsidRPr="00B814F8" w14:paraId="36668477" w14:textId="77777777" w:rsidTr="3285EAFF">
        <w:tc>
          <w:tcPr>
            <w:tcW w:w="6318" w:type="dxa"/>
            <w:shd w:val="clear" w:color="auto" w:fill="auto"/>
          </w:tcPr>
          <w:p w14:paraId="42214729" w14:textId="77777777" w:rsidR="000C2A54" w:rsidRPr="00B814F8" w:rsidRDefault="000C2A54" w:rsidP="000C2A54">
            <w:pPr>
              <w:rPr>
                <w:rFonts w:eastAsia="PMingLiU"/>
              </w:rPr>
            </w:pPr>
          </w:p>
        </w:tc>
        <w:tc>
          <w:tcPr>
            <w:tcW w:w="2753" w:type="dxa"/>
            <w:shd w:val="clear" w:color="auto" w:fill="auto"/>
          </w:tcPr>
          <w:p w14:paraId="11B3B655" w14:textId="77777777" w:rsidR="000C2A54" w:rsidRPr="00B814F8" w:rsidRDefault="000C2A54" w:rsidP="000C2A54">
            <w:pPr>
              <w:rPr>
                <w:rFonts w:eastAsia="PMingLiU"/>
                <w:b/>
              </w:rPr>
            </w:pPr>
            <w:r w:rsidRPr="00B814F8">
              <w:rPr>
                <w:rFonts w:eastAsia="PMingLiU"/>
                <w:b/>
              </w:rPr>
              <w:t>Meetings attended</w:t>
            </w:r>
          </w:p>
        </w:tc>
      </w:tr>
      <w:tr w:rsidR="000C2A54" w:rsidRPr="00B814F8" w14:paraId="6B0CC09C" w14:textId="77777777" w:rsidTr="3285EAFF">
        <w:tc>
          <w:tcPr>
            <w:tcW w:w="6318" w:type="dxa"/>
            <w:shd w:val="clear" w:color="auto" w:fill="auto"/>
          </w:tcPr>
          <w:p w14:paraId="15F49BCE" w14:textId="77777777" w:rsidR="000C2A54" w:rsidRPr="00B814F8" w:rsidRDefault="000C2A54" w:rsidP="000C2A54">
            <w:pPr>
              <w:rPr>
                <w:rFonts w:eastAsia="PMingLiU"/>
              </w:rPr>
            </w:pPr>
            <w:r w:rsidRPr="00B814F8">
              <w:rPr>
                <w:rFonts w:eastAsia="PMingLiU"/>
              </w:rPr>
              <w:t xml:space="preserve">Les Allamby </w:t>
            </w:r>
            <w:r w:rsidR="00AD6E28">
              <w:rPr>
                <w:rFonts w:eastAsia="PMingLiU"/>
              </w:rPr>
              <w:t>(until 31 August 2021)</w:t>
            </w:r>
          </w:p>
        </w:tc>
        <w:tc>
          <w:tcPr>
            <w:tcW w:w="2753" w:type="dxa"/>
            <w:shd w:val="clear" w:color="auto" w:fill="auto"/>
          </w:tcPr>
          <w:p w14:paraId="6409E7C1" w14:textId="77777777" w:rsidR="000C2A54" w:rsidRPr="00B814F8" w:rsidRDefault="00AD6E28" w:rsidP="00E029DB">
            <w:pPr>
              <w:spacing w:line="259" w:lineRule="auto"/>
              <w:jc w:val="right"/>
              <w:rPr>
                <w:color w:val="000000" w:themeColor="text1"/>
              </w:rPr>
            </w:pPr>
            <w:r>
              <w:rPr>
                <w:rFonts w:eastAsia="PMingLiU"/>
              </w:rPr>
              <w:t>6/6</w:t>
            </w:r>
          </w:p>
        </w:tc>
      </w:tr>
      <w:tr w:rsidR="003917E1" w:rsidRPr="008711E7" w14:paraId="5217AA9D" w14:textId="77777777" w:rsidTr="3285EAFF">
        <w:tc>
          <w:tcPr>
            <w:tcW w:w="6318" w:type="dxa"/>
            <w:shd w:val="clear" w:color="auto" w:fill="auto"/>
          </w:tcPr>
          <w:p w14:paraId="63461748" w14:textId="77777777" w:rsidR="003917E1" w:rsidRDefault="003917E1" w:rsidP="00BD1E76">
            <w:r>
              <w:t>Alyson Kilpatrick (from 1 September 2021)</w:t>
            </w:r>
          </w:p>
        </w:tc>
        <w:tc>
          <w:tcPr>
            <w:tcW w:w="2753" w:type="dxa"/>
            <w:shd w:val="clear" w:color="auto" w:fill="auto"/>
          </w:tcPr>
          <w:p w14:paraId="12F813AE" w14:textId="77777777" w:rsidR="003917E1" w:rsidRPr="3285EAFF" w:rsidRDefault="003917E1" w:rsidP="000C2A54">
            <w:pPr>
              <w:jc w:val="right"/>
              <w:rPr>
                <w:rFonts w:eastAsia="PMingLiU"/>
              </w:rPr>
            </w:pPr>
            <w:r>
              <w:rPr>
                <w:rFonts w:eastAsia="PMingLiU"/>
              </w:rPr>
              <w:t>9/9</w:t>
            </w:r>
          </w:p>
        </w:tc>
      </w:tr>
      <w:tr w:rsidR="00AA5867" w:rsidRPr="008711E7" w14:paraId="512C47B9" w14:textId="77777777" w:rsidTr="3285EAFF">
        <w:tc>
          <w:tcPr>
            <w:tcW w:w="6318" w:type="dxa"/>
            <w:shd w:val="clear" w:color="auto" w:fill="auto"/>
          </w:tcPr>
          <w:p w14:paraId="70F92FE9" w14:textId="77777777" w:rsidR="00AA5867" w:rsidRPr="00B814F8" w:rsidRDefault="003917E1" w:rsidP="00BD1E76">
            <w:r>
              <w:t>Helen Henderson</w:t>
            </w:r>
          </w:p>
        </w:tc>
        <w:tc>
          <w:tcPr>
            <w:tcW w:w="2753" w:type="dxa"/>
            <w:shd w:val="clear" w:color="auto" w:fill="auto"/>
          </w:tcPr>
          <w:p w14:paraId="22AFE68C" w14:textId="77777777" w:rsidR="00AA5867" w:rsidRDefault="003917E1" w:rsidP="000C2A54">
            <w:pPr>
              <w:jc w:val="right"/>
              <w:rPr>
                <w:rFonts w:eastAsia="PMingLiU"/>
              </w:rPr>
            </w:pPr>
            <w:r>
              <w:rPr>
                <w:rFonts w:eastAsia="PMingLiU"/>
              </w:rPr>
              <w:t>15/15</w:t>
            </w:r>
          </w:p>
        </w:tc>
      </w:tr>
      <w:tr w:rsidR="000C2A54" w:rsidRPr="008711E7" w14:paraId="335F381A" w14:textId="77777777" w:rsidTr="3285EAFF">
        <w:tc>
          <w:tcPr>
            <w:tcW w:w="6318" w:type="dxa"/>
            <w:shd w:val="clear" w:color="auto" w:fill="auto"/>
          </w:tcPr>
          <w:p w14:paraId="2AC86D42" w14:textId="77777777" w:rsidR="00AA5867" w:rsidRPr="00B814F8" w:rsidRDefault="003917E1" w:rsidP="009E4A1D">
            <w:pPr>
              <w:rPr>
                <w:rFonts w:eastAsia="PMingLiU"/>
              </w:rPr>
            </w:pPr>
            <w:r>
              <w:rPr>
                <w:rFonts w:eastAsia="PMingLiU"/>
              </w:rPr>
              <w:t>Jonathan Kearney</w:t>
            </w:r>
          </w:p>
        </w:tc>
        <w:tc>
          <w:tcPr>
            <w:tcW w:w="2753" w:type="dxa"/>
            <w:shd w:val="clear" w:color="auto" w:fill="auto"/>
          </w:tcPr>
          <w:p w14:paraId="661449C7" w14:textId="77777777" w:rsidR="007F0AAB" w:rsidRPr="008711E7" w:rsidRDefault="003917E1" w:rsidP="000C2A54">
            <w:pPr>
              <w:jc w:val="right"/>
              <w:rPr>
                <w:rFonts w:eastAsia="PMingLiU"/>
              </w:rPr>
            </w:pPr>
            <w:r>
              <w:rPr>
                <w:rFonts w:eastAsia="PMingLiU"/>
              </w:rPr>
              <w:t>14/15</w:t>
            </w:r>
          </w:p>
        </w:tc>
      </w:tr>
      <w:tr w:rsidR="00AA5867" w:rsidRPr="008711E7" w14:paraId="7F2AE41E" w14:textId="77777777" w:rsidTr="3285EAFF">
        <w:tc>
          <w:tcPr>
            <w:tcW w:w="6318" w:type="dxa"/>
            <w:shd w:val="clear" w:color="auto" w:fill="auto"/>
          </w:tcPr>
          <w:p w14:paraId="66F80AFE" w14:textId="77777777" w:rsidR="00AA5867" w:rsidRPr="00B814F8" w:rsidRDefault="003917E1" w:rsidP="00BD1E76">
            <w:r>
              <w:t>David Lavery</w:t>
            </w:r>
            <w:r w:rsidR="00AA0309">
              <w:t xml:space="preserve"> CB</w:t>
            </w:r>
          </w:p>
        </w:tc>
        <w:tc>
          <w:tcPr>
            <w:tcW w:w="2753" w:type="dxa"/>
            <w:shd w:val="clear" w:color="auto" w:fill="auto"/>
          </w:tcPr>
          <w:p w14:paraId="54CAB266" w14:textId="77777777" w:rsidR="00AA5867" w:rsidRDefault="003917E1" w:rsidP="000C2A54">
            <w:pPr>
              <w:jc w:val="right"/>
              <w:rPr>
                <w:rFonts w:eastAsia="PMingLiU"/>
              </w:rPr>
            </w:pPr>
            <w:r>
              <w:rPr>
                <w:rFonts w:eastAsia="PMingLiU"/>
              </w:rPr>
              <w:t>15/15</w:t>
            </w:r>
          </w:p>
        </w:tc>
      </w:tr>
      <w:tr w:rsidR="003917E1" w:rsidRPr="008711E7" w14:paraId="5D3E42EE" w14:textId="77777777" w:rsidTr="3285EAFF">
        <w:tc>
          <w:tcPr>
            <w:tcW w:w="6318" w:type="dxa"/>
            <w:shd w:val="clear" w:color="auto" w:fill="auto"/>
          </w:tcPr>
          <w:p w14:paraId="2B7E56C6" w14:textId="77777777" w:rsidR="003917E1" w:rsidRDefault="003917E1" w:rsidP="00BD1E76">
            <w:r>
              <w:t>Eddie Rooney</w:t>
            </w:r>
          </w:p>
        </w:tc>
        <w:tc>
          <w:tcPr>
            <w:tcW w:w="2753" w:type="dxa"/>
            <w:shd w:val="clear" w:color="auto" w:fill="auto"/>
          </w:tcPr>
          <w:p w14:paraId="28D3B7C8" w14:textId="77777777" w:rsidR="003917E1" w:rsidRDefault="003917E1" w:rsidP="000C2A54">
            <w:pPr>
              <w:jc w:val="right"/>
              <w:rPr>
                <w:rFonts w:eastAsia="PMingLiU"/>
              </w:rPr>
            </w:pPr>
            <w:r>
              <w:rPr>
                <w:rFonts w:eastAsia="PMingLiU"/>
              </w:rPr>
              <w:t>15/15</w:t>
            </w:r>
          </w:p>
        </w:tc>
      </w:tr>
      <w:tr w:rsidR="003917E1" w:rsidRPr="008711E7" w14:paraId="5794CA7D" w14:textId="77777777" w:rsidTr="3285EAFF">
        <w:tc>
          <w:tcPr>
            <w:tcW w:w="6318" w:type="dxa"/>
            <w:shd w:val="clear" w:color="auto" w:fill="auto"/>
          </w:tcPr>
          <w:p w14:paraId="389A850B" w14:textId="77777777" w:rsidR="003917E1" w:rsidRDefault="003917E1" w:rsidP="00BD1E76">
            <w:r>
              <w:t>Stephen White</w:t>
            </w:r>
            <w:r w:rsidR="005965F7">
              <w:t xml:space="preserve"> OBE</w:t>
            </w:r>
          </w:p>
        </w:tc>
        <w:tc>
          <w:tcPr>
            <w:tcW w:w="2753" w:type="dxa"/>
            <w:shd w:val="clear" w:color="auto" w:fill="auto"/>
          </w:tcPr>
          <w:p w14:paraId="1AEED602" w14:textId="77777777" w:rsidR="003917E1" w:rsidRDefault="003917E1" w:rsidP="000C2A54">
            <w:pPr>
              <w:jc w:val="right"/>
              <w:rPr>
                <w:rFonts w:eastAsia="PMingLiU"/>
              </w:rPr>
            </w:pPr>
            <w:r>
              <w:rPr>
                <w:rFonts w:eastAsia="PMingLiU"/>
              </w:rPr>
              <w:t>13/15</w:t>
            </w:r>
          </w:p>
        </w:tc>
      </w:tr>
      <w:tr w:rsidR="003917E1" w:rsidRPr="008711E7" w14:paraId="0E0E6FF9" w14:textId="77777777" w:rsidTr="3285EAFF">
        <w:tc>
          <w:tcPr>
            <w:tcW w:w="6318" w:type="dxa"/>
            <w:shd w:val="clear" w:color="auto" w:fill="auto"/>
          </w:tcPr>
          <w:p w14:paraId="02290D5B" w14:textId="77777777" w:rsidR="003917E1" w:rsidRDefault="003917E1" w:rsidP="00BD1E76">
            <w:r>
              <w:t>Maura Muldoon (until 31 August 2021)</w:t>
            </w:r>
          </w:p>
        </w:tc>
        <w:tc>
          <w:tcPr>
            <w:tcW w:w="2753" w:type="dxa"/>
            <w:shd w:val="clear" w:color="auto" w:fill="auto"/>
          </w:tcPr>
          <w:p w14:paraId="7BF21DC4" w14:textId="77777777" w:rsidR="003917E1" w:rsidRDefault="003917E1" w:rsidP="000C2A54">
            <w:pPr>
              <w:jc w:val="right"/>
              <w:rPr>
                <w:rFonts w:eastAsia="PMingLiU"/>
              </w:rPr>
            </w:pPr>
            <w:r>
              <w:rPr>
                <w:rFonts w:eastAsia="PMingLiU"/>
              </w:rPr>
              <w:t>4/5</w:t>
            </w:r>
          </w:p>
          <w:p w14:paraId="126CF3E0" w14:textId="77777777" w:rsidR="003917E1" w:rsidRDefault="003917E1" w:rsidP="000C2A54">
            <w:pPr>
              <w:jc w:val="right"/>
              <w:rPr>
                <w:rFonts w:eastAsia="PMingLiU"/>
              </w:rPr>
            </w:pPr>
          </w:p>
          <w:p w14:paraId="78D492BE" w14:textId="77777777" w:rsidR="003917E1" w:rsidRDefault="003917E1" w:rsidP="000C2A54">
            <w:pPr>
              <w:jc w:val="right"/>
              <w:rPr>
                <w:rFonts w:eastAsia="PMingLiU"/>
              </w:rPr>
            </w:pPr>
          </w:p>
        </w:tc>
      </w:tr>
    </w:tbl>
    <w:p w14:paraId="5AEA5B21" w14:textId="77777777" w:rsidR="000C2A54" w:rsidRPr="00B814F8" w:rsidRDefault="000C2A54" w:rsidP="000C2A54">
      <w:pPr>
        <w:rPr>
          <w:rFonts w:eastAsia="PMingLiU"/>
          <w:b/>
        </w:rPr>
      </w:pPr>
      <w:r w:rsidRPr="00B814F8">
        <w:rPr>
          <w:rFonts w:eastAsia="PMingLiU"/>
          <w:b/>
        </w:rPr>
        <w:t>Audit and Risk Management Committee Meetings</w:t>
      </w:r>
    </w:p>
    <w:p w14:paraId="6BB6D940" w14:textId="77777777" w:rsidR="000C2A54" w:rsidRPr="00B814F8" w:rsidRDefault="000C2A54" w:rsidP="000C2A54">
      <w:pPr>
        <w:rPr>
          <w:rFonts w:eastAsia="PMingLiU"/>
          <w:b/>
        </w:rPr>
      </w:pPr>
    </w:p>
    <w:p w14:paraId="60B96B67" w14:textId="4E99D0B7" w:rsidR="000C2A54" w:rsidRPr="00B814F8" w:rsidRDefault="000C2A54" w:rsidP="000C2A54">
      <w:pPr>
        <w:rPr>
          <w:rFonts w:eastAsia="PMingLiU"/>
        </w:rPr>
      </w:pPr>
      <w:r w:rsidRPr="00B814F8">
        <w:rPr>
          <w:rFonts w:eastAsia="PMingLiU"/>
        </w:rPr>
        <w:t>The Audit and Risk Ma</w:t>
      </w:r>
      <w:r w:rsidR="00F76370" w:rsidRPr="00B814F8">
        <w:rPr>
          <w:rFonts w:eastAsia="PMingLiU"/>
        </w:rPr>
        <w:t xml:space="preserve">nagement Committee met </w:t>
      </w:r>
      <w:r w:rsidR="003917E1">
        <w:rPr>
          <w:rFonts w:eastAsia="PMingLiU"/>
        </w:rPr>
        <w:t xml:space="preserve">four times </w:t>
      </w:r>
      <w:r w:rsidRPr="00B814F8">
        <w:rPr>
          <w:rFonts w:eastAsia="PMingLiU"/>
        </w:rPr>
        <w:t>during the reporting period.</w:t>
      </w:r>
      <w:r w:rsidR="006C392B">
        <w:rPr>
          <w:rFonts w:eastAsia="PMingLiU"/>
        </w:rPr>
        <w:t xml:space="preserve">  </w:t>
      </w:r>
      <w:r w:rsidR="003917E1">
        <w:rPr>
          <w:rFonts w:cs="Univers"/>
          <w:lang w:val="en-US"/>
        </w:rPr>
        <w:t>A new independent Chairperso</w:t>
      </w:r>
      <w:r w:rsidR="005965F7">
        <w:rPr>
          <w:rFonts w:cs="Univers"/>
          <w:lang w:val="en-US"/>
        </w:rPr>
        <w:t>n was appointed and attended their</w:t>
      </w:r>
      <w:r w:rsidR="003917E1">
        <w:rPr>
          <w:rFonts w:cs="Univers"/>
          <w:lang w:val="en-US"/>
        </w:rPr>
        <w:t xml:space="preserve"> first meeting in June 2021</w:t>
      </w:r>
      <w:r w:rsidR="00FF1FA8">
        <w:rPr>
          <w:rFonts w:cs="Univers"/>
          <w:lang w:val="en-US"/>
        </w:rPr>
        <w:t xml:space="preserve">. </w:t>
      </w:r>
    </w:p>
    <w:p w14:paraId="445A31B3" w14:textId="77777777" w:rsidR="00814E66" w:rsidRPr="00B814F8" w:rsidRDefault="00814E66" w:rsidP="000C2A54">
      <w:pPr>
        <w:rPr>
          <w:rFonts w:eastAsia="PMingLiU"/>
        </w:rPr>
      </w:pPr>
    </w:p>
    <w:tbl>
      <w:tblPr>
        <w:tblW w:w="0" w:type="auto"/>
        <w:tblLook w:val="04A0" w:firstRow="1" w:lastRow="0" w:firstColumn="1" w:lastColumn="0" w:noHBand="0" w:noVBand="1"/>
      </w:tblPr>
      <w:tblGrid>
        <w:gridCol w:w="6318"/>
        <w:gridCol w:w="2753"/>
      </w:tblGrid>
      <w:tr w:rsidR="000C2A54" w:rsidRPr="00B814F8" w14:paraId="01590E71" w14:textId="77777777" w:rsidTr="3285EAFF">
        <w:tc>
          <w:tcPr>
            <w:tcW w:w="6318" w:type="dxa"/>
            <w:shd w:val="clear" w:color="auto" w:fill="auto"/>
          </w:tcPr>
          <w:p w14:paraId="53316D5A" w14:textId="77777777" w:rsidR="00814E66" w:rsidRPr="00B814F8" w:rsidRDefault="00814E66" w:rsidP="000C2A54">
            <w:pPr>
              <w:rPr>
                <w:rFonts w:eastAsia="PMingLiU"/>
              </w:rPr>
            </w:pPr>
          </w:p>
        </w:tc>
        <w:tc>
          <w:tcPr>
            <w:tcW w:w="2753" w:type="dxa"/>
            <w:shd w:val="clear" w:color="auto" w:fill="auto"/>
          </w:tcPr>
          <w:p w14:paraId="2A3D00EB" w14:textId="77777777" w:rsidR="000C2A54" w:rsidRPr="00B814F8" w:rsidRDefault="000C2A54" w:rsidP="000C2A54">
            <w:pPr>
              <w:rPr>
                <w:rFonts w:eastAsia="PMingLiU"/>
                <w:b/>
              </w:rPr>
            </w:pPr>
            <w:r w:rsidRPr="00B814F8">
              <w:rPr>
                <w:rFonts w:eastAsia="PMingLiU"/>
                <w:b/>
              </w:rPr>
              <w:t>Meetings attended</w:t>
            </w:r>
          </w:p>
        </w:tc>
      </w:tr>
      <w:tr w:rsidR="00B814F8" w:rsidRPr="00B814F8" w14:paraId="2FD7359E" w14:textId="77777777" w:rsidTr="3285EAFF">
        <w:tc>
          <w:tcPr>
            <w:tcW w:w="6318" w:type="dxa"/>
            <w:shd w:val="clear" w:color="auto" w:fill="auto"/>
          </w:tcPr>
          <w:p w14:paraId="508BBB13" w14:textId="77777777" w:rsidR="00B814F8" w:rsidRPr="00B814F8" w:rsidRDefault="00AA0309" w:rsidP="3285EAFF">
            <w:pPr>
              <w:rPr>
                <w:rFonts w:eastAsia="PMingLiU"/>
              </w:rPr>
            </w:pPr>
            <w:r>
              <w:rPr>
                <w:rFonts w:eastAsia="PMingLiU"/>
              </w:rPr>
              <w:t>Sean Donaghy</w:t>
            </w:r>
          </w:p>
        </w:tc>
        <w:tc>
          <w:tcPr>
            <w:tcW w:w="2753" w:type="dxa"/>
            <w:shd w:val="clear" w:color="auto" w:fill="auto"/>
          </w:tcPr>
          <w:p w14:paraId="1B94A052" w14:textId="77777777" w:rsidR="007F0AAB" w:rsidRPr="00B814F8" w:rsidRDefault="00AA0309" w:rsidP="007F0AAB">
            <w:pPr>
              <w:jc w:val="right"/>
              <w:rPr>
                <w:rFonts w:eastAsia="PMingLiU"/>
              </w:rPr>
            </w:pPr>
            <w:r>
              <w:rPr>
                <w:rFonts w:eastAsia="PMingLiU"/>
              </w:rPr>
              <w:t>4/4</w:t>
            </w:r>
          </w:p>
        </w:tc>
      </w:tr>
      <w:tr w:rsidR="000C2A54" w:rsidRPr="008711E7" w14:paraId="532BBFFA" w14:textId="77777777" w:rsidTr="3285EAFF">
        <w:tc>
          <w:tcPr>
            <w:tcW w:w="6318" w:type="dxa"/>
            <w:shd w:val="clear" w:color="auto" w:fill="auto"/>
          </w:tcPr>
          <w:p w14:paraId="6E30C157" w14:textId="77777777" w:rsidR="00514876" w:rsidRPr="00B814F8" w:rsidRDefault="00AA0309" w:rsidP="00F33A38">
            <w:pPr>
              <w:rPr>
                <w:rFonts w:eastAsia="PMingLiU"/>
              </w:rPr>
            </w:pPr>
            <w:r>
              <w:rPr>
                <w:rFonts w:eastAsia="PMingLiU"/>
              </w:rPr>
              <w:t>David Lavery CB</w:t>
            </w:r>
          </w:p>
        </w:tc>
        <w:tc>
          <w:tcPr>
            <w:tcW w:w="2753" w:type="dxa"/>
            <w:shd w:val="clear" w:color="auto" w:fill="auto"/>
          </w:tcPr>
          <w:p w14:paraId="5F7629BA" w14:textId="77777777" w:rsidR="00514876" w:rsidRPr="008711E7" w:rsidRDefault="00AA0309" w:rsidP="00AA0309">
            <w:pPr>
              <w:jc w:val="right"/>
              <w:rPr>
                <w:rFonts w:eastAsia="PMingLiU"/>
              </w:rPr>
            </w:pPr>
            <w:r>
              <w:rPr>
                <w:rFonts w:eastAsia="PMingLiU"/>
              </w:rPr>
              <w:t>3/4</w:t>
            </w:r>
          </w:p>
        </w:tc>
      </w:tr>
      <w:tr w:rsidR="00AA0309" w:rsidRPr="008711E7" w14:paraId="4BE0B67D" w14:textId="77777777" w:rsidTr="3285EAFF">
        <w:tc>
          <w:tcPr>
            <w:tcW w:w="6318" w:type="dxa"/>
            <w:shd w:val="clear" w:color="auto" w:fill="auto"/>
          </w:tcPr>
          <w:p w14:paraId="5070B9E1" w14:textId="77777777" w:rsidR="00AA0309" w:rsidRDefault="00AA0309" w:rsidP="00F33A38">
            <w:pPr>
              <w:rPr>
                <w:rFonts w:eastAsia="PMingLiU"/>
              </w:rPr>
            </w:pPr>
            <w:r>
              <w:rPr>
                <w:rFonts w:eastAsia="PMingLiU"/>
              </w:rPr>
              <w:t>Eddie Rooney</w:t>
            </w:r>
          </w:p>
        </w:tc>
        <w:tc>
          <w:tcPr>
            <w:tcW w:w="2753" w:type="dxa"/>
            <w:shd w:val="clear" w:color="auto" w:fill="auto"/>
          </w:tcPr>
          <w:p w14:paraId="0F97C156" w14:textId="77777777" w:rsidR="00AA0309" w:rsidRDefault="00AA0309" w:rsidP="000C2A54">
            <w:pPr>
              <w:jc w:val="right"/>
              <w:rPr>
                <w:rFonts w:eastAsia="PMingLiU"/>
              </w:rPr>
            </w:pPr>
            <w:r>
              <w:rPr>
                <w:rFonts w:eastAsia="PMingLiU"/>
              </w:rPr>
              <w:t>4/4</w:t>
            </w:r>
          </w:p>
        </w:tc>
      </w:tr>
      <w:tr w:rsidR="00AA0309" w:rsidRPr="008711E7" w14:paraId="18A815B3" w14:textId="77777777" w:rsidTr="3285EAFF">
        <w:tc>
          <w:tcPr>
            <w:tcW w:w="6318" w:type="dxa"/>
            <w:shd w:val="clear" w:color="auto" w:fill="auto"/>
          </w:tcPr>
          <w:p w14:paraId="06C5C6BC" w14:textId="77777777" w:rsidR="00AA0309" w:rsidRDefault="00AA0309" w:rsidP="00F33A38">
            <w:pPr>
              <w:rPr>
                <w:rFonts w:eastAsia="PMingLiU"/>
              </w:rPr>
            </w:pPr>
            <w:r>
              <w:rPr>
                <w:rFonts w:eastAsia="PMingLiU"/>
              </w:rPr>
              <w:t xml:space="preserve">Stephen White </w:t>
            </w:r>
            <w:r w:rsidR="005965F7">
              <w:rPr>
                <w:rFonts w:eastAsia="PMingLiU"/>
              </w:rPr>
              <w:t xml:space="preserve">OBE </w:t>
            </w:r>
            <w:r>
              <w:rPr>
                <w:rFonts w:eastAsia="PMingLiU"/>
              </w:rPr>
              <w:t>(from 1 October 2021)</w:t>
            </w:r>
          </w:p>
        </w:tc>
        <w:tc>
          <w:tcPr>
            <w:tcW w:w="2753" w:type="dxa"/>
            <w:shd w:val="clear" w:color="auto" w:fill="auto"/>
          </w:tcPr>
          <w:p w14:paraId="6C65CE4B" w14:textId="77777777" w:rsidR="00AA0309" w:rsidRDefault="00AA0309" w:rsidP="000C2A54">
            <w:pPr>
              <w:jc w:val="right"/>
              <w:rPr>
                <w:rFonts w:eastAsia="PMingLiU"/>
              </w:rPr>
            </w:pPr>
            <w:r>
              <w:rPr>
                <w:rFonts w:eastAsia="PMingLiU"/>
              </w:rPr>
              <w:t>2/3</w:t>
            </w:r>
          </w:p>
        </w:tc>
      </w:tr>
      <w:tr w:rsidR="00AA0309" w:rsidRPr="008711E7" w14:paraId="1B6518DD" w14:textId="77777777" w:rsidTr="3285EAFF">
        <w:tc>
          <w:tcPr>
            <w:tcW w:w="6318" w:type="dxa"/>
            <w:shd w:val="clear" w:color="auto" w:fill="auto"/>
          </w:tcPr>
          <w:p w14:paraId="035530A6" w14:textId="77777777" w:rsidR="00AA0309" w:rsidRDefault="00AA0309" w:rsidP="00F33A38">
            <w:pPr>
              <w:rPr>
                <w:rFonts w:eastAsia="PMingLiU"/>
              </w:rPr>
            </w:pPr>
            <w:r>
              <w:rPr>
                <w:rFonts w:eastAsia="PMingLiU"/>
              </w:rPr>
              <w:t>Maura Muldoon (until 31 August 2021)</w:t>
            </w:r>
          </w:p>
        </w:tc>
        <w:tc>
          <w:tcPr>
            <w:tcW w:w="2753" w:type="dxa"/>
            <w:shd w:val="clear" w:color="auto" w:fill="auto"/>
          </w:tcPr>
          <w:p w14:paraId="763801C1" w14:textId="77777777" w:rsidR="00AA0309" w:rsidRDefault="00AA0309" w:rsidP="000C2A54">
            <w:pPr>
              <w:jc w:val="right"/>
              <w:rPr>
                <w:rFonts w:eastAsia="PMingLiU"/>
              </w:rPr>
            </w:pPr>
            <w:r>
              <w:rPr>
                <w:rFonts w:eastAsia="PMingLiU"/>
              </w:rPr>
              <w:t>0/1</w:t>
            </w:r>
          </w:p>
          <w:p w14:paraId="5DA844D2" w14:textId="77777777" w:rsidR="00AA0309" w:rsidRDefault="00AA0309" w:rsidP="000C2A54">
            <w:pPr>
              <w:jc w:val="right"/>
              <w:rPr>
                <w:rFonts w:eastAsia="PMingLiU"/>
              </w:rPr>
            </w:pPr>
          </w:p>
        </w:tc>
      </w:tr>
    </w:tbl>
    <w:p w14:paraId="10779155" w14:textId="77777777" w:rsidR="003917E1" w:rsidRDefault="003917E1" w:rsidP="000C2A54">
      <w:pPr>
        <w:pStyle w:val="Default"/>
        <w:rPr>
          <w:rFonts w:ascii="Verdana" w:hAnsi="Verdana"/>
        </w:rPr>
      </w:pPr>
    </w:p>
    <w:p w14:paraId="560F2273" w14:textId="173A93A4" w:rsidR="000C2A54" w:rsidRPr="003F7E43" w:rsidRDefault="000C2A54" w:rsidP="000C2A54">
      <w:pPr>
        <w:pStyle w:val="Default"/>
        <w:rPr>
          <w:rFonts w:ascii="Verdana" w:hAnsi="Verdana"/>
        </w:rPr>
      </w:pPr>
      <w:r w:rsidRPr="003F7E43">
        <w:rPr>
          <w:rFonts w:ascii="Verdana" w:hAnsi="Verdana"/>
        </w:rPr>
        <w:t>The Audit and Ris</w:t>
      </w:r>
      <w:r w:rsidR="00514876">
        <w:rPr>
          <w:rFonts w:ascii="Verdana" w:hAnsi="Verdana"/>
        </w:rPr>
        <w:t>k Management Committee comprised</w:t>
      </w:r>
      <w:r w:rsidRPr="003F7E43">
        <w:rPr>
          <w:rFonts w:ascii="Verdana" w:hAnsi="Verdana"/>
        </w:rPr>
        <w:t xml:space="preserve"> an </w:t>
      </w:r>
      <w:r w:rsidR="00514876">
        <w:rPr>
          <w:rFonts w:ascii="Verdana" w:hAnsi="Verdana"/>
        </w:rPr>
        <w:t>independent Chairperson, who had</w:t>
      </w:r>
      <w:r w:rsidRPr="003F7E43">
        <w:rPr>
          <w:rFonts w:ascii="Verdana" w:hAnsi="Verdana"/>
        </w:rPr>
        <w:t xml:space="preserve"> extensive financial management experience at a senior level in the </w:t>
      </w:r>
      <w:r w:rsidR="00AA0309">
        <w:rPr>
          <w:rFonts w:ascii="Verdana" w:hAnsi="Verdana"/>
        </w:rPr>
        <w:t>public</w:t>
      </w:r>
      <w:r w:rsidR="00514876">
        <w:rPr>
          <w:rFonts w:ascii="Verdana" w:hAnsi="Verdana"/>
        </w:rPr>
        <w:t xml:space="preserve"> sector, and</w:t>
      </w:r>
      <w:r w:rsidRPr="003F7E43">
        <w:rPr>
          <w:rFonts w:ascii="Verdana" w:hAnsi="Verdana"/>
        </w:rPr>
        <w:t xml:space="preserve"> was appointed following an open recruitment competition, and up to </w:t>
      </w:r>
      <w:r w:rsidR="00F33A38">
        <w:rPr>
          <w:rFonts w:ascii="Verdana" w:hAnsi="Verdana"/>
        </w:rPr>
        <w:t>three</w:t>
      </w:r>
      <w:r w:rsidRPr="003F7E43">
        <w:rPr>
          <w:rFonts w:ascii="Verdana" w:hAnsi="Verdana"/>
        </w:rPr>
        <w:t xml:space="preserve"> Commissioners with a range of experience in corporate governance</w:t>
      </w:r>
      <w:r w:rsidR="000A30FB" w:rsidRPr="003F7E43">
        <w:rPr>
          <w:rFonts w:ascii="Verdana" w:hAnsi="Verdana"/>
        </w:rPr>
        <w:t xml:space="preserve">. </w:t>
      </w:r>
      <w:r w:rsidRPr="003F7E43">
        <w:rPr>
          <w:rFonts w:ascii="Verdana" w:hAnsi="Verdana"/>
        </w:rPr>
        <w:t xml:space="preserve">Both the Commission’s internal and external auditors also attend Audit and Risk Management Committee meetings, as well as a representative of the </w:t>
      </w:r>
      <w:r w:rsidRPr="003F7E43">
        <w:rPr>
          <w:rFonts w:ascii="Verdana" w:eastAsia="PMingLiU" w:hAnsi="Verdana"/>
        </w:rPr>
        <w:t>Northern Ireland Office</w:t>
      </w:r>
      <w:r w:rsidR="00FF1FA8" w:rsidRPr="003F7E43">
        <w:rPr>
          <w:rFonts w:ascii="Verdana" w:eastAsia="PMingLiU" w:hAnsi="Verdana"/>
        </w:rPr>
        <w:t>.</w:t>
      </w:r>
      <w:r w:rsidR="00FF1FA8">
        <w:rPr>
          <w:rFonts w:ascii="Verdana" w:eastAsia="PMingLiU" w:hAnsi="Verdana"/>
        </w:rPr>
        <w:t xml:space="preserve"> </w:t>
      </w:r>
    </w:p>
    <w:p w14:paraId="1DA974F0" w14:textId="77777777" w:rsidR="000C2A54" w:rsidRPr="003F7E43" w:rsidRDefault="000C2A54" w:rsidP="000C2A54">
      <w:pPr>
        <w:pStyle w:val="Default"/>
        <w:rPr>
          <w:rFonts w:ascii="Verdana" w:hAnsi="Verdana"/>
        </w:rPr>
      </w:pPr>
    </w:p>
    <w:p w14:paraId="08F7E8E4" w14:textId="233975F6" w:rsidR="000C2A54" w:rsidRPr="008711E7" w:rsidRDefault="000C2A54" w:rsidP="000C2A54">
      <w:pPr>
        <w:pStyle w:val="Default"/>
        <w:rPr>
          <w:rFonts w:ascii="Verdana" w:hAnsi="Verdana"/>
        </w:rPr>
      </w:pPr>
      <w:r w:rsidRPr="003F7E43">
        <w:rPr>
          <w:rFonts w:ascii="Verdana" w:hAnsi="Verdana"/>
        </w:rPr>
        <w:t xml:space="preserve">As outlined, </w:t>
      </w:r>
      <w:r w:rsidR="007F0AAB">
        <w:rPr>
          <w:rFonts w:ascii="Verdana" w:hAnsi="Verdana"/>
        </w:rPr>
        <w:t xml:space="preserve">a Commissioner from the </w:t>
      </w:r>
      <w:r w:rsidRPr="003F7E43">
        <w:rPr>
          <w:rFonts w:ascii="Verdana" w:hAnsi="Verdana"/>
        </w:rPr>
        <w:t xml:space="preserve">Audit and Risk Management Committee </w:t>
      </w:r>
      <w:r w:rsidR="007F0AAB">
        <w:rPr>
          <w:rFonts w:ascii="Verdana" w:hAnsi="Verdana"/>
        </w:rPr>
        <w:t>provides an update on the meetings to the Commission meeting</w:t>
      </w:r>
      <w:r w:rsidRPr="003F7E43">
        <w:rPr>
          <w:rFonts w:ascii="Verdana" w:hAnsi="Verdana"/>
        </w:rPr>
        <w:t xml:space="preserve"> and the Committee reports annually to the Commission</w:t>
      </w:r>
      <w:r w:rsidR="00FF1FA8" w:rsidRPr="003F7E43">
        <w:rPr>
          <w:rFonts w:ascii="Verdana" w:hAnsi="Verdana"/>
        </w:rPr>
        <w:t xml:space="preserve">. </w:t>
      </w:r>
      <w:r w:rsidRPr="003F7E43">
        <w:rPr>
          <w:rFonts w:ascii="Verdana" w:hAnsi="Verdana"/>
        </w:rPr>
        <w:t>Furthermore, the Chairperson has direct access to the Chief Executive and Chief Commissioner as appropriate.</w:t>
      </w:r>
    </w:p>
    <w:p w14:paraId="29AE342B" w14:textId="77777777" w:rsidR="000C2A54" w:rsidRPr="007F2DCD" w:rsidRDefault="000C2A54" w:rsidP="000C2A54">
      <w:pPr>
        <w:pStyle w:val="Default"/>
        <w:rPr>
          <w:rFonts w:ascii="Verdana" w:hAnsi="Verdana"/>
          <w:sz w:val="22"/>
          <w:szCs w:val="22"/>
        </w:rPr>
      </w:pPr>
    </w:p>
    <w:p w14:paraId="1B141816" w14:textId="2F5C5FF3" w:rsidR="001F7D24" w:rsidRDefault="00AA0309" w:rsidP="000C2A54">
      <w:pPr>
        <w:pStyle w:val="Default"/>
        <w:rPr>
          <w:rFonts w:ascii="Verdana" w:hAnsi="Verdana"/>
        </w:rPr>
      </w:pPr>
      <w:r>
        <w:rPr>
          <w:rFonts w:ascii="Verdana" w:hAnsi="Verdana"/>
        </w:rPr>
        <w:t xml:space="preserve">During the </w:t>
      </w:r>
      <w:r w:rsidR="00FF1FA8">
        <w:rPr>
          <w:rFonts w:ascii="Verdana" w:hAnsi="Verdana"/>
        </w:rPr>
        <w:t>year,</w:t>
      </w:r>
      <w:r>
        <w:rPr>
          <w:rFonts w:ascii="Verdana" w:hAnsi="Verdana"/>
        </w:rPr>
        <w:t xml:space="preserve"> t</w:t>
      </w:r>
      <w:r w:rsidR="000C2A54" w:rsidRPr="00AE6223">
        <w:rPr>
          <w:rFonts w:ascii="Verdana" w:hAnsi="Verdana"/>
        </w:rPr>
        <w:t>he Audit and R</w:t>
      </w:r>
      <w:r>
        <w:rPr>
          <w:rFonts w:ascii="Verdana" w:hAnsi="Verdana"/>
        </w:rPr>
        <w:t>isk Management Committee reviewed</w:t>
      </w:r>
      <w:r w:rsidR="000C2A54" w:rsidRPr="00AE6223">
        <w:rPr>
          <w:rFonts w:ascii="Verdana" w:hAnsi="Verdana"/>
        </w:rPr>
        <w:t xml:space="preserve"> its effectiveness by assessing its operation and constitution</w:t>
      </w:r>
      <w:r w:rsidR="00B0068B">
        <w:rPr>
          <w:rFonts w:ascii="Verdana" w:hAnsi="Verdana"/>
        </w:rPr>
        <w:t xml:space="preserve"> using the National Audit Office’s Audit and Risk Assurance Committee Effectiveness Checklist, which condenses the </w:t>
      </w:r>
      <w:r w:rsidR="000C2A54" w:rsidRPr="00AE6223">
        <w:rPr>
          <w:rFonts w:ascii="Verdana" w:hAnsi="Verdana"/>
        </w:rPr>
        <w:t xml:space="preserve">good practice </w:t>
      </w:r>
      <w:r w:rsidR="00B0068B">
        <w:rPr>
          <w:rFonts w:ascii="Verdana" w:hAnsi="Verdana"/>
        </w:rPr>
        <w:t xml:space="preserve">principles of </w:t>
      </w:r>
      <w:r w:rsidR="00B0068B">
        <w:rPr>
          <w:rFonts w:ascii="Verdana" w:hAnsi="Verdana"/>
          <w:i/>
        </w:rPr>
        <w:t>HM Treasury’s Audit and Risk Assurance Committee Handbook</w:t>
      </w:r>
      <w:r w:rsidR="00FF1FA8">
        <w:rPr>
          <w:rFonts w:ascii="Verdana" w:hAnsi="Verdana"/>
          <w:i/>
        </w:rPr>
        <w:t xml:space="preserve">. </w:t>
      </w:r>
      <w:r w:rsidR="001F7D24">
        <w:rPr>
          <w:rFonts w:ascii="Verdana" w:hAnsi="Verdana"/>
        </w:rPr>
        <w:t>The Committee noted that it was performing effectively against the core elements of the principles and concluded that on an ongoing basis the Committee should consider utilisation of external specialist resource where appropriate</w:t>
      </w:r>
      <w:r w:rsidR="00FF1FA8">
        <w:rPr>
          <w:rFonts w:ascii="Verdana" w:hAnsi="Verdana"/>
        </w:rPr>
        <w:t xml:space="preserve">. </w:t>
      </w:r>
      <w:r w:rsidR="003F41F3">
        <w:rPr>
          <w:rFonts w:ascii="Verdana" w:hAnsi="Verdana"/>
        </w:rPr>
        <w:t xml:space="preserve">Any </w:t>
      </w:r>
      <w:r w:rsidR="001F0FFE">
        <w:rPr>
          <w:rFonts w:ascii="Verdana" w:hAnsi="Verdana"/>
        </w:rPr>
        <w:t>corporate issues of concern were brought to the Commission Board</w:t>
      </w:r>
      <w:r w:rsidR="00B6785F">
        <w:rPr>
          <w:rFonts w:ascii="Verdana" w:hAnsi="Verdana"/>
        </w:rPr>
        <w:t xml:space="preserve"> </w:t>
      </w:r>
      <w:r w:rsidR="001F0FFE">
        <w:rPr>
          <w:rFonts w:ascii="Verdana" w:hAnsi="Verdana"/>
        </w:rPr>
        <w:t xml:space="preserve">for </w:t>
      </w:r>
      <w:r w:rsidR="006145B5">
        <w:rPr>
          <w:rFonts w:ascii="Verdana" w:hAnsi="Verdana"/>
        </w:rPr>
        <w:t xml:space="preserve">discussion and </w:t>
      </w:r>
      <w:r w:rsidR="00B222DA">
        <w:rPr>
          <w:rFonts w:ascii="Verdana" w:hAnsi="Verdana"/>
        </w:rPr>
        <w:t>approval</w:t>
      </w:r>
      <w:r w:rsidR="00FF1FA8">
        <w:rPr>
          <w:rFonts w:ascii="Verdana" w:hAnsi="Verdana"/>
        </w:rPr>
        <w:t xml:space="preserve">. </w:t>
      </w:r>
    </w:p>
    <w:p w14:paraId="6CECBBE3" w14:textId="77777777" w:rsidR="000C2A54" w:rsidRPr="008711E7" w:rsidRDefault="000C2A54" w:rsidP="000C2A54">
      <w:pPr>
        <w:pStyle w:val="Default"/>
        <w:rPr>
          <w:rFonts w:ascii="Verdana" w:hAnsi="Verdana"/>
          <w:b/>
          <w:i/>
        </w:rPr>
      </w:pPr>
    </w:p>
    <w:p w14:paraId="50F0E0A2" w14:textId="77777777" w:rsidR="006D635B" w:rsidRDefault="000C2A54" w:rsidP="000C2A54">
      <w:pPr>
        <w:rPr>
          <w:rFonts w:eastAsia="PMingLiU"/>
        </w:rPr>
      </w:pPr>
      <w:r w:rsidRPr="003F7E43">
        <w:rPr>
          <w:rFonts w:eastAsia="PMingLiU"/>
        </w:rPr>
        <w:t xml:space="preserve">The Audit and Risk Management Committee report as required and at least annually to the full Commission board through the Independent Chair of the Committee. Audit and Risk Management Committee papers are available to all Commissioners. The Commission works through </w:t>
      </w:r>
      <w:r w:rsidR="00AA7E91">
        <w:rPr>
          <w:rFonts w:eastAsia="PMingLiU"/>
        </w:rPr>
        <w:t xml:space="preserve">a monthly </w:t>
      </w:r>
      <w:r w:rsidRPr="003F7E43">
        <w:rPr>
          <w:rFonts w:eastAsia="PMingLiU"/>
        </w:rPr>
        <w:t>Commission meeting</w:t>
      </w:r>
      <w:r w:rsidR="00AA7E91">
        <w:rPr>
          <w:rFonts w:eastAsia="PMingLiU"/>
        </w:rPr>
        <w:t>, though there is provision for additional meetings if required.</w:t>
      </w:r>
      <w:r w:rsidRPr="003F7E43">
        <w:rPr>
          <w:rFonts w:eastAsia="PMingLiU"/>
        </w:rPr>
        <w:t xml:space="preserve"> </w:t>
      </w:r>
      <w:r w:rsidR="00AA7E91">
        <w:rPr>
          <w:rFonts w:eastAsia="PMingLiU"/>
        </w:rPr>
        <w:t xml:space="preserve">It </w:t>
      </w:r>
      <w:r w:rsidRPr="003F7E43">
        <w:rPr>
          <w:rFonts w:eastAsia="PMingLiU"/>
        </w:rPr>
        <w:t xml:space="preserve">has no separate standing Committees other than that of Audit and Risk Management. </w:t>
      </w:r>
    </w:p>
    <w:p w14:paraId="43E699B7" w14:textId="77777777" w:rsidR="006D635B" w:rsidRDefault="006D635B" w:rsidP="000C2A54">
      <w:pPr>
        <w:rPr>
          <w:rFonts w:eastAsia="PMingLiU"/>
        </w:rPr>
      </w:pPr>
    </w:p>
    <w:p w14:paraId="00A3ECC8" w14:textId="77777777" w:rsidR="000C2A54" w:rsidRPr="008711E7" w:rsidRDefault="000C2A54" w:rsidP="000C2A54">
      <w:pPr>
        <w:rPr>
          <w:rFonts w:eastAsia="PMingLiU"/>
        </w:rPr>
      </w:pPr>
      <w:r w:rsidRPr="003F7E43">
        <w:rPr>
          <w:rFonts w:eastAsia="PMingLiU"/>
        </w:rPr>
        <w:t>The Commission is also represented by Commissioners and staff on the joint Independent Monitoring Committee</w:t>
      </w:r>
      <w:r w:rsidR="002D7758">
        <w:rPr>
          <w:rFonts w:eastAsia="PMingLiU"/>
        </w:rPr>
        <w:t xml:space="preserve"> for the UN Convention on the Rights of People with Disabilities in Northern Ireland</w:t>
      </w:r>
      <w:r w:rsidRPr="003F7E43">
        <w:rPr>
          <w:rFonts w:eastAsia="PMingLiU"/>
        </w:rPr>
        <w:t xml:space="preserve"> with the Equality Commission</w:t>
      </w:r>
      <w:r w:rsidR="006D635B">
        <w:rPr>
          <w:rFonts w:eastAsia="PMingLiU"/>
        </w:rPr>
        <w:t>, and the joint working group for the Dedicated Mechanism established to fulfil its mandate under the EU Withdrawal Agreement</w:t>
      </w:r>
      <w:r w:rsidRPr="003F7E43">
        <w:rPr>
          <w:rFonts w:eastAsia="PMingLiU"/>
        </w:rPr>
        <w:t>.</w:t>
      </w:r>
      <w:r w:rsidR="006D635B">
        <w:rPr>
          <w:rFonts w:eastAsia="PMingLiU"/>
        </w:rPr>
        <w:t xml:space="preserve">  </w:t>
      </w:r>
    </w:p>
    <w:p w14:paraId="2BBF6C54" w14:textId="77777777" w:rsidR="000C2A54" w:rsidRPr="008711E7" w:rsidRDefault="000C2A54" w:rsidP="000C2A54">
      <w:pPr>
        <w:rPr>
          <w:i/>
        </w:rPr>
      </w:pPr>
    </w:p>
    <w:p w14:paraId="69ABAAC8" w14:textId="77777777" w:rsidR="000C2A54" w:rsidRPr="008711E7" w:rsidRDefault="000C2A54" w:rsidP="000C2A54">
      <w:pPr>
        <w:rPr>
          <w:rFonts w:eastAsia="PMingLiU"/>
        </w:rPr>
      </w:pPr>
      <w:r w:rsidRPr="00B814F8">
        <w:rPr>
          <w:rFonts w:eastAsia="PMingLiU"/>
        </w:rPr>
        <w:t xml:space="preserve">During this </w:t>
      </w:r>
      <w:r w:rsidR="00B12D00" w:rsidRPr="00B814F8">
        <w:rPr>
          <w:rFonts w:eastAsia="PMingLiU"/>
        </w:rPr>
        <w:t>year,</w:t>
      </w:r>
      <w:r w:rsidRPr="00B814F8">
        <w:rPr>
          <w:rFonts w:eastAsia="PMingLiU"/>
        </w:rPr>
        <w:t xml:space="preserve"> the Commission </w:t>
      </w:r>
      <w:r w:rsidR="00283726">
        <w:rPr>
          <w:rFonts w:eastAsia="PMingLiU"/>
        </w:rPr>
        <w:t xml:space="preserve">Board </w:t>
      </w:r>
      <w:r w:rsidRPr="00B814F8">
        <w:rPr>
          <w:rFonts w:eastAsia="PMingLiU"/>
        </w:rPr>
        <w:t xml:space="preserve">has met </w:t>
      </w:r>
      <w:r w:rsidR="00AA0309">
        <w:rPr>
          <w:rFonts w:eastAsia="PMingLiU"/>
        </w:rPr>
        <w:t>fifteen</w:t>
      </w:r>
      <w:r w:rsidR="00AA7E91" w:rsidRPr="00B814F8">
        <w:rPr>
          <w:rFonts w:eastAsia="PMingLiU"/>
        </w:rPr>
        <w:t xml:space="preserve"> </w:t>
      </w:r>
      <w:r w:rsidR="00633DEF">
        <w:rPr>
          <w:rFonts w:eastAsia="PMingLiU"/>
        </w:rPr>
        <w:t>times</w:t>
      </w:r>
      <w:r w:rsidR="00AA0309">
        <w:rPr>
          <w:rFonts w:eastAsia="PMingLiU"/>
        </w:rPr>
        <w:t xml:space="preserve"> (eleven ordinary Commission meetings and four special Commission meetings)</w:t>
      </w:r>
      <w:r w:rsidR="00633DEF">
        <w:rPr>
          <w:rFonts w:eastAsia="PMingLiU"/>
        </w:rPr>
        <w:t xml:space="preserve">.  Members of the Committee provided updates </w:t>
      </w:r>
      <w:r w:rsidR="00422EEA">
        <w:rPr>
          <w:rFonts w:eastAsia="PMingLiU"/>
        </w:rPr>
        <w:t xml:space="preserve">on the Audit and Risk Management Committee </w:t>
      </w:r>
      <w:r w:rsidR="00633DEF">
        <w:rPr>
          <w:rFonts w:eastAsia="PMingLiU"/>
        </w:rPr>
        <w:t xml:space="preserve">throughout the year.  </w:t>
      </w:r>
    </w:p>
    <w:p w14:paraId="79C39EF2" w14:textId="77777777" w:rsidR="000C2A54" w:rsidRPr="008711E7" w:rsidRDefault="000C2A54" w:rsidP="000C2A54">
      <w:pPr>
        <w:rPr>
          <w:rFonts w:eastAsia="PMingLiU"/>
        </w:rPr>
      </w:pPr>
    </w:p>
    <w:p w14:paraId="60B59BCE" w14:textId="77777777" w:rsidR="000C2A54" w:rsidRDefault="000C2A54" w:rsidP="000C2A54">
      <w:pPr>
        <w:rPr>
          <w:rFonts w:eastAsia="PMingLiU"/>
        </w:rPr>
      </w:pPr>
      <w:r w:rsidRPr="008711E7">
        <w:rPr>
          <w:rFonts w:eastAsia="PMingLiU"/>
        </w:rPr>
        <w:t xml:space="preserve">With a reliance on robust recruitment processes and performance </w:t>
      </w:r>
      <w:r w:rsidR="00B12D00" w:rsidRPr="008711E7">
        <w:rPr>
          <w:rFonts w:eastAsia="PMingLiU"/>
        </w:rPr>
        <w:t>appraisals,</w:t>
      </w:r>
      <w:r w:rsidRPr="008711E7">
        <w:rPr>
          <w:rFonts w:eastAsia="PMingLiU"/>
        </w:rPr>
        <w:t xml:space="preserve"> the Commission satisfies itself as to the quality of professional advice provided to it.  </w:t>
      </w:r>
    </w:p>
    <w:p w14:paraId="32270B46" w14:textId="77777777" w:rsidR="00283726" w:rsidRDefault="00283726" w:rsidP="000C2A54">
      <w:pPr>
        <w:rPr>
          <w:rFonts w:eastAsia="PMingLiU"/>
        </w:rPr>
      </w:pPr>
    </w:p>
    <w:p w14:paraId="1EE84350" w14:textId="77777777" w:rsidR="00283726" w:rsidRDefault="00283726" w:rsidP="000C2A54">
      <w:pPr>
        <w:rPr>
          <w:rFonts w:eastAsia="PMingLiU"/>
          <w:b/>
        </w:rPr>
      </w:pPr>
      <w:r>
        <w:rPr>
          <w:rFonts w:eastAsia="PMingLiU"/>
          <w:b/>
        </w:rPr>
        <w:t>Commission’s Performance</w:t>
      </w:r>
    </w:p>
    <w:p w14:paraId="4F6B2775" w14:textId="77777777" w:rsidR="00283726" w:rsidRDefault="00283726" w:rsidP="000C2A54">
      <w:pPr>
        <w:rPr>
          <w:rFonts w:eastAsia="PMingLiU"/>
          <w:b/>
        </w:rPr>
      </w:pPr>
    </w:p>
    <w:p w14:paraId="5CD593B6" w14:textId="77777777" w:rsidR="00283726" w:rsidRDefault="00AA0309" w:rsidP="000C2A54">
      <w:pPr>
        <w:rPr>
          <w:rFonts w:eastAsia="PMingLiU"/>
        </w:rPr>
      </w:pPr>
      <w:r>
        <w:rPr>
          <w:rFonts w:eastAsia="PMingLiU"/>
        </w:rPr>
        <w:t>Throughout 20</w:t>
      </w:r>
      <w:r w:rsidR="00AA5867">
        <w:rPr>
          <w:rFonts w:eastAsia="PMingLiU"/>
        </w:rPr>
        <w:t>21</w:t>
      </w:r>
      <w:r>
        <w:rPr>
          <w:rFonts w:eastAsia="PMingLiU"/>
        </w:rPr>
        <w:t>-22</w:t>
      </w:r>
      <w:r w:rsidR="00283726">
        <w:rPr>
          <w:rFonts w:eastAsia="PMingLiU"/>
        </w:rPr>
        <w:t>, the Commission effectively discharged its statutory functions and duties.  In line with best practice, the operational procedures of the Commission and the quality of data used by the Commission is kept under continuous review to ensure that the Commission is content that it is provided with all requisite information to enable it to make informed decisions.</w:t>
      </w:r>
    </w:p>
    <w:p w14:paraId="08908FA7" w14:textId="77777777" w:rsidR="000421B0" w:rsidRDefault="000421B0" w:rsidP="000C2A54">
      <w:pPr>
        <w:rPr>
          <w:rFonts w:eastAsia="PMingLiU"/>
        </w:rPr>
      </w:pPr>
    </w:p>
    <w:p w14:paraId="2CE3A7AD" w14:textId="77777777" w:rsidR="000421B0" w:rsidRDefault="000421B0" w:rsidP="000C2A54">
      <w:pPr>
        <w:rPr>
          <w:rStyle w:val="Hyperlink"/>
        </w:rPr>
      </w:pPr>
      <w:r>
        <w:t xml:space="preserve">The </w:t>
      </w:r>
      <w:r w:rsidR="00633DEF">
        <w:t xml:space="preserve">Commission’s </w:t>
      </w:r>
      <w:r>
        <w:t>Strategic Plan for 2019-2022 was published in April 2019 and can be found on the Commission’s website at</w:t>
      </w:r>
      <w:r w:rsidR="00F27F88">
        <w:t>:</w:t>
      </w:r>
      <w:r>
        <w:t xml:space="preserve"> </w:t>
      </w:r>
      <w:hyperlink r:id="rId24" w:history="1">
        <w:r w:rsidRPr="003D3293">
          <w:rPr>
            <w:rStyle w:val="Hyperlink"/>
          </w:rPr>
          <w:t>http://www.nihrc.org/publication/detail/northern-ireland-human-rights-commission-strategic-plan-2019-22</w:t>
        </w:r>
      </w:hyperlink>
    </w:p>
    <w:p w14:paraId="34A45F8E" w14:textId="77777777" w:rsidR="006D635B" w:rsidRDefault="006D635B" w:rsidP="000C2A54">
      <w:pPr>
        <w:rPr>
          <w:rStyle w:val="Hyperlink"/>
        </w:rPr>
      </w:pPr>
    </w:p>
    <w:p w14:paraId="20F29DE9" w14:textId="21E47067" w:rsidR="006D635B" w:rsidRPr="00F27F88" w:rsidRDefault="001138DC" w:rsidP="000C2A54">
      <w:pPr>
        <w:rPr>
          <w:rStyle w:val="Hyperlink"/>
          <w:color w:val="auto"/>
          <w:u w:val="none"/>
        </w:rPr>
      </w:pPr>
      <w:r w:rsidRPr="00F27F88">
        <w:rPr>
          <w:rStyle w:val="Hyperlink"/>
          <w:color w:val="auto"/>
          <w:u w:val="none"/>
        </w:rPr>
        <w:t xml:space="preserve">During the </w:t>
      </w:r>
      <w:r w:rsidR="00FF1FA8" w:rsidRPr="00F27F88">
        <w:rPr>
          <w:rStyle w:val="Hyperlink"/>
          <w:color w:val="auto"/>
          <w:u w:val="none"/>
        </w:rPr>
        <w:t>year,</w:t>
      </w:r>
      <w:r w:rsidRPr="00F27F88">
        <w:rPr>
          <w:rStyle w:val="Hyperlink"/>
          <w:color w:val="auto"/>
          <w:u w:val="none"/>
        </w:rPr>
        <w:t xml:space="preserve"> the Commission completed its consultation on a new Strategic Plan for 2022-25.  This was published on 1 April 2022 and can be found on the Commission’s website at:</w:t>
      </w:r>
    </w:p>
    <w:p w14:paraId="16A0A686" w14:textId="77777777" w:rsidR="00F27F88" w:rsidRDefault="00806377" w:rsidP="000C2A54">
      <w:hyperlink r:id="rId25" w:history="1">
        <w:r w:rsidR="00F27F88" w:rsidRPr="00F96F8C">
          <w:rPr>
            <w:rStyle w:val="Hyperlink"/>
          </w:rPr>
          <w:t>https://nihrc.org/publication/detail/strategic-plan-2022-2025</w:t>
        </w:r>
      </w:hyperlink>
    </w:p>
    <w:p w14:paraId="0E475817" w14:textId="77777777" w:rsidR="000C2A54" w:rsidRDefault="000C2A54" w:rsidP="000C2A54">
      <w:pPr>
        <w:rPr>
          <w:rFonts w:eastAsia="PMingLiU"/>
        </w:rPr>
      </w:pPr>
    </w:p>
    <w:p w14:paraId="620B3595" w14:textId="77777777" w:rsidR="00C206C0" w:rsidRPr="00112AF2" w:rsidRDefault="00C206C0" w:rsidP="007F0AAB">
      <w:pPr>
        <w:rPr>
          <w:bCs/>
          <w:noProof/>
          <w:lang w:eastAsia="en-GB"/>
        </w:rPr>
      </w:pPr>
      <w:r w:rsidRPr="00112AF2">
        <w:rPr>
          <w:rFonts w:cs="Arial"/>
          <w:b/>
        </w:rPr>
        <w:t>Risk management and control</w:t>
      </w:r>
      <w:r w:rsidR="007F0AAB" w:rsidRPr="00112AF2">
        <w:rPr>
          <w:rFonts w:cs="Arial"/>
          <w:b/>
        </w:rPr>
        <w:t xml:space="preserve"> </w:t>
      </w:r>
    </w:p>
    <w:p w14:paraId="63137D0D" w14:textId="77777777" w:rsidR="00C206C0" w:rsidRPr="00112AF2" w:rsidRDefault="00C206C0" w:rsidP="000C2A54">
      <w:pPr>
        <w:autoSpaceDE w:val="0"/>
        <w:autoSpaceDN w:val="0"/>
        <w:adjustRightInd w:val="0"/>
        <w:rPr>
          <w:rFonts w:cs="Arial"/>
          <w:b/>
        </w:rPr>
      </w:pPr>
    </w:p>
    <w:p w14:paraId="7DB15973" w14:textId="77777777" w:rsidR="000C2A54" w:rsidRPr="00422EEA" w:rsidRDefault="000C2A54" w:rsidP="000C2A54">
      <w:pPr>
        <w:autoSpaceDE w:val="0"/>
        <w:autoSpaceDN w:val="0"/>
        <w:adjustRightInd w:val="0"/>
        <w:rPr>
          <w:rFonts w:cs="Arial"/>
          <w:highlight w:val="yellow"/>
        </w:rPr>
      </w:pPr>
      <w:r w:rsidRPr="00673894">
        <w:rPr>
          <w:rFonts w:cs="Arial"/>
        </w:rPr>
        <w:t xml:space="preserve">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Commission’s policies, aims and objectives, to evaluate the likelihood of those risks being realised and the impact should they be realised, and to manage them efficiently, effectively and economically.  The system of internal control has been in place in the Commission </w:t>
      </w:r>
      <w:r w:rsidR="00EC3646">
        <w:rPr>
          <w:rFonts w:cs="Arial"/>
        </w:rPr>
        <w:t>for the year ended 31 March 2022</w:t>
      </w:r>
      <w:r w:rsidRPr="00673894">
        <w:rPr>
          <w:rFonts w:cs="Arial"/>
        </w:rPr>
        <w:t xml:space="preserve"> and up to the date of approval of the annual report and accounts, and accords with Treasury guidance. </w:t>
      </w:r>
    </w:p>
    <w:p w14:paraId="17C1890A" w14:textId="77777777" w:rsidR="000C2A54" w:rsidRPr="00422EEA" w:rsidRDefault="000C2A54" w:rsidP="000C2A54">
      <w:pPr>
        <w:rPr>
          <w:highlight w:val="yellow"/>
        </w:rPr>
      </w:pPr>
    </w:p>
    <w:p w14:paraId="76B30CA3" w14:textId="0A06DFC8" w:rsidR="000C2A54" w:rsidRPr="00673894" w:rsidRDefault="007370B2" w:rsidP="000C2A54">
      <w:pPr>
        <w:widowControl w:val="0"/>
        <w:tabs>
          <w:tab w:val="left" w:pos="8535"/>
        </w:tabs>
        <w:autoSpaceDE w:val="0"/>
        <w:autoSpaceDN w:val="0"/>
        <w:adjustRightInd w:val="0"/>
      </w:pPr>
      <w:r w:rsidRPr="00673894">
        <w:t>The Commission’s risk management framework</w:t>
      </w:r>
      <w:r w:rsidR="000C2A54" w:rsidRPr="00673894">
        <w:t xml:space="preserve"> involves Commissioners and staff in reviewing and assessing risk on a regular basis, so that risk is an integral part of the ongoing planning and monitoring processes of the Commission.  </w:t>
      </w:r>
    </w:p>
    <w:p w14:paraId="4DF8B868" w14:textId="77777777" w:rsidR="000C2A54" w:rsidRPr="00673894" w:rsidRDefault="000C2A54" w:rsidP="000C2A54">
      <w:pPr>
        <w:widowControl w:val="0"/>
        <w:tabs>
          <w:tab w:val="left" w:pos="8535"/>
        </w:tabs>
        <w:autoSpaceDE w:val="0"/>
        <w:autoSpaceDN w:val="0"/>
        <w:adjustRightInd w:val="0"/>
      </w:pPr>
    </w:p>
    <w:p w14:paraId="59C75CE6" w14:textId="77777777" w:rsidR="000C2A54" w:rsidRPr="00673894" w:rsidRDefault="000C2A54" w:rsidP="000C2A54">
      <w:pPr>
        <w:widowControl w:val="0"/>
        <w:tabs>
          <w:tab w:val="left" w:pos="8535"/>
        </w:tabs>
        <w:autoSpaceDE w:val="0"/>
        <w:autoSpaceDN w:val="0"/>
        <w:adjustRightInd w:val="0"/>
      </w:pPr>
      <w:r w:rsidRPr="00673894">
        <w:t>The Chairperson of the Commission’s Audit and Risk Management Committee, who is independent of the Commission, also provides an additional source of expertise for management and Commissioners to consult on specific issues as they arise.</w:t>
      </w:r>
    </w:p>
    <w:p w14:paraId="5043CBB4" w14:textId="77777777" w:rsidR="000C2A54" w:rsidRPr="00673894" w:rsidRDefault="000C2A54" w:rsidP="000C2A54">
      <w:pPr>
        <w:rPr>
          <w:rFonts w:cs="Arial"/>
          <w:bCs/>
        </w:rPr>
      </w:pPr>
    </w:p>
    <w:p w14:paraId="53EAA4A9" w14:textId="77777777" w:rsidR="000C2A54" w:rsidRPr="00673894" w:rsidRDefault="000C2A54" w:rsidP="000C2A54">
      <w:pPr>
        <w:rPr>
          <w:rFonts w:cs="Arial"/>
          <w:bCs/>
        </w:rPr>
      </w:pPr>
      <w:r w:rsidRPr="00673894">
        <w:rPr>
          <w:rFonts w:cs="Arial"/>
          <w:bCs/>
        </w:rPr>
        <w:t>The Commission has a continuous, proactive and systematic approach to understand, manage and communicate risk across the organisation.  The risk management framework is comprehensive and involves Commissioners, managers and staff as follows:</w:t>
      </w:r>
    </w:p>
    <w:p w14:paraId="6BBBD34A" w14:textId="77777777" w:rsidR="000C2A54" w:rsidRPr="00673894" w:rsidRDefault="000C2A54" w:rsidP="000C2A54">
      <w:pPr>
        <w:rPr>
          <w:snapToGrid w:val="0"/>
        </w:rPr>
      </w:pPr>
    </w:p>
    <w:p w14:paraId="1FA5AD4E" w14:textId="77777777" w:rsidR="000C2A54" w:rsidRPr="00673894" w:rsidRDefault="000C2A54" w:rsidP="00310B25">
      <w:pPr>
        <w:numPr>
          <w:ilvl w:val="0"/>
          <w:numId w:val="6"/>
        </w:numPr>
        <w:ind w:left="426" w:hanging="426"/>
        <w:rPr>
          <w:snapToGrid w:val="0"/>
        </w:rPr>
      </w:pPr>
      <w:r w:rsidRPr="00673894">
        <w:rPr>
          <w:snapToGrid w:val="0"/>
        </w:rPr>
        <w:t>overall responsibility for ensuring that risks are identified and an appropriate framework is in place to manage those risks down to an acceptable level rests with the Commission’s Accounting Officer</w:t>
      </w:r>
    </w:p>
    <w:p w14:paraId="31F640B6" w14:textId="77777777" w:rsidR="000C2A54" w:rsidRPr="00673894" w:rsidRDefault="000C2A54" w:rsidP="00814E66">
      <w:pPr>
        <w:ind w:left="426" w:hanging="426"/>
        <w:rPr>
          <w:snapToGrid w:val="0"/>
        </w:rPr>
      </w:pPr>
    </w:p>
    <w:p w14:paraId="4F1D4282" w14:textId="77777777" w:rsidR="000C2A54" w:rsidRPr="00673894" w:rsidRDefault="000C2A54" w:rsidP="00310B25">
      <w:pPr>
        <w:numPr>
          <w:ilvl w:val="0"/>
          <w:numId w:val="6"/>
        </w:numPr>
        <w:ind w:left="426" w:hanging="426"/>
        <w:rPr>
          <w:snapToGrid w:val="0"/>
        </w:rPr>
      </w:pPr>
      <w:r w:rsidRPr="00673894">
        <w:rPr>
          <w:snapToGrid w:val="0"/>
        </w:rPr>
        <w:t xml:space="preserve">individual members of staff can be nominated as ‘risk owners’ delegated with responsibility from the Chief Executive for monitoring and reporting on specific risks within their area of work </w:t>
      </w:r>
      <w:r w:rsidRPr="00673894">
        <w:rPr>
          <w:snapToGrid w:val="0"/>
        </w:rPr>
        <w:br/>
      </w:r>
    </w:p>
    <w:p w14:paraId="308D5E81" w14:textId="77777777" w:rsidR="000C2A54" w:rsidRPr="00673894" w:rsidRDefault="000C2A54" w:rsidP="00310B25">
      <w:pPr>
        <w:numPr>
          <w:ilvl w:val="0"/>
          <w:numId w:val="6"/>
        </w:numPr>
        <w:ind w:left="426" w:hanging="426"/>
        <w:rPr>
          <w:snapToGrid w:val="0"/>
        </w:rPr>
      </w:pPr>
      <w:r w:rsidRPr="00673894">
        <w:rPr>
          <w:snapToGrid w:val="0"/>
        </w:rPr>
        <w:t>the risk register, and the effectiveness of activities to manage identified risks, is reviewed by the Management Team</w:t>
      </w:r>
    </w:p>
    <w:p w14:paraId="3A6F3635" w14:textId="77777777" w:rsidR="000C2A54" w:rsidRPr="00422EEA" w:rsidRDefault="000C2A54" w:rsidP="00814E66">
      <w:pPr>
        <w:ind w:left="426" w:hanging="426"/>
        <w:rPr>
          <w:snapToGrid w:val="0"/>
          <w:highlight w:val="yellow"/>
        </w:rPr>
      </w:pPr>
    </w:p>
    <w:p w14:paraId="577F63B2" w14:textId="77777777" w:rsidR="000C2A54" w:rsidRPr="00673894" w:rsidRDefault="000C2A54" w:rsidP="00310B25">
      <w:pPr>
        <w:numPr>
          <w:ilvl w:val="0"/>
          <w:numId w:val="6"/>
        </w:numPr>
        <w:ind w:left="426" w:hanging="426"/>
        <w:rPr>
          <w:snapToGrid w:val="0"/>
        </w:rPr>
      </w:pPr>
      <w:r w:rsidRPr="00673894">
        <w:rPr>
          <w:snapToGrid w:val="0"/>
        </w:rPr>
        <w:t>the Audit and Risk Management Committee, which ordinarily meets quarterly, reviews the risk register and reports to the Commission, through the Chief Executive, on the effectiveness of activities to manage identified risks following each meeting</w:t>
      </w:r>
    </w:p>
    <w:p w14:paraId="4D2098B4" w14:textId="77777777" w:rsidR="000C2A54" w:rsidRPr="00673894" w:rsidRDefault="000C2A54" w:rsidP="00814E66">
      <w:pPr>
        <w:ind w:left="426" w:hanging="426"/>
        <w:rPr>
          <w:snapToGrid w:val="0"/>
        </w:rPr>
      </w:pPr>
    </w:p>
    <w:p w14:paraId="768F0096" w14:textId="77777777" w:rsidR="000C2A54" w:rsidRPr="00673894" w:rsidRDefault="000C2A54" w:rsidP="00310B25">
      <w:pPr>
        <w:pStyle w:val="ListParagraph"/>
        <w:numPr>
          <w:ilvl w:val="1"/>
          <w:numId w:val="6"/>
        </w:numPr>
        <w:tabs>
          <w:tab w:val="left" w:pos="709"/>
        </w:tabs>
        <w:ind w:left="426" w:hanging="426"/>
        <w:rPr>
          <w:snapToGrid w:val="0"/>
        </w:rPr>
      </w:pPr>
      <w:r w:rsidRPr="00673894">
        <w:rPr>
          <w:snapToGrid w:val="0"/>
        </w:rPr>
        <w:t xml:space="preserve">the Commission reviews the risk register and the effectiveness of the risk management framework </w:t>
      </w:r>
      <w:r w:rsidRPr="00673894">
        <w:rPr>
          <w:snapToGrid w:val="0"/>
        </w:rPr>
        <w:br/>
      </w:r>
    </w:p>
    <w:p w14:paraId="67167A78" w14:textId="77777777" w:rsidR="000C2A54" w:rsidRPr="00673894" w:rsidRDefault="000C2A54" w:rsidP="00310B25">
      <w:pPr>
        <w:widowControl w:val="0"/>
        <w:numPr>
          <w:ilvl w:val="0"/>
          <w:numId w:val="6"/>
        </w:numPr>
        <w:tabs>
          <w:tab w:val="left" w:pos="709"/>
          <w:tab w:val="left" w:pos="8535"/>
        </w:tabs>
        <w:autoSpaceDE w:val="0"/>
        <w:autoSpaceDN w:val="0"/>
        <w:adjustRightInd w:val="0"/>
        <w:ind w:left="426" w:hanging="426"/>
      </w:pPr>
      <w:r w:rsidRPr="00673894">
        <w:rPr>
          <w:snapToGrid w:val="0"/>
        </w:rPr>
        <w:t>the external environment is assessed for any opportunistic new risks as part of the annual business planning process and in addition for the new strategic plan</w:t>
      </w:r>
      <w:r w:rsidRPr="00673894">
        <w:rPr>
          <w:snapToGrid w:val="0"/>
        </w:rPr>
        <w:br/>
      </w:r>
    </w:p>
    <w:p w14:paraId="646530B9" w14:textId="77777777" w:rsidR="00417CAC" w:rsidRPr="00673894" w:rsidRDefault="000C2A54" w:rsidP="00310B25">
      <w:pPr>
        <w:widowControl w:val="0"/>
        <w:numPr>
          <w:ilvl w:val="0"/>
          <w:numId w:val="6"/>
        </w:numPr>
        <w:tabs>
          <w:tab w:val="left" w:pos="709"/>
          <w:tab w:val="left" w:pos="8535"/>
        </w:tabs>
        <w:autoSpaceDE w:val="0"/>
        <w:autoSpaceDN w:val="0"/>
        <w:adjustRightInd w:val="0"/>
        <w:ind w:left="426" w:hanging="426"/>
      </w:pPr>
      <w:r w:rsidRPr="00673894">
        <w:t>information risk is managed by the Commission within the context of the risk management framework.  The Commission seeks to manage down the likelihood of the risk materialising through an Information Assurance Policy and Information and Communications Technology (ICT) policies and procedures, supported by training for staff on these.</w:t>
      </w:r>
      <w:r w:rsidR="00AA5867" w:rsidRPr="00673894">
        <w:br/>
      </w:r>
    </w:p>
    <w:p w14:paraId="190B0EF6" w14:textId="77777777" w:rsidR="000C2A54" w:rsidRPr="00673894" w:rsidRDefault="000C2A54" w:rsidP="00417CAC">
      <w:pPr>
        <w:widowControl w:val="0"/>
        <w:tabs>
          <w:tab w:val="left" w:pos="709"/>
          <w:tab w:val="left" w:pos="8535"/>
        </w:tabs>
        <w:autoSpaceDE w:val="0"/>
        <w:autoSpaceDN w:val="0"/>
        <w:adjustRightInd w:val="0"/>
      </w:pPr>
      <w:r w:rsidRPr="00673894">
        <w:t>The Commission has liaised closely with the NIO network to ensure compliance.</w:t>
      </w:r>
      <w:r w:rsidR="001F7D24" w:rsidRPr="00673894">
        <w:t xml:space="preserve">  Commissioners and staff also complete annual information assurance e-learning courses.</w:t>
      </w:r>
    </w:p>
    <w:p w14:paraId="5849C078" w14:textId="77777777" w:rsidR="000C2A54" w:rsidRPr="00422EEA" w:rsidRDefault="000C2A54" w:rsidP="000C2A54">
      <w:pPr>
        <w:autoSpaceDE w:val="0"/>
        <w:autoSpaceDN w:val="0"/>
        <w:adjustRightInd w:val="0"/>
        <w:rPr>
          <w:rFonts w:cs="Arial"/>
          <w:highlight w:val="yellow"/>
        </w:rPr>
      </w:pPr>
      <w:r w:rsidRPr="00422EEA">
        <w:rPr>
          <w:rFonts w:cs="Arial"/>
          <w:highlight w:val="yellow"/>
        </w:rPr>
        <w:t xml:space="preserve"> </w:t>
      </w:r>
    </w:p>
    <w:p w14:paraId="206991EA" w14:textId="77777777" w:rsidR="00235025" w:rsidRDefault="007F0AAB" w:rsidP="00EC3646">
      <w:pPr>
        <w:autoSpaceDE w:val="0"/>
        <w:autoSpaceDN w:val="0"/>
        <w:adjustRightInd w:val="0"/>
        <w:rPr>
          <w:rFonts w:cs="Arial"/>
        </w:rPr>
      </w:pPr>
      <w:r w:rsidRPr="00673894">
        <w:rPr>
          <w:rFonts w:cs="Arial"/>
        </w:rPr>
        <w:t xml:space="preserve">During the course of </w:t>
      </w:r>
      <w:r w:rsidR="00B12D00" w:rsidRPr="00673894">
        <w:rPr>
          <w:rFonts w:cs="Arial"/>
        </w:rPr>
        <w:t>202</w:t>
      </w:r>
      <w:r w:rsidR="00A56191" w:rsidRPr="00673894">
        <w:rPr>
          <w:rFonts w:cs="Arial"/>
        </w:rPr>
        <w:t>1</w:t>
      </w:r>
      <w:r w:rsidR="00EC3646">
        <w:rPr>
          <w:rFonts w:cs="Arial"/>
        </w:rPr>
        <w:t>-22</w:t>
      </w:r>
      <w:r w:rsidR="00B12D00" w:rsidRPr="00673894">
        <w:rPr>
          <w:rFonts w:cs="Arial"/>
        </w:rPr>
        <w:t>,</w:t>
      </w:r>
      <w:r w:rsidR="00824709" w:rsidRPr="00673894">
        <w:rPr>
          <w:rFonts w:cs="Arial"/>
        </w:rPr>
        <w:t xml:space="preserve"> the main risks </w:t>
      </w:r>
      <w:r w:rsidR="00235025">
        <w:rPr>
          <w:rFonts w:cs="Arial"/>
        </w:rPr>
        <w:t xml:space="preserve">faced by the Commission </w:t>
      </w:r>
      <w:r w:rsidR="0090090E" w:rsidRPr="00673894">
        <w:rPr>
          <w:rFonts w:cs="Arial"/>
        </w:rPr>
        <w:t>were</w:t>
      </w:r>
      <w:r w:rsidR="00235025">
        <w:rPr>
          <w:rFonts w:cs="Arial"/>
        </w:rPr>
        <w:t>:</w:t>
      </w:r>
    </w:p>
    <w:p w14:paraId="0D0F7B14" w14:textId="77777777" w:rsidR="00235025" w:rsidRDefault="00235025" w:rsidP="00EC3646">
      <w:pPr>
        <w:autoSpaceDE w:val="0"/>
        <w:autoSpaceDN w:val="0"/>
        <w:adjustRightInd w:val="0"/>
        <w:rPr>
          <w:rFonts w:cs="Arial"/>
        </w:rPr>
      </w:pPr>
    </w:p>
    <w:p w14:paraId="25F1632B" w14:textId="77777777" w:rsidR="00235025" w:rsidRDefault="00F27F88" w:rsidP="00310B25">
      <w:pPr>
        <w:pStyle w:val="ListParagraph"/>
        <w:numPr>
          <w:ilvl w:val="0"/>
          <w:numId w:val="18"/>
        </w:numPr>
        <w:autoSpaceDE w:val="0"/>
        <w:autoSpaceDN w:val="0"/>
        <w:adjustRightInd w:val="0"/>
        <w:rPr>
          <w:rFonts w:cs="Arial"/>
        </w:rPr>
      </w:pPr>
      <w:r w:rsidRPr="00235025">
        <w:rPr>
          <w:rFonts w:cs="Arial"/>
        </w:rPr>
        <w:t>the deferral of the Commission’s reaccreditation as an ‘A’ status National Human Rights Institution</w:t>
      </w:r>
      <w:r w:rsidR="00235025" w:rsidRPr="00235025">
        <w:rPr>
          <w:rFonts w:cs="Arial"/>
        </w:rPr>
        <w:t xml:space="preserve">; and </w:t>
      </w:r>
    </w:p>
    <w:p w14:paraId="3876253D" w14:textId="77777777" w:rsidR="0090090E" w:rsidRPr="00235025" w:rsidRDefault="00235025" w:rsidP="00310B25">
      <w:pPr>
        <w:pStyle w:val="ListParagraph"/>
        <w:numPr>
          <w:ilvl w:val="0"/>
          <w:numId w:val="18"/>
        </w:numPr>
        <w:autoSpaceDE w:val="0"/>
        <w:autoSpaceDN w:val="0"/>
        <w:adjustRightInd w:val="0"/>
        <w:rPr>
          <w:rFonts w:cs="Arial"/>
        </w:rPr>
      </w:pPr>
      <w:r w:rsidRPr="00235025">
        <w:rPr>
          <w:rFonts w:cs="Arial"/>
        </w:rPr>
        <w:t>business continuity as a result of the Covid-19 pandemic</w:t>
      </w:r>
      <w:r>
        <w:rPr>
          <w:rFonts w:cs="Arial"/>
        </w:rPr>
        <w:t xml:space="preserve"> and the move to new premises</w:t>
      </w:r>
      <w:r w:rsidRPr="00235025">
        <w:rPr>
          <w:rFonts w:cs="Arial"/>
        </w:rPr>
        <w:t xml:space="preserve">.  </w:t>
      </w:r>
    </w:p>
    <w:p w14:paraId="277F6CFA" w14:textId="77777777" w:rsidR="005965F7" w:rsidRDefault="005965F7" w:rsidP="00F931C1">
      <w:pPr>
        <w:pStyle w:val="CommentText"/>
        <w:rPr>
          <w:rFonts w:cs="Arial"/>
          <w:sz w:val="24"/>
          <w:szCs w:val="24"/>
        </w:rPr>
      </w:pPr>
    </w:p>
    <w:p w14:paraId="5E848829" w14:textId="77777777" w:rsidR="000C2A54" w:rsidRPr="00F931C1" w:rsidRDefault="000C2A54" w:rsidP="00F931C1">
      <w:pPr>
        <w:pStyle w:val="CommentText"/>
        <w:rPr>
          <w:sz w:val="24"/>
          <w:szCs w:val="24"/>
        </w:rPr>
      </w:pPr>
      <w:r w:rsidRPr="00F931C1">
        <w:rPr>
          <w:rFonts w:cs="Arial"/>
          <w:sz w:val="24"/>
          <w:szCs w:val="24"/>
        </w:rPr>
        <w:t>In addition to the mechanisms outlined above, as Accounting Officer, I have responsibility for ensuring the effectiveness of the system of internal control.  Reviewing the effectiveness of the system of internal control is informed by the work of the internal auditors</w:t>
      </w:r>
      <w:r w:rsidR="00C23A25" w:rsidRPr="00F931C1">
        <w:rPr>
          <w:rFonts w:cs="Arial"/>
          <w:sz w:val="24"/>
          <w:szCs w:val="24"/>
        </w:rPr>
        <w:t>, who were present for part of the financial year,</w:t>
      </w:r>
      <w:r w:rsidRPr="00F931C1">
        <w:rPr>
          <w:rFonts w:cs="Arial"/>
          <w:sz w:val="24"/>
          <w:szCs w:val="24"/>
        </w:rPr>
        <w:t xml:space="preserve"> and comments made by the external auditors in their management letter and other reports.  </w:t>
      </w:r>
      <w:r w:rsidR="00C23A25" w:rsidRPr="00F931C1">
        <w:rPr>
          <w:rFonts w:cs="Arial"/>
          <w:sz w:val="24"/>
          <w:szCs w:val="24"/>
        </w:rPr>
        <w:t>The</w:t>
      </w:r>
      <w:r w:rsidR="00C23A25" w:rsidRPr="00F931C1">
        <w:rPr>
          <w:sz w:val="24"/>
          <w:szCs w:val="24"/>
        </w:rPr>
        <w:t xml:space="preserve"> Commission Board </w:t>
      </w:r>
      <w:r w:rsidR="000D249C" w:rsidRPr="00F931C1">
        <w:rPr>
          <w:sz w:val="24"/>
          <w:szCs w:val="24"/>
        </w:rPr>
        <w:t xml:space="preserve">continued to </w:t>
      </w:r>
      <w:r w:rsidR="00C23A25" w:rsidRPr="00F931C1">
        <w:rPr>
          <w:sz w:val="24"/>
          <w:szCs w:val="24"/>
        </w:rPr>
        <w:t>receive monthly financial reports and the Commission’s Risk Register for scrutiny at each of its meetings, which were presented by the Chief Executive and the Director (Finance, Personnel and Corporate Affairs).</w:t>
      </w:r>
      <w:r w:rsidR="00DD6D05" w:rsidRPr="00F931C1">
        <w:rPr>
          <w:sz w:val="24"/>
          <w:szCs w:val="24"/>
        </w:rPr>
        <w:t xml:space="preserve">  Any corporate issues of concern were also brought to the Commission Board for discussion and approval. </w:t>
      </w:r>
      <w:r w:rsidR="00C23A25" w:rsidRPr="00F931C1">
        <w:rPr>
          <w:sz w:val="24"/>
          <w:szCs w:val="24"/>
        </w:rPr>
        <w:t xml:space="preserve">  </w:t>
      </w:r>
      <w:r w:rsidR="00F931C1" w:rsidRPr="00F931C1">
        <w:rPr>
          <w:sz w:val="24"/>
          <w:szCs w:val="24"/>
        </w:rPr>
        <w:t>The Commission’s own management controls such as its financial management procedures and the appointment of a Commissioner as interim chair and point of contact (in the absence of an independent chair) ensured that the Commission continued to operate throughout the period without any significant concerns being identified.</w:t>
      </w:r>
      <w:r w:rsidR="00F931C1">
        <w:rPr>
          <w:sz w:val="24"/>
          <w:szCs w:val="24"/>
        </w:rPr>
        <w:t xml:space="preserve">  </w:t>
      </w:r>
      <w:r w:rsidRPr="00F931C1">
        <w:rPr>
          <w:rFonts w:cs="Arial"/>
          <w:sz w:val="24"/>
          <w:szCs w:val="24"/>
        </w:rPr>
        <w:t>I have been advised on the effectiveness of the system of internal control by the Commission (the Board), the Audit and Risk Management Committee and a plan to address identified weaknesses and ensure continuous improvement of the system is in place.</w:t>
      </w:r>
      <w:r w:rsidRPr="00673894">
        <w:rPr>
          <w:rFonts w:cs="Arial"/>
        </w:rPr>
        <w:t xml:space="preserve"> </w:t>
      </w:r>
    </w:p>
    <w:p w14:paraId="1D6888D4" w14:textId="77777777" w:rsidR="000C2A54" w:rsidRPr="008711E7" w:rsidRDefault="000C2A54" w:rsidP="000C2A54">
      <w:pPr>
        <w:pStyle w:val="Default"/>
        <w:tabs>
          <w:tab w:val="left" w:pos="6930"/>
        </w:tabs>
        <w:rPr>
          <w:rFonts w:ascii="Verdana" w:hAnsi="Verdana"/>
        </w:rPr>
      </w:pPr>
    </w:p>
    <w:p w14:paraId="4E55F120" w14:textId="77777777" w:rsidR="00C206C0" w:rsidRDefault="00C206C0" w:rsidP="000C2A54">
      <w:pPr>
        <w:pStyle w:val="Default"/>
        <w:rPr>
          <w:rFonts w:ascii="Verdana" w:hAnsi="Verdana"/>
          <w:b/>
        </w:rPr>
      </w:pPr>
      <w:r>
        <w:rPr>
          <w:rFonts w:ascii="Verdana" w:hAnsi="Verdana"/>
          <w:b/>
        </w:rPr>
        <w:t>Review of effectiveness</w:t>
      </w:r>
    </w:p>
    <w:p w14:paraId="521036BC" w14:textId="77777777" w:rsidR="00C206C0" w:rsidRDefault="00C206C0" w:rsidP="000C2A54">
      <w:pPr>
        <w:pStyle w:val="Default"/>
        <w:rPr>
          <w:rFonts w:ascii="Verdana" w:hAnsi="Verdana"/>
          <w:b/>
        </w:rPr>
      </w:pPr>
    </w:p>
    <w:p w14:paraId="5310A988" w14:textId="026ACA56" w:rsidR="000C2A54" w:rsidRDefault="000C2A54" w:rsidP="000C2A54">
      <w:pPr>
        <w:pStyle w:val="Default"/>
        <w:rPr>
          <w:rFonts w:ascii="Verdana" w:hAnsi="Verdana"/>
        </w:rPr>
      </w:pPr>
      <w:r w:rsidRPr="008711E7">
        <w:rPr>
          <w:rFonts w:ascii="Verdana" w:hAnsi="Verdana"/>
        </w:rPr>
        <w:t xml:space="preserve">The Audit and Risk Management Committee reviews the effectiveness of the Commission’s internal control mechanisms, including receiving and approving internal audit plans and reports, approving the Commission’s Financial Procedures Manual and </w:t>
      </w:r>
      <w:r w:rsidR="002D7758">
        <w:rPr>
          <w:rFonts w:ascii="Verdana" w:hAnsi="Verdana"/>
        </w:rPr>
        <w:t xml:space="preserve">any </w:t>
      </w:r>
      <w:r w:rsidRPr="008711E7">
        <w:rPr>
          <w:rFonts w:ascii="Verdana" w:hAnsi="Verdana"/>
        </w:rPr>
        <w:t>significant changes to it. The Committee also oversees the risk management framework and reporting to the Commission on the effectiveness of activities to manage the occurrence or impact of identified risks</w:t>
      </w:r>
      <w:r w:rsidR="00FF1FA8" w:rsidRPr="008711E7">
        <w:rPr>
          <w:rFonts w:ascii="Verdana" w:hAnsi="Verdana"/>
        </w:rPr>
        <w:t xml:space="preserve">. </w:t>
      </w:r>
      <w:r w:rsidRPr="008711E7">
        <w:rPr>
          <w:rFonts w:ascii="Verdana" w:hAnsi="Verdana"/>
        </w:rPr>
        <w:t xml:space="preserve">The Committee furthermore reviews all international travel undertaken by Commissioners and staff, expenses claims submitted by the Chief Commissioner and the </w:t>
      </w:r>
      <w:r>
        <w:rPr>
          <w:rFonts w:ascii="Verdana" w:hAnsi="Verdana"/>
        </w:rPr>
        <w:t>Chief Executive</w:t>
      </w:r>
      <w:r w:rsidRPr="008711E7">
        <w:rPr>
          <w:rFonts w:ascii="Verdana" w:hAnsi="Verdana"/>
        </w:rPr>
        <w:t>, and purchases over £1,000, with a particular focus on any contracts let by single tender action</w:t>
      </w:r>
      <w:r w:rsidR="00FF1FA8" w:rsidRPr="008711E7">
        <w:rPr>
          <w:rFonts w:ascii="Verdana" w:hAnsi="Verdana"/>
        </w:rPr>
        <w:t xml:space="preserve">. </w:t>
      </w:r>
      <w:r w:rsidRPr="008711E7">
        <w:rPr>
          <w:rFonts w:ascii="Verdana" w:hAnsi="Verdana"/>
        </w:rPr>
        <w:t>As an additional reputational safeguard, the Chair of the Committee discharges the role of Authorising Officer for the Chief Commissioner’s travel and expenses claims.</w:t>
      </w:r>
    </w:p>
    <w:p w14:paraId="41449B13" w14:textId="77777777" w:rsidR="00FA5801" w:rsidRDefault="00FA5801" w:rsidP="000C2A54">
      <w:pPr>
        <w:pStyle w:val="Default"/>
        <w:rPr>
          <w:rFonts w:ascii="Verdana" w:hAnsi="Verdana"/>
        </w:rPr>
      </w:pPr>
    </w:p>
    <w:p w14:paraId="7FFE0B7A" w14:textId="3378D398" w:rsidR="00FA5801" w:rsidRPr="008711E7" w:rsidRDefault="00235025" w:rsidP="000C2A54">
      <w:pPr>
        <w:pStyle w:val="Default"/>
        <w:rPr>
          <w:rFonts w:ascii="Verdana" w:hAnsi="Verdana"/>
        </w:rPr>
      </w:pPr>
      <w:r>
        <w:rPr>
          <w:rFonts w:ascii="Verdana" w:hAnsi="Verdana"/>
        </w:rPr>
        <w:t>The Chief Commissioner, a</w:t>
      </w:r>
      <w:r w:rsidR="005965F7">
        <w:rPr>
          <w:rFonts w:ascii="Verdana" w:hAnsi="Verdana"/>
        </w:rPr>
        <w:t>ll senior management and staff completed Civil Service Mandatory trainings on Res</w:t>
      </w:r>
      <w:r>
        <w:rPr>
          <w:rFonts w:ascii="Verdana" w:hAnsi="Verdana"/>
        </w:rPr>
        <w:t>ponsible for Information (2018);</w:t>
      </w:r>
      <w:r w:rsidR="005965F7">
        <w:rPr>
          <w:rFonts w:ascii="Verdana" w:hAnsi="Verdana"/>
        </w:rPr>
        <w:t xml:space="preserve"> Inclusion in the Civil Service</w:t>
      </w:r>
      <w:r>
        <w:rPr>
          <w:rFonts w:ascii="Verdana" w:hAnsi="Verdana"/>
        </w:rPr>
        <w:t>;</w:t>
      </w:r>
      <w:r w:rsidR="005965F7">
        <w:rPr>
          <w:rFonts w:ascii="Verdana" w:hAnsi="Verdana"/>
        </w:rPr>
        <w:t xml:space="preserve"> and </w:t>
      </w:r>
      <w:r>
        <w:rPr>
          <w:rFonts w:ascii="Verdana" w:hAnsi="Verdana"/>
        </w:rPr>
        <w:t>Health and Safety</w:t>
      </w:r>
      <w:r w:rsidR="00FF1FA8">
        <w:rPr>
          <w:rFonts w:ascii="Verdana" w:hAnsi="Verdana"/>
        </w:rPr>
        <w:t xml:space="preserve">. </w:t>
      </w:r>
      <w:r>
        <w:rPr>
          <w:rFonts w:ascii="Verdana" w:hAnsi="Verdana"/>
        </w:rPr>
        <w:t>A full induction programme was also put in place for the newly appointed Chief Commissioner.</w:t>
      </w:r>
    </w:p>
    <w:p w14:paraId="500B56E2" w14:textId="77777777" w:rsidR="000C2A54" w:rsidRPr="008711E7" w:rsidRDefault="000C2A54" w:rsidP="000C2A54">
      <w:pPr>
        <w:pStyle w:val="Default"/>
        <w:rPr>
          <w:rFonts w:ascii="Verdana" w:hAnsi="Verdana"/>
        </w:rPr>
      </w:pPr>
    </w:p>
    <w:p w14:paraId="5E10F6D7" w14:textId="77777777" w:rsidR="000C2A54" w:rsidRDefault="000C2A54" w:rsidP="000C2A54">
      <w:pPr>
        <w:pStyle w:val="Default"/>
        <w:rPr>
          <w:rFonts w:ascii="Verdana" w:hAnsi="Verdana"/>
        </w:rPr>
      </w:pPr>
      <w:r w:rsidRPr="008711E7">
        <w:rPr>
          <w:rFonts w:ascii="Verdana" w:hAnsi="Verdana"/>
        </w:rPr>
        <w:t xml:space="preserve">The Committee contributed an audit, risk management and value perspective to the development of the Commission’s strategic and business plans, and of its policies across a range of issues including </w:t>
      </w:r>
      <w:r w:rsidR="00F33A38">
        <w:rPr>
          <w:rFonts w:ascii="Verdana" w:hAnsi="Verdana"/>
        </w:rPr>
        <w:t>managing difficult members of the public</w:t>
      </w:r>
      <w:r w:rsidRPr="008711E7">
        <w:rPr>
          <w:rFonts w:ascii="Verdana" w:hAnsi="Verdana"/>
        </w:rPr>
        <w:t>.</w:t>
      </w:r>
    </w:p>
    <w:p w14:paraId="4BDA6EAC" w14:textId="77777777" w:rsidR="00AE6223" w:rsidRDefault="00AE6223" w:rsidP="000C2A54">
      <w:pPr>
        <w:pStyle w:val="Default"/>
        <w:rPr>
          <w:rFonts w:ascii="Verdana" w:hAnsi="Verdana"/>
        </w:rPr>
      </w:pPr>
    </w:p>
    <w:p w14:paraId="15D48ACA" w14:textId="77777777" w:rsidR="00213CA3" w:rsidRDefault="00213CA3" w:rsidP="000C2A54">
      <w:pPr>
        <w:pStyle w:val="Default"/>
        <w:rPr>
          <w:rFonts w:ascii="Verdana" w:hAnsi="Verdana"/>
          <w:b/>
        </w:rPr>
      </w:pPr>
      <w:r>
        <w:rPr>
          <w:rFonts w:ascii="Verdana" w:hAnsi="Verdana"/>
          <w:b/>
        </w:rPr>
        <w:t>Internal Auditors</w:t>
      </w:r>
      <w:r w:rsidR="007F0AAB">
        <w:rPr>
          <w:rFonts w:ascii="Verdana" w:hAnsi="Verdana"/>
          <w:b/>
        </w:rPr>
        <w:t xml:space="preserve"> </w:t>
      </w:r>
    </w:p>
    <w:p w14:paraId="15DD13BE" w14:textId="77777777" w:rsidR="00213CA3" w:rsidRDefault="00213CA3" w:rsidP="000C2A54">
      <w:pPr>
        <w:pStyle w:val="Default"/>
        <w:rPr>
          <w:rFonts w:ascii="Verdana" w:hAnsi="Verdana"/>
          <w:b/>
        </w:rPr>
      </w:pPr>
    </w:p>
    <w:p w14:paraId="5D4B27E1" w14:textId="526D8E24" w:rsidR="004D1416" w:rsidRDefault="009C387D" w:rsidP="000C2A54">
      <w:pPr>
        <w:pStyle w:val="Default"/>
        <w:rPr>
          <w:rFonts w:ascii="Verdana" w:hAnsi="Verdana"/>
        </w:rPr>
      </w:pPr>
      <w:r w:rsidRPr="3285EAFF">
        <w:rPr>
          <w:rFonts w:ascii="Verdana" w:hAnsi="Verdana"/>
        </w:rPr>
        <w:t>Through a tender process ASM were appointed as the Commission’s new Internal Auditors and commenced in March 202</w:t>
      </w:r>
      <w:r w:rsidR="00CA0E4C">
        <w:rPr>
          <w:rFonts w:ascii="Verdana" w:hAnsi="Verdana"/>
        </w:rPr>
        <w:t>1</w:t>
      </w:r>
      <w:r w:rsidR="00FF1FA8" w:rsidRPr="3285EAFF">
        <w:rPr>
          <w:rFonts w:ascii="Verdana" w:hAnsi="Verdana"/>
        </w:rPr>
        <w:t xml:space="preserve">. </w:t>
      </w:r>
      <w:r w:rsidR="004A73A8">
        <w:rPr>
          <w:rFonts w:ascii="Verdana" w:hAnsi="Verdana"/>
        </w:rPr>
        <w:t>The services that will be provided by ASM will operate to standards defined by the Public Sector Internal Audit Standards</w:t>
      </w:r>
      <w:r w:rsidR="00FF1FA8">
        <w:rPr>
          <w:rFonts w:ascii="Verdana" w:hAnsi="Verdana"/>
        </w:rPr>
        <w:t xml:space="preserve">. </w:t>
      </w:r>
      <w:r w:rsidRPr="3285EAFF">
        <w:rPr>
          <w:rFonts w:ascii="Verdana" w:hAnsi="Verdana"/>
        </w:rPr>
        <w:t xml:space="preserve">A Strategic Internal Audit for their 3-year appointment and an Internal Audit Plan for 2021-22 was presented to the Commission’s Audit and Risk Management Committee in </w:t>
      </w:r>
      <w:r w:rsidR="01C15119" w:rsidRPr="3285EAFF">
        <w:rPr>
          <w:rFonts w:ascii="Verdana" w:hAnsi="Verdana"/>
        </w:rPr>
        <w:t xml:space="preserve">June </w:t>
      </w:r>
      <w:r w:rsidRPr="3285EAFF">
        <w:rPr>
          <w:rFonts w:ascii="Verdana" w:hAnsi="Verdana"/>
        </w:rPr>
        <w:t>2021 for approval.</w:t>
      </w:r>
    </w:p>
    <w:p w14:paraId="2745C3FF" w14:textId="77777777" w:rsidR="004D1416" w:rsidRDefault="004D1416" w:rsidP="000C2A54">
      <w:pPr>
        <w:pStyle w:val="Default"/>
        <w:rPr>
          <w:rFonts w:ascii="Verdana" w:hAnsi="Verdana"/>
        </w:rPr>
      </w:pPr>
    </w:p>
    <w:p w14:paraId="3A7CDEA3" w14:textId="09D3A366" w:rsidR="00AE6223" w:rsidRDefault="004D1416" w:rsidP="000C2A54">
      <w:pPr>
        <w:pStyle w:val="Default"/>
        <w:rPr>
          <w:rFonts w:ascii="Verdana" w:hAnsi="Verdana"/>
        </w:rPr>
      </w:pPr>
      <w:r>
        <w:rPr>
          <w:rFonts w:ascii="Verdana" w:hAnsi="Verdana"/>
        </w:rPr>
        <w:t>Internal Audit’s work plan is informed by an analysis of the risk to which the Commission is exposed</w:t>
      </w:r>
      <w:r w:rsidR="00FF1FA8">
        <w:rPr>
          <w:rFonts w:ascii="Verdana" w:hAnsi="Verdana"/>
        </w:rPr>
        <w:t xml:space="preserve">. </w:t>
      </w:r>
    </w:p>
    <w:p w14:paraId="6375D440" w14:textId="77777777" w:rsidR="00A076E3" w:rsidRDefault="00A076E3" w:rsidP="000C2A54">
      <w:pPr>
        <w:pStyle w:val="Default"/>
        <w:rPr>
          <w:rFonts w:ascii="Verdana" w:hAnsi="Verdana"/>
        </w:rPr>
      </w:pPr>
    </w:p>
    <w:p w14:paraId="3A5C8E91" w14:textId="77777777" w:rsidR="00A076E3" w:rsidRDefault="00A076E3" w:rsidP="000C2A54">
      <w:pPr>
        <w:pStyle w:val="Default"/>
        <w:rPr>
          <w:rFonts w:ascii="Verdana" w:hAnsi="Verdana"/>
        </w:rPr>
      </w:pPr>
      <w:r>
        <w:rPr>
          <w:rFonts w:ascii="Verdana" w:hAnsi="Verdana"/>
        </w:rPr>
        <w:t xml:space="preserve">The internal audits </w:t>
      </w:r>
      <w:r w:rsidR="00514876">
        <w:rPr>
          <w:rFonts w:ascii="Verdana" w:hAnsi="Verdana"/>
        </w:rPr>
        <w:t xml:space="preserve">planned </w:t>
      </w:r>
      <w:r w:rsidR="00023AAA">
        <w:rPr>
          <w:rFonts w:ascii="Verdana" w:hAnsi="Verdana"/>
        </w:rPr>
        <w:t>in-year</w:t>
      </w:r>
      <w:r>
        <w:rPr>
          <w:rFonts w:ascii="Verdana" w:hAnsi="Verdana"/>
        </w:rPr>
        <w:t xml:space="preserve"> </w:t>
      </w:r>
      <w:r w:rsidR="00EC3646">
        <w:rPr>
          <w:rFonts w:ascii="Verdana" w:hAnsi="Verdana"/>
        </w:rPr>
        <w:t>focused</w:t>
      </w:r>
      <w:r>
        <w:rPr>
          <w:rFonts w:ascii="Verdana" w:hAnsi="Verdana"/>
        </w:rPr>
        <w:t xml:space="preserve"> on the following areas:</w:t>
      </w:r>
    </w:p>
    <w:p w14:paraId="0BD6190F" w14:textId="77777777" w:rsidR="00A076E3" w:rsidRDefault="00A076E3" w:rsidP="000C2A54">
      <w:pPr>
        <w:pStyle w:val="Default"/>
        <w:rPr>
          <w:rFonts w:ascii="Verdana" w:hAnsi="Verdana"/>
        </w:rPr>
      </w:pPr>
    </w:p>
    <w:p w14:paraId="2F8C19C2" w14:textId="77777777" w:rsidR="00514876" w:rsidRDefault="00EC3646" w:rsidP="00310B25">
      <w:pPr>
        <w:pStyle w:val="Default"/>
        <w:numPr>
          <w:ilvl w:val="0"/>
          <w:numId w:val="12"/>
        </w:numPr>
        <w:rPr>
          <w:rFonts w:ascii="Verdana" w:hAnsi="Verdana"/>
        </w:rPr>
      </w:pPr>
      <w:r>
        <w:rPr>
          <w:rFonts w:ascii="Verdana" w:hAnsi="Verdana"/>
        </w:rPr>
        <w:t>Payroll, Pensions and Travel and Subsistence</w:t>
      </w:r>
    </w:p>
    <w:p w14:paraId="2CC501FE" w14:textId="77777777" w:rsidR="00EC3646" w:rsidRDefault="00EC3646" w:rsidP="00310B25">
      <w:pPr>
        <w:pStyle w:val="Default"/>
        <w:numPr>
          <w:ilvl w:val="0"/>
          <w:numId w:val="12"/>
        </w:numPr>
        <w:rPr>
          <w:rFonts w:ascii="Verdana" w:hAnsi="Verdana"/>
        </w:rPr>
      </w:pPr>
      <w:r>
        <w:rPr>
          <w:rFonts w:ascii="Verdana" w:hAnsi="Verdana"/>
        </w:rPr>
        <w:t>Financial Systems (including budget management and financial information; purchasing; procurement and contract management; bank and cash; and fixed assets</w:t>
      </w:r>
    </w:p>
    <w:p w14:paraId="1CEA30F0" w14:textId="77777777" w:rsidR="00EC3646" w:rsidRDefault="00EC3646" w:rsidP="00310B25">
      <w:pPr>
        <w:pStyle w:val="Default"/>
        <w:numPr>
          <w:ilvl w:val="0"/>
          <w:numId w:val="12"/>
        </w:numPr>
        <w:rPr>
          <w:rFonts w:ascii="Verdana" w:hAnsi="Verdana"/>
        </w:rPr>
      </w:pPr>
      <w:r>
        <w:rPr>
          <w:rFonts w:ascii="Verdana" w:hAnsi="Verdana"/>
        </w:rPr>
        <w:t>Strategic and Business Planning</w:t>
      </w:r>
    </w:p>
    <w:p w14:paraId="5F641B7C" w14:textId="77777777" w:rsidR="00EC3646" w:rsidRDefault="00EC3646" w:rsidP="00310B25">
      <w:pPr>
        <w:pStyle w:val="Default"/>
        <w:numPr>
          <w:ilvl w:val="0"/>
          <w:numId w:val="12"/>
        </w:numPr>
        <w:rPr>
          <w:rFonts w:ascii="Verdana" w:hAnsi="Verdana"/>
        </w:rPr>
      </w:pPr>
      <w:r>
        <w:rPr>
          <w:rFonts w:ascii="Verdana" w:hAnsi="Verdana"/>
        </w:rPr>
        <w:t>Follow up audit of outstanding recommendations from prior year</w:t>
      </w:r>
    </w:p>
    <w:p w14:paraId="1E7F5C02" w14:textId="77777777" w:rsidR="000C2A54" w:rsidRDefault="000C2A54" w:rsidP="000C2A54"/>
    <w:p w14:paraId="16F98B27" w14:textId="77777777" w:rsidR="004D1416" w:rsidRDefault="004D1416" w:rsidP="000C2A54">
      <w:r>
        <w:t xml:space="preserve">Internal audit findings are presented to the Audit and Risk Management Committee and copies of all final reports are provided to me, in my role as Accounting Officer.  In addition, Internal Audit provided an Annual Assurance Report </w:t>
      </w:r>
      <w:r w:rsidR="008B2B4F">
        <w:t xml:space="preserve">in April 2022, which will be presented </w:t>
      </w:r>
      <w:r>
        <w:t>to the Audit and Risk Management Committee</w:t>
      </w:r>
      <w:r w:rsidR="008B2B4F">
        <w:t xml:space="preserve"> in June 2022</w:t>
      </w:r>
      <w:r>
        <w:t>, confirming that the Commission’s systems in relation to risk management, control and governance were adequate and operated effectively, thereby providing an overall satisfactory assurance</w:t>
      </w:r>
      <w:r w:rsidR="00EA6EB8">
        <w:t>.</w:t>
      </w:r>
      <w:r w:rsidR="00EC4F2C">
        <w:t xml:space="preserve">  </w:t>
      </w:r>
    </w:p>
    <w:p w14:paraId="7E5C0326" w14:textId="77777777" w:rsidR="004D1416" w:rsidRPr="008711E7" w:rsidRDefault="004D1416" w:rsidP="000C2A54"/>
    <w:p w14:paraId="2AF1BA8C" w14:textId="77777777" w:rsidR="000C2A54" w:rsidRDefault="000C2A54" w:rsidP="000C2A54">
      <w:pPr>
        <w:rPr>
          <w:rFonts w:eastAsia="PMingLiU"/>
        </w:rPr>
      </w:pPr>
      <w:r w:rsidRPr="00A076E3">
        <w:rPr>
          <w:rFonts w:eastAsia="PMingLiU"/>
        </w:rPr>
        <w:t xml:space="preserve">Commissioners </w:t>
      </w:r>
      <w:r w:rsidR="00A076E3" w:rsidRPr="00A076E3">
        <w:rPr>
          <w:rFonts w:eastAsia="PMingLiU"/>
        </w:rPr>
        <w:t>continue to</w:t>
      </w:r>
      <w:r w:rsidRPr="00A076E3">
        <w:rPr>
          <w:rFonts w:eastAsia="PMingLiU"/>
        </w:rPr>
        <w:t xml:space="preserve"> receive monthly reports on financial performance and audit activity, and regular updates on the risk register.</w:t>
      </w:r>
      <w:r w:rsidRPr="008711E7">
        <w:rPr>
          <w:rFonts w:eastAsia="PMingLiU"/>
        </w:rPr>
        <w:t xml:space="preserve">  </w:t>
      </w:r>
    </w:p>
    <w:p w14:paraId="168E5C83" w14:textId="77777777" w:rsidR="00213CA3" w:rsidRDefault="00213CA3" w:rsidP="000C2A54">
      <w:pPr>
        <w:rPr>
          <w:rFonts w:eastAsia="PMingLiU"/>
        </w:rPr>
      </w:pPr>
    </w:p>
    <w:p w14:paraId="6E7FC449" w14:textId="77777777" w:rsidR="00213CA3" w:rsidRDefault="00213CA3" w:rsidP="000C2A54">
      <w:pPr>
        <w:rPr>
          <w:rFonts w:eastAsia="PMingLiU"/>
          <w:b/>
        </w:rPr>
      </w:pPr>
      <w:r>
        <w:rPr>
          <w:rFonts w:eastAsia="PMingLiU"/>
          <w:b/>
        </w:rPr>
        <w:t>External Auditors</w:t>
      </w:r>
      <w:r w:rsidR="00D655FB">
        <w:rPr>
          <w:rFonts w:eastAsia="PMingLiU"/>
          <w:b/>
        </w:rPr>
        <w:t xml:space="preserve"> </w:t>
      </w:r>
    </w:p>
    <w:p w14:paraId="369A154A" w14:textId="77777777" w:rsidR="00213CA3" w:rsidRDefault="00213CA3" w:rsidP="000C2A54">
      <w:pPr>
        <w:rPr>
          <w:rFonts w:eastAsia="PMingLiU"/>
          <w:b/>
        </w:rPr>
      </w:pPr>
    </w:p>
    <w:p w14:paraId="502F7998" w14:textId="4875851B" w:rsidR="00213CA3" w:rsidRDefault="00213CA3" w:rsidP="000C2A54">
      <w:pPr>
        <w:rPr>
          <w:rFonts w:eastAsia="PMingLiU"/>
        </w:rPr>
      </w:pPr>
      <w:r>
        <w:rPr>
          <w:rFonts w:eastAsia="PMingLiU"/>
        </w:rPr>
        <w:t>Representatives from the National Audit Office</w:t>
      </w:r>
      <w:r w:rsidR="007721B4">
        <w:rPr>
          <w:rFonts w:eastAsia="PMingLiU"/>
        </w:rPr>
        <w:t xml:space="preserve"> (NAO) and Ernst</w:t>
      </w:r>
      <w:r w:rsidR="00F15080">
        <w:rPr>
          <w:rFonts w:eastAsia="PMingLiU"/>
        </w:rPr>
        <w:t xml:space="preserve"> &amp; </w:t>
      </w:r>
      <w:r w:rsidR="007721B4">
        <w:rPr>
          <w:rFonts w:eastAsia="PMingLiU"/>
        </w:rPr>
        <w:t xml:space="preserve">Young </w:t>
      </w:r>
      <w:r w:rsidR="00F15080">
        <w:rPr>
          <w:rFonts w:eastAsia="PMingLiU"/>
        </w:rPr>
        <w:t xml:space="preserve">LLP </w:t>
      </w:r>
      <w:r w:rsidR="007721B4">
        <w:rPr>
          <w:rFonts w:eastAsia="PMingLiU"/>
        </w:rPr>
        <w:t>(EY), who were appointed by the NAO to conduct the external audit on their behalf,</w:t>
      </w:r>
      <w:r>
        <w:rPr>
          <w:rFonts w:eastAsia="PMingLiU"/>
        </w:rPr>
        <w:t xml:space="preserve"> attended all of the Committee’s meetings.  During this reporting </w:t>
      </w:r>
      <w:r w:rsidR="00B12D00">
        <w:rPr>
          <w:rFonts w:eastAsia="PMingLiU"/>
        </w:rPr>
        <w:t>period,</w:t>
      </w:r>
      <w:r>
        <w:rPr>
          <w:rFonts w:eastAsia="PMingLiU"/>
        </w:rPr>
        <w:t xml:space="preserve"> the Committee had a positive engagement with auditors in respect of the</w:t>
      </w:r>
      <w:r w:rsidR="008B2B4F">
        <w:rPr>
          <w:rFonts w:eastAsia="PMingLiU"/>
        </w:rPr>
        <w:t xml:space="preserve"> completion report for the 2020-21</w:t>
      </w:r>
      <w:r>
        <w:rPr>
          <w:rFonts w:eastAsia="PMingLiU"/>
        </w:rPr>
        <w:t xml:space="preserve"> accounts</w:t>
      </w:r>
      <w:r w:rsidR="00023AAA">
        <w:rPr>
          <w:rFonts w:eastAsia="PMingLiU"/>
        </w:rPr>
        <w:t xml:space="preserve"> and the prepa</w:t>
      </w:r>
      <w:r w:rsidR="009C387D">
        <w:rPr>
          <w:rFonts w:eastAsia="PMingLiU"/>
        </w:rPr>
        <w:t>ration of the 20</w:t>
      </w:r>
      <w:r w:rsidR="008B2B4F">
        <w:rPr>
          <w:rFonts w:eastAsia="PMingLiU"/>
        </w:rPr>
        <w:t>21-22</w:t>
      </w:r>
      <w:r w:rsidR="00023AAA">
        <w:rPr>
          <w:rFonts w:eastAsia="PMingLiU"/>
        </w:rPr>
        <w:t xml:space="preserve"> accounts</w:t>
      </w:r>
      <w:r>
        <w:rPr>
          <w:rFonts w:eastAsia="PMingLiU"/>
        </w:rPr>
        <w:t>.</w:t>
      </w:r>
    </w:p>
    <w:p w14:paraId="4858A186" w14:textId="77777777" w:rsidR="00213CA3" w:rsidRDefault="00213CA3" w:rsidP="000C2A54">
      <w:pPr>
        <w:rPr>
          <w:rFonts w:eastAsia="PMingLiU"/>
        </w:rPr>
      </w:pPr>
    </w:p>
    <w:p w14:paraId="0B395B56" w14:textId="77777777" w:rsidR="00213CA3" w:rsidRPr="00213CA3" w:rsidRDefault="00213CA3" w:rsidP="000C2A54">
      <w:pPr>
        <w:rPr>
          <w:rFonts w:eastAsia="PMingLiU"/>
        </w:rPr>
      </w:pPr>
      <w:r>
        <w:rPr>
          <w:rFonts w:eastAsia="PMingLiU"/>
        </w:rPr>
        <w:t xml:space="preserve">The Committee </w:t>
      </w:r>
      <w:r w:rsidR="00023AAA">
        <w:rPr>
          <w:rFonts w:eastAsia="PMingLiU"/>
        </w:rPr>
        <w:t>has c</w:t>
      </w:r>
      <w:r w:rsidR="00CC02A7">
        <w:rPr>
          <w:rFonts w:eastAsia="PMingLiU"/>
        </w:rPr>
        <w:t>ontinue</w:t>
      </w:r>
      <w:r w:rsidR="00023AAA">
        <w:rPr>
          <w:rFonts w:eastAsia="PMingLiU"/>
        </w:rPr>
        <w:t>d</w:t>
      </w:r>
      <w:r w:rsidR="00CC02A7">
        <w:rPr>
          <w:rFonts w:eastAsia="PMingLiU"/>
        </w:rPr>
        <w:t xml:space="preserve"> to work</w:t>
      </w:r>
      <w:r>
        <w:rPr>
          <w:rFonts w:eastAsia="PMingLiU"/>
        </w:rPr>
        <w:t xml:space="preserve"> closely with the external auditors </w:t>
      </w:r>
      <w:r w:rsidR="00023AAA">
        <w:rPr>
          <w:rFonts w:eastAsia="PMingLiU"/>
        </w:rPr>
        <w:t>in this</w:t>
      </w:r>
      <w:r>
        <w:rPr>
          <w:rFonts w:eastAsia="PMingLiU"/>
        </w:rPr>
        <w:t xml:space="preserve"> reporting period</w:t>
      </w:r>
      <w:r w:rsidR="00023AAA">
        <w:rPr>
          <w:rFonts w:eastAsia="PMingLiU"/>
        </w:rPr>
        <w:t xml:space="preserve"> and will continue to do</w:t>
      </w:r>
      <w:r>
        <w:rPr>
          <w:rFonts w:eastAsia="PMingLiU"/>
        </w:rPr>
        <w:t>.</w:t>
      </w:r>
    </w:p>
    <w:p w14:paraId="3271BAEC" w14:textId="77777777" w:rsidR="000C2A54" w:rsidRPr="008711E7" w:rsidRDefault="000C2A54" w:rsidP="000C2A54">
      <w:pPr>
        <w:widowControl w:val="0"/>
        <w:autoSpaceDE w:val="0"/>
        <w:autoSpaceDN w:val="0"/>
        <w:adjustRightInd w:val="0"/>
        <w:rPr>
          <w:b/>
        </w:rPr>
      </w:pPr>
    </w:p>
    <w:p w14:paraId="501CD0EA" w14:textId="77777777" w:rsidR="00BD7394" w:rsidRDefault="00BD7394" w:rsidP="000C2A54">
      <w:pPr>
        <w:widowControl w:val="0"/>
        <w:autoSpaceDE w:val="0"/>
        <w:autoSpaceDN w:val="0"/>
        <w:adjustRightInd w:val="0"/>
        <w:rPr>
          <w:b/>
          <w:noProof/>
          <w:lang w:eastAsia="en-GB"/>
        </w:rPr>
      </w:pPr>
      <w:r>
        <w:rPr>
          <w:b/>
          <w:noProof/>
          <w:lang w:eastAsia="en-GB"/>
        </w:rPr>
        <w:t>Corporate Governance</w:t>
      </w:r>
    </w:p>
    <w:p w14:paraId="7C879166" w14:textId="77777777" w:rsidR="00BD7394" w:rsidRDefault="00BD7394" w:rsidP="000C2A54">
      <w:pPr>
        <w:widowControl w:val="0"/>
        <w:autoSpaceDE w:val="0"/>
        <w:autoSpaceDN w:val="0"/>
        <w:adjustRightInd w:val="0"/>
        <w:rPr>
          <w:b/>
          <w:noProof/>
          <w:lang w:eastAsia="en-GB"/>
        </w:rPr>
      </w:pPr>
    </w:p>
    <w:p w14:paraId="77E1E193" w14:textId="50518F1D" w:rsidR="000C2A54" w:rsidRDefault="00BD7394" w:rsidP="000C2A54">
      <w:pPr>
        <w:widowControl w:val="0"/>
        <w:autoSpaceDE w:val="0"/>
        <w:autoSpaceDN w:val="0"/>
        <w:adjustRightInd w:val="0"/>
        <w:rPr>
          <w:noProof/>
          <w:lang w:eastAsia="en-GB"/>
        </w:rPr>
      </w:pPr>
      <w:r>
        <w:rPr>
          <w:noProof/>
          <w:lang w:eastAsia="en-GB"/>
        </w:rPr>
        <w:t xml:space="preserve">The Commission conducts its affairs in accordance with a Code of Governance prepared in line with the Cabinet Office ‘Code of Best Practice for Board Members of Public Bodies’.  </w:t>
      </w:r>
      <w:r w:rsidR="00500D76">
        <w:rPr>
          <w:noProof/>
          <w:lang w:eastAsia="en-GB"/>
        </w:rPr>
        <w:t>A formal self</w:t>
      </w:r>
      <w:r w:rsidR="000255BE">
        <w:rPr>
          <w:noProof/>
          <w:lang w:eastAsia="en-GB"/>
        </w:rPr>
        <w:t>-</w:t>
      </w:r>
      <w:r w:rsidR="00500D76">
        <w:rPr>
          <w:noProof/>
          <w:lang w:eastAsia="en-GB"/>
        </w:rPr>
        <w:t xml:space="preserve">assessment </w:t>
      </w:r>
      <w:r w:rsidR="000255BE">
        <w:rPr>
          <w:noProof/>
          <w:lang w:eastAsia="en-GB"/>
        </w:rPr>
        <w:t xml:space="preserve">of the Board </w:t>
      </w:r>
      <w:r w:rsidR="00500D76">
        <w:rPr>
          <w:noProof/>
          <w:lang w:eastAsia="en-GB"/>
        </w:rPr>
        <w:t xml:space="preserve">is due to take place in September 2022 and will be completed on an annual basis going forward.  </w:t>
      </w:r>
      <w:r>
        <w:rPr>
          <w:noProof/>
          <w:lang w:eastAsia="en-GB"/>
        </w:rPr>
        <w:t>It also reflects the principles set out in the Corporate Governance in central government departments: Code of Good Practice; the outcome of internal governance reviews; good governance principles developed by the Independent Commission on Good Governance and current best practice principles in coporate governance.</w:t>
      </w:r>
      <w:r w:rsidR="00045A2B">
        <w:rPr>
          <w:noProof/>
          <w:lang w:eastAsia="en-GB"/>
        </w:rPr>
        <w:t xml:space="preserve">  The Commission’s Code of Governance, including Standing Orders is due to be reviewed in 2022-23.</w:t>
      </w:r>
    </w:p>
    <w:p w14:paraId="2F97B76B" w14:textId="77777777" w:rsidR="00BD7394" w:rsidRDefault="00BD7394" w:rsidP="000C2A54">
      <w:pPr>
        <w:widowControl w:val="0"/>
        <w:autoSpaceDE w:val="0"/>
        <w:autoSpaceDN w:val="0"/>
        <w:adjustRightInd w:val="0"/>
        <w:rPr>
          <w:noProof/>
          <w:lang w:eastAsia="en-GB"/>
        </w:rPr>
      </w:pPr>
    </w:p>
    <w:p w14:paraId="6A6456D0" w14:textId="77777777" w:rsidR="00BD7394" w:rsidRDefault="00BD7394" w:rsidP="000C2A54">
      <w:pPr>
        <w:widowControl w:val="0"/>
        <w:autoSpaceDE w:val="0"/>
        <w:autoSpaceDN w:val="0"/>
        <w:adjustRightInd w:val="0"/>
        <w:rPr>
          <w:noProof/>
          <w:lang w:eastAsia="en-GB"/>
        </w:rPr>
      </w:pPr>
      <w:r>
        <w:rPr>
          <w:noProof/>
          <w:lang w:eastAsia="en-GB"/>
        </w:rPr>
        <w:t>The Commission has a comprehensive Framework document with the NIO which sets down its value and principles and lines of accountability.</w:t>
      </w:r>
    </w:p>
    <w:p w14:paraId="26636CB0" w14:textId="77777777" w:rsidR="005D1FE1" w:rsidRDefault="005D1FE1" w:rsidP="000C2A54">
      <w:pPr>
        <w:widowControl w:val="0"/>
        <w:autoSpaceDE w:val="0"/>
        <w:autoSpaceDN w:val="0"/>
        <w:adjustRightInd w:val="0"/>
        <w:rPr>
          <w:noProof/>
          <w:lang w:eastAsia="en-GB"/>
        </w:rPr>
      </w:pPr>
    </w:p>
    <w:p w14:paraId="4F4D70D5" w14:textId="77777777" w:rsidR="005D1FE1" w:rsidRDefault="005D1FE1" w:rsidP="000C2A54">
      <w:pPr>
        <w:widowControl w:val="0"/>
        <w:autoSpaceDE w:val="0"/>
        <w:autoSpaceDN w:val="0"/>
        <w:adjustRightInd w:val="0"/>
        <w:rPr>
          <w:noProof/>
          <w:lang w:eastAsia="en-GB"/>
        </w:rPr>
      </w:pPr>
      <w:r w:rsidRPr="62F844E5">
        <w:rPr>
          <w:noProof/>
          <w:lang w:eastAsia="en-GB"/>
        </w:rPr>
        <w:t xml:space="preserve">Stewardship Statements are completed bi-annually and submitted to the NIO. </w:t>
      </w:r>
      <w:r w:rsidR="008B2B4F">
        <w:rPr>
          <w:noProof/>
          <w:lang w:eastAsia="en-GB"/>
        </w:rPr>
        <w:t>The 20</w:t>
      </w:r>
      <w:r w:rsidR="63397868" w:rsidRPr="62F844E5">
        <w:rPr>
          <w:noProof/>
          <w:lang w:eastAsia="en-GB"/>
        </w:rPr>
        <w:t>21</w:t>
      </w:r>
      <w:r w:rsidR="008B2B4F">
        <w:rPr>
          <w:noProof/>
          <w:lang w:eastAsia="en-GB"/>
        </w:rPr>
        <w:t>-22</w:t>
      </w:r>
      <w:r w:rsidR="63397868" w:rsidRPr="62F844E5">
        <w:rPr>
          <w:noProof/>
          <w:lang w:eastAsia="en-GB"/>
        </w:rPr>
        <w:t xml:space="preserve"> statement was provided </w:t>
      </w:r>
      <w:r w:rsidR="008B2B4F">
        <w:rPr>
          <w:noProof/>
          <w:lang w:eastAsia="en-GB"/>
        </w:rPr>
        <w:t xml:space="preserve">to the NIO in November 2021 and at the end of the financial year.  </w:t>
      </w:r>
      <w:r w:rsidRPr="62F844E5">
        <w:rPr>
          <w:noProof/>
          <w:lang w:eastAsia="en-GB"/>
        </w:rPr>
        <w:t>The purpose of the statements is to provide assurance that the Commission maintains a sound system of internal control within its business area to support the achievement of the NIO’s policies and objectives, whilst safeguarding public funds and assets.</w:t>
      </w:r>
      <w:r w:rsidR="00283726" w:rsidRPr="62F844E5">
        <w:rPr>
          <w:noProof/>
          <w:lang w:eastAsia="en-GB"/>
        </w:rPr>
        <w:t xml:space="preserve">  These statements also inform the content of this Governance Statement.</w:t>
      </w:r>
    </w:p>
    <w:p w14:paraId="68EE6D80" w14:textId="4C2FB031" w:rsidR="00C206C0" w:rsidRDefault="00C206C0" w:rsidP="000C2A54">
      <w:pPr>
        <w:widowControl w:val="0"/>
        <w:autoSpaceDE w:val="0"/>
        <w:autoSpaceDN w:val="0"/>
        <w:adjustRightInd w:val="0"/>
        <w:rPr>
          <w:noProof/>
          <w:lang w:eastAsia="en-GB"/>
        </w:rPr>
      </w:pPr>
    </w:p>
    <w:p w14:paraId="5C8731AC" w14:textId="0BCDAE1F" w:rsidR="00987EA7" w:rsidRPr="00987EA7" w:rsidRDefault="00987EA7" w:rsidP="000C2A54">
      <w:pPr>
        <w:widowControl w:val="0"/>
        <w:autoSpaceDE w:val="0"/>
        <w:autoSpaceDN w:val="0"/>
        <w:adjustRightInd w:val="0"/>
        <w:rPr>
          <w:b/>
          <w:noProof/>
          <w:lang w:eastAsia="en-GB"/>
        </w:rPr>
      </w:pPr>
      <w:r w:rsidRPr="00987EA7">
        <w:rPr>
          <w:b/>
          <w:noProof/>
          <w:lang w:eastAsia="en-GB"/>
        </w:rPr>
        <w:t xml:space="preserve">Going Concern </w:t>
      </w:r>
    </w:p>
    <w:p w14:paraId="42BEF7D7" w14:textId="77777777" w:rsidR="00987EA7" w:rsidRPr="00987EA7" w:rsidRDefault="00987EA7" w:rsidP="00C206C0">
      <w:pPr>
        <w:widowControl w:val="0"/>
        <w:autoSpaceDE w:val="0"/>
        <w:autoSpaceDN w:val="0"/>
        <w:adjustRightInd w:val="0"/>
        <w:rPr>
          <w:b/>
          <w:noProof/>
          <w:lang w:eastAsia="en-GB"/>
        </w:rPr>
      </w:pPr>
    </w:p>
    <w:p w14:paraId="1DC53A7B" w14:textId="77777777" w:rsidR="00987EA7" w:rsidRDefault="00987EA7" w:rsidP="00987EA7">
      <w:pPr>
        <w:ind w:left="22" w:hanging="22"/>
        <w:rPr>
          <w:bCs/>
          <w:color w:val="auto"/>
        </w:rPr>
      </w:pPr>
      <w:r>
        <w:t xml:space="preserve">The Commission’s sponsoring body is the Northern Ireland Office as laid out in </w:t>
      </w:r>
      <w:r w:rsidRPr="006867D6">
        <w:rPr>
          <w:bCs/>
          <w:color w:val="auto"/>
        </w:rPr>
        <w:t>the Northern Ireland Act 1998</w:t>
      </w:r>
      <w:r>
        <w:rPr>
          <w:bCs/>
          <w:color w:val="auto"/>
        </w:rPr>
        <w:t xml:space="preserve">. </w:t>
      </w:r>
      <w:r>
        <w:t xml:space="preserve">The Commission’s core budget for 2022-23 has been approved by the Northern Ireland Office. At the date of this report, the accounting officer has no reason to believe that further support beyond 31 March 2023 will not be forthcoming, not only due to the protections laid down in </w:t>
      </w:r>
      <w:r w:rsidRPr="006867D6">
        <w:rPr>
          <w:bCs/>
          <w:color w:val="auto"/>
        </w:rPr>
        <w:t>the Northern Ireland Act 1998</w:t>
      </w:r>
      <w:r>
        <w:rPr>
          <w:bCs/>
          <w:color w:val="auto"/>
        </w:rPr>
        <w:t xml:space="preserve">, but also following the Spending Review 2021 in which the Commission’s budget for the next three years until 31 March 2025 has been confirmed. </w:t>
      </w:r>
    </w:p>
    <w:p w14:paraId="326130CA" w14:textId="77777777" w:rsidR="00987EA7" w:rsidRDefault="00987EA7" w:rsidP="00987EA7">
      <w:pPr>
        <w:ind w:left="1440" w:hanging="1440"/>
        <w:rPr>
          <w:bCs/>
          <w:color w:val="auto"/>
        </w:rPr>
      </w:pPr>
    </w:p>
    <w:p w14:paraId="55998063" w14:textId="77777777" w:rsidR="00987EA7" w:rsidRDefault="00987EA7" w:rsidP="00987EA7">
      <w:pPr>
        <w:rPr>
          <w:bCs/>
          <w:color w:val="auto"/>
        </w:rPr>
      </w:pPr>
      <w:r>
        <w:rPr>
          <w:bCs/>
          <w:color w:val="auto"/>
        </w:rPr>
        <w:t xml:space="preserve">The Commission also receives additional funding for the Dedicated Mechanism, which arises from a statutory requirement under the EU Withdrawal Agreement Act.  This role will continue in the future and beyond the financial year 2022-23.  The Northern Ireland Office has confirmed that it will provide financial support to assist the Commission in meeting its liabilities as and when they fall due, but only to the extent that money is not otherwise available to meet such liabilities.  At the date of this report, the Northern Ireland Office have confirmed that they will provide such support, to the extent outlined above, for a period of 12 months from the date of approval of the Commission’s Annual Report and Accounts.  The Northern Ireland Office have confirmed they will seek sufficient UK government funding from HM Treasury for the financial year 2023-24 to ensure the Commission continues to meet its statutory obligations.  HM Treasury understand this is a statutory requirement which the UK government has committed to funding in the long term.  </w:t>
      </w:r>
    </w:p>
    <w:p w14:paraId="7CDF28FB" w14:textId="77777777" w:rsidR="00987EA7" w:rsidRDefault="00987EA7" w:rsidP="00987EA7">
      <w:pPr>
        <w:ind w:left="1440"/>
        <w:rPr>
          <w:bCs/>
          <w:color w:val="auto"/>
        </w:rPr>
      </w:pPr>
    </w:p>
    <w:p w14:paraId="18342F47" w14:textId="77777777" w:rsidR="00987EA7" w:rsidRPr="002F2754" w:rsidRDefault="00987EA7" w:rsidP="00987EA7">
      <w:r>
        <w:rPr>
          <w:bCs/>
          <w:color w:val="auto"/>
        </w:rPr>
        <w:t xml:space="preserve">Therefore, </w:t>
      </w:r>
      <w:r w:rsidRPr="007A5A3D">
        <w:rPr>
          <w:bCs/>
          <w:color w:val="auto"/>
        </w:rPr>
        <w:t xml:space="preserve">it has been considered appropriate to adopt a going concern basis </w:t>
      </w:r>
      <w:r>
        <w:rPr>
          <w:bCs/>
          <w:color w:val="auto"/>
        </w:rPr>
        <w:t>for the preparation of the 2021-22</w:t>
      </w:r>
      <w:r w:rsidRPr="007A5A3D">
        <w:rPr>
          <w:bCs/>
          <w:color w:val="auto"/>
        </w:rPr>
        <w:t xml:space="preserve"> financial statements</w:t>
      </w:r>
      <w:r>
        <w:rPr>
          <w:bCs/>
          <w:color w:val="auto"/>
        </w:rPr>
        <w:t>.</w:t>
      </w:r>
    </w:p>
    <w:p w14:paraId="58A06EBD" w14:textId="77777777" w:rsidR="00987EA7" w:rsidRDefault="00987EA7" w:rsidP="00C206C0">
      <w:pPr>
        <w:widowControl w:val="0"/>
        <w:autoSpaceDE w:val="0"/>
        <w:autoSpaceDN w:val="0"/>
        <w:adjustRightInd w:val="0"/>
        <w:rPr>
          <w:b/>
          <w:color w:val="auto"/>
        </w:rPr>
      </w:pPr>
    </w:p>
    <w:p w14:paraId="1DEBA457" w14:textId="3336CE98" w:rsidR="00C206C0" w:rsidRPr="009B4441" w:rsidRDefault="00C206C0" w:rsidP="00C206C0">
      <w:pPr>
        <w:widowControl w:val="0"/>
        <w:autoSpaceDE w:val="0"/>
        <w:autoSpaceDN w:val="0"/>
        <w:adjustRightInd w:val="0"/>
        <w:rPr>
          <w:b/>
          <w:color w:val="auto"/>
        </w:rPr>
      </w:pPr>
      <w:r w:rsidRPr="009B4441">
        <w:rPr>
          <w:b/>
          <w:color w:val="auto"/>
        </w:rPr>
        <w:t>Personal data</w:t>
      </w:r>
      <w:r>
        <w:rPr>
          <w:b/>
          <w:color w:val="auto"/>
        </w:rPr>
        <w:t xml:space="preserve"> related incidents</w:t>
      </w:r>
    </w:p>
    <w:p w14:paraId="740C531A" w14:textId="77777777" w:rsidR="00C206C0" w:rsidRPr="009B4441" w:rsidRDefault="00C206C0" w:rsidP="00C206C0">
      <w:pPr>
        <w:widowControl w:val="0"/>
        <w:autoSpaceDE w:val="0"/>
        <w:autoSpaceDN w:val="0"/>
        <w:adjustRightInd w:val="0"/>
        <w:rPr>
          <w:color w:val="auto"/>
        </w:rPr>
      </w:pPr>
    </w:p>
    <w:p w14:paraId="17DD00D0" w14:textId="77777777" w:rsidR="00C206C0" w:rsidRDefault="008B2B4F" w:rsidP="00C206C0">
      <w:r>
        <w:t>One personal data related incident was reported to the Information Commissioner’s Office (ICO) who confirmed that the breach did not meet the criteria for formal enforcement action by the ICO (</w:t>
      </w:r>
      <w:r w:rsidR="009C387D">
        <w:t>20</w:t>
      </w:r>
      <w:r w:rsidR="00D655FB">
        <w:t>20</w:t>
      </w:r>
      <w:r>
        <w:t>-21</w:t>
      </w:r>
      <w:r w:rsidR="00C206C0" w:rsidRPr="003F7E43">
        <w:t>: None).</w:t>
      </w:r>
    </w:p>
    <w:p w14:paraId="1474E27D" w14:textId="77777777" w:rsidR="008B2B4F" w:rsidRPr="009B4441" w:rsidRDefault="008B2B4F" w:rsidP="00C206C0"/>
    <w:p w14:paraId="46A1DBA2" w14:textId="77777777" w:rsidR="00953497" w:rsidRDefault="00953497" w:rsidP="00C7084D">
      <w:pPr>
        <w:widowControl w:val="0"/>
        <w:autoSpaceDE w:val="0"/>
        <w:autoSpaceDN w:val="0"/>
        <w:adjustRightInd w:val="0"/>
        <w:rPr>
          <w:b/>
        </w:rPr>
      </w:pPr>
    </w:p>
    <w:p w14:paraId="5483BB53" w14:textId="77777777" w:rsidR="00953497" w:rsidRDefault="00953497" w:rsidP="00C7084D">
      <w:pPr>
        <w:widowControl w:val="0"/>
        <w:autoSpaceDE w:val="0"/>
        <w:autoSpaceDN w:val="0"/>
        <w:adjustRightInd w:val="0"/>
        <w:rPr>
          <w:b/>
        </w:rPr>
      </w:pPr>
    </w:p>
    <w:p w14:paraId="55A6DA97" w14:textId="77777777" w:rsidR="00953497" w:rsidRDefault="00953497" w:rsidP="00C7084D">
      <w:pPr>
        <w:widowControl w:val="0"/>
        <w:autoSpaceDE w:val="0"/>
        <w:autoSpaceDN w:val="0"/>
        <w:adjustRightInd w:val="0"/>
        <w:rPr>
          <w:b/>
        </w:rPr>
      </w:pPr>
    </w:p>
    <w:p w14:paraId="531F378C" w14:textId="77777777" w:rsidR="00953497" w:rsidRDefault="00953497" w:rsidP="00C7084D">
      <w:pPr>
        <w:widowControl w:val="0"/>
        <w:autoSpaceDE w:val="0"/>
        <w:autoSpaceDN w:val="0"/>
        <w:adjustRightInd w:val="0"/>
        <w:rPr>
          <w:b/>
        </w:rPr>
      </w:pPr>
    </w:p>
    <w:p w14:paraId="5490D17E" w14:textId="77777777" w:rsidR="00953497" w:rsidRDefault="00953497" w:rsidP="00C7084D">
      <w:pPr>
        <w:widowControl w:val="0"/>
        <w:autoSpaceDE w:val="0"/>
        <w:autoSpaceDN w:val="0"/>
        <w:adjustRightInd w:val="0"/>
        <w:rPr>
          <w:b/>
        </w:rPr>
      </w:pPr>
    </w:p>
    <w:p w14:paraId="697CEB91" w14:textId="77777777" w:rsidR="00953497" w:rsidRDefault="00953497" w:rsidP="00C7084D">
      <w:pPr>
        <w:widowControl w:val="0"/>
        <w:autoSpaceDE w:val="0"/>
        <w:autoSpaceDN w:val="0"/>
        <w:adjustRightInd w:val="0"/>
        <w:rPr>
          <w:b/>
        </w:rPr>
      </w:pPr>
    </w:p>
    <w:p w14:paraId="000CDDA3" w14:textId="77777777" w:rsidR="00953497" w:rsidRDefault="00953497" w:rsidP="00C7084D">
      <w:pPr>
        <w:widowControl w:val="0"/>
        <w:autoSpaceDE w:val="0"/>
        <w:autoSpaceDN w:val="0"/>
        <w:adjustRightInd w:val="0"/>
        <w:rPr>
          <w:b/>
        </w:rPr>
      </w:pPr>
    </w:p>
    <w:p w14:paraId="63218E5B" w14:textId="78661A53" w:rsidR="00C206C0" w:rsidRDefault="00C206C0" w:rsidP="00C7084D">
      <w:pPr>
        <w:widowControl w:val="0"/>
        <w:autoSpaceDE w:val="0"/>
        <w:autoSpaceDN w:val="0"/>
        <w:adjustRightInd w:val="0"/>
        <w:rPr>
          <w:b/>
        </w:rPr>
      </w:pPr>
      <w:r>
        <w:rPr>
          <w:b/>
        </w:rPr>
        <w:t>Significant internal control weaknesses</w:t>
      </w:r>
    </w:p>
    <w:p w14:paraId="195F14B3" w14:textId="77777777" w:rsidR="00C206C0" w:rsidRDefault="00C206C0" w:rsidP="00C7084D">
      <w:pPr>
        <w:widowControl w:val="0"/>
        <w:autoSpaceDE w:val="0"/>
        <w:autoSpaceDN w:val="0"/>
        <w:adjustRightInd w:val="0"/>
        <w:rPr>
          <w:b/>
        </w:rPr>
      </w:pPr>
    </w:p>
    <w:p w14:paraId="6FA9D01F" w14:textId="77777777" w:rsidR="00C7084D" w:rsidRPr="008711E7" w:rsidRDefault="00C206C0" w:rsidP="00C7084D">
      <w:pPr>
        <w:widowControl w:val="0"/>
        <w:autoSpaceDE w:val="0"/>
        <w:autoSpaceDN w:val="0"/>
        <w:adjustRightInd w:val="0"/>
      </w:pPr>
      <w:r>
        <w:t>There we</w:t>
      </w:r>
      <w:r w:rsidR="00C7084D" w:rsidRPr="008711E7">
        <w:t xml:space="preserve">re no significant </w:t>
      </w:r>
      <w:r>
        <w:t xml:space="preserve">weaknesses </w:t>
      </w:r>
      <w:r w:rsidR="00C7084D" w:rsidRPr="008711E7">
        <w:t>in the Commission</w:t>
      </w:r>
      <w:r>
        <w:t>’s syste</w:t>
      </w:r>
      <w:r w:rsidR="008B2B4F">
        <w:t>ms of internal controls in 20</w:t>
      </w:r>
      <w:r w:rsidR="009C387D">
        <w:t>21</w:t>
      </w:r>
      <w:r w:rsidR="008B2B4F">
        <w:t>-22</w:t>
      </w:r>
      <w:r>
        <w:t xml:space="preserve"> that affected the achievement of the Commission’s key policies, aims and objectives</w:t>
      </w:r>
      <w:r w:rsidR="00C7084D" w:rsidRPr="008711E7">
        <w:t xml:space="preserve">.  </w:t>
      </w:r>
    </w:p>
    <w:p w14:paraId="60A21ED6" w14:textId="77777777" w:rsidR="001E24FD" w:rsidRDefault="00DD7949" w:rsidP="00DD7949">
      <w:pPr>
        <w:widowControl w:val="0"/>
        <w:autoSpaceDE w:val="0"/>
        <w:autoSpaceDN w:val="0"/>
        <w:adjustRightInd w:val="0"/>
        <w:rPr>
          <w:noProof/>
          <w:lang w:eastAsia="en-GB"/>
        </w:rPr>
      </w:pPr>
      <w:r>
        <w:rPr>
          <w:noProof/>
          <w:lang w:eastAsia="en-GB"/>
        </w:rPr>
        <w:drawing>
          <wp:inline distT="0" distB="0" distL="0" distR="0" wp14:anchorId="216D7FD5" wp14:editId="00CDD3EB">
            <wp:extent cx="2057399" cy="1182188"/>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2057399" cy="1182188"/>
                    </a:xfrm>
                    <a:prstGeom prst="rect">
                      <a:avLst/>
                    </a:prstGeom>
                  </pic:spPr>
                </pic:pic>
              </a:graphicData>
            </a:graphic>
          </wp:inline>
        </w:drawing>
      </w:r>
    </w:p>
    <w:p w14:paraId="4685CF09" w14:textId="77777777" w:rsidR="001E24FD" w:rsidRDefault="001E24FD" w:rsidP="00033356">
      <w:pPr>
        <w:autoSpaceDE w:val="0"/>
        <w:autoSpaceDN w:val="0"/>
        <w:adjustRightInd w:val="0"/>
        <w:rPr>
          <w:noProof/>
          <w:lang w:eastAsia="en-GB"/>
        </w:rPr>
      </w:pPr>
    </w:p>
    <w:p w14:paraId="16645733" w14:textId="77777777" w:rsidR="00033356" w:rsidRPr="00D80497" w:rsidRDefault="00033356" w:rsidP="00033356">
      <w:pPr>
        <w:widowControl w:val="0"/>
        <w:autoSpaceDE w:val="0"/>
        <w:autoSpaceDN w:val="0"/>
        <w:adjustRightInd w:val="0"/>
        <w:rPr>
          <w:b/>
        </w:rPr>
      </w:pPr>
      <w:r>
        <w:rPr>
          <w:b/>
        </w:rPr>
        <w:t>Dr David Russell</w:t>
      </w:r>
    </w:p>
    <w:p w14:paraId="22720B95" w14:textId="77777777" w:rsidR="00033356" w:rsidRPr="00D80497" w:rsidRDefault="00033356" w:rsidP="00033356">
      <w:pPr>
        <w:widowControl w:val="0"/>
        <w:autoSpaceDE w:val="0"/>
        <w:autoSpaceDN w:val="0"/>
        <w:adjustRightInd w:val="0"/>
        <w:rPr>
          <w:b/>
        </w:rPr>
      </w:pPr>
      <w:r w:rsidRPr="00D80497">
        <w:rPr>
          <w:b/>
        </w:rPr>
        <w:t>Accounting Officer</w:t>
      </w:r>
    </w:p>
    <w:p w14:paraId="0C33149F" w14:textId="77777777" w:rsidR="00033356" w:rsidRPr="00D80497" w:rsidRDefault="00033356" w:rsidP="00033356">
      <w:pPr>
        <w:widowControl w:val="0"/>
        <w:tabs>
          <w:tab w:val="left" w:pos="2802"/>
        </w:tabs>
        <w:autoSpaceDE w:val="0"/>
        <w:autoSpaceDN w:val="0"/>
        <w:adjustRightInd w:val="0"/>
      </w:pPr>
    </w:p>
    <w:p w14:paraId="1EAAC1CD" w14:textId="7AC2CEF2" w:rsidR="00033356" w:rsidRPr="00D80497" w:rsidRDefault="00033356" w:rsidP="00033356">
      <w:pPr>
        <w:widowControl w:val="0"/>
        <w:tabs>
          <w:tab w:val="left" w:pos="851"/>
        </w:tabs>
        <w:autoSpaceDE w:val="0"/>
        <w:autoSpaceDN w:val="0"/>
        <w:adjustRightInd w:val="0"/>
        <w:rPr>
          <w:b/>
        </w:rPr>
      </w:pPr>
      <w:r w:rsidRPr="00D80497">
        <w:rPr>
          <w:b/>
        </w:rPr>
        <w:t xml:space="preserve">Date: </w:t>
      </w:r>
      <w:r w:rsidR="0049664F">
        <w:rPr>
          <w:b/>
        </w:rPr>
        <w:t>10 October</w:t>
      </w:r>
      <w:r w:rsidR="00953497">
        <w:rPr>
          <w:b/>
        </w:rPr>
        <w:t xml:space="preserve"> 2022</w:t>
      </w:r>
    </w:p>
    <w:p w14:paraId="17D98521" w14:textId="77777777" w:rsidR="006655D2" w:rsidRDefault="006655D2">
      <w:pPr>
        <w:rPr>
          <w:rFonts w:cs="Arial"/>
          <w:b/>
          <w:color w:val="77328A"/>
          <w:sz w:val="30"/>
          <w:szCs w:val="30"/>
        </w:rPr>
      </w:pPr>
      <w:r>
        <w:rPr>
          <w:rFonts w:cs="Arial"/>
          <w:b/>
          <w:color w:val="77328A"/>
          <w:sz w:val="30"/>
          <w:szCs w:val="30"/>
        </w:rPr>
        <w:br w:type="page"/>
      </w:r>
    </w:p>
    <w:p w14:paraId="0ED50A8C" w14:textId="77777777" w:rsidR="000C2A54" w:rsidRPr="005049F6" w:rsidRDefault="0045027A" w:rsidP="000C2A54">
      <w:pPr>
        <w:jc w:val="center"/>
        <w:rPr>
          <w:b/>
          <w:sz w:val="28"/>
          <w:szCs w:val="28"/>
        </w:rPr>
      </w:pPr>
      <w:r>
        <w:rPr>
          <w:rFonts w:cs="Arial"/>
          <w:b/>
          <w:color w:val="77328A"/>
          <w:sz w:val="30"/>
          <w:szCs w:val="30"/>
        </w:rPr>
        <w:t>Remuneration and Staff Report</w:t>
      </w:r>
    </w:p>
    <w:p w14:paraId="1E02623F" w14:textId="77777777" w:rsidR="000C2A54" w:rsidRPr="008711E7" w:rsidRDefault="000C2A54" w:rsidP="000C2A54">
      <w:pPr>
        <w:jc w:val="center"/>
        <w:rPr>
          <w:b/>
        </w:rPr>
      </w:pPr>
    </w:p>
    <w:p w14:paraId="5C7FC601" w14:textId="77777777" w:rsidR="000C2A54" w:rsidRPr="008711E7" w:rsidRDefault="000C2A54" w:rsidP="000C2A54">
      <w:pPr>
        <w:widowControl w:val="0"/>
        <w:tabs>
          <w:tab w:val="left" w:pos="567"/>
          <w:tab w:val="center" w:pos="8647"/>
        </w:tabs>
        <w:autoSpaceDE w:val="0"/>
        <w:autoSpaceDN w:val="0"/>
        <w:adjustRightInd w:val="0"/>
        <w:rPr>
          <w:b/>
        </w:rPr>
      </w:pPr>
      <w:bookmarkStart w:id="11" w:name="RemunerationPolicy"/>
      <w:r w:rsidRPr="008711E7">
        <w:rPr>
          <w:b/>
        </w:rPr>
        <w:t xml:space="preserve">Remuneration policy </w:t>
      </w:r>
    </w:p>
    <w:bookmarkEnd w:id="11"/>
    <w:p w14:paraId="2CDBFA44" w14:textId="77777777" w:rsidR="000C2A54" w:rsidRPr="008711E7" w:rsidRDefault="000C2A54" w:rsidP="000C2A54">
      <w:pPr>
        <w:widowControl w:val="0"/>
        <w:tabs>
          <w:tab w:val="left" w:pos="567"/>
          <w:tab w:val="center" w:pos="8647"/>
        </w:tabs>
        <w:autoSpaceDE w:val="0"/>
        <w:autoSpaceDN w:val="0"/>
        <w:adjustRightInd w:val="0"/>
      </w:pPr>
    </w:p>
    <w:p w14:paraId="0E1CDDBF" w14:textId="77777777" w:rsidR="000C2A54" w:rsidRPr="008711E7" w:rsidRDefault="000C2A54" w:rsidP="000C2A54">
      <w:pPr>
        <w:widowControl w:val="0"/>
        <w:tabs>
          <w:tab w:val="left" w:pos="567"/>
          <w:tab w:val="center" w:pos="8647"/>
        </w:tabs>
        <w:autoSpaceDE w:val="0"/>
        <w:autoSpaceDN w:val="0"/>
        <w:adjustRightInd w:val="0"/>
      </w:pPr>
      <w:r w:rsidRPr="008711E7">
        <w:t>The remuneration of the Chief Commissioner and Commissioners is determined by the Secretary of State for Northern Ireland.</w:t>
      </w:r>
    </w:p>
    <w:p w14:paraId="0473901A" w14:textId="77777777" w:rsidR="000C2A54" w:rsidRPr="008711E7" w:rsidRDefault="000C2A54" w:rsidP="000C2A54">
      <w:pPr>
        <w:widowControl w:val="0"/>
        <w:tabs>
          <w:tab w:val="left" w:pos="567"/>
          <w:tab w:val="center" w:pos="8647"/>
        </w:tabs>
        <w:autoSpaceDE w:val="0"/>
        <w:autoSpaceDN w:val="0"/>
        <w:adjustRightInd w:val="0"/>
      </w:pPr>
    </w:p>
    <w:p w14:paraId="606BF342" w14:textId="64F3D499" w:rsidR="000C2A54" w:rsidRPr="008711E7" w:rsidRDefault="000C2A54" w:rsidP="000C2A54">
      <w:pPr>
        <w:autoSpaceDE w:val="0"/>
        <w:autoSpaceDN w:val="0"/>
        <w:adjustRightInd w:val="0"/>
        <w:rPr>
          <w:rFonts w:cs="MetaPlusNormal-Roman"/>
          <w:lang w:val="en-US"/>
        </w:rPr>
      </w:pPr>
      <w:r w:rsidRPr="008711E7">
        <w:t xml:space="preserve">The </w:t>
      </w:r>
      <w:r>
        <w:t xml:space="preserve">Chief Commissioner and </w:t>
      </w:r>
      <w:r w:rsidR="00F5464A">
        <w:t>Chief Executive’s</w:t>
      </w:r>
      <w:r>
        <w:t xml:space="preserve"> posts are</w:t>
      </w:r>
      <w:r w:rsidRPr="008711E7">
        <w:t xml:space="preserve"> graded within the </w:t>
      </w:r>
      <w:r w:rsidRPr="008711E7">
        <w:rPr>
          <w:rFonts w:cs="MetaPlusNormal-Roman"/>
          <w:lang w:val="en-US"/>
        </w:rPr>
        <w:t>Senior Civil Service (SCS).  Pay and performance management arrangements for this post are in line with guidance issued by the Cabinet Office</w:t>
      </w:r>
      <w:r w:rsidRPr="008711E7">
        <w:rPr>
          <w:rFonts w:cs="MetaPlusNormal-Roman"/>
          <w:i/>
          <w:lang w:val="en-US"/>
        </w:rPr>
        <w:t xml:space="preserve">: </w:t>
      </w:r>
      <w:r w:rsidRPr="008711E7">
        <w:rPr>
          <w:i/>
          <w:color w:val="auto"/>
          <w:lang w:eastAsia="en-GB"/>
        </w:rPr>
        <w:t>Guidance for Approval of Senior Pay</w:t>
      </w:r>
      <w:r w:rsidRPr="008711E7">
        <w:rPr>
          <w:color w:val="auto"/>
          <w:lang w:eastAsia="en-GB"/>
        </w:rPr>
        <w:t xml:space="preserve"> (</w:t>
      </w:r>
      <w:r w:rsidR="00BF62F1">
        <w:rPr>
          <w:color w:val="auto"/>
          <w:lang w:eastAsia="en-GB"/>
        </w:rPr>
        <w:t>September 2021</w:t>
      </w:r>
      <w:r w:rsidRPr="008711E7">
        <w:rPr>
          <w:color w:val="auto"/>
          <w:lang w:eastAsia="en-GB"/>
        </w:rPr>
        <w:t>)</w:t>
      </w:r>
      <w:r w:rsidR="00FF1FA8" w:rsidRPr="008711E7">
        <w:rPr>
          <w:i/>
        </w:rPr>
        <w:t>.</w:t>
      </w:r>
      <w:r w:rsidR="00FF1FA8" w:rsidRPr="008711E7">
        <w:rPr>
          <w:rFonts w:cs="MetaPlusNormal-Roman"/>
          <w:i/>
          <w:lang w:val="en-US"/>
        </w:rPr>
        <w:t xml:space="preserve"> </w:t>
      </w:r>
      <w:r w:rsidRPr="008711E7">
        <w:rPr>
          <w:rFonts w:cs="MetaPlusNormal-Roman"/>
          <w:lang w:val="en-US"/>
        </w:rPr>
        <w:t>Increases in the</w:t>
      </w:r>
      <w:r w:rsidRPr="008711E7">
        <w:t xml:space="preserve"> </w:t>
      </w:r>
      <w:r>
        <w:t>Chief Commissioner and Chief Executive’s</w:t>
      </w:r>
      <w:r w:rsidRPr="008711E7">
        <w:t xml:space="preserve"> pay</w:t>
      </w:r>
      <w:r w:rsidRPr="008711E7">
        <w:rPr>
          <w:i/>
        </w:rPr>
        <w:t xml:space="preserve"> </w:t>
      </w:r>
      <w:r w:rsidRPr="008711E7">
        <w:t>are in line with the parameters of the Senior Salaries Review Board</w:t>
      </w:r>
      <w:r w:rsidRPr="008711E7">
        <w:rPr>
          <w:rFonts w:cs="MetaPlusNormal-Roman"/>
          <w:lang w:val="en-US"/>
        </w:rPr>
        <w:t>.</w:t>
      </w:r>
    </w:p>
    <w:p w14:paraId="28602590" w14:textId="77777777" w:rsidR="000C2A54" w:rsidRPr="008711E7" w:rsidRDefault="000C2A54" w:rsidP="000C2A54">
      <w:pPr>
        <w:autoSpaceDE w:val="0"/>
        <w:autoSpaceDN w:val="0"/>
        <w:adjustRightInd w:val="0"/>
        <w:rPr>
          <w:rFonts w:cs="MetaPlusNormal-Roman"/>
          <w:lang w:val="en-US"/>
        </w:rPr>
      </w:pPr>
    </w:p>
    <w:p w14:paraId="0B8DBF16" w14:textId="6E65616F" w:rsidR="000C2A54" w:rsidRPr="008711E7" w:rsidRDefault="000C2A54" w:rsidP="000C2A54">
      <w:pPr>
        <w:autoSpaceDE w:val="0"/>
        <w:autoSpaceDN w:val="0"/>
        <w:adjustRightInd w:val="0"/>
        <w:rPr>
          <w:rFonts w:cs="MetaPlusNormal-Roman"/>
          <w:lang w:val="en-US"/>
        </w:rPr>
      </w:pPr>
      <w:r w:rsidRPr="008711E7">
        <w:rPr>
          <w:rFonts w:cs="MetaPlusNormal-Roman"/>
          <w:lang w:val="en-US"/>
        </w:rPr>
        <w:t xml:space="preserve">The remuneration of Commission staff aligns with those of the </w:t>
      </w:r>
      <w:r w:rsidRPr="008711E7">
        <w:t>Northern Ireland</w:t>
      </w:r>
      <w:r w:rsidRPr="008711E7">
        <w:rPr>
          <w:rFonts w:cs="MetaPlusNormal-Roman"/>
          <w:lang w:val="en-US"/>
        </w:rPr>
        <w:t xml:space="preserve"> Civil Service, in common with its sister organisations</w:t>
      </w:r>
      <w:r w:rsidR="00FF1FA8" w:rsidRPr="008711E7">
        <w:rPr>
          <w:rFonts w:cs="MetaPlusNormal-Roman"/>
          <w:lang w:val="en-US"/>
        </w:rPr>
        <w:t xml:space="preserve">. </w:t>
      </w:r>
      <w:r w:rsidRPr="008711E7">
        <w:rPr>
          <w:rFonts w:cs="MetaPlusNormal-Roman"/>
          <w:lang w:val="en-US"/>
        </w:rPr>
        <w:t xml:space="preserve">These pay arrangements continue to be </w:t>
      </w:r>
      <w:r w:rsidR="000A30FB" w:rsidRPr="008711E7">
        <w:rPr>
          <w:rFonts w:cs="MetaPlusNormal-Roman"/>
          <w:lang w:val="en-US"/>
        </w:rPr>
        <w:t>performance</w:t>
      </w:r>
      <w:r w:rsidR="000A30FB" w:rsidRPr="008711E7">
        <w:t xml:space="preserve"> related</w:t>
      </w:r>
      <w:r w:rsidR="00FF1FA8" w:rsidRPr="008711E7">
        <w:rPr>
          <w:rFonts w:cs="MetaPlusNormal-Roman"/>
          <w:lang w:val="en-US"/>
        </w:rPr>
        <w:t xml:space="preserve">. </w:t>
      </w:r>
      <w:r w:rsidRPr="008711E7">
        <w:rPr>
          <w:rFonts w:cs="MetaPlusNormal-Roman"/>
          <w:lang w:val="en-US"/>
        </w:rPr>
        <w:t>Performance is appraised by line managers in respect of achievement of agreed objectives</w:t>
      </w:r>
      <w:r w:rsidR="00FF1FA8" w:rsidRPr="008711E7">
        <w:rPr>
          <w:rFonts w:cs="MetaPlusNormal-Roman"/>
          <w:lang w:val="en-US"/>
        </w:rPr>
        <w:t xml:space="preserve">. </w:t>
      </w:r>
    </w:p>
    <w:p w14:paraId="57E86431" w14:textId="77777777" w:rsidR="000C2A54" w:rsidRPr="008711E7" w:rsidRDefault="000C2A54" w:rsidP="000C2A54">
      <w:pPr>
        <w:autoSpaceDE w:val="0"/>
        <w:autoSpaceDN w:val="0"/>
        <w:adjustRightInd w:val="0"/>
        <w:rPr>
          <w:rFonts w:cs="MetaPlusNormal-Roman"/>
          <w:lang w:val="en-US"/>
        </w:rPr>
      </w:pPr>
    </w:p>
    <w:p w14:paraId="0958844B" w14:textId="566EAB08" w:rsidR="000C2A54" w:rsidRPr="008711E7" w:rsidRDefault="000C2A54" w:rsidP="000C2A54">
      <w:pPr>
        <w:autoSpaceDE w:val="0"/>
        <w:autoSpaceDN w:val="0"/>
        <w:adjustRightInd w:val="0"/>
      </w:pPr>
      <w:r w:rsidRPr="008711E7">
        <w:rPr>
          <w:rFonts w:cs="MetaPlusNormal-Roman"/>
          <w:lang w:val="en-US"/>
        </w:rPr>
        <w:t>The Chairperson of the Commission’s Audit and Risk Management Committee was appointed through open competition</w:t>
      </w:r>
      <w:r w:rsidR="00FF1FA8" w:rsidRPr="008711E7">
        <w:rPr>
          <w:rFonts w:cs="MetaPlusNormal-Roman"/>
          <w:lang w:val="en-US"/>
        </w:rPr>
        <w:t xml:space="preserve">. </w:t>
      </w:r>
      <w:r w:rsidRPr="008711E7">
        <w:rPr>
          <w:rFonts w:cs="MetaPlusNormal-Roman"/>
          <w:lang w:val="en-US"/>
        </w:rPr>
        <w:t xml:space="preserve">The Chairperson is remunerated at a rate of £350 per meeting (the Committee usually meets four times per year) and £350 per day (pro rata) for </w:t>
      </w:r>
      <w:r w:rsidRPr="008711E7">
        <w:t>other work undertaken on behalf of, and at the request of, the Commission.</w:t>
      </w:r>
    </w:p>
    <w:p w14:paraId="23D7F894" w14:textId="77777777" w:rsidR="000C2A54" w:rsidRPr="008711E7" w:rsidRDefault="000C2A54" w:rsidP="000C2A54">
      <w:pPr>
        <w:autoSpaceDE w:val="0"/>
        <w:autoSpaceDN w:val="0"/>
        <w:adjustRightInd w:val="0"/>
      </w:pPr>
    </w:p>
    <w:p w14:paraId="2F681C9C" w14:textId="77777777" w:rsidR="000C2A54" w:rsidRDefault="000C2A54" w:rsidP="000C2A54">
      <w:pPr>
        <w:autoSpaceDE w:val="0"/>
        <w:autoSpaceDN w:val="0"/>
        <w:adjustRightInd w:val="0"/>
      </w:pPr>
      <w:r w:rsidRPr="008711E7">
        <w:t>The other members of the Audit</w:t>
      </w:r>
      <w:r w:rsidR="009C387D">
        <w:t xml:space="preserve"> and Risk Management Committee we</w:t>
      </w:r>
      <w:r w:rsidRPr="008711E7">
        <w:t xml:space="preserve">re Commissioners </w:t>
      </w:r>
      <w:r w:rsidR="009C387D">
        <w:t>Eddie Rooney; David A Lavery CB</w:t>
      </w:r>
      <w:r w:rsidR="008B2B4F">
        <w:t>; Stephen White</w:t>
      </w:r>
      <w:r w:rsidR="00BF62F1">
        <w:t xml:space="preserve"> OBE</w:t>
      </w:r>
      <w:r w:rsidR="008B2B4F">
        <w:t xml:space="preserve"> (from 1 October 2021);</w:t>
      </w:r>
      <w:r w:rsidR="009C387D">
        <w:t xml:space="preserve"> and Maura Muldoon (</w:t>
      </w:r>
      <w:r w:rsidR="008B2B4F">
        <w:t>until 31 August 2021)</w:t>
      </w:r>
      <w:r w:rsidRPr="008711E7">
        <w:t>.  They do not receive any additional remuneration for attendance at Committee meetings.</w:t>
      </w:r>
    </w:p>
    <w:p w14:paraId="481E5427" w14:textId="77777777" w:rsidR="000C2A54" w:rsidRPr="007F2DCD" w:rsidRDefault="000C2A54" w:rsidP="000C2A54">
      <w:pPr>
        <w:autoSpaceDE w:val="0"/>
        <w:autoSpaceDN w:val="0"/>
        <w:adjustRightInd w:val="0"/>
        <w:rPr>
          <w:sz w:val="22"/>
          <w:szCs w:val="22"/>
        </w:rPr>
      </w:pPr>
    </w:p>
    <w:p w14:paraId="4E8F40F2" w14:textId="77777777" w:rsidR="000C2A54" w:rsidRPr="008711E7" w:rsidRDefault="000C2A54" w:rsidP="000C2A54">
      <w:pPr>
        <w:autoSpaceDE w:val="0"/>
        <w:autoSpaceDN w:val="0"/>
        <w:adjustRightInd w:val="0"/>
        <w:rPr>
          <w:b/>
        </w:rPr>
      </w:pPr>
      <w:r w:rsidRPr="008711E7">
        <w:rPr>
          <w:b/>
        </w:rPr>
        <w:t>Contracts of employment</w:t>
      </w:r>
    </w:p>
    <w:p w14:paraId="68BB6984" w14:textId="77777777" w:rsidR="000C2A54" w:rsidRPr="008711E7" w:rsidRDefault="000C2A54" w:rsidP="000C2A54">
      <w:pPr>
        <w:jc w:val="both"/>
        <w:rPr>
          <w:b/>
        </w:rPr>
      </w:pPr>
    </w:p>
    <w:p w14:paraId="78CBD27A" w14:textId="77777777" w:rsidR="000C2A54" w:rsidRPr="008711E7" w:rsidRDefault="000C2A54" w:rsidP="000C2A54">
      <w:pPr>
        <w:jc w:val="both"/>
        <w:rPr>
          <w:rFonts w:cs="Arial"/>
        </w:rPr>
      </w:pPr>
      <w:r w:rsidRPr="008711E7">
        <w:rPr>
          <w:rFonts w:cs="Arial"/>
        </w:rPr>
        <w:t xml:space="preserve">The </w:t>
      </w:r>
      <w:bookmarkStart w:id="12" w:name="OLE_LINK1"/>
      <w:r w:rsidRPr="008711E7">
        <w:rPr>
          <w:rFonts w:cs="Arial"/>
        </w:rPr>
        <w:t xml:space="preserve">Chief Commissioner </w:t>
      </w:r>
      <w:bookmarkEnd w:id="12"/>
      <w:r w:rsidRPr="008711E7">
        <w:rPr>
          <w:rFonts w:cs="Arial"/>
        </w:rPr>
        <w:t>and Commission members</w:t>
      </w:r>
      <w:r w:rsidR="00F76370">
        <w:rPr>
          <w:rFonts w:cs="Arial"/>
        </w:rPr>
        <w:t xml:space="preserve"> are appointed for a period of five years and three</w:t>
      </w:r>
      <w:r w:rsidRPr="008711E7">
        <w:rPr>
          <w:rFonts w:cs="Arial"/>
        </w:rPr>
        <w:t xml:space="preserve"> years respectively by the Secretary of State for Northern Ireland.  Appointments comply with the principles of the Code of Practice of the Office of the Commissioner on Public Appointments (OCPA) </w:t>
      </w:r>
      <w:r w:rsidRPr="008711E7">
        <w:rPr>
          <w:rFonts w:cs="Arial"/>
          <w:i/>
        </w:rPr>
        <w:t>(www.ocpa.gov.uk)</w:t>
      </w:r>
      <w:r w:rsidRPr="008711E7">
        <w:rPr>
          <w:rFonts w:cs="Arial"/>
        </w:rPr>
        <w:t xml:space="preserve"> and in line with the Cabinet Code of Practice of Corporate Governance in central government departments.</w:t>
      </w:r>
    </w:p>
    <w:p w14:paraId="3E56973E" w14:textId="77777777" w:rsidR="000C2A54" w:rsidRPr="008711E7" w:rsidRDefault="000C2A54" w:rsidP="000C2A54">
      <w:pPr>
        <w:jc w:val="both"/>
        <w:rPr>
          <w:rFonts w:cs="Arial"/>
        </w:rPr>
      </w:pPr>
    </w:p>
    <w:p w14:paraId="1AF5085B" w14:textId="77777777" w:rsidR="000C2A54" w:rsidRPr="008711E7" w:rsidRDefault="000C2A54" w:rsidP="000C2A54">
      <w:pPr>
        <w:rPr>
          <w:rFonts w:cs="Arial"/>
          <w:b/>
        </w:rPr>
      </w:pPr>
      <w:r w:rsidRPr="008711E7">
        <w:rPr>
          <w:rFonts w:cs="Arial"/>
        </w:rPr>
        <w:t>The Secretary of State may extend the appointment of the Chief Commissioner for a further term or terms.  Such extensions may not exceed a maximum term in office of ten years.  The Secretary of State will normally give three months’ notice if an appointment is terminated.</w:t>
      </w:r>
    </w:p>
    <w:p w14:paraId="454E54F0" w14:textId="77777777" w:rsidR="000C2A54" w:rsidRPr="008711E7" w:rsidRDefault="000C2A54" w:rsidP="000C2A54">
      <w:pPr>
        <w:widowControl w:val="0"/>
        <w:tabs>
          <w:tab w:val="left" w:pos="567"/>
          <w:tab w:val="center" w:pos="8647"/>
        </w:tabs>
        <w:autoSpaceDE w:val="0"/>
        <w:autoSpaceDN w:val="0"/>
        <w:adjustRightInd w:val="0"/>
      </w:pPr>
    </w:p>
    <w:p w14:paraId="691D58C5" w14:textId="2DC59AE3" w:rsidR="000C2A54" w:rsidRPr="008711E7" w:rsidRDefault="000C2A54" w:rsidP="000C2A54">
      <w:pPr>
        <w:widowControl w:val="0"/>
        <w:tabs>
          <w:tab w:val="left" w:pos="567"/>
          <w:tab w:val="center" w:pos="8647"/>
        </w:tabs>
        <w:autoSpaceDE w:val="0"/>
        <w:autoSpaceDN w:val="0"/>
        <w:adjustRightInd w:val="0"/>
      </w:pPr>
      <w:r w:rsidRPr="008711E7">
        <w:t xml:space="preserve">Staff appointments are made in accordance with the Commission’s recruitment and selection policy, which requires appointments to be made strictly on merit and through fair and open competition.  </w:t>
      </w:r>
      <w:r w:rsidR="00192E19">
        <w:t xml:space="preserve">With the exception of two fixed-term contracts, staff appointments are open-ended.  </w:t>
      </w:r>
      <w:r w:rsidRPr="008711E7">
        <w:t>Early termination, other than for misconduct, would normally result in the individual receiving compensation as set out in the Civil Service Compensation Scheme.</w:t>
      </w:r>
    </w:p>
    <w:p w14:paraId="25E378C0" w14:textId="77777777" w:rsidR="000C2A54" w:rsidRPr="007F2DCD" w:rsidRDefault="000C2A54" w:rsidP="000C2A54">
      <w:pPr>
        <w:rPr>
          <w:sz w:val="22"/>
          <w:szCs w:val="22"/>
        </w:rPr>
      </w:pPr>
    </w:p>
    <w:p w14:paraId="229C28E8" w14:textId="77777777" w:rsidR="000C2A54" w:rsidRPr="008711E7" w:rsidRDefault="000C2A54" w:rsidP="000C2A54">
      <w:r w:rsidRPr="008711E7">
        <w:t>The Commission’s age retirement policy enables members of staff who have reached the age at which they are entitled to draw their Commission pension (which for most staff is their sixtieth birthday) to choose the age at which they will retire.</w:t>
      </w:r>
    </w:p>
    <w:p w14:paraId="5BDA06E0" w14:textId="77777777" w:rsidR="000C2A54" w:rsidRPr="007F2DCD" w:rsidRDefault="000C2A54" w:rsidP="000C2A54">
      <w:pPr>
        <w:rPr>
          <w:sz w:val="22"/>
          <w:szCs w:val="22"/>
        </w:rPr>
      </w:pPr>
    </w:p>
    <w:p w14:paraId="56469ADD" w14:textId="77777777" w:rsidR="000C2A54" w:rsidRPr="008711E7" w:rsidRDefault="000C2A54" w:rsidP="000C2A54">
      <w:bookmarkStart w:id="13" w:name="RemunerationandPensionEntitlements"/>
      <w:r w:rsidRPr="008711E7">
        <w:rPr>
          <w:b/>
        </w:rPr>
        <w:t>Remuneration</w:t>
      </w:r>
      <w:r>
        <w:rPr>
          <w:b/>
        </w:rPr>
        <w:t xml:space="preserve"> (including salary) and pension entitlements</w:t>
      </w:r>
      <w:r w:rsidRPr="008711E7">
        <w:rPr>
          <w:i/>
        </w:rPr>
        <w:t xml:space="preserve"> </w:t>
      </w:r>
      <w:r w:rsidRPr="008711E7">
        <w:rPr>
          <w:b/>
        </w:rPr>
        <w:t>(audited information)</w:t>
      </w:r>
      <w:r w:rsidR="00C34C15">
        <w:rPr>
          <w:b/>
        </w:rPr>
        <w:t xml:space="preserve"> </w:t>
      </w:r>
    </w:p>
    <w:bookmarkEnd w:id="13"/>
    <w:p w14:paraId="6DAFE1CE" w14:textId="77777777" w:rsidR="000C2A54" w:rsidRPr="008711E7" w:rsidRDefault="000C2A54" w:rsidP="000C2A54"/>
    <w:p w14:paraId="0F768DA8" w14:textId="77777777" w:rsidR="000C2A54" w:rsidRPr="008711E7" w:rsidRDefault="000C2A54" w:rsidP="000C2A54">
      <w:pPr>
        <w:widowControl w:val="0"/>
        <w:tabs>
          <w:tab w:val="center" w:pos="8647"/>
        </w:tabs>
        <w:autoSpaceDE w:val="0"/>
        <w:autoSpaceDN w:val="0"/>
        <w:adjustRightInd w:val="0"/>
      </w:pPr>
      <w:r w:rsidRPr="008711E7">
        <w:t>The following section provides details of the remuneration and pension interests of the Commissioners and the Commission’s Management Team.</w:t>
      </w:r>
      <w:r w:rsidR="009C387D">
        <w:t xml:space="preserve"> </w:t>
      </w:r>
    </w:p>
    <w:p w14:paraId="52251636" w14:textId="77777777" w:rsidR="000C2A54" w:rsidRPr="008711E7" w:rsidRDefault="000C2A54" w:rsidP="000C2A54">
      <w:pPr>
        <w:widowControl w:val="0"/>
        <w:tabs>
          <w:tab w:val="center" w:pos="8647"/>
        </w:tabs>
        <w:autoSpaceDE w:val="0"/>
        <w:autoSpaceDN w:val="0"/>
        <w:adjustRightInd w:val="0"/>
      </w:pPr>
    </w:p>
    <w:tbl>
      <w:tblPr>
        <w:tblStyle w:val="TableGrid"/>
        <w:tblW w:w="9952" w:type="dxa"/>
        <w:tblInd w:w="-601" w:type="dxa"/>
        <w:tblLayout w:type="fixed"/>
        <w:tblLook w:val="04A0" w:firstRow="1" w:lastRow="0" w:firstColumn="1" w:lastColumn="0" w:noHBand="0" w:noVBand="1"/>
      </w:tblPr>
      <w:tblGrid>
        <w:gridCol w:w="2581"/>
        <w:gridCol w:w="850"/>
        <w:gridCol w:w="851"/>
        <w:gridCol w:w="850"/>
        <w:gridCol w:w="851"/>
        <w:gridCol w:w="992"/>
        <w:gridCol w:w="992"/>
        <w:gridCol w:w="993"/>
        <w:gridCol w:w="992"/>
      </w:tblGrid>
      <w:tr w:rsidR="009F0840" w14:paraId="79DC824A" w14:textId="77777777" w:rsidTr="00F61A65">
        <w:tc>
          <w:tcPr>
            <w:tcW w:w="9952" w:type="dxa"/>
            <w:gridSpan w:val="9"/>
          </w:tcPr>
          <w:p w14:paraId="73D1E796" w14:textId="77777777" w:rsidR="009F0840" w:rsidRDefault="009F0840" w:rsidP="000C2A54">
            <w:pPr>
              <w:widowControl w:val="0"/>
              <w:tabs>
                <w:tab w:val="center" w:pos="8647"/>
              </w:tabs>
              <w:autoSpaceDE w:val="0"/>
              <w:autoSpaceDN w:val="0"/>
              <w:adjustRightInd w:val="0"/>
              <w:rPr>
                <w:sz w:val="20"/>
                <w:szCs w:val="20"/>
              </w:rPr>
            </w:pPr>
            <w:r>
              <w:rPr>
                <w:sz w:val="20"/>
                <w:szCs w:val="20"/>
              </w:rPr>
              <w:t>Single total figure of remuneration (</w:t>
            </w:r>
            <w:r w:rsidR="00CC02A7">
              <w:rPr>
                <w:sz w:val="20"/>
                <w:szCs w:val="20"/>
              </w:rPr>
              <w:t>audited information)</w:t>
            </w:r>
          </w:p>
          <w:p w14:paraId="56AE5AC1" w14:textId="77777777" w:rsidR="009F0840" w:rsidRPr="00D23890" w:rsidRDefault="009F0840" w:rsidP="000C2A54">
            <w:pPr>
              <w:widowControl w:val="0"/>
              <w:tabs>
                <w:tab w:val="center" w:pos="8647"/>
              </w:tabs>
              <w:autoSpaceDE w:val="0"/>
              <w:autoSpaceDN w:val="0"/>
              <w:adjustRightInd w:val="0"/>
              <w:rPr>
                <w:sz w:val="20"/>
                <w:szCs w:val="20"/>
              </w:rPr>
            </w:pPr>
          </w:p>
        </w:tc>
      </w:tr>
      <w:tr w:rsidR="009F0840" w14:paraId="0611A3B8" w14:textId="77777777" w:rsidTr="00F61A65">
        <w:tc>
          <w:tcPr>
            <w:tcW w:w="2581" w:type="dxa"/>
          </w:tcPr>
          <w:p w14:paraId="1B7F4B78" w14:textId="77777777" w:rsidR="009F0840" w:rsidRPr="005B72C1" w:rsidRDefault="009F0840" w:rsidP="000C2A54">
            <w:pPr>
              <w:widowControl w:val="0"/>
              <w:tabs>
                <w:tab w:val="center" w:pos="8647"/>
              </w:tabs>
              <w:autoSpaceDE w:val="0"/>
              <w:autoSpaceDN w:val="0"/>
              <w:adjustRightInd w:val="0"/>
              <w:rPr>
                <w:sz w:val="20"/>
                <w:szCs w:val="20"/>
                <w:highlight w:val="yellow"/>
              </w:rPr>
            </w:pPr>
          </w:p>
        </w:tc>
        <w:tc>
          <w:tcPr>
            <w:tcW w:w="1701" w:type="dxa"/>
            <w:gridSpan w:val="2"/>
          </w:tcPr>
          <w:p w14:paraId="7D7EF45C" w14:textId="77777777" w:rsidR="009F0840" w:rsidRPr="00D23890" w:rsidRDefault="009F0840" w:rsidP="000C2A54">
            <w:pPr>
              <w:widowControl w:val="0"/>
              <w:tabs>
                <w:tab w:val="center" w:pos="8647"/>
              </w:tabs>
              <w:autoSpaceDE w:val="0"/>
              <w:autoSpaceDN w:val="0"/>
              <w:adjustRightInd w:val="0"/>
              <w:rPr>
                <w:sz w:val="20"/>
                <w:szCs w:val="20"/>
              </w:rPr>
            </w:pPr>
            <w:r w:rsidRPr="00D23890">
              <w:rPr>
                <w:sz w:val="20"/>
                <w:szCs w:val="20"/>
              </w:rPr>
              <w:t>Salary (£’000)</w:t>
            </w:r>
          </w:p>
        </w:tc>
        <w:tc>
          <w:tcPr>
            <w:tcW w:w="1701" w:type="dxa"/>
            <w:gridSpan w:val="2"/>
          </w:tcPr>
          <w:p w14:paraId="3CC981F9" w14:textId="59FCDE09" w:rsidR="00F61A65" w:rsidRDefault="009F0840" w:rsidP="000C2A54">
            <w:pPr>
              <w:widowControl w:val="0"/>
              <w:tabs>
                <w:tab w:val="center" w:pos="8647"/>
              </w:tabs>
              <w:autoSpaceDE w:val="0"/>
              <w:autoSpaceDN w:val="0"/>
              <w:adjustRightInd w:val="0"/>
              <w:rPr>
                <w:sz w:val="20"/>
                <w:szCs w:val="20"/>
              </w:rPr>
            </w:pPr>
            <w:r w:rsidRPr="00D23890">
              <w:rPr>
                <w:sz w:val="20"/>
                <w:szCs w:val="20"/>
              </w:rPr>
              <w:t>Benefits in kind (to nearest £100)</w:t>
            </w:r>
          </w:p>
          <w:p w14:paraId="198C02BA" w14:textId="77777777" w:rsidR="009F0840" w:rsidRPr="00D23890" w:rsidRDefault="009F0840" w:rsidP="000C2A54">
            <w:pPr>
              <w:widowControl w:val="0"/>
              <w:tabs>
                <w:tab w:val="center" w:pos="8647"/>
              </w:tabs>
              <w:autoSpaceDE w:val="0"/>
              <w:autoSpaceDN w:val="0"/>
              <w:adjustRightInd w:val="0"/>
              <w:rPr>
                <w:sz w:val="20"/>
                <w:szCs w:val="20"/>
              </w:rPr>
            </w:pPr>
          </w:p>
        </w:tc>
        <w:tc>
          <w:tcPr>
            <w:tcW w:w="1984" w:type="dxa"/>
            <w:gridSpan w:val="2"/>
          </w:tcPr>
          <w:p w14:paraId="2B51682C" w14:textId="77777777" w:rsidR="009F0840" w:rsidRPr="00D23890" w:rsidRDefault="009F0840" w:rsidP="000C2A54">
            <w:pPr>
              <w:widowControl w:val="0"/>
              <w:tabs>
                <w:tab w:val="center" w:pos="8647"/>
              </w:tabs>
              <w:autoSpaceDE w:val="0"/>
              <w:autoSpaceDN w:val="0"/>
              <w:adjustRightInd w:val="0"/>
              <w:rPr>
                <w:sz w:val="20"/>
                <w:szCs w:val="20"/>
              </w:rPr>
            </w:pPr>
            <w:r w:rsidRPr="00D23890">
              <w:rPr>
                <w:sz w:val="20"/>
                <w:szCs w:val="20"/>
              </w:rPr>
              <w:t>Pension benefits (</w:t>
            </w:r>
            <w:r w:rsidR="00F14FA6">
              <w:rPr>
                <w:sz w:val="20"/>
                <w:szCs w:val="20"/>
              </w:rPr>
              <w:t>to nearest £1,</w:t>
            </w:r>
            <w:r w:rsidRPr="00D23890">
              <w:rPr>
                <w:sz w:val="20"/>
                <w:szCs w:val="20"/>
              </w:rPr>
              <w:t>000)</w:t>
            </w:r>
            <w:r w:rsidR="0056637D">
              <w:rPr>
                <w:rStyle w:val="FootnoteReference"/>
                <w:sz w:val="20"/>
                <w:szCs w:val="20"/>
              </w:rPr>
              <w:footnoteReference w:id="5"/>
            </w:r>
          </w:p>
        </w:tc>
        <w:tc>
          <w:tcPr>
            <w:tcW w:w="1985" w:type="dxa"/>
            <w:gridSpan w:val="2"/>
          </w:tcPr>
          <w:p w14:paraId="6D162836" w14:textId="77777777" w:rsidR="009F0840" w:rsidRPr="00D23890" w:rsidRDefault="009F0840" w:rsidP="000C2A54">
            <w:pPr>
              <w:widowControl w:val="0"/>
              <w:tabs>
                <w:tab w:val="center" w:pos="8647"/>
              </w:tabs>
              <w:autoSpaceDE w:val="0"/>
              <w:autoSpaceDN w:val="0"/>
              <w:adjustRightInd w:val="0"/>
              <w:rPr>
                <w:sz w:val="20"/>
                <w:szCs w:val="20"/>
              </w:rPr>
            </w:pPr>
            <w:r w:rsidRPr="00D23890">
              <w:rPr>
                <w:sz w:val="20"/>
                <w:szCs w:val="20"/>
              </w:rPr>
              <w:t>Total (£’000)</w:t>
            </w:r>
          </w:p>
        </w:tc>
      </w:tr>
      <w:tr w:rsidR="009F0840" w14:paraId="42A69D3A" w14:textId="77777777" w:rsidTr="00F61A65">
        <w:tc>
          <w:tcPr>
            <w:tcW w:w="2581" w:type="dxa"/>
          </w:tcPr>
          <w:p w14:paraId="6DC2864F" w14:textId="77777777" w:rsidR="009F0840" w:rsidRPr="005B72C1" w:rsidRDefault="009F0840" w:rsidP="000C2A54">
            <w:pPr>
              <w:widowControl w:val="0"/>
              <w:tabs>
                <w:tab w:val="center" w:pos="8647"/>
              </w:tabs>
              <w:autoSpaceDE w:val="0"/>
              <w:autoSpaceDN w:val="0"/>
              <w:adjustRightInd w:val="0"/>
              <w:rPr>
                <w:sz w:val="20"/>
                <w:szCs w:val="20"/>
                <w:highlight w:val="yellow"/>
              </w:rPr>
            </w:pPr>
          </w:p>
        </w:tc>
        <w:tc>
          <w:tcPr>
            <w:tcW w:w="850" w:type="dxa"/>
          </w:tcPr>
          <w:p w14:paraId="5AA774F1" w14:textId="77777777" w:rsidR="009F0840" w:rsidRDefault="008B2B4F" w:rsidP="000C2A54">
            <w:pPr>
              <w:widowControl w:val="0"/>
              <w:tabs>
                <w:tab w:val="center" w:pos="8647"/>
              </w:tabs>
              <w:autoSpaceDE w:val="0"/>
              <w:autoSpaceDN w:val="0"/>
              <w:adjustRightInd w:val="0"/>
              <w:rPr>
                <w:sz w:val="20"/>
                <w:szCs w:val="20"/>
              </w:rPr>
            </w:pPr>
            <w:r>
              <w:rPr>
                <w:sz w:val="20"/>
                <w:szCs w:val="20"/>
              </w:rPr>
              <w:t>2021-22</w:t>
            </w:r>
          </w:p>
          <w:p w14:paraId="653E1F49" w14:textId="77777777" w:rsidR="00F61A65" w:rsidRPr="00D23890" w:rsidRDefault="00F61A65" w:rsidP="000C2A54">
            <w:pPr>
              <w:widowControl w:val="0"/>
              <w:tabs>
                <w:tab w:val="center" w:pos="8647"/>
              </w:tabs>
              <w:autoSpaceDE w:val="0"/>
              <w:autoSpaceDN w:val="0"/>
              <w:adjustRightInd w:val="0"/>
              <w:rPr>
                <w:sz w:val="20"/>
                <w:szCs w:val="20"/>
              </w:rPr>
            </w:pPr>
          </w:p>
        </w:tc>
        <w:tc>
          <w:tcPr>
            <w:tcW w:w="851" w:type="dxa"/>
          </w:tcPr>
          <w:p w14:paraId="1B431647" w14:textId="77777777" w:rsidR="009F0840" w:rsidRDefault="008B2B4F" w:rsidP="000C2A54">
            <w:pPr>
              <w:widowControl w:val="0"/>
              <w:tabs>
                <w:tab w:val="center" w:pos="8647"/>
              </w:tabs>
              <w:autoSpaceDE w:val="0"/>
              <w:autoSpaceDN w:val="0"/>
              <w:adjustRightInd w:val="0"/>
              <w:rPr>
                <w:sz w:val="20"/>
                <w:szCs w:val="20"/>
              </w:rPr>
            </w:pPr>
            <w:r>
              <w:rPr>
                <w:sz w:val="20"/>
                <w:szCs w:val="20"/>
              </w:rPr>
              <w:t>2020-21</w:t>
            </w:r>
          </w:p>
          <w:p w14:paraId="77BA64B3" w14:textId="77777777" w:rsidR="009F0840" w:rsidRPr="00D23890" w:rsidRDefault="009F0840" w:rsidP="000C2A54">
            <w:pPr>
              <w:widowControl w:val="0"/>
              <w:tabs>
                <w:tab w:val="center" w:pos="8647"/>
              </w:tabs>
              <w:autoSpaceDE w:val="0"/>
              <w:autoSpaceDN w:val="0"/>
              <w:adjustRightInd w:val="0"/>
              <w:rPr>
                <w:sz w:val="20"/>
                <w:szCs w:val="20"/>
              </w:rPr>
            </w:pPr>
          </w:p>
        </w:tc>
        <w:tc>
          <w:tcPr>
            <w:tcW w:w="850" w:type="dxa"/>
          </w:tcPr>
          <w:p w14:paraId="44B62F19" w14:textId="77777777" w:rsidR="009F0840" w:rsidRPr="00D23890" w:rsidRDefault="008B2B4F" w:rsidP="000C2A54">
            <w:pPr>
              <w:widowControl w:val="0"/>
              <w:tabs>
                <w:tab w:val="center" w:pos="8647"/>
              </w:tabs>
              <w:autoSpaceDE w:val="0"/>
              <w:autoSpaceDN w:val="0"/>
              <w:adjustRightInd w:val="0"/>
              <w:rPr>
                <w:sz w:val="20"/>
                <w:szCs w:val="20"/>
              </w:rPr>
            </w:pPr>
            <w:r>
              <w:rPr>
                <w:sz w:val="20"/>
                <w:szCs w:val="20"/>
              </w:rPr>
              <w:t>2021-22</w:t>
            </w:r>
          </w:p>
        </w:tc>
        <w:tc>
          <w:tcPr>
            <w:tcW w:w="851" w:type="dxa"/>
          </w:tcPr>
          <w:p w14:paraId="1C39A687" w14:textId="77777777" w:rsidR="009F0840" w:rsidRPr="00D23890" w:rsidRDefault="008B2B4F" w:rsidP="000C2A54">
            <w:pPr>
              <w:widowControl w:val="0"/>
              <w:tabs>
                <w:tab w:val="center" w:pos="8647"/>
              </w:tabs>
              <w:autoSpaceDE w:val="0"/>
              <w:autoSpaceDN w:val="0"/>
              <w:adjustRightInd w:val="0"/>
              <w:rPr>
                <w:sz w:val="20"/>
                <w:szCs w:val="20"/>
              </w:rPr>
            </w:pPr>
            <w:r>
              <w:rPr>
                <w:sz w:val="20"/>
                <w:szCs w:val="20"/>
              </w:rPr>
              <w:t>2020-21</w:t>
            </w:r>
          </w:p>
        </w:tc>
        <w:tc>
          <w:tcPr>
            <w:tcW w:w="992" w:type="dxa"/>
          </w:tcPr>
          <w:p w14:paraId="6AB657B7" w14:textId="77777777" w:rsidR="009F0840" w:rsidRPr="00D23890" w:rsidRDefault="008B2B4F" w:rsidP="000C2A54">
            <w:pPr>
              <w:widowControl w:val="0"/>
              <w:tabs>
                <w:tab w:val="center" w:pos="8647"/>
              </w:tabs>
              <w:autoSpaceDE w:val="0"/>
              <w:autoSpaceDN w:val="0"/>
              <w:adjustRightInd w:val="0"/>
              <w:rPr>
                <w:sz w:val="20"/>
                <w:szCs w:val="20"/>
              </w:rPr>
            </w:pPr>
            <w:r>
              <w:rPr>
                <w:sz w:val="20"/>
                <w:szCs w:val="20"/>
              </w:rPr>
              <w:t>2021-22</w:t>
            </w:r>
          </w:p>
        </w:tc>
        <w:tc>
          <w:tcPr>
            <w:tcW w:w="992" w:type="dxa"/>
          </w:tcPr>
          <w:p w14:paraId="704FFD0A" w14:textId="77777777" w:rsidR="009F0840" w:rsidRPr="00D23890" w:rsidRDefault="008B2B4F" w:rsidP="000C2A54">
            <w:pPr>
              <w:widowControl w:val="0"/>
              <w:tabs>
                <w:tab w:val="center" w:pos="8647"/>
              </w:tabs>
              <w:autoSpaceDE w:val="0"/>
              <w:autoSpaceDN w:val="0"/>
              <w:adjustRightInd w:val="0"/>
              <w:rPr>
                <w:sz w:val="20"/>
                <w:szCs w:val="20"/>
              </w:rPr>
            </w:pPr>
            <w:r>
              <w:rPr>
                <w:sz w:val="20"/>
                <w:szCs w:val="20"/>
              </w:rPr>
              <w:t>2020-21</w:t>
            </w:r>
          </w:p>
        </w:tc>
        <w:tc>
          <w:tcPr>
            <w:tcW w:w="993" w:type="dxa"/>
          </w:tcPr>
          <w:p w14:paraId="47AB689C" w14:textId="77777777" w:rsidR="009F0840" w:rsidRPr="00D23890" w:rsidRDefault="008B2B4F" w:rsidP="000C2A54">
            <w:pPr>
              <w:widowControl w:val="0"/>
              <w:tabs>
                <w:tab w:val="center" w:pos="8647"/>
              </w:tabs>
              <w:autoSpaceDE w:val="0"/>
              <w:autoSpaceDN w:val="0"/>
              <w:adjustRightInd w:val="0"/>
              <w:rPr>
                <w:sz w:val="20"/>
                <w:szCs w:val="20"/>
              </w:rPr>
            </w:pPr>
            <w:r>
              <w:rPr>
                <w:sz w:val="20"/>
                <w:szCs w:val="20"/>
              </w:rPr>
              <w:t>2021-22</w:t>
            </w:r>
          </w:p>
        </w:tc>
        <w:tc>
          <w:tcPr>
            <w:tcW w:w="992" w:type="dxa"/>
          </w:tcPr>
          <w:p w14:paraId="15D90BCE" w14:textId="77777777" w:rsidR="009F0840" w:rsidRPr="00D23890" w:rsidRDefault="008B2B4F" w:rsidP="000C2A54">
            <w:pPr>
              <w:widowControl w:val="0"/>
              <w:tabs>
                <w:tab w:val="center" w:pos="8647"/>
              </w:tabs>
              <w:autoSpaceDE w:val="0"/>
              <w:autoSpaceDN w:val="0"/>
              <w:adjustRightInd w:val="0"/>
              <w:rPr>
                <w:sz w:val="20"/>
                <w:szCs w:val="20"/>
              </w:rPr>
            </w:pPr>
            <w:r>
              <w:rPr>
                <w:sz w:val="20"/>
                <w:szCs w:val="20"/>
              </w:rPr>
              <w:t>2020-21</w:t>
            </w:r>
          </w:p>
        </w:tc>
      </w:tr>
      <w:tr w:rsidR="00CF03F1" w14:paraId="35734B9F" w14:textId="77777777" w:rsidTr="00F61A65">
        <w:tc>
          <w:tcPr>
            <w:tcW w:w="2581" w:type="dxa"/>
            <w:vAlign w:val="center"/>
          </w:tcPr>
          <w:p w14:paraId="0CEA872D" w14:textId="77777777" w:rsidR="00CF03F1" w:rsidRPr="001F61FA" w:rsidRDefault="00CF03F1" w:rsidP="00CF03F1">
            <w:pPr>
              <w:rPr>
                <w:b/>
                <w:sz w:val="18"/>
                <w:szCs w:val="18"/>
              </w:rPr>
            </w:pPr>
            <w:r w:rsidRPr="001F61FA">
              <w:rPr>
                <w:b/>
                <w:sz w:val="18"/>
                <w:szCs w:val="18"/>
              </w:rPr>
              <w:t>Mr Les Allamby</w:t>
            </w:r>
          </w:p>
          <w:p w14:paraId="1C50794E" w14:textId="77777777" w:rsidR="00CF03F1" w:rsidRDefault="00CF03F1" w:rsidP="00CF03F1">
            <w:pPr>
              <w:rPr>
                <w:sz w:val="18"/>
                <w:szCs w:val="18"/>
              </w:rPr>
            </w:pPr>
            <w:r w:rsidRPr="001F61FA">
              <w:rPr>
                <w:sz w:val="18"/>
                <w:szCs w:val="18"/>
              </w:rPr>
              <w:t xml:space="preserve">Chief Commissioner </w:t>
            </w:r>
          </w:p>
          <w:p w14:paraId="564A6267" w14:textId="77777777" w:rsidR="008765D5" w:rsidRDefault="00EA4AB9" w:rsidP="00CF03F1">
            <w:pPr>
              <w:rPr>
                <w:sz w:val="18"/>
                <w:szCs w:val="18"/>
              </w:rPr>
            </w:pPr>
            <w:r>
              <w:rPr>
                <w:sz w:val="18"/>
                <w:szCs w:val="18"/>
              </w:rPr>
              <w:t>(until 31 August 2021)</w:t>
            </w:r>
          </w:p>
          <w:p w14:paraId="7EADE4AD" w14:textId="77777777" w:rsidR="00F61A65" w:rsidRPr="001F61FA" w:rsidRDefault="00F61A65" w:rsidP="00CF03F1">
            <w:pPr>
              <w:rPr>
                <w:sz w:val="18"/>
                <w:szCs w:val="18"/>
              </w:rPr>
            </w:pPr>
          </w:p>
        </w:tc>
        <w:tc>
          <w:tcPr>
            <w:tcW w:w="850" w:type="dxa"/>
          </w:tcPr>
          <w:p w14:paraId="702ACA30" w14:textId="77777777" w:rsidR="00F6272A" w:rsidRDefault="00F6272A" w:rsidP="00CF03F1">
            <w:pPr>
              <w:widowControl w:val="0"/>
              <w:tabs>
                <w:tab w:val="center" w:pos="8647"/>
              </w:tabs>
              <w:autoSpaceDE w:val="0"/>
              <w:autoSpaceDN w:val="0"/>
              <w:adjustRightInd w:val="0"/>
              <w:jc w:val="right"/>
              <w:rPr>
                <w:sz w:val="18"/>
                <w:szCs w:val="18"/>
              </w:rPr>
            </w:pPr>
          </w:p>
          <w:p w14:paraId="349B91B1" w14:textId="77777777" w:rsidR="000C15CF" w:rsidRPr="001F61FA" w:rsidRDefault="000C15CF" w:rsidP="00CF03F1">
            <w:pPr>
              <w:widowControl w:val="0"/>
              <w:tabs>
                <w:tab w:val="center" w:pos="8647"/>
              </w:tabs>
              <w:autoSpaceDE w:val="0"/>
              <w:autoSpaceDN w:val="0"/>
              <w:adjustRightInd w:val="0"/>
              <w:jc w:val="right"/>
              <w:rPr>
                <w:sz w:val="18"/>
                <w:szCs w:val="18"/>
              </w:rPr>
            </w:pPr>
            <w:r>
              <w:rPr>
                <w:sz w:val="18"/>
                <w:szCs w:val="18"/>
              </w:rPr>
              <w:t>30-35</w:t>
            </w:r>
            <w:r>
              <w:rPr>
                <w:rStyle w:val="FootnoteReference"/>
                <w:sz w:val="18"/>
                <w:szCs w:val="18"/>
              </w:rPr>
              <w:footnoteReference w:id="6"/>
            </w:r>
          </w:p>
        </w:tc>
        <w:tc>
          <w:tcPr>
            <w:tcW w:w="851" w:type="dxa"/>
          </w:tcPr>
          <w:p w14:paraId="4F310FB0" w14:textId="77777777" w:rsidR="00CF03F1" w:rsidRPr="001F61FA" w:rsidRDefault="00CF03F1" w:rsidP="00CF03F1">
            <w:pPr>
              <w:widowControl w:val="0"/>
              <w:tabs>
                <w:tab w:val="center" w:pos="8647"/>
              </w:tabs>
              <w:autoSpaceDE w:val="0"/>
              <w:autoSpaceDN w:val="0"/>
              <w:adjustRightInd w:val="0"/>
              <w:jc w:val="right"/>
              <w:rPr>
                <w:sz w:val="18"/>
                <w:szCs w:val="18"/>
              </w:rPr>
            </w:pPr>
          </w:p>
          <w:p w14:paraId="2833AB5B" w14:textId="77777777" w:rsidR="00CF03F1" w:rsidRPr="001F61FA" w:rsidRDefault="00EA4AB9" w:rsidP="00CF03F1">
            <w:pPr>
              <w:widowControl w:val="0"/>
              <w:tabs>
                <w:tab w:val="center" w:pos="8647"/>
              </w:tabs>
              <w:autoSpaceDE w:val="0"/>
              <w:autoSpaceDN w:val="0"/>
              <w:adjustRightInd w:val="0"/>
              <w:jc w:val="right"/>
              <w:rPr>
                <w:sz w:val="18"/>
                <w:szCs w:val="18"/>
              </w:rPr>
            </w:pPr>
            <w:r>
              <w:rPr>
                <w:sz w:val="18"/>
                <w:szCs w:val="18"/>
              </w:rPr>
              <w:t>75-80</w:t>
            </w:r>
          </w:p>
        </w:tc>
        <w:tc>
          <w:tcPr>
            <w:tcW w:w="850" w:type="dxa"/>
          </w:tcPr>
          <w:p w14:paraId="6141826C" w14:textId="77777777" w:rsidR="00CF03F1" w:rsidRDefault="00CF03F1" w:rsidP="00CF03F1">
            <w:pPr>
              <w:widowControl w:val="0"/>
              <w:tabs>
                <w:tab w:val="center" w:pos="8647"/>
              </w:tabs>
              <w:autoSpaceDE w:val="0"/>
              <w:autoSpaceDN w:val="0"/>
              <w:adjustRightInd w:val="0"/>
              <w:jc w:val="right"/>
              <w:rPr>
                <w:sz w:val="18"/>
                <w:szCs w:val="18"/>
              </w:rPr>
            </w:pPr>
          </w:p>
          <w:p w14:paraId="29354433" w14:textId="77777777" w:rsidR="007E14B0" w:rsidRPr="001F61FA" w:rsidRDefault="00F6272A" w:rsidP="00CF03F1">
            <w:pPr>
              <w:widowControl w:val="0"/>
              <w:tabs>
                <w:tab w:val="center" w:pos="8647"/>
              </w:tabs>
              <w:autoSpaceDE w:val="0"/>
              <w:autoSpaceDN w:val="0"/>
              <w:adjustRightInd w:val="0"/>
              <w:jc w:val="right"/>
              <w:rPr>
                <w:sz w:val="18"/>
                <w:szCs w:val="18"/>
              </w:rPr>
            </w:pPr>
            <w:r>
              <w:rPr>
                <w:sz w:val="18"/>
                <w:szCs w:val="18"/>
              </w:rPr>
              <w:t>-</w:t>
            </w:r>
          </w:p>
        </w:tc>
        <w:tc>
          <w:tcPr>
            <w:tcW w:w="851" w:type="dxa"/>
          </w:tcPr>
          <w:p w14:paraId="7B861FA2" w14:textId="77777777" w:rsidR="00CF03F1" w:rsidRPr="001F61FA" w:rsidRDefault="00CF03F1" w:rsidP="00CF03F1">
            <w:pPr>
              <w:widowControl w:val="0"/>
              <w:tabs>
                <w:tab w:val="center" w:pos="8647"/>
              </w:tabs>
              <w:autoSpaceDE w:val="0"/>
              <w:autoSpaceDN w:val="0"/>
              <w:adjustRightInd w:val="0"/>
              <w:jc w:val="right"/>
              <w:rPr>
                <w:sz w:val="18"/>
                <w:szCs w:val="18"/>
              </w:rPr>
            </w:pPr>
          </w:p>
          <w:p w14:paraId="63787226" w14:textId="77777777" w:rsidR="00CF03F1" w:rsidRPr="001F61FA" w:rsidRDefault="00F6272A" w:rsidP="00CF03F1">
            <w:pPr>
              <w:widowControl w:val="0"/>
              <w:tabs>
                <w:tab w:val="center" w:pos="8647"/>
              </w:tabs>
              <w:autoSpaceDE w:val="0"/>
              <w:autoSpaceDN w:val="0"/>
              <w:adjustRightInd w:val="0"/>
              <w:jc w:val="right"/>
              <w:rPr>
                <w:sz w:val="18"/>
                <w:szCs w:val="18"/>
              </w:rPr>
            </w:pPr>
            <w:r>
              <w:rPr>
                <w:sz w:val="18"/>
                <w:szCs w:val="18"/>
              </w:rPr>
              <w:t>-</w:t>
            </w:r>
          </w:p>
          <w:p w14:paraId="1EC01604" w14:textId="77777777" w:rsidR="00CF03F1" w:rsidRPr="001F61FA" w:rsidRDefault="00CF03F1" w:rsidP="00CF03F1">
            <w:pPr>
              <w:widowControl w:val="0"/>
              <w:tabs>
                <w:tab w:val="center" w:pos="8647"/>
              </w:tabs>
              <w:autoSpaceDE w:val="0"/>
              <w:autoSpaceDN w:val="0"/>
              <w:adjustRightInd w:val="0"/>
              <w:jc w:val="right"/>
              <w:rPr>
                <w:sz w:val="18"/>
                <w:szCs w:val="18"/>
              </w:rPr>
            </w:pPr>
          </w:p>
        </w:tc>
        <w:tc>
          <w:tcPr>
            <w:tcW w:w="992" w:type="dxa"/>
          </w:tcPr>
          <w:p w14:paraId="4A1954BF" w14:textId="77777777" w:rsidR="00CA6B5D" w:rsidRDefault="00CA6B5D" w:rsidP="00CF03F1">
            <w:pPr>
              <w:widowControl w:val="0"/>
              <w:tabs>
                <w:tab w:val="center" w:pos="8647"/>
              </w:tabs>
              <w:autoSpaceDE w:val="0"/>
              <w:autoSpaceDN w:val="0"/>
              <w:adjustRightInd w:val="0"/>
              <w:jc w:val="right"/>
              <w:rPr>
                <w:color w:val="auto"/>
                <w:sz w:val="18"/>
                <w:szCs w:val="18"/>
              </w:rPr>
            </w:pPr>
          </w:p>
          <w:p w14:paraId="48D4ED31" w14:textId="7A5892AC" w:rsidR="00BA35C0" w:rsidRPr="001F61FA" w:rsidRDefault="00BA35C0" w:rsidP="00CF03F1">
            <w:pPr>
              <w:widowControl w:val="0"/>
              <w:tabs>
                <w:tab w:val="center" w:pos="8647"/>
              </w:tabs>
              <w:autoSpaceDE w:val="0"/>
              <w:autoSpaceDN w:val="0"/>
              <w:adjustRightInd w:val="0"/>
              <w:jc w:val="right"/>
              <w:rPr>
                <w:color w:val="auto"/>
                <w:sz w:val="18"/>
                <w:szCs w:val="18"/>
              </w:rPr>
            </w:pPr>
            <w:r>
              <w:rPr>
                <w:color w:val="auto"/>
                <w:sz w:val="18"/>
                <w:szCs w:val="18"/>
              </w:rPr>
              <w:t>13,000</w:t>
            </w:r>
          </w:p>
        </w:tc>
        <w:tc>
          <w:tcPr>
            <w:tcW w:w="992" w:type="dxa"/>
          </w:tcPr>
          <w:p w14:paraId="2B9C476B" w14:textId="77777777" w:rsidR="00CF03F1" w:rsidRPr="001F61FA" w:rsidRDefault="00CF03F1" w:rsidP="00CF03F1">
            <w:pPr>
              <w:widowControl w:val="0"/>
              <w:tabs>
                <w:tab w:val="center" w:pos="8647"/>
              </w:tabs>
              <w:autoSpaceDE w:val="0"/>
              <w:autoSpaceDN w:val="0"/>
              <w:adjustRightInd w:val="0"/>
              <w:jc w:val="center"/>
              <w:rPr>
                <w:color w:val="auto"/>
                <w:sz w:val="18"/>
                <w:szCs w:val="18"/>
              </w:rPr>
            </w:pPr>
          </w:p>
          <w:p w14:paraId="256CACD0" w14:textId="77777777" w:rsidR="00CF03F1" w:rsidRPr="001F61FA" w:rsidRDefault="00EA4AB9" w:rsidP="00CF03F1">
            <w:pPr>
              <w:widowControl w:val="0"/>
              <w:tabs>
                <w:tab w:val="center" w:pos="8647"/>
              </w:tabs>
              <w:autoSpaceDE w:val="0"/>
              <w:autoSpaceDN w:val="0"/>
              <w:adjustRightInd w:val="0"/>
              <w:jc w:val="right"/>
              <w:rPr>
                <w:sz w:val="18"/>
                <w:szCs w:val="18"/>
              </w:rPr>
            </w:pPr>
            <w:r>
              <w:rPr>
                <w:color w:val="auto"/>
                <w:sz w:val="18"/>
                <w:szCs w:val="18"/>
              </w:rPr>
              <w:t>31,000</w:t>
            </w:r>
          </w:p>
        </w:tc>
        <w:tc>
          <w:tcPr>
            <w:tcW w:w="993" w:type="dxa"/>
          </w:tcPr>
          <w:p w14:paraId="552E7257" w14:textId="77777777" w:rsidR="00F6272A" w:rsidRDefault="00F6272A" w:rsidP="00D655FB">
            <w:pPr>
              <w:widowControl w:val="0"/>
              <w:tabs>
                <w:tab w:val="center" w:pos="8647"/>
              </w:tabs>
              <w:autoSpaceDE w:val="0"/>
              <w:autoSpaceDN w:val="0"/>
              <w:adjustRightInd w:val="0"/>
              <w:jc w:val="right"/>
              <w:rPr>
                <w:sz w:val="18"/>
                <w:szCs w:val="18"/>
              </w:rPr>
            </w:pPr>
          </w:p>
          <w:p w14:paraId="71E55815" w14:textId="06A61EE3" w:rsidR="000C15CF" w:rsidRPr="003867FD" w:rsidRDefault="000C15CF" w:rsidP="003867FD">
            <w:pPr>
              <w:widowControl w:val="0"/>
              <w:tabs>
                <w:tab w:val="center" w:pos="8647"/>
              </w:tabs>
              <w:autoSpaceDE w:val="0"/>
              <w:autoSpaceDN w:val="0"/>
              <w:adjustRightInd w:val="0"/>
              <w:jc w:val="right"/>
              <w:rPr>
                <w:sz w:val="18"/>
                <w:szCs w:val="18"/>
                <w:vertAlign w:val="superscript"/>
              </w:rPr>
            </w:pPr>
            <w:r>
              <w:rPr>
                <w:sz w:val="18"/>
                <w:szCs w:val="18"/>
              </w:rPr>
              <w:t>45-50</w:t>
            </w:r>
          </w:p>
        </w:tc>
        <w:tc>
          <w:tcPr>
            <w:tcW w:w="992" w:type="dxa"/>
          </w:tcPr>
          <w:p w14:paraId="06710DBA" w14:textId="77777777" w:rsidR="00CF03F1" w:rsidRPr="001F61FA" w:rsidRDefault="00CF03F1" w:rsidP="00CF03F1">
            <w:pPr>
              <w:widowControl w:val="0"/>
              <w:tabs>
                <w:tab w:val="center" w:pos="8647"/>
              </w:tabs>
              <w:autoSpaceDE w:val="0"/>
              <w:autoSpaceDN w:val="0"/>
              <w:adjustRightInd w:val="0"/>
              <w:rPr>
                <w:sz w:val="18"/>
                <w:szCs w:val="18"/>
              </w:rPr>
            </w:pPr>
          </w:p>
          <w:p w14:paraId="3A2841DB" w14:textId="77777777" w:rsidR="00CF03F1" w:rsidRPr="001F61FA" w:rsidRDefault="00EA4AB9" w:rsidP="00CF03F1">
            <w:pPr>
              <w:widowControl w:val="0"/>
              <w:tabs>
                <w:tab w:val="center" w:pos="8647"/>
              </w:tabs>
              <w:autoSpaceDE w:val="0"/>
              <w:autoSpaceDN w:val="0"/>
              <w:adjustRightInd w:val="0"/>
              <w:jc w:val="center"/>
              <w:rPr>
                <w:sz w:val="18"/>
                <w:szCs w:val="18"/>
              </w:rPr>
            </w:pPr>
            <w:r>
              <w:rPr>
                <w:sz w:val="18"/>
                <w:szCs w:val="18"/>
              </w:rPr>
              <w:t>110-115</w:t>
            </w:r>
          </w:p>
        </w:tc>
      </w:tr>
      <w:tr w:rsidR="00EA4AB9" w14:paraId="09B1E541" w14:textId="77777777" w:rsidTr="00F61A65">
        <w:tc>
          <w:tcPr>
            <w:tcW w:w="2581" w:type="dxa"/>
            <w:vAlign w:val="center"/>
          </w:tcPr>
          <w:p w14:paraId="2328DD2B" w14:textId="77777777" w:rsidR="00EA4AB9" w:rsidRDefault="00EA4AB9" w:rsidP="001D785A">
            <w:pPr>
              <w:rPr>
                <w:b/>
                <w:sz w:val="18"/>
                <w:szCs w:val="18"/>
              </w:rPr>
            </w:pPr>
            <w:r>
              <w:rPr>
                <w:b/>
                <w:sz w:val="18"/>
                <w:szCs w:val="18"/>
              </w:rPr>
              <w:t>Ms Alyson Kilpatrick</w:t>
            </w:r>
          </w:p>
          <w:p w14:paraId="71B97C41" w14:textId="77777777" w:rsidR="00EA4AB9" w:rsidRDefault="00EA4AB9" w:rsidP="001D785A">
            <w:pPr>
              <w:rPr>
                <w:sz w:val="18"/>
                <w:szCs w:val="18"/>
              </w:rPr>
            </w:pPr>
            <w:r>
              <w:rPr>
                <w:sz w:val="18"/>
                <w:szCs w:val="18"/>
              </w:rPr>
              <w:t>Chief Commissioner</w:t>
            </w:r>
          </w:p>
          <w:p w14:paraId="73E0CE4F" w14:textId="77777777" w:rsidR="00EA4AB9" w:rsidRDefault="00EA4AB9" w:rsidP="001D785A">
            <w:pPr>
              <w:rPr>
                <w:sz w:val="18"/>
                <w:szCs w:val="18"/>
              </w:rPr>
            </w:pPr>
            <w:r>
              <w:rPr>
                <w:sz w:val="18"/>
                <w:szCs w:val="18"/>
              </w:rPr>
              <w:t>(from 1 September 2021)</w:t>
            </w:r>
          </w:p>
          <w:p w14:paraId="1257A0EB" w14:textId="77777777" w:rsidR="00EA4AB9" w:rsidRPr="00EA4AB9" w:rsidRDefault="00EA4AB9" w:rsidP="001D785A">
            <w:pPr>
              <w:rPr>
                <w:sz w:val="18"/>
                <w:szCs w:val="18"/>
              </w:rPr>
            </w:pPr>
          </w:p>
        </w:tc>
        <w:tc>
          <w:tcPr>
            <w:tcW w:w="850" w:type="dxa"/>
          </w:tcPr>
          <w:p w14:paraId="46C5005B" w14:textId="77777777" w:rsidR="00EA4AB9" w:rsidRDefault="00EA4AB9" w:rsidP="00EA4AB9">
            <w:pPr>
              <w:widowControl w:val="0"/>
              <w:tabs>
                <w:tab w:val="center" w:pos="8647"/>
              </w:tabs>
              <w:autoSpaceDE w:val="0"/>
              <w:autoSpaceDN w:val="0"/>
              <w:adjustRightInd w:val="0"/>
              <w:jc w:val="right"/>
              <w:rPr>
                <w:sz w:val="18"/>
                <w:szCs w:val="18"/>
              </w:rPr>
            </w:pPr>
          </w:p>
          <w:p w14:paraId="0EAB8A9D" w14:textId="77777777" w:rsidR="000C15CF" w:rsidRDefault="000C15CF" w:rsidP="00EA4AB9">
            <w:pPr>
              <w:widowControl w:val="0"/>
              <w:tabs>
                <w:tab w:val="center" w:pos="8647"/>
              </w:tabs>
              <w:autoSpaceDE w:val="0"/>
              <w:autoSpaceDN w:val="0"/>
              <w:adjustRightInd w:val="0"/>
              <w:jc w:val="right"/>
              <w:rPr>
                <w:sz w:val="18"/>
                <w:szCs w:val="18"/>
              </w:rPr>
            </w:pPr>
            <w:r>
              <w:rPr>
                <w:sz w:val="18"/>
                <w:szCs w:val="18"/>
              </w:rPr>
              <w:t>40-45</w:t>
            </w:r>
            <w:r>
              <w:rPr>
                <w:rStyle w:val="FootnoteReference"/>
                <w:sz w:val="18"/>
                <w:szCs w:val="18"/>
              </w:rPr>
              <w:footnoteReference w:id="7"/>
            </w:r>
          </w:p>
        </w:tc>
        <w:tc>
          <w:tcPr>
            <w:tcW w:w="851" w:type="dxa"/>
          </w:tcPr>
          <w:p w14:paraId="65F15D8F" w14:textId="77777777" w:rsidR="00EA4AB9" w:rsidRDefault="00EA4AB9" w:rsidP="001D785A">
            <w:pPr>
              <w:widowControl w:val="0"/>
              <w:tabs>
                <w:tab w:val="center" w:pos="8647"/>
              </w:tabs>
              <w:autoSpaceDE w:val="0"/>
              <w:autoSpaceDN w:val="0"/>
              <w:adjustRightInd w:val="0"/>
              <w:jc w:val="right"/>
              <w:rPr>
                <w:sz w:val="18"/>
                <w:szCs w:val="18"/>
              </w:rPr>
            </w:pPr>
          </w:p>
          <w:p w14:paraId="779F1D73" w14:textId="77777777" w:rsidR="000C15CF" w:rsidRDefault="000C15CF" w:rsidP="000C15CF">
            <w:pPr>
              <w:widowControl w:val="0"/>
              <w:tabs>
                <w:tab w:val="center" w:pos="8647"/>
              </w:tabs>
              <w:autoSpaceDE w:val="0"/>
              <w:autoSpaceDN w:val="0"/>
              <w:adjustRightInd w:val="0"/>
              <w:jc w:val="right"/>
              <w:rPr>
                <w:sz w:val="18"/>
                <w:szCs w:val="18"/>
              </w:rPr>
            </w:pPr>
            <w:r>
              <w:rPr>
                <w:sz w:val="18"/>
                <w:szCs w:val="18"/>
              </w:rPr>
              <w:t>-</w:t>
            </w:r>
          </w:p>
        </w:tc>
        <w:tc>
          <w:tcPr>
            <w:tcW w:w="850" w:type="dxa"/>
          </w:tcPr>
          <w:p w14:paraId="2E39B133" w14:textId="77777777" w:rsidR="00EA4AB9" w:rsidRDefault="00EA4AB9" w:rsidP="001D785A">
            <w:pPr>
              <w:widowControl w:val="0"/>
              <w:tabs>
                <w:tab w:val="center" w:pos="8647"/>
              </w:tabs>
              <w:autoSpaceDE w:val="0"/>
              <w:autoSpaceDN w:val="0"/>
              <w:adjustRightInd w:val="0"/>
              <w:jc w:val="right"/>
              <w:rPr>
                <w:sz w:val="18"/>
                <w:szCs w:val="18"/>
              </w:rPr>
            </w:pPr>
          </w:p>
          <w:p w14:paraId="764FC512" w14:textId="77777777" w:rsidR="000C15CF" w:rsidRDefault="000C15CF" w:rsidP="001D785A">
            <w:pPr>
              <w:widowControl w:val="0"/>
              <w:tabs>
                <w:tab w:val="center" w:pos="8647"/>
              </w:tabs>
              <w:autoSpaceDE w:val="0"/>
              <w:autoSpaceDN w:val="0"/>
              <w:adjustRightInd w:val="0"/>
              <w:jc w:val="right"/>
              <w:rPr>
                <w:sz w:val="18"/>
                <w:szCs w:val="18"/>
              </w:rPr>
            </w:pPr>
            <w:r>
              <w:rPr>
                <w:sz w:val="18"/>
                <w:szCs w:val="18"/>
              </w:rPr>
              <w:t>-</w:t>
            </w:r>
          </w:p>
        </w:tc>
        <w:tc>
          <w:tcPr>
            <w:tcW w:w="851" w:type="dxa"/>
          </w:tcPr>
          <w:p w14:paraId="6D4831AE" w14:textId="77777777" w:rsidR="00EA4AB9" w:rsidRDefault="00EA4AB9" w:rsidP="001D785A">
            <w:pPr>
              <w:widowControl w:val="0"/>
              <w:tabs>
                <w:tab w:val="center" w:pos="8647"/>
              </w:tabs>
              <w:autoSpaceDE w:val="0"/>
              <w:autoSpaceDN w:val="0"/>
              <w:adjustRightInd w:val="0"/>
              <w:jc w:val="right"/>
              <w:rPr>
                <w:sz w:val="18"/>
                <w:szCs w:val="18"/>
              </w:rPr>
            </w:pPr>
          </w:p>
          <w:p w14:paraId="05A6E104" w14:textId="77777777" w:rsidR="000C15CF" w:rsidRDefault="000C15CF" w:rsidP="001D785A">
            <w:pPr>
              <w:widowControl w:val="0"/>
              <w:tabs>
                <w:tab w:val="center" w:pos="8647"/>
              </w:tabs>
              <w:autoSpaceDE w:val="0"/>
              <w:autoSpaceDN w:val="0"/>
              <w:adjustRightInd w:val="0"/>
              <w:jc w:val="right"/>
              <w:rPr>
                <w:sz w:val="18"/>
                <w:szCs w:val="18"/>
              </w:rPr>
            </w:pPr>
            <w:r>
              <w:rPr>
                <w:sz w:val="18"/>
                <w:szCs w:val="18"/>
              </w:rPr>
              <w:t>-</w:t>
            </w:r>
          </w:p>
        </w:tc>
        <w:tc>
          <w:tcPr>
            <w:tcW w:w="992" w:type="dxa"/>
          </w:tcPr>
          <w:p w14:paraId="6E131338" w14:textId="77777777" w:rsidR="00EA4AB9" w:rsidRDefault="00EA4AB9" w:rsidP="001D785A">
            <w:pPr>
              <w:widowControl w:val="0"/>
              <w:tabs>
                <w:tab w:val="center" w:pos="8647"/>
              </w:tabs>
              <w:autoSpaceDE w:val="0"/>
              <w:autoSpaceDN w:val="0"/>
              <w:adjustRightInd w:val="0"/>
              <w:jc w:val="right"/>
              <w:rPr>
                <w:sz w:val="18"/>
                <w:szCs w:val="18"/>
              </w:rPr>
            </w:pPr>
          </w:p>
          <w:p w14:paraId="6CD53118" w14:textId="5576A56F" w:rsidR="001D0DE7" w:rsidRDefault="001D0DE7" w:rsidP="001D785A">
            <w:pPr>
              <w:widowControl w:val="0"/>
              <w:tabs>
                <w:tab w:val="center" w:pos="8647"/>
              </w:tabs>
              <w:autoSpaceDE w:val="0"/>
              <w:autoSpaceDN w:val="0"/>
              <w:adjustRightInd w:val="0"/>
              <w:jc w:val="right"/>
              <w:rPr>
                <w:sz w:val="18"/>
                <w:szCs w:val="18"/>
              </w:rPr>
            </w:pPr>
            <w:r>
              <w:rPr>
                <w:sz w:val="18"/>
                <w:szCs w:val="18"/>
              </w:rPr>
              <w:t>17,000</w:t>
            </w:r>
          </w:p>
        </w:tc>
        <w:tc>
          <w:tcPr>
            <w:tcW w:w="992" w:type="dxa"/>
          </w:tcPr>
          <w:p w14:paraId="49C95955" w14:textId="77777777" w:rsidR="00EA4AB9" w:rsidRDefault="00EA4AB9" w:rsidP="001D0DE7">
            <w:pPr>
              <w:widowControl w:val="0"/>
              <w:tabs>
                <w:tab w:val="center" w:pos="8647"/>
              </w:tabs>
              <w:autoSpaceDE w:val="0"/>
              <w:autoSpaceDN w:val="0"/>
              <w:adjustRightInd w:val="0"/>
              <w:jc w:val="center"/>
              <w:rPr>
                <w:sz w:val="18"/>
                <w:szCs w:val="18"/>
              </w:rPr>
            </w:pPr>
          </w:p>
          <w:p w14:paraId="4C74F635" w14:textId="77777777" w:rsidR="001D0DE7" w:rsidRDefault="001D0DE7" w:rsidP="001D0DE7">
            <w:pPr>
              <w:widowControl w:val="0"/>
              <w:tabs>
                <w:tab w:val="center" w:pos="8647"/>
              </w:tabs>
              <w:autoSpaceDE w:val="0"/>
              <w:autoSpaceDN w:val="0"/>
              <w:adjustRightInd w:val="0"/>
              <w:jc w:val="right"/>
              <w:rPr>
                <w:sz w:val="18"/>
                <w:szCs w:val="18"/>
              </w:rPr>
            </w:pPr>
            <w:r>
              <w:rPr>
                <w:sz w:val="18"/>
                <w:szCs w:val="18"/>
              </w:rPr>
              <w:t>-</w:t>
            </w:r>
          </w:p>
        </w:tc>
        <w:tc>
          <w:tcPr>
            <w:tcW w:w="993" w:type="dxa"/>
          </w:tcPr>
          <w:p w14:paraId="3E163169" w14:textId="77777777" w:rsidR="00EA4AB9" w:rsidRDefault="00EA4AB9" w:rsidP="001D785A">
            <w:pPr>
              <w:widowControl w:val="0"/>
              <w:tabs>
                <w:tab w:val="center" w:pos="8647"/>
              </w:tabs>
              <w:autoSpaceDE w:val="0"/>
              <w:autoSpaceDN w:val="0"/>
              <w:adjustRightInd w:val="0"/>
              <w:jc w:val="right"/>
              <w:rPr>
                <w:sz w:val="18"/>
                <w:szCs w:val="18"/>
              </w:rPr>
            </w:pPr>
          </w:p>
          <w:p w14:paraId="74726108" w14:textId="56D04F4E" w:rsidR="000C15CF" w:rsidRPr="003867FD" w:rsidRDefault="000C15CF" w:rsidP="003867FD">
            <w:pPr>
              <w:widowControl w:val="0"/>
              <w:tabs>
                <w:tab w:val="center" w:pos="8647"/>
              </w:tabs>
              <w:autoSpaceDE w:val="0"/>
              <w:autoSpaceDN w:val="0"/>
              <w:adjustRightInd w:val="0"/>
              <w:jc w:val="right"/>
              <w:rPr>
                <w:sz w:val="18"/>
                <w:szCs w:val="18"/>
                <w:vertAlign w:val="superscript"/>
              </w:rPr>
            </w:pPr>
            <w:r>
              <w:rPr>
                <w:sz w:val="18"/>
                <w:szCs w:val="18"/>
              </w:rPr>
              <w:t>60-65</w:t>
            </w:r>
          </w:p>
        </w:tc>
        <w:tc>
          <w:tcPr>
            <w:tcW w:w="992" w:type="dxa"/>
          </w:tcPr>
          <w:p w14:paraId="63017294" w14:textId="77777777" w:rsidR="00EA4AB9" w:rsidRDefault="00EA4AB9" w:rsidP="001D785A">
            <w:pPr>
              <w:widowControl w:val="0"/>
              <w:tabs>
                <w:tab w:val="center" w:pos="8647"/>
              </w:tabs>
              <w:autoSpaceDE w:val="0"/>
              <w:autoSpaceDN w:val="0"/>
              <w:adjustRightInd w:val="0"/>
              <w:jc w:val="center"/>
              <w:rPr>
                <w:sz w:val="18"/>
                <w:szCs w:val="18"/>
              </w:rPr>
            </w:pPr>
          </w:p>
          <w:p w14:paraId="49958F93" w14:textId="77777777" w:rsidR="000C15CF" w:rsidRDefault="000C15CF" w:rsidP="001D785A">
            <w:pPr>
              <w:widowControl w:val="0"/>
              <w:tabs>
                <w:tab w:val="center" w:pos="8647"/>
              </w:tabs>
              <w:autoSpaceDE w:val="0"/>
              <w:autoSpaceDN w:val="0"/>
              <w:adjustRightInd w:val="0"/>
              <w:jc w:val="center"/>
              <w:rPr>
                <w:sz w:val="18"/>
                <w:szCs w:val="18"/>
              </w:rPr>
            </w:pPr>
            <w:r>
              <w:rPr>
                <w:sz w:val="18"/>
                <w:szCs w:val="18"/>
              </w:rPr>
              <w:t>-</w:t>
            </w:r>
          </w:p>
        </w:tc>
      </w:tr>
      <w:tr w:rsidR="001D785A" w14:paraId="66E9567B" w14:textId="77777777" w:rsidTr="00F61A65">
        <w:tc>
          <w:tcPr>
            <w:tcW w:w="2581" w:type="dxa"/>
            <w:vAlign w:val="center"/>
          </w:tcPr>
          <w:p w14:paraId="08B4A2D8" w14:textId="77777777" w:rsidR="001D785A" w:rsidRDefault="001D785A" w:rsidP="001D785A">
            <w:pPr>
              <w:rPr>
                <w:b/>
                <w:sz w:val="18"/>
                <w:szCs w:val="18"/>
              </w:rPr>
            </w:pPr>
            <w:r>
              <w:rPr>
                <w:b/>
                <w:sz w:val="18"/>
                <w:szCs w:val="18"/>
              </w:rPr>
              <w:t>Mr Eddie Rooney</w:t>
            </w:r>
          </w:p>
          <w:p w14:paraId="14D7DCBD" w14:textId="77777777" w:rsidR="001D785A" w:rsidRDefault="001D785A" w:rsidP="001D785A">
            <w:pPr>
              <w:rPr>
                <w:sz w:val="18"/>
                <w:szCs w:val="18"/>
              </w:rPr>
            </w:pPr>
            <w:r>
              <w:rPr>
                <w:sz w:val="18"/>
                <w:szCs w:val="18"/>
              </w:rPr>
              <w:t>Commissioner</w:t>
            </w:r>
          </w:p>
          <w:p w14:paraId="383BEED7" w14:textId="77777777" w:rsidR="001D785A" w:rsidRDefault="001D785A" w:rsidP="001D785A">
            <w:pPr>
              <w:rPr>
                <w:b/>
                <w:sz w:val="18"/>
                <w:szCs w:val="18"/>
              </w:rPr>
            </w:pPr>
          </w:p>
        </w:tc>
        <w:tc>
          <w:tcPr>
            <w:tcW w:w="850" w:type="dxa"/>
          </w:tcPr>
          <w:p w14:paraId="6E468013" w14:textId="77777777" w:rsidR="001D785A" w:rsidRDefault="001D785A" w:rsidP="00EA4AB9">
            <w:pPr>
              <w:widowControl w:val="0"/>
              <w:tabs>
                <w:tab w:val="center" w:pos="8647"/>
              </w:tabs>
              <w:autoSpaceDE w:val="0"/>
              <w:autoSpaceDN w:val="0"/>
              <w:adjustRightInd w:val="0"/>
              <w:jc w:val="right"/>
              <w:rPr>
                <w:sz w:val="18"/>
                <w:szCs w:val="18"/>
              </w:rPr>
            </w:pPr>
          </w:p>
          <w:p w14:paraId="21AC4E2B" w14:textId="77777777" w:rsidR="000C15CF" w:rsidRDefault="000C15CF" w:rsidP="00EA4AB9">
            <w:pPr>
              <w:widowControl w:val="0"/>
              <w:tabs>
                <w:tab w:val="center" w:pos="8647"/>
              </w:tabs>
              <w:autoSpaceDE w:val="0"/>
              <w:autoSpaceDN w:val="0"/>
              <w:adjustRightInd w:val="0"/>
              <w:jc w:val="right"/>
              <w:rPr>
                <w:sz w:val="18"/>
                <w:szCs w:val="18"/>
              </w:rPr>
            </w:pPr>
            <w:r>
              <w:rPr>
                <w:sz w:val="18"/>
                <w:szCs w:val="18"/>
              </w:rPr>
              <w:t>5-10</w:t>
            </w:r>
          </w:p>
        </w:tc>
        <w:tc>
          <w:tcPr>
            <w:tcW w:w="851" w:type="dxa"/>
          </w:tcPr>
          <w:p w14:paraId="6A3F856F" w14:textId="77777777" w:rsidR="001D785A" w:rsidRDefault="001D785A" w:rsidP="001D785A">
            <w:pPr>
              <w:widowControl w:val="0"/>
              <w:tabs>
                <w:tab w:val="center" w:pos="8647"/>
              </w:tabs>
              <w:autoSpaceDE w:val="0"/>
              <w:autoSpaceDN w:val="0"/>
              <w:adjustRightInd w:val="0"/>
              <w:jc w:val="right"/>
              <w:rPr>
                <w:sz w:val="18"/>
                <w:szCs w:val="18"/>
              </w:rPr>
            </w:pPr>
          </w:p>
          <w:p w14:paraId="21EEEDE9"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5-10</w:t>
            </w:r>
          </w:p>
        </w:tc>
        <w:tc>
          <w:tcPr>
            <w:tcW w:w="850" w:type="dxa"/>
          </w:tcPr>
          <w:p w14:paraId="6629BD6A" w14:textId="77777777" w:rsidR="001D785A" w:rsidRDefault="001D785A" w:rsidP="001D785A">
            <w:pPr>
              <w:widowControl w:val="0"/>
              <w:tabs>
                <w:tab w:val="center" w:pos="8647"/>
              </w:tabs>
              <w:autoSpaceDE w:val="0"/>
              <w:autoSpaceDN w:val="0"/>
              <w:adjustRightInd w:val="0"/>
              <w:jc w:val="right"/>
              <w:rPr>
                <w:sz w:val="18"/>
                <w:szCs w:val="18"/>
              </w:rPr>
            </w:pPr>
          </w:p>
          <w:p w14:paraId="6A546711"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851" w:type="dxa"/>
          </w:tcPr>
          <w:p w14:paraId="4302F608" w14:textId="77777777" w:rsidR="001D785A" w:rsidRDefault="001D785A" w:rsidP="001D785A">
            <w:pPr>
              <w:widowControl w:val="0"/>
              <w:tabs>
                <w:tab w:val="center" w:pos="8647"/>
              </w:tabs>
              <w:autoSpaceDE w:val="0"/>
              <w:autoSpaceDN w:val="0"/>
              <w:adjustRightInd w:val="0"/>
              <w:jc w:val="right"/>
              <w:rPr>
                <w:sz w:val="18"/>
                <w:szCs w:val="18"/>
              </w:rPr>
            </w:pPr>
          </w:p>
          <w:p w14:paraId="63A5583C"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2" w:type="dxa"/>
          </w:tcPr>
          <w:p w14:paraId="5936F300" w14:textId="77777777" w:rsidR="001D785A" w:rsidRDefault="001D785A" w:rsidP="001D785A">
            <w:pPr>
              <w:widowControl w:val="0"/>
              <w:tabs>
                <w:tab w:val="center" w:pos="8647"/>
              </w:tabs>
              <w:autoSpaceDE w:val="0"/>
              <w:autoSpaceDN w:val="0"/>
              <w:adjustRightInd w:val="0"/>
              <w:jc w:val="right"/>
              <w:rPr>
                <w:sz w:val="18"/>
                <w:szCs w:val="18"/>
              </w:rPr>
            </w:pPr>
          </w:p>
          <w:p w14:paraId="2C1534D9"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2" w:type="dxa"/>
          </w:tcPr>
          <w:p w14:paraId="4499273F" w14:textId="77777777" w:rsidR="001D785A" w:rsidRDefault="001D785A" w:rsidP="001D785A">
            <w:pPr>
              <w:widowControl w:val="0"/>
              <w:tabs>
                <w:tab w:val="center" w:pos="8647"/>
              </w:tabs>
              <w:autoSpaceDE w:val="0"/>
              <w:autoSpaceDN w:val="0"/>
              <w:adjustRightInd w:val="0"/>
              <w:jc w:val="right"/>
              <w:rPr>
                <w:sz w:val="18"/>
                <w:szCs w:val="18"/>
              </w:rPr>
            </w:pPr>
          </w:p>
          <w:p w14:paraId="4283817D"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3" w:type="dxa"/>
          </w:tcPr>
          <w:p w14:paraId="4A0B7DF0" w14:textId="77777777" w:rsidR="001D785A" w:rsidRDefault="001D785A" w:rsidP="001D785A">
            <w:pPr>
              <w:widowControl w:val="0"/>
              <w:tabs>
                <w:tab w:val="center" w:pos="8647"/>
              </w:tabs>
              <w:autoSpaceDE w:val="0"/>
              <w:autoSpaceDN w:val="0"/>
              <w:adjustRightInd w:val="0"/>
              <w:jc w:val="right"/>
              <w:rPr>
                <w:sz w:val="18"/>
                <w:szCs w:val="18"/>
              </w:rPr>
            </w:pPr>
          </w:p>
        </w:tc>
        <w:tc>
          <w:tcPr>
            <w:tcW w:w="992" w:type="dxa"/>
          </w:tcPr>
          <w:p w14:paraId="35EB3EBF" w14:textId="77777777" w:rsidR="001D785A" w:rsidRDefault="001D785A" w:rsidP="001D785A">
            <w:pPr>
              <w:widowControl w:val="0"/>
              <w:tabs>
                <w:tab w:val="center" w:pos="8647"/>
              </w:tabs>
              <w:autoSpaceDE w:val="0"/>
              <w:autoSpaceDN w:val="0"/>
              <w:adjustRightInd w:val="0"/>
              <w:jc w:val="center"/>
              <w:rPr>
                <w:sz w:val="18"/>
                <w:szCs w:val="18"/>
              </w:rPr>
            </w:pPr>
          </w:p>
          <w:p w14:paraId="1CD30812" w14:textId="77777777" w:rsidR="001D785A" w:rsidRDefault="001D785A" w:rsidP="001D785A">
            <w:pPr>
              <w:widowControl w:val="0"/>
              <w:tabs>
                <w:tab w:val="center" w:pos="8647"/>
              </w:tabs>
              <w:autoSpaceDE w:val="0"/>
              <w:autoSpaceDN w:val="0"/>
              <w:adjustRightInd w:val="0"/>
              <w:jc w:val="center"/>
              <w:rPr>
                <w:sz w:val="18"/>
                <w:szCs w:val="18"/>
              </w:rPr>
            </w:pPr>
            <w:r>
              <w:rPr>
                <w:sz w:val="18"/>
                <w:szCs w:val="18"/>
              </w:rPr>
              <w:t>5-10</w:t>
            </w:r>
          </w:p>
        </w:tc>
      </w:tr>
      <w:tr w:rsidR="001D785A" w14:paraId="616843E7" w14:textId="77777777" w:rsidTr="00F61A65">
        <w:tc>
          <w:tcPr>
            <w:tcW w:w="2581" w:type="dxa"/>
            <w:vAlign w:val="center"/>
          </w:tcPr>
          <w:p w14:paraId="20A79283" w14:textId="77777777" w:rsidR="001D785A" w:rsidRDefault="001D785A" w:rsidP="001D785A">
            <w:pPr>
              <w:rPr>
                <w:b/>
                <w:sz w:val="18"/>
                <w:szCs w:val="18"/>
              </w:rPr>
            </w:pPr>
            <w:r>
              <w:rPr>
                <w:b/>
                <w:sz w:val="18"/>
                <w:szCs w:val="18"/>
              </w:rPr>
              <w:t>Ms Helen Henderson</w:t>
            </w:r>
          </w:p>
          <w:p w14:paraId="57AC7FA9" w14:textId="77777777" w:rsidR="001D785A" w:rsidRDefault="001D785A" w:rsidP="001D785A">
            <w:pPr>
              <w:rPr>
                <w:sz w:val="18"/>
                <w:szCs w:val="18"/>
              </w:rPr>
            </w:pPr>
            <w:r>
              <w:rPr>
                <w:sz w:val="18"/>
                <w:szCs w:val="18"/>
              </w:rPr>
              <w:t xml:space="preserve">Commissioner </w:t>
            </w:r>
          </w:p>
          <w:p w14:paraId="0FAA4898" w14:textId="77777777" w:rsidR="008765D5" w:rsidRPr="001D785A" w:rsidRDefault="008765D5" w:rsidP="001D785A">
            <w:pPr>
              <w:rPr>
                <w:sz w:val="18"/>
                <w:szCs w:val="18"/>
              </w:rPr>
            </w:pPr>
          </w:p>
        </w:tc>
        <w:tc>
          <w:tcPr>
            <w:tcW w:w="850" w:type="dxa"/>
          </w:tcPr>
          <w:p w14:paraId="12AFACAA" w14:textId="77777777" w:rsidR="00916382" w:rsidRDefault="00916382" w:rsidP="00916382">
            <w:pPr>
              <w:widowControl w:val="0"/>
              <w:tabs>
                <w:tab w:val="center" w:pos="8647"/>
              </w:tabs>
              <w:autoSpaceDE w:val="0"/>
              <w:autoSpaceDN w:val="0"/>
              <w:adjustRightInd w:val="0"/>
              <w:rPr>
                <w:sz w:val="18"/>
                <w:szCs w:val="18"/>
              </w:rPr>
            </w:pPr>
          </w:p>
          <w:p w14:paraId="787FA722" w14:textId="77777777" w:rsidR="00916382" w:rsidRDefault="00916382" w:rsidP="00916382">
            <w:pPr>
              <w:widowControl w:val="0"/>
              <w:tabs>
                <w:tab w:val="center" w:pos="8647"/>
              </w:tabs>
              <w:autoSpaceDE w:val="0"/>
              <w:autoSpaceDN w:val="0"/>
              <w:adjustRightInd w:val="0"/>
              <w:jc w:val="right"/>
              <w:rPr>
                <w:sz w:val="18"/>
                <w:szCs w:val="18"/>
              </w:rPr>
            </w:pPr>
            <w:r>
              <w:rPr>
                <w:sz w:val="18"/>
                <w:szCs w:val="18"/>
              </w:rPr>
              <w:t>5-10</w:t>
            </w:r>
          </w:p>
        </w:tc>
        <w:tc>
          <w:tcPr>
            <w:tcW w:w="851" w:type="dxa"/>
          </w:tcPr>
          <w:p w14:paraId="543BB817" w14:textId="77777777" w:rsidR="001D785A" w:rsidRDefault="001D785A" w:rsidP="001D785A">
            <w:pPr>
              <w:widowControl w:val="0"/>
              <w:tabs>
                <w:tab w:val="center" w:pos="8647"/>
              </w:tabs>
              <w:autoSpaceDE w:val="0"/>
              <w:autoSpaceDN w:val="0"/>
              <w:adjustRightInd w:val="0"/>
              <w:jc w:val="right"/>
              <w:rPr>
                <w:sz w:val="18"/>
                <w:szCs w:val="18"/>
              </w:rPr>
            </w:pPr>
          </w:p>
          <w:p w14:paraId="12122433" w14:textId="77777777" w:rsidR="001D785A" w:rsidRDefault="00EA4AB9" w:rsidP="001D785A">
            <w:pPr>
              <w:widowControl w:val="0"/>
              <w:tabs>
                <w:tab w:val="center" w:pos="8647"/>
              </w:tabs>
              <w:autoSpaceDE w:val="0"/>
              <w:autoSpaceDN w:val="0"/>
              <w:adjustRightInd w:val="0"/>
              <w:jc w:val="right"/>
              <w:rPr>
                <w:sz w:val="18"/>
                <w:szCs w:val="18"/>
              </w:rPr>
            </w:pPr>
            <w:r>
              <w:rPr>
                <w:sz w:val="18"/>
                <w:szCs w:val="18"/>
              </w:rPr>
              <w:t>0-5</w:t>
            </w:r>
            <w:r>
              <w:rPr>
                <w:rStyle w:val="FootnoteReference"/>
                <w:sz w:val="18"/>
                <w:szCs w:val="18"/>
              </w:rPr>
              <w:footnoteReference w:id="8"/>
            </w:r>
          </w:p>
        </w:tc>
        <w:tc>
          <w:tcPr>
            <w:tcW w:w="850" w:type="dxa"/>
          </w:tcPr>
          <w:p w14:paraId="5D0363D6" w14:textId="77777777" w:rsidR="001D785A" w:rsidRDefault="001D785A" w:rsidP="001D785A">
            <w:pPr>
              <w:widowControl w:val="0"/>
              <w:tabs>
                <w:tab w:val="center" w:pos="8647"/>
              </w:tabs>
              <w:autoSpaceDE w:val="0"/>
              <w:autoSpaceDN w:val="0"/>
              <w:adjustRightInd w:val="0"/>
              <w:jc w:val="right"/>
              <w:rPr>
                <w:sz w:val="18"/>
                <w:szCs w:val="18"/>
              </w:rPr>
            </w:pPr>
          </w:p>
          <w:p w14:paraId="6619E221" w14:textId="77777777" w:rsidR="00916382" w:rsidRDefault="0048363E" w:rsidP="001D785A">
            <w:pPr>
              <w:widowControl w:val="0"/>
              <w:tabs>
                <w:tab w:val="center" w:pos="8647"/>
              </w:tabs>
              <w:autoSpaceDE w:val="0"/>
              <w:autoSpaceDN w:val="0"/>
              <w:adjustRightInd w:val="0"/>
              <w:jc w:val="right"/>
              <w:rPr>
                <w:sz w:val="18"/>
                <w:szCs w:val="18"/>
              </w:rPr>
            </w:pPr>
            <w:r>
              <w:rPr>
                <w:sz w:val="18"/>
                <w:szCs w:val="18"/>
              </w:rPr>
              <w:t>-</w:t>
            </w:r>
          </w:p>
        </w:tc>
        <w:tc>
          <w:tcPr>
            <w:tcW w:w="851" w:type="dxa"/>
          </w:tcPr>
          <w:p w14:paraId="0A050095" w14:textId="77777777" w:rsidR="001D785A" w:rsidRDefault="001D785A" w:rsidP="001D785A">
            <w:pPr>
              <w:widowControl w:val="0"/>
              <w:tabs>
                <w:tab w:val="center" w:pos="8647"/>
              </w:tabs>
              <w:autoSpaceDE w:val="0"/>
              <w:autoSpaceDN w:val="0"/>
              <w:adjustRightInd w:val="0"/>
              <w:jc w:val="right"/>
              <w:rPr>
                <w:sz w:val="18"/>
                <w:szCs w:val="18"/>
              </w:rPr>
            </w:pPr>
          </w:p>
          <w:p w14:paraId="7CF3F984"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2" w:type="dxa"/>
          </w:tcPr>
          <w:p w14:paraId="36B82F4B" w14:textId="77777777" w:rsidR="001D785A" w:rsidRDefault="001D785A" w:rsidP="001D785A">
            <w:pPr>
              <w:widowControl w:val="0"/>
              <w:tabs>
                <w:tab w:val="center" w:pos="8647"/>
              </w:tabs>
              <w:autoSpaceDE w:val="0"/>
              <w:autoSpaceDN w:val="0"/>
              <w:adjustRightInd w:val="0"/>
              <w:jc w:val="right"/>
              <w:rPr>
                <w:sz w:val="18"/>
                <w:szCs w:val="18"/>
              </w:rPr>
            </w:pPr>
          </w:p>
          <w:p w14:paraId="52FB3147"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2" w:type="dxa"/>
          </w:tcPr>
          <w:p w14:paraId="099E5341" w14:textId="77777777" w:rsidR="001D785A" w:rsidRDefault="001D785A" w:rsidP="001D785A">
            <w:pPr>
              <w:widowControl w:val="0"/>
              <w:tabs>
                <w:tab w:val="center" w:pos="8647"/>
              </w:tabs>
              <w:autoSpaceDE w:val="0"/>
              <w:autoSpaceDN w:val="0"/>
              <w:adjustRightInd w:val="0"/>
              <w:jc w:val="right"/>
              <w:rPr>
                <w:sz w:val="18"/>
                <w:szCs w:val="18"/>
              </w:rPr>
            </w:pPr>
          </w:p>
          <w:p w14:paraId="19EC8BA7"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3" w:type="dxa"/>
          </w:tcPr>
          <w:p w14:paraId="22B6517F" w14:textId="77777777" w:rsidR="001D785A" w:rsidRDefault="001D785A" w:rsidP="001D785A">
            <w:pPr>
              <w:widowControl w:val="0"/>
              <w:tabs>
                <w:tab w:val="center" w:pos="8647"/>
              </w:tabs>
              <w:autoSpaceDE w:val="0"/>
              <w:autoSpaceDN w:val="0"/>
              <w:adjustRightInd w:val="0"/>
              <w:jc w:val="right"/>
              <w:rPr>
                <w:sz w:val="18"/>
                <w:szCs w:val="18"/>
              </w:rPr>
            </w:pPr>
          </w:p>
          <w:p w14:paraId="47614815" w14:textId="77777777" w:rsidR="00916382" w:rsidRDefault="00916382" w:rsidP="001D785A">
            <w:pPr>
              <w:widowControl w:val="0"/>
              <w:tabs>
                <w:tab w:val="center" w:pos="8647"/>
              </w:tabs>
              <w:autoSpaceDE w:val="0"/>
              <w:autoSpaceDN w:val="0"/>
              <w:adjustRightInd w:val="0"/>
              <w:jc w:val="right"/>
              <w:rPr>
                <w:sz w:val="18"/>
                <w:szCs w:val="18"/>
              </w:rPr>
            </w:pPr>
            <w:r>
              <w:rPr>
                <w:sz w:val="18"/>
                <w:szCs w:val="18"/>
              </w:rPr>
              <w:t>5-10</w:t>
            </w:r>
          </w:p>
        </w:tc>
        <w:tc>
          <w:tcPr>
            <w:tcW w:w="992" w:type="dxa"/>
          </w:tcPr>
          <w:p w14:paraId="7A172A63" w14:textId="77777777" w:rsidR="001D785A" w:rsidRDefault="001D785A" w:rsidP="001D785A">
            <w:pPr>
              <w:widowControl w:val="0"/>
              <w:tabs>
                <w:tab w:val="center" w:pos="8647"/>
              </w:tabs>
              <w:autoSpaceDE w:val="0"/>
              <w:autoSpaceDN w:val="0"/>
              <w:adjustRightInd w:val="0"/>
              <w:jc w:val="center"/>
              <w:rPr>
                <w:sz w:val="18"/>
                <w:szCs w:val="18"/>
              </w:rPr>
            </w:pPr>
          </w:p>
          <w:p w14:paraId="65C21338" w14:textId="2F3D3DF9" w:rsidR="001D785A" w:rsidRDefault="00EA4AB9" w:rsidP="00EA4AB9">
            <w:pPr>
              <w:widowControl w:val="0"/>
              <w:tabs>
                <w:tab w:val="center" w:pos="8647"/>
              </w:tabs>
              <w:autoSpaceDE w:val="0"/>
              <w:autoSpaceDN w:val="0"/>
              <w:adjustRightInd w:val="0"/>
              <w:jc w:val="center"/>
              <w:rPr>
                <w:sz w:val="18"/>
                <w:szCs w:val="18"/>
              </w:rPr>
            </w:pPr>
            <w:r>
              <w:rPr>
                <w:sz w:val="18"/>
                <w:szCs w:val="18"/>
              </w:rPr>
              <w:t>0-5</w:t>
            </w:r>
          </w:p>
        </w:tc>
      </w:tr>
      <w:tr w:rsidR="001D785A" w14:paraId="3E79CDDE" w14:textId="77777777" w:rsidTr="00F61A65">
        <w:tc>
          <w:tcPr>
            <w:tcW w:w="2581" w:type="dxa"/>
            <w:vAlign w:val="center"/>
          </w:tcPr>
          <w:p w14:paraId="7801D8B8" w14:textId="77777777" w:rsidR="001D785A" w:rsidRDefault="001D785A" w:rsidP="001D785A">
            <w:pPr>
              <w:rPr>
                <w:sz w:val="18"/>
                <w:szCs w:val="18"/>
              </w:rPr>
            </w:pPr>
            <w:r>
              <w:rPr>
                <w:b/>
                <w:sz w:val="18"/>
                <w:szCs w:val="18"/>
              </w:rPr>
              <w:t>Mr Jonathan Kearney</w:t>
            </w:r>
            <w:r>
              <w:rPr>
                <w:sz w:val="18"/>
                <w:szCs w:val="18"/>
              </w:rPr>
              <w:t xml:space="preserve"> Commissioner </w:t>
            </w:r>
          </w:p>
          <w:p w14:paraId="79E408F2" w14:textId="77777777" w:rsidR="008765D5" w:rsidRPr="001D785A" w:rsidRDefault="008765D5" w:rsidP="001D785A">
            <w:pPr>
              <w:rPr>
                <w:sz w:val="18"/>
                <w:szCs w:val="18"/>
              </w:rPr>
            </w:pPr>
          </w:p>
        </w:tc>
        <w:tc>
          <w:tcPr>
            <w:tcW w:w="850" w:type="dxa"/>
          </w:tcPr>
          <w:p w14:paraId="3C3820BA" w14:textId="77777777" w:rsidR="001D785A" w:rsidRDefault="001D785A" w:rsidP="001D785A">
            <w:pPr>
              <w:widowControl w:val="0"/>
              <w:tabs>
                <w:tab w:val="center" w:pos="8647"/>
              </w:tabs>
              <w:autoSpaceDE w:val="0"/>
              <w:autoSpaceDN w:val="0"/>
              <w:adjustRightInd w:val="0"/>
              <w:jc w:val="right"/>
              <w:rPr>
                <w:sz w:val="18"/>
                <w:szCs w:val="18"/>
              </w:rPr>
            </w:pPr>
          </w:p>
          <w:p w14:paraId="504C604D" w14:textId="77777777" w:rsidR="00916382" w:rsidRDefault="00916382" w:rsidP="001D785A">
            <w:pPr>
              <w:widowControl w:val="0"/>
              <w:tabs>
                <w:tab w:val="center" w:pos="8647"/>
              </w:tabs>
              <w:autoSpaceDE w:val="0"/>
              <w:autoSpaceDN w:val="0"/>
              <w:adjustRightInd w:val="0"/>
              <w:jc w:val="right"/>
              <w:rPr>
                <w:sz w:val="18"/>
                <w:szCs w:val="18"/>
              </w:rPr>
            </w:pPr>
            <w:r>
              <w:rPr>
                <w:sz w:val="18"/>
                <w:szCs w:val="18"/>
              </w:rPr>
              <w:t>5-10</w:t>
            </w:r>
          </w:p>
        </w:tc>
        <w:tc>
          <w:tcPr>
            <w:tcW w:w="851" w:type="dxa"/>
          </w:tcPr>
          <w:p w14:paraId="1D1756EC" w14:textId="77777777" w:rsidR="00EA4AB9" w:rsidRDefault="00EA4AB9" w:rsidP="00EA4AB9">
            <w:pPr>
              <w:widowControl w:val="0"/>
              <w:tabs>
                <w:tab w:val="center" w:pos="8647"/>
              </w:tabs>
              <w:autoSpaceDE w:val="0"/>
              <w:autoSpaceDN w:val="0"/>
              <w:adjustRightInd w:val="0"/>
              <w:rPr>
                <w:sz w:val="18"/>
                <w:szCs w:val="18"/>
              </w:rPr>
            </w:pPr>
          </w:p>
          <w:p w14:paraId="236E5342" w14:textId="105A61F9" w:rsidR="001D785A" w:rsidRDefault="00EA4AB9" w:rsidP="00EA4AB9">
            <w:pPr>
              <w:widowControl w:val="0"/>
              <w:tabs>
                <w:tab w:val="center" w:pos="8647"/>
              </w:tabs>
              <w:autoSpaceDE w:val="0"/>
              <w:autoSpaceDN w:val="0"/>
              <w:adjustRightInd w:val="0"/>
              <w:jc w:val="right"/>
              <w:rPr>
                <w:sz w:val="18"/>
                <w:szCs w:val="18"/>
              </w:rPr>
            </w:pPr>
            <w:r>
              <w:rPr>
                <w:sz w:val="18"/>
                <w:szCs w:val="18"/>
              </w:rPr>
              <w:t>0-</w:t>
            </w:r>
            <w:r w:rsidR="00245DCE">
              <w:rPr>
                <w:sz w:val="18"/>
                <w:szCs w:val="18"/>
              </w:rPr>
              <w:t>5</w:t>
            </w:r>
            <w:r w:rsidR="00245DCE">
              <w:rPr>
                <w:sz w:val="18"/>
                <w:szCs w:val="18"/>
                <w:vertAlign w:val="superscript"/>
              </w:rPr>
              <w:t>7</w:t>
            </w:r>
          </w:p>
        </w:tc>
        <w:tc>
          <w:tcPr>
            <w:tcW w:w="850" w:type="dxa"/>
          </w:tcPr>
          <w:p w14:paraId="5A7CD54E" w14:textId="77777777" w:rsidR="001D785A" w:rsidRDefault="001D785A" w:rsidP="001D785A">
            <w:pPr>
              <w:widowControl w:val="0"/>
              <w:tabs>
                <w:tab w:val="center" w:pos="8647"/>
              </w:tabs>
              <w:autoSpaceDE w:val="0"/>
              <w:autoSpaceDN w:val="0"/>
              <w:adjustRightInd w:val="0"/>
              <w:jc w:val="right"/>
              <w:rPr>
                <w:sz w:val="18"/>
                <w:szCs w:val="18"/>
              </w:rPr>
            </w:pPr>
          </w:p>
          <w:p w14:paraId="020FF25F" w14:textId="41029BF1" w:rsidR="00916382" w:rsidRDefault="000255BE" w:rsidP="001D785A">
            <w:pPr>
              <w:widowControl w:val="0"/>
              <w:tabs>
                <w:tab w:val="center" w:pos="8647"/>
              </w:tabs>
              <w:autoSpaceDE w:val="0"/>
              <w:autoSpaceDN w:val="0"/>
              <w:adjustRightInd w:val="0"/>
              <w:jc w:val="right"/>
              <w:rPr>
                <w:sz w:val="18"/>
                <w:szCs w:val="18"/>
              </w:rPr>
            </w:pPr>
            <w:r>
              <w:rPr>
                <w:sz w:val="18"/>
                <w:szCs w:val="18"/>
              </w:rPr>
              <w:t>100</w:t>
            </w:r>
          </w:p>
        </w:tc>
        <w:tc>
          <w:tcPr>
            <w:tcW w:w="851" w:type="dxa"/>
          </w:tcPr>
          <w:p w14:paraId="38D1E29B" w14:textId="77777777" w:rsidR="001D785A" w:rsidRDefault="001D785A" w:rsidP="001D785A">
            <w:pPr>
              <w:widowControl w:val="0"/>
              <w:tabs>
                <w:tab w:val="center" w:pos="8647"/>
              </w:tabs>
              <w:autoSpaceDE w:val="0"/>
              <w:autoSpaceDN w:val="0"/>
              <w:adjustRightInd w:val="0"/>
              <w:jc w:val="right"/>
              <w:rPr>
                <w:sz w:val="18"/>
                <w:szCs w:val="18"/>
              </w:rPr>
            </w:pPr>
          </w:p>
          <w:p w14:paraId="66EF21B6" w14:textId="1C254438" w:rsidR="001D785A" w:rsidRDefault="00BA3A9C" w:rsidP="001D785A">
            <w:pPr>
              <w:widowControl w:val="0"/>
              <w:tabs>
                <w:tab w:val="center" w:pos="8647"/>
              </w:tabs>
              <w:autoSpaceDE w:val="0"/>
              <w:autoSpaceDN w:val="0"/>
              <w:adjustRightInd w:val="0"/>
              <w:jc w:val="right"/>
              <w:rPr>
                <w:sz w:val="18"/>
                <w:szCs w:val="18"/>
              </w:rPr>
            </w:pPr>
            <w:r>
              <w:rPr>
                <w:sz w:val="18"/>
                <w:szCs w:val="18"/>
              </w:rPr>
              <w:t>100</w:t>
            </w:r>
          </w:p>
        </w:tc>
        <w:tc>
          <w:tcPr>
            <w:tcW w:w="992" w:type="dxa"/>
          </w:tcPr>
          <w:p w14:paraId="7EED25F2" w14:textId="77777777" w:rsidR="001D785A" w:rsidRDefault="001D785A" w:rsidP="001D785A">
            <w:pPr>
              <w:widowControl w:val="0"/>
              <w:tabs>
                <w:tab w:val="center" w:pos="8647"/>
              </w:tabs>
              <w:autoSpaceDE w:val="0"/>
              <w:autoSpaceDN w:val="0"/>
              <w:adjustRightInd w:val="0"/>
              <w:jc w:val="right"/>
              <w:rPr>
                <w:sz w:val="18"/>
                <w:szCs w:val="18"/>
              </w:rPr>
            </w:pPr>
          </w:p>
          <w:p w14:paraId="6AD5A528"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2" w:type="dxa"/>
          </w:tcPr>
          <w:p w14:paraId="212DCD45" w14:textId="77777777" w:rsidR="001D785A" w:rsidRDefault="001D785A" w:rsidP="001D785A">
            <w:pPr>
              <w:widowControl w:val="0"/>
              <w:tabs>
                <w:tab w:val="center" w:pos="8647"/>
              </w:tabs>
              <w:autoSpaceDE w:val="0"/>
              <w:autoSpaceDN w:val="0"/>
              <w:adjustRightInd w:val="0"/>
              <w:jc w:val="right"/>
              <w:rPr>
                <w:sz w:val="18"/>
                <w:szCs w:val="18"/>
              </w:rPr>
            </w:pPr>
          </w:p>
          <w:p w14:paraId="75288C88"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3" w:type="dxa"/>
          </w:tcPr>
          <w:p w14:paraId="2FA42DA6" w14:textId="77777777" w:rsidR="001D785A" w:rsidRDefault="001D785A" w:rsidP="001D785A">
            <w:pPr>
              <w:widowControl w:val="0"/>
              <w:tabs>
                <w:tab w:val="center" w:pos="8647"/>
              </w:tabs>
              <w:autoSpaceDE w:val="0"/>
              <w:autoSpaceDN w:val="0"/>
              <w:adjustRightInd w:val="0"/>
              <w:jc w:val="right"/>
              <w:rPr>
                <w:sz w:val="18"/>
                <w:szCs w:val="18"/>
              </w:rPr>
            </w:pPr>
          </w:p>
          <w:p w14:paraId="4878170A" w14:textId="77777777" w:rsidR="00916382" w:rsidRDefault="00916382" w:rsidP="001D785A">
            <w:pPr>
              <w:widowControl w:val="0"/>
              <w:tabs>
                <w:tab w:val="center" w:pos="8647"/>
              </w:tabs>
              <w:autoSpaceDE w:val="0"/>
              <w:autoSpaceDN w:val="0"/>
              <w:adjustRightInd w:val="0"/>
              <w:jc w:val="right"/>
              <w:rPr>
                <w:sz w:val="18"/>
                <w:szCs w:val="18"/>
              </w:rPr>
            </w:pPr>
            <w:r>
              <w:rPr>
                <w:sz w:val="18"/>
                <w:szCs w:val="18"/>
              </w:rPr>
              <w:t>5-10</w:t>
            </w:r>
          </w:p>
        </w:tc>
        <w:tc>
          <w:tcPr>
            <w:tcW w:w="992" w:type="dxa"/>
          </w:tcPr>
          <w:p w14:paraId="4218BD63" w14:textId="77777777" w:rsidR="00EA4AB9" w:rsidRDefault="00EA4AB9" w:rsidP="00EA4AB9">
            <w:pPr>
              <w:widowControl w:val="0"/>
              <w:tabs>
                <w:tab w:val="center" w:pos="8647"/>
              </w:tabs>
              <w:autoSpaceDE w:val="0"/>
              <w:autoSpaceDN w:val="0"/>
              <w:adjustRightInd w:val="0"/>
              <w:jc w:val="center"/>
              <w:rPr>
                <w:sz w:val="18"/>
                <w:szCs w:val="18"/>
              </w:rPr>
            </w:pPr>
          </w:p>
          <w:p w14:paraId="4A26683D" w14:textId="5B7F589D" w:rsidR="001D785A" w:rsidRDefault="00EA4AB9" w:rsidP="00EA4AB9">
            <w:pPr>
              <w:widowControl w:val="0"/>
              <w:tabs>
                <w:tab w:val="center" w:pos="8647"/>
              </w:tabs>
              <w:autoSpaceDE w:val="0"/>
              <w:autoSpaceDN w:val="0"/>
              <w:adjustRightInd w:val="0"/>
              <w:jc w:val="center"/>
              <w:rPr>
                <w:sz w:val="18"/>
                <w:szCs w:val="18"/>
              </w:rPr>
            </w:pPr>
            <w:r>
              <w:rPr>
                <w:sz w:val="18"/>
                <w:szCs w:val="18"/>
              </w:rPr>
              <w:t>0-5</w:t>
            </w:r>
          </w:p>
        </w:tc>
      </w:tr>
      <w:tr w:rsidR="001D785A" w14:paraId="30921300" w14:textId="77777777" w:rsidTr="00F61A65">
        <w:tc>
          <w:tcPr>
            <w:tcW w:w="2581" w:type="dxa"/>
            <w:vAlign w:val="center"/>
          </w:tcPr>
          <w:p w14:paraId="61DB9217" w14:textId="77777777" w:rsidR="001D785A" w:rsidRDefault="001D785A" w:rsidP="001D785A">
            <w:pPr>
              <w:rPr>
                <w:b/>
                <w:sz w:val="18"/>
                <w:szCs w:val="18"/>
              </w:rPr>
            </w:pPr>
            <w:r>
              <w:rPr>
                <w:b/>
                <w:sz w:val="18"/>
                <w:szCs w:val="18"/>
              </w:rPr>
              <w:t>Mr David A Lavery CB</w:t>
            </w:r>
          </w:p>
          <w:p w14:paraId="3F807165" w14:textId="77777777" w:rsidR="00F61A65" w:rsidRDefault="001D785A" w:rsidP="001D785A">
            <w:pPr>
              <w:rPr>
                <w:sz w:val="18"/>
                <w:szCs w:val="18"/>
              </w:rPr>
            </w:pPr>
            <w:r>
              <w:rPr>
                <w:sz w:val="18"/>
                <w:szCs w:val="18"/>
              </w:rPr>
              <w:t xml:space="preserve">Commissioner </w:t>
            </w:r>
          </w:p>
          <w:p w14:paraId="3D8AFEE4" w14:textId="77777777" w:rsidR="008765D5" w:rsidRPr="001D785A" w:rsidRDefault="008765D5" w:rsidP="001D785A">
            <w:pPr>
              <w:rPr>
                <w:sz w:val="18"/>
                <w:szCs w:val="18"/>
              </w:rPr>
            </w:pPr>
          </w:p>
        </w:tc>
        <w:tc>
          <w:tcPr>
            <w:tcW w:w="850" w:type="dxa"/>
          </w:tcPr>
          <w:p w14:paraId="18614A72" w14:textId="77777777" w:rsidR="001D785A" w:rsidRDefault="001D785A" w:rsidP="001D785A">
            <w:pPr>
              <w:widowControl w:val="0"/>
              <w:tabs>
                <w:tab w:val="center" w:pos="8647"/>
              </w:tabs>
              <w:autoSpaceDE w:val="0"/>
              <w:autoSpaceDN w:val="0"/>
              <w:adjustRightInd w:val="0"/>
              <w:jc w:val="right"/>
              <w:rPr>
                <w:sz w:val="18"/>
                <w:szCs w:val="18"/>
              </w:rPr>
            </w:pPr>
          </w:p>
          <w:p w14:paraId="6771B42E" w14:textId="77777777" w:rsidR="00916382" w:rsidRDefault="00916382" w:rsidP="001D785A">
            <w:pPr>
              <w:widowControl w:val="0"/>
              <w:tabs>
                <w:tab w:val="center" w:pos="8647"/>
              </w:tabs>
              <w:autoSpaceDE w:val="0"/>
              <w:autoSpaceDN w:val="0"/>
              <w:adjustRightInd w:val="0"/>
              <w:jc w:val="right"/>
              <w:rPr>
                <w:sz w:val="18"/>
                <w:szCs w:val="18"/>
              </w:rPr>
            </w:pPr>
            <w:r>
              <w:rPr>
                <w:sz w:val="18"/>
                <w:szCs w:val="18"/>
              </w:rPr>
              <w:t>5-10</w:t>
            </w:r>
          </w:p>
        </w:tc>
        <w:tc>
          <w:tcPr>
            <w:tcW w:w="851" w:type="dxa"/>
          </w:tcPr>
          <w:p w14:paraId="101A2E78" w14:textId="77777777" w:rsidR="00EA4AB9" w:rsidRDefault="00EA4AB9" w:rsidP="00EA4AB9">
            <w:pPr>
              <w:widowControl w:val="0"/>
              <w:tabs>
                <w:tab w:val="center" w:pos="8647"/>
              </w:tabs>
              <w:autoSpaceDE w:val="0"/>
              <w:autoSpaceDN w:val="0"/>
              <w:adjustRightInd w:val="0"/>
              <w:jc w:val="center"/>
              <w:rPr>
                <w:sz w:val="18"/>
                <w:szCs w:val="18"/>
              </w:rPr>
            </w:pPr>
          </w:p>
          <w:p w14:paraId="57755855" w14:textId="72E5335B" w:rsidR="001D785A" w:rsidRDefault="00EA4AB9" w:rsidP="00EA4AB9">
            <w:pPr>
              <w:widowControl w:val="0"/>
              <w:tabs>
                <w:tab w:val="center" w:pos="8647"/>
              </w:tabs>
              <w:autoSpaceDE w:val="0"/>
              <w:autoSpaceDN w:val="0"/>
              <w:adjustRightInd w:val="0"/>
              <w:jc w:val="right"/>
              <w:rPr>
                <w:sz w:val="18"/>
                <w:szCs w:val="18"/>
              </w:rPr>
            </w:pPr>
            <w:r>
              <w:rPr>
                <w:sz w:val="18"/>
                <w:szCs w:val="18"/>
              </w:rPr>
              <w:t>0-5</w:t>
            </w:r>
            <w:r w:rsidR="00B37350" w:rsidRPr="00B37350">
              <w:rPr>
                <w:sz w:val="18"/>
                <w:szCs w:val="18"/>
                <w:vertAlign w:val="superscript"/>
              </w:rPr>
              <w:t>7</w:t>
            </w:r>
          </w:p>
        </w:tc>
        <w:tc>
          <w:tcPr>
            <w:tcW w:w="850" w:type="dxa"/>
          </w:tcPr>
          <w:p w14:paraId="4BCA8B32" w14:textId="77777777" w:rsidR="001D785A" w:rsidRDefault="001D785A" w:rsidP="001D785A">
            <w:pPr>
              <w:widowControl w:val="0"/>
              <w:tabs>
                <w:tab w:val="center" w:pos="8647"/>
              </w:tabs>
              <w:autoSpaceDE w:val="0"/>
              <w:autoSpaceDN w:val="0"/>
              <w:adjustRightInd w:val="0"/>
              <w:jc w:val="right"/>
              <w:rPr>
                <w:sz w:val="18"/>
                <w:szCs w:val="18"/>
              </w:rPr>
            </w:pPr>
          </w:p>
          <w:p w14:paraId="344AE098"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851" w:type="dxa"/>
          </w:tcPr>
          <w:p w14:paraId="3797027B" w14:textId="77777777" w:rsidR="001D785A" w:rsidRDefault="001D785A" w:rsidP="001D785A">
            <w:pPr>
              <w:widowControl w:val="0"/>
              <w:tabs>
                <w:tab w:val="center" w:pos="8647"/>
              </w:tabs>
              <w:autoSpaceDE w:val="0"/>
              <w:autoSpaceDN w:val="0"/>
              <w:adjustRightInd w:val="0"/>
              <w:jc w:val="right"/>
              <w:rPr>
                <w:sz w:val="18"/>
                <w:szCs w:val="18"/>
              </w:rPr>
            </w:pPr>
          </w:p>
          <w:p w14:paraId="37470BAA"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2" w:type="dxa"/>
          </w:tcPr>
          <w:p w14:paraId="3B975093" w14:textId="77777777" w:rsidR="001D785A" w:rsidRDefault="001D785A" w:rsidP="001D785A">
            <w:pPr>
              <w:widowControl w:val="0"/>
              <w:tabs>
                <w:tab w:val="center" w:pos="8647"/>
              </w:tabs>
              <w:autoSpaceDE w:val="0"/>
              <w:autoSpaceDN w:val="0"/>
              <w:adjustRightInd w:val="0"/>
              <w:jc w:val="right"/>
              <w:rPr>
                <w:sz w:val="18"/>
                <w:szCs w:val="18"/>
              </w:rPr>
            </w:pPr>
          </w:p>
          <w:p w14:paraId="36FAECBF"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2" w:type="dxa"/>
          </w:tcPr>
          <w:p w14:paraId="535930F4" w14:textId="77777777" w:rsidR="001D785A" w:rsidRDefault="001D785A" w:rsidP="001D785A">
            <w:pPr>
              <w:widowControl w:val="0"/>
              <w:tabs>
                <w:tab w:val="center" w:pos="8647"/>
              </w:tabs>
              <w:autoSpaceDE w:val="0"/>
              <w:autoSpaceDN w:val="0"/>
              <w:adjustRightInd w:val="0"/>
              <w:jc w:val="right"/>
              <w:rPr>
                <w:sz w:val="18"/>
                <w:szCs w:val="18"/>
              </w:rPr>
            </w:pPr>
          </w:p>
          <w:p w14:paraId="1FB7EB1E"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3" w:type="dxa"/>
          </w:tcPr>
          <w:p w14:paraId="6DC395A5" w14:textId="77777777" w:rsidR="001D785A" w:rsidRDefault="001D785A" w:rsidP="001D785A">
            <w:pPr>
              <w:widowControl w:val="0"/>
              <w:tabs>
                <w:tab w:val="center" w:pos="8647"/>
              </w:tabs>
              <w:autoSpaceDE w:val="0"/>
              <w:autoSpaceDN w:val="0"/>
              <w:adjustRightInd w:val="0"/>
              <w:jc w:val="right"/>
              <w:rPr>
                <w:sz w:val="18"/>
                <w:szCs w:val="18"/>
              </w:rPr>
            </w:pPr>
          </w:p>
          <w:p w14:paraId="0350BA2E" w14:textId="77777777" w:rsidR="00916382" w:rsidRDefault="00916382" w:rsidP="00916382">
            <w:pPr>
              <w:widowControl w:val="0"/>
              <w:tabs>
                <w:tab w:val="center" w:pos="8647"/>
              </w:tabs>
              <w:autoSpaceDE w:val="0"/>
              <w:autoSpaceDN w:val="0"/>
              <w:adjustRightInd w:val="0"/>
              <w:jc w:val="right"/>
              <w:rPr>
                <w:sz w:val="18"/>
                <w:szCs w:val="18"/>
              </w:rPr>
            </w:pPr>
            <w:r>
              <w:rPr>
                <w:sz w:val="18"/>
                <w:szCs w:val="18"/>
              </w:rPr>
              <w:t>5-10</w:t>
            </w:r>
          </w:p>
        </w:tc>
        <w:tc>
          <w:tcPr>
            <w:tcW w:w="992" w:type="dxa"/>
          </w:tcPr>
          <w:p w14:paraId="4B032517" w14:textId="77777777" w:rsidR="00EA4AB9" w:rsidRDefault="00EA4AB9" w:rsidP="00EA4AB9">
            <w:pPr>
              <w:widowControl w:val="0"/>
              <w:tabs>
                <w:tab w:val="center" w:pos="8647"/>
              </w:tabs>
              <w:autoSpaceDE w:val="0"/>
              <w:autoSpaceDN w:val="0"/>
              <w:adjustRightInd w:val="0"/>
              <w:jc w:val="center"/>
              <w:rPr>
                <w:sz w:val="18"/>
                <w:szCs w:val="18"/>
              </w:rPr>
            </w:pPr>
          </w:p>
          <w:p w14:paraId="52B2CDE8" w14:textId="3F777319" w:rsidR="001D785A" w:rsidRDefault="00EA4AB9" w:rsidP="00EA4AB9">
            <w:pPr>
              <w:widowControl w:val="0"/>
              <w:tabs>
                <w:tab w:val="center" w:pos="8647"/>
              </w:tabs>
              <w:autoSpaceDE w:val="0"/>
              <w:autoSpaceDN w:val="0"/>
              <w:adjustRightInd w:val="0"/>
              <w:jc w:val="center"/>
              <w:rPr>
                <w:sz w:val="18"/>
                <w:szCs w:val="18"/>
              </w:rPr>
            </w:pPr>
            <w:r>
              <w:rPr>
                <w:sz w:val="18"/>
                <w:szCs w:val="18"/>
              </w:rPr>
              <w:t>0-5</w:t>
            </w:r>
          </w:p>
        </w:tc>
      </w:tr>
      <w:tr w:rsidR="001D785A" w14:paraId="74714D2D" w14:textId="77777777" w:rsidTr="00F61A65">
        <w:tc>
          <w:tcPr>
            <w:tcW w:w="2581" w:type="dxa"/>
            <w:vAlign w:val="center"/>
          </w:tcPr>
          <w:p w14:paraId="6EEFB90B" w14:textId="77777777" w:rsidR="001D785A" w:rsidRDefault="001D785A" w:rsidP="001D785A">
            <w:pPr>
              <w:rPr>
                <w:b/>
                <w:sz w:val="18"/>
                <w:szCs w:val="18"/>
              </w:rPr>
            </w:pPr>
            <w:r>
              <w:rPr>
                <w:b/>
                <w:sz w:val="18"/>
                <w:szCs w:val="18"/>
              </w:rPr>
              <w:t>Ms Maura Muldoon</w:t>
            </w:r>
          </w:p>
          <w:p w14:paraId="7D9AD739" w14:textId="77777777" w:rsidR="00F61A65" w:rsidRDefault="001D785A" w:rsidP="001D785A">
            <w:pPr>
              <w:rPr>
                <w:sz w:val="18"/>
                <w:szCs w:val="18"/>
              </w:rPr>
            </w:pPr>
            <w:r>
              <w:rPr>
                <w:sz w:val="18"/>
                <w:szCs w:val="18"/>
              </w:rPr>
              <w:t xml:space="preserve">Commissioner </w:t>
            </w:r>
          </w:p>
          <w:p w14:paraId="383FAC34" w14:textId="77777777" w:rsidR="001D785A" w:rsidRDefault="00EA4AB9" w:rsidP="001D785A">
            <w:pPr>
              <w:rPr>
                <w:sz w:val="18"/>
                <w:szCs w:val="18"/>
              </w:rPr>
            </w:pPr>
            <w:r>
              <w:rPr>
                <w:sz w:val="18"/>
                <w:szCs w:val="18"/>
              </w:rPr>
              <w:t>(until 31 August 2021)</w:t>
            </w:r>
          </w:p>
          <w:p w14:paraId="7DBE2286" w14:textId="77777777" w:rsidR="008765D5" w:rsidRPr="001D785A" w:rsidRDefault="008765D5" w:rsidP="001D785A">
            <w:pPr>
              <w:rPr>
                <w:sz w:val="18"/>
                <w:szCs w:val="18"/>
              </w:rPr>
            </w:pPr>
          </w:p>
        </w:tc>
        <w:tc>
          <w:tcPr>
            <w:tcW w:w="850" w:type="dxa"/>
          </w:tcPr>
          <w:p w14:paraId="023F7481" w14:textId="77777777" w:rsidR="001D785A" w:rsidRDefault="001D785A" w:rsidP="001D785A">
            <w:pPr>
              <w:widowControl w:val="0"/>
              <w:tabs>
                <w:tab w:val="center" w:pos="8647"/>
              </w:tabs>
              <w:autoSpaceDE w:val="0"/>
              <w:autoSpaceDN w:val="0"/>
              <w:adjustRightInd w:val="0"/>
              <w:jc w:val="right"/>
              <w:rPr>
                <w:sz w:val="18"/>
                <w:szCs w:val="18"/>
              </w:rPr>
            </w:pPr>
          </w:p>
          <w:p w14:paraId="57653C39" w14:textId="77777777" w:rsidR="00916382" w:rsidRDefault="00916382" w:rsidP="001D785A">
            <w:pPr>
              <w:widowControl w:val="0"/>
              <w:tabs>
                <w:tab w:val="center" w:pos="8647"/>
              </w:tabs>
              <w:autoSpaceDE w:val="0"/>
              <w:autoSpaceDN w:val="0"/>
              <w:adjustRightInd w:val="0"/>
              <w:jc w:val="right"/>
              <w:rPr>
                <w:sz w:val="18"/>
                <w:szCs w:val="18"/>
              </w:rPr>
            </w:pPr>
            <w:r>
              <w:rPr>
                <w:sz w:val="18"/>
                <w:szCs w:val="18"/>
              </w:rPr>
              <w:t>0-5</w:t>
            </w:r>
            <w:r>
              <w:rPr>
                <w:rStyle w:val="FootnoteReference"/>
                <w:sz w:val="18"/>
                <w:szCs w:val="18"/>
              </w:rPr>
              <w:footnoteReference w:id="9"/>
            </w:r>
          </w:p>
        </w:tc>
        <w:tc>
          <w:tcPr>
            <w:tcW w:w="851" w:type="dxa"/>
          </w:tcPr>
          <w:p w14:paraId="61C43BDC" w14:textId="77777777" w:rsidR="00EA4AB9" w:rsidRDefault="00EA4AB9" w:rsidP="00EA4AB9">
            <w:pPr>
              <w:widowControl w:val="0"/>
              <w:tabs>
                <w:tab w:val="center" w:pos="8647"/>
              </w:tabs>
              <w:autoSpaceDE w:val="0"/>
              <w:autoSpaceDN w:val="0"/>
              <w:adjustRightInd w:val="0"/>
              <w:jc w:val="center"/>
              <w:rPr>
                <w:sz w:val="18"/>
                <w:szCs w:val="18"/>
              </w:rPr>
            </w:pPr>
          </w:p>
          <w:p w14:paraId="40396002" w14:textId="4890A129" w:rsidR="001D785A" w:rsidRDefault="00EA4AB9" w:rsidP="00EA4AB9">
            <w:pPr>
              <w:widowControl w:val="0"/>
              <w:tabs>
                <w:tab w:val="center" w:pos="8647"/>
              </w:tabs>
              <w:autoSpaceDE w:val="0"/>
              <w:autoSpaceDN w:val="0"/>
              <w:adjustRightInd w:val="0"/>
              <w:jc w:val="right"/>
              <w:rPr>
                <w:sz w:val="18"/>
                <w:szCs w:val="18"/>
              </w:rPr>
            </w:pPr>
            <w:r>
              <w:rPr>
                <w:sz w:val="18"/>
                <w:szCs w:val="18"/>
              </w:rPr>
              <w:t>0-</w:t>
            </w:r>
            <w:r w:rsidR="00B37350">
              <w:rPr>
                <w:sz w:val="18"/>
                <w:szCs w:val="18"/>
              </w:rPr>
              <w:t>5</w:t>
            </w:r>
            <w:r w:rsidR="00B37350">
              <w:rPr>
                <w:sz w:val="18"/>
                <w:szCs w:val="18"/>
                <w:vertAlign w:val="superscript"/>
              </w:rPr>
              <w:t>7</w:t>
            </w:r>
          </w:p>
        </w:tc>
        <w:tc>
          <w:tcPr>
            <w:tcW w:w="850" w:type="dxa"/>
          </w:tcPr>
          <w:p w14:paraId="7424F494" w14:textId="77777777" w:rsidR="001D785A" w:rsidRDefault="001D785A" w:rsidP="001D785A">
            <w:pPr>
              <w:widowControl w:val="0"/>
              <w:tabs>
                <w:tab w:val="center" w:pos="8647"/>
              </w:tabs>
              <w:autoSpaceDE w:val="0"/>
              <w:autoSpaceDN w:val="0"/>
              <w:adjustRightInd w:val="0"/>
              <w:jc w:val="right"/>
              <w:rPr>
                <w:sz w:val="18"/>
                <w:szCs w:val="18"/>
              </w:rPr>
            </w:pPr>
          </w:p>
          <w:p w14:paraId="48C7D963"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851" w:type="dxa"/>
          </w:tcPr>
          <w:p w14:paraId="35EB7C1D" w14:textId="77777777" w:rsidR="001D785A" w:rsidRDefault="001D785A" w:rsidP="001D785A">
            <w:pPr>
              <w:widowControl w:val="0"/>
              <w:tabs>
                <w:tab w:val="center" w:pos="8647"/>
              </w:tabs>
              <w:autoSpaceDE w:val="0"/>
              <w:autoSpaceDN w:val="0"/>
              <w:adjustRightInd w:val="0"/>
              <w:jc w:val="right"/>
              <w:rPr>
                <w:sz w:val="18"/>
                <w:szCs w:val="18"/>
              </w:rPr>
            </w:pPr>
          </w:p>
          <w:p w14:paraId="26053383"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2" w:type="dxa"/>
          </w:tcPr>
          <w:p w14:paraId="3095ED4D" w14:textId="77777777" w:rsidR="001D785A" w:rsidRDefault="001D785A" w:rsidP="001D785A">
            <w:pPr>
              <w:widowControl w:val="0"/>
              <w:tabs>
                <w:tab w:val="center" w:pos="8647"/>
              </w:tabs>
              <w:autoSpaceDE w:val="0"/>
              <w:autoSpaceDN w:val="0"/>
              <w:adjustRightInd w:val="0"/>
              <w:jc w:val="right"/>
              <w:rPr>
                <w:sz w:val="18"/>
                <w:szCs w:val="18"/>
              </w:rPr>
            </w:pPr>
          </w:p>
          <w:p w14:paraId="02BD6C1B"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2" w:type="dxa"/>
          </w:tcPr>
          <w:p w14:paraId="37E90613" w14:textId="77777777" w:rsidR="001D785A" w:rsidRDefault="001D785A" w:rsidP="001D785A">
            <w:pPr>
              <w:widowControl w:val="0"/>
              <w:tabs>
                <w:tab w:val="center" w:pos="8647"/>
              </w:tabs>
              <w:autoSpaceDE w:val="0"/>
              <w:autoSpaceDN w:val="0"/>
              <w:adjustRightInd w:val="0"/>
              <w:jc w:val="right"/>
              <w:rPr>
                <w:sz w:val="18"/>
                <w:szCs w:val="18"/>
              </w:rPr>
            </w:pPr>
          </w:p>
          <w:p w14:paraId="019ADE93"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3" w:type="dxa"/>
          </w:tcPr>
          <w:p w14:paraId="2D596573" w14:textId="77777777" w:rsidR="001D785A" w:rsidRDefault="001D785A" w:rsidP="001D785A">
            <w:pPr>
              <w:widowControl w:val="0"/>
              <w:tabs>
                <w:tab w:val="center" w:pos="8647"/>
              </w:tabs>
              <w:autoSpaceDE w:val="0"/>
              <w:autoSpaceDN w:val="0"/>
              <w:adjustRightInd w:val="0"/>
              <w:jc w:val="right"/>
              <w:rPr>
                <w:sz w:val="18"/>
                <w:szCs w:val="18"/>
              </w:rPr>
            </w:pPr>
          </w:p>
          <w:p w14:paraId="5995C185" w14:textId="61CAF3CB" w:rsidR="00916382" w:rsidRDefault="00916382" w:rsidP="001D785A">
            <w:pPr>
              <w:widowControl w:val="0"/>
              <w:tabs>
                <w:tab w:val="center" w:pos="8647"/>
              </w:tabs>
              <w:autoSpaceDE w:val="0"/>
              <w:autoSpaceDN w:val="0"/>
              <w:adjustRightInd w:val="0"/>
              <w:jc w:val="right"/>
              <w:rPr>
                <w:sz w:val="18"/>
                <w:szCs w:val="18"/>
              </w:rPr>
            </w:pPr>
            <w:r>
              <w:rPr>
                <w:sz w:val="18"/>
                <w:szCs w:val="18"/>
              </w:rPr>
              <w:t>0-5</w:t>
            </w:r>
          </w:p>
        </w:tc>
        <w:tc>
          <w:tcPr>
            <w:tcW w:w="992" w:type="dxa"/>
          </w:tcPr>
          <w:p w14:paraId="612E015D" w14:textId="77777777" w:rsidR="00EA4AB9" w:rsidRDefault="00EA4AB9" w:rsidP="00EA4AB9">
            <w:pPr>
              <w:widowControl w:val="0"/>
              <w:tabs>
                <w:tab w:val="center" w:pos="8647"/>
              </w:tabs>
              <w:autoSpaceDE w:val="0"/>
              <w:autoSpaceDN w:val="0"/>
              <w:adjustRightInd w:val="0"/>
              <w:jc w:val="center"/>
              <w:rPr>
                <w:sz w:val="18"/>
                <w:szCs w:val="18"/>
              </w:rPr>
            </w:pPr>
          </w:p>
          <w:p w14:paraId="3CF7407A" w14:textId="64876DC8" w:rsidR="001D785A" w:rsidRDefault="00EA4AB9" w:rsidP="00EA4AB9">
            <w:pPr>
              <w:widowControl w:val="0"/>
              <w:tabs>
                <w:tab w:val="center" w:pos="8647"/>
              </w:tabs>
              <w:autoSpaceDE w:val="0"/>
              <w:autoSpaceDN w:val="0"/>
              <w:adjustRightInd w:val="0"/>
              <w:jc w:val="center"/>
              <w:rPr>
                <w:sz w:val="18"/>
                <w:szCs w:val="18"/>
              </w:rPr>
            </w:pPr>
            <w:r>
              <w:rPr>
                <w:sz w:val="18"/>
                <w:szCs w:val="18"/>
              </w:rPr>
              <w:t>0-5</w:t>
            </w:r>
          </w:p>
        </w:tc>
      </w:tr>
      <w:tr w:rsidR="001D785A" w14:paraId="62552E36" w14:textId="77777777" w:rsidTr="00F61A65">
        <w:tc>
          <w:tcPr>
            <w:tcW w:w="2581" w:type="dxa"/>
            <w:vAlign w:val="center"/>
          </w:tcPr>
          <w:p w14:paraId="39AAB4C7" w14:textId="77777777" w:rsidR="001D785A" w:rsidRDefault="001D785A" w:rsidP="001D785A">
            <w:pPr>
              <w:rPr>
                <w:b/>
                <w:sz w:val="18"/>
                <w:szCs w:val="18"/>
              </w:rPr>
            </w:pPr>
            <w:r>
              <w:rPr>
                <w:b/>
                <w:sz w:val="18"/>
                <w:szCs w:val="18"/>
              </w:rPr>
              <w:t>Mr Stephen White</w:t>
            </w:r>
            <w:r w:rsidR="00BF62F1">
              <w:rPr>
                <w:b/>
                <w:sz w:val="18"/>
                <w:szCs w:val="18"/>
              </w:rPr>
              <w:t xml:space="preserve"> OBE</w:t>
            </w:r>
          </w:p>
          <w:p w14:paraId="696D355E" w14:textId="54DEE03A" w:rsidR="008765D5" w:rsidRPr="001D785A" w:rsidRDefault="001D785A" w:rsidP="001D785A">
            <w:pPr>
              <w:rPr>
                <w:sz w:val="18"/>
                <w:szCs w:val="18"/>
              </w:rPr>
            </w:pPr>
            <w:r>
              <w:rPr>
                <w:sz w:val="18"/>
                <w:szCs w:val="18"/>
              </w:rPr>
              <w:t xml:space="preserve">Commissioner </w:t>
            </w:r>
          </w:p>
        </w:tc>
        <w:tc>
          <w:tcPr>
            <w:tcW w:w="850" w:type="dxa"/>
          </w:tcPr>
          <w:p w14:paraId="1DA535A3" w14:textId="77777777" w:rsidR="001D785A" w:rsidRDefault="001D785A" w:rsidP="001D785A">
            <w:pPr>
              <w:widowControl w:val="0"/>
              <w:tabs>
                <w:tab w:val="center" w:pos="8647"/>
              </w:tabs>
              <w:autoSpaceDE w:val="0"/>
              <w:autoSpaceDN w:val="0"/>
              <w:adjustRightInd w:val="0"/>
              <w:jc w:val="right"/>
              <w:rPr>
                <w:sz w:val="18"/>
                <w:szCs w:val="18"/>
              </w:rPr>
            </w:pPr>
          </w:p>
          <w:p w14:paraId="66076390" w14:textId="77777777" w:rsidR="00051C2A" w:rsidRDefault="00051C2A" w:rsidP="001D785A">
            <w:pPr>
              <w:widowControl w:val="0"/>
              <w:tabs>
                <w:tab w:val="center" w:pos="8647"/>
              </w:tabs>
              <w:autoSpaceDE w:val="0"/>
              <w:autoSpaceDN w:val="0"/>
              <w:adjustRightInd w:val="0"/>
              <w:jc w:val="right"/>
              <w:rPr>
                <w:sz w:val="18"/>
                <w:szCs w:val="18"/>
              </w:rPr>
            </w:pPr>
            <w:r>
              <w:rPr>
                <w:sz w:val="18"/>
                <w:szCs w:val="18"/>
              </w:rPr>
              <w:t>5-10</w:t>
            </w:r>
          </w:p>
        </w:tc>
        <w:tc>
          <w:tcPr>
            <w:tcW w:w="851" w:type="dxa"/>
          </w:tcPr>
          <w:p w14:paraId="448371BD" w14:textId="77777777" w:rsidR="00EA4AB9" w:rsidRDefault="00EA4AB9" w:rsidP="00EA4AB9">
            <w:pPr>
              <w:widowControl w:val="0"/>
              <w:tabs>
                <w:tab w:val="center" w:pos="8647"/>
              </w:tabs>
              <w:autoSpaceDE w:val="0"/>
              <w:autoSpaceDN w:val="0"/>
              <w:adjustRightInd w:val="0"/>
              <w:jc w:val="center"/>
              <w:rPr>
                <w:sz w:val="18"/>
                <w:szCs w:val="18"/>
              </w:rPr>
            </w:pPr>
          </w:p>
          <w:p w14:paraId="01AF451E" w14:textId="7AE5386D" w:rsidR="001D785A" w:rsidRDefault="00EA4AB9" w:rsidP="00EA4AB9">
            <w:pPr>
              <w:widowControl w:val="0"/>
              <w:tabs>
                <w:tab w:val="center" w:pos="8647"/>
              </w:tabs>
              <w:autoSpaceDE w:val="0"/>
              <w:autoSpaceDN w:val="0"/>
              <w:adjustRightInd w:val="0"/>
              <w:jc w:val="right"/>
              <w:rPr>
                <w:sz w:val="18"/>
                <w:szCs w:val="18"/>
              </w:rPr>
            </w:pPr>
            <w:r>
              <w:rPr>
                <w:sz w:val="18"/>
                <w:szCs w:val="18"/>
              </w:rPr>
              <w:t>0-</w:t>
            </w:r>
            <w:r w:rsidR="00E4361C">
              <w:rPr>
                <w:sz w:val="18"/>
                <w:szCs w:val="18"/>
              </w:rPr>
              <w:t>5</w:t>
            </w:r>
            <w:r w:rsidR="00E4361C">
              <w:rPr>
                <w:sz w:val="18"/>
                <w:szCs w:val="18"/>
                <w:vertAlign w:val="superscript"/>
              </w:rPr>
              <w:t>7</w:t>
            </w:r>
          </w:p>
        </w:tc>
        <w:tc>
          <w:tcPr>
            <w:tcW w:w="850" w:type="dxa"/>
          </w:tcPr>
          <w:p w14:paraId="3BFB4120" w14:textId="77777777" w:rsidR="001D785A" w:rsidRDefault="001D785A" w:rsidP="001D785A">
            <w:pPr>
              <w:widowControl w:val="0"/>
              <w:tabs>
                <w:tab w:val="center" w:pos="8647"/>
              </w:tabs>
              <w:autoSpaceDE w:val="0"/>
              <w:autoSpaceDN w:val="0"/>
              <w:adjustRightInd w:val="0"/>
              <w:jc w:val="right"/>
              <w:rPr>
                <w:sz w:val="18"/>
                <w:szCs w:val="18"/>
              </w:rPr>
            </w:pPr>
          </w:p>
          <w:p w14:paraId="30FE4F6E" w14:textId="5CB6EB37" w:rsidR="00051C2A" w:rsidRDefault="000255BE" w:rsidP="001D785A">
            <w:pPr>
              <w:widowControl w:val="0"/>
              <w:tabs>
                <w:tab w:val="center" w:pos="8647"/>
              </w:tabs>
              <w:autoSpaceDE w:val="0"/>
              <w:autoSpaceDN w:val="0"/>
              <w:adjustRightInd w:val="0"/>
              <w:jc w:val="right"/>
              <w:rPr>
                <w:sz w:val="18"/>
                <w:szCs w:val="18"/>
              </w:rPr>
            </w:pPr>
            <w:r>
              <w:rPr>
                <w:sz w:val="18"/>
                <w:szCs w:val="18"/>
              </w:rPr>
              <w:t>100</w:t>
            </w:r>
          </w:p>
        </w:tc>
        <w:tc>
          <w:tcPr>
            <w:tcW w:w="851" w:type="dxa"/>
          </w:tcPr>
          <w:p w14:paraId="273A0189" w14:textId="77777777" w:rsidR="001D785A" w:rsidRDefault="001D785A" w:rsidP="001D785A">
            <w:pPr>
              <w:widowControl w:val="0"/>
              <w:tabs>
                <w:tab w:val="center" w:pos="8647"/>
              </w:tabs>
              <w:autoSpaceDE w:val="0"/>
              <w:autoSpaceDN w:val="0"/>
              <w:adjustRightInd w:val="0"/>
              <w:jc w:val="right"/>
              <w:rPr>
                <w:sz w:val="18"/>
                <w:szCs w:val="18"/>
              </w:rPr>
            </w:pPr>
          </w:p>
          <w:p w14:paraId="77599EB0"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2" w:type="dxa"/>
          </w:tcPr>
          <w:p w14:paraId="4429AF70" w14:textId="77777777" w:rsidR="001D785A" w:rsidRDefault="001D785A" w:rsidP="001D785A">
            <w:pPr>
              <w:widowControl w:val="0"/>
              <w:tabs>
                <w:tab w:val="center" w:pos="8647"/>
              </w:tabs>
              <w:autoSpaceDE w:val="0"/>
              <w:autoSpaceDN w:val="0"/>
              <w:adjustRightInd w:val="0"/>
              <w:jc w:val="right"/>
              <w:rPr>
                <w:sz w:val="18"/>
                <w:szCs w:val="18"/>
              </w:rPr>
            </w:pPr>
          </w:p>
          <w:p w14:paraId="0E3C2BF0"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2" w:type="dxa"/>
          </w:tcPr>
          <w:p w14:paraId="356E5E45" w14:textId="77777777" w:rsidR="001D785A" w:rsidRDefault="001D785A" w:rsidP="001D785A">
            <w:pPr>
              <w:widowControl w:val="0"/>
              <w:tabs>
                <w:tab w:val="center" w:pos="8647"/>
              </w:tabs>
              <w:autoSpaceDE w:val="0"/>
              <w:autoSpaceDN w:val="0"/>
              <w:adjustRightInd w:val="0"/>
              <w:jc w:val="right"/>
              <w:rPr>
                <w:sz w:val="18"/>
                <w:szCs w:val="18"/>
              </w:rPr>
            </w:pPr>
          </w:p>
          <w:p w14:paraId="66234CDD" w14:textId="77777777" w:rsidR="001D785A" w:rsidRDefault="001D785A" w:rsidP="001D785A">
            <w:pPr>
              <w:widowControl w:val="0"/>
              <w:tabs>
                <w:tab w:val="center" w:pos="8647"/>
              </w:tabs>
              <w:autoSpaceDE w:val="0"/>
              <w:autoSpaceDN w:val="0"/>
              <w:adjustRightInd w:val="0"/>
              <w:jc w:val="right"/>
              <w:rPr>
                <w:sz w:val="18"/>
                <w:szCs w:val="18"/>
              </w:rPr>
            </w:pPr>
            <w:r>
              <w:rPr>
                <w:sz w:val="18"/>
                <w:szCs w:val="18"/>
              </w:rPr>
              <w:t>-</w:t>
            </w:r>
          </w:p>
        </w:tc>
        <w:tc>
          <w:tcPr>
            <w:tcW w:w="993" w:type="dxa"/>
          </w:tcPr>
          <w:p w14:paraId="7348A548" w14:textId="77777777" w:rsidR="001D785A" w:rsidRDefault="001D785A" w:rsidP="001D785A">
            <w:pPr>
              <w:widowControl w:val="0"/>
              <w:tabs>
                <w:tab w:val="center" w:pos="8647"/>
              </w:tabs>
              <w:autoSpaceDE w:val="0"/>
              <w:autoSpaceDN w:val="0"/>
              <w:adjustRightInd w:val="0"/>
              <w:jc w:val="right"/>
              <w:rPr>
                <w:sz w:val="18"/>
                <w:szCs w:val="18"/>
              </w:rPr>
            </w:pPr>
          </w:p>
          <w:p w14:paraId="44F9A3AE" w14:textId="77777777" w:rsidR="00051C2A" w:rsidRDefault="00051C2A" w:rsidP="001D785A">
            <w:pPr>
              <w:widowControl w:val="0"/>
              <w:tabs>
                <w:tab w:val="center" w:pos="8647"/>
              </w:tabs>
              <w:autoSpaceDE w:val="0"/>
              <w:autoSpaceDN w:val="0"/>
              <w:adjustRightInd w:val="0"/>
              <w:jc w:val="right"/>
              <w:rPr>
                <w:sz w:val="18"/>
                <w:szCs w:val="18"/>
              </w:rPr>
            </w:pPr>
            <w:r>
              <w:rPr>
                <w:sz w:val="18"/>
                <w:szCs w:val="18"/>
              </w:rPr>
              <w:t>5-10</w:t>
            </w:r>
          </w:p>
        </w:tc>
        <w:tc>
          <w:tcPr>
            <w:tcW w:w="992" w:type="dxa"/>
          </w:tcPr>
          <w:p w14:paraId="38093309" w14:textId="77777777" w:rsidR="00EA4AB9" w:rsidRDefault="00EA4AB9" w:rsidP="00EA4AB9">
            <w:pPr>
              <w:widowControl w:val="0"/>
              <w:tabs>
                <w:tab w:val="center" w:pos="8647"/>
              </w:tabs>
              <w:autoSpaceDE w:val="0"/>
              <w:autoSpaceDN w:val="0"/>
              <w:adjustRightInd w:val="0"/>
              <w:jc w:val="center"/>
              <w:rPr>
                <w:sz w:val="18"/>
                <w:szCs w:val="18"/>
              </w:rPr>
            </w:pPr>
          </w:p>
          <w:p w14:paraId="53F7BE87" w14:textId="11F35A26" w:rsidR="001D785A" w:rsidRDefault="00EA4AB9" w:rsidP="00EA4AB9">
            <w:pPr>
              <w:widowControl w:val="0"/>
              <w:tabs>
                <w:tab w:val="center" w:pos="8647"/>
              </w:tabs>
              <w:autoSpaceDE w:val="0"/>
              <w:autoSpaceDN w:val="0"/>
              <w:adjustRightInd w:val="0"/>
              <w:jc w:val="center"/>
              <w:rPr>
                <w:sz w:val="18"/>
                <w:szCs w:val="18"/>
              </w:rPr>
            </w:pPr>
            <w:r>
              <w:rPr>
                <w:sz w:val="18"/>
                <w:szCs w:val="18"/>
              </w:rPr>
              <w:t>0-5</w:t>
            </w:r>
          </w:p>
        </w:tc>
      </w:tr>
      <w:tr w:rsidR="00EA4AB9" w14:paraId="5F258E46" w14:textId="77777777" w:rsidTr="00F61A65">
        <w:tc>
          <w:tcPr>
            <w:tcW w:w="2581" w:type="dxa"/>
            <w:vAlign w:val="center"/>
          </w:tcPr>
          <w:p w14:paraId="78DAC067" w14:textId="77777777" w:rsidR="00EA4AB9" w:rsidRDefault="00EA4AB9" w:rsidP="00EA4AB9">
            <w:pPr>
              <w:rPr>
                <w:b/>
                <w:sz w:val="18"/>
                <w:szCs w:val="18"/>
              </w:rPr>
            </w:pPr>
            <w:r>
              <w:rPr>
                <w:b/>
                <w:sz w:val="18"/>
                <w:szCs w:val="18"/>
              </w:rPr>
              <w:t>Ms Helen Ferguson</w:t>
            </w:r>
          </w:p>
          <w:p w14:paraId="7B143A1B" w14:textId="77777777" w:rsidR="00EA4AB9" w:rsidRPr="00FF29E7" w:rsidRDefault="00EA4AB9" w:rsidP="00EA4AB9">
            <w:pPr>
              <w:rPr>
                <w:i/>
                <w:sz w:val="18"/>
                <w:szCs w:val="18"/>
              </w:rPr>
            </w:pPr>
            <w:r>
              <w:rPr>
                <w:sz w:val="18"/>
                <w:szCs w:val="18"/>
              </w:rPr>
              <w:t>Commissioner (until 31 August 2020)</w:t>
            </w:r>
            <w:r>
              <w:rPr>
                <w:sz w:val="18"/>
                <w:szCs w:val="18"/>
              </w:rPr>
              <w:br/>
            </w:r>
          </w:p>
        </w:tc>
        <w:tc>
          <w:tcPr>
            <w:tcW w:w="850" w:type="dxa"/>
          </w:tcPr>
          <w:p w14:paraId="52062667" w14:textId="77777777" w:rsidR="00EA4AB9" w:rsidRDefault="00EA4AB9" w:rsidP="00EA4AB9">
            <w:pPr>
              <w:widowControl w:val="0"/>
              <w:tabs>
                <w:tab w:val="center" w:pos="8647"/>
              </w:tabs>
              <w:autoSpaceDE w:val="0"/>
              <w:autoSpaceDN w:val="0"/>
              <w:adjustRightInd w:val="0"/>
              <w:jc w:val="right"/>
              <w:rPr>
                <w:sz w:val="18"/>
                <w:szCs w:val="18"/>
              </w:rPr>
            </w:pPr>
          </w:p>
          <w:p w14:paraId="50FC1C5A" w14:textId="77777777" w:rsidR="00051C2A" w:rsidRPr="00D23890"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72D887DA" w14:textId="77777777" w:rsidR="00EA4AB9" w:rsidRDefault="00EA4AB9" w:rsidP="00EA4AB9">
            <w:pPr>
              <w:widowControl w:val="0"/>
              <w:tabs>
                <w:tab w:val="center" w:pos="8647"/>
              </w:tabs>
              <w:autoSpaceDE w:val="0"/>
              <w:autoSpaceDN w:val="0"/>
              <w:adjustRightInd w:val="0"/>
              <w:jc w:val="right"/>
              <w:rPr>
                <w:sz w:val="18"/>
                <w:szCs w:val="18"/>
              </w:rPr>
            </w:pPr>
          </w:p>
          <w:p w14:paraId="77E0AA42"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0-5</w:t>
            </w:r>
            <w:r>
              <w:rPr>
                <w:rStyle w:val="FootnoteReference"/>
                <w:sz w:val="18"/>
                <w:szCs w:val="18"/>
              </w:rPr>
              <w:footnoteReference w:id="10"/>
            </w:r>
          </w:p>
        </w:tc>
        <w:tc>
          <w:tcPr>
            <w:tcW w:w="850" w:type="dxa"/>
          </w:tcPr>
          <w:p w14:paraId="00F08DC2" w14:textId="77777777" w:rsidR="00EA4AB9" w:rsidRDefault="00EA4AB9" w:rsidP="00EA4AB9">
            <w:pPr>
              <w:widowControl w:val="0"/>
              <w:tabs>
                <w:tab w:val="center" w:pos="8647"/>
              </w:tabs>
              <w:autoSpaceDE w:val="0"/>
              <w:autoSpaceDN w:val="0"/>
              <w:adjustRightInd w:val="0"/>
              <w:jc w:val="right"/>
              <w:rPr>
                <w:sz w:val="18"/>
                <w:szCs w:val="18"/>
              </w:rPr>
            </w:pPr>
          </w:p>
          <w:p w14:paraId="277AEE9F"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32210482" w14:textId="77777777" w:rsidR="00EA4AB9" w:rsidRDefault="00EA4AB9" w:rsidP="00EA4AB9">
            <w:pPr>
              <w:widowControl w:val="0"/>
              <w:tabs>
                <w:tab w:val="center" w:pos="8647"/>
              </w:tabs>
              <w:autoSpaceDE w:val="0"/>
              <w:autoSpaceDN w:val="0"/>
              <w:adjustRightInd w:val="0"/>
              <w:jc w:val="right"/>
              <w:rPr>
                <w:sz w:val="18"/>
                <w:szCs w:val="18"/>
              </w:rPr>
            </w:pPr>
          </w:p>
          <w:p w14:paraId="37B6BDCA"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789BC64F" w14:textId="77777777" w:rsidR="00EA4AB9" w:rsidRDefault="00EA4AB9" w:rsidP="00EA4AB9">
            <w:pPr>
              <w:widowControl w:val="0"/>
              <w:tabs>
                <w:tab w:val="center" w:pos="8647"/>
              </w:tabs>
              <w:autoSpaceDE w:val="0"/>
              <w:autoSpaceDN w:val="0"/>
              <w:adjustRightInd w:val="0"/>
              <w:jc w:val="right"/>
              <w:rPr>
                <w:sz w:val="18"/>
                <w:szCs w:val="18"/>
              </w:rPr>
            </w:pPr>
          </w:p>
          <w:p w14:paraId="0B13B7A5"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0E78DAA2" w14:textId="77777777" w:rsidR="00EA4AB9" w:rsidRDefault="00EA4AB9" w:rsidP="00EA4AB9">
            <w:pPr>
              <w:widowControl w:val="0"/>
              <w:tabs>
                <w:tab w:val="center" w:pos="8647"/>
              </w:tabs>
              <w:autoSpaceDE w:val="0"/>
              <w:autoSpaceDN w:val="0"/>
              <w:adjustRightInd w:val="0"/>
              <w:jc w:val="right"/>
              <w:rPr>
                <w:sz w:val="18"/>
                <w:szCs w:val="18"/>
              </w:rPr>
            </w:pPr>
          </w:p>
          <w:p w14:paraId="4D683A57"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3" w:type="dxa"/>
          </w:tcPr>
          <w:p w14:paraId="3292EC01" w14:textId="77777777" w:rsidR="00EA4AB9" w:rsidRDefault="00EA4AB9" w:rsidP="00EA4AB9">
            <w:pPr>
              <w:widowControl w:val="0"/>
              <w:tabs>
                <w:tab w:val="center" w:pos="8647"/>
              </w:tabs>
              <w:autoSpaceDE w:val="0"/>
              <w:autoSpaceDN w:val="0"/>
              <w:adjustRightInd w:val="0"/>
              <w:jc w:val="right"/>
              <w:rPr>
                <w:sz w:val="18"/>
                <w:szCs w:val="18"/>
              </w:rPr>
            </w:pPr>
          </w:p>
          <w:p w14:paraId="4974B861" w14:textId="77777777" w:rsidR="00051C2A" w:rsidRPr="00D23890"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1DD24F29" w14:textId="77777777" w:rsidR="00EA4AB9" w:rsidRDefault="00EA4AB9" w:rsidP="00EA4AB9">
            <w:pPr>
              <w:widowControl w:val="0"/>
              <w:tabs>
                <w:tab w:val="center" w:pos="8647"/>
              </w:tabs>
              <w:autoSpaceDE w:val="0"/>
              <w:autoSpaceDN w:val="0"/>
              <w:adjustRightInd w:val="0"/>
              <w:jc w:val="right"/>
              <w:rPr>
                <w:sz w:val="18"/>
                <w:szCs w:val="18"/>
              </w:rPr>
            </w:pPr>
          </w:p>
          <w:p w14:paraId="28339D48" w14:textId="5CADAF9F" w:rsidR="00EA4AB9" w:rsidRPr="00D23890" w:rsidRDefault="00EA4AB9" w:rsidP="00EA4AB9">
            <w:pPr>
              <w:widowControl w:val="0"/>
              <w:tabs>
                <w:tab w:val="center" w:pos="8647"/>
              </w:tabs>
              <w:autoSpaceDE w:val="0"/>
              <w:autoSpaceDN w:val="0"/>
              <w:adjustRightInd w:val="0"/>
              <w:jc w:val="center"/>
              <w:rPr>
                <w:sz w:val="18"/>
                <w:szCs w:val="18"/>
              </w:rPr>
            </w:pPr>
            <w:r>
              <w:rPr>
                <w:sz w:val="18"/>
                <w:szCs w:val="18"/>
              </w:rPr>
              <w:t>0-5</w:t>
            </w:r>
          </w:p>
        </w:tc>
      </w:tr>
      <w:tr w:rsidR="00EA4AB9" w14:paraId="21BD8904" w14:textId="77777777" w:rsidTr="00F61A65">
        <w:tc>
          <w:tcPr>
            <w:tcW w:w="2581" w:type="dxa"/>
            <w:vAlign w:val="center"/>
          </w:tcPr>
          <w:p w14:paraId="3ECFF955" w14:textId="77777777" w:rsidR="00EA4AB9" w:rsidRDefault="00EA4AB9" w:rsidP="00EA4AB9">
            <w:pPr>
              <w:rPr>
                <w:b/>
                <w:sz w:val="18"/>
                <w:szCs w:val="18"/>
              </w:rPr>
            </w:pPr>
            <w:r>
              <w:rPr>
                <w:b/>
                <w:sz w:val="18"/>
                <w:szCs w:val="18"/>
              </w:rPr>
              <w:t>Ms Helena Macormac</w:t>
            </w:r>
          </w:p>
          <w:p w14:paraId="4B9D0CEB" w14:textId="77777777" w:rsidR="00EA4AB9" w:rsidRDefault="00EA4AB9" w:rsidP="00EA4AB9">
            <w:pPr>
              <w:rPr>
                <w:sz w:val="18"/>
                <w:szCs w:val="18"/>
              </w:rPr>
            </w:pPr>
            <w:r>
              <w:rPr>
                <w:sz w:val="18"/>
                <w:szCs w:val="18"/>
              </w:rPr>
              <w:t>Commissioner (until 31 August 2020)</w:t>
            </w:r>
          </w:p>
          <w:p w14:paraId="63056172" w14:textId="77777777" w:rsidR="00EA4AB9" w:rsidRPr="00FF29E7" w:rsidRDefault="00EA4AB9" w:rsidP="00EA4AB9">
            <w:pPr>
              <w:rPr>
                <w:i/>
                <w:sz w:val="18"/>
                <w:szCs w:val="18"/>
              </w:rPr>
            </w:pPr>
          </w:p>
        </w:tc>
        <w:tc>
          <w:tcPr>
            <w:tcW w:w="850" w:type="dxa"/>
          </w:tcPr>
          <w:p w14:paraId="60783697" w14:textId="77777777" w:rsidR="00EA4AB9" w:rsidRDefault="00EA4AB9" w:rsidP="00EA4AB9">
            <w:pPr>
              <w:widowControl w:val="0"/>
              <w:tabs>
                <w:tab w:val="center" w:pos="8647"/>
              </w:tabs>
              <w:autoSpaceDE w:val="0"/>
              <w:autoSpaceDN w:val="0"/>
              <w:adjustRightInd w:val="0"/>
              <w:jc w:val="right"/>
              <w:rPr>
                <w:sz w:val="18"/>
                <w:szCs w:val="18"/>
              </w:rPr>
            </w:pPr>
          </w:p>
          <w:p w14:paraId="7ED3396F" w14:textId="77777777" w:rsidR="00051C2A" w:rsidRPr="00D23890"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084F5DD3" w14:textId="77777777" w:rsidR="00EA4AB9" w:rsidRDefault="00EA4AB9" w:rsidP="00EA4AB9">
            <w:pPr>
              <w:widowControl w:val="0"/>
              <w:tabs>
                <w:tab w:val="center" w:pos="8647"/>
              </w:tabs>
              <w:autoSpaceDE w:val="0"/>
              <w:autoSpaceDN w:val="0"/>
              <w:adjustRightInd w:val="0"/>
              <w:jc w:val="right"/>
              <w:rPr>
                <w:sz w:val="18"/>
                <w:szCs w:val="18"/>
              </w:rPr>
            </w:pPr>
          </w:p>
          <w:p w14:paraId="67CF1CED" w14:textId="7C41E469"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0-</w:t>
            </w:r>
            <w:r w:rsidR="00796323">
              <w:rPr>
                <w:sz w:val="18"/>
                <w:szCs w:val="18"/>
              </w:rPr>
              <w:t>5</w:t>
            </w:r>
            <w:r w:rsidR="00796323">
              <w:rPr>
                <w:sz w:val="18"/>
                <w:szCs w:val="18"/>
                <w:vertAlign w:val="superscript"/>
              </w:rPr>
              <w:t>9</w:t>
            </w:r>
          </w:p>
        </w:tc>
        <w:tc>
          <w:tcPr>
            <w:tcW w:w="850" w:type="dxa"/>
          </w:tcPr>
          <w:p w14:paraId="0F958F8F" w14:textId="77777777" w:rsidR="00EA4AB9" w:rsidRDefault="00EA4AB9" w:rsidP="00EA4AB9">
            <w:pPr>
              <w:widowControl w:val="0"/>
              <w:tabs>
                <w:tab w:val="center" w:pos="8647"/>
              </w:tabs>
              <w:autoSpaceDE w:val="0"/>
              <w:autoSpaceDN w:val="0"/>
              <w:adjustRightInd w:val="0"/>
              <w:jc w:val="right"/>
              <w:rPr>
                <w:sz w:val="18"/>
                <w:szCs w:val="18"/>
              </w:rPr>
            </w:pPr>
          </w:p>
          <w:p w14:paraId="77B12428"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61C5101C" w14:textId="77777777" w:rsidR="00EA4AB9" w:rsidRDefault="00EA4AB9" w:rsidP="00EA4AB9">
            <w:pPr>
              <w:widowControl w:val="0"/>
              <w:tabs>
                <w:tab w:val="center" w:pos="8647"/>
              </w:tabs>
              <w:autoSpaceDE w:val="0"/>
              <w:autoSpaceDN w:val="0"/>
              <w:adjustRightInd w:val="0"/>
              <w:jc w:val="right"/>
              <w:rPr>
                <w:sz w:val="18"/>
                <w:szCs w:val="18"/>
              </w:rPr>
            </w:pPr>
          </w:p>
          <w:p w14:paraId="6007EC7E"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2B089450" w14:textId="77777777" w:rsidR="00EA4AB9" w:rsidRDefault="00EA4AB9" w:rsidP="00EA4AB9">
            <w:pPr>
              <w:widowControl w:val="0"/>
              <w:tabs>
                <w:tab w:val="center" w:pos="8647"/>
              </w:tabs>
              <w:autoSpaceDE w:val="0"/>
              <w:autoSpaceDN w:val="0"/>
              <w:adjustRightInd w:val="0"/>
              <w:jc w:val="right"/>
              <w:rPr>
                <w:sz w:val="18"/>
                <w:szCs w:val="18"/>
              </w:rPr>
            </w:pPr>
          </w:p>
          <w:p w14:paraId="032E822E"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2A44CC45" w14:textId="77777777" w:rsidR="00EA4AB9" w:rsidRDefault="00EA4AB9" w:rsidP="00EA4AB9">
            <w:pPr>
              <w:widowControl w:val="0"/>
              <w:tabs>
                <w:tab w:val="center" w:pos="8647"/>
              </w:tabs>
              <w:autoSpaceDE w:val="0"/>
              <w:autoSpaceDN w:val="0"/>
              <w:adjustRightInd w:val="0"/>
              <w:jc w:val="right"/>
              <w:rPr>
                <w:sz w:val="18"/>
                <w:szCs w:val="18"/>
              </w:rPr>
            </w:pPr>
          </w:p>
          <w:p w14:paraId="2C5D3754"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3" w:type="dxa"/>
          </w:tcPr>
          <w:p w14:paraId="0F206E35" w14:textId="77777777" w:rsidR="00EA4AB9" w:rsidRDefault="00EA4AB9" w:rsidP="00EA4AB9">
            <w:pPr>
              <w:widowControl w:val="0"/>
              <w:tabs>
                <w:tab w:val="center" w:pos="8647"/>
              </w:tabs>
              <w:autoSpaceDE w:val="0"/>
              <w:autoSpaceDN w:val="0"/>
              <w:adjustRightInd w:val="0"/>
              <w:jc w:val="right"/>
              <w:rPr>
                <w:sz w:val="18"/>
                <w:szCs w:val="18"/>
              </w:rPr>
            </w:pPr>
          </w:p>
          <w:p w14:paraId="6A308ED0" w14:textId="77777777" w:rsidR="00051C2A" w:rsidRPr="00D23890"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63E3BE2B" w14:textId="77777777" w:rsidR="00EA4AB9" w:rsidRDefault="00EA4AB9" w:rsidP="00EA4AB9">
            <w:pPr>
              <w:widowControl w:val="0"/>
              <w:tabs>
                <w:tab w:val="center" w:pos="8647"/>
              </w:tabs>
              <w:autoSpaceDE w:val="0"/>
              <w:autoSpaceDN w:val="0"/>
              <w:adjustRightInd w:val="0"/>
              <w:jc w:val="center"/>
              <w:rPr>
                <w:sz w:val="18"/>
                <w:szCs w:val="18"/>
              </w:rPr>
            </w:pPr>
          </w:p>
          <w:p w14:paraId="33035415" w14:textId="0E3742A1" w:rsidR="00EA4AB9" w:rsidRPr="00D23890" w:rsidRDefault="00EA4AB9" w:rsidP="00EA4AB9">
            <w:pPr>
              <w:widowControl w:val="0"/>
              <w:tabs>
                <w:tab w:val="center" w:pos="8647"/>
              </w:tabs>
              <w:autoSpaceDE w:val="0"/>
              <w:autoSpaceDN w:val="0"/>
              <w:adjustRightInd w:val="0"/>
              <w:jc w:val="center"/>
              <w:rPr>
                <w:sz w:val="18"/>
                <w:szCs w:val="18"/>
              </w:rPr>
            </w:pPr>
            <w:r>
              <w:rPr>
                <w:sz w:val="18"/>
                <w:szCs w:val="18"/>
              </w:rPr>
              <w:t>0-5</w:t>
            </w:r>
          </w:p>
        </w:tc>
      </w:tr>
      <w:tr w:rsidR="00EA4AB9" w14:paraId="76F006B0" w14:textId="77777777" w:rsidTr="00F61A65">
        <w:tc>
          <w:tcPr>
            <w:tcW w:w="2581" w:type="dxa"/>
            <w:vAlign w:val="center"/>
          </w:tcPr>
          <w:p w14:paraId="7F3E1AB1" w14:textId="77777777" w:rsidR="00EA4AB9" w:rsidRDefault="00EA4AB9" w:rsidP="00EA4AB9">
            <w:pPr>
              <w:rPr>
                <w:b/>
                <w:sz w:val="18"/>
                <w:szCs w:val="18"/>
              </w:rPr>
            </w:pPr>
            <w:r>
              <w:rPr>
                <w:b/>
                <w:sz w:val="18"/>
                <w:szCs w:val="18"/>
              </w:rPr>
              <w:t>Mr Paul Mageean</w:t>
            </w:r>
          </w:p>
          <w:p w14:paraId="0C92FA01" w14:textId="77777777" w:rsidR="00EA4AB9" w:rsidRDefault="00EA4AB9" w:rsidP="00EA4AB9">
            <w:pPr>
              <w:rPr>
                <w:sz w:val="18"/>
                <w:szCs w:val="18"/>
              </w:rPr>
            </w:pPr>
            <w:r>
              <w:rPr>
                <w:sz w:val="18"/>
                <w:szCs w:val="18"/>
              </w:rPr>
              <w:t>Commissioner (until 31 August 2020)</w:t>
            </w:r>
          </w:p>
          <w:p w14:paraId="7D8DBC05" w14:textId="77777777" w:rsidR="00EA4AB9" w:rsidRPr="00FF29E7" w:rsidRDefault="00EA4AB9" w:rsidP="00EA4AB9">
            <w:pPr>
              <w:rPr>
                <w:i/>
                <w:sz w:val="18"/>
                <w:szCs w:val="18"/>
              </w:rPr>
            </w:pPr>
          </w:p>
        </w:tc>
        <w:tc>
          <w:tcPr>
            <w:tcW w:w="850" w:type="dxa"/>
          </w:tcPr>
          <w:p w14:paraId="41730CD8" w14:textId="77777777" w:rsidR="00EA4AB9" w:rsidRDefault="00EA4AB9" w:rsidP="00EA4AB9">
            <w:pPr>
              <w:widowControl w:val="0"/>
              <w:tabs>
                <w:tab w:val="center" w:pos="8647"/>
              </w:tabs>
              <w:autoSpaceDE w:val="0"/>
              <w:autoSpaceDN w:val="0"/>
              <w:adjustRightInd w:val="0"/>
              <w:jc w:val="right"/>
              <w:rPr>
                <w:sz w:val="18"/>
                <w:szCs w:val="18"/>
              </w:rPr>
            </w:pPr>
          </w:p>
          <w:p w14:paraId="75C08C36" w14:textId="77777777" w:rsidR="00051C2A" w:rsidRPr="00D23890"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76CFFA56" w14:textId="77777777" w:rsidR="00EA4AB9" w:rsidRDefault="00EA4AB9" w:rsidP="00EA4AB9">
            <w:pPr>
              <w:widowControl w:val="0"/>
              <w:tabs>
                <w:tab w:val="center" w:pos="8647"/>
              </w:tabs>
              <w:autoSpaceDE w:val="0"/>
              <w:autoSpaceDN w:val="0"/>
              <w:adjustRightInd w:val="0"/>
              <w:jc w:val="right"/>
              <w:rPr>
                <w:sz w:val="18"/>
                <w:szCs w:val="18"/>
              </w:rPr>
            </w:pPr>
          </w:p>
          <w:p w14:paraId="23C3A5DD" w14:textId="56526484" w:rsidR="00EA4AB9" w:rsidRPr="00C34C15" w:rsidRDefault="00EA4AB9" w:rsidP="00EA4AB9">
            <w:pPr>
              <w:widowControl w:val="0"/>
              <w:tabs>
                <w:tab w:val="center" w:pos="8647"/>
              </w:tabs>
              <w:autoSpaceDE w:val="0"/>
              <w:autoSpaceDN w:val="0"/>
              <w:adjustRightInd w:val="0"/>
              <w:jc w:val="right"/>
              <w:rPr>
                <w:sz w:val="18"/>
                <w:szCs w:val="18"/>
                <w:vertAlign w:val="superscript"/>
              </w:rPr>
            </w:pPr>
            <w:r>
              <w:rPr>
                <w:sz w:val="18"/>
                <w:szCs w:val="18"/>
              </w:rPr>
              <w:t>0-</w:t>
            </w:r>
            <w:r w:rsidR="00796323">
              <w:rPr>
                <w:sz w:val="18"/>
                <w:szCs w:val="18"/>
              </w:rPr>
              <w:t>5</w:t>
            </w:r>
            <w:r w:rsidR="00796323">
              <w:rPr>
                <w:sz w:val="18"/>
                <w:szCs w:val="18"/>
                <w:vertAlign w:val="superscript"/>
              </w:rPr>
              <w:t>9</w:t>
            </w:r>
          </w:p>
        </w:tc>
        <w:tc>
          <w:tcPr>
            <w:tcW w:w="850" w:type="dxa"/>
          </w:tcPr>
          <w:p w14:paraId="23BEC310" w14:textId="77777777" w:rsidR="00EA4AB9" w:rsidRDefault="00EA4AB9" w:rsidP="00EA4AB9">
            <w:pPr>
              <w:widowControl w:val="0"/>
              <w:tabs>
                <w:tab w:val="center" w:pos="8647"/>
              </w:tabs>
              <w:autoSpaceDE w:val="0"/>
              <w:autoSpaceDN w:val="0"/>
              <w:adjustRightInd w:val="0"/>
              <w:jc w:val="right"/>
              <w:rPr>
                <w:sz w:val="18"/>
                <w:szCs w:val="18"/>
              </w:rPr>
            </w:pPr>
          </w:p>
          <w:p w14:paraId="684E03FE"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13FC168C" w14:textId="77777777" w:rsidR="00EA4AB9" w:rsidRDefault="00EA4AB9" w:rsidP="00EA4AB9">
            <w:pPr>
              <w:widowControl w:val="0"/>
              <w:tabs>
                <w:tab w:val="center" w:pos="8647"/>
              </w:tabs>
              <w:autoSpaceDE w:val="0"/>
              <w:autoSpaceDN w:val="0"/>
              <w:adjustRightInd w:val="0"/>
              <w:jc w:val="right"/>
              <w:rPr>
                <w:sz w:val="18"/>
                <w:szCs w:val="18"/>
              </w:rPr>
            </w:pPr>
          </w:p>
          <w:p w14:paraId="48F9A238"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2BD12260" w14:textId="77777777" w:rsidR="00EA4AB9" w:rsidRDefault="00EA4AB9" w:rsidP="00EA4AB9">
            <w:pPr>
              <w:widowControl w:val="0"/>
              <w:tabs>
                <w:tab w:val="center" w:pos="8647"/>
              </w:tabs>
              <w:autoSpaceDE w:val="0"/>
              <w:autoSpaceDN w:val="0"/>
              <w:adjustRightInd w:val="0"/>
              <w:jc w:val="right"/>
              <w:rPr>
                <w:sz w:val="18"/>
                <w:szCs w:val="18"/>
              </w:rPr>
            </w:pPr>
          </w:p>
          <w:p w14:paraId="11208329"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27547DE8" w14:textId="77777777" w:rsidR="00EA4AB9" w:rsidRDefault="00EA4AB9" w:rsidP="00EA4AB9">
            <w:pPr>
              <w:widowControl w:val="0"/>
              <w:tabs>
                <w:tab w:val="center" w:pos="8647"/>
              </w:tabs>
              <w:autoSpaceDE w:val="0"/>
              <w:autoSpaceDN w:val="0"/>
              <w:adjustRightInd w:val="0"/>
              <w:jc w:val="right"/>
              <w:rPr>
                <w:sz w:val="18"/>
                <w:szCs w:val="18"/>
              </w:rPr>
            </w:pPr>
          </w:p>
          <w:p w14:paraId="6F6F0817"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3" w:type="dxa"/>
          </w:tcPr>
          <w:p w14:paraId="11966041" w14:textId="77777777" w:rsidR="00EA4AB9" w:rsidRDefault="00EA4AB9" w:rsidP="00EA4AB9">
            <w:pPr>
              <w:widowControl w:val="0"/>
              <w:tabs>
                <w:tab w:val="center" w:pos="8647"/>
              </w:tabs>
              <w:autoSpaceDE w:val="0"/>
              <w:autoSpaceDN w:val="0"/>
              <w:adjustRightInd w:val="0"/>
              <w:jc w:val="right"/>
              <w:rPr>
                <w:sz w:val="18"/>
                <w:szCs w:val="18"/>
              </w:rPr>
            </w:pPr>
          </w:p>
          <w:p w14:paraId="50F767DE" w14:textId="77777777" w:rsidR="00051C2A" w:rsidRPr="00D23890"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3E5889B6" w14:textId="77777777" w:rsidR="00EA4AB9" w:rsidRDefault="00EA4AB9" w:rsidP="00EA4AB9">
            <w:pPr>
              <w:widowControl w:val="0"/>
              <w:tabs>
                <w:tab w:val="center" w:pos="8647"/>
              </w:tabs>
              <w:autoSpaceDE w:val="0"/>
              <w:autoSpaceDN w:val="0"/>
              <w:adjustRightInd w:val="0"/>
              <w:jc w:val="center"/>
              <w:rPr>
                <w:sz w:val="18"/>
                <w:szCs w:val="18"/>
              </w:rPr>
            </w:pPr>
          </w:p>
          <w:p w14:paraId="65A7F1B1" w14:textId="7903C21F" w:rsidR="00EA4AB9" w:rsidRPr="00D23890" w:rsidRDefault="00EA4AB9" w:rsidP="00EA4AB9">
            <w:pPr>
              <w:widowControl w:val="0"/>
              <w:tabs>
                <w:tab w:val="center" w:pos="8647"/>
              </w:tabs>
              <w:autoSpaceDE w:val="0"/>
              <w:autoSpaceDN w:val="0"/>
              <w:adjustRightInd w:val="0"/>
              <w:jc w:val="center"/>
              <w:rPr>
                <w:sz w:val="18"/>
                <w:szCs w:val="18"/>
              </w:rPr>
            </w:pPr>
            <w:r>
              <w:rPr>
                <w:sz w:val="18"/>
                <w:szCs w:val="18"/>
              </w:rPr>
              <w:t>0-5</w:t>
            </w:r>
          </w:p>
        </w:tc>
      </w:tr>
      <w:tr w:rsidR="00EA4AB9" w14:paraId="4E5A9F69" w14:textId="77777777" w:rsidTr="00F61A65">
        <w:tc>
          <w:tcPr>
            <w:tcW w:w="2581" w:type="dxa"/>
            <w:vAlign w:val="center"/>
          </w:tcPr>
          <w:p w14:paraId="713D83A6" w14:textId="77777777" w:rsidR="00EA4AB9" w:rsidRDefault="00EA4AB9" w:rsidP="00EA4AB9">
            <w:pPr>
              <w:rPr>
                <w:b/>
                <w:sz w:val="18"/>
                <w:szCs w:val="18"/>
              </w:rPr>
            </w:pPr>
            <w:r>
              <w:rPr>
                <w:b/>
                <w:sz w:val="18"/>
                <w:szCs w:val="18"/>
              </w:rPr>
              <w:t>Mr John McCallister</w:t>
            </w:r>
          </w:p>
          <w:p w14:paraId="5FF05EEE" w14:textId="77777777" w:rsidR="00EA4AB9" w:rsidRDefault="00EA4AB9" w:rsidP="00EA4AB9">
            <w:pPr>
              <w:rPr>
                <w:sz w:val="18"/>
                <w:szCs w:val="18"/>
              </w:rPr>
            </w:pPr>
            <w:r>
              <w:rPr>
                <w:sz w:val="18"/>
                <w:szCs w:val="18"/>
              </w:rPr>
              <w:t>Commissioner (until 31 August 2020)</w:t>
            </w:r>
          </w:p>
          <w:p w14:paraId="2376B265" w14:textId="77777777" w:rsidR="00EA4AB9" w:rsidRPr="00FF29E7" w:rsidRDefault="00EA4AB9" w:rsidP="00EA4AB9">
            <w:pPr>
              <w:rPr>
                <w:i/>
                <w:sz w:val="18"/>
                <w:szCs w:val="18"/>
              </w:rPr>
            </w:pPr>
          </w:p>
        </w:tc>
        <w:tc>
          <w:tcPr>
            <w:tcW w:w="850" w:type="dxa"/>
          </w:tcPr>
          <w:p w14:paraId="1BA68FAE" w14:textId="77777777" w:rsidR="00EA4AB9" w:rsidRDefault="00EA4AB9" w:rsidP="00EA4AB9">
            <w:pPr>
              <w:widowControl w:val="0"/>
              <w:tabs>
                <w:tab w:val="center" w:pos="8647"/>
              </w:tabs>
              <w:autoSpaceDE w:val="0"/>
              <w:autoSpaceDN w:val="0"/>
              <w:adjustRightInd w:val="0"/>
              <w:jc w:val="right"/>
              <w:rPr>
                <w:sz w:val="18"/>
                <w:szCs w:val="18"/>
              </w:rPr>
            </w:pPr>
          </w:p>
          <w:p w14:paraId="5FE2C885" w14:textId="77777777" w:rsidR="00051C2A" w:rsidRPr="00D23890"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1A338D01" w14:textId="77777777" w:rsidR="00EA4AB9" w:rsidRDefault="00EA4AB9" w:rsidP="00EA4AB9">
            <w:pPr>
              <w:widowControl w:val="0"/>
              <w:tabs>
                <w:tab w:val="center" w:pos="8647"/>
              </w:tabs>
              <w:autoSpaceDE w:val="0"/>
              <w:autoSpaceDN w:val="0"/>
              <w:adjustRightInd w:val="0"/>
              <w:jc w:val="right"/>
              <w:rPr>
                <w:sz w:val="18"/>
                <w:szCs w:val="18"/>
              </w:rPr>
            </w:pPr>
          </w:p>
          <w:p w14:paraId="46B52E6A" w14:textId="0AD2AEE8"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0-</w:t>
            </w:r>
            <w:r w:rsidR="00796323">
              <w:rPr>
                <w:sz w:val="18"/>
                <w:szCs w:val="18"/>
              </w:rPr>
              <w:t>5</w:t>
            </w:r>
            <w:r w:rsidR="00796323">
              <w:rPr>
                <w:sz w:val="18"/>
                <w:szCs w:val="18"/>
                <w:vertAlign w:val="superscript"/>
              </w:rPr>
              <w:t>9</w:t>
            </w:r>
          </w:p>
        </w:tc>
        <w:tc>
          <w:tcPr>
            <w:tcW w:w="850" w:type="dxa"/>
          </w:tcPr>
          <w:p w14:paraId="2FC26430" w14:textId="77777777" w:rsidR="00EA4AB9" w:rsidRDefault="00EA4AB9" w:rsidP="00EA4AB9">
            <w:pPr>
              <w:widowControl w:val="0"/>
              <w:tabs>
                <w:tab w:val="center" w:pos="8647"/>
              </w:tabs>
              <w:autoSpaceDE w:val="0"/>
              <w:autoSpaceDN w:val="0"/>
              <w:adjustRightInd w:val="0"/>
              <w:jc w:val="right"/>
              <w:rPr>
                <w:sz w:val="18"/>
                <w:szCs w:val="18"/>
              </w:rPr>
            </w:pPr>
          </w:p>
          <w:p w14:paraId="4F8A4A72"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0756DC6C" w14:textId="77777777" w:rsidR="00EA4AB9" w:rsidRDefault="00EA4AB9" w:rsidP="00EA4AB9">
            <w:pPr>
              <w:widowControl w:val="0"/>
              <w:tabs>
                <w:tab w:val="center" w:pos="8647"/>
              </w:tabs>
              <w:autoSpaceDE w:val="0"/>
              <w:autoSpaceDN w:val="0"/>
              <w:adjustRightInd w:val="0"/>
              <w:jc w:val="right"/>
              <w:rPr>
                <w:sz w:val="18"/>
                <w:szCs w:val="18"/>
              </w:rPr>
            </w:pPr>
          </w:p>
          <w:p w14:paraId="2A52C904"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44F6779E" w14:textId="77777777" w:rsidR="00EA4AB9" w:rsidRDefault="00EA4AB9" w:rsidP="00EA4AB9">
            <w:pPr>
              <w:widowControl w:val="0"/>
              <w:tabs>
                <w:tab w:val="center" w:pos="8647"/>
              </w:tabs>
              <w:autoSpaceDE w:val="0"/>
              <w:autoSpaceDN w:val="0"/>
              <w:adjustRightInd w:val="0"/>
              <w:jc w:val="right"/>
              <w:rPr>
                <w:sz w:val="18"/>
                <w:szCs w:val="18"/>
              </w:rPr>
            </w:pPr>
          </w:p>
          <w:p w14:paraId="3E57C815"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48A3A5BF" w14:textId="77777777" w:rsidR="00EA4AB9" w:rsidRDefault="00EA4AB9" w:rsidP="00EA4AB9">
            <w:pPr>
              <w:widowControl w:val="0"/>
              <w:tabs>
                <w:tab w:val="center" w:pos="8647"/>
              </w:tabs>
              <w:autoSpaceDE w:val="0"/>
              <w:autoSpaceDN w:val="0"/>
              <w:adjustRightInd w:val="0"/>
              <w:jc w:val="right"/>
              <w:rPr>
                <w:sz w:val="18"/>
                <w:szCs w:val="18"/>
              </w:rPr>
            </w:pPr>
          </w:p>
          <w:p w14:paraId="491A5B3D"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3" w:type="dxa"/>
          </w:tcPr>
          <w:p w14:paraId="132B1E9C" w14:textId="77777777" w:rsidR="00EA4AB9" w:rsidRDefault="00EA4AB9" w:rsidP="00EA4AB9">
            <w:pPr>
              <w:widowControl w:val="0"/>
              <w:tabs>
                <w:tab w:val="center" w:pos="8647"/>
              </w:tabs>
              <w:autoSpaceDE w:val="0"/>
              <w:autoSpaceDN w:val="0"/>
              <w:adjustRightInd w:val="0"/>
              <w:jc w:val="right"/>
              <w:rPr>
                <w:sz w:val="18"/>
                <w:szCs w:val="18"/>
              </w:rPr>
            </w:pPr>
          </w:p>
          <w:p w14:paraId="78420C47" w14:textId="77777777" w:rsidR="00051C2A" w:rsidRPr="00D23890"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18DDF62F" w14:textId="77777777" w:rsidR="00EA4AB9" w:rsidRDefault="00EA4AB9" w:rsidP="00EA4AB9">
            <w:pPr>
              <w:widowControl w:val="0"/>
              <w:tabs>
                <w:tab w:val="center" w:pos="8647"/>
              </w:tabs>
              <w:autoSpaceDE w:val="0"/>
              <w:autoSpaceDN w:val="0"/>
              <w:adjustRightInd w:val="0"/>
              <w:jc w:val="center"/>
              <w:rPr>
                <w:sz w:val="18"/>
                <w:szCs w:val="18"/>
              </w:rPr>
            </w:pPr>
          </w:p>
          <w:p w14:paraId="163A1C41" w14:textId="203B22D7" w:rsidR="00EA4AB9" w:rsidRPr="00C34C15" w:rsidRDefault="00EA4AB9" w:rsidP="00EA4AB9">
            <w:pPr>
              <w:widowControl w:val="0"/>
              <w:tabs>
                <w:tab w:val="center" w:pos="8647"/>
              </w:tabs>
              <w:autoSpaceDE w:val="0"/>
              <w:autoSpaceDN w:val="0"/>
              <w:adjustRightInd w:val="0"/>
              <w:jc w:val="center"/>
              <w:rPr>
                <w:sz w:val="18"/>
                <w:szCs w:val="18"/>
                <w:vertAlign w:val="superscript"/>
              </w:rPr>
            </w:pPr>
            <w:r>
              <w:rPr>
                <w:sz w:val="18"/>
                <w:szCs w:val="18"/>
              </w:rPr>
              <w:t>0-5</w:t>
            </w:r>
          </w:p>
        </w:tc>
      </w:tr>
      <w:tr w:rsidR="00EA4AB9" w14:paraId="19F8BC76" w14:textId="77777777" w:rsidTr="00F61A65">
        <w:tc>
          <w:tcPr>
            <w:tcW w:w="2581" w:type="dxa"/>
            <w:vAlign w:val="center"/>
          </w:tcPr>
          <w:p w14:paraId="05A26906" w14:textId="77777777" w:rsidR="00EA4AB9" w:rsidRDefault="00EA4AB9" w:rsidP="00EA4AB9">
            <w:pPr>
              <w:rPr>
                <w:b/>
                <w:sz w:val="18"/>
                <w:szCs w:val="18"/>
              </w:rPr>
            </w:pPr>
            <w:r>
              <w:rPr>
                <w:b/>
                <w:sz w:val="18"/>
                <w:szCs w:val="18"/>
              </w:rPr>
              <w:t>Mr Graham Shields OBE</w:t>
            </w:r>
          </w:p>
          <w:p w14:paraId="42A3B18B" w14:textId="77777777" w:rsidR="00EA4AB9" w:rsidRDefault="00EA4AB9" w:rsidP="00EA4AB9">
            <w:pPr>
              <w:rPr>
                <w:sz w:val="18"/>
                <w:szCs w:val="18"/>
              </w:rPr>
            </w:pPr>
            <w:r>
              <w:rPr>
                <w:sz w:val="18"/>
                <w:szCs w:val="18"/>
              </w:rPr>
              <w:t>Commissioner (until 31 August 2020)</w:t>
            </w:r>
          </w:p>
          <w:p w14:paraId="1CDEFB56" w14:textId="77777777" w:rsidR="00EA4AB9" w:rsidRPr="00FF29E7" w:rsidRDefault="00EA4AB9" w:rsidP="00EA4AB9">
            <w:pPr>
              <w:rPr>
                <w:i/>
                <w:sz w:val="18"/>
                <w:szCs w:val="18"/>
              </w:rPr>
            </w:pPr>
          </w:p>
        </w:tc>
        <w:tc>
          <w:tcPr>
            <w:tcW w:w="850" w:type="dxa"/>
          </w:tcPr>
          <w:p w14:paraId="315CE3EA" w14:textId="77777777" w:rsidR="00EA4AB9" w:rsidRDefault="00EA4AB9" w:rsidP="00EA4AB9">
            <w:pPr>
              <w:widowControl w:val="0"/>
              <w:tabs>
                <w:tab w:val="center" w:pos="8647"/>
              </w:tabs>
              <w:autoSpaceDE w:val="0"/>
              <w:autoSpaceDN w:val="0"/>
              <w:adjustRightInd w:val="0"/>
              <w:jc w:val="right"/>
              <w:rPr>
                <w:sz w:val="18"/>
                <w:szCs w:val="18"/>
              </w:rPr>
            </w:pPr>
          </w:p>
          <w:p w14:paraId="53A06165" w14:textId="77777777" w:rsidR="00051C2A" w:rsidRPr="00D23890"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4AC55448" w14:textId="77777777" w:rsidR="00EA4AB9" w:rsidRDefault="00EA4AB9" w:rsidP="00EA4AB9">
            <w:pPr>
              <w:widowControl w:val="0"/>
              <w:tabs>
                <w:tab w:val="center" w:pos="8647"/>
              </w:tabs>
              <w:autoSpaceDE w:val="0"/>
              <w:autoSpaceDN w:val="0"/>
              <w:adjustRightInd w:val="0"/>
              <w:jc w:val="right"/>
              <w:rPr>
                <w:sz w:val="18"/>
                <w:szCs w:val="18"/>
              </w:rPr>
            </w:pPr>
          </w:p>
          <w:p w14:paraId="0F3F19E9" w14:textId="1B4F1579"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0-</w:t>
            </w:r>
            <w:r w:rsidR="00796323">
              <w:rPr>
                <w:sz w:val="18"/>
                <w:szCs w:val="18"/>
              </w:rPr>
              <w:t>5</w:t>
            </w:r>
            <w:r w:rsidR="00796323">
              <w:rPr>
                <w:sz w:val="18"/>
                <w:szCs w:val="18"/>
                <w:vertAlign w:val="superscript"/>
              </w:rPr>
              <w:t>9</w:t>
            </w:r>
          </w:p>
        </w:tc>
        <w:tc>
          <w:tcPr>
            <w:tcW w:w="850" w:type="dxa"/>
          </w:tcPr>
          <w:p w14:paraId="02D1CBA0" w14:textId="77777777" w:rsidR="00EA4AB9" w:rsidRDefault="00EA4AB9" w:rsidP="00EA4AB9">
            <w:pPr>
              <w:widowControl w:val="0"/>
              <w:tabs>
                <w:tab w:val="center" w:pos="8647"/>
              </w:tabs>
              <w:autoSpaceDE w:val="0"/>
              <w:autoSpaceDN w:val="0"/>
              <w:adjustRightInd w:val="0"/>
              <w:jc w:val="right"/>
              <w:rPr>
                <w:sz w:val="18"/>
                <w:szCs w:val="18"/>
              </w:rPr>
            </w:pPr>
          </w:p>
          <w:p w14:paraId="457D73A5" w14:textId="77777777" w:rsidR="00EA4AB9" w:rsidRDefault="00EA4AB9" w:rsidP="00EA4AB9">
            <w:pPr>
              <w:widowControl w:val="0"/>
              <w:tabs>
                <w:tab w:val="center" w:pos="8647"/>
              </w:tabs>
              <w:autoSpaceDE w:val="0"/>
              <w:autoSpaceDN w:val="0"/>
              <w:adjustRightInd w:val="0"/>
              <w:jc w:val="right"/>
              <w:rPr>
                <w:sz w:val="18"/>
                <w:szCs w:val="18"/>
              </w:rPr>
            </w:pPr>
            <w:r>
              <w:rPr>
                <w:sz w:val="18"/>
                <w:szCs w:val="18"/>
              </w:rPr>
              <w:t>-</w:t>
            </w:r>
          </w:p>
          <w:p w14:paraId="78CA5576" w14:textId="77777777" w:rsidR="00EA4AB9" w:rsidRPr="00D23890" w:rsidRDefault="00EA4AB9" w:rsidP="00EA4AB9">
            <w:pPr>
              <w:widowControl w:val="0"/>
              <w:tabs>
                <w:tab w:val="center" w:pos="8647"/>
              </w:tabs>
              <w:autoSpaceDE w:val="0"/>
              <w:autoSpaceDN w:val="0"/>
              <w:adjustRightInd w:val="0"/>
              <w:jc w:val="right"/>
              <w:rPr>
                <w:sz w:val="18"/>
                <w:szCs w:val="18"/>
              </w:rPr>
            </w:pPr>
          </w:p>
        </w:tc>
        <w:tc>
          <w:tcPr>
            <w:tcW w:w="851" w:type="dxa"/>
          </w:tcPr>
          <w:p w14:paraId="053D7C84" w14:textId="77777777" w:rsidR="00EA4AB9" w:rsidRDefault="00EA4AB9" w:rsidP="00EA4AB9">
            <w:pPr>
              <w:widowControl w:val="0"/>
              <w:tabs>
                <w:tab w:val="center" w:pos="8647"/>
              </w:tabs>
              <w:autoSpaceDE w:val="0"/>
              <w:autoSpaceDN w:val="0"/>
              <w:adjustRightInd w:val="0"/>
              <w:jc w:val="right"/>
              <w:rPr>
                <w:sz w:val="18"/>
                <w:szCs w:val="18"/>
              </w:rPr>
            </w:pPr>
          </w:p>
          <w:p w14:paraId="22DE961E"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5031BF49" w14:textId="77777777" w:rsidR="00EA4AB9" w:rsidRDefault="00EA4AB9" w:rsidP="00EA4AB9">
            <w:pPr>
              <w:widowControl w:val="0"/>
              <w:tabs>
                <w:tab w:val="center" w:pos="8647"/>
              </w:tabs>
              <w:autoSpaceDE w:val="0"/>
              <w:autoSpaceDN w:val="0"/>
              <w:adjustRightInd w:val="0"/>
              <w:jc w:val="right"/>
              <w:rPr>
                <w:sz w:val="18"/>
                <w:szCs w:val="18"/>
              </w:rPr>
            </w:pPr>
          </w:p>
          <w:p w14:paraId="1F842AD0"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2C6B387E" w14:textId="77777777" w:rsidR="00EA4AB9" w:rsidRDefault="00EA4AB9" w:rsidP="00EA4AB9">
            <w:pPr>
              <w:widowControl w:val="0"/>
              <w:tabs>
                <w:tab w:val="center" w:pos="8647"/>
              </w:tabs>
              <w:autoSpaceDE w:val="0"/>
              <w:autoSpaceDN w:val="0"/>
              <w:adjustRightInd w:val="0"/>
              <w:jc w:val="right"/>
              <w:rPr>
                <w:sz w:val="18"/>
                <w:szCs w:val="18"/>
              </w:rPr>
            </w:pPr>
          </w:p>
          <w:p w14:paraId="286305D4"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3" w:type="dxa"/>
          </w:tcPr>
          <w:p w14:paraId="79E35780" w14:textId="77777777" w:rsidR="00EA4AB9" w:rsidRDefault="00EA4AB9" w:rsidP="00EA4AB9">
            <w:pPr>
              <w:widowControl w:val="0"/>
              <w:tabs>
                <w:tab w:val="center" w:pos="8647"/>
              </w:tabs>
              <w:autoSpaceDE w:val="0"/>
              <w:autoSpaceDN w:val="0"/>
              <w:adjustRightInd w:val="0"/>
              <w:jc w:val="right"/>
              <w:rPr>
                <w:sz w:val="18"/>
                <w:szCs w:val="18"/>
              </w:rPr>
            </w:pPr>
          </w:p>
          <w:p w14:paraId="21A0C043" w14:textId="77777777" w:rsidR="00051C2A" w:rsidRPr="00D23890"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2EFCA06F" w14:textId="77777777" w:rsidR="00EA4AB9" w:rsidRDefault="00EA4AB9" w:rsidP="00EA4AB9">
            <w:pPr>
              <w:widowControl w:val="0"/>
              <w:tabs>
                <w:tab w:val="center" w:pos="8647"/>
              </w:tabs>
              <w:autoSpaceDE w:val="0"/>
              <w:autoSpaceDN w:val="0"/>
              <w:adjustRightInd w:val="0"/>
              <w:jc w:val="center"/>
              <w:rPr>
                <w:sz w:val="18"/>
                <w:szCs w:val="18"/>
              </w:rPr>
            </w:pPr>
          </w:p>
          <w:p w14:paraId="2CA390DA" w14:textId="17B44416" w:rsidR="00EA4AB9" w:rsidRPr="00D23890" w:rsidRDefault="00EA4AB9" w:rsidP="00EA4AB9">
            <w:pPr>
              <w:widowControl w:val="0"/>
              <w:tabs>
                <w:tab w:val="center" w:pos="8647"/>
              </w:tabs>
              <w:autoSpaceDE w:val="0"/>
              <w:autoSpaceDN w:val="0"/>
              <w:adjustRightInd w:val="0"/>
              <w:jc w:val="center"/>
              <w:rPr>
                <w:sz w:val="18"/>
                <w:szCs w:val="18"/>
              </w:rPr>
            </w:pPr>
            <w:r>
              <w:rPr>
                <w:sz w:val="18"/>
                <w:szCs w:val="18"/>
              </w:rPr>
              <w:t>0-5</w:t>
            </w:r>
          </w:p>
        </w:tc>
      </w:tr>
      <w:tr w:rsidR="00EA4AB9" w:rsidRPr="00D23890" w14:paraId="1F9A0BFA" w14:textId="77777777" w:rsidTr="00F61A65">
        <w:tc>
          <w:tcPr>
            <w:tcW w:w="2581" w:type="dxa"/>
            <w:vAlign w:val="center"/>
          </w:tcPr>
          <w:p w14:paraId="7662B65B" w14:textId="77777777" w:rsidR="00EA4AB9" w:rsidRPr="00D23890" w:rsidRDefault="00EA4AB9" w:rsidP="00EA4AB9">
            <w:pPr>
              <w:rPr>
                <w:b/>
                <w:sz w:val="18"/>
                <w:szCs w:val="18"/>
              </w:rPr>
            </w:pPr>
            <w:r w:rsidRPr="00D23890">
              <w:rPr>
                <w:b/>
                <w:sz w:val="18"/>
                <w:szCs w:val="18"/>
              </w:rPr>
              <w:t>Mr Joseph McKnight</w:t>
            </w:r>
          </w:p>
          <w:p w14:paraId="43FAC9CE" w14:textId="77777777" w:rsidR="00EA4AB9" w:rsidRPr="00D23890" w:rsidRDefault="00EA4AB9" w:rsidP="00EA4AB9">
            <w:pPr>
              <w:rPr>
                <w:i/>
                <w:iCs/>
                <w:sz w:val="18"/>
                <w:szCs w:val="18"/>
              </w:rPr>
            </w:pPr>
            <w:r w:rsidRPr="62F844E5">
              <w:rPr>
                <w:sz w:val="18"/>
                <w:szCs w:val="18"/>
              </w:rPr>
              <w:t xml:space="preserve">Chair of the Audit and Risk Management Committee </w:t>
            </w:r>
            <w:r>
              <w:rPr>
                <w:sz w:val="18"/>
                <w:szCs w:val="18"/>
              </w:rPr>
              <w:t>(until July 2020)</w:t>
            </w:r>
            <w:r>
              <w:br/>
            </w:r>
          </w:p>
        </w:tc>
        <w:tc>
          <w:tcPr>
            <w:tcW w:w="850" w:type="dxa"/>
          </w:tcPr>
          <w:p w14:paraId="071CAA59" w14:textId="77777777" w:rsidR="00EA4AB9" w:rsidRDefault="00EA4AB9" w:rsidP="00EA4AB9">
            <w:pPr>
              <w:widowControl w:val="0"/>
              <w:tabs>
                <w:tab w:val="center" w:pos="8647"/>
              </w:tabs>
              <w:autoSpaceDE w:val="0"/>
              <w:autoSpaceDN w:val="0"/>
              <w:adjustRightInd w:val="0"/>
              <w:jc w:val="right"/>
              <w:rPr>
                <w:sz w:val="18"/>
                <w:szCs w:val="18"/>
              </w:rPr>
            </w:pPr>
          </w:p>
          <w:p w14:paraId="71BFC8E2" w14:textId="77777777" w:rsidR="00051C2A" w:rsidRPr="00D23890"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658A7AEA" w14:textId="77777777" w:rsidR="00EA4AB9" w:rsidRPr="00D23890" w:rsidRDefault="00EA4AB9" w:rsidP="00EA4AB9">
            <w:pPr>
              <w:widowControl w:val="0"/>
              <w:tabs>
                <w:tab w:val="center" w:pos="8647"/>
              </w:tabs>
              <w:autoSpaceDE w:val="0"/>
              <w:autoSpaceDN w:val="0"/>
              <w:adjustRightInd w:val="0"/>
              <w:jc w:val="right"/>
              <w:rPr>
                <w:sz w:val="18"/>
                <w:szCs w:val="18"/>
              </w:rPr>
            </w:pPr>
          </w:p>
          <w:p w14:paraId="0C9A43BE" w14:textId="77777777" w:rsidR="00EA4AB9" w:rsidRPr="00D23890" w:rsidRDefault="00EA4AB9" w:rsidP="00EA4AB9">
            <w:pPr>
              <w:widowControl w:val="0"/>
              <w:tabs>
                <w:tab w:val="center" w:pos="8647"/>
              </w:tabs>
              <w:autoSpaceDE w:val="0"/>
              <w:autoSpaceDN w:val="0"/>
              <w:adjustRightInd w:val="0"/>
              <w:jc w:val="right"/>
              <w:rPr>
                <w:sz w:val="18"/>
                <w:szCs w:val="18"/>
              </w:rPr>
            </w:pPr>
            <w:r w:rsidRPr="00D23890">
              <w:rPr>
                <w:sz w:val="18"/>
                <w:szCs w:val="18"/>
              </w:rPr>
              <w:t>0-5</w:t>
            </w:r>
            <w:r>
              <w:rPr>
                <w:rStyle w:val="FootnoteReference"/>
                <w:sz w:val="18"/>
                <w:szCs w:val="18"/>
              </w:rPr>
              <w:footnoteReference w:id="11"/>
            </w:r>
          </w:p>
        </w:tc>
        <w:tc>
          <w:tcPr>
            <w:tcW w:w="850" w:type="dxa"/>
          </w:tcPr>
          <w:p w14:paraId="1525969C" w14:textId="77777777" w:rsidR="00EA4AB9" w:rsidRDefault="00EA4AB9" w:rsidP="00EA4AB9">
            <w:pPr>
              <w:widowControl w:val="0"/>
              <w:tabs>
                <w:tab w:val="center" w:pos="8647"/>
              </w:tabs>
              <w:autoSpaceDE w:val="0"/>
              <w:autoSpaceDN w:val="0"/>
              <w:adjustRightInd w:val="0"/>
              <w:jc w:val="right"/>
              <w:rPr>
                <w:sz w:val="18"/>
                <w:szCs w:val="18"/>
              </w:rPr>
            </w:pPr>
          </w:p>
          <w:p w14:paraId="5E0F9631"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1701C67F" w14:textId="77777777" w:rsidR="00EA4AB9" w:rsidRDefault="00EA4AB9" w:rsidP="00EA4AB9">
            <w:pPr>
              <w:widowControl w:val="0"/>
              <w:tabs>
                <w:tab w:val="center" w:pos="8647"/>
              </w:tabs>
              <w:autoSpaceDE w:val="0"/>
              <w:autoSpaceDN w:val="0"/>
              <w:adjustRightInd w:val="0"/>
              <w:jc w:val="right"/>
              <w:rPr>
                <w:sz w:val="18"/>
                <w:szCs w:val="18"/>
              </w:rPr>
            </w:pPr>
          </w:p>
          <w:p w14:paraId="3A28B0CE"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4613B14B" w14:textId="77777777" w:rsidR="00EA4AB9" w:rsidRDefault="00EA4AB9" w:rsidP="00EA4AB9">
            <w:pPr>
              <w:widowControl w:val="0"/>
              <w:tabs>
                <w:tab w:val="center" w:pos="8647"/>
              </w:tabs>
              <w:autoSpaceDE w:val="0"/>
              <w:autoSpaceDN w:val="0"/>
              <w:adjustRightInd w:val="0"/>
              <w:jc w:val="right"/>
              <w:rPr>
                <w:sz w:val="18"/>
                <w:szCs w:val="18"/>
              </w:rPr>
            </w:pPr>
          </w:p>
          <w:p w14:paraId="7C8557A5"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22804722" w14:textId="77777777" w:rsidR="00EA4AB9" w:rsidRDefault="00EA4AB9" w:rsidP="00EA4AB9">
            <w:pPr>
              <w:widowControl w:val="0"/>
              <w:tabs>
                <w:tab w:val="center" w:pos="8647"/>
              </w:tabs>
              <w:autoSpaceDE w:val="0"/>
              <w:autoSpaceDN w:val="0"/>
              <w:adjustRightInd w:val="0"/>
              <w:jc w:val="right"/>
              <w:rPr>
                <w:sz w:val="18"/>
                <w:szCs w:val="18"/>
              </w:rPr>
            </w:pPr>
          </w:p>
          <w:p w14:paraId="2E35B64C" w14:textId="77777777" w:rsidR="00EA4AB9" w:rsidRPr="00D23890"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3" w:type="dxa"/>
          </w:tcPr>
          <w:p w14:paraId="5D9F5E5E" w14:textId="77777777" w:rsidR="00EA4AB9" w:rsidRDefault="00EA4AB9" w:rsidP="00EA4AB9">
            <w:pPr>
              <w:widowControl w:val="0"/>
              <w:tabs>
                <w:tab w:val="center" w:pos="8647"/>
              </w:tabs>
              <w:autoSpaceDE w:val="0"/>
              <w:autoSpaceDN w:val="0"/>
              <w:adjustRightInd w:val="0"/>
              <w:jc w:val="right"/>
              <w:rPr>
                <w:sz w:val="18"/>
                <w:szCs w:val="18"/>
              </w:rPr>
            </w:pPr>
          </w:p>
          <w:p w14:paraId="45F43768" w14:textId="77777777" w:rsidR="00051C2A" w:rsidRPr="00D23890"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44FE62E7" w14:textId="77777777" w:rsidR="00EA4AB9" w:rsidRPr="00D23890" w:rsidRDefault="00EA4AB9" w:rsidP="00EA4AB9">
            <w:pPr>
              <w:widowControl w:val="0"/>
              <w:tabs>
                <w:tab w:val="center" w:pos="8647"/>
              </w:tabs>
              <w:autoSpaceDE w:val="0"/>
              <w:autoSpaceDN w:val="0"/>
              <w:adjustRightInd w:val="0"/>
              <w:jc w:val="right"/>
              <w:rPr>
                <w:sz w:val="18"/>
                <w:szCs w:val="18"/>
              </w:rPr>
            </w:pPr>
          </w:p>
          <w:p w14:paraId="6E2514C0" w14:textId="79A4B962" w:rsidR="00EA4AB9" w:rsidRPr="00D23890" w:rsidRDefault="00EA4AB9" w:rsidP="00EA4AB9">
            <w:pPr>
              <w:widowControl w:val="0"/>
              <w:tabs>
                <w:tab w:val="center" w:pos="8647"/>
              </w:tabs>
              <w:autoSpaceDE w:val="0"/>
              <w:autoSpaceDN w:val="0"/>
              <w:adjustRightInd w:val="0"/>
              <w:jc w:val="center"/>
              <w:rPr>
                <w:sz w:val="18"/>
                <w:szCs w:val="18"/>
              </w:rPr>
            </w:pPr>
            <w:r w:rsidRPr="00D23890">
              <w:rPr>
                <w:sz w:val="18"/>
                <w:szCs w:val="18"/>
              </w:rPr>
              <w:t>0-5</w:t>
            </w:r>
          </w:p>
        </w:tc>
      </w:tr>
      <w:tr w:rsidR="00EA4AB9" w:rsidRPr="00D23890" w14:paraId="5EC49A9E" w14:textId="77777777" w:rsidTr="00F61A65">
        <w:tc>
          <w:tcPr>
            <w:tcW w:w="2581" w:type="dxa"/>
            <w:vAlign w:val="center"/>
          </w:tcPr>
          <w:p w14:paraId="73CA43F8" w14:textId="77777777" w:rsidR="00EA4AB9" w:rsidRDefault="00EA4AB9" w:rsidP="00EA4AB9">
            <w:pPr>
              <w:rPr>
                <w:b/>
                <w:sz w:val="18"/>
                <w:szCs w:val="18"/>
              </w:rPr>
            </w:pPr>
            <w:r>
              <w:rPr>
                <w:b/>
                <w:sz w:val="18"/>
                <w:szCs w:val="18"/>
              </w:rPr>
              <w:t>Mr Sean Donaghy</w:t>
            </w:r>
          </w:p>
          <w:p w14:paraId="319E6C3E" w14:textId="77777777" w:rsidR="00EA4AB9" w:rsidRDefault="00EA4AB9" w:rsidP="00EA4AB9">
            <w:pPr>
              <w:rPr>
                <w:sz w:val="18"/>
                <w:szCs w:val="18"/>
              </w:rPr>
            </w:pPr>
            <w:r>
              <w:rPr>
                <w:sz w:val="18"/>
                <w:szCs w:val="18"/>
              </w:rPr>
              <w:t>Chair of the Audit and Risk Management Committee (from 2 June 2021)</w:t>
            </w:r>
          </w:p>
          <w:p w14:paraId="25AB56C6" w14:textId="77777777" w:rsidR="00EA4AB9" w:rsidRPr="00EA4AB9" w:rsidRDefault="00EA4AB9" w:rsidP="00EA4AB9">
            <w:pPr>
              <w:rPr>
                <w:sz w:val="18"/>
                <w:szCs w:val="18"/>
              </w:rPr>
            </w:pPr>
          </w:p>
        </w:tc>
        <w:tc>
          <w:tcPr>
            <w:tcW w:w="850" w:type="dxa"/>
          </w:tcPr>
          <w:p w14:paraId="392CB203" w14:textId="77777777" w:rsidR="00EA4AB9" w:rsidRDefault="00EA4AB9" w:rsidP="00EA4AB9">
            <w:pPr>
              <w:widowControl w:val="0"/>
              <w:tabs>
                <w:tab w:val="center" w:pos="8647"/>
              </w:tabs>
              <w:autoSpaceDE w:val="0"/>
              <w:autoSpaceDN w:val="0"/>
              <w:adjustRightInd w:val="0"/>
              <w:jc w:val="right"/>
              <w:rPr>
                <w:sz w:val="18"/>
                <w:szCs w:val="18"/>
              </w:rPr>
            </w:pPr>
          </w:p>
          <w:p w14:paraId="02B5ECE4" w14:textId="3DD96C48" w:rsidR="00051C2A" w:rsidRPr="00051C2A" w:rsidRDefault="00051C2A" w:rsidP="00EA4AB9">
            <w:pPr>
              <w:widowControl w:val="0"/>
              <w:tabs>
                <w:tab w:val="center" w:pos="8647"/>
              </w:tabs>
              <w:autoSpaceDE w:val="0"/>
              <w:autoSpaceDN w:val="0"/>
              <w:adjustRightInd w:val="0"/>
              <w:jc w:val="right"/>
              <w:rPr>
                <w:sz w:val="18"/>
                <w:szCs w:val="18"/>
              </w:rPr>
            </w:pPr>
            <w:r>
              <w:rPr>
                <w:sz w:val="18"/>
                <w:szCs w:val="18"/>
              </w:rPr>
              <w:t>0-5</w:t>
            </w:r>
            <w:r w:rsidR="008E7394">
              <w:rPr>
                <w:sz w:val="18"/>
                <w:szCs w:val="18"/>
                <w:vertAlign w:val="superscript"/>
              </w:rPr>
              <w:t>10</w:t>
            </w:r>
          </w:p>
        </w:tc>
        <w:tc>
          <w:tcPr>
            <w:tcW w:w="851" w:type="dxa"/>
          </w:tcPr>
          <w:p w14:paraId="184DAB77" w14:textId="77777777" w:rsidR="00EA4AB9" w:rsidRDefault="00EA4AB9" w:rsidP="00EA4AB9">
            <w:pPr>
              <w:widowControl w:val="0"/>
              <w:tabs>
                <w:tab w:val="center" w:pos="8647"/>
              </w:tabs>
              <w:autoSpaceDE w:val="0"/>
              <w:autoSpaceDN w:val="0"/>
              <w:adjustRightInd w:val="0"/>
              <w:jc w:val="right"/>
              <w:rPr>
                <w:sz w:val="18"/>
                <w:szCs w:val="18"/>
              </w:rPr>
            </w:pPr>
          </w:p>
          <w:p w14:paraId="76B7B664" w14:textId="77777777" w:rsidR="00051C2A" w:rsidRPr="00D23890"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850" w:type="dxa"/>
          </w:tcPr>
          <w:p w14:paraId="00DD1A16" w14:textId="77777777" w:rsidR="00EA4AB9" w:rsidRDefault="00EA4AB9" w:rsidP="00EA4AB9">
            <w:pPr>
              <w:widowControl w:val="0"/>
              <w:tabs>
                <w:tab w:val="center" w:pos="8647"/>
              </w:tabs>
              <w:autoSpaceDE w:val="0"/>
              <w:autoSpaceDN w:val="0"/>
              <w:adjustRightInd w:val="0"/>
              <w:jc w:val="right"/>
              <w:rPr>
                <w:sz w:val="18"/>
                <w:szCs w:val="18"/>
              </w:rPr>
            </w:pPr>
          </w:p>
          <w:p w14:paraId="3D3E65EE" w14:textId="77777777" w:rsidR="00051C2A"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1DD92E2F" w14:textId="77777777" w:rsidR="00EA4AB9" w:rsidRDefault="00EA4AB9" w:rsidP="00EA4AB9">
            <w:pPr>
              <w:widowControl w:val="0"/>
              <w:tabs>
                <w:tab w:val="center" w:pos="8647"/>
              </w:tabs>
              <w:autoSpaceDE w:val="0"/>
              <w:autoSpaceDN w:val="0"/>
              <w:adjustRightInd w:val="0"/>
              <w:jc w:val="right"/>
              <w:rPr>
                <w:sz w:val="18"/>
                <w:szCs w:val="18"/>
              </w:rPr>
            </w:pPr>
          </w:p>
          <w:p w14:paraId="2FCD9465" w14:textId="77777777" w:rsidR="00051C2A"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7CC2BFED" w14:textId="77777777" w:rsidR="00EA4AB9" w:rsidRDefault="00EA4AB9" w:rsidP="00EA4AB9">
            <w:pPr>
              <w:widowControl w:val="0"/>
              <w:tabs>
                <w:tab w:val="center" w:pos="8647"/>
              </w:tabs>
              <w:autoSpaceDE w:val="0"/>
              <w:autoSpaceDN w:val="0"/>
              <w:adjustRightInd w:val="0"/>
              <w:jc w:val="right"/>
              <w:rPr>
                <w:sz w:val="18"/>
                <w:szCs w:val="18"/>
              </w:rPr>
            </w:pPr>
          </w:p>
          <w:p w14:paraId="5649F41D" w14:textId="77777777" w:rsidR="00051C2A"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6E26D0AD" w14:textId="77777777" w:rsidR="00EA4AB9" w:rsidRDefault="00EA4AB9" w:rsidP="00EA4AB9">
            <w:pPr>
              <w:widowControl w:val="0"/>
              <w:tabs>
                <w:tab w:val="center" w:pos="8647"/>
              </w:tabs>
              <w:autoSpaceDE w:val="0"/>
              <w:autoSpaceDN w:val="0"/>
              <w:adjustRightInd w:val="0"/>
              <w:jc w:val="right"/>
              <w:rPr>
                <w:sz w:val="18"/>
                <w:szCs w:val="18"/>
              </w:rPr>
            </w:pPr>
          </w:p>
          <w:p w14:paraId="62207C60" w14:textId="77777777" w:rsidR="00051C2A" w:rsidRDefault="00051C2A" w:rsidP="00EA4AB9">
            <w:pPr>
              <w:widowControl w:val="0"/>
              <w:tabs>
                <w:tab w:val="center" w:pos="8647"/>
              </w:tabs>
              <w:autoSpaceDE w:val="0"/>
              <w:autoSpaceDN w:val="0"/>
              <w:adjustRightInd w:val="0"/>
              <w:jc w:val="right"/>
              <w:rPr>
                <w:sz w:val="18"/>
                <w:szCs w:val="18"/>
              </w:rPr>
            </w:pPr>
            <w:r>
              <w:rPr>
                <w:sz w:val="18"/>
                <w:szCs w:val="18"/>
              </w:rPr>
              <w:t>-</w:t>
            </w:r>
          </w:p>
        </w:tc>
        <w:tc>
          <w:tcPr>
            <w:tcW w:w="993" w:type="dxa"/>
          </w:tcPr>
          <w:p w14:paraId="13504EB6" w14:textId="77777777" w:rsidR="00EA4AB9" w:rsidRDefault="00EA4AB9" w:rsidP="00EA4AB9">
            <w:pPr>
              <w:widowControl w:val="0"/>
              <w:tabs>
                <w:tab w:val="center" w:pos="8647"/>
              </w:tabs>
              <w:autoSpaceDE w:val="0"/>
              <w:autoSpaceDN w:val="0"/>
              <w:adjustRightInd w:val="0"/>
              <w:jc w:val="right"/>
              <w:rPr>
                <w:sz w:val="18"/>
                <w:szCs w:val="18"/>
              </w:rPr>
            </w:pPr>
          </w:p>
          <w:p w14:paraId="0AE85BCF" w14:textId="1B9B44CC" w:rsidR="00051C2A" w:rsidRPr="00051C2A" w:rsidRDefault="00051C2A" w:rsidP="00EA4AB9">
            <w:pPr>
              <w:widowControl w:val="0"/>
              <w:tabs>
                <w:tab w:val="center" w:pos="8647"/>
              </w:tabs>
              <w:autoSpaceDE w:val="0"/>
              <w:autoSpaceDN w:val="0"/>
              <w:adjustRightInd w:val="0"/>
              <w:jc w:val="right"/>
              <w:rPr>
                <w:sz w:val="18"/>
                <w:szCs w:val="18"/>
                <w:vertAlign w:val="superscript"/>
              </w:rPr>
            </w:pPr>
            <w:r>
              <w:rPr>
                <w:sz w:val="18"/>
                <w:szCs w:val="18"/>
              </w:rPr>
              <w:t>0-5</w:t>
            </w:r>
          </w:p>
        </w:tc>
        <w:tc>
          <w:tcPr>
            <w:tcW w:w="992" w:type="dxa"/>
          </w:tcPr>
          <w:p w14:paraId="0F16D6D0" w14:textId="77777777" w:rsidR="00EA4AB9" w:rsidRDefault="00EA4AB9" w:rsidP="00EA4AB9">
            <w:pPr>
              <w:widowControl w:val="0"/>
              <w:tabs>
                <w:tab w:val="center" w:pos="8647"/>
              </w:tabs>
              <w:autoSpaceDE w:val="0"/>
              <w:autoSpaceDN w:val="0"/>
              <w:adjustRightInd w:val="0"/>
              <w:jc w:val="right"/>
              <w:rPr>
                <w:sz w:val="18"/>
                <w:szCs w:val="18"/>
              </w:rPr>
            </w:pPr>
          </w:p>
          <w:p w14:paraId="7A3BAF64" w14:textId="77777777" w:rsidR="00051C2A" w:rsidRPr="00D23890" w:rsidRDefault="00051C2A" w:rsidP="00051C2A">
            <w:pPr>
              <w:widowControl w:val="0"/>
              <w:tabs>
                <w:tab w:val="center" w:pos="8647"/>
              </w:tabs>
              <w:autoSpaceDE w:val="0"/>
              <w:autoSpaceDN w:val="0"/>
              <w:adjustRightInd w:val="0"/>
              <w:jc w:val="center"/>
              <w:rPr>
                <w:sz w:val="18"/>
                <w:szCs w:val="18"/>
              </w:rPr>
            </w:pPr>
            <w:r>
              <w:rPr>
                <w:sz w:val="18"/>
                <w:szCs w:val="18"/>
              </w:rPr>
              <w:t>-</w:t>
            </w:r>
          </w:p>
        </w:tc>
      </w:tr>
      <w:tr w:rsidR="00EA4AB9" w:rsidRPr="00280EA2" w14:paraId="34821AF2" w14:textId="77777777" w:rsidTr="00F61A65">
        <w:tc>
          <w:tcPr>
            <w:tcW w:w="2581" w:type="dxa"/>
            <w:vAlign w:val="center"/>
          </w:tcPr>
          <w:p w14:paraId="376C9303" w14:textId="77777777" w:rsidR="00EA4AB9" w:rsidRPr="00C54DF1" w:rsidRDefault="00EA4AB9" w:rsidP="00EA4AB9">
            <w:pPr>
              <w:rPr>
                <w:rFonts w:cs="Verdana"/>
                <w:b/>
                <w:sz w:val="18"/>
                <w:szCs w:val="18"/>
                <w:lang w:eastAsia="en-GB"/>
              </w:rPr>
            </w:pPr>
            <w:r w:rsidRPr="00C54DF1">
              <w:rPr>
                <w:b/>
                <w:sz w:val="18"/>
                <w:szCs w:val="18"/>
              </w:rPr>
              <w:t xml:space="preserve">Dr </w:t>
            </w:r>
            <w:r w:rsidRPr="00C54DF1">
              <w:rPr>
                <w:rFonts w:cs="Verdana"/>
                <w:b/>
                <w:sz w:val="18"/>
                <w:szCs w:val="18"/>
                <w:lang w:eastAsia="en-GB"/>
              </w:rPr>
              <w:t>David Russell</w:t>
            </w:r>
          </w:p>
          <w:p w14:paraId="5B50BE58" w14:textId="77777777" w:rsidR="00EA4AB9" w:rsidRDefault="00EA4AB9" w:rsidP="00EA4AB9">
            <w:pPr>
              <w:rPr>
                <w:rFonts w:cs="Verdana"/>
                <w:sz w:val="18"/>
                <w:szCs w:val="18"/>
                <w:lang w:eastAsia="en-GB"/>
              </w:rPr>
            </w:pPr>
            <w:r w:rsidRPr="00C54DF1">
              <w:rPr>
                <w:rFonts w:cs="Verdana"/>
                <w:sz w:val="18"/>
                <w:szCs w:val="18"/>
                <w:lang w:eastAsia="en-GB"/>
              </w:rPr>
              <w:t xml:space="preserve">Chief Executive </w:t>
            </w:r>
          </w:p>
          <w:p w14:paraId="43A31128" w14:textId="77777777" w:rsidR="00EA4AB9" w:rsidRDefault="00EA4AB9" w:rsidP="00EA4AB9">
            <w:pPr>
              <w:rPr>
                <w:rFonts w:cs="Verdana"/>
                <w:sz w:val="18"/>
                <w:szCs w:val="18"/>
                <w:lang w:eastAsia="en-GB"/>
              </w:rPr>
            </w:pPr>
          </w:p>
          <w:p w14:paraId="61D6078B" w14:textId="77777777" w:rsidR="00EA4AB9" w:rsidRPr="00C54DF1" w:rsidRDefault="00EA4AB9" w:rsidP="00EA4AB9">
            <w:pPr>
              <w:rPr>
                <w:rFonts w:cs="Verdana"/>
                <w:sz w:val="18"/>
                <w:szCs w:val="18"/>
                <w:lang w:eastAsia="en-GB"/>
              </w:rPr>
            </w:pPr>
          </w:p>
        </w:tc>
        <w:tc>
          <w:tcPr>
            <w:tcW w:w="850" w:type="dxa"/>
          </w:tcPr>
          <w:p w14:paraId="6AEC3B6E" w14:textId="77777777" w:rsidR="00EA4AB9" w:rsidRDefault="00EA4AB9" w:rsidP="00EA4AB9">
            <w:pPr>
              <w:widowControl w:val="0"/>
              <w:tabs>
                <w:tab w:val="center" w:pos="8647"/>
              </w:tabs>
              <w:autoSpaceDE w:val="0"/>
              <w:autoSpaceDN w:val="0"/>
              <w:adjustRightInd w:val="0"/>
              <w:jc w:val="right"/>
              <w:rPr>
                <w:sz w:val="18"/>
                <w:szCs w:val="18"/>
              </w:rPr>
            </w:pPr>
          </w:p>
          <w:p w14:paraId="03B0E64C" w14:textId="77777777" w:rsidR="00051C2A" w:rsidRPr="00C54DF1" w:rsidRDefault="00051C2A" w:rsidP="00EA4AB9">
            <w:pPr>
              <w:widowControl w:val="0"/>
              <w:tabs>
                <w:tab w:val="center" w:pos="8647"/>
              </w:tabs>
              <w:autoSpaceDE w:val="0"/>
              <w:autoSpaceDN w:val="0"/>
              <w:adjustRightInd w:val="0"/>
              <w:jc w:val="right"/>
              <w:rPr>
                <w:sz w:val="18"/>
                <w:szCs w:val="18"/>
              </w:rPr>
            </w:pPr>
            <w:r>
              <w:rPr>
                <w:sz w:val="18"/>
                <w:szCs w:val="18"/>
              </w:rPr>
              <w:t>75-80</w:t>
            </w:r>
          </w:p>
        </w:tc>
        <w:tc>
          <w:tcPr>
            <w:tcW w:w="851" w:type="dxa"/>
          </w:tcPr>
          <w:p w14:paraId="347FA47D" w14:textId="77777777" w:rsidR="00EA4AB9" w:rsidRPr="00C54DF1" w:rsidRDefault="00EA4AB9" w:rsidP="00EA4AB9">
            <w:pPr>
              <w:widowControl w:val="0"/>
              <w:tabs>
                <w:tab w:val="center" w:pos="8647"/>
              </w:tabs>
              <w:autoSpaceDE w:val="0"/>
              <w:autoSpaceDN w:val="0"/>
              <w:adjustRightInd w:val="0"/>
              <w:jc w:val="right"/>
              <w:rPr>
                <w:sz w:val="18"/>
                <w:szCs w:val="18"/>
              </w:rPr>
            </w:pPr>
          </w:p>
          <w:p w14:paraId="1FD60FB3" w14:textId="77777777" w:rsidR="00EA4AB9" w:rsidRPr="00C54DF1" w:rsidRDefault="00EA4AB9" w:rsidP="00EA4AB9">
            <w:pPr>
              <w:widowControl w:val="0"/>
              <w:tabs>
                <w:tab w:val="center" w:pos="8647"/>
              </w:tabs>
              <w:autoSpaceDE w:val="0"/>
              <w:autoSpaceDN w:val="0"/>
              <w:adjustRightInd w:val="0"/>
              <w:jc w:val="right"/>
              <w:rPr>
                <w:sz w:val="18"/>
                <w:szCs w:val="18"/>
              </w:rPr>
            </w:pPr>
            <w:r w:rsidRPr="00C54DF1">
              <w:rPr>
                <w:sz w:val="18"/>
                <w:szCs w:val="18"/>
              </w:rPr>
              <w:t>70</w:t>
            </w:r>
            <w:r>
              <w:rPr>
                <w:sz w:val="18"/>
                <w:szCs w:val="18"/>
              </w:rPr>
              <w:t>-75</w:t>
            </w:r>
          </w:p>
        </w:tc>
        <w:tc>
          <w:tcPr>
            <w:tcW w:w="850" w:type="dxa"/>
          </w:tcPr>
          <w:p w14:paraId="72251A05" w14:textId="77777777" w:rsidR="00EA4AB9" w:rsidRDefault="00EA4AB9" w:rsidP="00EA4AB9">
            <w:pPr>
              <w:widowControl w:val="0"/>
              <w:tabs>
                <w:tab w:val="center" w:pos="8647"/>
              </w:tabs>
              <w:autoSpaceDE w:val="0"/>
              <w:autoSpaceDN w:val="0"/>
              <w:adjustRightInd w:val="0"/>
              <w:jc w:val="right"/>
              <w:rPr>
                <w:sz w:val="18"/>
                <w:szCs w:val="18"/>
              </w:rPr>
            </w:pPr>
          </w:p>
          <w:p w14:paraId="14642369" w14:textId="77777777" w:rsidR="00EA4AB9" w:rsidRPr="00C54DF1"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60AF34B5" w14:textId="77777777" w:rsidR="00EA4AB9" w:rsidRDefault="00EA4AB9" w:rsidP="00EA4AB9">
            <w:pPr>
              <w:widowControl w:val="0"/>
              <w:tabs>
                <w:tab w:val="center" w:pos="8647"/>
              </w:tabs>
              <w:autoSpaceDE w:val="0"/>
              <w:autoSpaceDN w:val="0"/>
              <w:adjustRightInd w:val="0"/>
              <w:jc w:val="right"/>
              <w:rPr>
                <w:sz w:val="18"/>
                <w:szCs w:val="18"/>
              </w:rPr>
            </w:pPr>
          </w:p>
          <w:p w14:paraId="3C85DB1F" w14:textId="77777777" w:rsidR="00EA4AB9" w:rsidRPr="00C54DF1"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76340628" w14:textId="77777777" w:rsidR="00EA4AB9" w:rsidRDefault="00EA4AB9" w:rsidP="00EA4AB9">
            <w:pPr>
              <w:widowControl w:val="0"/>
              <w:tabs>
                <w:tab w:val="center" w:pos="8647"/>
              </w:tabs>
              <w:autoSpaceDE w:val="0"/>
              <w:autoSpaceDN w:val="0"/>
              <w:adjustRightInd w:val="0"/>
              <w:jc w:val="right"/>
              <w:rPr>
                <w:sz w:val="18"/>
                <w:szCs w:val="18"/>
              </w:rPr>
            </w:pPr>
          </w:p>
          <w:p w14:paraId="44DD1AD3" w14:textId="77777777" w:rsidR="001D0DE7" w:rsidRPr="00C54DF1" w:rsidRDefault="001D0DE7" w:rsidP="00EA4AB9">
            <w:pPr>
              <w:widowControl w:val="0"/>
              <w:tabs>
                <w:tab w:val="center" w:pos="8647"/>
              </w:tabs>
              <w:autoSpaceDE w:val="0"/>
              <w:autoSpaceDN w:val="0"/>
              <w:adjustRightInd w:val="0"/>
              <w:jc w:val="right"/>
              <w:rPr>
                <w:sz w:val="18"/>
                <w:szCs w:val="18"/>
              </w:rPr>
            </w:pPr>
            <w:r>
              <w:rPr>
                <w:sz w:val="18"/>
                <w:szCs w:val="18"/>
              </w:rPr>
              <w:t>31,000</w:t>
            </w:r>
          </w:p>
        </w:tc>
        <w:tc>
          <w:tcPr>
            <w:tcW w:w="992" w:type="dxa"/>
          </w:tcPr>
          <w:p w14:paraId="715AF8E0" w14:textId="77777777" w:rsidR="00EA4AB9" w:rsidRPr="00C54DF1" w:rsidRDefault="00EA4AB9" w:rsidP="00EA4AB9">
            <w:pPr>
              <w:widowControl w:val="0"/>
              <w:tabs>
                <w:tab w:val="center" w:pos="8647"/>
              </w:tabs>
              <w:autoSpaceDE w:val="0"/>
              <w:autoSpaceDN w:val="0"/>
              <w:adjustRightInd w:val="0"/>
              <w:jc w:val="right"/>
              <w:rPr>
                <w:sz w:val="18"/>
                <w:szCs w:val="18"/>
              </w:rPr>
            </w:pPr>
          </w:p>
          <w:p w14:paraId="4A0A9C9D" w14:textId="77777777" w:rsidR="00EA4AB9" w:rsidRPr="00C54DF1" w:rsidRDefault="00EA4AB9" w:rsidP="00EA4AB9">
            <w:pPr>
              <w:widowControl w:val="0"/>
              <w:tabs>
                <w:tab w:val="center" w:pos="8647"/>
              </w:tabs>
              <w:autoSpaceDE w:val="0"/>
              <w:autoSpaceDN w:val="0"/>
              <w:adjustRightInd w:val="0"/>
              <w:jc w:val="right"/>
              <w:rPr>
                <w:sz w:val="18"/>
                <w:szCs w:val="18"/>
              </w:rPr>
            </w:pPr>
            <w:r>
              <w:rPr>
                <w:sz w:val="18"/>
                <w:szCs w:val="18"/>
              </w:rPr>
              <w:t>33,000</w:t>
            </w:r>
          </w:p>
        </w:tc>
        <w:tc>
          <w:tcPr>
            <w:tcW w:w="993" w:type="dxa"/>
          </w:tcPr>
          <w:p w14:paraId="14271AF7" w14:textId="77777777" w:rsidR="00EA4AB9" w:rsidRDefault="00EA4AB9" w:rsidP="00EA4AB9">
            <w:pPr>
              <w:widowControl w:val="0"/>
              <w:tabs>
                <w:tab w:val="center" w:pos="8647"/>
              </w:tabs>
              <w:autoSpaceDE w:val="0"/>
              <w:autoSpaceDN w:val="0"/>
              <w:adjustRightInd w:val="0"/>
              <w:jc w:val="right"/>
              <w:rPr>
                <w:sz w:val="18"/>
                <w:szCs w:val="18"/>
              </w:rPr>
            </w:pPr>
          </w:p>
          <w:p w14:paraId="3B4226BC" w14:textId="77777777" w:rsidR="007E1610" w:rsidRPr="00C54DF1" w:rsidRDefault="007E1610" w:rsidP="00EA4AB9">
            <w:pPr>
              <w:widowControl w:val="0"/>
              <w:tabs>
                <w:tab w:val="center" w:pos="8647"/>
              </w:tabs>
              <w:autoSpaceDE w:val="0"/>
              <w:autoSpaceDN w:val="0"/>
              <w:adjustRightInd w:val="0"/>
              <w:jc w:val="right"/>
              <w:rPr>
                <w:sz w:val="18"/>
                <w:szCs w:val="18"/>
              </w:rPr>
            </w:pPr>
            <w:r>
              <w:rPr>
                <w:sz w:val="18"/>
                <w:szCs w:val="18"/>
              </w:rPr>
              <w:t>110-115</w:t>
            </w:r>
          </w:p>
        </w:tc>
        <w:tc>
          <w:tcPr>
            <w:tcW w:w="992" w:type="dxa"/>
          </w:tcPr>
          <w:p w14:paraId="73D4CC31" w14:textId="77777777" w:rsidR="00EA4AB9" w:rsidRPr="00C54DF1" w:rsidRDefault="00EA4AB9" w:rsidP="00EA4AB9">
            <w:pPr>
              <w:widowControl w:val="0"/>
              <w:tabs>
                <w:tab w:val="center" w:pos="8647"/>
              </w:tabs>
              <w:autoSpaceDE w:val="0"/>
              <w:autoSpaceDN w:val="0"/>
              <w:adjustRightInd w:val="0"/>
              <w:rPr>
                <w:sz w:val="18"/>
                <w:szCs w:val="18"/>
              </w:rPr>
            </w:pPr>
          </w:p>
          <w:p w14:paraId="45AA6218" w14:textId="77777777" w:rsidR="00EA4AB9" w:rsidRPr="00D8281D" w:rsidRDefault="00EA4AB9" w:rsidP="00EA4AB9">
            <w:pPr>
              <w:widowControl w:val="0"/>
              <w:tabs>
                <w:tab w:val="center" w:pos="8647"/>
              </w:tabs>
              <w:autoSpaceDE w:val="0"/>
              <w:autoSpaceDN w:val="0"/>
              <w:adjustRightInd w:val="0"/>
              <w:jc w:val="right"/>
              <w:rPr>
                <w:sz w:val="18"/>
                <w:szCs w:val="18"/>
              </w:rPr>
            </w:pPr>
            <w:r>
              <w:rPr>
                <w:sz w:val="18"/>
                <w:szCs w:val="18"/>
              </w:rPr>
              <w:t>105-110</w:t>
            </w:r>
          </w:p>
        </w:tc>
      </w:tr>
      <w:tr w:rsidR="00EA4AB9" w:rsidRPr="00280EA2" w14:paraId="4998433F" w14:textId="77777777" w:rsidTr="00F61A65">
        <w:tc>
          <w:tcPr>
            <w:tcW w:w="2581" w:type="dxa"/>
            <w:vAlign w:val="center"/>
          </w:tcPr>
          <w:p w14:paraId="7E5082C9" w14:textId="77777777" w:rsidR="00EA4AB9" w:rsidRPr="001F61FA" w:rsidRDefault="00EA4AB9" w:rsidP="00EA4AB9">
            <w:pPr>
              <w:rPr>
                <w:b/>
                <w:sz w:val="18"/>
                <w:szCs w:val="18"/>
              </w:rPr>
            </w:pPr>
            <w:r w:rsidRPr="001F61FA">
              <w:rPr>
                <w:b/>
                <w:sz w:val="18"/>
                <w:szCs w:val="18"/>
              </w:rPr>
              <w:t>Mrs Lorraine Hamill</w:t>
            </w:r>
          </w:p>
          <w:p w14:paraId="71B66728" w14:textId="77777777" w:rsidR="00EA4AB9" w:rsidRDefault="00EA4AB9" w:rsidP="00EA4AB9">
            <w:pPr>
              <w:rPr>
                <w:sz w:val="18"/>
                <w:szCs w:val="18"/>
              </w:rPr>
            </w:pPr>
            <w:r w:rsidRPr="001F61FA">
              <w:rPr>
                <w:sz w:val="18"/>
                <w:szCs w:val="18"/>
              </w:rPr>
              <w:t xml:space="preserve">Director </w:t>
            </w:r>
          </w:p>
          <w:p w14:paraId="7DA05965" w14:textId="77777777" w:rsidR="007953D7" w:rsidRPr="001F61FA" w:rsidRDefault="007953D7" w:rsidP="00EA4AB9">
            <w:pPr>
              <w:rPr>
                <w:sz w:val="18"/>
                <w:szCs w:val="18"/>
              </w:rPr>
            </w:pPr>
          </w:p>
        </w:tc>
        <w:tc>
          <w:tcPr>
            <w:tcW w:w="850" w:type="dxa"/>
          </w:tcPr>
          <w:p w14:paraId="0B927F3D" w14:textId="77777777" w:rsidR="00EA4AB9" w:rsidRDefault="00EA4AB9" w:rsidP="00EA4AB9">
            <w:pPr>
              <w:widowControl w:val="0"/>
              <w:tabs>
                <w:tab w:val="center" w:pos="8647"/>
              </w:tabs>
              <w:autoSpaceDE w:val="0"/>
              <w:autoSpaceDN w:val="0"/>
              <w:adjustRightInd w:val="0"/>
              <w:jc w:val="right"/>
              <w:rPr>
                <w:sz w:val="18"/>
                <w:szCs w:val="18"/>
              </w:rPr>
            </w:pPr>
          </w:p>
          <w:p w14:paraId="0E281145" w14:textId="77777777" w:rsidR="007E1610" w:rsidRPr="001F61FA" w:rsidRDefault="007E1610" w:rsidP="00EA4AB9">
            <w:pPr>
              <w:widowControl w:val="0"/>
              <w:tabs>
                <w:tab w:val="center" w:pos="8647"/>
              </w:tabs>
              <w:autoSpaceDE w:val="0"/>
              <w:autoSpaceDN w:val="0"/>
              <w:adjustRightInd w:val="0"/>
              <w:jc w:val="right"/>
              <w:rPr>
                <w:sz w:val="18"/>
                <w:szCs w:val="18"/>
              </w:rPr>
            </w:pPr>
            <w:r>
              <w:rPr>
                <w:sz w:val="18"/>
                <w:szCs w:val="18"/>
              </w:rPr>
              <w:t>55-60</w:t>
            </w:r>
          </w:p>
        </w:tc>
        <w:tc>
          <w:tcPr>
            <w:tcW w:w="851" w:type="dxa"/>
          </w:tcPr>
          <w:p w14:paraId="322B29D5" w14:textId="77777777" w:rsidR="00EA4AB9" w:rsidRPr="001F61FA" w:rsidRDefault="00EA4AB9" w:rsidP="00EA4AB9">
            <w:pPr>
              <w:widowControl w:val="0"/>
              <w:tabs>
                <w:tab w:val="center" w:pos="8647"/>
              </w:tabs>
              <w:autoSpaceDE w:val="0"/>
              <w:autoSpaceDN w:val="0"/>
              <w:adjustRightInd w:val="0"/>
              <w:jc w:val="right"/>
              <w:rPr>
                <w:sz w:val="18"/>
                <w:szCs w:val="18"/>
              </w:rPr>
            </w:pPr>
          </w:p>
          <w:p w14:paraId="3CF098D6" w14:textId="77777777" w:rsidR="00EA4AB9" w:rsidRPr="001F61FA" w:rsidRDefault="00EA4AB9" w:rsidP="00EA4AB9">
            <w:pPr>
              <w:widowControl w:val="0"/>
              <w:tabs>
                <w:tab w:val="center" w:pos="8647"/>
              </w:tabs>
              <w:autoSpaceDE w:val="0"/>
              <w:autoSpaceDN w:val="0"/>
              <w:adjustRightInd w:val="0"/>
              <w:jc w:val="right"/>
              <w:rPr>
                <w:sz w:val="18"/>
                <w:szCs w:val="18"/>
              </w:rPr>
            </w:pPr>
            <w:r>
              <w:rPr>
                <w:sz w:val="18"/>
                <w:szCs w:val="18"/>
              </w:rPr>
              <w:t>50-55</w:t>
            </w:r>
          </w:p>
        </w:tc>
        <w:tc>
          <w:tcPr>
            <w:tcW w:w="850" w:type="dxa"/>
          </w:tcPr>
          <w:p w14:paraId="75241604" w14:textId="77777777" w:rsidR="00EA4AB9" w:rsidRDefault="00EA4AB9" w:rsidP="00EA4AB9">
            <w:pPr>
              <w:widowControl w:val="0"/>
              <w:tabs>
                <w:tab w:val="center" w:pos="8647"/>
              </w:tabs>
              <w:autoSpaceDE w:val="0"/>
              <w:autoSpaceDN w:val="0"/>
              <w:adjustRightInd w:val="0"/>
              <w:jc w:val="right"/>
              <w:rPr>
                <w:sz w:val="18"/>
                <w:szCs w:val="18"/>
              </w:rPr>
            </w:pPr>
          </w:p>
          <w:p w14:paraId="046D9436" w14:textId="77777777" w:rsidR="00EA4AB9" w:rsidRPr="001F61FA"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7ADB9FB9" w14:textId="77777777" w:rsidR="00EA4AB9" w:rsidRDefault="00EA4AB9" w:rsidP="00EA4AB9">
            <w:pPr>
              <w:widowControl w:val="0"/>
              <w:tabs>
                <w:tab w:val="center" w:pos="8647"/>
              </w:tabs>
              <w:autoSpaceDE w:val="0"/>
              <w:autoSpaceDN w:val="0"/>
              <w:adjustRightInd w:val="0"/>
              <w:jc w:val="right"/>
              <w:rPr>
                <w:sz w:val="18"/>
                <w:szCs w:val="18"/>
              </w:rPr>
            </w:pPr>
          </w:p>
          <w:p w14:paraId="568B80AE" w14:textId="77777777" w:rsidR="00EA4AB9" w:rsidRPr="001F61FA"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40D47272" w14:textId="77777777" w:rsidR="00EA4AB9" w:rsidRDefault="00EA4AB9" w:rsidP="00EA4AB9">
            <w:pPr>
              <w:widowControl w:val="0"/>
              <w:tabs>
                <w:tab w:val="center" w:pos="8647"/>
              </w:tabs>
              <w:autoSpaceDE w:val="0"/>
              <w:autoSpaceDN w:val="0"/>
              <w:adjustRightInd w:val="0"/>
              <w:jc w:val="right"/>
              <w:rPr>
                <w:sz w:val="18"/>
                <w:szCs w:val="18"/>
              </w:rPr>
            </w:pPr>
          </w:p>
          <w:p w14:paraId="31375416" w14:textId="77777777" w:rsidR="001D0DE7" w:rsidRPr="001F61FA" w:rsidRDefault="001D0DE7" w:rsidP="00EA4AB9">
            <w:pPr>
              <w:widowControl w:val="0"/>
              <w:tabs>
                <w:tab w:val="center" w:pos="8647"/>
              </w:tabs>
              <w:autoSpaceDE w:val="0"/>
              <w:autoSpaceDN w:val="0"/>
              <w:adjustRightInd w:val="0"/>
              <w:jc w:val="right"/>
              <w:rPr>
                <w:sz w:val="18"/>
                <w:szCs w:val="18"/>
              </w:rPr>
            </w:pPr>
            <w:r>
              <w:rPr>
                <w:sz w:val="18"/>
                <w:szCs w:val="18"/>
              </w:rPr>
              <w:t>23,000</w:t>
            </w:r>
          </w:p>
        </w:tc>
        <w:tc>
          <w:tcPr>
            <w:tcW w:w="992" w:type="dxa"/>
          </w:tcPr>
          <w:p w14:paraId="32A18D36" w14:textId="77777777" w:rsidR="00EA4AB9" w:rsidRPr="001F61FA" w:rsidRDefault="00EA4AB9" w:rsidP="00EA4AB9">
            <w:pPr>
              <w:widowControl w:val="0"/>
              <w:tabs>
                <w:tab w:val="center" w:pos="8647"/>
              </w:tabs>
              <w:autoSpaceDE w:val="0"/>
              <w:autoSpaceDN w:val="0"/>
              <w:adjustRightInd w:val="0"/>
              <w:jc w:val="right"/>
              <w:rPr>
                <w:sz w:val="18"/>
                <w:szCs w:val="18"/>
              </w:rPr>
            </w:pPr>
          </w:p>
          <w:p w14:paraId="7AB31373" w14:textId="77777777" w:rsidR="00EA4AB9" w:rsidRPr="001F61FA" w:rsidRDefault="007953D7" w:rsidP="00EA4AB9">
            <w:pPr>
              <w:widowControl w:val="0"/>
              <w:tabs>
                <w:tab w:val="center" w:pos="8647"/>
              </w:tabs>
              <w:autoSpaceDE w:val="0"/>
              <w:autoSpaceDN w:val="0"/>
              <w:adjustRightInd w:val="0"/>
              <w:jc w:val="right"/>
              <w:rPr>
                <w:sz w:val="18"/>
                <w:szCs w:val="18"/>
              </w:rPr>
            </w:pPr>
            <w:r>
              <w:rPr>
                <w:sz w:val="18"/>
                <w:szCs w:val="18"/>
              </w:rPr>
              <w:t>25</w:t>
            </w:r>
            <w:r w:rsidR="00EA4AB9">
              <w:rPr>
                <w:sz w:val="18"/>
                <w:szCs w:val="18"/>
              </w:rPr>
              <w:t>,000</w:t>
            </w:r>
          </w:p>
        </w:tc>
        <w:tc>
          <w:tcPr>
            <w:tcW w:w="993" w:type="dxa"/>
          </w:tcPr>
          <w:p w14:paraId="42FE23E1" w14:textId="77777777" w:rsidR="00EA4AB9" w:rsidRDefault="00EA4AB9" w:rsidP="00EA4AB9">
            <w:pPr>
              <w:widowControl w:val="0"/>
              <w:tabs>
                <w:tab w:val="center" w:pos="8647"/>
              </w:tabs>
              <w:autoSpaceDE w:val="0"/>
              <w:autoSpaceDN w:val="0"/>
              <w:adjustRightInd w:val="0"/>
              <w:jc w:val="right"/>
              <w:rPr>
                <w:sz w:val="18"/>
                <w:szCs w:val="18"/>
              </w:rPr>
            </w:pPr>
          </w:p>
          <w:p w14:paraId="2AB34761" w14:textId="77777777" w:rsidR="007E1610" w:rsidRPr="001F61FA" w:rsidRDefault="007E1610" w:rsidP="00EA4AB9">
            <w:pPr>
              <w:widowControl w:val="0"/>
              <w:tabs>
                <w:tab w:val="center" w:pos="8647"/>
              </w:tabs>
              <w:autoSpaceDE w:val="0"/>
              <w:autoSpaceDN w:val="0"/>
              <w:adjustRightInd w:val="0"/>
              <w:jc w:val="right"/>
              <w:rPr>
                <w:sz w:val="18"/>
                <w:szCs w:val="18"/>
              </w:rPr>
            </w:pPr>
            <w:r>
              <w:rPr>
                <w:sz w:val="18"/>
                <w:szCs w:val="18"/>
              </w:rPr>
              <w:t>80-85</w:t>
            </w:r>
          </w:p>
        </w:tc>
        <w:tc>
          <w:tcPr>
            <w:tcW w:w="992" w:type="dxa"/>
          </w:tcPr>
          <w:p w14:paraId="3AC62982" w14:textId="77777777" w:rsidR="00EA4AB9" w:rsidRPr="001F61FA" w:rsidRDefault="00EA4AB9" w:rsidP="00EA4AB9">
            <w:pPr>
              <w:widowControl w:val="0"/>
              <w:tabs>
                <w:tab w:val="center" w:pos="8647"/>
              </w:tabs>
              <w:autoSpaceDE w:val="0"/>
              <w:autoSpaceDN w:val="0"/>
              <w:adjustRightInd w:val="0"/>
              <w:jc w:val="right"/>
              <w:rPr>
                <w:sz w:val="18"/>
                <w:szCs w:val="18"/>
              </w:rPr>
            </w:pPr>
          </w:p>
          <w:p w14:paraId="5F332ED3" w14:textId="77777777" w:rsidR="00EA4AB9" w:rsidRPr="00AF5373" w:rsidRDefault="00EA4AB9" w:rsidP="00EA4AB9">
            <w:pPr>
              <w:widowControl w:val="0"/>
              <w:tabs>
                <w:tab w:val="center" w:pos="8647"/>
              </w:tabs>
              <w:autoSpaceDE w:val="0"/>
              <w:autoSpaceDN w:val="0"/>
              <w:adjustRightInd w:val="0"/>
              <w:jc w:val="center"/>
              <w:rPr>
                <w:sz w:val="18"/>
                <w:szCs w:val="18"/>
              </w:rPr>
            </w:pPr>
            <w:r>
              <w:rPr>
                <w:sz w:val="18"/>
                <w:szCs w:val="18"/>
              </w:rPr>
              <w:t>75-80</w:t>
            </w:r>
          </w:p>
        </w:tc>
      </w:tr>
      <w:tr w:rsidR="00EA4AB9" w:rsidRPr="00280EA2" w14:paraId="330E0BD4" w14:textId="77777777" w:rsidTr="00F61A65">
        <w:tc>
          <w:tcPr>
            <w:tcW w:w="2581" w:type="dxa"/>
            <w:vAlign w:val="center"/>
          </w:tcPr>
          <w:p w14:paraId="7158A59F" w14:textId="77777777" w:rsidR="00EA4AB9" w:rsidRPr="001F61FA" w:rsidRDefault="00EA4AB9" w:rsidP="00EA4AB9">
            <w:pPr>
              <w:rPr>
                <w:b/>
                <w:sz w:val="18"/>
                <w:szCs w:val="18"/>
              </w:rPr>
            </w:pPr>
            <w:r w:rsidRPr="001F61FA">
              <w:rPr>
                <w:b/>
                <w:sz w:val="18"/>
                <w:szCs w:val="18"/>
              </w:rPr>
              <w:t>Ms Claire Martin</w:t>
            </w:r>
          </w:p>
          <w:p w14:paraId="70D6A784" w14:textId="77777777" w:rsidR="00EA4AB9" w:rsidRPr="001F61FA" w:rsidRDefault="00EA4AB9" w:rsidP="00EA4AB9">
            <w:pPr>
              <w:rPr>
                <w:sz w:val="18"/>
                <w:szCs w:val="18"/>
              </w:rPr>
            </w:pPr>
            <w:r w:rsidRPr="001F61FA">
              <w:rPr>
                <w:sz w:val="18"/>
                <w:szCs w:val="18"/>
              </w:rPr>
              <w:t xml:space="preserve">Director </w:t>
            </w:r>
          </w:p>
        </w:tc>
        <w:tc>
          <w:tcPr>
            <w:tcW w:w="850" w:type="dxa"/>
          </w:tcPr>
          <w:p w14:paraId="75E55C60" w14:textId="77777777" w:rsidR="00EA4AB9" w:rsidRDefault="00EA4AB9" w:rsidP="00EA4AB9">
            <w:pPr>
              <w:widowControl w:val="0"/>
              <w:tabs>
                <w:tab w:val="center" w:pos="8647"/>
              </w:tabs>
              <w:autoSpaceDE w:val="0"/>
              <w:autoSpaceDN w:val="0"/>
              <w:adjustRightInd w:val="0"/>
              <w:jc w:val="right"/>
              <w:rPr>
                <w:sz w:val="18"/>
                <w:szCs w:val="18"/>
              </w:rPr>
            </w:pPr>
          </w:p>
          <w:p w14:paraId="7B15BE97" w14:textId="77777777" w:rsidR="007E1610" w:rsidRPr="001F61FA" w:rsidRDefault="007E1610" w:rsidP="00EA4AB9">
            <w:pPr>
              <w:widowControl w:val="0"/>
              <w:tabs>
                <w:tab w:val="center" w:pos="8647"/>
              </w:tabs>
              <w:autoSpaceDE w:val="0"/>
              <w:autoSpaceDN w:val="0"/>
              <w:adjustRightInd w:val="0"/>
              <w:jc w:val="right"/>
              <w:rPr>
                <w:sz w:val="18"/>
                <w:szCs w:val="18"/>
              </w:rPr>
            </w:pPr>
            <w:r>
              <w:rPr>
                <w:sz w:val="18"/>
                <w:szCs w:val="18"/>
              </w:rPr>
              <w:t>65-70</w:t>
            </w:r>
          </w:p>
        </w:tc>
        <w:tc>
          <w:tcPr>
            <w:tcW w:w="851" w:type="dxa"/>
          </w:tcPr>
          <w:p w14:paraId="0C3DA078" w14:textId="77777777" w:rsidR="00EA4AB9" w:rsidRPr="001F61FA" w:rsidRDefault="00EA4AB9" w:rsidP="00EA4AB9">
            <w:pPr>
              <w:widowControl w:val="0"/>
              <w:tabs>
                <w:tab w:val="center" w:pos="8647"/>
              </w:tabs>
              <w:autoSpaceDE w:val="0"/>
              <w:autoSpaceDN w:val="0"/>
              <w:adjustRightInd w:val="0"/>
              <w:jc w:val="right"/>
              <w:rPr>
                <w:sz w:val="18"/>
                <w:szCs w:val="18"/>
              </w:rPr>
            </w:pPr>
          </w:p>
          <w:p w14:paraId="3341C794" w14:textId="77777777" w:rsidR="00EA4AB9" w:rsidRPr="001F61FA" w:rsidRDefault="007953D7" w:rsidP="00EA4AB9">
            <w:pPr>
              <w:widowControl w:val="0"/>
              <w:tabs>
                <w:tab w:val="center" w:pos="8647"/>
              </w:tabs>
              <w:autoSpaceDE w:val="0"/>
              <w:autoSpaceDN w:val="0"/>
              <w:adjustRightInd w:val="0"/>
              <w:jc w:val="right"/>
              <w:rPr>
                <w:sz w:val="18"/>
                <w:szCs w:val="18"/>
              </w:rPr>
            </w:pPr>
            <w:r>
              <w:rPr>
                <w:sz w:val="18"/>
                <w:szCs w:val="18"/>
              </w:rPr>
              <w:t>60-65</w:t>
            </w:r>
          </w:p>
        </w:tc>
        <w:tc>
          <w:tcPr>
            <w:tcW w:w="850" w:type="dxa"/>
          </w:tcPr>
          <w:p w14:paraId="7D924424" w14:textId="77777777" w:rsidR="00EA4AB9" w:rsidRDefault="00EA4AB9" w:rsidP="00EA4AB9">
            <w:pPr>
              <w:widowControl w:val="0"/>
              <w:tabs>
                <w:tab w:val="center" w:pos="8647"/>
              </w:tabs>
              <w:autoSpaceDE w:val="0"/>
              <w:autoSpaceDN w:val="0"/>
              <w:adjustRightInd w:val="0"/>
              <w:jc w:val="right"/>
              <w:rPr>
                <w:sz w:val="18"/>
                <w:szCs w:val="18"/>
              </w:rPr>
            </w:pPr>
          </w:p>
          <w:p w14:paraId="6F4D0EF0" w14:textId="77777777" w:rsidR="00EA4AB9" w:rsidRPr="001F61FA"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7A4302BF" w14:textId="77777777" w:rsidR="00EA4AB9" w:rsidRDefault="00EA4AB9" w:rsidP="00EA4AB9">
            <w:pPr>
              <w:widowControl w:val="0"/>
              <w:tabs>
                <w:tab w:val="center" w:pos="8647"/>
              </w:tabs>
              <w:autoSpaceDE w:val="0"/>
              <w:autoSpaceDN w:val="0"/>
              <w:adjustRightInd w:val="0"/>
              <w:jc w:val="right"/>
              <w:rPr>
                <w:sz w:val="18"/>
                <w:szCs w:val="18"/>
              </w:rPr>
            </w:pPr>
          </w:p>
          <w:p w14:paraId="77CD5970" w14:textId="77777777" w:rsidR="00EA4AB9" w:rsidRPr="001F61FA"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1BED07DD" w14:textId="77777777" w:rsidR="00EA4AB9" w:rsidRDefault="00EA4AB9" w:rsidP="00EA4AB9">
            <w:pPr>
              <w:widowControl w:val="0"/>
              <w:tabs>
                <w:tab w:val="center" w:pos="8647"/>
              </w:tabs>
              <w:autoSpaceDE w:val="0"/>
              <w:autoSpaceDN w:val="0"/>
              <w:adjustRightInd w:val="0"/>
              <w:jc w:val="right"/>
              <w:rPr>
                <w:sz w:val="18"/>
                <w:szCs w:val="18"/>
              </w:rPr>
            </w:pPr>
          </w:p>
          <w:p w14:paraId="6F536B98" w14:textId="77777777" w:rsidR="001D0DE7" w:rsidRPr="001F61FA" w:rsidRDefault="001D0DE7" w:rsidP="00EA4AB9">
            <w:pPr>
              <w:widowControl w:val="0"/>
              <w:tabs>
                <w:tab w:val="center" w:pos="8647"/>
              </w:tabs>
              <w:autoSpaceDE w:val="0"/>
              <w:autoSpaceDN w:val="0"/>
              <w:adjustRightInd w:val="0"/>
              <w:jc w:val="right"/>
              <w:rPr>
                <w:sz w:val="18"/>
                <w:szCs w:val="18"/>
              </w:rPr>
            </w:pPr>
            <w:r>
              <w:rPr>
                <w:sz w:val="18"/>
                <w:szCs w:val="18"/>
              </w:rPr>
              <w:t>37,000</w:t>
            </w:r>
          </w:p>
        </w:tc>
        <w:tc>
          <w:tcPr>
            <w:tcW w:w="992" w:type="dxa"/>
          </w:tcPr>
          <w:p w14:paraId="6E539CE7" w14:textId="77777777" w:rsidR="00EA4AB9" w:rsidRPr="001F61FA" w:rsidRDefault="00EA4AB9" w:rsidP="00EA4AB9">
            <w:pPr>
              <w:widowControl w:val="0"/>
              <w:tabs>
                <w:tab w:val="center" w:pos="8647"/>
              </w:tabs>
              <w:autoSpaceDE w:val="0"/>
              <w:autoSpaceDN w:val="0"/>
              <w:adjustRightInd w:val="0"/>
              <w:jc w:val="right"/>
              <w:rPr>
                <w:sz w:val="18"/>
                <w:szCs w:val="18"/>
              </w:rPr>
            </w:pPr>
          </w:p>
          <w:p w14:paraId="18B73F55" w14:textId="77777777" w:rsidR="00EA4AB9" w:rsidRPr="001F61FA" w:rsidRDefault="005C717D" w:rsidP="007953D7">
            <w:pPr>
              <w:widowControl w:val="0"/>
              <w:tabs>
                <w:tab w:val="center" w:pos="8647"/>
              </w:tabs>
              <w:autoSpaceDE w:val="0"/>
              <w:autoSpaceDN w:val="0"/>
              <w:adjustRightInd w:val="0"/>
              <w:jc w:val="center"/>
              <w:rPr>
                <w:sz w:val="18"/>
                <w:szCs w:val="18"/>
              </w:rPr>
            </w:pPr>
            <w:r>
              <w:rPr>
                <w:sz w:val="18"/>
                <w:szCs w:val="18"/>
              </w:rPr>
              <w:t xml:space="preserve">  </w:t>
            </w:r>
            <w:r w:rsidR="007953D7">
              <w:rPr>
                <w:sz w:val="18"/>
                <w:szCs w:val="18"/>
              </w:rPr>
              <w:t>37</w:t>
            </w:r>
            <w:r w:rsidR="00EA4AB9">
              <w:rPr>
                <w:sz w:val="18"/>
                <w:szCs w:val="18"/>
              </w:rPr>
              <w:t>,000</w:t>
            </w:r>
          </w:p>
        </w:tc>
        <w:tc>
          <w:tcPr>
            <w:tcW w:w="993" w:type="dxa"/>
          </w:tcPr>
          <w:p w14:paraId="49056BA2" w14:textId="77777777" w:rsidR="00EA4AB9" w:rsidRDefault="00EA4AB9" w:rsidP="007953D7">
            <w:pPr>
              <w:widowControl w:val="0"/>
              <w:tabs>
                <w:tab w:val="center" w:pos="8647"/>
              </w:tabs>
              <w:autoSpaceDE w:val="0"/>
              <w:autoSpaceDN w:val="0"/>
              <w:adjustRightInd w:val="0"/>
              <w:jc w:val="right"/>
              <w:rPr>
                <w:sz w:val="18"/>
                <w:szCs w:val="18"/>
              </w:rPr>
            </w:pPr>
          </w:p>
          <w:p w14:paraId="6FFEF1D4" w14:textId="77777777" w:rsidR="007E1610" w:rsidRPr="001F61FA" w:rsidRDefault="007E1610" w:rsidP="007953D7">
            <w:pPr>
              <w:widowControl w:val="0"/>
              <w:tabs>
                <w:tab w:val="center" w:pos="8647"/>
              </w:tabs>
              <w:autoSpaceDE w:val="0"/>
              <w:autoSpaceDN w:val="0"/>
              <w:adjustRightInd w:val="0"/>
              <w:jc w:val="right"/>
              <w:rPr>
                <w:sz w:val="18"/>
                <w:szCs w:val="18"/>
              </w:rPr>
            </w:pPr>
            <w:r>
              <w:rPr>
                <w:sz w:val="18"/>
                <w:szCs w:val="18"/>
              </w:rPr>
              <w:t>105-110</w:t>
            </w:r>
          </w:p>
        </w:tc>
        <w:tc>
          <w:tcPr>
            <w:tcW w:w="992" w:type="dxa"/>
          </w:tcPr>
          <w:p w14:paraId="229032E6" w14:textId="77777777" w:rsidR="00EA4AB9" w:rsidRPr="001F61FA" w:rsidRDefault="00EA4AB9" w:rsidP="00EA4AB9">
            <w:pPr>
              <w:widowControl w:val="0"/>
              <w:tabs>
                <w:tab w:val="center" w:pos="8647"/>
              </w:tabs>
              <w:autoSpaceDE w:val="0"/>
              <w:autoSpaceDN w:val="0"/>
              <w:adjustRightInd w:val="0"/>
              <w:jc w:val="right"/>
              <w:rPr>
                <w:sz w:val="18"/>
                <w:szCs w:val="18"/>
              </w:rPr>
            </w:pPr>
          </w:p>
          <w:p w14:paraId="10FD7627" w14:textId="77777777" w:rsidR="00EA4AB9" w:rsidRPr="001F61FA" w:rsidRDefault="007953D7" w:rsidP="00EA4AB9">
            <w:pPr>
              <w:widowControl w:val="0"/>
              <w:tabs>
                <w:tab w:val="center" w:pos="8647"/>
              </w:tabs>
              <w:autoSpaceDE w:val="0"/>
              <w:autoSpaceDN w:val="0"/>
              <w:adjustRightInd w:val="0"/>
              <w:jc w:val="center"/>
              <w:rPr>
                <w:sz w:val="18"/>
                <w:szCs w:val="18"/>
              </w:rPr>
            </w:pPr>
            <w:r>
              <w:rPr>
                <w:sz w:val="18"/>
                <w:szCs w:val="18"/>
              </w:rPr>
              <w:t>100-105</w:t>
            </w:r>
          </w:p>
          <w:p w14:paraId="66AA6C6A" w14:textId="77777777" w:rsidR="00EA4AB9" w:rsidRPr="001F61FA" w:rsidRDefault="00EA4AB9" w:rsidP="00EA4AB9">
            <w:pPr>
              <w:widowControl w:val="0"/>
              <w:tabs>
                <w:tab w:val="center" w:pos="8647"/>
              </w:tabs>
              <w:autoSpaceDE w:val="0"/>
              <w:autoSpaceDN w:val="0"/>
              <w:adjustRightInd w:val="0"/>
              <w:jc w:val="center"/>
              <w:rPr>
                <w:sz w:val="18"/>
                <w:szCs w:val="18"/>
              </w:rPr>
            </w:pPr>
          </w:p>
        </w:tc>
      </w:tr>
      <w:tr w:rsidR="00EA4AB9" w:rsidRPr="00280EA2" w14:paraId="6A6C9444" w14:textId="77777777" w:rsidTr="00F61A65">
        <w:tc>
          <w:tcPr>
            <w:tcW w:w="2581" w:type="dxa"/>
            <w:vAlign w:val="center"/>
          </w:tcPr>
          <w:p w14:paraId="3CE89E61" w14:textId="77777777" w:rsidR="00EA4AB9" w:rsidRDefault="00EA4AB9" w:rsidP="00EA4AB9">
            <w:pPr>
              <w:rPr>
                <w:b/>
                <w:sz w:val="18"/>
                <w:szCs w:val="18"/>
              </w:rPr>
            </w:pPr>
            <w:r>
              <w:rPr>
                <w:b/>
                <w:sz w:val="18"/>
                <w:szCs w:val="18"/>
              </w:rPr>
              <w:t>Ms Rhyannon Blythe</w:t>
            </w:r>
          </w:p>
          <w:p w14:paraId="4310CB53" w14:textId="77777777" w:rsidR="00EA4AB9" w:rsidRDefault="00EA4AB9" w:rsidP="00EA4AB9">
            <w:pPr>
              <w:rPr>
                <w:sz w:val="18"/>
                <w:szCs w:val="18"/>
              </w:rPr>
            </w:pPr>
            <w:r>
              <w:rPr>
                <w:sz w:val="18"/>
                <w:szCs w:val="18"/>
              </w:rPr>
              <w:t>Director</w:t>
            </w:r>
          </w:p>
          <w:p w14:paraId="7655120E" w14:textId="77777777" w:rsidR="00EA4AB9" w:rsidRPr="00C34C15" w:rsidRDefault="00EA4AB9" w:rsidP="00EA4AB9">
            <w:pPr>
              <w:rPr>
                <w:i/>
                <w:sz w:val="18"/>
                <w:szCs w:val="18"/>
              </w:rPr>
            </w:pPr>
          </w:p>
        </w:tc>
        <w:tc>
          <w:tcPr>
            <w:tcW w:w="850" w:type="dxa"/>
          </w:tcPr>
          <w:p w14:paraId="38A29A4C" w14:textId="77777777" w:rsidR="00EA4AB9" w:rsidRDefault="00EA4AB9" w:rsidP="00EA4AB9">
            <w:pPr>
              <w:widowControl w:val="0"/>
              <w:tabs>
                <w:tab w:val="center" w:pos="8647"/>
              </w:tabs>
              <w:autoSpaceDE w:val="0"/>
              <w:autoSpaceDN w:val="0"/>
              <w:adjustRightInd w:val="0"/>
              <w:jc w:val="right"/>
              <w:rPr>
                <w:sz w:val="18"/>
                <w:szCs w:val="18"/>
              </w:rPr>
            </w:pPr>
          </w:p>
          <w:p w14:paraId="51062F26" w14:textId="77777777" w:rsidR="007E1610" w:rsidRPr="001F61FA" w:rsidRDefault="007E1610" w:rsidP="00EA4AB9">
            <w:pPr>
              <w:widowControl w:val="0"/>
              <w:tabs>
                <w:tab w:val="center" w:pos="8647"/>
              </w:tabs>
              <w:autoSpaceDE w:val="0"/>
              <w:autoSpaceDN w:val="0"/>
              <w:adjustRightInd w:val="0"/>
              <w:jc w:val="right"/>
              <w:rPr>
                <w:sz w:val="18"/>
                <w:szCs w:val="18"/>
              </w:rPr>
            </w:pPr>
            <w:r>
              <w:rPr>
                <w:sz w:val="18"/>
                <w:szCs w:val="18"/>
              </w:rPr>
              <w:t>60-65</w:t>
            </w:r>
          </w:p>
        </w:tc>
        <w:tc>
          <w:tcPr>
            <w:tcW w:w="851" w:type="dxa"/>
          </w:tcPr>
          <w:p w14:paraId="754BA0F7" w14:textId="77777777" w:rsidR="00EA4AB9" w:rsidRDefault="00EA4AB9" w:rsidP="00EA4AB9">
            <w:pPr>
              <w:widowControl w:val="0"/>
              <w:tabs>
                <w:tab w:val="center" w:pos="8647"/>
              </w:tabs>
              <w:autoSpaceDE w:val="0"/>
              <w:autoSpaceDN w:val="0"/>
              <w:adjustRightInd w:val="0"/>
              <w:jc w:val="right"/>
              <w:rPr>
                <w:sz w:val="18"/>
                <w:szCs w:val="18"/>
              </w:rPr>
            </w:pPr>
          </w:p>
          <w:p w14:paraId="716B0D9A" w14:textId="77777777" w:rsidR="007953D7" w:rsidRPr="001F61FA" w:rsidRDefault="007953D7" w:rsidP="00EA4AB9">
            <w:pPr>
              <w:widowControl w:val="0"/>
              <w:tabs>
                <w:tab w:val="center" w:pos="8647"/>
              </w:tabs>
              <w:autoSpaceDE w:val="0"/>
              <w:autoSpaceDN w:val="0"/>
              <w:adjustRightInd w:val="0"/>
              <w:jc w:val="right"/>
              <w:rPr>
                <w:sz w:val="18"/>
                <w:szCs w:val="18"/>
              </w:rPr>
            </w:pPr>
            <w:r>
              <w:rPr>
                <w:sz w:val="18"/>
                <w:szCs w:val="18"/>
              </w:rPr>
              <w:t>55-60</w:t>
            </w:r>
          </w:p>
        </w:tc>
        <w:tc>
          <w:tcPr>
            <w:tcW w:w="850" w:type="dxa"/>
          </w:tcPr>
          <w:p w14:paraId="32F5C01C" w14:textId="77777777" w:rsidR="00EA4AB9" w:rsidRDefault="00EA4AB9" w:rsidP="00EA4AB9">
            <w:pPr>
              <w:widowControl w:val="0"/>
              <w:tabs>
                <w:tab w:val="center" w:pos="8647"/>
              </w:tabs>
              <w:autoSpaceDE w:val="0"/>
              <w:autoSpaceDN w:val="0"/>
              <w:adjustRightInd w:val="0"/>
              <w:rPr>
                <w:sz w:val="18"/>
                <w:szCs w:val="18"/>
              </w:rPr>
            </w:pPr>
          </w:p>
          <w:p w14:paraId="18D7D30F" w14:textId="77777777" w:rsidR="00EA4AB9"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851" w:type="dxa"/>
          </w:tcPr>
          <w:p w14:paraId="2AC8949B" w14:textId="77777777" w:rsidR="00EA4AB9" w:rsidRDefault="00EA4AB9" w:rsidP="00EA4AB9">
            <w:pPr>
              <w:widowControl w:val="0"/>
              <w:tabs>
                <w:tab w:val="center" w:pos="8647"/>
              </w:tabs>
              <w:autoSpaceDE w:val="0"/>
              <w:autoSpaceDN w:val="0"/>
              <w:adjustRightInd w:val="0"/>
              <w:rPr>
                <w:sz w:val="18"/>
                <w:szCs w:val="18"/>
              </w:rPr>
            </w:pPr>
          </w:p>
          <w:p w14:paraId="6BF9D3F3" w14:textId="77777777" w:rsidR="00EA4AB9" w:rsidRPr="001F61FA" w:rsidRDefault="00EA4AB9" w:rsidP="00EA4AB9">
            <w:pPr>
              <w:widowControl w:val="0"/>
              <w:tabs>
                <w:tab w:val="center" w:pos="8647"/>
              </w:tabs>
              <w:autoSpaceDE w:val="0"/>
              <w:autoSpaceDN w:val="0"/>
              <w:adjustRightInd w:val="0"/>
              <w:jc w:val="right"/>
              <w:rPr>
                <w:sz w:val="18"/>
                <w:szCs w:val="18"/>
              </w:rPr>
            </w:pPr>
            <w:r>
              <w:rPr>
                <w:sz w:val="18"/>
                <w:szCs w:val="18"/>
              </w:rPr>
              <w:t>-</w:t>
            </w:r>
          </w:p>
        </w:tc>
        <w:tc>
          <w:tcPr>
            <w:tcW w:w="992" w:type="dxa"/>
          </w:tcPr>
          <w:p w14:paraId="6A4502B7" w14:textId="77777777" w:rsidR="00EA4AB9" w:rsidRDefault="00EA4AB9" w:rsidP="007953D7">
            <w:pPr>
              <w:widowControl w:val="0"/>
              <w:tabs>
                <w:tab w:val="center" w:pos="8647"/>
              </w:tabs>
              <w:autoSpaceDE w:val="0"/>
              <w:autoSpaceDN w:val="0"/>
              <w:adjustRightInd w:val="0"/>
              <w:jc w:val="right"/>
              <w:rPr>
                <w:sz w:val="18"/>
                <w:szCs w:val="18"/>
              </w:rPr>
            </w:pPr>
          </w:p>
          <w:p w14:paraId="748626FB" w14:textId="77777777" w:rsidR="001D0DE7" w:rsidRPr="001F61FA" w:rsidRDefault="001D0DE7" w:rsidP="007953D7">
            <w:pPr>
              <w:widowControl w:val="0"/>
              <w:tabs>
                <w:tab w:val="center" w:pos="8647"/>
              </w:tabs>
              <w:autoSpaceDE w:val="0"/>
              <w:autoSpaceDN w:val="0"/>
              <w:adjustRightInd w:val="0"/>
              <w:jc w:val="right"/>
              <w:rPr>
                <w:sz w:val="18"/>
                <w:szCs w:val="18"/>
              </w:rPr>
            </w:pPr>
            <w:r>
              <w:rPr>
                <w:sz w:val="18"/>
                <w:szCs w:val="18"/>
              </w:rPr>
              <w:t>25,000</w:t>
            </w:r>
          </w:p>
        </w:tc>
        <w:tc>
          <w:tcPr>
            <w:tcW w:w="992" w:type="dxa"/>
          </w:tcPr>
          <w:p w14:paraId="599258BA" w14:textId="77777777" w:rsidR="00EA4AB9" w:rsidRDefault="00EA4AB9" w:rsidP="00EA4AB9">
            <w:pPr>
              <w:widowControl w:val="0"/>
              <w:tabs>
                <w:tab w:val="center" w:pos="8647"/>
              </w:tabs>
              <w:autoSpaceDE w:val="0"/>
              <w:autoSpaceDN w:val="0"/>
              <w:adjustRightInd w:val="0"/>
              <w:rPr>
                <w:sz w:val="18"/>
                <w:szCs w:val="18"/>
              </w:rPr>
            </w:pPr>
          </w:p>
          <w:p w14:paraId="5E62C6FD" w14:textId="77777777" w:rsidR="00EA4AB9" w:rsidRPr="001F61FA" w:rsidRDefault="007953D7" w:rsidP="007953D7">
            <w:pPr>
              <w:widowControl w:val="0"/>
              <w:tabs>
                <w:tab w:val="center" w:pos="8647"/>
              </w:tabs>
              <w:autoSpaceDE w:val="0"/>
              <w:autoSpaceDN w:val="0"/>
              <w:adjustRightInd w:val="0"/>
              <w:jc w:val="right"/>
              <w:rPr>
                <w:sz w:val="18"/>
                <w:szCs w:val="18"/>
              </w:rPr>
            </w:pPr>
            <w:r>
              <w:rPr>
                <w:sz w:val="18"/>
                <w:szCs w:val="18"/>
              </w:rPr>
              <w:t>22,000</w:t>
            </w:r>
          </w:p>
        </w:tc>
        <w:tc>
          <w:tcPr>
            <w:tcW w:w="993" w:type="dxa"/>
          </w:tcPr>
          <w:p w14:paraId="0E78B593" w14:textId="77777777" w:rsidR="00EA4AB9" w:rsidRDefault="00EA4AB9" w:rsidP="007953D7">
            <w:pPr>
              <w:widowControl w:val="0"/>
              <w:tabs>
                <w:tab w:val="center" w:pos="8647"/>
              </w:tabs>
              <w:autoSpaceDE w:val="0"/>
              <w:autoSpaceDN w:val="0"/>
              <w:adjustRightInd w:val="0"/>
              <w:jc w:val="right"/>
              <w:rPr>
                <w:sz w:val="18"/>
                <w:szCs w:val="18"/>
              </w:rPr>
            </w:pPr>
          </w:p>
          <w:p w14:paraId="47DA7DD3" w14:textId="77777777" w:rsidR="007E1610" w:rsidRPr="001F61FA" w:rsidRDefault="007E1610" w:rsidP="007953D7">
            <w:pPr>
              <w:widowControl w:val="0"/>
              <w:tabs>
                <w:tab w:val="center" w:pos="8647"/>
              </w:tabs>
              <w:autoSpaceDE w:val="0"/>
              <w:autoSpaceDN w:val="0"/>
              <w:adjustRightInd w:val="0"/>
              <w:jc w:val="right"/>
              <w:rPr>
                <w:sz w:val="18"/>
                <w:szCs w:val="18"/>
              </w:rPr>
            </w:pPr>
            <w:r>
              <w:rPr>
                <w:sz w:val="18"/>
                <w:szCs w:val="18"/>
              </w:rPr>
              <w:t>85-90</w:t>
            </w:r>
          </w:p>
        </w:tc>
        <w:tc>
          <w:tcPr>
            <w:tcW w:w="992" w:type="dxa"/>
          </w:tcPr>
          <w:p w14:paraId="2419F50D" w14:textId="77777777" w:rsidR="00EA4AB9" w:rsidRDefault="00EA4AB9" w:rsidP="00EA4AB9">
            <w:pPr>
              <w:widowControl w:val="0"/>
              <w:tabs>
                <w:tab w:val="center" w:pos="8647"/>
              </w:tabs>
              <w:autoSpaceDE w:val="0"/>
              <w:autoSpaceDN w:val="0"/>
              <w:adjustRightInd w:val="0"/>
              <w:jc w:val="right"/>
              <w:rPr>
                <w:sz w:val="18"/>
                <w:szCs w:val="18"/>
              </w:rPr>
            </w:pPr>
          </w:p>
          <w:p w14:paraId="12DAAEB2" w14:textId="77777777" w:rsidR="007953D7" w:rsidRPr="001F61FA" w:rsidRDefault="007953D7" w:rsidP="00EA4AB9">
            <w:pPr>
              <w:widowControl w:val="0"/>
              <w:tabs>
                <w:tab w:val="center" w:pos="8647"/>
              </w:tabs>
              <w:autoSpaceDE w:val="0"/>
              <w:autoSpaceDN w:val="0"/>
              <w:adjustRightInd w:val="0"/>
              <w:jc w:val="right"/>
              <w:rPr>
                <w:sz w:val="18"/>
                <w:szCs w:val="18"/>
              </w:rPr>
            </w:pPr>
            <w:r>
              <w:rPr>
                <w:sz w:val="18"/>
                <w:szCs w:val="18"/>
              </w:rPr>
              <w:t>80-85</w:t>
            </w:r>
          </w:p>
        </w:tc>
      </w:tr>
      <w:tr w:rsidR="007E1610" w:rsidRPr="00280EA2" w14:paraId="79600FFD" w14:textId="77777777" w:rsidTr="00F61A65">
        <w:tc>
          <w:tcPr>
            <w:tcW w:w="2581" w:type="dxa"/>
            <w:vAlign w:val="center"/>
          </w:tcPr>
          <w:p w14:paraId="6280D7FB" w14:textId="77777777" w:rsidR="007E1610" w:rsidRDefault="007E1610" w:rsidP="007E1610">
            <w:pPr>
              <w:rPr>
                <w:b/>
                <w:sz w:val="18"/>
                <w:szCs w:val="18"/>
              </w:rPr>
            </w:pPr>
            <w:r>
              <w:rPr>
                <w:b/>
                <w:sz w:val="18"/>
                <w:szCs w:val="18"/>
              </w:rPr>
              <w:t>Ms Eilis Haughey</w:t>
            </w:r>
          </w:p>
          <w:p w14:paraId="03EAABE0" w14:textId="77777777" w:rsidR="007E1610" w:rsidRDefault="007E1610" w:rsidP="007E1610">
            <w:pPr>
              <w:rPr>
                <w:sz w:val="18"/>
                <w:szCs w:val="18"/>
              </w:rPr>
            </w:pPr>
            <w:r>
              <w:rPr>
                <w:sz w:val="18"/>
                <w:szCs w:val="18"/>
              </w:rPr>
              <w:t>Director</w:t>
            </w:r>
          </w:p>
          <w:p w14:paraId="5CD0753C" w14:textId="77777777" w:rsidR="007E1610" w:rsidRDefault="007E1610" w:rsidP="007E1610">
            <w:pPr>
              <w:rPr>
                <w:b/>
                <w:sz w:val="18"/>
                <w:szCs w:val="18"/>
              </w:rPr>
            </w:pPr>
          </w:p>
        </w:tc>
        <w:tc>
          <w:tcPr>
            <w:tcW w:w="850" w:type="dxa"/>
          </w:tcPr>
          <w:p w14:paraId="442E55DD" w14:textId="77777777" w:rsidR="007E1610" w:rsidRDefault="007E1610" w:rsidP="007E1610">
            <w:pPr>
              <w:widowControl w:val="0"/>
              <w:tabs>
                <w:tab w:val="center" w:pos="8647"/>
              </w:tabs>
              <w:autoSpaceDE w:val="0"/>
              <w:autoSpaceDN w:val="0"/>
              <w:adjustRightInd w:val="0"/>
              <w:jc w:val="right"/>
              <w:rPr>
                <w:sz w:val="18"/>
                <w:szCs w:val="18"/>
              </w:rPr>
            </w:pPr>
          </w:p>
          <w:p w14:paraId="40A0DBAC" w14:textId="77777777" w:rsidR="007E1610" w:rsidRDefault="007E1610" w:rsidP="007E1610">
            <w:pPr>
              <w:widowControl w:val="0"/>
              <w:tabs>
                <w:tab w:val="center" w:pos="8647"/>
              </w:tabs>
              <w:autoSpaceDE w:val="0"/>
              <w:autoSpaceDN w:val="0"/>
              <w:adjustRightInd w:val="0"/>
              <w:jc w:val="right"/>
              <w:rPr>
                <w:sz w:val="18"/>
                <w:szCs w:val="18"/>
              </w:rPr>
            </w:pPr>
            <w:r>
              <w:rPr>
                <w:sz w:val="18"/>
                <w:szCs w:val="18"/>
              </w:rPr>
              <w:t>65-70</w:t>
            </w:r>
          </w:p>
        </w:tc>
        <w:tc>
          <w:tcPr>
            <w:tcW w:w="851" w:type="dxa"/>
          </w:tcPr>
          <w:p w14:paraId="76182DE6" w14:textId="77777777" w:rsidR="007E1610" w:rsidRDefault="007E1610" w:rsidP="007E1610">
            <w:pPr>
              <w:widowControl w:val="0"/>
              <w:tabs>
                <w:tab w:val="center" w:pos="8647"/>
              </w:tabs>
              <w:autoSpaceDE w:val="0"/>
              <w:autoSpaceDN w:val="0"/>
              <w:adjustRightInd w:val="0"/>
              <w:jc w:val="right"/>
              <w:rPr>
                <w:sz w:val="18"/>
                <w:szCs w:val="18"/>
              </w:rPr>
            </w:pPr>
          </w:p>
          <w:p w14:paraId="18A5B749" w14:textId="77777777" w:rsidR="007E1610" w:rsidRDefault="007E1610" w:rsidP="007E1610">
            <w:pPr>
              <w:widowControl w:val="0"/>
              <w:tabs>
                <w:tab w:val="center" w:pos="8647"/>
              </w:tabs>
              <w:autoSpaceDE w:val="0"/>
              <w:autoSpaceDN w:val="0"/>
              <w:adjustRightInd w:val="0"/>
              <w:jc w:val="right"/>
              <w:rPr>
                <w:sz w:val="18"/>
                <w:szCs w:val="18"/>
              </w:rPr>
            </w:pPr>
            <w:r>
              <w:rPr>
                <w:sz w:val="18"/>
                <w:szCs w:val="18"/>
              </w:rPr>
              <w:t>5-10</w:t>
            </w:r>
            <w:r w:rsidR="003867FD">
              <w:rPr>
                <w:rStyle w:val="FootnoteReference"/>
                <w:sz w:val="18"/>
                <w:szCs w:val="18"/>
              </w:rPr>
              <w:footnoteReference w:id="12"/>
            </w:r>
          </w:p>
        </w:tc>
        <w:tc>
          <w:tcPr>
            <w:tcW w:w="850" w:type="dxa"/>
          </w:tcPr>
          <w:p w14:paraId="28752032" w14:textId="77777777" w:rsidR="007E1610" w:rsidRDefault="007E1610" w:rsidP="007E1610">
            <w:pPr>
              <w:widowControl w:val="0"/>
              <w:tabs>
                <w:tab w:val="center" w:pos="8647"/>
              </w:tabs>
              <w:autoSpaceDE w:val="0"/>
              <w:autoSpaceDN w:val="0"/>
              <w:adjustRightInd w:val="0"/>
              <w:jc w:val="right"/>
              <w:rPr>
                <w:sz w:val="18"/>
                <w:szCs w:val="18"/>
              </w:rPr>
            </w:pPr>
          </w:p>
          <w:p w14:paraId="3060EC3E" w14:textId="77777777" w:rsidR="007E1610" w:rsidRDefault="007E1610" w:rsidP="007E1610">
            <w:pPr>
              <w:widowControl w:val="0"/>
              <w:tabs>
                <w:tab w:val="center" w:pos="8647"/>
              </w:tabs>
              <w:autoSpaceDE w:val="0"/>
              <w:autoSpaceDN w:val="0"/>
              <w:adjustRightInd w:val="0"/>
              <w:jc w:val="right"/>
              <w:rPr>
                <w:sz w:val="18"/>
                <w:szCs w:val="18"/>
              </w:rPr>
            </w:pPr>
            <w:r>
              <w:rPr>
                <w:sz w:val="18"/>
                <w:szCs w:val="18"/>
              </w:rPr>
              <w:t>-</w:t>
            </w:r>
          </w:p>
        </w:tc>
        <w:tc>
          <w:tcPr>
            <w:tcW w:w="851" w:type="dxa"/>
          </w:tcPr>
          <w:p w14:paraId="1153C458" w14:textId="77777777" w:rsidR="007E1610" w:rsidRDefault="007E1610" w:rsidP="007E1610">
            <w:pPr>
              <w:widowControl w:val="0"/>
              <w:tabs>
                <w:tab w:val="center" w:pos="8647"/>
              </w:tabs>
              <w:autoSpaceDE w:val="0"/>
              <w:autoSpaceDN w:val="0"/>
              <w:adjustRightInd w:val="0"/>
              <w:jc w:val="right"/>
              <w:rPr>
                <w:sz w:val="18"/>
                <w:szCs w:val="18"/>
              </w:rPr>
            </w:pPr>
          </w:p>
          <w:p w14:paraId="55A011D3" w14:textId="77777777" w:rsidR="007E1610" w:rsidRDefault="007E1610" w:rsidP="007E1610">
            <w:pPr>
              <w:widowControl w:val="0"/>
              <w:tabs>
                <w:tab w:val="center" w:pos="8647"/>
              </w:tabs>
              <w:autoSpaceDE w:val="0"/>
              <w:autoSpaceDN w:val="0"/>
              <w:adjustRightInd w:val="0"/>
              <w:jc w:val="right"/>
              <w:rPr>
                <w:sz w:val="18"/>
                <w:szCs w:val="18"/>
              </w:rPr>
            </w:pPr>
            <w:r>
              <w:rPr>
                <w:sz w:val="18"/>
                <w:szCs w:val="18"/>
              </w:rPr>
              <w:t>-</w:t>
            </w:r>
          </w:p>
        </w:tc>
        <w:tc>
          <w:tcPr>
            <w:tcW w:w="992" w:type="dxa"/>
          </w:tcPr>
          <w:p w14:paraId="78D8ABC8" w14:textId="77777777" w:rsidR="007E1610" w:rsidRDefault="007E1610" w:rsidP="007E1610">
            <w:pPr>
              <w:widowControl w:val="0"/>
              <w:tabs>
                <w:tab w:val="center" w:pos="8647"/>
              </w:tabs>
              <w:autoSpaceDE w:val="0"/>
              <w:autoSpaceDN w:val="0"/>
              <w:adjustRightInd w:val="0"/>
              <w:jc w:val="right"/>
              <w:rPr>
                <w:sz w:val="18"/>
                <w:szCs w:val="18"/>
              </w:rPr>
            </w:pPr>
          </w:p>
          <w:p w14:paraId="2B431995" w14:textId="77777777" w:rsidR="007E1610" w:rsidRDefault="007E1610" w:rsidP="007E1610">
            <w:pPr>
              <w:widowControl w:val="0"/>
              <w:tabs>
                <w:tab w:val="center" w:pos="8647"/>
              </w:tabs>
              <w:autoSpaceDE w:val="0"/>
              <w:autoSpaceDN w:val="0"/>
              <w:adjustRightInd w:val="0"/>
              <w:jc w:val="right"/>
              <w:rPr>
                <w:sz w:val="18"/>
                <w:szCs w:val="18"/>
              </w:rPr>
            </w:pPr>
            <w:r>
              <w:rPr>
                <w:sz w:val="18"/>
                <w:szCs w:val="18"/>
              </w:rPr>
              <w:t>25,000</w:t>
            </w:r>
          </w:p>
        </w:tc>
        <w:tc>
          <w:tcPr>
            <w:tcW w:w="992" w:type="dxa"/>
          </w:tcPr>
          <w:p w14:paraId="483941C5" w14:textId="77777777" w:rsidR="007E1610" w:rsidRDefault="007E1610" w:rsidP="007E1610">
            <w:pPr>
              <w:widowControl w:val="0"/>
              <w:tabs>
                <w:tab w:val="center" w:pos="8647"/>
              </w:tabs>
              <w:autoSpaceDE w:val="0"/>
              <w:autoSpaceDN w:val="0"/>
              <w:adjustRightInd w:val="0"/>
              <w:jc w:val="right"/>
              <w:rPr>
                <w:sz w:val="18"/>
                <w:szCs w:val="18"/>
              </w:rPr>
            </w:pPr>
          </w:p>
          <w:p w14:paraId="579CF7D5" w14:textId="7B8EC93F" w:rsidR="007E1610" w:rsidRDefault="007E1610" w:rsidP="007E1610">
            <w:pPr>
              <w:widowControl w:val="0"/>
              <w:tabs>
                <w:tab w:val="center" w:pos="8647"/>
              </w:tabs>
              <w:autoSpaceDE w:val="0"/>
              <w:autoSpaceDN w:val="0"/>
              <w:adjustRightInd w:val="0"/>
              <w:jc w:val="right"/>
              <w:rPr>
                <w:sz w:val="18"/>
                <w:szCs w:val="18"/>
              </w:rPr>
            </w:pPr>
            <w:r>
              <w:rPr>
                <w:sz w:val="18"/>
                <w:szCs w:val="18"/>
              </w:rPr>
              <w:t>4,00</w:t>
            </w:r>
            <w:r w:rsidR="003867FD">
              <w:rPr>
                <w:sz w:val="18"/>
                <w:szCs w:val="18"/>
              </w:rPr>
              <w:t>0</w:t>
            </w:r>
          </w:p>
        </w:tc>
        <w:tc>
          <w:tcPr>
            <w:tcW w:w="993" w:type="dxa"/>
          </w:tcPr>
          <w:p w14:paraId="3BDC9B58" w14:textId="77777777" w:rsidR="007E1610" w:rsidRDefault="007E1610" w:rsidP="007E1610">
            <w:pPr>
              <w:widowControl w:val="0"/>
              <w:tabs>
                <w:tab w:val="center" w:pos="8647"/>
              </w:tabs>
              <w:autoSpaceDE w:val="0"/>
              <w:autoSpaceDN w:val="0"/>
              <w:adjustRightInd w:val="0"/>
              <w:jc w:val="right"/>
              <w:rPr>
                <w:sz w:val="18"/>
                <w:szCs w:val="18"/>
              </w:rPr>
            </w:pPr>
          </w:p>
          <w:p w14:paraId="19404734" w14:textId="77777777" w:rsidR="007E1610" w:rsidRDefault="007E1610" w:rsidP="007E1610">
            <w:pPr>
              <w:widowControl w:val="0"/>
              <w:tabs>
                <w:tab w:val="center" w:pos="8647"/>
              </w:tabs>
              <w:autoSpaceDE w:val="0"/>
              <w:autoSpaceDN w:val="0"/>
              <w:adjustRightInd w:val="0"/>
              <w:jc w:val="right"/>
              <w:rPr>
                <w:sz w:val="18"/>
                <w:szCs w:val="18"/>
              </w:rPr>
            </w:pPr>
            <w:r>
              <w:rPr>
                <w:sz w:val="18"/>
                <w:szCs w:val="18"/>
              </w:rPr>
              <w:t>90-95</w:t>
            </w:r>
          </w:p>
        </w:tc>
        <w:tc>
          <w:tcPr>
            <w:tcW w:w="992" w:type="dxa"/>
          </w:tcPr>
          <w:p w14:paraId="51F84D43" w14:textId="77777777" w:rsidR="007E1610" w:rsidRDefault="007E1610" w:rsidP="007E1610">
            <w:pPr>
              <w:widowControl w:val="0"/>
              <w:tabs>
                <w:tab w:val="center" w:pos="8647"/>
              </w:tabs>
              <w:autoSpaceDE w:val="0"/>
              <w:autoSpaceDN w:val="0"/>
              <w:adjustRightInd w:val="0"/>
              <w:jc w:val="right"/>
              <w:rPr>
                <w:sz w:val="18"/>
                <w:szCs w:val="18"/>
              </w:rPr>
            </w:pPr>
          </w:p>
          <w:p w14:paraId="3DB8E619" w14:textId="6B6434AD" w:rsidR="007E1610" w:rsidRDefault="007E1610" w:rsidP="007E1610">
            <w:pPr>
              <w:widowControl w:val="0"/>
              <w:tabs>
                <w:tab w:val="center" w:pos="8647"/>
              </w:tabs>
              <w:autoSpaceDE w:val="0"/>
              <w:autoSpaceDN w:val="0"/>
              <w:adjustRightInd w:val="0"/>
              <w:jc w:val="right"/>
              <w:rPr>
                <w:sz w:val="18"/>
                <w:szCs w:val="18"/>
              </w:rPr>
            </w:pPr>
            <w:r>
              <w:rPr>
                <w:sz w:val="18"/>
                <w:szCs w:val="18"/>
              </w:rPr>
              <w:t>10-15</w:t>
            </w:r>
          </w:p>
        </w:tc>
      </w:tr>
      <w:tr w:rsidR="007E1610" w:rsidRPr="00280EA2" w14:paraId="5821D5CE" w14:textId="77777777" w:rsidTr="00F61A65">
        <w:tc>
          <w:tcPr>
            <w:tcW w:w="2581" w:type="dxa"/>
            <w:vAlign w:val="center"/>
          </w:tcPr>
          <w:p w14:paraId="755264FA" w14:textId="77777777" w:rsidR="007E1610" w:rsidRDefault="007E1610" w:rsidP="007E1610">
            <w:pPr>
              <w:rPr>
                <w:b/>
                <w:sz w:val="18"/>
                <w:szCs w:val="18"/>
              </w:rPr>
            </w:pPr>
            <w:r>
              <w:rPr>
                <w:b/>
                <w:sz w:val="18"/>
                <w:szCs w:val="18"/>
              </w:rPr>
              <w:t>Dr Hannah Russell</w:t>
            </w:r>
          </w:p>
          <w:p w14:paraId="74F8C5A0" w14:textId="77777777" w:rsidR="007E1610" w:rsidRDefault="007E1610" w:rsidP="007E1610">
            <w:pPr>
              <w:rPr>
                <w:sz w:val="18"/>
                <w:szCs w:val="18"/>
              </w:rPr>
            </w:pPr>
            <w:r>
              <w:rPr>
                <w:sz w:val="18"/>
                <w:szCs w:val="18"/>
              </w:rPr>
              <w:t>Director</w:t>
            </w:r>
          </w:p>
          <w:p w14:paraId="06C2803E" w14:textId="77777777" w:rsidR="007E1610" w:rsidRPr="00C34C15" w:rsidRDefault="007E1610" w:rsidP="007E1610">
            <w:pPr>
              <w:rPr>
                <w:i/>
                <w:sz w:val="18"/>
                <w:szCs w:val="18"/>
              </w:rPr>
            </w:pPr>
            <w:r>
              <w:rPr>
                <w:i/>
                <w:sz w:val="18"/>
                <w:szCs w:val="18"/>
              </w:rPr>
              <w:t>(Until 4 November 2020)</w:t>
            </w:r>
          </w:p>
        </w:tc>
        <w:tc>
          <w:tcPr>
            <w:tcW w:w="850" w:type="dxa"/>
          </w:tcPr>
          <w:p w14:paraId="6EBE7A66" w14:textId="77777777" w:rsidR="007E1610" w:rsidRDefault="007E1610" w:rsidP="007E1610">
            <w:pPr>
              <w:widowControl w:val="0"/>
              <w:tabs>
                <w:tab w:val="center" w:pos="8647"/>
              </w:tabs>
              <w:autoSpaceDE w:val="0"/>
              <w:autoSpaceDN w:val="0"/>
              <w:adjustRightInd w:val="0"/>
              <w:jc w:val="right"/>
              <w:rPr>
                <w:sz w:val="18"/>
                <w:szCs w:val="18"/>
              </w:rPr>
            </w:pPr>
          </w:p>
          <w:p w14:paraId="1C6A9DE2" w14:textId="77777777" w:rsidR="007E1610" w:rsidRPr="001F61FA" w:rsidRDefault="007E1610" w:rsidP="007E1610">
            <w:pPr>
              <w:widowControl w:val="0"/>
              <w:tabs>
                <w:tab w:val="center" w:pos="8647"/>
              </w:tabs>
              <w:autoSpaceDE w:val="0"/>
              <w:autoSpaceDN w:val="0"/>
              <w:adjustRightInd w:val="0"/>
              <w:jc w:val="right"/>
              <w:rPr>
                <w:sz w:val="18"/>
                <w:szCs w:val="18"/>
              </w:rPr>
            </w:pPr>
            <w:r>
              <w:rPr>
                <w:sz w:val="18"/>
                <w:szCs w:val="18"/>
              </w:rPr>
              <w:t>-</w:t>
            </w:r>
          </w:p>
        </w:tc>
        <w:tc>
          <w:tcPr>
            <w:tcW w:w="851" w:type="dxa"/>
          </w:tcPr>
          <w:p w14:paraId="4137A046" w14:textId="77777777" w:rsidR="007E1610" w:rsidRDefault="007E1610" w:rsidP="007E1610">
            <w:pPr>
              <w:widowControl w:val="0"/>
              <w:tabs>
                <w:tab w:val="center" w:pos="8647"/>
              </w:tabs>
              <w:autoSpaceDE w:val="0"/>
              <w:autoSpaceDN w:val="0"/>
              <w:adjustRightInd w:val="0"/>
              <w:jc w:val="right"/>
              <w:rPr>
                <w:sz w:val="18"/>
                <w:szCs w:val="18"/>
              </w:rPr>
            </w:pPr>
          </w:p>
          <w:p w14:paraId="0E0C679D" w14:textId="77777777" w:rsidR="007E1610" w:rsidRPr="001F61FA" w:rsidRDefault="007E1610" w:rsidP="005C717D">
            <w:pPr>
              <w:widowControl w:val="0"/>
              <w:tabs>
                <w:tab w:val="center" w:pos="8647"/>
              </w:tabs>
              <w:autoSpaceDE w:val="0"/>
              <w:autoSpaceDN w:val="0"/>
              <w:adjustRightInd w:val="0"/>
              <w:jc w:val="right"/>
              <w:rPr>
                <w:sz w:val="18"/>
                <w:szCs w:val="18"/>
              </w:rPr>
            </w:pPr>
            <w:r>
              <w:rPr>
                <w:sz w:val="18"/>
                <w:szCs w:val="18"/>
              </w:rPr>
              <w:t>30-35</w:t>
            </w:r>
            <w:r>
              <w:rPr>
                <w:rStyle w:val="FootnoteReference"/>
                <w:sz w:val="18"/>
                <w:szCs w:val="18"/>
              </w:rPr>
              <w:footnoteReference w:id="13"/>
            </w:r>
          </w:p>
        </w:tc>
        <w:tc>
          <w:tcPr>
            <w:tcW w:w="850" w:type="dxa"/>
          </w:tcPr>
          <w:p w14:paraId="0CEF9EC5" w14:textId="77777777" w:rsidR="007E1610" w:rsidRDefault="007E1610" w:rsidP="007E1610">
            <w:pPr>
              <w:widowControl w:val="0"/>
              <w:tabs>
                <w:tab w:val="center" w:pos="8647"/>
              </w:tabs>
              <w:autoSpaceDE w:val="0"/>
              <w:autoSpaceDN w:val="0"/>
              <w:adjustRightInd w:val="0"/>
              <w:jc w:val="right"/>
              <w:rPr>
                <w:sz w:val="18"/>
                <w:szCs w:val="18"/>
              </w:rPr>
            </w:pPr>
          </w:p>
          <w:p w14:paraId="5FAAAFE6" w14:textId="77777777" w:rsidR="007E1610" w:rsidRDefault="007E1610" w:rsidP="007E1610">
            <w:pPr>
              <w:widowControl w:val="0"/>
              <w:tabs>
                <w:tab w:val="center" w:pos="8647"/>
              </w:tabs>
              <w:autoSpaceDE w:val="0"/>
              <w:autoSpaceDN w:val="0"/>
              <w:adjustRightInd w:val="0"/>
              <w:jc w:val="right"/>
              <w:rPr>
                <w:sz w:val="18"/>
                <w:szCs w:val="18"/>
              </w:rPr>
            </w:pPr>
            <w:r>
              <w:rPr>
                <w:sz w:val="18"/>
                <w:szCs w:val="18"/>
              </w:rPr>
              <w:t>-</w:t>
            </w:r>
          </w:p>
        </w:tc>
        <w:tc>
          <w:tcPr>
            <w:tcW w:w="851" w:type="dxa"/>
          </w:tcPr>
          <w:p w14:paraId="322AFD92" w14:textId="77777777" w:rsidR="007E1610" w:rsidRDefault="007E1610" w:rsidP="007E1610">
            <w:pPr>
              <w:widowControl w:val="0"/>
              <w:tabs>
                <w:tab w:val="center" w:pos="8647"/>
              </w:tabs>
              <w:autoSpaceDE w:val="0"/>
              <w:autoSpaceDN w:val="0"/>
              <w:adjustRightInd w:val="0"/>
              <w:jc w:val="right"/>
              <w:rPr>
                <w:sz w:val="18"/>
                <w:szCs w:val="18"/>
              </w:rPr>
            </w:pPr>
          </w:p>
          <w:p w14:paraId="364E9CE9" w14:textId="77777777" w:rsidR="007E1610" w:rsidRPr="001F61FA" w:rsidRDefault="007E1610" w:rsidP="007E1610">
            <w:pPr>
              <w:widowControl w:val="0"/>
              <w:tabs>
                <w:tab w:val="center" w:pos="8647"/>
              </w:tabs>
              <w:autoSpaceDE w:val="0"/>
              <w:autoSpaceDN w:val="0"/>
              <w:adjustRightInd w:val="0"/>
              <w:jc w:val="right"/>
              <w:rPr>
                <w:sz w:val="18"/>
                <w:szCs w:val="18"/>
              </w:rPr>
            </w:pPr>
            <w:r>
              <w:rPr>
                <w:sz w:val="18"/>
                <w:szCs w:val="18"/>
              </w:rPr>
              <w:t>-</w:t>
            </w:r>
          </w:p>
        </w:tc>
        <w:tc>
          <w:tcPr>
            <w:tcW w:w="992" w:type="dxa"/>
          </w:tcPr>
          <w:p w14:paraId="00E66C71" w14:textId="77777777" w:rsidR="007E1610" w:rsidRDefault="007E1610" w:rsidP="007E1610">
            <w:pPr>
              <w:widowControl w:val="0"/>
              <w:tabs>
                <w:tab w:val="center" w:pos="8647"/>
              </w:tabs>
              <w:autoSpaceDE w:val="0"/>
              <w:autoSpaceDN w:val="0"/>
              <w:adjustRightInd w:val="0"/>
              <w:jc w:val="right"/>
              <w:rPr>
                <w:sz w:val="18"/>
                <w:szCs w:val="18"/>
              </w:rPr>
            </w:pPr>
          </w:p>
          <w:p w14:paraId="22DADDB4" w14:textId="77777777" w:rsidR="007E1610" w:rsidRPr="001F61FA" w:rsidRDefault="007E1610" w:rsidP="007E1610">
            <w:pPr>
              <w:widowControl w:val="0"/>
              <w:tabs>
                <w:tab w:val="center" w:pos="8647"/>
              </w:tabs>
              <w:autoSpaceDE w:val="0"/>
              <w:autoSpaceDN w:val="0"/>
              <w:adjustRightInd w:val="0"/>
              <w:jc w:val="right"/>
              <w:rPr>
                <w:sz w:val="18"/>
                <w:szCs w:val="18"/>
              </w:rPr>
            </w:pPr>
            <w:r>
              <w:rPr>
                <w:sz w:val="18"/>
                <w:szCs w:val="18"/>
              </w:rPr>
              <w:t>-</w:t>
            </w:r>
          </w:p>
        </w:tc>
        <w:tc>
          <w:tcPr>
            <w:tcW w:w="992" w:type="dxa"/>
          </w:tcPr>
          <w:p w14:paraId="41781424" w14:textId="77777777" w:rsidR="007E1610" w:rsidRDefault="007E1610" w:rsidP="007E1610">
            <w:pPr>
              <w:widowControl w:val="0"/>
              <w:tabs>
                <w:tab w:val="center" w:pos="8647"/>
              </w:tabs>
              <w:autoSpaceDE w:val="0"/>
              <w:autoSpaceDN w:val="0"/>
              <w:adjustRightInd w:val="0"/>
              <w:jc w:val="right"/>
              <w:rPr>
                <w:sz w:val="18"/>
                <w:szCs w:val="18"/>
              </w:rPr>
            </w:pPr>
          </w:p>
          <w:p w14:paraId="36A96E93" w14:textId="3F89AC33" w:rsidR="007E1610" w:rsidRPr="001F61FA" w:rsidRDefault="007E1610" w:rsidP="005C717D">
            <w:pPr>
              <w:widowControl w:val="0"/>
              <w:tabs>
                <w:tab w:val="center" w:pos="8647"/>
              </w:tabs>
              <w:autoSpaceDE w:val="0"/>
              <w:autoSpaceDN w:val="0"/>
              <w:adjustRightInd w:val="0"/>
              <w:jc w:val="right"/>
              <w:rPr>
                <w:sz w:val="18"/>
                <w:szCs w:val="18"/>
              </w:rPr>
            </w:pPr>
            <w:r>
              <w:rPr>
                <w:sz w:val="18"/>
                <w:szCs w:val="18"/>
              </w:rPr>
              <w:t>13,00</w:t>
            </w:r>
            <w:r w:rsidR="005C717D">
              <w:rPr>
                <w:sz w:val="18"/>
                <w:szCs w:val="18"/>
              </w:rPr>
              <w:t>0</w:t>
            </w:r>
          </w:p>
        </w:tc>
        <w:tc>
          <w:tcPr>
            <w:tcW w:w="993" w:type="dxa"/>
          </w:tcPr>
          <w:p w14:paraId="1D03D61F" w14:textId="77777777" w:rsidR="007E1610" w:rsidRDefault="007E1610" w:rsidP="007E1610">
            <w:pPr>
              <w:widowControl w:val="0"/>
              <w:tabs>
                <w:tab w:val="center" w:pos="8647"/>
              </w:tabs>
              <w:autoSpaceDE w:val="0"/>
              <w:autoSpaceDN w:val="0"/>
              <w:adjustRightInd w:val="0"/>
              <w:jc w:val="right"/>
              <w:rPr>
                <w:sz w:val="18"/>
                <w:szCs w:val="18"/>
              </w:rPr>
            </w:pPr>
          </w:p>
          <w:p w14:paraId="373A1923" w14:textId="77777777" w:rsidR="007E1610" w:rsidRPr="001F61FA" w:rsidRDefault="007E1610" w:rsidP="007E1610">
            <w:pPr>
              <w:widowControl w:val="0"/>
              <w:tabs>
                <w:tab w:val="center" w:pos="8647"/>
              </w:tabs>
              <w:autoSpaceDE w:val="0"/>
              <w:autoSpaceDN w:val="0"/>
              <w:adjustRightInd w:val="0"/>
              <w:jc w:val="right"/>
              <w:rPr>
                <w:sz w:val="18"/>
                <w:szCs w:val="18"/>
              </w:rPr>
            </w:pPr>
            <w:r>
              <w:rPr>
                <w:sz w:val="18"/>
                <w:szCs w:val="18"/>
              </w:rPr>
              <w:t>-</w:t>
            </w:r>
          </w:p>
        </w:tc>
        <w:tc>
          <w:tcPr>
            <w:tcW w:w="992" w:type="dxa"/>
          </w:tcPr>
          <w:p w14:paraId="4AE31E31" w14:textId="77777777" w:rsidR="007E1610" w:rsidRDefault="007E1610" w:rsidP="007E1610">
            <w:pPr>
              <w:widowControl w:val="0"/>
              <w:tabs>
                <w:tab w:val="center" w:pos="8647"/>
              </w:tabs>
              <w:autoSpaceDE w:val="0"/>
              <w:autoSpaceDN w:val="0"/>
              <w:adjustRightInd w:val="0"/>
              <w:jc w:val="right"/>
              <w:rPr>
                <w:sz w:val="18"/>
                <w:szCs w:val="18"/>
              </w:rPr>
            </w:pPr>
          </w:p>
          <w:p w14:paraId="060A2CC6" w14:textId="7E66F5DF" w:rsidR="007E1610" w:rsidRDefault="007E1610" w:rsidP="007E1610">
            <w:pPr>
              <w:widowControl w:val="0"/>
              <w:tabs>
                <w:tab w:val="center" w:pos="8647"/>
              </w:tabs>
              <w:autoSpaceDE w:val="0"/>
              <w:autoSpaceDN w:val="0"/>
              <w:adjustRightInd w:val="0"/>
              <w:jc w:val="right"/>
              <w:rPr>
                <w:sz w:val="18"/>
                <w:szCs w:val="18"/>
              </w:rPr>
            </w:pPr>
            <w:r>
              <w:rPr>
                <w:sz w:val="18"/>
                <w:szCs w:val="18"/>
              </w:rPr>
              <w:t>45-50</w:t>
            </w:r>
          </w:p>
          <w:p w14:paraId="4F645BC8" w14:textId="77777777" w:rsidR="007E1610" w:rsidRPr="001F61FA" w:rsidRDefault="007E1610" w:rsidP="007E1610">
            <w:pPr>
              <w:widowControl w:val="0"/>
              <w:tabs>
                <w:tab w:val="center" w:pos="8647"/>
              </w:tabs>
              <w:autoSpaceDE w:val="0"/>
              <w:autoSpaceDN w:val="0"/>
              <w:adjustRightInd w:val="0"/>
              <w:jc w:val="right"/>
              <w:rPr>
                <w:sz w:val="18"/>
                <w:szCs w:val="18"/>
              </w:rPr>
            </w:pPr>
          </w:p>
        </w:tc>
      </w:tr>
    </w:tbl>
    <w:p w14:paraId="25142AFC" w14:textId="77777777" w:rsidR="00CF03F1" w:rsidRDefault="00CF03F1" w:rsidP="000C2A54">
      <w:pPr>
        <w:widowControl w:val="0"/>
        <w:tabs>
          <w:tab w:val="center" w:pos="8647"/>
        </w:tabs>
        <w:autoSpaceDE w:val="0"/>
        <w:autoSpaceDN w:val="0"/>
        <w:adjustRightInd w:val="0"/>
        <w:rPr>
          <w:color w:val="auto"/>
        </w:rPr>
      </w:pPr>
    </w:p>
    <w:p w14:paraId="11C1D5A6" w14:textId="77777777" w:rsidR="000C2A54" w:rsidRDefault="004C65CF" w:rsidP="000C2A54">
      <w:pPr>
        <w:widowControl w:val="0"/>
        <w:tabs>
          <w:tab w:val="center" w:pos="8647"/>
        </w:tabs>
        <w:autoSpaceDE w:val="0"/>
        <w:autoSpaceDN w:val="0"/>
        <w:adjustRightInd w:val="0"/>
        <w:rPr>
          <w:color w:val="auto"/>
        </w:rPr>
      </w:pPr>
      <w:r w:rsidRPr="009F0840">
        <w:rPr>
          <w:color w:val="auto"/>
        </w:rPr>
        <w:t>No pe</w:t>
      </w:r>
      <w:r w:rsidR="00855C80">
        <w:rPr>
          <w:color w:val="auto"/>
        </w:rPr>
        <w:t>rformance related pay or bonus payments</w:t>
      </w:r>
      <w:r w:rsidRPr="009F0840">
        <w:rPr>
          <w:color w:val="auto"/>
        </w:rPr>
        <w:t xml:space="preserve"> have been </w:t>
      </w:r>
      <w:r w:rsidR="00855C80">
        <w:rPr>
          <w:color w:val="auto"/>
        </w:rPr>
        <w:t>made</w:t>
      </w:r>
      <w:r w:rsidR="005C717D">
        <w:rPr>
          <w:color w:val="auto"/>
        </w:rPr>
        <w:t xml:space="preserve"> in 2021-22</w:t>
      </w:r>
      <w:r w:rsidR="008765D5">
        <w:rPr>
          <w:color w:val="auto"/>
        </w:rPr>
        <w:t xml:space="preserve"> (2020</w:t>
      </w:r>
      <w:r w:rsidR="005C717D">
        <w:rPr>
          <w:color w:val="auto"/>
        </w:rPr>
        <w:t>-21</w:t>
      </w:r>
      <w:r w:rsidRPr="009F0840">
        <w:rPr>
          <w:color w:val="auto"/>
        </w:rPr>
        <w:t xml:space="preserve">: </w:t>
      </w:r>
      <w:r w:rsidR="00856545">
        <w:rPr>
          <w:color w:val="auto"/>
        </w:rPr>
        <w:t>£</w:t>
      </w:r>
      <w:r w:rsidRPr="009F0840">
        <w:rPr>
          <w:color w:val="auto"/>
        </w:rPr>
        <w:t>nil).</w:t>
      </w:r>
    </w:p>
    <w:p w14:paraId="542DFB73" w14:textId="77777777" w:rsidR="00DE3AEE" w:rsidRPr="009F0840" w:rsidRDefault="00DE3AEE" w:rsidP="000C2A54">
      <w:pPr>
        <w:widowControl w:val="0"/>
        <w:tabs>
          <w:tab w:val="center" w:pos="8647"/>
        </w:tabs>
        <w:autoSpaceDE w:val="0"/>
        <w:autoSpaceDN w:val="0"/>
        <w:adjustRightInd w:val="0"/>
        <w:rPr>
          <w:color w:val="auto"/>
          <w:sz w:val="18"/>
          <w:szCs w:val="18"/>
        </w:rPr>
      </w:pPr>
    </w:p>
    <w:p w14:paraId="031442D2" w14:textId="77777777" w:rsidR="001E5939" w:rsidRDefault="001E5939" w:rsidP="000C2A54">
      <w:pPr>
        <w:rPr>
          <w:b/>
          <w:sz w:val="22"/>
          <w:szCs w:val="22"/>
        </w:rPr>
      </w:pPr>
    </w:p>
    <w:p w14:paraId="3B54362D" w14:textId="77777777" w:rsidR="000C2A54" w:rsidRDefault="00E80A5B" w:rsidP="000C2A54">
      <w:pPr>
        <w:rPr>
          <w:b/>
          <w:sz w:val="22"/>
          <w:szCs w:val="22"/>
        </w:rPr>
      </w:pPr>
      <w:r>
        <w:rPr>
          <w:b/>
          <w:sz w:val="22"/>
          <w:szCs w:val="22"/>
        </w:rPr>
        <w:t>Fair Pay Disclosure – (audited information)</w:t>
      </w:r>
    </w:p>
    <w:p w14:paraId="221C407E" w14:textId="1FE6C124" w:rsidR="000C2A54" w:rsidRDefault="000C2A54" w:rsidP="000C2A54">
      <w:pPr>
        <w:rPr>
          <w:color w:val="auto"/>
          <w:lang w:val="en-US"/>
        </w:rPr>
      </w:pPr>
    </w:p>
    <w:p w14:paraId="728C3DA5" w14:textId="7CEBA691" w:rsidR="00DC7D8F" w:rsidRDefault="00DC7D8F" w:rsidP="000C2A54">
      <w:pPr>
        <w:rPr>
          <w:color w:val="auto"/>
          <w:lang w:val="en-US"/>
        </w:rPr>
      </w:pPr>
    </w:p>
    <w:tbl>
      <w:tblPr>
        <w:tblStyle w:val="TableGrid"/>
        <w:tblW w:w="0" w:type="auto"/>
        <w:tblLook w:val="04A0" w:firstRow="1" w:lastRow="0" w:firstColumn="1" w:lastColumn="0" w:noHBand="0" w:noVBand="1"/>
      </w:tblPr>
      <w:tblGrid>
        <w:gridCol w:w="3020"/>
        <w:gridCol w:w="3020"/>
        <w:gridCol w:w="3021"/>
      </w:tblGrid>
      <w:tr w:rsidR="00A14CED" w14:paraId="58F70778" w14:textId="77777777" w:rsidTr="00ED406F">
        <w:tc>
          <w:tcPr>
            <w:tcW w:w="3020" w:type="dxa"/>
          </w:tcPr>
          <w:p w14:paraId="07640700" w14:textId="77777777" w:rsidR="00ED406F" w:rsidRDefault="00ED406F" w:rsidP="000C2A54">
            <w:pPr>
              <w:rPr>
                <w:color w:val="auto"/>
              </w:rPr>
            </w:pPr>
          </w:p>
        </w:tc>
        <w:tc>
          <w:tcPr>
            <w:tcW w:w="3020" w:type="dxa"/>
          </w:tcPr>
          <w:p w14:paraId="1D25970A" w14:textId="77777777" w:rsidR="00ED406F" w:rsidRDefault="00ED406F" w:rsidP="000C2A54">
            <w:pPr>
              <w:rPr>
                <w:color w:val="auto"/>
              </w:rPr>
            </w:pPr>
            <w:r>
              <w:rPr>
                <w:color w:val="auto"/>
              </w:rPr>
              <w:t>2021-22</w:t>
            </w:r>
          </w:p>
          <w:p w14:paraId="236D47FE" w14:textId="1ADCA152" w:rsidR="00D75ECC" w:rsidRDefault="00D75ECC" w:rsidP="000C2A54">
            <w:pPr>
              <w:rPr>
                <w:color w:val="auto"/>
              </w:rPr>
            </w:pPr>
          </w:p>
        </w:tc>
        <w:tc>
          <w:tcPr>
            <w:tcW w:w="3021" w:type="dxa"/>
          </w:tcPr>
          <w:p w14:paraId="326FAF92" w14:textId="728FD0A3" w:rsidR="00ED406F" w:rsidRDefault="00ED406F" w:rsidP="000C2A54">
            <w:pPr>
              <w:rPr>
                <w:color w:val="auto"/>
              </w:rPr>
            </w:pPr>
            <w:r>
              <w:rPr>
                <w:color w:val="auto"/>
              </w:rPr>
              <w:t>2020-21</w:t>
            </w:r>
          </w:p>
        </w:tc>
      </w:tr>
      <w:tr w:rsidR="00A14CED" w14:paraId="027A28FF" w14:textId="77777777" w:rsidTr="00ED406F">
        <w:tc>
          <w:tcPr>
            <w:tcW w:w="3020" w:type="dxa"/>
          </w:tcPr>
          <w:p w14:paraId="2B624CF5" w14:textId="77777777" w:rsidR="00ED406F" w:rsidRDefault="00ED406F" w:rsidP="000C2A54">
            <w:pPr>
              <w:rPr>
                <w:color w:val="auto"/>
              </w:rPr>
            </w:pPr>
            <w:r>
              <w:rPr>
                <w:color w:val="auto"/>
              </w:rPr>
              <w:t>Band of Highest Paid Director FTE Total Remuneration</w:t>
            </w:r>
          </w:p>
          <w:p w14:paraId="7729A972" w14:textId="42394D96" w:rsidR="00D75ECC" w:rsidRDefault="00D75ECC" w:rsidP="000C2A54">
            <w:pPr>
              <w:rPr>
                <w:color w:val="auto"/>
              </w:rPr>
            </w:pPr>
          </w:p>
        </w:tc>
        <w:tc>
          <w:tcPr>
            <w:tcW w:w="3020" w:type="dxa"/>
          </w:tcPr>
          <w:p w14:paraId="14568110" w14:textId="13C35556" w:rsidR="00ED406F" w:rsidRDefault="00863804" w:rsidP="000C2A54">
            <w:pPr>
              <w:rPr>
                <w:color w:val="auto"/>
              </w:rPr>
            </w:pPr>
            <w:r>
              <w:rPr>
                <w:color w:val="auto"/>
              </w:rPr>
              <w:t>£75,000-£80,000</w:t>
            </w:r>
          </w:p>
        </w:tc>
        <w:tc>
          <w:tcPr>
            <w:tcW w:w="3021" w:type="dxa"/>
          </w:tcPr>
          <w:p w14:paraId="55A20606" w14:textId="31FD92DF" w:rsidR="00ED406F" w:rsidRDefault="00863804" w:rsidP="000C2A54">
            <w:pPr>
              <w:rPr>
                <w:color w:val="auto"/>
              </w:rPr>
            </w:pPr>
            <w:r>
              <w:rPr>
                <w:color w:val="auto"/>
              </w:rPr>
              <w:t>£75,000-£80,000</w:t>
            </w:r>
          </w:p>
        </w:tc>
      </w:tr>
      <w:tr w:rsidR="00A14CED" w14:paraId="4B00B6AF" w14:textId="77777777" w:rsidTr="00ED406F">
        <w:tc>
          <w:tcPr>
            <w:tcW w:w="3020" w:type="dxa"/>
          </w:tcPr>
          <w:p w14:paraId="4DAEE28C" w14:textId="6F218D94" w:rsidR="00A50DA8" w:rsidRDefault="00950FF1" w:rsidP="000C2A54">
            <w:pPr>
              <w:rPr>
                <w:color w:val="auto"/>
              </w:rPr>
            </w:pPr>
            <w:r>
              <w:rPr>
                <w:color w:val="auto"/>
              </w:rPr>
              <w:t>Me</w:t>
            </w:r>
            <w:r w:rsidR="00A054D0">
              <w:rPr>
                <w:color w:val="auto"/>
              </w:rPr>
              <w:t>di</w:t>
            </w:r>
            <w:r>
              <w:rPr>
                <w:color w:val="auto"/>
              </w:rPr>
              <w:t>an Remuneration</w:t>
            </w:r>
          </w:p>
          <w:p w14:paraId="787AE5CD" w14:textId="3C09592D" w:rsidR="00D75ECC" w:rsidRDefault="00D75ECC" w:rsidP="000C2A54">
            <w:pPr>
              <w:rPr>
                <w:color w:val="auto"/>
              </w:rPr>
            </w:pPr>
          </w:p>
        </w:tc>
        <w:tc>
          <w:tcPr>
            <w:tcW w:w="3020" w:type="dxa"/>
          </w:tcPr>
          <w:p w14:paraId="61BA182C" w14:textId="2E6FD594" w:rsidR="00A50DA8" w:rsidRDefault="00950FF1" w:rsidP="000C2A54">
            <w:pPr>
              <w:rPr>
                <w:color w:val="auto"/>
              </w:rPr>
            </w:pPr>
            <w:r>
              <w:rPr>
                <w:color w:val="auto"/>
              </w:rPr>
              <w:t>1.</w:t>
            </w:r>
            <w:r w:rsidR="00A054D0">
              <w:rPr>
                <w:color w:val="auto"/>
              </w:rPr>
              <w:t>90</w:t>
            </w:r>
          </w:p>
          <w:p w14:paraId="69CA41D2" w14:textId="77777777" w:rsidR="00A054D0" w:rsidRDefault="00A054D0" w:rsidP="000C2A54">
            <w:pPr>
              <w:rPr>
                <w:color w:val="auto"/>
              </w:rPr>
            </w:pPr>
          </w:p>
          <w:p w14:paraId="79C7C471" w14:textId="3D307880" w:rsidR="00950FF1" w:rsidRDefault="00950FF1" w:rsidP="000C2A54">
            <w:pPr>
              <w:rPr>
                <w:color w:val="auto"/>
              </w:rPr>
            </w:pPr>
            <w:r>
              <w:rPr>
                <w:color w:val="auto"/>
              </w:rPr>
              <w:t>£4</w:t>
            </w:r>
            <w:r w:rsidR="00A054D0">
              <w:rPr>
                <w:color w:val="auto"/>
              </w:rPr>
              <w:t>0,711</w:t>
            </w:r>
          </w:p>
          <w:p w14:paraId="1DCEF478" w14:textId="52AE0A23" w:rsidR="00A054D0" w:rsidRDefault="00A054D0" w:rsidP="000C2A54">
            <w:pPr>
              <w:rPr>
                <w:color w:val="auto"/>
              </w:rPr>
            </w:pPr>
          </w:p>
        </w:tc>
        <w:tc>
          <w:tcPr>
            <w:tcW w:w="3021" w:type="dxa"/>
          </w:tcPr>
          <w:p w14:paraId="48824F8B" w14:textId="792AFE44" w:rsidR="00A50DA8" w:rsidRDefault="00572615" w:rsidP="000C2A54">
            <w:pPr>
              <w:rPr>
                <w:color w:val="auto"/>
              </w:rPr>
            </w:pPr>
            <w:r>
              <w:rPr>
                <w:color w:val="auto"/>
              </w:rPr>
              <w:t>1.99</w:t>
            </w:r>
          </w:p>
          <w:p w14:paraId="7212B4C6" w14:textId="77777777" w:rsidR="00A054D0" w:rsidRDefault="00A054D0" w:rsidP="000C2A54">
            <w:pPr>
              <w:rPr>
                <w:color w:val="auto"/>
              </w:rPr>
            </w:pPr>
          </w:p>
          <w:p w14:paraId="278550F9" w14:textId="4D827328" w:rsidR="00950FF1" w:rsidRDefault="00572615" w:rsidP="000C2A54">
            <w:pPr>
              <w:rPr>
                <w:color w:val="auto"/>
              </w:rPr>
            </w:pPr>
            <w:r>
              <w:rPr>
                <w:color w:val="auto"/>
              </w:rPr>
              <w:t>£38,964</w:t>
            </w:r>
          </w:p>
        </w:tc>
      </w:tr>
      <w:tr w:rsidR="00A14CED" w14:paraId="7D21D80A" w14:textId="77777777" w:rsidTr="00ED406F">
        <w:tc>
          <w:tcPr>
            <w:tcW w:w="3020" w:type="dxa"/>
          </w:tcPr>
          <w:p w14:paraId="70CB206F" w14:textId="652A3314" w:rsidR="00A50DA8" w:rsidRDefault="00950FF1" w:rsidP="000C2A54">
            <w:pPr>
              <w:rPr>
                <w:color w:val="auto"/>
              </w:rPr>
            </w:pPr>
            <w:r>
              <w:rPr>
                <w:color w:val="auto"/>
              </w:rPr>
              <w:t>Remuneration Range</w:t>
            </w:r>
          </w:p>
          <w:p w14:paraId="00028E8E" w14:textId="42EBF2B7" w:rsidR="00D75ECC" w:rsidRDefault="00D75ECC" w:rsidP="000C2A54">
            <w:pPr>
              <w:rPr>
                <w:color w:val="auto"/>
              </w:rPr>
            </w:pPr>
          </w:p>
        </w:tc>
        <w:tc>
          <w:tcPr>
            <w:tcW w:w="3020" w:type="dxa"/>
          </w:tcPr>
          <w:p w14:paraId="7D23940E" w14:textId="1576594D" w:rsidR="00A50DA8" w:rsidRDefault="00950FF1" w:rsidP="000C2A54">
            <w:pPr>
              <w:rPr>
                <w:color w:val="auto"/>
              </w:rPr>
            </w:pPr>
            <w:r>
              <w:rPr>
                <w:color w:val="auto"/>
              </w:rPr>
              <w:t>£22,000-£80,000</w:t>
            </w:r>
          </w:p>
        </w:tc>
        <w:tc>
          <w:tcPr>
            <w:tcW w:w="3021" w:type="dxa"/>
          </w:tcPr>
          <w:p w14:paraId="58F3DF50" w14:textId="72FF2938" w:rsidR="00A50DA8" w:rsidRDefault="00950FF1" w:rsidP="000C2A54">
            <w:pPr>
              <w:rPr>
                <w:color w:val="auto"/>
              </w:rPr>
            </w:pPr>
            <w:r>
              <w:rPr>
                <w:color w:val="auto"/>
              </w:rPr>
              <w:t>£23,000-£76,000</w:t>
            </w:r>
          </w:p>
        </w:tc>
      </w:tr>
      <w:tr w:rsidR="00A14CED" w14:paraId="4319F37D" w14:textId="77777777" w:rsidTr="00ED406F">
        <w:tc>
          <w:tcPr>
            <w:tcW w:w="3020" w:type="dxa"/>
          </w:tcPr>
          <w:p w14:paraId="427EAF05" w14:textId="62723F66" w:rsidR="00CA3328" w:rsidRDefault="00950FF1" w:rsidP="000C2A54">
            <w:pPr>
              <w:rPr>
                <w:color w:val="auto"/>
              </w:rPr>
            </w:pPr>
            <w:r>
              <w:rPr>
                <w:color w:val="auto"/>
              </w:rPr>
              <w:t>Percentage change in Director Salary</w:t>
            </w:r>
          </w:p>
          <w:p w14:paraId="0B2F3537" w14:textId="128CE6CB" w:rsidR="00D75ECC" w:rsidRDefault="00D75ECC" w:rsidP="000C2A54">
            <w:pPr>
              <w:rPr>
                <w:color w:val="auto"/>
              </w:rPr>
            </w:pPr>
          </w:p>
        </w:tc>
        <w:tc>
          <w:tcPr>
            <w:tcW w:w="3020" w:type="dxa"/>
          </w:tcPr>
          <w:p w14:paraId="2D1934A1" w14:textId="5984CA24" w:rsidR="00CA3328" w:rsidRDefault="00D455AF" w:rsidP="000C2A54">
            <w:pPr>
              <w:rPr>
                <w:color w:val="auto"/>
              </w:rPr>
            </w:pPr>
            <w:r>
              <w:rPr>
                <w:color w:val="auto"/>
              </w:rPr>
              <w:t>4.02</w:t>
            </w:r>
            <w:r w:rsidR="00950FF1">
              <w:rPr>
                <w:color w:val="auto"/>
              </w:rPr>
              <w:t>%</w:t>
            </w:r>
          </w:p>
        </w:tc>
        <w:tc>
          <w:tcPr>
            <w:tcW w:w="3021" w:type="dxa"/>
          </w:tcPr>
          <w:p w14:paraId="3B04E06D" w14:textId="2EC9F732" w:rsidR="00CA3328" w:rsidRDefault="00CA3328" w:rsidP="000C2A54">
            <w:pPr>
              <w:rPr>
                <w:color w:val="auto"/>
              </w:rPr>
            </w:pPr>
          </w:p>
        </w:tc>
      </w:tr>
      <w:tr w:rsidR="00A14CED" w14:paraId="71DED2BB" w14:textId="77777777" w:rsidTr="00ED406F">
        <w:tc>
          <w:tcPr>
            <w:tcW w:w="3020" w:type="dxa"/>
          </w:tcPr>
          <w:p w14:paraId="5B81D2FF" w14:textId="7880F3BD" w:rsidR="00CA3328" w:rsidRDefault="00950FF1" w:rsidP="000C2A54">
            <w:pPr>
              <w:rPr>
                <w:color w:val="auto"/>
              </w:rPr>
            </w:pPr>
            <w:r>
              <w:rPr>
                <w:color w:val="auto"/>
              </w:rPr>
              <w:t>Ratio between highest paid director and 25</w:t>
            </w:r>
            <w:r w:rsidRPr="00950FF1">
              <w:rPr>
                <w:color w:val="auto"/>
                <w:vertAlign w:val="superscript"/>
              </w:rPr>
              <w:t>th</w:t>
            </w:r>
            <w:r>
              <w:rPr>
                <w:color w:val="auto"/>
              </w:rPr>
              <w:t xml:space="preserve"> Percentile</w:t>
            </w:r>
          </w:p>
          <w:p w14:paraId="142D7FD6" w14:textId="279A0A17" w:rsidR="00D75ECC" w:rsidRDefault="00D75ECC" w:rsidP="000C2A54">
            <w:pPr>
              <w:rPr>
                <w:color w:val="auto"/>
              </w:rPr>
            </w:pPr>
          </w:p>
        </w:tc>
        <w:tc>
          <w:tcPr>
            <w:tcW w:w="3020" w:type="dxa"/>
          </w:tcPr>
          <w:p w14:paraId="308DF76E" w14:textId="6AB44546" w:rsidR="00CA3328" w:rsidRDefault="00A054D0" w:rsidP="000C2A54">
            <w:pPr>
              <w:rPr>
                <w:color w:val="auto"/>
              </w:rPr>
            </w:pPr>
            <w:r>
              <w:rPr>
                <w:color w:val="auto"/>
              </w:rPr>
              <w:t>2.40</w:t>
            </w:r>
          </w:p>
        </w:tc>
        <w:tc>
          <w:tcPr>
            <w:tcW w:w="3021" w:type="dxa"/>
          </w:tcPr>
          <w:p w14:paraId="515A03C3" w14:textId="379A0EBD" w:rsidR="00CA3328" w:rsidRDefault="00572615" w:rsidP="000C2A54">
            <w:pPr>
              <w:rPr>
                <w:color w:val="auto"/>
              </w:rPr>
            </w:pPr>
            <w:r>
              <w:rPr>
                <w:color w:val="auto"/>
              </w:rPr>
              <w:t>2.49</w:t>
            </w:r>
          </w:p>
        </w:tc>
      </w:tr>
      <w:tr w:rsidR="00A14CED" w14:paraId="5F0F1512" w14:textId="77777777" w:rsidTr="00ED406F">
        <w:tc>
          <w:tcPr>
            <w:tcW w:w="3020" w:type="dxa"/>
          </w:tcPr>
          <w:p w14:paraId="1571E876" w14:textId="28C26494" w:rsidR="00CA3328" w:rsidRDefault="00950FF1" w:rsidP="000C2A54">
            <w:pPr>
              <w:rPr>
                <w:color w:val="auto"/>
              </w:rPr>
            </w:pPr>
            <w:r>
              <w:rPr>
                <w:color w:val="auto"/>
              </w:rPr>
              <w:t>25</w:t>
            </w:r>
            <w:r w:rsidRPr="00950FF1">
              <w:rPr>
                <w:color w:val="auto"/>
                <w:vertAlign w:val="superscript"/>
              </w:rPr>
              <w:t>th</w:t>
            </w:r>
            <w:r>
              <w:rPr>
                <w:color w:val="auto"/>
              </w:rPr>
              <w:t xml:space="preserve"> Percentile Remuneration</w:t>
            </w:r>
          </w:p>
          <w:p w14:paraId="3B008A32" w14:textId="257505F2" w:rsidR="00D75ECC" w:rsidRDefault="00D75ECC" w:rsidP="000C2A54">
            <w:pPr>
              <w:rPr>
                <w:color w:val="auto"/>
              </w:rPr>
            </w:pPr>
          </w:p>
        </w:tc>
        <w:tc>
          <w:tcPr>
            <w:tcW w:w="3020" w:type="dxa"/>
          </w:tcPr>
          <w:p w14:paraId="1EC26CD1" w14:textId="5EF28011" w:rsidR="00CA3328" w:rsidRDefault="004F3F37" w:rsidP="000C2A54">
            <w:pPr>
              <w:rPr>
                <w:color w:val="auto"/>
              </w:rPr>
            </w:pPr>
            <w:r>
              <w:rPr>
                <w:color w:val="auto"/>
              </w:rPr>
              <w:t>£</w:t>
            </w:r>
            <w:r w:rsidR="00A054D0">
              <w:rPr>
                <w:color w:val="auto"/>
              </w:rPr>
              <w:t>32,328</w:t>
            </w:r>
          </w:p>
        </w:tc>
        <w:tc>
          <w:tcPr>
            <w:tcW w:w="3021" w:type="dxa"/>
          </w:tcPr>
          <w:p w14:paraId="23D560CC" w14:textId="6AEC673C" w:rsidR="00CA3328" w:rsidRDefault="00572615" w:rsidP="000C2A54">
            <w:pPr>
              <w:rPr>
                <w:color w:val="auto"/>
              </w:rPr>
            </w:pPr>
            <w:r>
              <w:rPr>
                <w:color w:val="auto"/>
              </w:rPr>
              <w:t>£31,137</w:t>
            </w:r>
          </w:p>
        </w:tc>
      </w:tr>
      <w:tr w:rsidR="00A14CED" w14:paraId="69508802" w14:textId="77777777" w:rsidTr="00ED406F">
        <w:tc>
          <w:tcPr>
            <w:tcW w:w="3020" w:type="dxa"/>
          </w:tcPr>
          <w:p w14:paraId="29D1B0A7" w14:textId="10A53C1E" w:rsidR="00664580" w:rsidRDefault="00950FF1" w:rsidP="000C2A54">
            <w:pPr>
              <w:rPr>
                <w:color w:val="auto"/>
              </w:rPr>
            </w:pPr>
            <w:r>
              <w:rPr>
                <w:color w:val="auto"/>
              </w:rPr>
              <w:t>Ratio between highest paid director and 75</w:t>
            </w:r>
            <w:r w:rsidRPr="00950FF1">
              <w:rPr>
                <w:color w:val="auto"/>
                <w:vertAlign w:val="superscript"/>
              </w:rPr>
              <w:t>th</w:t>
            </w:r>
            <w:r>
              <w:rPr>
                <w:color w:val="auto"/>
              </w:rPr>
              <w:t xml:space="preserve"> Percentile </w:t>
            </w:r>
          </w:p>
          <w:p w14:paraId="529E6C44" w14:textId="338253B2" w:rsidR="00D75ECC" w:rsidRDefault="00D75ECC" w:rsidP="000C2A54">
            <w:pPr>
              <w:rPr>
                <w:color w:val="auto"/>
              </w:rPr>
            </w:pPr>
          </w:p>
        </w:tc>
        <w:tc>
          <w:tcPr>
            <w:tcW w:w="3020" w:type="dxa"/>
          </w:tcPr>
          <w:p w14:paraId="22AC6172" w14:textId="0DBD21DA" w:rsidR="00664580" w:rsidRDefault="00A054D0" w:rsidP="000C2A54">
            <w:pPr>
              <w:rPr>
                <w:color w:val="auto"/>
              </w:rPr>
            </w:pPr>
            <w:r>
              <w:rPr>
                <w:color w:val="auto"/>
              </w:rPr>
              <w:t>1.49</w:t>
            </w:r>
          </w:p>
        </w:tc>
        <w:tc>
          <w:tcPr>
            <w:tcW w:w="3021" w:type="dxa"/>
          </w:tcPr>
          <w:p w14:paraId="4A2305BD" w14:textId="58472415" w:rsidR="00664580" w:rsidRDefault="00572615" w:rsidP="000C2A54">
            <w:pPr>
              <w:rPr>
                <w:color w:val="auto"/>
              </w:rPr>
            </w:pPr>
            <w:r>
              <w:rPr>
                <w:color w:val="auto"/>
              </w:rPr>
              <w:t>1.48</w:t>
            </w:r>
          </w:p>
        </w:tc>
      </w:tr>
      <w:tr w:rsidR="00950FF1" w14:paraId="5FF661E9" w14:textId="77777777" w:rsidTr="00ED406F">
        <w:tc>
          <w:tcPr>
            <w:tcW w:w="3020" w:type="dxa"/>
          </w:tcPr>
          <w:p w14:paraId="1B644822" w14:textId="6EB61387" w:rsidR="00950FF1" w:rsidRDefault="00950FF1" w:rsidP="000C2A54">
            <w:pPr>
              <w:rPr>
                <w:color w:val="auto"/>
              </w:rPr>
            </w:pPr>
            <w:r>
              <w:rPr>
                <w:color w:val="auto"/>
              </w:rPr>
              <w:t>75</w:t>
            </w:r>
            <w:r w:rsidRPr="00950FF1">
              <w:rPr>
                <w:color w:val="auto"/>
                <w:vertAlign w:val="superscript"/>
              </w:rPr>
              <w:t>th</w:t>
            </w:r>
            <w:r>
              <w:rPr>
                <w:color w:val="auto"/>
              </w:rPr>
              <w:t xml:space="preserve"> Percentile Remuneration</w:t>
            </w:r>
          </w:p>
        </w:tc>
        <w:tc>
          <w:tcPr>
            <w:tcW w:w="3020" w:type="dxa"/>
          </w:tcPr>
          <w:p w14:paraId="712FEEBB" w14:textId="19257ACF" w:rsidR="00950FF1" w:rsidRDefault="00950FF1" w:rsidP="000C2A54">
            <w:pPr>
              <w:rPr>
                <w:color w:val="auto"/>
              </w:rPr>
            </w:pPr>
            <w:r>
              <w:rPr>
                <w:color w:val="auto"/>
              </w:rPr>
              <w:t>£</w:t>
            </w:r>
            <w:r w:rsidR="00A054D0">
              <w:rPr>
                <w:color w:val="auto"/>
              </w:rPr>
              <w:t>52,026</w:t>
            </w:r>
          </w:p>
        </w:tc>
        <w:tc>
          <w:tcPr>
            <w:tcW w:w="3021" w:type="dxa"/>
          </w:tcPr>
          <w:p w14:paraId="56E6667B" w14:textId="5246EF58" w:rsidR="00950FF1" w:rsidRDefault="00572615" w:rsidP="000C2A54">
            <w:pPr>
              <w:rPr>
                <w:color w:val="auto"/>
              </w:rPr>
            </w:pPr>
            <w:r>
              <w:rPr>
                <w:color w:val="auto"/>
              </w:rPr>
              <w:t>£52,196</w:t>
            </w:r>
          </w:p>
        </w:tc>
      </w:tr>
    </w:tbl>
    <w:p w14:paraId="7761F206" w14:textId="77777777" w:rsidR="00592635" w:rsidRPr="002265A4" w:rsidRDefault="00592635" w:rsidP="000C2A54">
      <w:pPr>
        <w:rPr>
          <w:color w:val="auto"/>
          <w:lang w:val="en-US"/>
        </w:rPr>
      </w:pPr>
    </w:p>
    <w:p w14:paraId="30E2D912" w14:textId="77777777" w:rsidR="000C2A54" w:rsidRDefault="000C2A54" w:rsidP="000C2A54">
      <w:pPr>
        <w:rPr>
          <w:color w:val="auto"/>
          <w:lang w:val="en-US"/>
        </w:rPr>
      </w:pPr>
      <w:r w:rsidRPr="005B72C1">
        <w:rPr>
          <w:color w:val="auto"/>
          <w:lang w:val="en-US"/>
        </w:rPr>
        <w:t xml:space="preserve">Reporting bodies are required to disclose the relationship between the remuneration of the highest-paid </w:t>
      </w:r>
      <w:r w:rsidR="005D25E3">
        <w:rPr>
          <w:color w:val="auto"/>
          <w:lang w:val="en-US"/>
        </w:rPr>
        <w:t>director</w:t>
      </w:r>
      <w:r w:rsidR="005D25E3" w:rsidRPr="005B72C1">
        <w:rPr>
          <w:color w:val="auto"/>
          <w:lang w:val="en-US"/>
        </w:rPr>
        <w:t xml:space="preserve"> </w:t>
      </w:r>
      <w:r w:rsidRPr="005B72C1">
        <w:rPr>
          <w:color w:val="auto"/>
          <w:lang w:val="en-US"/>
        </w:rPr>
        <w:t>in their organisation and the median remuneration of the organisation’s workforce.</w:t>
      </w:r>
    </w:p>
    <w:p w14:paraId="09AE6354" w14:textId="77777777" w:rsidR="00150E9A" w:rsidRDefault="00150E9A" w:rsidP="000C2A54">
      <w:pPr>
        <w:rPr>
          <w:color w:val="auto"/>
          <w:lang w:val="en-US"/>
        </w:rPr>
      </w:pPr>
    </w:p>
    <w:p w14:paraId="0225548D" w14:textId="1073EE99" w:rsidR="00150E9A" w:rsidRDefault="00150E9A" w:rsidP="000C2A54">
      <w:pPr>
        <w:rPr>
          <w:color w:val="auto"/>
          <w:lang w:val="en-US"/>
        </w:rPr>
      </w:pPr>
      <w:r>
        <w:rPr>
          <w:color w:val="auto"/>
          <w:lang w:val="en-US"/>
        </w:rPr>
        <w:t xml:space="preserve">The calculations exclude the remuneration to the part-time Commissioners as their employment terms and conditions, including rates of remuneration are determined by the United Kingdom </w:t>
      </w:r>
      <w:r w:rsidR="00D33D70">
        <w:rPr>
          <w:color w:val="auto"/>
          <w:lang w:val="en-US"/>
        </w:rPr>
        <w:t>Government</w:t>
      </w:r>
      <w:r>
        <w:rPr>
          <w:color w:val="auto"/>
          <w:lang w:val="en-US"/>
        </w:rPr>
        <w:t xml:space="preserve"> and the </w:t>
      </w:r>
      <w:r w:rsidR="0097191B">
        <w:rPr>
          <w:color w:val="auto"/>
          <w:lang w:val="en-US"/>
        </w:rPr>
        <w:t>Northern Ireland Human Rights</w:t>
      </w:r>
      <w:r>
        <w:rPr>
          <w:color w:val="auto"/>
          <w:lang w:val="en-US"/>
        </w:rPr>
        <w:t xml:space="preserve"> Commission is unable to influence those rates</w:t>
      </w:r>
      <w:r w:rsidR="00FF1FA8">
        <w:rPr>
          <w:color w:val="auto"/>
          <w:lang w:val="en-US"/>
        </w:rPr>
        <w:t xml:space="preserve">. </w:t>
      </w:r>
      <w:r>
        <w:rPr>
          <w:color w:val="auto"/>
          <w:lang w:val="en-US"/>
        </w:rPr>
        <w:t>Details of their remuneration are provided above.</w:t>
      </w:r>
    </w:p>
    <w:p w14:paraId="6D296030" w14:textId="77777777" w:rsidR="005D25E3" w:rsidRDefault="005D25E3" w:rsidP="000C2A54">
      <w:pPr>
        <w:rPr>
          <w:color w:val="auto"/>
          <w:lang w:val="en-US"/>
        </w:rPr>
      </w:pPr>
    </w:p>
    <w:p w14:paraId="675C0FC4" w14:textId="6DD9A0E6" w:rsidR="005D25E3" w:rsidRDefault="005D25E3" w:rsidP="000C2A54">
      <w:pPr>
        <w:rPr>
          <w:color w:val="auto"/>
          <w:lang w:val="en-US"/>
        </w:rPr>
      </w:pPr>
      <w:r>
        <w:rPr>
          <w:color w:val="auto"/>
          <w:lang w:val="en-US"/>
        </w:rPr>
        <w:t xml:space="preserve">The banded remuneration of the highest-paid director in the organisation in the financial year </w:t>
      </w:r>
      <w:r w:rsidR="005C717D">
        <w:rPr>
          <w:color w:val="auto"/>
          <w:lang w:val="en-US"/>
        </w:rPr>
        <w:t>2021-22 was £75,000-£80,000 (</w:t>
      </w:r>
      <w:r>
        <w:rPr>
          <w:color w:val="auto"/>
          <w:lang w:val="en-US"/>
        </w:rPr>
        <w:t>20</w:t>
      </w:r>
      <w:r w:rsidR="00C34C15">
        <w:rPr>
          <w:color w:val="auto"/>
          <w:lang w:val="en-US"/>
        </w:rPr>
        <w:t>20</w:t>
      </w:r>
      <w:r w:rsidR="008765D5">
        <w:rPr>
          <w:color w:val="auto"/>
          <w:lang w:val="en-US"/>
        </w:rPr>
        <w:t>-21</w:t>
      </w:r>
      <w:r w:rsidR="005C717D">
        <w:rPr>
          <w:color w:val="auto"/>
          <w:lang w:val="en-US"/>
        </w:rPr>
        <w:t xml:space="preserve">: </w:t>
      </w:r>
      <w:r w:rsidR="00DE3AEE">
        <w:rPr>
          <w:color w:val="auto"/>
          <w:lang w:val="en-US"/>
        </w:rPr>
        <w:t>£</w:t>
      </w:r>
      <w:r w:rsidR="008765D5">
        <w:rPr>
          <w:color w:val="auto"/>
          <w:lang w:val="en-US"/>
        </w:rPr>
        <w:t>75,000-£80</w:t>
      </w:r>
      <w:r w:rsidR="00023AAA">
        <w:rPr>
          <w:color w:val="auto"/>
          <w:lang w:val="en-US"/>
        </w:rPr>
        <w:t>,000</w:t>
      </w:r>
      <w:r w:rsidR="000A30FB">
        <w:rPr>
          <w:color w:val="auto"/>
          <w:lang w:val="en-US"/>
        </w:rPr>
        <w:t xml:space="preserve">. </w:t>
      </w:r>
      <w:r w:rsidR="00F60144">
        <w:rPr>
          <w:color w:val="auto"/>
          <w:lang w:val="en-US"/>
        </w:rPr>
        <w:t xml:space="preserve">This was </w:t>
      </w:r>
      <w:r w:rsidR="005C717D">
        <w:rPr>
          <w:color w:val="auto"/>
          <w:lang w:val="en-US"/>
        </w:rPr>
        <w:t>1.</w:t>
      </w:r>
      <w:r w:rsidR="00127DA2">
        <w:rPr>
          <w:color w:val="auto"/>
          <w:lang w:val="en-US"/>
        </w:rPr>
        <w:t>90</w:t>
      </w:r>
      <w:r w:rsidR="005C717D">
        <w:rPr>
          <w:color w:val="auto"/>
          <w:lang w:val="en-US"/>
        </w:rPr>
        <w:t xml:space="preserve"> times </w:t>
      </w:r>
      <w:r w:rsidR="00F60144">
        <w:rPr>
          <w:color w:val="auto"/>
          <w:lang w:val="en-US"/>
        </w:rPr>
        <w:t xml:space="preserve">the median remuneration of the workforce, which was </w:t>
      </w:r>
      <w:r w:rsidR="005C717D">
        <w:rPr>
          <w:color w:val="auto"/>
          <w:lang w:val="en-US"/>
        </w:rPr>
        <w:t>£4</w:t>
      </w:r>
      <w:r w:rsidR="00572615">
        <w:rPr>
          <w:color w:val="auto"/>
          <w:lang w:val="en-US"/>
        </w:rPr>
        <w:t>0,711 (2020-21</w:t>
      </w:r>
      <w:r w:rsidR="00FA395A">
        <w:rPr>
          <w:color w:val="auto"/>
          <w:lang w:val="en-US"/>
        </w:rPr>
        <w:t>:</w:t>
      </w:r>
      <w:r w:rsidR="00572615">
        <w:rPr>
          <w:color w:val="auto"/>
          <w:lang w:val="en-US"/>
        </w:rPr>
        <w:t xml:space="preserve"> 1.99 times and £38,964)</w:t>
      </w:r>
      <w:r w:rsidR="00FF1FA8">
        <w:rPr>
          <w:color w:val="auto"/>
          <w:lang w:val="en-US"/>
        </w:rPr>
        <w:t xml:space="preserve">. </w:t>
      </w:r>
      <w:r w:rsidR="008479F2">
        <w:rPr>
          <w:color w:val="auto"/>
          <w:lang w:val="en-US"/>
        </w:rPr>
        <w:t>The incr</w:t>
      </w:r>
      <w:r w:rsidR="00E23DC5">
        <w:rPr>
          <w:color w:val="auto"/>
          <w:lang w:val="en-US"/>
        </w:rPr>
        <w:t>ease in the median was due to a salary increase as well as additional staff recruited in-year</w:t>
      </w:r>
      <w:r w:rsidR="00FF1FA8">
        <w:rPr>
          <w:color w:val="auto"/>
          <w:lang w:val="en-US"/>
        </w:rPr>
        <w:t xml:space="preserve">. </w:t>
      </w:r>
    </w:p>
    <w:p w14:paraId="51D5CC8F" w14:textId="77777777" w:rsidR="006D4EB9" w:rsidRDefault="006D4EB9" w:rsidP="000C2A54">
      <w:pPr>
        <w:rPr>
          <w:color w:val="auto"/>
          <w:lang w:val="en-US"/>
        </w:rPr>
      </w:pPr>
    </w:p>
    <w:p w14:paraId="12157B8B" w14:textId="06839047" w:rsidR="006D4EB9" w:rsidRDefault="006D4EB9" w:rsidP="000C2A54">
      <w:pPr>
        <w:rPr>
          <w:color w:val="auto"/>
          <w:lang w:val="en-US"/>
        </w:rPr>
      </w:pPr>
      <w:r>
        <w:rPr>
          <w:color w:val="auto"/>
          <w:lang w:val="en-US"/>
        </w:rPr>
        <w:t>Remuneration ra</w:t>
      </w:r>
      <w:r w:rsidR="003404D0">
        <w:rPr>
          <w:color w:val="auto"/>
          <w:lang w:val="en-US"/>
        </w:rPr>
        <w:t>nged from</w:t>
      </w:r>
      <w:r w:rsidR="0040697A">
        <w:rPr>
          <w:color w:val="auto"/>
          <w:lang w:val="en-US"/>
        </w:rPr>
        <w:t xml:space="preserve"> £22,000</w:t>
      </w:r>
      <w:r w:rsidR="00A054D0">
        <w:rPr>
          <w:color w:val="auto"/>
          <w:lang w:val="en-US"/>
        </w:rPr>
        <w:t>-£80</w:t>
      </w:r>
      <w:r w:rsidR="0040697A">
        <w:rPr>
          <w:color w:val="auto"/>
          <w:lang w:val="en-US"/>
        </w:rPr>
        <w:t>,000</w:t>
      </w:r>
      <w:r w:rsidR="003404D0">
        <w:rPr>
          <w:color w:val="auto"/>
          <w:lang w:val="en-US"/>
        </w:rPr>
        <w:t xml:space="preserve"> </w:t>
      </w:r>
      <w:r w:rsidR="00C0695B">
        <w:rPr>
          <w:color w:val="auto"/>
          <w:lang w:val="en-US"/>
        </w:rPr>
        <w:t xml:space="preserve">(2020-21: </w:t>
      </w:r>
      <w:r w:rsidR="00804A8F">
        <w:rPr>
          <w:color w:val="auto"/>
          <w:lang w:val="en-US"/>
        </w:rPr>
        <w:t>£2</w:t>
      </w:r>
      <w:r w:rsidR="00127DA2">
        <w:rPr>
          <w:color w:val="auto"/>
          <w:lang w:val="en-US"/>
        </w:rPr>
        <w:t>3</w:t>
      </w:r>
      <w:r w:rsidR="00804A8F">
        <w:rPr>
          <w:color w:val="auto"/>
          <w:lang w:val="en-US"/>
        </w:rPr>
        <w:t>,000</w:t>
      </w:r>
      <w:r w:rsidR="00A054D0">
        <w:rPr>
          <w:color w:val="auto"/>
          <w:lang w:val="en-US"/>
        </w:rPr>
        <w:t>-</w:t>
      </w:r>
      <w:r w:rsidR="0040697A">
        <w:rPr>
          <w:color w:val="auto"/>
          <w:lang w:val="en-US"/>
        </w:rPr>
        <w:t>£7</w:t>
      </w:r>
      <w:r w:rsidR="00A054D0">
        <w:rPr>
          <w:color w:val="auto"/>
          <w:lang w:val="en-US"/>
        </w:rPr>
        <w:t>6</w:t>
      </w:r>
      <w:r w:rsidR="0040697A">
        <w:rPr>
          <w:color w:val="auto"/>
          <w:lang w:val="en-US"/>
        </w:rPr>
        <w:t>,000</w:t>
      </w:r>
      <w:r w:rsidR="00804A8F">
        <w:rPr>
          <w:color w:val="auto"/>
          <w:lang w:val="en-US"/>
        </w:rPr>
        <w:t>)</w:t>
      </w:r>
      <w:r>
        <w:rPr>
          <w:color w:val="auto"/>
          <w:lang w:val="en-US"/>
        </w:rPr>
        <w:t>.</w:t>
      </w:r>
    </w:p>
    <w:p w14:paraId="6602E3B1" w14:textId="4ECA66A6" w:rsidR="00F618FC" w:rsidRDefault="00F618FC" w:rsidP="000C2A54">
      <w:pPr>
        <w:rPr>
          <w:color w:val="auto"/>
          <w:lang w:val="en-US"/>
        </w:rPr>
      </w:pPr>
    </w:p>
    <w:p w14:paraId="45D0C30C" w14:textId="7CB2C427" w:rsidR="00F618FC" w:rsidRDefault="00F618FC" w:rsidP="000C2A54">
      <w:pPr>
        <w:rPr>
          <w:color w:val="auto"/>
          <w:lang w:val="en-US"/>
        </w:rPr>
      </w:pPr>
      <w:r>
        <w:rPr>
          <w:color w:val="auto"/>
          <w:lang w:val="en-US"/>
        </w:rPr>
        <w:t xml:space="preserve">The percentage change </w:t>
      </w:r>
      <w:r w:rsidR="00D455AF">
        <w:rPr>
          <w:color w:val="auto"/>
          <w:lang w:val="en-US"/>
        </w:rPr>
        <w:t xml:space="preserve">from the previous financial year in respect of </w:t>
      </w:r>
      <w:r>
        <w:rPr>
          <w:color w:val="auto"/>
          <w:lang w:val="en-US"/>
        </w:rPr>
        <w:t xml:space="preserve">the highest paid director’s salary was </w:t>
      </w:r>
      <w:r w:rsidR="00D455AF">
        <w:rPr>
          <w:color w:val="auto"/>
          <w:lang w:val="en-US"/>
        </w:rPr>
        <w:t>4.02</w:t>
      </w:r>
      <w:r w:rsidR="005B20B7">
        <w:rPr>
          <w:color w:val="auto"/>
          <w:lang w:val="en-US"/>
        </w:rPr>
        <w:t xml:space="preserve"> per cent.</w:t>
      </w:r>
      <w:r w:rsidR="00DB0B31">
        <w:rPr>
          <w:color w:val="auto"/>
          <w:lang w:val="en-US"/>
        </w:rPr>
        <w:t xml:space="preserve"> </w:t>
      </w:r>
      <w:r w:rsidR="00EC2157">
        <w:rPr>
          <w:color w:val="auto"/>
          <w:lang w:val="en-US"/>
        </w:rPr>
        <w:t xml:space="preserve"> </w:t>
      </w:r>
      <w:r w:rsidR="00D455AF">
        <w:rPr>
          <w:color w:val="auto"/>
          <w:lang w:val="en-US"/>
        </w:rPr>
        <w:t xml:space="preserve">The average percentage change from the previous financial year in respect of the </w:t>
      </w:r>
      <w:r w:rsidR="00751592">
        <w:rPr>
          <w:color w:val="auto"/>
          <w:lang w:val="en-US"/>
        </w:rPr>
        <w:t>employees of the organization as a whole</w:t>
      </w:r>
      <w:r w:rsidR="00D455AF">
        <w:rPr>
          <w:color w:val="auto"/>
          <w:lang w:val="en-US"/>
        </w:rPr>
        <w:t xml:space="preserve"> was 6.34 per cent.  </w:t>
      </w:r>
      <w:r w:rsidR="00EC2157">
        <w:rPr>
          <w:color w:val="auto"/>
          <w:lang w:val="en-US"/>
        </w:rPr>
        <w:t>There was no performance pay and bonuses payable to the h</w:t>
      </w:r>
      <w:r w:rsidR="00460FDF">
        <w:rPr>
          <w:color w:val="auto"/>
          <w:lang w:val="en-US"/>
        </w:rPr>
        <w:t>ighest paid director in 2021-22 (2020-21: £nil).</w:t>
      </w:r>
      <w:r w:rsidR="00DB0B31">
        <w:rPr>
          <w:color w:val="auto"/>
          <w:lang w:val="en-US"/>
        </w:rPr>
        <w:t xml:space="preserve"> </w:t>
      </w:r>
    </w:p>
    <w:p w14:paraId="2BDD2B9B" w14:textId="303F6E67" w:rsidR="008C2357" w:rsidRDefault="008C2357" w:rsidP="000C2A54">
      <w:pPr>
        <w:rPr>
          <w:color w:val="auto"/>
          <w:lang w:val="en-US"/>
        </w:rPr>
      </w:pPr>
    </w:p>
    <w:p w14:paraId="0C7B29E8" w14:textId="100A1523" w:rsidR="008C2357" w:rsidRDefault="008C2357" w:rsidP="000C2A54">
      <w:pPr>
        <w:rPr>
          <w:color w:val="auto"/>
          <w:lang w:val="en-US"/>
        </w:rPr>
      </w:pPr>
      <w:r>
        <w:rPr>
          <w:color w:val="auto"/>
          <w:lang w:val="en-US"/>
        </w:rPr>
        <w:t>The ratio between the highest paid director</w:t>
      </w:r>
      <w:r w:rsidR="00CF7F78">
        <w:rPr>
          <w:color w:val="auto"/>
          <w:lang w:val="en-US"/>
        </w:rPr>
        <w:t xml:space="preserve">’s remuneration </w:t>
      </w:r>
      <w:r w:rsidR="00952D79">
        <w:rPr>
          <w:color w:val="auto"/>
          <w:lang w:val="en-US"/>
        </w:rPr>
        <w:t>and the pay of the employee on the 25</w:t>
      </w:r>
      <w:r w:rsidR="00952D79" w:rsidRPr="00952D79">
        <w:rPr>
          <w:color w:val="auto"/>
          <w:vertAlign w:val="superscript"/>
          <w:lang w:val="en-US"/>
        </w:rPr>
        <w:t>th</w:t>
      </w:r>
      <w:r w:rsidR="00952D79">
        <w:rPr>
          <w:color w:val="auto"/>
          <w:lang w:val="en-US"/>
        </w:rPr>
        <w:t xml:space="preserve"> percentile of pay of the organisation’s employees for the financial year was</w:t>
      </w:r>
      <w:r w:rsidR="002774EB">
        <w:rPr>
          <w:color w:val="auto"/>
          <w:lang w:val="en-US"/>
        </w:rPr>
        <w:t xml:space="preserve"> </w:t>
      </w:r>
      <w:r w:rsidR="00572615">
        <w:rPr>
          <w:color w:val="auto"/>
          <w:lang w:val="en-US"/>
        </w:rPr>
        <w:t>2.40</w:t>
      </w:r>
      <w:r w:rsidR="002774EB">
        <w:rPr>
          <w:color w:val="auto"/>
          <w:lang w:val="en-US"/>
        </w:rPr>
        <w:t>:</w:t>
      </w:r>
      <w:r w:rsidR="00301976">
        <w:rPr>
          <w:color w:val="auto"/>
          <w:lang w:val="en-US"/>
        </w:rPr>
        <w:t xml:space="preserve">1 (2020-21: </w:t>
      </w:r>
      <w:r w:rsidR="00FA395A">
        <w:rPr>
          <w:color w:val="auto"/>
          <w:lang w:val="en-US"/>
        </w:rPr>
        <w:t>2.49</w:t>
      </w:r>
      <w:r w:rsidR="00301976">
        <w:rPr>
          <w:color w:val="auto"/>
          <w:lang w:val="en-US"/>
        </w:rPr>
        <w:t>:1)</w:t>
      </w:r>
      <w:r w:rsidR="005F342F">
        <w:rPr>
          <w:color w:val="auto"/>
          <w:lang w:val="en-US"/>
        </w:rPr>
        <w:t>.  The ratio between the highest paid director’s remuneration and the pay and benefits of the employee on the 75</w:t>
      </w:r>
      <w:r w:rsidR="005F342F" w:rsidRPr="005F342F">
        <w:rPr>
          <w:color w:val="auto"/>
          <w:vertAlign w:val="superscript"/>
          <w:lang w:val="en-US"/>
        </w:rPr>
        <w:t>th</w:t>
      </w:r>
      <w:r w:rsidR="005F342F">
        <w:rPr>
          <w:color w:val="auto"/>
          <w:lang w:val="en-US"/>
        </w:rPr>
        <w:t xml:space="preserve"> percentile of pay of the organisation’s employees for the financial year was </w:t>
      </w:r>
      <w:r w:rsidR="00FA395A">
        <w:rPr>
          <w:color w:val="auto"/>
          <w:lang w:val="en-US"/>
        </w:rPr>
        <w:t>1.49</w:t>
      </w:r>
      <w:r w:rsidR="002774EB">
        <w:rPr>
          <w:color w:val="auto"/>
          <w:lang w:val="en-US"/>
        </w:rPr>
        <w:t>:</w:t>
      </w:r>
      <w:r w:rsidR="005F342F">
        <w:rPr>
          <w:color w:val="auto"/>
          <w:lang w:val="en-US"/>
        </w:rPr>
        <w:t xml:space="preserve">1 (2020-21: </w:t>
      </w:r>
      <w:r w:rsidR="00FA395A">
        <w:rPr>
          <w:color w:val="auto"/>
          <w:lang w:val="en-US"/>
        </w:rPr>
        <w:t>1.48</w:t>
      </w:r>
      <w:r w:rsidR="005F342F">
        <w:rPr>
          <w:color w:val="auto"/>
          <w:lang w:val="en-US"/>
        </w:rPr>
        <w:t>:1)</w:t>
      </w:r>
      <w:r w:rsidR="006A16F8">
        <w:rPr>
          <w:color w:val="auto"/>
          <w:lang w:val="en-US"/>
        </w:rPr>
        <w:t>.  The lower quartile remuneration (representing the 25</w:t>
      </w:r>
      <w:r w:rsidR="006A16F8" w:rsidRPr="006A16F8">
        <w:rPr>
          <w:color w:val="auto"/>
          <w:vertAlign w:val="superscript"/>
          <w:lang w:val="en-US"/>
        </w:rPr>
        <w:t>th</w:t>
      </w:r>
      <w:r w:rsidR="006A16F8">
        <w:rPr>
          <w:color w:val="auto"/>
          <w:lang w:val="en-US"/>
        </w:rPr>
        <w:t xml:space="preserve"> percentile of the linear distribution) was £</w:t>
      </w:r>
      <w:r w:rsidR="00FA395A">
        <w:rPr>
          <w:color w:val="auto"/>
          <w:lang w:val="en-US"/>
        </w:rPr>
        <w:t>32,328</w:t>
      </w:r>
      <w:r w:rsidR="003F655A">
        <w:rPr>
          <w:color w:val="auto"/>
          <w:lang w:val="en-US"/>
        </w:rPr>
        <w:t xml:space="preserve"> </w:t>
      </w:r>
      <w:r w:rsidR="006C1168">
        <w:rPr>
          <w:color w:val="auto"/>
          <w:lang w:val="en-US"/>
        </w:rPr>
        <w:t xml:space="preserve">(salary component) </w:t>
      </w:r>
      <w:r w:rsidR="003F655A">
        <w:rPr>
          <w:color w:val="auto"/>
          <w:lang w:val="en-US"/>
        </w:rPr>
        <w:t>and the upper quartile remuneration (representing the 75th percentile of the linear distribution) was £</w:t>
      </w:r>
      <w:r w:rsidR="00FA395A">
        <w:rPr>
          <w:color w:val="auto"/>
          <w:lang w:val="en-US"/>
        </w:rPr>
        <w:t>52,026</w:t>
      </w:r>
      <w:r w:rsidR="006C1168">
        <w:rPr>
          <w:color w:val="auto"/>
          <w:lang w:val="en-US"/>
        </w:rPr>
        <w:t xml:space="preserve"> (salary component)</w:t>
      </w:r>
      <w:r w:rsidR="00793D52">
        <w:rPr>
          <w:color w:val="auto"/>
          <w:lang w:val="en-US"/>
        </w:rPr>
        <w:t>.</w:t>
      </w:r>
    </w:p>
    <w:p w14:paraId="5D31450F" w14:textId="77777777" w:rsidR="000C2A54" w:rsidRPr="005B72C1" w:rsidRDefault="000C2A54" w:rsidP="000C2A54">
      <w:pPr>
        <w:rPr>
          <w:color w:val="auto"/>
          <w:lang w:val="en-US"/>
        </w:rPr>
      </w:pPr>
    </w:p>
    <w:p w14:paraId="463327D1" w14:textId="6589A714" w:rsidR="000C2A54" w:rsidRDefault="000C2A54" w:rsidP="000C2A54">
      <w:pPr>
        <w:rPr>
          <w:color w:val="auto"/>
          <w:lang w:val="en-US"/>
        </w:rPr>
      </w:pPr>
      <w:r w:rsidRPr="005B72C1">
        <w:rPr>
          <w:color w:val="auto"/>
          <w:lang w:val="en-US"/>
        </w:rPr>
        <w:t>Total remuneration includes salary, non-consol</w:t>
      </w:r>
      <w:r w:rsidR="00CD2C51">
        <w:rPr>
          <w:color w:val="auto"/>
          <w:lang w:val="en-US"/>
        </w:rPr>
        <w:t xml:space="preserve">idated performance-related pay and </w:t>
      </w:r>
      <w:r w:rsidRPr="005B72C1">
        <w:rPr>
          <w:color w:val="auto"/>
          <w:lang w:val="en-US"/>
        </w:rPr>
        <w:t>benefits in kind</w:t>
      </w:r>
      <w:r w:rsidR="00FF1FA8" w:rsidRPr="005B72C1">
        <w:rPr>
          <w:color w:val="auto"/>
          <w:lang w:val="en-US"/>
        </w:rPr>
        <w:t xml:space="preserve">. </w:t>
      </w:r>
      <w:r w:rsidRPr="005B72C1">
        <w:rPr>
          <w:color w:val="auto"/>
          <w:lang w:val="en-US"/>
        </w:rPr>
        <w:t>It does not include employer pension contributions and the cash equivalent transfer value of pensions.</w:t>
      </w:r>
    </w:p>
    <w:p w14:paraId="338B4ED3" w14:textId="77777777" w:rsidR="00BC2A47" w:rsidRPr="005B72C1" w:rsidRDefault="00BC2A47" w:rsidP="000C2A54">
      <w:pPr>
        <w:rPr>
          <w:color w:val="auto"/>
          <w:lang w:val="en-US"/>
        </w:rPr>
      </w:pPr>
    </w:p>
    <w:p w14:paraId="025BBC96" w14:textId="77777777" w:rsidR="00731FD6" w:rsidRDefault="00731FD6" w:rsidP="000C2A54">
      <w:pPr>
        <w:rPr>
          <w:color w:val="auto"/>
          <w:lang w:val="en-US"/>
        </w:rPr>
      </w:pPr>
      <w:r w:rsidRPr="005B72C1">
        <w:rPr>
          <w:color w:val="auto"/>
          <w:lang w:val="en-US"/>
        </w:rPr>
        <w:t>The</w:t>
      </w:r>
      <w:r w:rsidR="003404D0">
        <w:rPr>
          <w:color w:val="auto"/>
          <w:lang w:val="en-US"/>
        </w:rPr>
        <w:t xml:space="preserve">re was no severance pay in </w:t>
      </w:r>
      <w:r w:rsidR="00C0695B">
        <w:rPr>
          <w:color w:val="auto"/>
          <w:lang w:val="en-US"/>
        </w:rPr>
        <w:t>2021-22 (</w:t>
      </w:r>
      <w:r w:rsidR="003404D0">
        <w:rPr>
          <w:color w:val="auto"/>
          <w:lang w:val="en-US"/>
        </w:rPr>
        <w:t>20</w:t>
      </w:r>
      <w:r w:rsidR="00C34C15">
        <w:rPr>
          <w:color w:val="auto"/>
          <w:lang w:val="en-US"/>
        </w:rPr>
        <w:t>20</w:t>
      </w:r>
      <w:r w:rsidR="003404D0">
        <w:rPr>
          <w:color w:val="auto"/>
          <w:lang w:val="en-US"/>
        </w:rPr>
        <w:t>-21</w:t>
      </w:r>
      <w:r w:rsidR="00C0695B">
        <w:rPr>
          <w:color w:val="auto"/>
          <w:lang w:val="en-US"/>
        </w:rPr>
        <w:t>: £nil).</w:t>
      </w:r>
    </w:p>
    <w:p w14:paraId="145E885B" w14:textId="77777777" w:rsidR="00C34C15" w:rsidRPr="00D80497" w:rsidRDefault="00C34C15" w:rsidP="000C2A54">
      <w:pPr>
        <w:rPr>
          <w:color w:val="auto"/>
          <w:lang w:val="en-US"/>
        </w:rPr>
      </w:pPr>
    </w:p>
    <w:p w14:paraId="09A1D7F1" w14:textId="311D212C" w:rsidR="000C2A54" w:rsidRPr="00C87C4B" w:rsidRDefault="000C2A54" w:rsidP="000C2A54">
      <w:pPr>
        <w:pStyle w:val="Heading4"/>
        <w:spacing w:before="0" w:after="0"/>
        <w:rPr>
          <w:rFonts w:ascii="Verdana" w:hAnsi="Verdana"/>
          <w:b w:val="0"/>
          <w:bCs w:val="0"/>
          <w:snapToGrid w:val="0"/>
          <w:sz w:val="24"/>
          <w:szCs w:val="24"/>
        </w:rPr>
      </w:pPr>
      <w:r w:rsidRPr="005B72C1">
        <w:rPr>
          <w:rFonts w:ascii="Verdana" w:hAnsi="Verdana"/>
          <w:snapToGrid w:val="0"/>
          <w:sz w:val="24"/>
          <w:szCs w:val="24"/>
        </w:rPr>
        <w:t>Salary</w:t>
      </w:r>
      <w:r w:rsidR="00C87C4B">
        <w:rPr>
          <w:rFonts w:ascii="Verdana" w:hAnsi="Verdana"/>
          <w:snapToGrid w:val="0"/>
          <w:sz w:val="24"/>
          <w:szCs w:val="24"/>
        </w:rPr>
        <w:t xml:space="preserve"> </w:t>
      </w:r>
      <w:r w:rsidR="00C87C4B">
        <w:rPr>
          <w:rFonts w:ascii="Verdana" w:hAnsi="Verdana"/>
          <w:b w:val="0"/>
          <w:bCs w:val="0"/>
          <w:snapToGrid w:val="0"/>
          <w:sz w:val="24"/>
          <w:szCs w:val="24"/>
        </w:rPr>
        <w:t>(audited information)</w:t>
      </w:r>
    </w:p>
    <w:p w14:paraId="20E5EA9B" w14:textId="77777777" w:rsidR="000C2A54" w:rsidRPr="005B72C1" w:rsidRDefault="000C2A54" w:rsidP="000C2A54"/>
    <w:p w14:paraId="2F65FCAC" w14:textId="77777777" w:rsidR="000C2A54" w:rsidRDefault="000C2A54" w:rsidP="000C2A54">
      <w:pPr>
        <w:pStyle w:val="BodyTextIndent"/>
        <w:spacing w:after="0"/>
        <w:ind w:left="0"/>
      </w:pPr>
      <w:r w:rsidRPr="005B72C1">
        <w:t>‘Salary’ includes gross salary</w:t>
      </w:r>
      <w:r w:rsidR="00837A67">
        <w:t>,</w:t>
      </w:r>
      <w:r w:rsidRPr="005B72C1">
        <w:t xml:space="preserve"> overtime; and any other allowance subject to UK taxation.</w:t>
      </w:r>
      <w:r w:rsidR="00837A67">
        <w:t xml:space="preserve"> </w:t>
      </w:r>
      <w:r w:rsidR="00855C80">
        <w:t xml:space="preserve"> </w:t>
      </w:r>
      <w:r w:rsidR="006507A8">
        <w:t>N</w:t>
      </w:r>
      <w:r w:rsidR="00837A67">
        <w:t xml:space="preserve">o </w:t>
      </w:r>
      <w:r w:rsidR="00837A67" w:rsidRPr="005B72C1">
        <w:t xml:space="preserve">performance </w:t>
      </w:r>
      <w:r w:rsidR="00855C80">
        <w:t xml:space="preserve">related </w:t>
      </w:r>
      <w:r w:rsidR="00837A67" w:rsidRPr="005B72C1">
        <w:t xml:space="preserve">pay </w:t>
      </w:r>
      <w:r w:rsidR="006507A8">
        <w:t>or bonus payments</w:t>
      </w:r>
      <w:r w:rsidR="00837A67">
        <w:t xml:space="preserve"> </w:t>
      </w:r>
      <w:r w:rsidR="006507A8">
        <w:t>were made</w:t>
      </w:r>
      <w:r w:rsidR="00837A67">
        <w:t xml:space="preserve"> in year</w:t>
      </w:r>
      <w:r w:rsidR="003404D0">
        <w:t xml:space="preserve"> (20</w:t>
      </w:r>
      <w:r w:rsidR="00C0695B">
        <w:t>20-21</w:t>
      </w:r>
      <w:r w:rsidR="006507A8">
        <w:t>: £nil)</w:t>
      </w:r>
      <w:r w:rsidR="00837A67">
        <w:t>.</w:t>
      </w:r>
      <w:r w:rsidR="005E65EC">
        <w:t xml:space="preserve">  </w:t>
      </w:r>
      <w:r w:rsidRPr="005B72C1">
        <w:t>This report is based on accrued payments made by the Commission and thus recorded in these accounts.</w:t>
      </w:r>
    </w:p>
    <w:p w14:paraId="769B2D72" w14:textId="77777777" w:rsidR="00BB14FC" w:rsidRPr="005B72C1" w:rsidRDefault="00BB14FC" w:rsidP="000C2A54">
      <w:pPr>
        <w:pStyle w:val="BodyTextIndent"/>
        <w:spacing w:after="0"/>
        <w:ind w:left="0"/>
      </w:pPr>
    </w:p>
    <w:p w14:paraId="3A2B5BE3" w14:textId="319904A0" w:rsidR="000C2A54" w:rsidRPr="00C87C4B" w:rsidRDefault="000C2A54" w:rsidP="000C2A54">
      <w:pPr>
        <w:pStyle w:val="Heading4"/>
        <w:spacing w:before="0" w:after="0"/>
        <w:rPr>
          <w:rFonts w:ascii="Verdana" w:hAnsi="Verdana"/>
          <w:b w:val="0"/>
          <w:bCs w:val="0"/>
          <w:snapToGrid w:val="0"/>
          <w:sz w:val="24"/>
          <w:szCs w:val="24"/>
        </w:rPr>
      </w:pPr>
      <w:r w:rsidRPr="005B72C1">
        <w:rPr>
          <w:rFonts w:ascii="Verdana" w:hAnsi="Verdana"/>
          <w:snapToGrid w:val="0"/>
          <w:sz w:val="24"/>
          <w:szCs w:val="24"/>
        </w:rPr>
        <w:t>Benefits in kind</w:t>
      </w:r>
      <w:r w:rsidR="00C87C4B">
        <w:rPr>
          <w:rFonts w:ascii="Verdana" w:hAnsi="Verdana"/>
          <w:snapToGrid w:val="0"/>
          <w:sz w:val="24"/>
          <w:szCs w:val="24"/>
        </w:rPr>
        <w:t xml:space="preserve"> </w:t>
      </w:r>
      <w:r w:rsidR="00C87C4B">
        <w:rPr>
          <w:rFonts w:ascii="Verdana" w:hAnsi="Verdana"/>
          <w:b w:val="0"/>
          <w:bCs w:val="0"/>
          <w:snapToGrid w:val="0"/>
          <w:sz w:val="24"/>
          <w:szCs w:val="24"/>
        </w:rPr>
        <w:t>(audited information)</w:t>
      </w:r>
    </w:p>
    <w:p w14:paraId="2C70D57A" w14:textId="77777777" w:rsidR="000C2A54" w:rsidRPr="005B72C1" w:rsidRDefault="000C2A54" w:rsidP="000C2A54">
      <w:pPr>
        <w:rPr>
          <w:lang w:val="en-US"/>
        </w:rPr>
      </w:pPr>
    </w:p>
    <w:p w14:paraId="7FBA8421" w14:textId="77777777" w:rsidR="000C2A54" w:rsidRPr="00D80497" w:rsidRDefault="000C2A54" w:rsidP="000C2A54">
      <w:pPr>
        <w:widowControl w:val="0"/>
        <w:tabs>
          <w:tab w:val="left" w:pos="567"/>
          <w:tab w:val="left" w:pos="3075"/>
        </w:tabs>
        <w:autoSpaceDE w:val="0"/>
        <w:autoSpaceDN w:val="0"/>
        <w:adjustRightInd w:val="0"/>
        <w:rPr>
          <w:rFonts w:cs="Arial"/>
        </w:rPr>
      </w:pPr>
      <w:r w:rsidRPr="005B72C1">
        <w:rPr>
          <w:snapToGrid w:val="0"/>
        </w:rPr>
        <w:t xml:space="preserve">The monetary value of benefits in kind covers any benefits provided by the employer and treated by HM Revenue and Customs as a taxable emolument (salary).   </w:t>
      </w:r>
      <w:r w:rsidRPr="005B72C1">
        <w:rPr>
          <w:rFonts w:cs="Arial"/>
        </w:rPr>
        <w:t>Mileage Allowance Payments for Commissioners are classed as a benefit in kind and relate to the use of their own vehicles for travel to the Commission’s office for meetings.</w:t>
      </w:r>
      <w:r w:rsidRPr="00D80497">
        <w:rPr>
          <w:rFonts w:cs="Arial"/>
        </w:rPr>
        <w:t xml:space="preserve">   </w:t>
      </w:r>
    </w:p>
    <w:p w14:paraId="316BEBE3" w14:textId="77777777" w:rsidR="000C2A54" w:rsidRPr="00D80497" w:rsidRDefault="000C2A54" w:rsidP="000C2A54">
      <w:pPr>
        <w:widowControl w:val="0"/>
        <w:tabs>
          <w:tab w:val="left" w:pos="567"/>
          <w:tab w:val="left" w:pos="3075"/>
        </w:tabs>
        <w:autoSpaceDE w:val="0"/>
        <w:autoSpaceDN w:val="0"/>
        <w:adjustRightInd w:val="0"/>
        <w:rPr>
          <w:snapToGrid w:val="0"/>
        </w:rPr>
      </w:pPr>
    </w:p>
    <w:p w14:paraId="14452DB9" w14:textId="77777777" w:rsidR="000C2A54" w:rsidRDefault="000C2A54" w:rsidP="000C2A54">
      <w:pPr>
        <w:widowControl w:val="0"/>
        <w:tabs>
          <w:tab w:val="left" w:pos="567"/>
          <w:tab w:val="left" w:pos="3075"/>
        </w:tabs>
        <w:autoSpaceDE w:val="0"/>
        <w:autoSpaceDN w:val="0"/>
        <w:adjustRightInd w:val="0"/>
      </w:pPr>
      <w:r w:rsidRPr="006269AD">
        <w:t>Benefits in kind paid</w:t>
      </w:r>
      <w:r w:rsidR="00C0695B">
        <w:t xml:space="preserve"> during the 20</w:t>
      </w:r>
      <w:r w:rsidR="003404D0">
        <w:t>21</w:t>
      </w:r>
      <w:r w:rsidR="00C0695B">
        <w:t>-22</w:t>
      </w:r>
      <w:r w:rsidRPr="006269AD">
        <w:t xml:space="preserve"> financial year were </w:t>
      </w:r>
      <w:r w:rsidR="00C0695B">
        <w:t>£</w:t>
      </w:r>
      <w:r w:rsidR="0048363E">
        <w:t>152 (</w:t>
      </w:r>
      <w:r w:rsidR="00C0695B">
        <w:t>2020-21</w:t>
      </w:r>
      <w:r w:rsidRPr="006269AD">
        <w:t>: £</w:t>
      </w:r>
      <w:r w:rsidR="00C0695B">
        <w:t>120</w:t>
      </w:r>
      <w:r w:rsidRPr="006269AD">
        <w:t>).</w:t>
      </w:r>
    </w:p>
    <w:p w14:paraId="3CF7C5E8" w14:textId="77777777" w:rsidR="005E65EC" w:rsidRDefault="005E65EC" w:rsidP="000C2A54">
      <w:pPr>
        <w:widowControl w:val="0"/>
        <w:tabs>
          <w:tab w:val="left" w:pos="567"/>
          <w:tab w:val="left" w:pos="3075"/>
        </w:tabs>
        <w:autoSpaceDE w:val="0"/>
        <w:autoSpaceDN w:val="0"/>
        <w:adjustRightInd w:val="0"/>
      </w:pPr>
    </w:p>
    <w:p w14:paraId="08703BDD" w14:textId="7E448035" w:rsidR="005E65EC" w:rsidRDefault="005E65EC" w:rsidP="000C2A54">
      <w:pPr>
        <w:widowControl w:val="0"/>
        <w:tabs>
          <w:tab w:val="left" w:pos="567"/>
          <w:tab w:val="left" w:pos="3075"/>
        </w:tabs>
        <w:autoSpaceDE w:val="0"/>
        <w:autoSpaceDN w:val="0"/>
        <w:adjustRightInd w:val="0"/>
      </w:pPr>
      <w:r>
        <w:t>There were no non-cash benefits made during the</w:t>
      </w:r>
      <w:r w:rsidR="003404D0">
        <w:t xml:space="preserve"> 2021</w:t>
      </w:r>
      <w:r w:rsidR="00C0695B">
        <w:t>-22</w:t>
      </w:r>
      <w:r w:rsidR="003404D0">
        <w:t xml:space="preserve"> financial year (20</w:t>
      </w:r>
      <w:r w:rsidR="00C0695B">
        <w:t>20-21</w:t>
      </w:r>
      <w:r>
        <w:t>: None)</w:t>
      </w:r>
      <w:r w:rsidR="00234EB0">
        <w:t>.</w:t>
      </w:r>
    </w:p>
    <w:p w14:paraId="54B533F2" w14:textId="77777777" w:rsidR="00DE3AEE" w:rsidRPr="005B72C1" w:rsidRDefault="00DE3AEE" w:rsidP="000C2A54">
      <w:pPr>
        <w:widowControl w:val="0"/>
        <w:tabs>
          <w:tab w:val="left" w:pos="567"/>
          <w:tab w:val="left" w:pos="3075"/>
        </w:tabs>
        <w:autoSpaceDE w:val="0"/>
        <w:autoSpaceDN w:val="0"/>
        <w:adjustRightInd w:val="0"/>
        <w:rPr>
          <w:highlight w:val="yellow"/>
        </w:rPr>
      </w:pPr>
    </w:p>
    <w:p w14:paraId="4696C0A0" w14:textId="77777777" w:rsidR="000C2A54" w:rsidRPr="006269AD" w:rsidRDefault="000C2A54" w:rsidP="000C2A54">
      <w:pPr>
        <w:pStyle w:val="Heading4"/>
        <w:spacing w:before="0" w:after="0"/>
        <w:rPr>
          <w:rFonts w:ascii="Verdana" w:hAnsi="Verdana"/>
          <w:b w:val="0"/>
          <w:sz w:val="24"/>
          <w:szCs w:val="24"/>
        </w:rPr>
      </w:pPr>
      <w:r w:rsidRPr="006269AD">
        <w:rPr>
          <w:rFonts w:ascii="Verdana" w:hAnsi="Verdana"/>
          <w:snapToGrid w:val="0"/>
          <w:sz w:val="24"/>
          <w:szCs w:val="24"/>
        </w:rPr>
        <w:t xml:space="preserve">Pension benefits </w:t>
      </w:r>
      <w:r w:rsidRPr="006269AD">
        <w:rPr>
          <w:rFonts w:ascii="Verdana" w:hAnsi="Verdana"/>
          <w:b w:val="0"/>
          <w:sz w:val="24"/>
          <w:szCs w:val="24"/>
        </w:rPr>
        <w:t>(audited information)</w:t>
      </w:r>
    </w:p>
    <w:p w14:paraId="2068A1AE" w14:textId="77777777" w:rsidR="000C2A54" w:rsidRPr="006269AD" w:rsidRDefault="000C2A54" w:rsidP="000C2A54">
      <w:pPr>
        <w:pStyle w:val="Heading4"/>
        <w:spacing w:before="0" w:after="0"/>
        <w:rPr>
          <w:rFonts w:ascii="Verdana" w:hAnsi="Verdana"/>
          <w:b w:val="0"/>
          <w:sz w:val="24"/>
          <w:szCs w:val="24"/>
        </w:rPr>
      </w:pPr>
    </w:p>
    <w:p w14:paraId="690F44BC" w14:textId="77777777" w:rsidR="000C2A54" w:rsidRPr="006269AD" w:rsidRDefault="000C2A54" w:rsidP="000C2A54">
      <w:pPr>
        <w:pStyle w:val="Heading4"/>
        <w:spacing w:before="0" w:after="0"/>
        <w:rPr>
          <w:rFonts w:ascii="Verdana" w:hAnsi="Verdana"/>
          <w:b w:val="0"/>
          <w:sz w:val="24"/>
          <w:szCs w:val="24"/>
          <w:u w:val="single"/>
        </w:rPr>
      </w:pPr>
      <w:r w:rsidRPr="006269AD">
        <w:rPr>
          <w:rFonts w:ascii="Verdana" w:hAnsi="Verdana"/>
          <w:b w:val="0"/>
          <w:sz w:val="24"/>
          <w:szCs w:val="24"/>
          <w:u w:val="single"/>
        </w:rPr>
        <w:t>Commissioners</w:t>
      </w:r>
    </w:p>
    <w:p w14:paraId="09CCC6CD" w14:textId="77777777" w:rsidR="000C2A54" w:rsidRPr="006269AD" w:rsidRDefault="000C2A54" w:rsidP="000C2A54">
      <w:pPr>
        <w:widowControl w:val="0"/>
        <w:tabs>
          <w:tab w:val="right" w:pos="5103"/>
          <w:tab w:val="right" w:pos="7371"/>
        </w:tabs>
        <w:autoSpaceDE w:val="0"/>
        <w:autoSpaceDN w:val="0"/>
        <w:adjustRightInd w:val="0"/>
      </w:pPr>
    </w:p>
    <w:p w14:paraId="0FF36C89" w14:textId="77777777" w:rsidR="000C2A54" w:rsidRPr="00D80497" w:rsidRDefault="000C2A54" w:rsidP="000C2A54">
      <w:pPr>
        <w:widowControl w:val="0"/>
        <w:tabs>
          <w:tab w:val="right" w:pos="5103"/>
          <w:tab w:val="right" w:pos="7371"/>
        </w:tabs>
        <w:autoSpaceDE w:val="0"/>
        <w:autoSpaceDN w:val="0"/>
        <w:adjustRightInd w:val="0"/>
      </w:pPr>
      <w:r>
        <w:t>The Chief Commissioner is eligible to join the Principal Civil Service Pension Scheme and the Commission paid employer pension contributions of</w:t>
      </w:r>
      <w:r w:rsidR="0048363E">
        <w:t xml:space="preserve"> £21,441 (</w:t>
      </w:r>
      <w:r w:rsidR="00A83114">
        <w:t>£9,250</w:t>
      </w:r>
      <w:r w:rsidR="0048363E">
        <w:t xml:space="preserve"> for the ex</w:t>
      </w:r>
      <w:r w:rsidR="0078447A">
        <w:t>-</w:t>
      </w:r>
      <w:r w:rsidR="00A83114">
        <w:t>Chief Commissioner for the period 1 April 2021 to 31 August 2021; and £12,191</w:t>
      </w:r>
      <w:r w:rsidR="0048363E">
        <w:t xml:space="preserve"> for the new Chief Commissioner</w:t>
      </w:r>
      <w:r w:rsidR="00A83114">
        <w:t xml:space="preserve"> for the period 1 September 2021 to 31 March 2022) </w:t>
      </w:r>
      <w:r w:rsidR="00C0695B">
        <w:t>(2020-21: £21,328</w:t>
      </w:r>
      <w:r w:rsidR="00A7412A">
        <w:t>)</w:t>
      </w:r>
      <w:r w:rsidR="00636AA4">
        <w:t xml:space="preserve">.  </w:t>
      </w:r>
    </w:p>
    <w:p w14:paraId="089770E1" w14:textId="77777777" w:rsidR="000C2A54" w:rsidRPr="00D80497" w:rsidRDefault="000C2A54" w:rsidP="000C2A54">
      <w:pPr>
        <w:widowControl w:val="0"/>
        <w:tabs>
          <w:tab w:val="right" w:pos="5103"/>
          <w:tab w:val="right" w:pos="7371"/>
        </w:tabs>
        <w:autoSpaceDE w:val="0"/>
        <w:autoSpaceDN w:val="0"/>
        <w:adjustRightInd w:val="0"/>
      </w:pPr>
    </w:p>
    <w:p w14:paraId="34D2288D" w14:textId="77777777" w:rsidR="000C2A54" w:rsidRPr="005B72C1" w:rsidRDefault="000C2A54" w:rsidP="000C2A54">
      <w:pPr>
        <w:widowControl w:val="0"/>
        <w:tabs>
          <w:tab w:val="right" w:pos="5103"/>
          <w:tab w:val="right" w:pos="7371"/>
        </w:tabs>
        <w:autoSpaceDE w:val="0"/>
        <w:autoSpaceDN w:val="0"/>
        <w:adjustRightInd w:val="0"/>
      </w:pPr>
      <w:r>
        <w:t>No further pension contributions were made for Commissioner</w:t>
      </w:r>
      <w:r w:rsidR="0057710A">
        <w:t xml:space="preserve">s in the year ended 31 March </w:t>
      </w:r>
      <w:r w:rsidR="00C0695B">
        <w:t>2022</w:t>
      </w:r>
      <w:r w:rsidR="0057710A">
        <w:t xml:space="preserve"> (</w:t>
      </w:r>
      <w:r w:rsidR="00C0695B">
        <w:t>2020-21</w:t>
      </w:r>
      <w:r>
        <w:t>: £nil).</w:t>
      </w:r>
    </w:p>
    <w:p w14:paraId="7D6A87A1" w14:textId="77777777" w:rsidR="000C2A54" w:rsidRPr="005B72C1" w:rsidRDefault="000C2A54" w:rsidP="000C2A54">
      <w:pPr>
        <w:widowControl w:val="0"/>
        <w:tabs>
          <w:tab w:val="right" w:pos="5103"/>
          <w:tab w:val="right" w:pos="7371"/>
        </w:tabs>
        <w:autoSpaceDE w:val="0"/>
        <w:autoSpaceDN w:val="0"/>
        <w:adjustRightInd w:val="0"/>
        <w:rPr>
          <w:sz w:val="22"/>
          <w:szCs w:val="22"/>
        </w:rPr>
      </w:pPr>
    </w:p>
    <w:p w14:paraId="6C021B7E" w14:textId="77777777" w:rsidR="00827D54" w:rsidRDefault="00827D54" w:rsidP="000C2A54">
      <w:pPr>
        <w:widowControl w:val="0"/>
        <w:tabs>
          <w:tab w:val="right" w:pos="5103"/>
          <w:tab w:val="right" w:pos="7371"/>
        </w:tabs>
        <w:autoSpaceDE w:val="0"/>
        <w:autoSpaceDN w:val="0"/>
        <w:adjustRightInd w:val="0"/>
        <w:rPr>
          <w:u w:val="single"/>
        </w:rPr>
      </w:pPr>
    </w:p>
    <w:p w14:paraId="7AE22698" w14:textId="45370D32" w:rsidR="000C2A54" w:rsidRPr="005B72C1" w:rsidRDefault="000C2A54" w:rsidP="000C2A54">
      <w:pPr>
        <w:widowControl w:val="0"/>
        <w:tabs>
          <w:tab w:val="right" w:pos="5103"/>
          <w:tab w:val="right" w:pos="7371"/>
        </w:tabs>
        <w:autoSpaceDE w:val="0"/>
        <w:autoSpaceDN w:val="0"/>
        <w:adjustRightInd w:val="0"/>
        <w:rPr>
          <w:u w:val="single"/>
        </w:rPr>
      </w:pPr>
      <w:r w:rsidRPr="005B72C1">
        <w:rPr>
          <w:u w:val="single"/>
        </w:rPr>
        <w:t>Chairperson of the Audit and Risk Management Committee</w:t>
      </w:r>
    </w:p>
    <w:p w14:paraId="50EF7FD7" w14:textId="77777777" w:rsidR="000C2A54" w:rsidRPr="005B72C1" w:rsidRDefault="000C2A54" w:rsidP="000C2A54">
      <w:pPr>
        <w:widowControl w:val="0"/>
        <w:tabs>
          <w:tab w:val="right" w:pos="5103"/>
          <w:tab w:val="right" w:pos="7371"/>
        </w:tabs>
        <w:autoSpaceDE w:val="0"/>
        <w:autoSpaceDN w:val="0"/>
        <w:adjustRightInd w:val="0"/>
      </w:pPr>
    </w:p>
    <w:p w14:paraId="0F08473B" w14:textId="77777777" w:rsidR="000C2A54" w:rsidRPr="00D80497" w:rsidRDefault="000C2A54" w:rsidP="000C2A54">
      <w:pPr>
        <w:widowControl w:val="0"/>
        <w:tabs>
          <w:tab w:val="right" w:pos="5103"/>
          <w:tab w:val="right" w:pos="7371"/>
        </w:tabs>
        <w:autoSpaceDE w:val="0"/>
        <w:autoSpaceDN w:val="0"/>
        <w:adjustRightInd w:val="0"/>
      </w:pPr>
      <w:r>
        <w:t>No pension contributions were made for the Chairperson of the Audit and Risk Management Committee</w:t>
      </w:r>
      <w:r w:rsidR="0057710A">
        <w:t xml:space="preserve"> in the year ended 31 March </w:t>
      </w:r>
      <w:r w:rsidR="00C0695B">
        <w:t>2022</w:t>
      </w:r>
      <w:r>
        <w:t xml:space="preserve"> (</w:t>
      </w:r>
      <w:r w:rsidR="00C0695B">
        <w:t>20</w:t>
      </w:r>
      <w:r w:rsidR="1042EFCD">
        <w:t>20</w:t>
      </w:r>
      <w:r w:rsidR="00C0695B">
        <w:t>-21</w:t>
      </w:r>
      <w:r>
        <w:t>: £nil).</w:t>
      </w:r>
    </w:p>
    <w:p w14:paraId="0807B635" w14:textId="25E8146E" w:rsidR="009C75DA" w:rsidRDefault="009C75DA">
      <w:pPr>
        <w:rPr>
          <w:snapToGrid w:val="0"/>
          <w:u w:val="single"/>
        </w:rPr>
      </w:pPr>
    </w:p>
    <w:p w14:paraId="2AE5C5CE" w14:textId="77777777" w:rsidR="000C2A54" w:rsidRPr="00D04316" w:rsidRDefault="000C2A54" w:rsidP="00D04316">
      <w:pPr>
        <w:rPr>
          <w:bCs/>
          <w:snapToGrid w:val="0"/>
          <w:color w:val="auto"/>
          <w:u w:val="single"/>
        </w:rPr>
      </w:pPr>
      <w:r w:rsidRPr="00D04316">
        <w:rPr>
          <w:snapToGrid w:val="0"/>
          <w:u w:val="single"/>
        </w:rPr>
        <w:t>Management Team</w:t>
      </w:r>
      <w:r w:rsidR="0057710A">
        <w:rPr>
          <w:b/>
          <w:snapToGrid w:val="0"/>
          <w:u w:val="single"/>
        </w:rPr>
        <w:t xml:space="preserve"> </w:t>
      </w:r>
    </w:p>
    <w:p w14:paraId="4BE22C4D" w14:textId="77777777" w:rsidR="000C2A54" w:rsidRPr="00D80497" w:rsidRDefault="000C2A54" w:rsidP="000C2A54">
      <w:pPr>
        <w:rPr>
          <w:snapToGrid w:val="0"/>
        </w:rPr>
      </w:pPr>
    </w:p>
    <w:tbl>
      <w:tblPr>
        <w:tblW w:w="8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8"/>
        <w:gridCol w:w="1670"/>
        <w:gridCol w:w="1497"/>
        <w:gridCol w:w="1046"/>
        <w:gridCol w:w="1046"/>
        <w:gridCol w:w="1162"/>
      </w:tblGrid>
      <w:tr w:rsidR="00A7412A" w:rsidRPr="00A6153B" w14:paraId="4E676418" w14:textId="77777777" w:rsidTr="00A7412A">
        <w:trPr>
          <w:jc w:val="center"/>
        </w:trPr>
        <w:tc>
          <w:tcPr>
            <w:tcW w:w="1858" w:type="dxa"/>
          </w:tcPr>
          <w:p w14:paraId="3ECA7637" w14:textId="77777777" w:rsidR="00A7412A" w:rsidRPr="005B72C1" w:rsidRDefault="00A7412A" w:rsidP="000C2A54">
            <w:pPr>
              <w:pStyle w:val="Heading4"/>
              <w:spacing w:before="0" w:after="0"/>
              <w:ind w:left="57"/>
              <w:jc w:val="center"/>
              <w:rPr>
                <w:rFonts w:ascii="Verdana" w:hAnsi="Verdana"/>
                <w:b w:val="0"/>
                <w:sz w:val="18"/>
                <w:szCs w:val="18"/>
                <w:highlight w:val="yellow"/>
              </w:rPr>
            </w:pPr>
          </w:p>
        </w:tc>
        <w:tc>
          <w:tcPr>
            <w:tcW w:w="1670" w:type="dxa"/>
          </w:tcPr>
          <w:p w14:paraId="7825F990" w14:textId="77777777" w:rsidR="00A7412A" w:rsidRPr="00C54DF1" w:rsidRDefault="00A7412A" w:rsidP="000C2A54">
            <w:pPr>
              <w:jc w:val="center"/>
              <w:rPr>
                <w:color w:val="auto"/>
                <w:sz w:val="18"/>
                <w:szCs w:val="18"/>
              </w:rPr>
            </w:pPr>
            <w:r w:rsidRPr="3285EAFF">
              <w:rPr>
                <w:color w:val="auto"/>
                <w:sz w:val="18"/>
                <w:szCs w:val="18"/>
              </w:rPr>
              <w:t>Accrued pensi</w:t>
            </w:r>
            <w:r w:rsidR="001D0DE7">
              <w:rPr>
                <w:color w:val="auto"/>
                <w:sz w:val="18"/>
                <w:szCs w:val="18"/>
              </w:rPr>
              <w:t>on at pension age as at 31/3/22</w:t>
            </w:r>
          </w:p>
          <w:p w14:paraId="63E4047E" w14:textId="77777777" w:rsidR="00A7412A" w:rsidRPr="00C54DF1" w:rsidRDefault="00A7412A" w:rsidP="000C2A54">
            <w:pPr>
              <w:jc w:val="center"/>
              <w:rPr>
                <w:color w:val="auto"/>
                <w:sz w:val="18"/>
                <w:szCs w:val="18"/>
              </w:rPr>
            </w:pPr>
          </w:p>
        </w:tc>
        <w:tc>
          <w:tcPr>
            <w:tcW w:w="1497" w:type="dxa"/>
          </w:tcPr>
          <w:p w14:paraId="6FF4C2D6" w14:textId="3EC1EEF2" w:rsidR="00A7412A" w:rsidRPr="00C54DF1" w:rsidRDefault="00A7412A" w:rsidP="00DD765C">
            <w:pPr>
              <w:pStyle w:val="FootnoteText"/>
              <w:jc w:val="center"/>
              <w:rPr>
                <w:rFonts w:ascii="Verdana" w:hAnsi="Verdana"/>
                <w:snapToGrid w:val="0"/>
                <w:sz w:val="18"/>
                <w:szCs w:val="18"/>
              </w:rPr>
            </w:pPr>
            <w:r w:rsidRPr="00C54DF1">
              <w:rPr>
                <w:rFonts w:ascii="Verdana" w:hAnsi="Verdana"/>
                <w:snapToGrid w:val="0"/>
                <w:sz w:val="18"/>
                <w:szCs w:val="18"/>
              </w:rPr>
              <w:t xml:space="preserve">Real increase in pension </w:t>
            </w:r>
          </w:p>
        </w:tc>
        <w:tc>
          <w:tcPr>
            <w:tcW w:w="1046" w:type="dxa"/>
          </w:tcPr>
          <w:p w14:paraId="1BE38D98" w14:textId="77777777" w:rsidR="00A7412A" w:rsidRPr="00C54DF1" w:rsidRDefault="001D0DE7" w:rsidP="000C2A54">
            <w:pPr>
              <w:jc w:val="center"/>
              <w:rPr>
                <w:color w:val="auto"/>
                <w:sz w:val="18"/>
                <w:szCs w:val="18"/>
              </w:rPr>
            </w:pPr>
            <w:r>
              <w:rPr>
                <w:color w:val="auto"/>
                <w:sz w:val="18"/>
                <w:szCs w:val="18"/>
              </w:rPr>
              <w:t>CETV at 31/3/22</w:t>
            </w:r>
          </w:p>
          <w:p w14:paraId="03BBD1D2" w14:textId="77777777" w:rsidR="00A7412A" w:rsidRPr="00C54DF1" w:rsidRDefault="00A7412A" w:rsidP="000C2A54">
            <w:pPr>
              <w:jc w:val="center"/>
              <w:rPr>
                <w:color w:val="auto"/>
                <w:sz w:val="18"/>
                <w:szCs w:val="18"/>
              </w:rPr>
            </w:pPr>
          </w:p>
          <w:p w14:paraId="576D1159" w14:textId="77777777" w:rsidR="00A7412A" w:rsidRPr="00C54DF1" w:rsidRDefault="00A7412A" w:rsidP="000C2A54">
            <w:pPr>
              <w:jc w:val="center"/>
              <w:rPr>
                <w:color w:val="auto"/>
                <w:sz w:val="18"/>
                <w:szCs w:val="18"/>
              </w:rPr>
            </w:pPr>
          </w:p>
          <w:p w14:paraId="0E3F55AE" w14:textId="77777777" w:rsidR="00A7412A" w:rsidRPr="00C54DF1" w:rsidRDefault="00A7412A" w:rsidP="000C2A54">
            <w:pPr>
              <w:rPr>
                <w:color w:val="auto"/>
                <w:sz w:val="18"/>
                <w:szCs w:val="18"/>
              </w:rPr>
            </w:pPr>
          </w:p>
        </w:tc>
        <w:tc>
          <w:tcPr>
            <w:tcW w:w="1046" w:type="dxa"/>
          </w:tcPr>
          <w:p w14:paraId="2EC6BF97" w14:textId="77777777" w:rsidR="00A7412A" w:rsidRPr="00C54DF1" w:rsidRDefault="00A7412A" w:rsidP="0057710A">
            <w:pPr>
              <w:jc w:val="center"/>
              <w:rPr>
                <w:color w:val="auto"/>
                <w:sz w:val="18"/>
                <w:szCs w:val="18"/>
              </w:rPr>
            </w:pPr>
            <w:r w:rsidRPr="3285EAFF">
              <w:rPr>
                <w:color w:val="auto"/>
                <w:sz w:val="18"/>
                <w:szCs w:val="18"/>
              </w:rPr>
              <w:t>CETV at 31/3/2</w:t>
            </w:r>
            <w:r w:rsidR="001D0DE7">
              <w:rPr>
                <w:color w:val="auto"/>
                <w:sz w:val="18"/>
                <w:szCs w:val="18"/>
              </w:rPr>
              <w:t>1</w:t>
            </w:r>
          </w:p>
        </w:tc>
        <w:tc>
          <w:tcPr>
            <w:tcW w:w="1162" w:type="dxa"/>
          </w:tcPr>
          <w:p w14:paraId="19B0D35B" w14:textId="77777777" w:rsidR="00A7412A" w:rsidRPr="00C54DF1" w:rsidRDefault="00A7412A" w:rsidP="000C2A54">
            <w:pPr>
              <w:jc w:val="center"/>
              <w:rPr>
                <w:color w:val="auto"/>
                <w:sz w:val="18"/>
                <w:szCs w:val="18"/>
              </w:rPr>
            </w:pPr>
            <w:r w:rsidRPr="00C54DF1">
              <w:rPr>
                <w:color w:val="auto"/>
                <w:sz w:val="18"/>
                <w:szCs w:val="18"/>
              </w:rPr>
              <w:t>Real increase in CETV</w:t>
            </w:r>
          </w:p>
          <w:p w14:paraId="2FA9192F" w14:textId="77777777" w:rsidR="00A7412A" w:rsidRPr="00C54DF1" w:rsidRDefault="00A7412A" w:rsidP="000C2A54">
            <w:pPr>
              <w:jc w:val="center"/>
              <w:rPr>
                <w:color w:val="auto"/>
                <w:sz w:val="18"/>
                <w:szCs w:val="18"/>
              </w:rPr>
            </w:pPr>
          </w:p>
          <w:p w14:paraId="0537F2B9" w14:textId="77777777" w:rsidR="00A7412A" w:rsidRPr="00C54DF1" w:rsidRDefault="00A7412A" w:rsidP="000C2A54">
            <w:pPr>
              <w:rPr>
                <w:color w:val="auto"/>
                <w:sz w:val="18"/>
                <w:szCs w:val="18"/>
              </w:rPr>
            </w:pPr>
          </w:p>
        </w:tc>
      </w:tr>
      <w:tr w:rsidR="00A7412A" w:rsidRPr="00A6153B" w14:paraId="0E263E5D" w14:textId="77777777" w:rsidTr="00A7412A">
        <w:trPr>
          <w:jc w:val="center"/>
        </w:trPr>
        <w:tc>
          <w:tcPr>
            <w:tcW w:w="1858" w:type="dxa"/>
            <w:vAlign w:val="center"/>
          </w:tcPr>
          <w:p w14:paraId="6F77D218" w14:textId="77777777" w:rsidR="00A7412A" w:rsidRPr="005B72C1" w:rsidRDefault="00A7412A" w:rsidP="000C2A54">
            <w:pPr>
              <w:ind w:left="57"/>
              <w:rPr>
                <w:sz w:val="18"/>
                <w:szCs w:val="18"/>
                <w:highlight w:val="yellow"/>
              </w:rPr>
            </w:pPr>
          </w:p>
          <w:p w14:paraId="62C3D9B4" w14:textId="77777777" w:rsidR="00A7412A" w:rsidRPr="005B72C1" w:rsidRDefault="00A7412A" w:rsidP="000C2A54">
            <w:pPr>
              <w:ind w:left="57"/>
              <w:rPr>
                <w:sz w:val="18"/>
                <w:szCs w:val="18"/>
                <w:highlight w:val="yellow"/>
              </w:rPr>
            </w:pPr>
          </w:p>
        </w:tc>
        <w:tc>
          <w:tcPr>
            <w:tcW w:w="1670" w:type="dxa"/>
            <w:vAlign w:val="center"/>
          </w:tcPr>
          <w:p w14:paraId="0E83B951" w14:textId="77777777" w:rsidR="00A7412A" w:rsidRDefault="00A7412A" w:rsidP="000C2A54">
            <w:pPr>
              <w:jc w:val="center"/>
              <w:rPr>
                <w:color w:val="auto"/>
                <w:sz w:val="18"/>
                <w:szCs w:val="18"/>
              </w:rPr>
            </w:pPr>
            <w:r w:rsidRPr="00C54DF1">
              <w:rPr>
                <w:color w:val="auto"/>
                <w:sz w:val="18"/>
                <w:szCs w:val="18"/>
              </w:rPr>
              <w:t>£’000</w:t>
            </w:r>
          </w:p>
          <w:p w14:paraId="6E69139E" w14:textId="77777777" w:rsidR="00A7412A" w:rsidRPr="00C54DF1" w:rsidRDefault="00A7412A" w:rsidP="000C2A54">
            <w:pPr>
              <w:jc w:val="center"/>
              <w:rPr>
                <w:color w:val="auto"/>
                <w:sz w:val="18"/>
                <w:szCs w:val="18"/>
              </w:rPr>
            </w:pPr>
          </w:p>
        </w:tc>
        <w:tc>
          <w:tcPr>
            <w:tcW w:w="1497" w:type="dxa"/>
            <w:vAlign w:val="center"/>
          </w:tcPr>
          <w:p w14:paraId="50228145" w14:textId="77777777" w:rsidR="00A7412A" w:rsidRDefault="00A7412A" w:rsidP="000C2A54">
            <w:pPr>
              <w:jc w:val="center"/>
              <w:rPr>
                <w:color w:val="auto"/>
                <w:sz w:val="18"/>
                <w:szCs w:val="18"/>
              </w:rPr>
            </w:pPr>
            <w:r w:rsidRPr="00C54DF1">
              <w:rPr>
                <w:color w:val="auto"/>
                <w:sz w:val="18"/>
                <w:szCs w:val="18"/>
              </w:rPr>
              <w:t>£’000</w:t>
            </w:r>
          </w:p>
          <w:p w14:paraId="56C60B0F" w14:textId="77777777" w:rsidR="00A7412A" w:rsidRPr="00C54DF1" w:rsidRDefault="00A7412A" w:rsidP="000C2A54">
            <w:pPr>
              <w:jc w:val="center"/>
              <w:rPr>
                <w:color w:val="auto"/>
                <w:sz w:val="18"/>
                <w:szCs w:val="18"/>
              </w:rPr>
            </w:pPr>
          </w:p>
        </w:tc>
        <w:tc>
          <w:tcPr>
            <w:tcW w:w="1046" w:type="dxa"/>
            <w:vAlign w:val="center"/>
          </w:tcPr>
          <w:p w14:paraId="06A313DF" w14:textId="77777777" w:rsidR="00A7412A" w:rsidRDefault="00A7412A" w:rsidP="000C2A54">
            <w:pPr>
              <w:jc w:val="center"/>
              <w:rPr>
                <w:color w:val="auto"/>
                <w:sz w:val="18"/>
                <w:szCs w:val="18"/>
              </w:rPr>
            </w:pPr>
            <w:r w:rsidRPr="00C54DF1">
              <w:rPr>
                <w:color w:val="auto"/>
                <w:sz w:val="18"/>
                <w:szCs w:val="18"/>
              </w:rPr>
              <w:t>£’000</w:t>
            </w:r>
          </w:p>
          <w:p w14:paraId="393E0830" w14:textId="77777777" w:rsidR="00A7412A" w:rsidRPr="00C54DF1" w:rsidRDefault="00A7412A" w:rsidP="000C2A54">
            <w:pPr>
              <w:jc w:val="center"/>
              <w:rPr>
                <w:color w:val="auto"/>
                <w:sz w:val="18"/>
                <w:szCs w:val="18"/>
              </w:rPr>
            </w:pPr>
          </w:p>
        </w:tc>
        <w:tc>
          <w:tcPr>
            <w:tcW w:w="1046" w:type="dxa"/>
            <w:vAlign w:val="center"/>
          </w:tcPr>
          <w:p w14:paraId="1BCCD96E" w14:textId="77777777" w:rsidR="00A7412A" w:rsidRDefault="00A7412A" w:rsidP="000C2A54">
            <w:pPr>
              <w:jc w:val="center"/>
              <w:rPr>
                <w:color w:val="auto"/>
                <w:sz w:val="18"/>
                <w:szCs w:val="18"/>
              </w:rPr>
            </w:pPr>
            <w:r w:rsidRPr="00C54DF1">
              <w:rPr>
                <w:color w:val="auto"/>
                <w:sz w:val="18"/>
                <w:szCs w:val="18"/>
              </w:rPr>
              <w:t>£’000</w:t>
            </w:r>
          </w:p>
          <w:p w14:paraId="1CBE0916" w14:textId="77777777" w:rsidR="00A7412A" w:rsidRPr="00C54DF1" w:rsidRDefault="00A7412A" w:rsidP="000C2A54">
            <w:pPr>
              <w:jc w:val="center"/>
              <w:rPr>
                <w:color w:val="auto"/>
                <w:sz w:val="18"/>
                <w:szCs w:val="18"/>
              </w:rPr>
            </w:pPr>
          </w:p>
        </w:tc>
        <w:tc>
          <w:tcPr>
            <w:tcW w:w="1162" w:type="dxa"/>
            <w:vAlign w:val="center"/>
          </w:tcPr>
          <w:p w14:paraId="416F4657" w14:textId="77777777" w:rsidR="00A7412A" w:rsidRDefault="00A7412A" w:rsidP="000C2A54">
            <w:pPr>
              <w:jc w:val="center"/>
              <w:rPr>
                <w:color w:val="auto"/>
                <w:sz w:val="18"/>
                <w:szCs w:val="18"/>
              </w:rPr>
            </w:pPr>
            <w:r w:rsidRPr="00C54DF1">
              <w:rPr>
                <w:color w:val="auto"/>
                <w:sz w:val="18"/>
                <w:szCs w:val="18"/>
              </w:rPr>
              <w:t>£’000</w:t>
            </w:r>
          </w:p>
          <w:p w14:paraId="64EA5E08" w14:textId="77777777" w:rsidR="00A7412A" w:rsidRPr="00C54DF1" w:rsidRDefault="00A7412A" w:rsidP="000C2A54">
            <w:pPr>
              <w:jc w:val="center"/>
              <w:rPr>
                <w:color w:val="auto"/>
                <w:sz w:val="18"/>
                <w:szCs w:val="18"/>
              </w:rPr>
            </w:pPr>
          </w:p>
        </w:tc>
      </w:tr>
      <w:tr w:rsidR="00A7412A" w:rsidRPr="003C1FD4" w14:paraId="35910915" w14:textId="77777777" w:rsidTr="00A7412A">
        <w:trPr>
          <w:jc w:val="center"/>
        </w:trPr>
        <w:tc>
          <w:tcPr>
            <w:tcW w:w="1858" w:type="dxa"/>
            <w:vAlign w:val="center"/>
          </w:tcPr>
          <w:p w14:paraId="6C332703" w14:textId="77777777" w:rsidR="00A7412A" w:rsidRPr="00C54DF1" w:rsidRDefault="00A7412A" w:rsidP="000C2A54">
            <w:pPr>
              <w:ind w:left="57"/>
              <w:rPr>
                <w:sz w:val="20"/>
                <w:szCs w:val="20"/>
              </w:rPr>
            </w:pPr>
            <w:r w:rsidRPr="00C54DF1">
              <w:rPr>
                <w:sz w:val="20"/>
                <w:szCs w:val="20"/>
              </w:rPr>
              <w:t>Les Allamby</w:t>
            </w:r>
          </w:p>
          <w:p w14:paraId="016C84E5" w14:textId="77777777" w:rsidR="00A7412A" w:rsidRPr="00C54DF1" w:rsidRDefault="00A7412A" w:rsidP="000C2A54">
            <w:pPr>
              <w:ind w:left="57"/>
              <w:rPr>
                <w:sz w:val="20"/>
                <w:szCs w:val="20"/>
              </w:rPr>
            </w:pPr>
            <w:r w:rsidRPr="00C54DF1">
              <w:rPr>
                <w:sz w:val="20"/>
                <w:szCs w:val="20"/>
              </w:rPr>
              <w:t>Chief Commissioner</w:t>
            </w:r>
          </w:p>
          <w:p w14:paraId="3B3300C3" w14:textId="77777777" w:rsidR="00A7412A" w:rsidRPr="00C54DF1" w:rsidRDefault="00A7412A" w:rsidP="000C2A54">
            <w:pPr>
              <w:ind w:left="57"/>
              <w:rPr>
                <w:sz w:val="20"/>
                <w:szCs w:val="20"/>
              </w:rPr>
            </w:pPr>
          </w:p>
        </w:tc>
        <w:tc>
          <w:tcPr>
            <w:tcW w:w="1670" w:type="dxa"/>
            <w:vAlign w:val="center"/>
          </w:tcPr>
          <w:p w14:paraId="2EB0FBD4" w14:textId="77777777" w:rsidR="00A7412A" w:rsidRPr="00C54DF1" w:rsidRDefault="00CA6B5D" w:rsidP="000C2A54">
            <w:pPr>
              <w:jc w:val="center"/>
              <w:rPr>
                <w:color w:val="auto"/>
                <w:sz w:val="20"/>
                <w:szCs w:val="20"/>
              </w:rPr>
            </w:pPr>
            <w:r>
              <w:rPr>
                <w:color w:val="auto"/>
                <w:sz w:val="20"/>
                <w:szCs w:val="20"/>
              </w:rPr>
              <w:t>10-15</w:t>
            </w:r>
          </w:p>
        </w:tc>
        <w:tc>
          <w:tcPr>
            <w:tcW w:w="1497" w:type="dxa"/>
            <w:vAlign w:val="center"/>
          </w:tcPr>
          <w:p w14:paraId="56B9C1CA" w14:textId="77777777" w:rsidR="00A7412A" w:rsidRPr="00C54DF1" w:rsidRDefault="00CA6B5D" w:rsidP="000C2A54">
            <w:pPr>
              <w:jc w:val="center"/>
              <w:rPr>
                <w:color w:val="auto"/>
                <w:sz w:val="20"/>
                <w:szCs w:val="20"/>
              </w:rPr>
            </w:pPr>
            <w:r>
              <w:rPr>
                <w:color w:val="auto"/>
                <w:sz w:val="20"/>
                <w:szCs w:val="20"/>
              </w:rPr>
              <w:t>0-2.5</w:t>
            </w:r>
          </w:p>
        </w:tc>
        <w:tc>
          <w:tcPr>
            <w:tcW w:w="1046" w:type="dxa"/>
            <w:vAlign w:val="center"/>
          </w:tcPr>
          <w:p w14:paraId="2F4C510E" w14:textId="77777777" w:rsidR="00A7412A" w:rsidRPr="00C54DF1" w:rsidRDefault="001D0DE7" w:rsidP="000C2A54">
            <w:pPr>
              <w:jc w:val="center"/>
              <w:rPr>
                <w:color w:val="auto"/>
                <w:sz w:val="20"/>
                <w:szCs w:val="20"/>
              </w:rPr>
            </w:pPr>
            <w:r>
              <w:rPr>
                <w:color w:val="auto"/>
                <w:sz w:val="20"/>
                <w:szCs w:val="20"/>
              </w:rPr>
              <w:t>200</w:t>
            </w:r>
          </w:p>
        </w:tc>
        <w:tc>
          <w:tcPr>
            <w:tcW w:w="1046" w:type="dxa"/>
            <w:vAlign w:val="center"/>
          </w:tcPr>
          <w:p w14:paraId="1DCE446E" w14:textId="77777777" w:rsidR="00A7412A" w:rsidRPr="00C54DF1" w:rsidRDefault="001D0DE7" w:rsidP="000C2A54">
            <w:pPr>
              <w:jc w:val="center"/>
              <w:rPr>
                <w:color w:val="auto"/>
                <w:sz w:val="20"/>
                <w:szCs w:val="20"/>
              </w:rPr>
            </w:pPr>
            <w:r>
              <w:rPr>
                <w:color w:val="auto"/>
                <w:sz w:val="20"/>
                <w:szCs w:val="20"/>
              </w:rPr>
              <w:t>190</w:t>
            </w:r>
          </w:p>
        </w:tc>
        <w:tc>
          <w:tcPr>
            <w:tcW w:w="1162" w:type="dxa"/>
            <w:vAlign w:val="center"/>
          </w:tcPr>
          <w:p w14:paraId="0D23E83C" w14:textId="77777777" w:rsidR="00A7412A" w:rsidRPr="00C54DF1" w:rsidRDefault="001D0DE7" w:rsidP="000C2A54">
            <w:pPr>
              <w:jc w:val="center"/>
              <w:rPr>
                <w:color w:val="auto"/>
                <w:sz w:val="20"/>
                <w:szCs w:val="20"/>
              </w:rPr>
            </w:pPr>
            <w:r>
              <w:rPr>
                <w:color w:val="auto"/>
                <w:sz w:val="20"/>
                <w:szCs w:val="20"/>
              </w:rPr>
              <w:t>10</w:t>
            </w:r>
          </w:p>
        </w:tc>
      </w:tr>
      <w:tr w:rsidR="001D0DE7" w:rsidRPr="003C1FD4" w14:paraId="770BE057" w14:textId="77777777" w:rsidTr="00A7412A">
        <w:trPr>
          <w:jc w:val="center"/>
        </w:trPr>
        <w:tc>
          <w:tcPr>
            <w:tcW w:w="1858" w:type="dxa"/>
            <w:vAlign w:val="center"/>
          </w:tcPr>
          <w:p w14:paraId="181648D1" w14:textId="77777777" w:rsidR="001D0DE7" w:rsidRDefault="001D0DE7" w:rsidP="000C2A54">
            <w:pPr>
              <w:ind w:left="57"/>
              <w:rPr>
                <w:sz w:val="20"/>
                <w:szCs w:val="20"/>
              </w:rPr>
            </w:pPr>
            <w:r>
              <w:rPr>
                <w:sz w:val="20"/>
                <w:szCs w:val="20"/>
              </w:rPr>
              <w:t>Alyson Kilpatrick</w:t>
            </w:r>
          </w:p>
          <w:p w14:paraId="29F439C4" w14:textId="77777777" w:rsidR="001D0DE7" w:rsidRDefault="001D0DE7" w:rsidP="000C2A54">
            <w:pPr>
              <w:ind w:left="57"/>
              <w:rPr>
                <w:sz w:val="20"/>
                <w:szCs w:val="20"/>
              </w:rPr>
            </w:pPr>
            <w:r>
              <w:rPr>
                <w:sz w:val="20"/>
                <w:szCs w:val="20"/>
              </w:rPr>
              <w:t>Chief Commissioner</w:t>
            </w:r>
          </w:p>
          <w:p w14:paraId="1958E4C1" w14:textId="77777777" w:rsidR="001D0DE7" w:rsidRPr="001F61FA" w:rsidRDefault="001D0DE7" w:rsidP="000C2A54">
            <w:pPr>
              <w:ind w:left="57"/>
              <w:rPr>
                <w:sz w:val="20"/>
                <w:szCs w:val="20"/>
              </w:rPr>
            </w:pPr>
          </w:p>
        </w:tc>
        <w:tc>
          <w:tcPr>
            <w:tcW w:w="1670" w:type="dxa"/>
            <w:vAlign w:val="center"/>
          </w:tcPr>
          <w:p w14:paraId="024C7DB5" w14:textId="77777777" w:rsidR="001D0DE7" w:rsidRDefault="001D0DE7" w:rsidP="000C2A54">
            <w:pPr>
              <w:jc w:val="center"/>
              <w:rPr>
                <w:color w:val="auto"/>
                <w:sz w:val="20"/>
                <w:szCs w:val="20"/>
              </w:rPr>
            </w:pPr>
            <w:r>
              <w:rPr>
                <w:color w:val="auto"/>
                <w:sz w:val="20"/>
                <w:szCs w:val="20"/>
              </w:rPr>
              <w:t>0-5</w:t>
            </w:r>
          </w:p>
        </w:tc>
        <w:tc>
          <w:tcPr>
            <w:tcW w:w="1497" w:type="dxa"/>
            <w:vAlign w:val="center"/>
          </w:tcPr>
          <w:p w14:paraId="4B7F4811" w14:textId="77777777" w:rsidR="001D0DE7" w:rsidRDefault="001D0DE7" w:rsidP="000C2A54">
            <w:pPr>
              <w:jc w:val="center"/>
              <w:rPr>
                <w:color w:val="auto"/>
                <w:sz w:val="20"/>
                <w:szCs w:val="20"/>
              </w:rPr>
            </w:pPr>
            <w:r>
              <w:rPr>
                <w:color w:val="auto"/>
                <w:sz w:val="20"/>
                <w:szCs w:val="20"/>
              </w:rPr>
              <w:t>0-2.5</w:t>
            </w:r>
          </w:p>
        </w:tc>
        <w:tc>
          <w:tcPr>
            <w:tcW w:w="1046" w:type="dxa"/>
            <w:vAlign w:val="center"/>
          </w:tcPr>
          <w:p w14:paraId="6CFCA0AC" w14:textId="77777777" w:rsidR="001D0DE7" w:rsidRDefault="001D0DE7" w:rsidP="000C2A54">
            <w:pPr>
              <w:jc w:val="center"/>
              <w:rPr>
                <w:color w:val="auto"/>
                <w:sz w:val="20"/>
                <w:szCs w:val="20"/>
              </w:rPr>
            </w:pPr>
            <w:r>
              <w:rPr>
                <w:color w:val="auto"/>
                <w:sz w:val="20"/>
                <w:szCs w:val="20"/>
              </w:rPr>
              <w:t>13</w:t>
            </w:r>
          </w:p>
        </w:tc>
        <w:tc>
          <w:tcPr>
            <w:tcW w:w="1046" w:type="dxa"/>
            <w:vAlign w:val="center"/>
          </w:tcPr>
          <w:p w14:paraId="32ACD7ED" w14:textId="77777777" w:rsidR="001D0DE7" w:rsidRDefault="001D0DE7" w:rsidP="000C2A54">
            <w:pPr>
              <w:jc w:val="center"/>
              <w:rPr>
                <w:color w:val="auto"/>
                <w:sz w:val="20"/>
                <w:szCs w:val="20"/>
              </w:rPr>
            </w:pPr>
            <w:r>
              <w:rPr>
                <w:color w:val="auto"/>
                <w:sz w:val="20"/>
                <w:szCs w:val="20"/>
              </w:rPr>
              <w:t>0</w:t>
            </w:r>
          </w:p>
        </w:tc>
        <w:tc>
          <w:tcPr>
            <w:tcW w:w="1162" w:type="dxa"/>
            <w:vAlign w:val="center"/>
          </w:tcPr>
          <w:p w14:paraId="2BE4793D" w14:textId="77777777" w:rsidR="001D0DE7" w:rsidRDefault="001D0DE7" w:rsidP="000C2A54">
            <w:pPr>
              <w:jc w:val="center"/>
              <w:rPr>
                <w:color w:val="auto"/>
                <w:sz w:val="20"/>
                <w:szCs w:val="20"/>
              </w:rPr>
            </w:pPr>
            <w:r>
              <w:rPr>
                <w:color w:val="auto"/>
                <w:sz w:val="20"/>
                <w:szCs w:val="20"/>
              </w:rPr>
              <w:t>10</w:t>
            </w:r>
          </w:p>
        </w:tc>
      </w:tr>
      <w:tr w:rsidR="00A7412A" w:rsidRPr="003C1FD4" w14:paraId="01DCA7B4" w14:textId="77777777" w:rsidTr="00A7412A">
        <w:trPr>
          <w:jc w:val="center"/>
        </w:trPr>
        <w:tc>
          <w:tcPr>
            <w:tcW w:w="1858" w:type="dxa"/>
            <w:vAlign w:val="center"/>
          </w:tcPr>
          <w:p w14:paraId="1DAA58E0" w14:textId="77777777" w:rsidR="00A7412A" w:rsidRPr="001F61FA" w:rsidRDefault="00A7412A" w:rsidP="000C2A54">
            <w:pPr>
              <w:ind w:left="57"/>
              <w:rPr>
                <w:sz w:val="20"/>
                <w:szCs w:val="20"/>
              </w:rPr>
            </w:pPr>
            <w:r w:rsidRPr="001F61FA">
              <w:rPr>
                <w:sz w:val="20"/>
                <w:szCs w:val="20"/>
              </w:rPr>
              <w:t>David Russell</w:t>
            </w:r>
          </w:p>
          <w:p w14:paraId="2B20592D" w14:textId="77777777" w:rsidR="00A7412A" w:rsidRPr="001F61FA" w:rsidRDefault="00A7412A" w:rsidP="00CA6B5D">
            <w:pPr>
              <w:ind w:left="57"/>
              <w:rPr>
                <w:sz w:val="20"/>
                <w:szCs w:val="20"/>
              </w:rPr>
            </w:pPr>
            <w:r w:rsidRPr="001F61FA">
              <w:rPr>
                <w:sz w:val="20"/>
                <w:szCs w:val="20"/>
              </w:rPr>
              <w:t xml:space="preserve">Chief Executive </w:t>
            </w:r>
            <w:r>
              <w:rPr>
                <w:i/>
                <w:sz w:val="20"/>
                <w:szCs w:val="20"/>
              </w:rPr>
              <w:br/>
            </w:r>
          </w:p>
        </w:tc>
        <w:tc>
          <w:tcPr>
            <w:tcW w:w="1670" w:type="dxa"/>
            <w:vAlign w:val="center"/>
          </w:tcPr>
          <w:p w14:paraId="1309D7FC" w14:textId="77777777" w:rsidR="00A7412A" w:rsidRPr="001F61FA" w:rsidRDefault="001D0DE7" w:rsidP="000C2A54">
            <w:pPr>
              <w:jc w:val="center"/>
              <w:rPr>
                <w:color w:val="auto"/>
                <w:sz w:val="20"/>
                <w:szCs w:val="20"/>
              </w:rPr>
            </w:pPr>
            <w:r>
              <w:rPr>
                <w:color w:val="auto"/>
                <w:sz w:val="20"/>
                <w:szCs w:val="20"/>
              </w:rPr>
              <w:t>25-30</w:t>
            </w:r>
          </w:p>
        </w:tc>
        <w:tc>
          <w:tcPr>
            <w:tcW w:w="1497" w:type="dxa"/>
            <w:vAlign w:val="center"/>
          </w:tcPr>
          <w:p w14:paraId="7BAFA0B5" w14:textId="77777777" w:rsidR="00A7412A" w:rsidRPr="001F61FA" w:rsidRDefault="00CA6B5D" w:rsidP="000C2A54">
            <w:pPr>
              <w:jc w:val="center"/>
              <w:rPr>
                <w:color w:val="auto"/>
                <w:sz w:val="20"/>
                <w:szCs w:val="20"/>
              </w:rPr>
            </w:pPr>
            <w:r>
              <w:rPr>
                <w:color w:val="auto"/>
                <w:sz w:val="20"/>
                <w:szCs w:val="20"/>
              </w:rPr>
              <w:t>0-2.5</w:t>
            </w:r>
          </w:p>
        </w:tc>
        <w:tc>
          <w:tcPr>
            <w:tcW w:w="1046" w:type="dxa"/>
            <w:vAlign w:val="center"/>
          </w:tcPr>
          <w:p w14:paraId="1BB52882" w14:textId="77777777" w:rsidR="00A7412A" w:rsidRPr="001F61FA" w:rsidRDefault="001D0DE7" w:rsidP="000C2A54">
            <w:pPr>
              <w:jc w:val="center"/>
              <w:rPr>
                <w:color w:val="auto"/>
                <w:sz w:val="20"/>
                <w:szCs w:val="20"/>
              </w:rPr>
            </w:pPr>
            <w:r>
              <w:rPr>
                <w:color w:val="auto"/>
                <w:sz w:val="20"/>
                <w:szCs w:val="20"/>
              </w:rPr>
              <w:t>306</w:t>
            </w:r>
          </w:p>
        </w:tc>
        <w:tc>
          <w:tcPr>
            <w:tcW w:w="1046" w:type="dxa"/>
            <w:vAlign w:val="center"/>
          </w:tcPr>
          <w:p w14:paraId="0FDFB44F" w14:textId="77777777" w:rsidR="00A7412A" w:rsidRPr="001F61FA" w:rsidRDefault="001D0DE7" w:rsidP="000C2A54">
            <w:pPr>
              <w:jc w:val="center"/>
              <w:rPr>
                <w:color w:val="auto"/>
                <w:sz w:val="20"/>
                <w:szCs w:val="20"/>
              </w:rPr>
            </w:pPr>
            <w:r>
              <w:rPr>
                <w:color w:val="auto"/>
                <w:sz w:val="20"/>
                <w:szCs w:val="20"/>
              </w:rPr>
              <w:t>277</w:t>
            </w:r>
          </w:p>
        </w:tc>
        <w:tc>
          <w:tcPr>
            <w:tcW w:w="1162" w:type="dxa"/>
            <w:vAlign w:val="center"/>
          </w:tcPr>
          <w:p w14:paraId="1414ED34" w14:textId="77777777" w:rsidR="00A7412A" w:rsidRPr="001F61FA" w:rsidRDefault="001D0DE7" w:rsidP="000C2A54">
            <w:pPr>
              <w:jc w:val="center"/>
              <w:rPr>
                <w:color w:val="auto"/>
                <w:sz w:val="20"/>
                <w:szCs w:val="20"/>
              </w:rPr>
            </w:pPr>
            <w:r>
              <w:rPr>
                <w:color w:val="auto"/>
                <w:sz w:val="20"/>
                <w:szCs w:val="20"/>
              </w:rPr>
              <w:t>14</w:t>
            </w:r>
          </w:p>
        </w:tc>
      </w:tr>
      <w:tr w:rsidR="00A7412A" w:rsidRPr="003C1FD4" w14:paraId="3AA999A8" w14:textId="77777777" w:rsidTr="00A7412A">
        <w:trPr>
          <w:jc w:val="center"/>
        </w:trPr>
        <w:tc>
          <w:tcPr>
            <w:tcW w:w="1858" w:type="dxa"/>
            <w:vAlign w:val="center"/>
          </w:tcPr>
          <w:p w14:paraId="091A66A2" w14:textId="77777777" w:rsidR="00A7412A" w:rsidRPr="001F61FA" w:rsidRDefault="00A7412A" w:rsidP="000C2A54">
            <w:pPr>
              <w:ind w:left="57"/>
              <w:rPr>
                <w:sz w:val="20"/>
                <w:szCs w:val="20"/>
              </w:rPr>
            </w:pPr>
            <w:r w:rsidRPr="001F61FA">
              <w:rPr>
                <w:sz w:val="20"/>
                <w:szCs w:val="20"/>
              </w:rPr>
              <w:t>Lorraine Hamill</w:t>
            </w:r>
          </w:p>
          <w:p w14:paraId="54DFF7D8" w14:textId="77777777" w:rsidR="00A7412A" w:rsidRPr="001F61FA" w:rsidRDefault="00A7412A" w:rsidP="00DE3AEE">
            <w:pPr>
              <w:ind w:left="57"/>
              <w:rPr>
                <w:sz w:val="20"/>
                <w:szCs w:val="20"/>
              </w:rPr>
            </w:pPr>
            <w:r w:rsidRPr="001F61FA">
              <w:rPr>
                <w:sz w:val="20"/>
                <w:szCs w:val="20"/>
              </w:rPr>
              <w:t xml:space="preserve">Director </w:t>
            </w:r>
            <w:r>
              <w:rPr>
                <w:i/>
                <w:sz w:val="20"/>
                <w:szCs w:val="20"/>
              </w:rPr>
              <w:br/>
            </w:r>
          </w:p>
        </w:tc>
        <w:tc>
          <w:tcPr>
            <w:tcW w:w="1670" w:type="dxa"/>
            <w:vAlign w:val="center"/>
          </w:tcPr>
          <w:p w14:paraId="2F3403A2" w14:textId="77777777" w:rsidR="00A7412A" w:rsidRDefault="00A7412A" w:rsidP="000C2A54">
            <w:pPr>
              <w:jc w:val="center"/>
              <w:rPr>
                <w:sz w:val="20"/>
                <w:szCs w:val="20"/>
              </w:rPr>
            </w:pPr>
          </w:p>
          <w:p w14:paraId="797C372A" w14:textId="77777777" w:rsidR="00CA6B5D" w:rsidRPr="001F61FA" w:rsidRDefault="00CA6B5D" w:rsidP="000C2A54">
            <w:pPr>
              <w:jc w:val="center"/>
              <w:rPr>
                <w:sz w:val="20"/>
                <w:szCs w:val="20"/>
              </w:rPr>
            </w:pPr>
            <w:r>
              <w:rPr>
                <w:sz w:val="20"/>
                <w:szCs w:val="20"/>
              </w:rPr>
              <w:t>10-15</w:t>
            </w:r>
          </w:p>
        </w:tc>
        <w:tc>
          <w:tcPr>
            <w:tcW w:w="1497" w:type="dxa"/>
            <w:vAlign w:val="center"/>
          </w:tcPr>
          <w:p w14:paraId="2D5D33E1" w14:textId="77777777" w:rsidR="00A7412A" w:rsidRDefault="00A7412A" w:rsidP="000C2A54">
            <w:pPr>
              <w:jc w:val="center"/>
              <w:rPr>
                <w:sz w:val="20"/>
                <w:szCs w:val="20"/>
              </w:rPr>
            </w:pPr>
          </w:p>
          <w:p w14:paraId="6B9C0EAF" w14:textId="77777777" w:rsidR="00CA6B5D" w:rsidRPr="001F61FA" w:rsidRDefault="00CA6B5D" w:rsidP="000C2A54">
            <w:pPr>
              <w:jc w:val="center"/>
              <w:rPr>
                <w:sz w:val="20"/>
                <w:szCs w:val="20"/>
              </w:rPr>
            </w:pPr>
            <w:r>
              <w:rPr>
                <w:sz w:val="20"/>
                <w:szCs w:val="20"/>
              </w:rPr>
              <w:t>0-2.5</w:t>
            </w:r>
          </w:p>
        </w:tc>
        <w:tc>
          <w:tcPr>
            <w:tcW w:w="1046" w:type="dxa"/>
            <w:vAlign w:val="center"/>
          </w:tcPr>
          <w:p w14:paraId="5CEC4882" w14:textId="77777777" w:rsidR="00CA6B5D" w:rsidRDefault="00CA6B5D" w:rsidP="000C2A54">
            <w:pPr>
              <w:jc w:val="center"/>
              <w:rPr>
                <w:sz w:val="20"/>
                <w:szCs w:val="20"/>
              </w:rPr>
            </w:pPr>
          </w:p>
          <w:p w14:paraId="6FA683A8" w14:textId="77777777" w:rsidR="001D0DE7" w:rsidRPr="001F61FA" w:rsidRDefault="001D0DE7" w:rsidP="000C2A54">
            <w:pPr>
              <w:jc w:val="center"/>
              <w:rPr>
                <w:sz w:val="20"/>
                <w:szCs w:val="20"/>
              </w:rPr>
            </w:pPr>
            <w:r>
              <w:rPr>
                <w:sz w:val="20"/>
                <w:szCs w:val="20"/>
              </w:rPr>
              <w:t>235</w:t>
            </w:r>
          </w:p>
        </w:tc>
        <w:tc>
          <w:tcPr>
            <w:tcW w:w="1046" w:type="dxa"/>
            <w:vAlign w:val="center"/>
          </w:tcPr>
          <w:p w14:paraId="6215BB77" w14:textId="77777777" w:rsidR="00CA6B5D" w:rsidRDefault="00CA6B5D" w:rsidP="000C2A54">
            <w:pPr>
              <w:jc w:val="center"/>
              <w:rPr>
                <w:sz w:val="20"/>
                <w:szCs w:val="20"/>
              </w:rPr>
            </w:pPr>
          </w:p>
          <w:p w14:paraId="76C5B2BF" w14:textId="77777777" w:rsidR="001D0DE7" w:rsidRPr="001F61FA" w:rsidRDefault="001D0DE7" w:rsidP="000C2A54">
            <w:pPr>
              <w:jc w:val="center"/>
              <w:rPr>
                <w:sz w:val="20"/>
                <w:szCs w:val="20"/>
              </w:rPr>
            </w:pPr>
            <w:r>
              <w:rPr>
                <w:sz w:val="20"/>
                <w:szCs w:val="20"/>
              </w:rPr>
              <w:t>209</w:t>
            </w:r>
          </w:p>
        </w:tc>
        <w:tc>
          <w:tcPr>
            <w:tcW w:w="1162" w:type="dxa"/>
            <w:vAlign w:val="center"/>
          </w:tcPr>
          <w:p w14:paraId="19674685" w14:textId="77777777" w:rsidR="00CA6B5D" w:rsidRDefault="00CA6B5D" w:rsidP="000C2A54">
            <w:pPr>
              <w:jc w:val="center"/>
              <w:rPr>
                <w:sz w:val="20"/>
                <w:szCs w:val="20"/>
              </w:rPr>
            </w:pPr>
          </w:p>
          <w:p w14:paraId="2A091CFB" w14:textId="77777777" w:rsidR="001D0DE7" w:rsidRPr="001F61FA" w:rsidRDefault="001D0DE7" w:rsidP="000C2A54">
            <w:pPr>
              <w:jc w:val="center"/>
              <w:rPr>
                <w:sz w:val="20"/>
                <w:szCs w:val="20"/>
              </w:rPr>
            </w:pPr>
            <w:r>
              <w:rPr>
                <w:sz w:val="20"/>
                <w:szCs w:val="20"/>
              </w:rPr>
              <w:t>14</w:t>
            </w:r>
          </w:p>
        </w:tc>
      </w:tr>
      <w:tr w:rsidR="00A7412A" w:rsidRPr="003C1FD4" w14:paraId="6447905C" w14:textId="77777777" w:rsidTr="00A7412A">
        <w:trPr>
          <w:jc w:val="center"/>
        </w:trPr>
        <w:tc>
          <w:tcPr>
            <w:tcW w:w="1858" w:type="dxa"/>
            <w:vAlign w:val="center"/>
          </w:tcPr>
          <w:p w14:paraId="17789F05" w14:textId="77777777" w:rsidR="00A7412A" w:rsidRPr="001F61FA" w:rsidRDefault="00A7412A" w:rsidP="000C2A54">
            <w:pPr>
              <w:ind w:left="57"/>
              <w:rPr>
                <w:sz w:val="20"/>
                <w:szCs w:val="20"/>
              </w:rPr>
            </w:pPr>
            <w:r w:rsidRPr="001F61FA">
              <w:rPr>
                <w:sz w:val="20"/>
                <w:szCs w:val="20"/>
              </w:rPr>
              <w:t>Claire Martin</w:t>
            </w:r>
          </w:p>
          <w:p w14:paraId="09794641" w14:textId="77777777" w:rsidR="00A7412A" w:rsidRPr="001F61FA" w:rsidRDefault="00A7412A" w:rsidP="00DE3AEE">
            <w:pPr>
              <w:ind w:left="57"/>
              <w:rPr>
                <w:sz w:val="20"/>
                <w:szCs w:val="20"/>
              </w:rPr>
            </w:pPr>
            <w:r w:rsidRPr="001F61FA">
              <w:rPr>
                <w:sz w:val="20"/>
                <w:szCs w:val="20"/>
              </w:rPr>
              <w:t xml:space="preserve">Director </w:t>
            </w:r>
            <w:r>
              <w:rPr>
                <w:i/>
                <w:sz w:val="20"/>
                <w:szCs w:val="20"/>
              </w:rPr>
              <w:br/>
            </w:r>
          </w:p>
        </w:tc>
        <w:tc>
          <w:tcPr>
            <w:tcW w:w="1670" w:type="dxa"/>
            <w:vAlign w:val="center"/>
          </w:tcPr>
          <w:p w14:paraId="0C88F160" w14:textId="77777777" w:rsidR="00A7412A" w:rsidRPr="001F61FA" w:rsidRDefault="001D0DE7" w:rsidP="000C2A54">
            <w:pPr>
              <w:jc w:val="center"/>
              <w:rPr>
                <w:sz w:val="20"/>
                <w:szCs w:val="20"/>
              </w:rPr>
            </w:pPr>
            <w:r>
              <w:rPr>
                <w:sz w:val="20"/>
                <w:szCs w:val="20"/>
              </w:rPr>
              <w:t>15-20</w:t>
            </w:r>
          </w:p>
        </w:tc>
        <w:tc>
          <w:tcPr>
            <w:tcW w:w="1497" w:type="dxa"/>
            <w:vAlign w:val="center"/>
          </w:tcPr>
          <w:p w14:paraId="7CA0A778" w14:textId="77777777" w:rsidR="00A7412A" w:rsidRPr="001F61FA" w:rsidRDefault="00CA6B5D" w:rsidP="000C2A54">
            <w:pPr>
              <w:jc w:val="center"/>
              <w:rPr>
                <w:sz w:val="20"/>
                <w:szCs w:val="20"/>
              </w:rPr>
            </w:pPr>
            <w:r>
              <w:rPr>
                <w:sz w:val="20"/>
                <w:szCs w:val="20"/>
              </w:rPr>
              <w:t>0-2.5</w:t>
            </w:r>
          </w:p>
        </w:tc>
        <w:tc>
          <w:tcPr>
            <w:tcW w:w="1046" w:type="dxa"/>
            <w:vAlign w:val="center"/>
          </w:tcPr>
          <w:p w14:paraId="3A459E41" w14:textId="77777777" w:rsidR="00A7412A" w:rsidRPr="001F61FA" w:rsidRDefault="001D0DE7" w:rsidP="000C2A54">
            <w:pPr>
              <w:jc w:val="center"/>
              <w:rPr>
                <w:sz w:val="20"/>
                <w:szCs w:val="20"/>
              </w:rPr>
            </w:pPr>
            <w:r>
              <w:rPr>
                <w:sz w:val="20"/>
                <w:szCs w:val="20"/>
              </w:rPr>
              <w:t>197</w:t>
            </w:r>
          </w:p>
        </w:tc>
        <w:tc>
          <w:tcPr>
            <w:tcW w:w="1046" w:type="dxa"/>
            <w:vAlign w:val="center"/>
          </w:tcPr>
          <w:p w14:paraId="1BD5009A" w14:textId="77777777" w:rsidR="00A7412A" w:rsidRPr="001F61FA" w:rsidRDefault="001D0DE7" w:rsidP="000C2A54">
            <w:pPr>
              <w:jc w:val="center"/>
              <w:rPr>
                <w:sz w:val="20"/>
                <w:szCs w:val="20"/>
              </w:rPr>
            </w:pPr>
            <w:r>
              <w:rPr>
                <w:sz w:val="20"/>
                <w:szCs w:val="20"/>
              </w:rPr>
              <w:t>168</w:t>
            </w:r>
          </w:p>
        </w:tc>
        <w:tc>
          <w:tcPr>
            <w:tcW w:w="1162" w:type="dxa"/>
            <w:vAlign w:val="center"/>
          </w:tcPr>
          <w:p w14:paraId="5584D761" w14:textId="77777777" w:rsidR="00A7412A" w:rsidRPr="001F61FA" w:rsidRDefault="001D0DE7" w:rsidP="000C2A54">
            <w:pPr>
              <w:jc w:val="center"/>
              <w:rPr>
                <w:sz w:val="20"/>
                <w:szCs w:val="20"/>
              </w:rPr>
            </w:pPr>
            <w:r>
              <w:rPr>
                <w:sz w:val="20"/>
                <w:szCs w:val="20"/>
              </w:rPr>
              <w:t>17</w:t>
            </w:r>
          </w:p>
        </w:tc>
      </w:tr>
      <w:tr w:rsidR="00A7412A" w:rsidRPr="003C1FD4" w14:paraId="21841256" w14:textId="77777777" w:rsidTr="00A7412A">
        <w:trPr>
          <w:jc w:val="center"/>
        </w:trPr>
        <w:tc>
          <w:tcPr>
            <w:tcW w:w="1858" w:type="dxa"/>
            <w:vAlign w:val="center"/>
          </w:tcPr>
          <w:p w14:paraId="2879F762" w14:textId="77777777" w:rsidR="00A7412A" w:rsidRDefault="00A7412A" w:rsidP="000C2A54">
            <w:pPr>
              <w:ind w:left="57"/>
              <w:rPr>
                <w:sz w:val="20"/>
                <w:szCs w:val="20"/>
              </w:rPr>
            </w:pPr>
            <w:r>
              <w:rPr>
                <w:sz w:val="20"/>
                <w:szCs w:val="20"/>
              </w:rPr>
              <w:t>Rhyannon Blythe</w:t>
            </w:r>
          </w:p>
          <w:p w14:paraId="6A143BE6" w14:textId="77777777" w:rsidR="00A7412A" w:rsidRDefault="00A7412A" w:rsidP="000C2A54">
            <w:pPr>
              <w:ind w:left="57"/>
              <w:rPr>
                <w:sz w:val="20"/>
                <w:szCs w:val="20"/>
              </w:rPr>
            </w:pPr>
            <w:r>
              <w:rPr>
                <w:sz w:val="20"/>
                <w:szCs w:val="20"/>
              </w:rPr>
              <w:t>Director</w:t>
            </w:r>
          </w:p>
          <w:p w14:paraId="254AC378" w14:textId="77777777" w:rsidR="00A7412A" w:rsidRPr="001F61FA" w:rsidRDefault="00A7412A" w:rsidP="00DE3AEE">
            <w:pPr>
              <w:ind w:left="57"/>
              <w:rPr>
                <w:sz w:val="20"/>
                <w:szCs w:val="20"/>
              </w:rPr>
            </w:pPr>
          </w:p>
        </w:tc>
        <w:tc>
          <w:tcPr>
            <w:tcW w:w="1670" w:type="dxa"/>
            <w:vAlign w:val="center"/>
          </w:tcPr>
          <w:p w14:paraId="40398F10" w14:textId="77777777" w:rsidR="00A7412A" w:rsidRPr="001F61FA" w:rsidRDefault="00CA6B5D" w:rsidP="000C2A54">
            <w:pPr>
              <w:jc w:val="center"/>
              <w:rPr>
                <w:sz w:val="20"/>
                <w:szCs w:val="20"/>
              </w:rPr>
            </w:pPr>
            <w:r>
              <w:rPr>
                <w:sz w:val="20"/>
                <w:szCs w:val="20"/>
              </w:rPr>
              <w:t>5-10</w:t>
            </w:r>
          </w:p>
        </w:tc>
        <w:tc>
          <w:tcPr>
            <w:tcW w:w="1497" w:type="dxa"/>
            <w:vAlign w:val="center"/>
          </w:tcPr>
          <w:p w14:paraId="7B3222B0" w14:textId="77777777" w:rsidR="00A7412A" w:rsidRPr="001F61FA" w:rsidRDefault="00CA6B5D" w:rsidP="000C2A54">
            <w:pPr>
              <w:jc w:val="center"/>
              <w:rPr>
                <w:sz w:val="20"/>
                <w:szCs w:val="20"/>
              </w:rPr>
            </w:pPr>
            <w:r>
              <w:rPr>
                <w:sz w:val="20"/>
                <w:szCs w:val="20"/>
              </w:rPr>
              <w:t>0-2.5</w:t>
            </w:r>
          </w:p>
        </w:tc>
        <w:tc>
          <w:tcPr>
            <w:tcW w:w="1046" w:type="dxa"/>
            <w:vAlign w:val="center"/>
          </w:tcPr>
          <w:p w14:paraId="4D69BDE3" w14:textId="77777777" w:rsidR="00A7412A" w:rsidRPr="001F61FA" w:rsidRDefault="001D0DE7" w:rsidP="000C2A54">
            <w:pPr>
              <w:jc w:val="center"/>
              <w:rPr>
                <w:sz w:val="20"/>
                <w:szCs w:val="20"/>
              </w:rPr>
            </w:pPr>
            <w:r>
              <w:rPr>
                <w:sz w:val="20"/>
                <w:szCs w:val="20"/>
              </w:rPr>
              <w:t>83</w:t>
            </w:r>
          </w:p>
        </w:tc>
        <w:tc>
          <w:tcPr>
            <w:tcW w:w="1046" w:type="dxa"/>
            <w:vAlign w:val="center"/>
          </w:tcPr>
          <w:p w14:paraId="6CA6825B" w14:textId="77777777" w:rsidR="00A7412A" w:rsidRPr="001F61FA" w:rsidRDefault="001D0DE7" w:rsidP="000C2A54">
            <w:pPr>
              <w:jc w:val="center"/>
              <w:rPr>
                <w:sz w:val="20"/>
                <w:szCs w:val="20"/>
              </w:rPr>
            </w:pPr>
            <w:r>
              <w:rPr>
                <w:sz w:val="20"/>
                <w:szCs w:val="20"/>
              </w:rPr>
              <w:t>68</w:t>
            </w:r>
          </w:p>
        </w:tc>
        <w:tc>
          <w:tcPr>
            <w:tcW w:w="1162" w:type="dxa"/>
            <w:vAlign w:val="center"/>
          </w:tcPr>
          <w:p w14:paraId="4AE3D58B" w14:textId="77777777" w:rsidR="00A7412A" w:rsidRPr="001F61FA" w:rsidRDefault="00CA6B5D" w:rsidP="000C2A54">
            <w:pPr>
              <w:jc w:val="center"/>
              <w:rPr>
                <w:sz w:val="20"/>
                <w:szCs w:val="20"/>
              </w:rPr>
            </w:pPr>
            <w:r>
              <w:rPr>
                <w:sz w:val="20"/>
                <w:szCs w:val="20"/>
              </w:rPr>
              <w:t>8</w:t>
            </w:r>
          </w:p>
        </w:tc>
      </w:tr>
      <w:tr w:rsidR="00A7412A" w:rsidRPr="003C1FD4" w14:paraId="5E9E96C0" w14:textId="77777777" w:rsidTr="00A7412A">
        <w:trPr>
          <w:jc w:val="center"/>
        </w:trPr>
        <w:tc>
          <w:tcPr>
            <w:tcW w:w="1858" w:type="dxa"/>
            <w:vAlign w:val="center"/>
          </w:tcPr>
          <w:p w14:paraId="62C022BD" w14:textId="77777777" w:rsidR="00A7412A" w:rsidRPr="00737D30" w:rsidRDefault="00A7412A" w:rsidP="3285EAFF">
            <w:pPr>
              <w:rPr>
                <w:color w:val="000000" w:themeColor="text1"/>
                <w:sz w:val="20"/>
                <w:szCs w:val="20"/>
              </w:rPr>
            </w:pPr>
            <w:r w:rsidRPr="00737D30">
              <w:rPr>
                <w:color w:val="000000" w:themeColor="text1"/>
                <w:sz w:val="20"/>
                <w:szCs w:val="20"/>
              </w:rPr>
              <w:t>Eilis Haughey</w:t>
            </w:r>
          </w:p>
          <w:p w14:paraId="0001A107" w14:textId="77777777" w:rsidR="00A7412A" w:rsidRPr="001F61FA" w:rsidRDefault="00A7412A" w:rsidP="000C2A54">
            <w:pPr>
              <w:ind w:left="57"/>
              <w:rPr>
                <w:sz w:val="20"/>
                <w:szCs w:val="20"/>
              </w:rPr>
            </w:pPr>
            <w:r w:rsidRPr="00737D30">
              <w:rPr>
                <w:color w:val="000000" w:themeColor="text1"/>
                <w:sz w:val="20"/>
                <w:szCs w:val="20"/>
              </w:rPr>
              <w:t>Head of Service (Dedicated Mechanism</w:t>
            </w:r>
            <w:r>
              <w:rPr>
                <w:color w:val="000000" w:themeColor="text1"/>
                <w:sz w:val="20"/>
                <w:szCs w:val="20"/>
              </w:rPr>
              <w:t>)</w:t>
            </w:r>
          </w:p>
        </w:tc>
        <w:tc>
          <w:tcPr>
            <w:tcW w:w="1670" w:type="dxa"/>
            <w:vAlign w:val="center"/>
          </w:tcPr>
          <w:p w14:paraId="598B4064" w14:textId="77777777" w:rsidR="00A7412A" w:rsidRPr="001F61FA" w:rsidRDefault="00CA6B5D" w:rsidP="000C2A54">
            <w:pPr>
              <w:jc w:val="center"/>
              <w:rPr>
                <w:sz w:val="20"/>
                <w:szCs w:val="20"/>
              </w:rPr>
            </w:pPr>
            <w:r>
              <w:rPr>
                <w:sz w:val="20"/>
                <w:szCs w:val="20"/>
              </w:rPr>
              <w:t>0-5</w:t>
            </w:r>
          </w:p>
        </w:tc>
        <w:tc>
          <w:tcPr>
            <w:tcW w:w="1497" w:type="dxa"/>
            <w:vAlign w:val="center"/>
          </w:tcPr>
          <w:p w14:paraId="4E3214AB" w14:textId="77777777" w:rsidR="00A7412A" w:rsidRPr="001F61FA" w:rsidRDefault="00CA6B5D" w:rsidP="000C2A54">
            <w:pPr>
              <w:jc w:val="center"/>
              <w:rPr>
                <w:sz w:val="20"/>
                <w:szCs w:val="20"/>
              </w:rPr>
            </w:pPr>
            <w:r>
              <w:rPr>
                <w:sz w:val="20"/>
                <w:szCs w:val="20"/>
              </w:rPr>
              <w:t>0-2.5</w:t>
            </w:r>
          </w:p>
        </w:tc>
        <w:tc>
          <w:tcPr>
            <w:tcW w:w="1046" w:type="dxa"/>
            <w:vAlign w:val="center"/>
          </w:tcPr>
          <w:p w14:paraId="724FD1BD" w14:textId="77777777" w:rsidR="00A7412A" w:rsidRPr="001F61FA" w:rsidRDefault="001D0DE7" w:rsidP="000C2A54">
            <w:pPr>
              <w:jc w:val="center"/>
              <w:rPr>
                <w:sz w:val="20"/>
                <w:szCs w:val="20"/>
              </w:rPr>
            </w:pPr>
            <w:r>
              <w:rPr>
                <w:sz w:val="20"/>
                <w:szCs w:val="20"/>
              </w:rPr>
              <w:t>20</w:t>
            </w:r>
          </w:p>
        </w:tc>
        <w:tc>
          <w:tcPr>
            <w:tcW w:w="1046" w:type="dxa"/>
            <w:vAlign w:val="center"/>
          </w:tcPr>
          <w:p w14:paraId="7B2E35E5" w14:textId="77777777" w:rsidR="00A7412A" w:rsidRPr="001F61FA" w:rsidRDefault="001D0DE7" w:rsidP="000C2A54">
            <w:pPr>
              <w:jc w:val="center"/>
              <w:rPr>
                <w:sz w:val="20"/>
                <w:szCs w:val="20"/>
              </w:rPr>
            </w:pPr>
            <w:r>
              <w:rPr>
                <w:sz w:val="20"/>
                <w:szCs w:val="20"/>
              </w:rPr>
              <w:t>3</w:t>
            </w:r>
          </w:p>
        </w:tc>
        <w:tc>
          <w:tcPr>
            <w:tcW w:w="1162" w:type="dxa"/>
            <w:vAlign w:val="center"/>
          </w:tcPr>
          <w:p w14:paraId="36D6844F" w14:textId="77777777" w:rsidR="00A7412A" w:rsidRPr="001F61FA" w:rsidRDefault="001D0DE7" w:rsidP="000C2A54">
            <w:pPr>
              <w:jc w:val="center"/>
              <w:rPr>
                <w:sz w:val="20"/>
                <w:szCs w:val="20"/>
              </w:rPr>
            </w:pPr>
            <w:r>
              <w:rPr>
                <w:sz w:val="20"/>
                <w:szCs w:val="20"/>
              </w:rPr>
              <w:t>13</w:t>
            </w:r>
          </w:p>
        </w:tc>
      </w:tr>
    </w:tbl>
    <w:p w14:paraId="050A2B9B" w14:textId="77777777" w:rsidR="00251E9E" w:rsidRDefault="00251E9E" w:rsidP="000C2A54">
      <w:pPr>
        <w:rPr>
          <w:snapToGrid w:val="0"/>
        </w:rPr>
      </w:pPr>
    </w:p>
    <w:p w14:paraId="72378357" w14:textId="77777777" w:rsidR="000C2A54" w:rsidRDefault="000C2A54" w:rsidP="000C2A54">
      <w:r w:rsidRPr="00D80497">
        <w:rPr>
          <w:snapToGrid w:val="0"/>
        </w:rPr>
        <w:t>The pension information for the senior management team follows guidance in the Employer</w:t>
      </w:r>
      <w:r>
        <w:rPr>
          <w:snapToGrid w:val="0"/>
        </w:rPr>
        <w:t xml:space="preserve"> Pension Notice </w:t>
      </w:r>
      <w:r w:rsidR="0049092B">
        <w:rPr>
          <w:snapToGrid w:val="0"/>
        </w:rPr>
        <w:t>EPN</w:t>
      </w:r>
      <w:r w:rsidR="78B55AC4">
        <w:rPr>
          <w:snapToGrid w:val="0"/>
        </w:rPr>
        <w:t>6</w:t>
      </w:r>
      <w:r w:rsidR="00A83114">
        <w:rPr>
          <w:snapToGrid w:val="0"/>
        </w:rPr>
        <w:t xml:space="preserve">47 </w:t>
      </w:r>
      <w:r w:rsidRPr="00D80497">
        <w:rPr>
          <w:snapToGrid w:val="0"/>
        </w:rPr>
        <w:t>issued by the Civil Service Pensions.</w:t>
      </w:r>
    </w:p>
    <w:p w14:paraId="56B69CFC" w14:textId="77777777" w:rsidR="000C2A54" w:rsidRPr="00D80497" w:rsidRDefault="000C2A54" w:rsidP="000C2A54">
      <w:pPr>
        <w:rPr>
          <w:snapToGrid w:val="0"/>
        </w:rPr>
      </w:pPr>
    </w:p>
    <w:p w14:paraId="36B15D78" w14:textId="77777777" w:rsidR="000C2A54" w:rsidRDefault="000C2A54" w:rsidP="000C2A54">
      <w:pPr>
        <w:rPr>
          <w:snapToGrid w:val="0"/>
        </w:rPr>
      </w:pPr>
      <w:r w:rsidRPr="00D80497">
        <w:rPr>
          <w:snapToGrid w:val="0"/>
        </w:rPr>
        <w:t xml:space="preserve">Pension benefits are provided through the Civil Service pension arrangements.  </w:t>
      </w:r>
      <w:r>
        <w:rPr>
          <w:snapToGrid w:val="0"/>
        </w:rPr>
        <w:t>From 1 April 2015</w:t>
      </w:r>
      <w:r w:rsidR="00281F8F">
        <w:rPr>
          <w:snapToGrid w:val="0"/>
        </w:rPr>
        <w:t>,</w:t>
      </w:r>
      <w:r>
        <w:rPr>
          <w:snapToGrid w:val="0"/>
        </w:rPr>
        <w:t xml:space="preserve"> a new pension scheme for civil servants was introduced – the Civil Servants and Others Pension Scheme or </w:t>
      </w:r>
      <w:r w:rsidRPr="008C13C1">
        <w:rPr>
          <w:snapToGrid w:val="0"/>
        </w:rPr>
        <w:t>alpha</w:t>
      </w:r>
      <w:r>
        <w:rPr>
          <w:snapToGrid w:val="0"/>
        </w:rPr>
        <w:t xml:space="preserve">, which provides benefits on a career average basis with a normal pension age equal to the member’s State Pension Age (or 65 if higher).  From that </w:t>
      </w:r>
      <w:r w:rsidR="00B12D00">
        <w:rPr>
          <w:snapToGrid w:val="0"/>
        </w:rPr>
        <w:t>date,</w:t>
      </w:r>
      <w:r>
        <w:rPr>
          <w:snapToGrid w:val="0"/>
        </w:rPr>
        <w:t xml:space="preserve"> all newly appointed employees and </w:t>
      </w:r>
      <w:r w:rsidR="000F2DC4">
        <w:rPr>
          <w:snapToGrid w:val="0"/>
        </w:rPr>
        <w:t xml:space="preserve">the majority of </w:t>
      </w:r>
      <w:r>
        <w:rPr>
          <w:snapToGrid w:val="0"/>
        </w:rPr>
        <w:t xml:space="preserve">those already in service joined </w:t>
      </w:r>
      <w:r w:rsidRPr="008C13C1">
        <w:rPr>
          <w:snapToGrid w:val="0"/>
        </w:rPr>
        <w:t>alpha</w:t>
      </w:r>
      <w:r>
        <w:rPr>
          <w:snapToGrid w:val="0"/>
        </w:rPr>
        <w:t>.  Prior to that date, employees participated in the Principal Civil Service Pension Scheme (PCSPS).  The PCSPS has four sections: three providing benefits on a final salary basis (classic, premium or classic plus) with a normal pension age of 60; and one providing benefits on a whole career basis (nuvos) with a normal pension age of 65.</w:t>
      </w:r>
    </w:p>
    <w:p w14:paraId="4D5B89FA" w14:textId="77777777" w:rsidR="000C2A54" w:rsidRDefault="000C2A54" w:rsidP="000C2A54">
      <w:pPr>
        <w:rPr>
          <w:snapToGrid w:val="0"/>
        </w:rPr>
      </w:pPr>
    </w:p>
    <w:p w14:paraId="4BC91D4D" w14:textId="4731A3BF" w:rsidR="000C2A54" w:rsidRPr="00F0587C" w:rsidRDefault="000C2A54" w:rsidP="00F0587C">
      <w:pPr>
        <w:pStyle w:val="CommentText"/>
        <w:rPr>
          <w:sz w:val="24"/>
          <w:szCs w:val="24"/>
        </w:rPr>
      </w:pPr>
      <w:r w:rsidRPr="00F0587C">
        <w:rPr>
          <w:snapToGrid w:val="0"/>
          <w:sz w:val="24"/>
          <w:szCs w:val="24"/>
        </w:rPr>
        <w:t xml:space="preserve">These statutory arrangements are unfunded with the cost of benefits met by monies voted by Parliament each year.  Pensions payable under classic, premium, classic plus, nuvos and alpha are increased annually in line with Pensions Increase legislation.  Existing members of the PCSPS who were within 10 years of their normal pension age on 1 April 2012 remained in the PCSPS after 1 April 2015.  Those who were between 10 years and 13 years and 5 months from their normal pension age on 1 April 2012 moved to alpha from 1 April 2015.  </w:t>
      </w:r>
      <w:r w:rsidR="0049092B" w:rsidRPr="00F0587C">
        <w:rPr>
          <w:snapToGrid w:val="0"/>
          <w:sz w:val="24"/>
          <w:szCs w:val="24"/>
        </w:rPr>
        <w:t xml:space="preserve">Those who were between 10 years and 13 years and 5 months from their normal pension age on 1 April 2012 will switch into alpha sometime between 1 June 2015 and 1 February 2022.   </w:t>
      </w:r>
      <w:r w:rsidR="00F0587C" w:rsidRPr="00F0587C">
        <w:rPr>
          <w:snapToGrid w:val="0"/>
          <w:sz w:val="24"/>
          <w:szCs w:val="24"/>
        </w:rPr>
        <w:t xml:space="preserve">Because the Government plans to remove discrimination identified by the courts in the way that the 2015 pension reforms were introduced for some members, it is expected that, in due course, eligible members with relevant service between 1 April 2015 and 31 March 2022 may be entitled to different pension benefits in relation to that period (and this may affect the Cash Equivalent Transfer Values shown in this report – see below). </w:t>
      </w:r>
      <w:r w:rsidRPr="00F0587C">
        <w:rPr>
          <w:snapToGrid w:val="0"/>
          <w:sz w:val="24"/>
          <w:szCs w:val="24"/>
        </w:rPr>
        <w:t xml:space="preserve">All members who </w:t>
      </w:r>
      <w:r w:rsidR="00CF2FCF" w:rsidRPr="00F0587C">
        <w:rPr>
          <w:snapToGrid w:val="0"/>
          <w:sz w:val="24"/>
          <w:szCs w:val="24"/>
        </w:rPr>
        <w:t xml:space="preserve">switch </w:t>
      </w:r>
      <w:r w:rsidRPr="00F0587C">
        <w:rPr>
          <w:snapToGrid w:val="0"/>
          <w:sz w:val="24"/>
          <w:szCs w:val="24"/>
        </w:rPr>
        <w:t xml:space="preserve">to alpha </w:t>
      </w:r>
      <w:r w:rsidR="00CF2FCF" w:rsidRPr="00F0587C">
        <w:rPr>
          <w:snapToGrid w:val="0"/>
          <w:sz w:val="24"/>
          <w:szCs w:val="24"/>
        </w:rPr>
        <w:t>have their</w:t>
      </w:r>
      <w:r w:rsidRPr="00F0587C">
        <w:rPr>
          <w:snapToGrid w:val="0"/>
          <w:sz w:val="24"/>
          <w:szCs w:val="24"/>
        </w:rPr>
        <w:t xml:space="preserve"> PCSPS benefits ‘banked’, with those with earlier benefits in one of the final salary sections of the PCSPS having those benefits based on their final salary when they leave alpha.  The pension figures quoted show pension earned in PCSPS or alpha.  </w:t>
      </w:r>
      <w:r w:rsidR="00CF2FCF" w:rsidRPr="00F0587C">
        <w:rPr>
          <w:snapToGrid w:val="0"/>
          <w:sz w:val="24"/>
          <w:szCs w:val="24"/>
        </w:rPr>
        <w:t xml:space="preserve">(The pension figures quoted show pension earned in PCSPC or alpha – as appropriate.  Where the employee has benefits in both the PCSPS and </w:t>
      </w:r>
      <w:r w:rsidR="00B12D00" w:rsidRPr="00F0587C">
        <w:rPr>
          <w:snapToGrid w:val="0"/>
          <w:sz w:val="24"/>
          <w:szCs w:val="24"/>
        </w:rPr>
        <w:t>alpha,</w:t>
      </w:r>
      <w:r w:rsidR="00CF2FCF" w:rsidRPr="00F0587C">
        <w:rPr>
          <w:snapToGrid w:val="0"/>
          <w:sz w:val="24"/>
          <w:szCs w:val="24"/>
        </w:rPr>
        <w:t xml:space="preserve"> the figure quoted is the combined value of their benefits in the two schemes.)  </w:t>
      </w:r>
      <w:r w:rsidRPr="00F0587C">
        <w:rPr>
          <w:snapToGrid w:val="0"/>
          <w:sz w:val="24"/>
          <w:szCs w:val="24"/>
        </w:rPr>
        <w:t>Members joining from October 2002 may opt for either the appropriate defined benefit arrangement or a ‘money purchase’ stakeholder pension with an employer contribution (partnership pension account).</w:t>
      </w:r>
    </w:p>
    <w:p w14:paraId="7D75F8DF" w14:textId="77777777" w:rsidR="000C2A54" w:rsidRPr="007F2DCD" w:rsidRDefault="000C2A54" w:rsidP="000C2A54">
      <w:pPr>
        <w:rPr>
          <w:snapToGrid w:val="0"/>
          <w:sz w:val="22"/>
          <w:szCs w:val="22"/>
        </w:rPr>
      </w:pPr>
    </w:p>
    <w:p w14:paraId="00B9A4AA" w14:textId="27E592EE" w:rsidR="000C2A54" w:rsidRPr="00D80497" w:rsidRDefault="000C2A54" w:rsidP="000C2A54">
      <w:pPr>
        <w:rPr>
          <w:snapToGrid w:val="0"/>
        </w:rPr>
      </w:pPr>
      <w:r w:rsidRPr="00D80497">
        <w:rPr>
          <w:snapToGrid w:val="0"/>
        </w:rPr>
        <w:t xml:space="preserve">Employee contributions are </w:t>
      </w:r>
      <w:r>
        <w:rPr>
          <w:snapToGrid w:val="0"/>
        </w:rPr>
        <w:t xml:space="preserve">salary-related and range between </w:t>
      </w:r>
      <w:r w:rsidR="00CF2FCF">
        <w:rPr>
          <w:snapToGrid w:val="0"/>
        </w:rPr>
        <w:t xml:space="preserve">4.6 </w:t>
      </w:r>
      <w:r>
        <w:rPr>
          <w:snapToGrid w:val="0"/>
        </w:rPr>
        <w:t xml:space="preserve">per cent and 8.05 </w:t>
      </w:r>
      <w:r w:rsidR="000F2DC4">
        <w:rPr>
          <w:snapToGrid w:val="0"/>
        </w:rPr>
        <w:t xml:space="preserve">per cent </w:t>
      </w:r>
      <w:r w:rsidR="00CF2FCF">
        <w:rPr>
          <w:snapToGrid w:val="0"/>
        </w:rPr>
        <w:t xml:space="preserve">for members of classic, premium, classic plus, nuvos and alpha.  </w:t>
      </w:r>
      <w:r w:rsidRPr="00D80497">
        <w:rPr>
          <w:snapToGrid w:val="0"/>
        </w:rPr>
        <w:t>Benefits in classic accrue at the rate of 1/80</w:t>
      </w:r>
      <w:r w:rsidRPr="00D80497">
        <w:rPr>
          <w:snapToGrid w:val="0"/>
          <w:vertAlign w:val="superscript"/>
        </w:rPr>
        <w:t>th</w:t>
      </w:r>
      <w:r w:rsidRPr="00D80497">
        <w:rPr>
          <w:snapToGrid w:val="0"/>
        </w:rPr>
        <w:t xml:space="preserve"> of final pensionable earnings for each year of service.  In addition, a lump sum equivalent to three years</w:t>
      </w:r>
      <w:r w:rsidR="0072512F">
        <w:rPr>
          <w:snapToGrid w:val="0"/>
        </w:rPr>
        <w:t>’</w:t>
      </w:r>
      <w:r w:rsidRPr="00D80497">
        <w:rPr>
          <w:snapToGrid w:val="0"/>
        </w:rPr>
        <w:t xml:space="preserve"> initial pension is payable on retirement.  For premium, benefits accrue at the rate of 1/60</w:t>
      </w:r>
      <w:r w:rsidRPr="00D80497">
        <w:rPr>
          <w:snapToGrid w:val="0"/>
          <w:vertAlign w:val="superscript"/>
        </w:rPr>
        <w:t>th</w:t>
      </w:r>
      <w:r w:rsidRPr="00D80497">
        <w:rPr>
          <w:snapToGrid w:val="0"/>
        </w:rPr>
        <w:t xml:space="preserve"> of final pensionable earnings for each year of service.  Unlike classic, there is no automatic lump sum.  Classic plus is essentially a hybrid with benefits for service before 1 October 2002 calculated broadly as per classic and benefits for service from October 2002 worked out as in premium.  In </w:t>
      </w:r>
      <w:r w:rsidR="00B12D00" w:rsidRPr="00D80497">
        <w:rPr>
          <w:snapToGrid w:val="0"/>
        </w:rPr>
        <w:t>nuvos,</w:t>
      </w:r>
      <w:r w:rsidRPr="00D80497">
        <w:rPr>
          <w:snapToGrid w:val="0"/>
        </w:rPr>
        <w:t xml:space="preserve"> a member builds up a pension based on his pensionable earnings during their period of scheme membership.  At the end of the scheme year (31 March) the member’s earned pension account is credited with 2.3 per cent of their pensionable earnings in that scheme year and the accrued pension is uprated in line with Pensions Increase legislation.  </w:t>
      </w:r>
      <w:r>
        <w:rPr>
          <w:snapToGrid w:val="0"/>
        </w:rPr>
        <w:t xml:space="preserve">Benefits in alpha build up in a similar way to nuvos, except that the accrual rate is 2.32 per cent.  </w:t>
      </w:r>
      <w:r w:rsidRPr="00D80497">
        <w:rPr>
          <w:snapToGrid w:val="0"/>
        </w:rPr>
        <w:t xml:space="preserve">In all </w:t>
      </w:r>
      <w:r w:rsidR="00B12D00" w:rsidRPr="00D80497">
        <w:rPr>
          <w:snapToGrid w:val="0"/>
        </w:rPr>
        <w:t>cases,</w:t>
      </w:r>
      <w:r w:rsidRPr="00D80497">
        <w:rPr>
          <w:snapToGrid w:val="0"/>
        </w:rPr>
        <w:t xml:space="preserve"> members may opt to give up (commute) pension for a lump sum up to the limits set by the Finance Act 2004.</w:t>
      </w:r>
    </w:p>
    <w:p w14:paraId="6CEEAC2D" w14:textId="77777777" w:rsidR="000C2A54" w:rsidRPr="00D80497" w:rsidRDefault="000C2A54" w:rsidP="000C2A54">
      <w:pPr>
        <w:rPr>
          <w:snapToGrid w:val="0"/>
        </w:rPr>
      </w:pPr>
      <w:r w:rsidRPr="00D80497">
        <w:rPr>
          <w:snapToGrid w:val="0"/>
        </w:rPr>
        <w:t xml:space="preserve">The partnership pension account is a stakeholder pension arrangement.  The employer makes a basic contribution of </w:t>
      </w:r>
      <w:r w:rsidR="00731FD6">
        <w:rPr>
          <w:snapToGrid w:val="0"/>
        </w:rPr>
        <w:t xml:space="preserve">between </w:t>
      </w:r>
      <w:r>
        <w:rPr>
          <w:snapToGrid w:val="0"/>
        </w:rPr>
        <w:t xml:space="preserve">8 per cent and 14.75 per cent </w:t>
      </w:r>
      <w:r w:rsidR="00CF2FCF">
        <w:rPr>
          <w:snapToGrid w:val="0"/>
        </w:rPr>
        <w:t xml:space="preserve">(depending on the age of the member) </w:t>
      </w:r>
      <w:r w:rsidRPr="00D80497">
        <w:rPr>
          <w:snapToGrid w:val="0"/>
        </w:rPr>
        <w:t xml:space="preserve">into a stakeholder pension product chosen by the employee from </w:t>
      </w:r>
      <w:r w:rsidR="00B40BF6">
        <w:rPr>
          <w:snapToGrid w:val="0"/>
        </w:rPr>
        <w:t>the appointed provider – Legal and General</w:t>
      </w:r>
      <w:r w:rsidRPr="00D80497">
        <w:rPr>
          <w:snapToGrid w:val="0"/>
        </w:rPr>
        <w:t xml:space="preserve">.  The employee does not have to contribute, but where they do make contributions, the employer will match these up to a limit of 3 per cent of pensionable salary (in addition to the employer’s basic contribution).  Employers also contribute a further </w:t>
      </w:r>
      <w:r>
        <w:rPr>
          <w:snapToGrid w:val="0"/>
        </w:rPr>
        <w:t xml:space="preserve">0.5 per cent of pensionable salary </w:t>
      </w:r>
      <w:r w:rsidRPr="00D80497">
        <w:rPr>
          <w:snapToGrid w:val="0"/>
        </w:rPr>
        <w:t>to cover the cost of centrally-provided risk benefit cover (death in service and ill health retirement).</w:t>
      </w:r>
    </w:p>
    <w:p w14:paraId="1B5030D0" w14:textId="77777777" w:rsidR="000C2A54" w:rsidRPr="00D80497" w:rsidRDefault="000C2A54" w:rsidP="000C2A54">
      <w:pPr>
        <w:rPr>
          <w:snapToGrid w:val="0"/>
        </w:rPr>
      </w:pPr>
    </w:p>
    <w:p w14:paraId="6E6D6151" w14:textId="77777777" w:rsidR="000C2A54" w:rsidRPr="00D80497" w:rsidRDefault="000C2A54" w:rsidP="000C2A54">
      <w:pPr>
        <w:rPr>
          <w:snapToGrid w:val="0"/>
        </w:rPr>
      </w:pPr>
      <w:r w:rsidRPr="00D80497">
        <w:rPr>
          <w:snapToGrid w:val="0"/>
        </w:rPr>
        <w:t>The accrued pension quoted is the pension the member is entitled to receive when they reach pension age, or immediately on ceasing to be an active member of the scheme if they are already at or over pension age.  Pension age is 60 for members of classi</w:t>
      </w:r>
      <w:r>
        <w:rPr>
          <w:snapToGrid w:val="0"/>
        </w:rPr>
        <w:t>c, premium and classic plus, 65 for members of nuvos, and the higher of 65 or State Pension Age for members of alpha.  (The pension figures quoted show pension earned in PCSPS or alpha</w:t>
      </w:r>
      <w:r w:rsidR="00CF2FCF">
        <w:rPr>
          <w:snapToGrid w:val="0"/>
        </w:rPr>
        <w:t xml:space="preserve"> -</w:t>
      </w:r>
      <w:r>
        <w:rPr>
          <w:snapToGrid w:val="0"/>
        </w:rPr>
        <w:t xml:space="preserve"> as appropriate.  Where there are benefits in both the PCSPS and alpha the figure quoted is the combined value of the benefits in the two schemes, but note that part of that pension may be payable from different ages.)</w:t>
      </w:r>
    </w:p>
    <w:p w14:paraId="753B64BF" w14:textId="77777777" w:rsidR="000C2A54" w:rsidRPr="007F2DCD" w:rsidRDefault="000C2A54" w:rsidP="000C2A54">
      <w:pPr>
        <w:rPr>
          <w:sz w:val="22"/>
          <w:szCs w:val="22"/>
        </w:rPr>
      </w:pPr>
    </w:p>
    <w:p w14:paraId="0294EB33" w14:textId="77777777" w:rsidR="000C2A54" w:rsidRPr="00D80497" w:rsidRDefault="000C2A54" w:rsidP="000C2A54">
      <w:pPr>
        <w:pStyle w:val="PlainText"/>
        <w:rPr>
          <w:rFonts w:ascii="Verdana" w:hAnsi="Verdana"/>
          <w:color w:val="000000"/>
          <w:sz w:val="24"/>
          <w:szCs w:val="24"/>
        </w:rPr>
      </w:pPr>
      <w:r w:rsidRPr="00D80497">
        <w:rPr>
          <w:rFonts w:ascii="Verdana" w:hAnsi="Verdana"/>
          <w:snapToGrid w:val="0"/>
          <w:color w:val="000000"/>
          <w:sz w:val="24"/>
          <w:szCs w:val="24"/>
        </w:rPr>
        <w:t xml:space="preserve">Further details about the Civil Service pension arrangements can be found at the website: </w:t>
      </w:r>
      <w:r w:rsidRPr="00D80497">
        <w:rPr>
          <w:rFonts w:ascii="Verdana" w:hAnsi="Verdana"/>
          <w:i/>
          <w:color w:val="000000"/>
          <w:sz w:val="24"/>
          <w:szCs w:val="24"/>
        </w:rPr>
        <w:t>http://www.civilservicepensionscheme.org.uk/.</w:t>
      </w:r>
    </w:p>
    <w:p w14:paraId="260FC817" w14:textId="77777777" w:rsidR="000C2A54" w:rsidRPr="00D80497" w:rsidRDefault="000C2A54" w:rsidP="000C2A54"/>
    <w:p w14:paraId="467BD58D" w14:textId="77777777" w:rsidR="000C2A54" w:rsidRPr="00D80497" w:rsidRDefault="000C2A54" w:rsidP="000C2A54">
      <w:pPr>
        <w:rPr>
          <w:snapToGrid w:val="0"/>
          <w:u w:val="single"/>
        </w:rPr>
      </w:pPr>
      <w:r w:rsidRPr="00D80497">
        <w:rPr>
          <w:snapToGrid w:val="0"/>
          <w:u w:val="single"/>
        </w:rPr>
        <w:t>Cash Equivalent Transfer Values</w:t>
      </w:r>
    </w:p>
    <w:p w14:paraId="17BC5FBC" w14:textId="77777777" w:rsidR="000C2A54" w:rsidRPr="00D80497" w:rsidRDefault="000C2A54" w:rsidP="000C2A54">
      <w:pPr>
        <w:rPr>
          <w:snapToGrid w:val="0"/>
          <w:u w:val="single"/>
        </w:rPr>
      </w:pPr>
    </w:p>
    <w:p w14:paraId="30B17D26" w14:textId="77777777" w:rsidR="000C2A54" w:rsidRPr="00D80497" w:rsidRDefault="000C2A54" w:rsidP="000C2A54">
      <w:pPr>
        <w:pStyle w:val="BodyText"/>
        <w:spacing w:after="0"/>
        <w:rPr>
          <w:snapToGrid w:val="0"/>
        </w:rPr>
      </w:pPr>
      <w:r w:rsidRPr="00D80497">
        <w:rPr>
          <w:snapToGrid w:val="0"/>
        </w:rPr>
        <w:t xml:space="preserve">A Cash Equivalent Transfer Value (CETV) is the actuarially assessed capitalised value of the pension scheme benefits accrued by a member at a particular point in time.  The benefits valued are the member’s accrued benefits and any contingent spouse’s pension payable from the scheme.  A CETV is a payment made by a pension scheme or arrangement to secure pension benefits in another pension scheme or arrangement when the member leaves a scheme and chooses to transfer the benefits accrued in their former scheme.  The pension figures shown relate to the benefits that the individual has accrued as a consequence of their total membership of the pension scheme, not just their service in a senior capacity to which disclosure applies. </w:t>
      </w:r>
    </w:p>
    <w:p w14:paraId="241AEA15" w14:textId="77777777" w:rsidR="000C2A54" w:rsidRPr="007F2DCD" w:rsidRDefault="000C2A54" w:rsidP="000C2A54">
      <w:pPr>
        <w:pStyle w:val="BodyText"/>
        <w:spacing w:after="0"/>
        <w:rPr>
          <w:snapToGrid w:val="0"/>
          <w:sz w:val="22"/>
          <w:szCs w:val="22"/>
        </w:rPr>
      </w:pPr>
    </w:p>
    <w:p w14:paraId="18EF20D8" w14:textId="054CEC90" w:rsidR="000C2A54" w:rsidRPr="00127FEE" w:rsidRDefault="000C2A54" w:rsidP="00127FEE">
      <w:pPr>
        <w:pStyle w:val="BodyText"/>
        <w:spacing w:after="0"/>
        <w:rPr>
          <w:snapToGrid w:val="0"/>
        </w:rPr>
      </w:pPr>
      <w:r w:rsidRPr="00D80497">
        <w:rPr>
          <w:snapToGrid w:val="0"/>
        </w:rPr>
        <w:t xml:space="preserve">The figures include the value of any pension benefit in another scheme or </w:t>
      </w:r>
      <w:r w:rsidR="00B12D00" w:rsidRPr="00D80497">
        <w:rPr>
          <w:snapToGrid w:val="0"/>
        </w:rPr>
        <w:t>arrangement, which</w:t>
      </w:r>
      <w:r w:rsidRPr="00D80497">
        <w:rPr>
          <w:snapToGrid w:val="0"/>
        </w:rPr>
        <w:t xml:space="preserve"> the member has transferred to the Civil Service pension arrangements.  They also include any additional pension benefit accrued to the member as a result of their buying additional pension benefits at their own cost.  CETVs are worked out </w:t>
      </w:r>
      <w:r>
        <w:rPr>
          <w:snapToGrid w:val="0"/>
        </w:rPr>
        <w:t xml:space="preserve">in accordance with The Occupational Pension Schemes (Transfer Values) (Amendment) Regulations 2008 and do </w:t>
      </w:r>
      <w:r w:rsidRPr="00D80497">
        <w:rPr>
          <w:snapToGrid w:val="0"/>
        </w:rPr>
        <w:t>not take account of any actual or potential reduction to benefits resulting from Lifetime Allowance Tax which may be due when pension benefits are taken.</w:t>
      </w:r>
    </w:p>
    <w:p w14:paraId="28CBBE3C" w14:textId="77777777" w:rsidR="000C2A54" w:rsidRPr="00D80497" w:rsidRDefault="000C2A54" w:rsidP="000C2A54">
      <w:pPr>
        <w:pStyle w:val="Heading4"/>
        <w:spacing w:before="0" w:after="0"/>
        <w:rPr>
          <w:rFonts w:ascii="Verdana" w:hAnsi="Verdana"/>
          <w:b w:val="0"/>
          <w:sz w:val="24"/>
          <w:szCs w:val="24"/>
          <w:u w:val="single"/>
        </w:rPr>
      </w:pPr>
      <w:r w:rsidRPr="00D80497">
        <w:rPr>
          <w:rFonts w:ascii="Verdana" w:hAnsi="Verdana"/>
          <w:b w:val="0"/>
          <w:sz w:val="24"/>
          <w:szCs w:val="24"/>
          <w:u w:val="single"/>
        </w:rPr>
        <w:t>Real increase in CETV</w:t>
      </w:r>
    </w:p>
    <w:p w14:paraId="2B4DCD61" w14:textId="77777777" w:rsidR="000C2A54" w:rsidRPr="00D80497" w:rsidRDefault="000C2A54" w:rsidP="000C2A54"/>
    <w:p w14:paraId="62CCC3F3" w14:textId="77777777" w:rsidR="00B46DC5" w:rsidRDefault="000C2A54">
      <w:pPr>
        <w:rPr>
          <w:snapToGrid w:val="0"/>
        </w:rPr>
      </w:pPr>
      <w:r w:rsidRPr="00D80497">
        <w:rPr>
          <w:snapToGrid w:val="0"/>
        </w:rPr>
        <w:t>This reflects the increase in CETV that is funded by the employer.  It does not include the increase in accrued pension due to inflation, contributions paid by the employee (including the value of any benefits transferred from another pension scheme or arrangement) and uses common market valuation factors for the start and end of the period.</w:t>
      </w:r>
      <w:bookmarkStart w:id="14" w:name="StaffReport"/>
    </w:p>
    <w:p w14:paraId="4C512235" w14:textId="77777777" w:rsidR="00F61A65" w:rsidRDefault="00F61A65" w:rsidP="00827D54">
      <w:pPr>
        <w:rPr>
          <w:b/>
        </w:rPr>
      </w:pPr>
    </w:p>
    <w:p w14:paraId="5F9A3BB8" w14:textId="77777777" w:rsidR="000C2A54" w:rsidRDefault="000C2A54" w:rsidP="000C2A54">
      <w:pPr>
        <w:ind w:left="567" w:hanging="567"/>
        <w:rPr>
          <w:b/>
        </w:rPr>
      </w:pPr>
      <w:r>
        <w:rPr>
          <w:b/>
        </w:rPr>
        <w:t>Staff Report</w:t>
      </w:r>
      <w:r w:rsidR="0057710A">
        <w:rPr>
          <w:b/>
        </w:rPr>
        <w:t xml:space="preserve"> </w:t>
      </w:r>
    </w:p>
    <w:bookmarkEnd w:id="14"/>
    <w:p w14:paraId="3AF1F456" w14:textId="77777777" w:rsidR="000C2A54" w:rsidRDefault="000C2A54" w:rsidP="000C2A54">
      <w:pPr>
        <w:ind w:left="567" w:hanging="567"/>
        <w:rPr>
          <w:b/>
        </w:rPr>
      </w:pPr>
    </w:p>
    <w:p w14:paraId="6F374FB2" w14:textId="77777777" w:rsidR="000C2A54" w:rsidRPr="00D73014" w:rsidRDefault="000C2A54" w:rsidP="000C2A54">
      <w:pPr>
        <w:ind w:left="567" w:hanging="567"/>
      </w:pPr>
      <w:r w:rsidRPr="00F97E5F">
        <w:rPr>
          <w:b/>
        </w:rPr>
        <w:t>Staff numbers and related costs</w:t>
      </w:r>
      <w:r>
        <w:rPr>
          <w:b/>
        </w:rPr>
        <w:t xml:space="preserve"> </w:t>
      </w:r>
      <w:r>
        <w:t>(audited information)</w:t>
      </w:r>
    </w:p>
    <w:p w14:paraId="37F9524E" w14:textId="77777777" w:rsidR="000C2A54" w:rsidRPr="00832258" w:rsidRDefault="000C2A54" w:rsidP="000C2A54"/>
    <w:tbl>
      <w:tblPr>
        <w:tblW w:w="10655" w:type="dxa"/>
        <w:jc w:val="center"/>
        <w:tblLayout w:type="fixed"/>
        <w:tblLook w:val="01E0" w:firstRow="1" w:lastRow="1" w:firstColumn="1" w:lastColumn="1" w:noHBand="0" w:noVBand="0"/>
      </w:tblPr>
      <w:tblGrid>
        <w:gridCol w:w="2461"/>
        <w:gridCol w:w="1534"/>
        <w:gridCol w:w="1980"/>
        <w:gridCol w:w="1800"/>
        <w:gridCol w:w="1440"/>
        <w:gridCol w:w="1440"/>
      </w:tblGrid>
      <w:tr w:rsidR="000C2A54" w:rsidRPr="00A95808" w14:paraId="658323D8" w14:textId="77777777" w:rsidTr="3285EAFF">
        <w:trPr>
          <w:jc w:val="center"/>
        </w:trPr>
        <w:tc>
          <w:tcPr>
            <w:tcW w:w="2461" w:type="dxa"/>
          </w:tcPr>
          <w:p w14:paraId="72D750E0" w14:textId="77777777" w:rsidR="000C2A54" w:rsidRPr="00730E98" w:rsidRDefault="000C2A54" w:rsidP="000C2A54">
            <w:pPr>
              <w:jc w:val="right"/>
              <w:rPr>
                <w:sz w:val="20"/>
                <w:szCs w:val="20"/>
              </w:rPr>
            </w:pPr>
          </w:p>
        </w:tc>
        <w:tc>
          <w:tcPr>
            <w:tcW w:w="1534" w:type="dxa"/>
          </w:tcPr>
          <w:p w14:paraId="494699B6" w14:textId="77777777" w:rsidR="000C2A54" w:rsidRPr="00A95808" w:rsidRDefault="00403C79" w:rsidP="3285EAFF">
            <w:pPr>
              <w:jc w:val="right"/>
              <w:rPr>
                <w:b/>
                <w:bCs/>
                <w:sz w:val="20"/>
                <w:szCs w:val="20"/>
              </w:rPr>
            </w:pPr>
            <w:r>
              <w:rPr>
                <w:b/>
                <w:bCs/>
                <w:sz w:val="20"/>
                <w:szCs w:val="20"/>
              </w:rPr>
              <w:t>20</w:t>
            </w:r>
            <w:r w:rsidR="0423F75E" w:rsidRPr="3285EAFF">
              <w:rPr>
                <w:b/>
                <w:bCs/>
                <w:sz w:val="20"/>
                <w:szCs w:val="20"/>
              </w:rPr>
              <w:t>21</w:t>
            </w:r>
            <w:r>
              <w:rPr>
                <w:b/>
                <w:bCs/>
                <w:sz w:val="20"/>
                <w:szCs w:val="20"/>
              </w:rPr>
              <w:t>-22</w:t>
            </w:r>
          </w:p>
          <w:p w14:paraId="3483AA2B" w14:textId="77777777" w:rsidR="000C2A54" w:rsidRPr="00A95808" w:rsidRDefault="000C2A54" w:rsidP="000C2A54">
            <w:pPr>
              <w:jc w:val="right"/>
              <w:rPr>
                <w:b/>
                <w:sz w:val="20"/>
                <w:szCs w:val="20"/>
              </w:rPr>
            </w:pPr>
            <w:r w:rsidRPr="00A95808">
              <w:rPr>
                <w:b/>
                <w:sz w:val="20"/>
                <w:szCs w:val="20"/>
              </w:rPr>
              <w:t>total</w:t>
            </w:r>
          </w:p>
        </w:tc>
        <w:tc>
          <w:tcPr>
            <w:tcW w:w="1980" w:type="dxa"/>
          </w:tcPr>
          <w:p w14:paraId="3A23FF4D" w14:textId="77777777" w:rsidR="000C2A54" w:rsidRPr="00A95808" w:rsidRDefault="000C2A54" w:rsidP="000C2A54">
            <w:pPr>
              <w:jc w:val="right"/>
              <w:rPr>
                <w:b/>
                <w:sz w:val="20"/>
                <w:szCs w:val="20"/>
              </w:rPr>
            </w:pPr>
            <w:r w:rsidRPr="00A95808">
              <w:rPr>
                <w:b/>
                <w:sz w:val="20"/>
                <w:szCs w:val="20"/>
              </w:rPr>
              <w:t>Commissioners</w:t>
            </w:r>
          </w:p>
        </w:tc>
        <w:tc>
          <w:tcPr>
            <w:tcW w:w="1800" w:type="dxa"/>
          </w:tcPr>
          <w:p w14:paraId="1205F1FC" w14:textId="77777777" w:rsidR="000C2A54" w:rsidRPr="00A95808" w:rsidRDefault="000C2A54" w:rsidP="000C2A54">
            <w:pPr>
              <w:jc w:val="right"/>
              <w:rPr>
                <w:b/>
                <w:sz w:val="20"/>
                <w:szCs w:val="20"/>
              </w:rPr>
            </w:pPr>
            <w:r w:rsidRPr="00A95808">
              <w:rPr>
                <w:b/>
                <w:sz w:val="20"/>
                <w:szCs w:val="20"/>
              </w:rPr>
              <w:t>Permanently</w:t>
            </w:r>
          </w:p>
          <w:p w14:paraId="09210F31" w14:textId="77777777" w:rsidR="0072512F" w:rsidRPr="00A95808" w:rsidRDefault="000C2A54" w:rsidP="0072512F">
            <w:pPr>
              <w:jc w:val="right"/>
              <w:rPr>
                <w:b/>
                <w:sz w:val="20"/>
                <w:szCs w:val="20"/>
              </w:rPr>
            </w:pPr>
            <w:r w:rsidRPr="00A95808">
              <w:rPr>
                <w:b/>
                <w:sz w:val="20"/>
                <w:szCs w:val="20"/>
              </w:rPr>
              <w:t xml:space="preserve">Employed </w:t>
            </w:r>
          </w:p>
          <w:p w14:paraId="54507895" w14:textId="77777777" w:rsidR="000C2A54" w:rsidRPr="00A95808" w:rsidRDefault="000C2A54" w:rsidP="000C2A54">
            <w:pPr>
              <w:jc w:val="right"/>
              <w:rPr>
                <w:b/>
                <w:sz w:val="20"/>
                <w:szCs w:val="20"/>
              </w:rPr>
            </w:pPr>
          </w:p>
        </w:tc>
        <w:tc>
          <w:tcPr>
            <w:tcW w:w="1440" w:type="dxa"/>
          </w:tcPr>
          <w:p w14:paraId="2E2EC54C" w14:textId="77777777" w:rsidR="000C2A54" w:rsidRPr="00A95808" w:rsidRDefault="000C2A54" w:rsidP="000C2A54">
            <w:pPr>
              <w:jc w:val="right"/>
              <w:rPr>
                <w:b/>
                <w:sz w:val="20"/>
                <w:szCs w:val="20"/>
              </w:rPr>
            </w:pPr>
            <w:r w:rsidRPr="00A95808">
              <w:rPr>
                <w:b/>
                <w:sz w:val="20"/>
                <w:szCs w:val="20"/>
              </w:rPr>
              <w:t>Others</w:t>
            </w:r>
          </w:p>
          <w:p w14:paraId="5353ADEE" w14:textId="77777777" w:rsidR="000C2A54" w:rsidRPr="00A95808" w:rsidRDefault="000C2A54" w:rsidP="000C2A54">
            <w:pPr>
              <w:jc w:val="right"/>
              <w:rPr>
                <w:b/>
                <w:sz w:val="20"/>
                <w:szCs w:val="20"/>
              </w:rPr>
            </w:pPr>
          </w:p>
        </w:tc>
        <w:tc>
          <w:tcPr>
            <w:tcW w:w="1440" w:type="dxa"/>
          </w:tcPr>
          <w:p w14:paraId="4C445B94" w14:textId="77777777" w:rsidR="000C2A54" w:rsidRPr="00A95808" w:rsidRDefault="00403C79" w:rsidP="00E029DB">
            <w:pPr>
              <w:spacing w:line="259" w:lineRule="auto"/>
              <w:jc w:val="right"/>
              <w:rPr>
                <w:color w:val="000000" w:themeColor="text1"/>
              </w:rPr>
            </w:pPr>
            <w:r>
              <w:rPr>
                <w:b/>
                <w:bCs/>
                <w:sz w:val="20"/>
                <w:szCs w:val="20"/>
              </w:rPr>
              <w:t>20</w:t>
            </w:r>
            <w:r w:rsidR="5C9227F9" w:rsidRPr="3285EAFF">
              <w:rPr>
                <w:b/>
                <w:bCs/>
                <w:sz w:val="20"/>
                <w:szCs w:val="20"/>
              </w:rPr>
              <w:t>20</w:t>
            </w:r>
            <w:r>
              <w:rPr>
                <w:b/>
                <w:bCs/>
                <w:sz w:val="20"/>
                <w:szCs w:val="20"/>
              </w:rPr>
              <w:t>-21</w:t>
            </w:r>
          </w:p>
          <w:p w14:paraId="757A079E" w14:textId="77777777" w:rsidR="000C2A54" w:rsidRPr="00A95808" w:rsidRDefault="000C2A54" w:rsidP="000C2A54">
            <w:pPr>
              <w:jc w:val="right"/>
              <w:rPr>
                <w:b/>
                <w:sz w:val="20"/>
                <w:szCs w:val="20"/>
              </w:rPr>
            </w:pPr>
            <w:r w:rsidRPr="00A95808">
              <w:rPr>
                <w:b/>
                <w:sz w:val="20"/>
                <w:szCs w:val="20"/>
              </w:rPr>
              <w:t>total</w:t>
            </w:r>
          </w:p>
        </w:tc>
      </w:tr>
      <w:tr w:rsidR="000C2A54" w:rsidRPr="00A95808" w14:paraId="4B301F0A" w14:textId="77777777" w:rsidTr="3285EAFF">
        <w:trPr>
          <w:jc w:val="center"/>
        </w:trPr>
        <w:tc>
          <w:tcPr>
            <w:tcW w:w="2461" w:type="dxa"/>
          </w:tcPr>
          <w:p w14:paraId="73030196" w14:textId="77777777" w:rsidR="000C2A54" w:rsidRPr="00A95808" w:rsidRDefault="000C2A54" w:rsidP="000C2A54">
            <w:pPr>
              <w:jc w:val="right"/>
              <w:rPr>
                <w:sz w:val="20"/>
                <w:szCs w:val="20"/>
              </w:rPr>
            </w:pPr>
          </w:p>
        </w:tc>
        <w:tc>
          <w:tcPr>
            <w:tcW w:w="1534" w:type="dxa"/>
          </w:tcPr>
          <w:p w14:paraId="5560DBD1"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980" w:type="dxa"/>
          </w:tcPr>
          <w:p w14:paraId="7FDDB25F"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800" w:type="dxa"/>
          </w:tcPr>
          <w:p w14:paraId="7710D15B"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440" w:type="dxa"/>
          </w:tcPr>
          <w:p w14:paraId="5B3C9129"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440" w:type="dxa"/>
          </w:tcPr>
          <w:p w14:paraId="3D99AA89"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r>
      <w:tr w:rsidR="000C2A54" w:rsidRPr="00A95808" w14:paraId="472408E5" w14:textId="77777777" w:rsidTr="3285EAFF">
        <w:trPr>
          <w:jc w:val="center"/>
        </w:trPr>
        <w:tc>
          <w:tcPr>
            <w:tcW w:w="2461" w:type="dxa"/>
          </w:tcPr>
          <w:p w14:paraId="1023913C" w14:textId="77777777" w:rsidR="000C2A54" w:rsidRPr="00A95808" w:rsidRDefault="000C2A54" w:rsidP="000C2A54">
            <w:pPr>
              <w:rPr>
                <w:sz w:val="20"/>
                <w:szCs w:val="20"/>
              </w:rPr>
            </w:pPr>
            <w:r w:rsidRPr="00A95808">
              <w:rPr>
                <w:sz w:val="20"/>
                <w:szCs w:val="20"/>
              </w:rPr>
              <w:t>Wages and salaries</w:t>
            </w:r>
          </w:p>
        </w:tc>
        <w:tc>
          <w:tcPr>
            <w:tcW w:w="1534" w:type="dxa"/>
          </w:tcPr>
          <w:p w14:paraId="3F877307" w14:textId="77777777" w:rsidR="000C2A54" w:rsidRPr="00A95808" w:rsidRDefault="00403C79" w:rsidP="000C2A54">
            <w:pPr>
              <w:jc w:val="right"/>
              <w:rPr>
                <w:sz w:val="20"/>
                <w:szCs w:val="20"/>
              </w:rPr>
            </w:pPr>
            <w:r>
              <w:rPr>
                <w:sz w:val="20"/>
                <w:szCs w:val="20"/>
              </w:rPr>
              <w:t>1,151,327</w:t>
            </w:r>
          </w:p>
        </w:tc>
        <w:tc>
          <w:tcPr>
            <w:tcW w:w="1980" w:type="dxa"/>
          </w:tcPr>
          <w:p w14:paraId="4A54B147" w14:textId="77777777" w:rsidR="000C2A54" w:rsidRPr="00A95808" w:rsidDel="006E56F3" w:rsidRDefault="00403C79" w:rsidP="00737A8F">
            <w:pPr>
              <w:jc w:val="right"/>
              <w:rPr>
                <w:sz w:val="20"/>
                <w:szCs w:val="20"/>
              </w:rPr>
            </w:pPr>
            <w:r>
              <w:rPr>
                <w:sz w:val="20"/>
                <w:szCs w:val="20"/>
              </w:rPr>
              <w:t>117,477</w:t>
            </w:r>
          </w:p>
        </w:tc>
        <w:tc>
          <w:tcPr>
            <w:tcW w:w="1800" w:type="dxa"/>
          </w:tcPr>
          <w:p w14:paraId="2E21D38D" w14:textId="77777777" w:rsidR="000C2A54" w:rsidRPr="00A95808" w:rsidRDefault="008215DC" w:rsidP="008215DC">
            <w:pPr>
              <w:jc w:val="center"/>
              <w:rPr>
                <w:sz w:val="20"/>
                <w:szCs w:val="20"/>
              </w:rPr>
            </w:pPr>
            <w:r>
              <w:rPr>
                <w:sz w:val="20"/>
                <w:szCs w:val="20"/>
              </w:rPr>
              <w:t xml:space="preserve">      </w:t>
            </w:r>
            <w:r w:rsidR="00403C79">
              <w:rPr>
                <w:sz w:val="20"/>
                <w:szCs w:val="20"/>
              </w:rPr>
              <w:t>968,256</w:t>
            </w:r>
          </w:p>
        </w:tc>
        <w:tc>
          <w:tcPr>
            <w:tcW w:w="1440" w:type="dxa"/>
          </w:tcPr>
          <w:p w14:paraId="62BD8B22" w14:textId="3DD4B5ED" w:rsidR="000C2A54" w:rsidRPr="00A95808" w:rsidRDefault="003C45FA" w:rsidP="000C2A54">
            <w:pPr>
              <w:jc w:val="right"/>
              <w:rPr>
                <w:sz w:val="20"/>
                <w:szCs w:val="20"/>
              </w:rPr>
            </w:pPr>
            <w:r>
              <w:rPr>
                <w:sz w:val="20"/>
                <w:szCs w:val="20"/>
              </w:rPr>
              <w:t>65,594</w:t>
            </w:r>
          </w:p>
        </w:tc>
        <w:tc>
          <w:tcPr>
            <w:tcW w:w="1440" w:type="dxa"/>
          </w:tcPr>
          <w:p w14:paraId="1C8F790F" w14:textId="77777777" w:rsidR="000C2A54" w:rsidRPr="00A95808" w:rsidRDefault="00403C79" w:rsidP="000C2A54">
            <w:pPr>
              <w:jc w:val="right"/>
              <w:rPr>
                <w:sz w:val="20"/>
                <w:szCs w:val="20"/>
              </w:rPr>
            </w:pPr>
            <w:r>
              <w:rPr>
                <w:sz w:val="20"/>
                <w:szCs w:val="20"/>
              </w:rPr>
              <w:t>744,428</w:t>
            </w:r>
          </w:p>
        </w:tc>
      </w:tr>
      <w:tr w:rsidR="000C2A54" w:rsidRPr="00A95808" w14:paraId="32E58D04" w14:textId="77777777" w:rsidTr="3285EAFF">
        <w:trPr>
          <w:jc w:val="center"/>
        </w:trPr>
        <w:tc>
          <w:tcPr>
            <w:tcW w:w="2461" w:type="dxa"/>
          </w:tcPr>
          <w:p w14:paraId="4C7607DE" w14:textId="77777777" w:rsidR="000C2A54" w:rsidRPr="00A95808" w:rsidRDefault="000C2A54" w:rsidP="000C2A54">
            <w:pPr>
              <w:rPr>
                <w:sz w:val="20"/>
                <w:szCs w:val="20"/>
              </w:rPr>
            </w:pPr>
            <w:r w:rsidRPr="00A95808">
              <w:rPr>
                <w:sz w:val="20"/>
                <w:szCs w:val="20"/>
              </w:rPr>
              <w:t>Social security costs</w:t>
            </w:r>
          </w:p>
        </w:tc>
        <w:tc>
          <w:tcPr>
            <w:tcW w:w="1534" w:type="dxa"/>
          </w:tcPr>
          <w:p w14:paraId="67189ED8" w14:textId="77777777" w:rsidR="000C2A54" w:rsidRPr="00A95808" w:rsidRDefault="00403C79" w:rsidP="000C2A54">
            <w:pPr>
              <w:jc w:val="right"/>
              <w:rPr>
                <w:sz w:val="20"/>
                <w:szCs w:val="20"/>
              </w:rPr>
            </w:pPr>
            <w:r>
              <w:rPr>
                <w:sz w:val="20"/>
                <w:szCs w:val="20"/>
              </w:rPr>
              <w:t>119,918</w:t>
            </w:r>
          </w:p>
        </w:tc>
        <w:tc>
          <w:tcPr>
            <w:tcW w:w="1980" w:type="dxa"/>
          </w:tcPr>
          <w:p w14:paraId="3692C472" w14:textId="77777777" w:rsidR="000C2A54" w:rsidRPr="00A95808" w:rsidRDefault="00403C79" w:rsidP="000C2A54">
            <w:pPr>
              <w:jc w:val="right"/>
              <w:rPr>
                <w:sz w:val="20"/>
                <w:szCs w:val="20"/>
              </w:rPr>
            </w:pPr>
            <w:r>
              <w:rPr>
                <w:sz w:val="20"/>
                <w:szCs w:val="20"/>
              </w:rPr>
              <w:t>9,464</w:t>
            </w:r>
          </w:p>
        </w:tc>
        <w:tc>
          <w:tcPr>
            <w:tcW w:w="1800" w:type="dxa"/>
          </w:tcPr>
          <w:p w14:paraId="37872C8C" w14:textId="77777777" w:rsidR="000C2A54" w:rsidRPr="00A95808" w:rsidRDefault="008215DC" w:rsidP="008215DC">
            <w:pPr>
              <w:jc w:val="center"/>
              <w:rPr>
                <w:sz w:val="20"/>
                <w:szCs w:val="20"/>
              </w:rPr>
            </w:pPr>
            <w:r>
              <w:rPr>
                <w:sz w:val="20"/>
                <w:szCs w:val="20"/>
              </w:rPr>
              <w:t xml:space="preserve">      </w:t>
            </w:r>
            <w:r w:rsidR="00403C79">
              <w:rPr>
                <w:sz w:val="20"/>
                <w:szCs w:val="20"/>
              </w:rPr>
              <w:t>107,394</w:t>
            </w:r>
          </w:p>
        </w:tc>
        <w:tc>
          <w:tcPr>
            <w:tcW w:w="1440" w:type="dxa"/>
          </w:tcPr>
          <w:p w14:paraId="57C4B63F" w14:textId="77777777" w:rsidR="000C2A54" w:rsidRPr="00A95808" w:rsidRDefault="00403C79" w:rsidP="000C2A54">
            <w:pPr>
              <w:jc w:val="right"/>
              <w:rPr>
                <w:sz w:val="20"/>
                <w:szCs w:val="20"/>
              </w:rPr>
            </w:pPr>
            <w:r>
              <w:rPr>
                <w:sz w:val="20"/>
                <w:szCs w:val="20"/>
              </w:rPr>
              <w:t>3,060</w:t>
            </w:r>
          </w:p>
        </w:tc>
        <w:tc>
          <w:tcPr>
            <w:tcW w:w="1440" w:type="dxa"/>
          </w:tcPr>
          <w:p w14:paraId="3090825A" w14:textId="77777777" w:rsidR="000C2A54" w:rsidRPr="00A95808" w:rsidRDefault="00403C79" w:rsidP="000C2A54">
            <w:pPr>
              <w:jc w:val="right"/>
              <w:rPr>
                <w:sz w:val="20"/>
                <w:szCs w:val="20"/>
              </w:rPr>
            </w:pPr>
            <w:r>
              <w:rPr>
                <w:sz w:val="20"/>
                <w:szCs w:val="20"/>
              </w:rPr>
              <w:t>69,057</w:t>
            </w:r>
          </w:p>
        </w:tc>
      </w:tr>
      <w:tr w:rsidR="000C2A54" w:rsidRPr="00A95808" w14:paraId="4BFE9BB9" w14:textId="77777777" w:rsidTr="3285EAFF">
        <w:trPr>
          <w:jc w:val="center"/>
        </w:trPr>
        <w:tc>
          <w:tcPr>
            <w:tcW w:w="2461" w:type="dxa"/>
          </w:tcPr>
          <w:p w14:paraId="2B5F8F85" w14:textId="77777777" w:rsidR="000C2A54" w:rsidRPr="00A95808" w:rsidRDefault="000C2A54" w:rsidP="000C2A54">
            <w:pPr>
              <w:rPr>
                <w:sz w:val="20"/>
                <w:szCs w:val="20"/>
              </w:rPr>
            </w:pPr>
            <w:r w:rsidRPr="00A95808">
              <w:rPr>
                <w:sz w:val="20"/>
                <w:szCs w:val="20"/>
              </w:rPr>
              <w:t>Other pension costs</w:t>
            </w:r>
          </w:p>
        </w:tc>
        <w:tc>
          <w:tcPr>
            <w:tcW w:w="1534" w:type="dxa"/>
            <w:tcBorders>
              <w:bottom w:val="single" w:sz="4" w:space="0" w:color="auto"/>
            </w:tcBorders>
          </w:tcPr>
          <w:p w14:paraId="0C11BC95" w14:textId="77777777" w:rsidR="000C2A54" w:rsidRPr="00A95808" w:rsidRDefault="00403C79" w:rsidP="00E029DB">
            <w:pPr>
              <w:spacing w:line="259" w:lineRule="auto"/>
              <w:jc w:val="right"/>
              <w:rPr>
                <w:sz w:val="20"/>
                <w:szCs w:val="20"/>
              </w:rPr>
            </w:pPr>
            <w:r>
              <w:rPr>
                <w:sz w:val="20"/>
                <w:szCs w:val="20"/>
              </w:rPr>
              <w:t>301,768</w:t>
            </w:r>
          </w:p>
        </w:tc>
        <w:tc>
          <w:tcPr>
            <w:tcW w:w="1980" w:type="dxa"/>
            <w:tcBorders>
              <w:bottom w:val="single" w:sz="4" w:space="0" w:color="auto"/>
            </w:tcBorders>
          </w:tcPr>
          <w:p w14:paraId="1F7C5CC0" w14:textId="77777777" w:rsidR="000C2A54" w:rsidRPr="00A95808" w:rsidRDefault="00403C79" w:rsidP="000C2A54">
            <w:pPr>
              <w:jc w:val="right"/>
              <w:rPr>
                <w:sz w:val="20"/>
                <w:szCs w:val="20"/>
              </w:rPr>
            </w:pPr>
            <w:r>
              <w:rPr>
                <w:sz w:val="20"/>
                <w:szCs w:val="20"/>
              </w:rPr>
              <w:t>21,441</w:t>
            </w:r>
          </w:p>
        </w:tc>
        <w:tc>
          <w:tcPr>
            <w:tcW w:w="1800" w:type="dxa"/>
            <w:tcBorders>
              <w:bottom w:val="single" w:sz="4" w:space="0" w:color="auto"/>
            </w:tcBorders>
          </w:tcPr>
          <w:p w14:paraId="00FEE335" w14:textId="77777777" w:rsidR="000C2A54" w:rsidRPr="00A95808" w:rsidRDefault="008215DC" w:rsidP="008215DC">
            <w:pPr>
              <w:jc w:val="center"/>
              <w:rPr>
                <w:sz w:val="20"/>
                <w:szCs w:val="20"/>
              </w:rPr>
            </w:pPr>
            <w:r>
              <w:rPr>
                <w:sz w:val="20"/>
                <w:szCs w:val="20"/>
              </w:rPr>
              <w:t xml:space="preserve">      </w:t>
            </w:r>
            <w:r w:rsidR="00403C79">
              <w:rPr>
                <w:sz w:val="20"/>
                <w:szCs w:val="20"/>
              </w:rPr>
              <w:t>272,704</w:t>
            </w:r>
          </w:p>
        </w:tc>
        <w:tc>
          <w:tcPr>
            <w:tcW w:w="1440" w:type="dxa"/>
            <w:tcBorders>
              <w:bottom w:val="single" w:sz="4" w:space="0" w:color="auto"/>
            </w:tcBorders>
          </w:tcPr>
          <w:p w14:paraId="4D5F173C" w14:textId="77777777" w:rsidR="000C2A54" w:rsidRPr="00A95808" w:rsidRDefault="00403C79" w:rsidP="000C2A54">
            <w:pPr>
              <w:jc w:val="right"/>
              <w:rPr>
                <w:sz w:val="20"/>
                <w:szCs w:val="20"/>
              </w:rPr>
            </w:pPr>
            <w:r>
              <w:rPr>
                <w:sz w:val="20"/>
                <w:szCs w:val="20"/>
              </w:rPr>
              <w:t>7,623</w:t>
            </w:r>
          </w:p>
        </w:tc>
        <w:tc>
          <w:tcPr>
            <w:tcW w:w="1440" w:type="dxa"/>
            <w:tcBorders>
              <w:bottom w:val="single" w:sz="4" w:space="0" w:color="auto"/>
            </w:tcBorders>
          </w:tcPr>
          <w:p w14:paraId="540B2E5E" w14:textId="77777777" w:rsidR="000C2A54" w:rsidRPr="00A95808" w:rsidRDefault="00403C79" w:rsidP="000C2A54">
            <w:pPr>
              <w:jc w:val="right"/>
              <w:rPr>
                <w:sz w:val="20"/>
                <w:szCs w:val="20"/>
              </w:rPr>
            </w:pPr>
            <w:r>
              <w:rPr>
                <w:sz w:val="20"/>
                <w:szCs w:val="20"/>
              </w:rPr>
              <w:t>174,156</w:t>
            </w:r>
          </w:p>
        </w:tc>
      </w:tr>
      <w:tr w:rsidR="000C2A54" w:rsidRPr="004A68BF" w14:paraId="7BC542B7" w14:textId="77777777" w:rsidTr="3285EAFF">
        <w:trPr>
          <w:jc w:val="center"/>
        </w:trPr>
        <w:tc>
          <w:tcPr>
            <w:tcW w:w="2461" w:type="dxa"/>
          </w:tcPr>
          <w:p w14:paraId="01A8DE4E" w14:textId="77777777" w:rsidR="000C2A54" w:rsidRPr="00A95808" w:rsidRDefault="000C2A54" w:rsidP="000C2A54">
            <w:pPr>
              <w:rPr>
                <w:b/>
                <w:sz w:val="20"/>
                <w:szCs w:val="20"/>
              </w:rPr>
            </w:pPr>
            <w:r w:rsidRPr="00A95808">
              <w:rPr>
                <w:b/>
                <w:sz w:val="20"/>
                <w:szCs w:val="20"/>
              </w:rPr>
              <w:t>Total Staff Costs</w:t>
            </w:r>
          </w:p>
        </w:tc>
        <w:tc>
          <w:tcPr>
            <w:tcW w:w="1534" w:type="dxa"/>
            <w:tcBorders>
              <w:top w:val="single" w:sz="4" w:space="0" w:color="auto"/>
              <w:bottom w:val="single" w:sz="4" w:space="0" w:color="auto"/>
            </w:tcBorders>
          </w:tcPr>
          <w:p w14:paraId="4664FE7F" w14:textId="77777777" w:rsidR="000C2A54" w:rsidRPr="00A95808" w:rsidRDefault="00403C79" w:rsidP="000C2A54">
            <w:pPr>
              <w:jc w:val="right"/>
              <w:rPr>
                <w:b/>
                <w:sz w:val="20"/>
                <w:szCs w:val="20"/>
              </w:rPr>
            </w:pPr>
            <w:r>
              <w:rPr>
                <w:b/>
                <w:sz w:val="20"/>
                <w:szCs w:val="20"/>
              </w:rPr>
              <w:t>1,573,013</w:t>
            </w:r>
          </w:p>
        </w:tc>
        <w:tc>
          <w:tcPr>
            <w:tcW w:w="1980" w:type="dxa"/>
            <w:tcBorders>
              <w:top w:val="single" w:sz="4" w:space="0" w:color="auto"/>
              <w:bottom w:val="single" w:sz="4" w:space="0" w:color="auto"/>
            </w:tcBorders>
          </w:tcPr>
          <w:p w14:paraId="2B8435C4" w14:textId="77777777" w:rsidR="000C2A54" w:rsidRPr="00A95808" w:rsidDel="006E56F3" w:rsidRDefault="00403C79" w:rsidP="000C2A54">
            <w:pPr>
              <w:jc w:val="right"/>
              <w:rPr>
                <w:b/>
                <w:sz w:val="20"/>
                <w:szCs w:val="20"/>
              </w:rPr>
            </w:pPr>
            <w:r>
              <w:rPr>
                <w:b/>
                <w:sz w:val="20"/>
                <w:szCs w:val="20"/>
              </w:rPr>
              <w:t>148,382</w:t>
            </w:r>
          </w:p>
        </w:tc>
        <w:tc>
          <w:tcPr>
            <w:tcW w:w="1800" w:type="dxa"/>
            <w:tcBorders>
              <w:top w:val="single" w:sz="4" w:space="0" w:color="auto"/>
              <w:bottom w:val="single" w:sz="4" w:space="0" w:color="auto"/>
            </w:tcBorders>
          </w:tcPr>
          <w:p w14:paraId="0A0F672A" w14:textId="77777777" w:rsidR="000C2A54" w:rsidRPr="00A95808" w:rsidRDefault="00403C79" w:rsidP="000C2A54">
            <w:pPr>
              <w:jc w:val="right"/>
              <w:rPr>
                <w:b/>
                <w:sz w:val="20"/>
                <w:szCs w:val="20"/>
              </w:rPr>
            </w:pPr>
            <w:r>
              <w:rPr>
                <w:b/>
                <w:sz w:val="20"/>
                <w:szCs w:val="20"/>
              </w:rPr>
              <w:t>1,348,354</w:t>
            </w:r>
            <w:r w:rsidR="00A415F6">
              <w:rPr>
                <w:rStyle w:val="FootnoteReference"/>
                <w:b/>
                <w:sz w:val="20"/>
                <w:szCs w:val="20"/>
              </w:rPr>
              <w:footnoteReference w:id="14"/>
            </w:r>
          </w:p>
        </w:tc>
        <w:tc>
          <w:tcPr>
            <w:tcW w:w="1440" w:type="dxa"/>
            <w:tcBorders>
              <w:top w:val="single" w:sz="4" w:space="0" w:color="auto"/>
              <w:bottom w:val="single" w:sz="4" w:space="0" w:color="auto"/>
            </w:tcBorders>
            <w:shd w:val="clear" w:color="auto" w:fill="auto"/>
          </w:tcPr>
          <w:p w14:paraId="0BF56A43" w14:textId="77777777" w:rsidR="000C2A54" w:rsidRPr="00A95808" w:rsidRDefault="00403C79" w:rsidP="000C2A54">
            <w:pPr>
              <w:jc w:val="right"/>
              <w:rPr>
                <w:b/>
                <w:sz w:val="20"/>
                <w:szCs w:val="20"/>
              </w:rPr>
            </w:pPr>
            <w:r>
              <w:rPr>
                <w:b/>
                <w:sz w:val="20"/>
                <w:szCs w:val="20"/>
              </w:rPr>
              <w:t>76,277</w:t>
            </w:r>
          </w:p>
        </w:tc>
        <w:tc>
          <w:tcPr>
            <w:tcW w:w="1440" w:type="dxa"/>
            <w:tcBorders>
              <w:top w:val="single" w:sz="4" w:space="0" w:color="auto"/>
              <w:bottom w:val="single" w:sz="4" w:space="0" w:color="auto"/>
            </w:tcBorders>
          </w:tcPr>
          <w:p w14:paraId="60FA4210" w14:textId="77777777" w:rsidR="000C2A54" w:rsidRPr="00A95808" w:rsidRDefault="00403C79" w:rsidP="000C2A54">
            <w:pPr>
              <w:jc w:val="right"/>
              <w:rPr>
                <w:b/>
                <w:sz w:val="20"/>
                <w:szCs w:val="20"/>
              </w:rPr>
            </w:pPr>
            <w:r>
              <w:rPr>
                <w:b/>
                <w:sz w:val="20"/>
                <w:szCs w:val="20"/>
              </w:rPr>
              <w:t>987,641</w:t>
            </w:r>
          </w:p>
        </w:tc>
      </w:tr>
    </w:tbl>
    <w:p w14:paraId="599D5DB1" w14:textId="77777777" w:rsidR="000C2A54" w:rsidRDefault="000C2A54" w:rsidP="000C2A54">
      <w:pPr>
        <w:autoSpaceDE w:val="0"/>
        <w:autoSpaceDN w:val="0"/>
        <w:adjustRightInd w:val="0"/>
        <w:ind w:left="567"/>
      </w:pPr>
    </w:p>
    <w:p w14:paraId="052028D8" w14:textId="77777777" w:rsidR="005B72C1" w:rsidRDefault="000C2A54" w:rsidP="00C54DF1">
      <w:pPr>
        <w:autoSpaceDE w:val="0"/>
        <w:autoSpaceDN w:val="0"/>
        <w:adjustRightInd w:val="0"/>
      </w:pPr>
      <w:r>
        <w:t>There were no inward secon</w:t>
      </w:r>
      <w:r w:rsidR="0057710A">
        <w:t xml:space="preserve">ded staff during </w:t>
      </w:r>
      <w:r w:rsidR="00403C79">
        <w:t>20</w:t>
      </w:r>
      <w:r w:rsidR="5B581C4D">
        <w:t>21</w:t>
      </w:r>
      <w:r w:rsidR="00403C79">
        <w:t>-22</w:t>
      </w:r>
      <w:r w:rsidR="00DE3AEE">
        <w:t xml:space="preserve"> (</w:t>
      </w:r>
      <w:r w:rsidR="00403C79">
        <w:t>2020-21</w:t>
      </w:r>
      <w:r w:rsidR="005B72C1">
        <w:t>: None)</w:t>
      </w:r>
      <w:r>
        <w:t>.</w:t>
      </w:r>
      <w:r w:rsidR="00731FD6">
        <w:t xml:space="preserve">  </w:t>
      </w:r>
    </w:p>
    <w:p w14:paraId="3DCB9C45" w14:textId="77777777" w:rsidR="00F824B3" w:rsidRDefault="00F824B3" w:rsidP="00C54DF1">
      <w:pPr>
        <w:autoSpaceDE w:val="0"/>
        <w:autoSpaceDN w:val="0"/>
        <w:adjustRightInd w:val="0"/>
      </w:pPr>
    </w:p>
    <w:p w14:paraId="4736C694" w14:textId="77777777" w:rsidR="000C2A54" w:rsidRPr="00F97E5F" w:rsidRDefault="00F824B3" w:rsidP="000F5ED9">
      <w:pPr>
        <w:autoSpaceDE w:val="0"/>
        <w:autoSpaceDN w:val="0"/>
        <w:adjustRightInd w:val="0"/>
      </w:pPr>
      <w:r>
        <w:t>Staff detailed as ‘Others’ includes temporary staff directly employed by the Commission, temporary agency staff and the Chair of the Commission’s Audit and Risk Management Committee</w:t>
      </w:r>
      <w:r w:rsidR="00C606DC">
        <w:t>.</w:t>
      </w:r>
    </w:p>
    <w:p w14:paraId="1B6CE87F" w14:textId="77777777" w:rsidR="00737A8F" w:rsidRDefault="00737A8F" w:rsidP="00B61C59">
      <w:pPr>
        <w:autoSpaceDE w:val="0"/>
        <w:autoSpaceDN w:val="0"/>
        <w:adjustRightInd w:val="0"/>
      </w:pPr>
    </w:p>
    <w:p w14:paraId="3C20039D" w14:textId="24540E61" w:rsidR="000C2A54" w:rsidRPr="00F97E5F" w:rsidRDefault="000C2A54" w:rsidP="00B61C59">
      <w:pPr>
        <w:autoSpaceDE w:val="0"/>
        <w:autoSpaceDN w:val="0"/>
        <w:adjustRightInd w:val="0"/>
      </w:pPr>
      <w:r>
        <w:t>Details o</w:t>
      </w:r>
      <w:r w:rsidR="00C141C6">
        <w:t xml:space="preserve">f the pension contributions of </w:t>
      </w:r>
      <w:r w:rsidR="00C02487">
        <w:t>£</w:t>
      </w:r>
      <w:r w:rsidR="00403C79">
        <w:t>21,441</w:t>
      </w:r>
      <w:r>
        <w:t xml:space="preserve"> payable i</w:t>
      </w:r>
      <w:r w:rsidR="00DE3AEE">
        <w:t>n respect of Commissioners (</w:t>
      </w:r>
      <w:r w:rsidR="00403C79">
        <w:t>2020-21</w:t>
      </w:r>
      <w:r>
        <w:t>: £</w:t>
      </w:r>
      <w:r w:rsidR="00403C79">
        <w:t>21,753</w:t>
      </w:r>
      <w:r>
        <w:t xml:space="preserve">) are described </w:t>
      </w:r>
      <w:r w:rsidR="001B7925">
        <w:t>above</w:t>
      </w:r>
      <w:r>
        <w:t>.</w:t>
      </w:r>
    </w:p>
    <w:p w14:paraId="33376FB5" w14:textId="77777777" w:rsidR="000C2A54" w:rsidRPr="00F97E5F" w:rsidRDefault="000C2A54" w:rsidP="00B61C59">
      <w:pPr>
        <w:autoSpaceDE w:val="0"/>
        <w:autoSpaceDN w:val="0"/>
        <w:adjustRightInd w:val="0"/>
      </w:pPr>
    </w:p>
    <w:p w14:paraId="70C54C24" w14:textId="77777777" w:rsidR="000C2A54" w:rsidRPr="00077C90" w:rsidRDefault="000C2A54" w:rsidP="00B61C59">
      <w:pPr>
        <w:autoSpaceDE w:val="0"/>
        <w:autoSpaceDN w:val="0"/>
        <w:adjustRightInd w:val="0"/>
      </w:pPr>
      <w:r w:rsidRPr="00F97E5F">
        <w:t>The Commission’s staff are covered by the Principal Civil Service Pension Scheme (PCSPS)</w:t>
      </w:r>
      <w:r w:rsidR="00077C90">
        <w:t xml:space="preserve"> and the Civil Servant and Other Pension Scheme (CSOPS) – known as ‘</w:t>
      </w:r>
      <w:r w:rsidR="00281F8F">
        <w:t>a</w:t>
      </w:r>
      <w:r w:rsidR="00077C90">
        <w:t>lpha’</w:t>
      </w:r>
      <w:r w:rsidRPr="00F97E5F">
        <w:t>.  PCSPS</w:t>
      </w:r>
      <w:r w:rsidR="00077C90">
        <w:t xml:space="preserve"> and CSOPS are</w:t>
      </w:r>
      <w:r w:rsidRPr="00F97E5F">
        <w:t xml:space="preserve"> unfunded multi–employer defined benefit scheme</w:t>
      </w:r>
      <w:r w:rsidR="00077C90">
        <w:t>s</w:t>
      </w:r>
      <w:r w:rsidRPr="00F97E5F">
        <w:t xml:space="preserve"> but </w:t>
      </w:r>
      <w:r w:rsidRPr="00F97E5F">
        <w:rPr>
          <w:rFonts w:cs="Arial"/>
          <w:lang w:val="en-US"/>
        </w:rPr>
        <w:t xml:space="preserve">the Commission </w:t>
      </w:r>
      <w:r w:rsidR="002A501C">
        <w:t xml:space="preserve">is unable to </w:t>
      </w:r>
      <w:r w:rsidRPr="00F97E5F">
        <w:t>identify its share of the underlying assets and liabilities.  The scheme actuary value</w:t>
      </w:r>
      <w:r w:rsidR="0072512F">
        <w:t>d the scheme as at 31 March 2016</w:t>
      </w:r>
      <w:r w:rsidRPr="00F97E5F">
        <w:t>.  Details can be found in the resource accounts of the Cabinet Office: Civil Superannuation (</w:t>
      </w:r>
      <w:hyperlink r:id="rId26" w:history="1">
        <w:r w:rsidR="00077C90" w:rsidRPr="00186108">
          <w:rPr>
            <w:rStyle w:val="Hyperlink"/>
          </w:rPr>
          <w:t>www.civilservicepensionscheme.org.uk/about-us/resource-accounts/</w:t>
        </w:r>
      </w:hyperlink>
      <w:r w:rsidRPr="00F97E5F">
        <w:t>).</w:t>
      </w:r>
    </w:p>
    <w:p w14:paraId="5C06F5AA" w14:textId="77777777" w:rsidR="000C2A54" w:rsidRPr="00F97E5F" w:rsidRDefault="000C2A54" w:rsidP="00B61C59">
      <w:pPr>
        <w:autoSpaceDE w:val="0"/>
        <w:autoSpaceDN w:val="0"/>
        <w:adjustRightInd w:val="0"/>
        <w:rPr>
          <w:rFonts w:cs="Arial"/>
          <w:lang w:val="en-US"/>
        </w:rPr>
      </w:pPr>
    </w:p>
    <w:p w14:paraId="120B6CE0" w14:textId="4E7DB231" w:rsidR="000C2A54" w:rsidRPr="00F97E5F" w:rsidRDefault="000C2A54" w:rsidP="00B61C59">
      <w:pPr>
        <w:autoSpaceDE w:val="0"/>
        <w:autoSpaceDN w:val="0"/>
        <w:adjustRightInd w:val="0"/>
        <w:rPr>
          <w:rFonts w:cs="Arial"/>
          <w:lang w:val="en-US"/>
        </w:rPr>
      </w:pPr>
      <w:r w:rsidRPr="3285EAFF">
        <w:rPr>
          <w:rFonts w:cs="Arial"/>
          <w:lang w:val="en-US"/>
        </w:rPr>
        <w:t xml:space="preserve">For </w:t>
      </w:r>
      <w:r w:rsidR="00403C79">
        <w:t>20</w:t>
      </w:r>
      <w:r w:rsidR="206397E3">
        <w:t>21</w:t>
      </w:r>
      <w:r w:rsidR="00403C79">
        <w:t>-22</w:t>
      </w:r>
      <w:r w:rsidRPr="3285EAFF">
        <w:rPr>
          <w:rFonts w:cs="Arial"/>
          <w:lang w:val="en-US"/>
        </w:rPr>
        <w:t xml:space="preserve">, employers’ contributions of </w:t>
      </w:r>
      <w:r w:rsidR="00636AA4" w:rsidRPr="3285EAFF">
        <w:rPr>
          <w:rFonts w:cs="Arial"/>
          <w:lang w:val="en-US"/>
        </w:rPr>
        <w:t>£</w:t>
      </w:r>
      <w:r w:rsidR="00403C79">
        <w:rPr>
          <w:rFonts w:cs="Arial"/>
          <w:lang w:val="en-US"/>
        </w:rPr>
        <w:t>301,768</w:t>
      </w:r>
      <w:r w:rsidR="008215DC">
        <w:rPr>
          <w:rStyle w:val="FootnoteReference"/>
          <w:rFonts w:cs="Arial"/>
          <w:lang w:val="en-US"/>
        </w:rPr>
        <w:footnoteReference w:id="15"/>
      </w:r>
      <w:r w:rsidR="00403C79">
        <w:rPr>
          <w:rFonts w:cs="Arial"/>
          <w:lang w:val="en-US"/>
        </w:rPr>
        <w:t xml:space="preserve"> </w:t>
      </w:r>
      <w:r w:rsidR="005D69D1" w:rsidRPr="3285EAFF">
        <w:rPr>
          <w:rFonts w:cs="Arial"/>
          <w:lang w:val="en-US"/>
        </w:rPr>
        <w:t>were payable to PCSPS (</w:t>
      </w:r>
      <w:r w:rsidR="00403C79">
        <w:rPr>
          <w:rFonts w:cs="Arial"/>
          <w:lang w:val="en-US"/>
        </w:rPr>
        <w:t>20</w:t>
      </w:r>
      <w:r w:rsidR="6775F563" w:rsidRPr="3285EAFF">
        <w:rPr>
          <w:rFonts w:cs="Arial"/>
          <w:lang w:val="en-US"/>
        </w:rPr>
        <w:t>20</w:t>
      </w:r>
      <w:r w:rsidR="00403C79">
        <w:rPr>
          <w:rFonts w:cs="Arial"/>
          <w:lang w:val="en-US"/>
        </w:rPr>
        <w:t>-21</w:t>
      </w:r>
      <w:r w:rsidRPr="3285EAFF">
        <w:rPr>
          <w:rFonts w:cs="Arial"/>
          <w:lang w:val="en-US"/>
        </w:rPr>
        <w:t>: £</w:t>
      </w:r>
      <w:r w:rsidR="00403C79">
        <w:rPr>
          <w:rFonts w:cs="Arial"/>
          <w:lang w:val="en-US"/>
        </w:rPr>
        <w:t>174,156</w:t>
      </w:r>
      <w:r w:rsidRPr="3285EAFF">
        <w:rPr>
          <w:rFonts w:cs="Arial"/>
          <w:lang w:val="en-US"/>
        </w:rPr>
        <w:t>) at one of four rates in the range 20 per cent to 24.5 per cent of pensionable pay, based on salary bands</w:t>
      </w:r>
      <w:r w:rsidR="00FF1FA8" w:rsidRPr="3285EAFF">
        <w:rPr>
          <w:rFonts w:cs="Arial"/>
          <w:lang w:val="en-US"/>
        </w:rPr>
        <w:t xml:space="preserve">. </w:t>
      </w:r>
      <w:r w:rsidRPr="3285EAFF">
        <w:rPr>
          <w:rFonts w:cs="Arial"/>
          <w:lang w:val="en-US"/>
        </w:rPr>
        <w:t>The Scheme Actuary reviews employer contributions usually every four years following a full scheme valuation</w:t>
      </w:r>
      <w:r w:rsidR="00FF1FA8" w:rsidRPr="3285EAFF">
        <w:rPr>
          <w:rFonts w:cs="Arial"/>
          <w:lang w:val="en-US"/>
        </w:rPr>
        <w:t xml:space="preserve">. </w:t>
      </w:r>
      <w:r w:rsidRPr="3285EAFF">
        <w:rPr>
          <w:rFonts w:cs="Arial"/>
          <w:lang w:val="en-US"/>
        </w:rPr>
        <w:t xml:space="preserve">The contribution rates are set to meet the cost of the benefits accruing during </w:t>
      </w:r>
      <w:r w:rsidR="00E865B2">
        <w:t>2021-22</w:t>
      </w:r>
      <w:r>
        <w:t xml:space="preserve"> </w:t>
      </w:r>
      <w:r w:rsidRPr="3285EAFF">
        <w:rPr>
          <w:rFonts w:cs="Arial"/>
          <w:lang w:val="en-US"/>
        </w:rPr>
        <w:t xml:space="preserve">to be paid when the member retires and not the benefits paid during this period to existing pensioners. </w:t>
      </w:r>
    </w:p>
    <w:p w14:paraId="5B5C995A" w14:textId="77777777" w:rsidR="000C2A54" w:rsidRPr="00BE16D9" w:rsidRDefault="000C2A54" w:rsidP="00B61C59">
      <w:pPr>
        <w:rPr>
          <w:sz w:val="22"/>
          <w:szCs w:val="22"/>
          <w:lang w:val="en-US"/>
        </w:rPr>
      </w:pPr>
    </w:p>
    <w:p w14:paraId="0A73F295" w14:textId="55D3AE7F" w:rsidR="000C2A54" w:rsidRDefault="000C2A54" w:rsidP="00B61C59">
      <w:r w:rsidRPr="3285EAFF">
        <w:rPr>
          <w:lang w:val="en-US"/>
        </w:rPr>
        <w:t>Employees can opt to open a partnership pension account, a stakeholder pension with an employer contribution</w:t>
      </w:r>
      <w:r w:rsidR="00FF1FA8" w:rsidRPr="3285EAFF">
        <w:rPr>
          <w:lang w:val="en-US"/>
        </w:rPr>
        <w:t xml:space="preserve">. </w:t>
      </w:r>
      <w:r w:rsidRPr="3285EAFF">
        <w:rPr>
          <w:lang w:val="en-US"/>
        </w:rPr>
        <w:t xml:space="preserve">There were no employers’ contributions made to one or more of the </w:t>
      </w:r>
      <w:r w:rsidR="000A30FB" w:rsidRPr="3285EAFF">
        <w:rPr>
          <w:lang w:val="en-US"/>
        </w:rPr>
        <w:t>panels</w:t>
      </w:r>
      <w:r w:rsidRPr="3285EAFF">
        <w:rPr>
          <w:lang w:val="en-US"/>
        </w:rPr>
        <w:t xml:space="preserve"> of three appointed stakeholder pension providers </w:t>
      </w:r>
      <w:r>
        <w:t>(</w:t>
      </w:r>
      <w:r w:rsidR="00E865B2">
        <w:rPr>
          <w:rFonts w:cs="Arial"/>
          <w:lang w:val="en-US"/>
        </w:rPr>
        <w:t>20</w:t>
      </w:r>
      <w:r w:rsidR="3137565D" w:rsidRPr="3285EAFF">
        <w:rPr>
          <w:rFonts w:cs="Arial"/>
          <w:lang w:val="en-US"/>
        </w:rPr>
        <w:t>20</w:t>
      </w:r>
      <w:r w:rsidR="00E865B2">
        <w:rPr>
          <w:rFonts w:cs="Arial"/>
          <w:lang w:val="en-US"/>
        </w:rPr>
        <w:t>-21</w:t>
      </w:r>
      <w:r>
        <w:t>: £</w:t>
      </w:r>
      <w:r w:rsidRPr="3285EAFF">
        <w:rPr>
          <w:lang w:val="en-US"/>
        </w:rPr>
        <w:t>Nil</w:t>
      </w:r>
      <w:r>
        <w:t>)</w:t>
      </w:r>
      <w:r w:rsidR="00FF1FA8">
        <w:t xml:space="preserve">. </w:t>
      </w:r>
      <w:r w:rsidRPr="3285EAFF">
        <w:rPr>
          <w:lang w:val="en-US"/>
        </w:rPr>
        <w:t>Employer contributions are age</w:t>
      </w:r>
      <w:r w:rsidRPr="3285EAFF">
        <w:rPr>
          <w:rFonts w:cs="Arial"/>
          <w:lang w:val="en-US"/>
        </w:rPr>
        <w:t>–</w:t>
      </w:r>
      <w:r w:rsidRPr="3285EAFF">
        <w:rPr>
          <w:lang w:val="en-US"/>
        </w:rPr>
        <w:t>related and ranged from 8 per cent to 14.75 per cent (depending on the age of the member)</w:t>
      </w:r>
      <w:r w:rsidR="00FF1FA8" w:rsidRPr="3285EAFF">
        <w:rPr>
          <w:lang w:val="en-US"/>
        </w:rPr>
        <w:t xml:space="preserve">. </w:t>
      </w:r>
      <w:r w:rsidRPr="3285EAFF">
        <w:rPr>
          <w:lang w:val="en-US"/>
        </w:rPr>
        <w:t>Employers also match employee contributions up to 3 per cent of pensionable pay</w:t>
      </w:r>
      <w:r w:rsidR="00FF1FA8" w:rsidRPr="3285EAFF">
        <w:rPr>
          <w:lang w:val="en-US"/>
        </w:rPr>
        <w:t xml:space="preserve">. </w:t>
      </w:r>
      <w:r w:rsidRPr="3285EAFF">
        <w:rPr>
          <w:lang w:val="en-US"/>
        </w:rPr>
        <w:t xml:space="preserve">There were no additional employer contributions at 0.5 per cent of pensionable salary to cover the cost of centrally-provided risk benefit cover (death in service and ill-health retirement) </w:t>
      </w:r>
      <w:r>
        <w:t>(</w:t>
      </w:r>
      <w:r w:rsidR="00E865B2">
        <w:rPr>
          <w:rFonts w:cs="Arial"/>
          <w:lang w:val="en-US"/>
        </w:rPr>
        <w:t>20</w:t>
      </w:r>
      <w:r w:rsidR="0084B063" w:rsidRPr="3285EAFF">
        <w:rPr>
          <w:rFonts w:cs="Arial"/>
          <w:lang w:val="en-US"/>
        </w:rPr>
        <w:t>20</w:t>
      </w:r>
      <w:r w:rsidR="00E865B2">
        <w:rPr>
          <w:rFonts w:cs="Arial"/>
          <w:lang w:val="en-US"/>
        </w:rPr>
        <w:t>-21</w:t>
      </w:r>
      <w:r>
        <w:t>: £</w:t>
      </w:r>
      <w:r w:rsidRPr="3285EAFF">
        <w:rPr>
          <w:lang w:val="en-US"/>
        </w:rPr>
        <w:t>Nil</w:t>
      </w:r>
      <w:r>
        <w:t>).</w:t>
      </w:r>
    </w:p>
    <w:p w14:paraId="1D2DEC4A" w14:textId="77777777" w:rsidR="00FC5374" w:rsidRPr="00F97E5F" w:rsidRDefault="00FC5374" w:rsidP="00B61C59"/>
    <w:p w14:paraId="05CE822B" w14:textId="77777777" w:rsidR="000C2A54" w:rsidRPr="005D69D1" w:rsidRDefault="000C2A54" w:rsidP="3285EAFF">
      <w:pPr>
        <w:rPr>
          <w:i/>
          <w:iCs/>
        </w:rPr>
      </w:pPr>
      <w:r>
        <w:t>The expected employer pension contributions to the Principal Civil</w:t>
      </w:r>
      <w:r w:rsidR="00A80575">
        <w:t xml:space="preserve"> Service Pension Scheme for </w:t>
      </w:r>
      <w:r w:rsidR="00E865B2">
        <w:t>20</w:t>
      </w:r>
      <w:r w:rsidR="24B53533">
        <w:t>22</w:t>
      </w:r>
      <w:r w:rsidR="00E865B2">
        <w:t>-23</w:t>
      </w:r>
      <w:r>
        <w:t xml:space="preserve"> is </w:t>
      </w:r>
      <w:r w:rsidR="00FA0FFC">
        <w:t xml:space="preserve">estimated at </w:t>
      </w:r>
      <w:r w:rsidR="008215DC">
        <w:t>£339,267</w:t>
      </w:r>
      <w:r w:rsidR="00FA0FFC">
        <w:t xml:space="preserve"> </w:t>
      </w:r>
    </w:p>
    <w:p w14:paraId="5E645056" w14:textId="77777777" w:rsidR="000C2A54" w:rsidRPr="00F97E5F" w:rsidRDefault="000C2A54" w:rsidP="00B61C59"/>
    <w:p w14:paraId="496ACD3B" w14:textId="77777777" w:rsidR="000C2A54" w:rsidRPr="00F97E5F" w:rsidRDefault="00912417" w:rsidP="00B61C59">
      <w:r>
        <w:t>There were</w:t>
      </w:r>
      <w:r w:rsidR="000C2A54">
        <w:t xml:space="preserve"> no staff who retired early on</w:t>
      </w:r>
      <w:r w:rsidR="005D69D1">
        <w:t xml:space="preserve"> ill-health grounds during </w:t>
      </w:r>
      <w:r w:rsidR="00E865B2">
        <w:t>20</w:t>
      </w:r>
      <w:r w:rsidR="3EF6A621">
        <w:t>21</w:t>
      </w:r>
      <w:r w:rsidR="00E865B2">
        <w:t>-22</w:t>
      </w:r>
      <w:r w:rsidR="004A68BF">
        <w:t xml:space="preserve"> (</w:t>
      </w:r>
      <w:r w:rsidR="00E865B2">
        <w:t>20</w:t>
      </w:r>
      <w:r w:rsidR="7B7D4706">
        <w:t>20</w:t>
      </w:r>
      <w:r w:rsidR="00E865B2">
        <w:t>-21</w:t>
      </w:r>
      <w:r w:rsidR="004A68BF">
        <w:t>: None).</w:t>
      </w:r>
    </w:p>
    <w:p w14:paraId="2150300B" w14:textId="77777777" w:rsidR="000C2A54" w:rsidRPr="00BE16D9" w:rsidRDefault="000C2A54" w:rsidP="000C2A54">
      <w:pPr>
        <w:autoSpaceDE w:val="0"/>
        <w:autoSpaceDN w:val="0"/>
        <w:adjustRightInd w:val="0"/>
        <w:jc w:val="both"/>
        <w:rPr>
          <w:rFonts w:cs="Arial"/>
          <w:b/>
          <w:bCs/>
          <w:sz w:val="22"/>
          <w:szCs w:val="22"/>
          <w:lang w:val="en-US"/>
        </w:rPr>
      </w:pPr>
    </w:p>
    <w:p w14:paraId="1C4FE725" w14:textId="77777777" w:rsidR="003D5134" w:rsidRDefault="00D14957" w:rsidP="00D14957">
      <w:pPr>
        <w:autoSpaceDE w:val="0"/>
        <w:autoSpaceDN w:val="0"/>
        <w:adjustRightInd w:val="0"/>
        <w:jc w:val="both"/>
        <w:rPr>
          <w:rFonts w:cs="Arial"/>
          <w:b/>
          <w:bCs/>
          <w:lang w:val="en-US"/>
        </w:rPr>
      </w:pPr>
      <w:r>
        <w:rPr>
          <w:rFonts w:cs="Arial"/>
          <w:b/>
          <w:bCs/>
          <w:lang w:val="en-US"/>
        </w:rPr>
        <w:t>Number of Senior Civil Service Staff</w:t>
      </w:r>
    </w:p>
    <w:p w14:paraId="4063456B" w14:textId="77777777" w:rsidR="00D14957" w:rsidRDefault="00D14957" w:rsidP="00D14957">
      <w:pPr>
        <w:autoSpaceDE w:val="0"/>
        <w:autoSpaceDN w:val="0"/>
        <w:adjustRightInd w:val="0"/>
        <w:jc w:val="both"/>
        <w:rPr>
          <w:rFonts w:cs="Arial"/>
          <w:b/>
          <w:bCs/>
          <w:lang w:val="en-US"/>
        </w:rPr>
      </w:pPr>
    </w:p>
    <w:tbl>
      <w:tblPr>
        <w:tblStyle w:val="TableGrid"/>
        <w:tblW w:w="0" w:type="auto"/>
        <w:tblLook w:val="04A0" w:firstRow="1" w:lastRow="0" w:firstColumn="1" w:lastColumn="0" w:noHBand="0" w:noVBand="1"/>
      </w:tblPr>
      <w:tblGrid>
        <w:gridCol w:w="3020"/>
        <w:gridCol w:w="3020"/>
        <w:gridCol w:w="3021"/>
      </w:tblGrid>
      <w:tr w:rsidR="00D14957" w14:paraId="6FFB0976" w14:textId="77777777" w:rsidTr="3285EAFF">
        <w:tc>
          <w:tcPr>
            <w:tcW w:w="3020" w:type="dxa"/>
          </w:tcPr>
          <w:p w14:paraId="3B6ADE95" w14:textId="77777777" w:rsidR="00D14957" w:rsidRDefault="00D14957" w:rsidP="00D14957">
            <w:pPr>
              <w:autoSpaceDE w:val="0"/>
              <w:autoSpaceDN w:val="0"/>
              <w:adjustRightInd w:val="0"/>
              <w:jc w:val="center"/>
              <w:rPr>
                <w:rFonts w:cs="Arial"/>
                <w:b/>
                <w:bCs/>
              </w:rPr>
            </w:pPr>
            <w:r>
              <w:rPr>
                <w:rFonts w:cs="Arial"/>
                <w:b/>
                <w:bCs/>
              </w:rPr>
              <w:t>Grade of Senior Civil Servant</w:t>
            </w:r>
          </w:p>
        </w:tc>
        <w:tc>
          <w:tcPr>
            <w:tcW w:w="3020" w:type="dxa"/>
          </w:tcPr>
          <w:p w14:paraId="0DE9C343" w14:textId="77777777" w:rsidR="00D14957" w:rsidRDefault="00E865B2" w:rsidP="00D14957">
            <w:pPr>
              <w:autoSpaceDE w:val="0"/>
              <w:autoSpaceDN w:val="0"/>
              <w:adjustRightInd w:val="0"/>
              <w:jc w:val="center"/>
              <w:rPr>
                <w:rFonts w:cs="Arial"/>
                <w:b/>
                <w:bCs/>
              </w:rPr>
            </w:pPr>
            <w:r>
              <w:rPr>
                <w:rFonts w:cs="Arial"/>
                <w:b/>
                <w:bCs/>
              </w:rPr>
              <w:t>202</w:t>
            </w:r>
            <w:r w:rsidR="546CCDA5" w:rsidRPr="3285EAFF">
              <w:rPr>
                <w:rFonts w:cs="Arial"/>
                <w:b/>
                <w:bCs/>
              </w:rPr>
              <w:t>1</w:t>
            </w:r>
            <w:r>
              <w:rPr>
                <w:rFonts w:cs="Arial"/>
                <w:b/>
                <w:bCs/>
              </w:rPr>
              <w:t>-22</w:t>
            </w:r>
            <w:r w:rsidR="00D14957" w:rsidRPr="3285EAFF">
              <w:rPr>
                <w:rFonts w:cs="Arial"/>
                <w:b/>
                <w:bCs/>
              </w:rPr>
              <w:t xml:space="preserve"> </w:t>
            </w:r>
          </w:p>
          <w:p w14:paraId="5BF49F9B" w14:textId="77777777" w:rsidR="00D14957" w:rsidRDefault="00D14957" w:rsidP="00D14957">
            <w:pPr>
              <w:autoSpaceDE w:val="0"/>
              <w:autoSpaceDN w:val="0"/>
              <w:adjustRightInd w:val="0"/>
              <w:jc w:val="center"/>
              <w:rPr>
                <w:rFonts w:cs="Arial"/>
                <w:b/>
                <w:bCs/>
              </w:rPr>
            </w:pPr>
            <w:r>
              <w:rPr>
                <w:rFonts w:cs="Arial"/>
                <w:b/>
                <w:bCs/>
              </w:rPr>
              <w:t>Number of Staff</w:t>
            </w:r>
          </w:p>
        </w:tc>
        <w:tc>
          <w:tcPr>
            <w:tcW w:w="3021" w:type="dxa"/>
          </w:tcPr>
          <w:p w14:paraId="529BD4F9" w14:textId="77777777" w:rsidR="00D14957" w:rsidRDefault="00E865B2" w:rsidP="00D14957">
            <w:pPr>
              <w:autoSpaceDE w:val="0"/>
              <w:autoSpaceDN w:val="0"/>
              <w:adjustRightInd w:val="0"/>
              <w:jc w:val="center"/>
              <w:rPr>
                <w:rFonts w:cs="Arial"/>
                <w:b/>
                <w:bCs/>
              </w:rPr>
            </w:pPr>
            <w:r>
              <w:rPr>
                <w:rFonts w:cs="Arial"/>
                <w:b/>
                <w:bCs/>
              </w:rPr>
              <w:t>2020-21</w:t>
            </w:r>
          </w:p>
          <w:p w14:paraId="3F46423A" w14:textId="77777777" w:rsidR="00D14957" w:rsidRDefault="00D14957" w:rsidP="00D14957">
            <w:pPr>
              <w:autoSpaceDE w:val="0"/>
              <w:autoSpaceDN w:val="0"/>
              <w:adjustRightInd w:val="0"/>
              <w:jc w:val="center"/>
              <w:rPr>
                <w:rFonts w:cs="Arial"/>
                <w:b/>
                <w:bCs/>
              </w:rPr>
            </w:pPr>
            <w:r>
              <w:rPr>
                <w:rFonts w:cs="Arial"/>
                <w:b/>
                <w:bCs/>
              </w:rPr>
              <w:t>Number of Staff</w:t>
            </w:r>
          </w:p>
          <w:p w14:paraId="056788E2" w14:textId="77777777" w:rsidR="00D14957" w:rsidRDefault="00D14957" w:rsidP="00D14957">
            <w:pPr>
              <w:autoSpaceDE w:val="0"/>
              <w:autoSpaceDN w:val="0"/>
              <w:adjustRightInd w:val="0"/>
              <w:jc w:val="center"/>
              <w:rPr>
                <w:rFonts w:cs="Arial"/>
                <w:b/>
                <w:bCs/>
              </w:rPr>
            </w:pPr>
          </w:p>
        </w:tc>
      </w:tr>
      <w:tr w:rsidR="00D14957" w14:paraId="09E37B69" w14:textId="77777777" w:rsidTr="3285EAFF">
        <w:tc>
          <w:tcPr>
            <w:tcW w:w="3020" w:type="dxa"/>
          </w:tcPr>
          <w:p w14:paraId="0CA6D906" w14:textId="77777777" w:rsidR="00D14957" w:rsidRPr="00D14957" w:rsidRDefault="00D14957" w:rsidP="00D14957">
            <w:pPr>
              <w:autoSpaceDE w:val="0"/>
              <w:autoSpaceDN w:val="0"/>
              <w:adjustRightInd w:val="0"/>
              <w:jc w:val="center"/>
              <w:rPr>
                <w:rFonts w:cs="Arial"/>
                <w:bCs/>
              </w:rPr>
            </w:pPr>
            <w:r>
              <w:rPr>
                <w:rFonts w:cs="Arial"/>
                <w:bCs/>
              </w:rPr>
              <w:t>5</w:t>
            </w:r>
          </w:p>
        </w:tc>
        <w:tc>
          <w:tcPr>
            <w:tcW w:w="3020" w:type="dxa"/>
          </w:tcPr>
          <w:p w14:paraId="77E0770B" w14:textId="77777777" w:rsidR="00D14957" w:rsidRPr="00D14957" w:rsidRDefault="00A80575" w:rsidP="00D14957">
            <w:pPr>
              <w:autoSpaceDE w:val="0"/>
              <w:autoSpaceDN w:val="0"/>
              <w:adjustRightInd w:val="0"/>
              <w:jc w:val="center"/>
              <w:rPr>
                <w:rFonts w:cs="Arial"/>
                <w:bCs/>
              </w:rPr>
            </w:pPr>
            <w:r>
              <w:rPr>
                <w:rFonts w:cs="Arial"/>
                <w:bCs/>
              </w:rPr>
              <w:t>2</w:t>
            </w:r>
          </w:p>
        </w:tc>
        <w:tc>
          <w:tcPr>
            <w:tcW w:w="3021" w:type="dxa"/>
          </w:tcPr>
          <w:p w14:paraId="7943E637" w14:textId="77777777" w:rsidR="00D14957" w:rsidRDefault="00D14957" w:rsidP="000F5ED9">
            <w:pPr>
              <w:autoSpaceDE w:val="0"/>
              <w:autoSpaceDN w:val="0"/>
              <w:adjustRightInd w:val="0"/>
              <w:jc w:val="center"/>
              <w:rPr>
                <w:rFonts w:cs="Arial"/>
                <w:bCs/>
              </w:rPr>
            </w:pPr>
            <w:r>
              <w:rPr>
                <w:rFonts w:cs="Arial"/>
                <w:bCs/>
              </w:rPr>
              <w:t>2</w:t>
            </w:r>
          </w:p>
          <w:p w14:paraId="3CE3CAAF" w14:textId="77777777" w:rsidR="000F5ED9" w:rsidRPr="00D14957" w:rsidRDefault="000F5ED9" w:rsidP="000F5ED9">
            <w:pPr>
              <w:autoSpaceDE w:val="0"/>
              <w:autoSpaceDN w:val="0"/>
              <w:adjustRightInd w:val="0"/>
              <w:jc w:val="center"/>
              <w:rPr>
                <w:rFonts w:cs="Arial"/>
                <w:bCs/>
              </w:rPr>
            </w:pPr>
          </w:p>
        </w:tc>
      </w:tr>
    </w:tbl>
    <w:p w14:paraId="77022AD5" w14:textId="77777777" w:rsidR="000F5ED9" w:rsidRDefault="000F5ED9" w:rsidP="00D14957">
      <w:pPr>
        <w:autoSpaceDE w:val="0"/>
        <w:autoSpaceDN w:val="0"/>
        <w:adjustRightInd w:val="0"/>
        <w:jc w:val="both"/>
        <w:rPr>
          <w:rFonts w:cs="Arial"/>
          <w:b/>
          <w:bCs/>
          <w:lang w:val="en-US"/>
        </w:rPr>
      </w:pPr>
    </w:p>
    <w:p w14:paraId="2932165B" w14:textId="77777777" w:rsidR="000C2A54" w:rsidRPr="00D73014" w:rsidRDefault="000C2A54" w:rsidP="00D14957">
      <w:pPr>
        <w:autoSpaceDE w:val="0"/>
        <w:autoSpaceDN w:val="0"/>
        <w:adjustRightInd w:val="0"/>
        <w:jc w:val="both"/>
        <w:rPr>
          <w:rFonts w:cs="Arial"/>
          <w:lang w:val="en-US"/>
        </w:rPr>
      </w:pPr>
      <w:r w:rsidRPr="00F97E5F">
        <w:rPr>
          <w:rFonts w:cs="Arial"/>
          <w:b/>
          <w:bCs/>
          <w:lang w:val="en-US"/>
        </w:rPr>
        <w:t>Average number of persons employed</w:t>
      </w:r>
      <w:r>
        <w:rPr>
          <w:rFonts w:cs="Arial"/>
          <w:b/>
          <w:bCs/>
          <w:lang w:val="en-US"/>
        </w:rPr>
        <w:t xml:space="preserve"> </w:t>
      </w:r>
      <w:r>
        <w:rPr>
          <w:rFonts w:cs="Arial"/>
          <w:bCs/>
          <w:lang w:val="en-US"/>
        </w:rPr>
        <w:t>(audited information)</w:t>
      </w:r>
    </w:p>
    <w:p w14:paraId="019066F9" w14:textId="77777777" w:rsidR="000C2A54" w:rsidRPr="00F97E5F" w:rsidRDefault="000C2A54" w:rsidP="000C2A54">
      <w:pPr>
        <w:ind w:left="567"/>
        <w:rPr>
          <w:rFonts w:cs="Arial"/>
          <w:lang w:val="en-US"/>
        </w:rPr>
      </w:pPr>
    </w:p>
    <w:p w14:paraId="1BCAFDA1" w14:textId="77777777" w:rsidR="000C2A54" w:rsidRDefault="000C2A54" w:rsidP="00D14957">
      <w:pPr>
        <w:rPr>
          <w:rFonts w:cs="Arial"/>
          <w:lang w:val="en-US"/>
        </w:rPr>
      </w:pPr>
      <w:r w:rsidRPr="00F97E5F">
        <w:rPr>
          <w:rFonts w:cs="Arial"/>
          <w:lang w:val="en-US"/>
        </w:rPr>
        <w:t>The average number of whole-time equivalent persons employed during the year was as follows:</w:t>
      </w:r>
    </w:p>
    <w:p w14:paraId="5570D28B" w14:textId="77777777" w:rsidR="007D0485" w:rsidRDefault="007D0485" w:rsidP="000C2A54">
      <w:pPr>
        <w:ind w:left="567"/>
        <w:rPr>
          <w:rFonts w:cs="Arial"/>
          <w:lang w:val="en-US"/>
        </w:rPr>
      </w:pPr>
    </w:p>
    <w:tbl>
      <w:tblPr>
        <w:tblW w:w="8995" w:type="dxa"/>
        <w:tblInd w:w="392" w:type="dxa"/>
        <w:tblLook w:val="01E0" w:firstRow="1" w:lastRow="1" w:firstColumn="1" w:lastColumn="1" w:noHBand="0" w:noVBand="0"/>
      </w:tblPr>
      <w:tblGrid>
        <w:gridCol w:w="2126"/>
        <w:gridCol w:w="1134"/>
        <w:gridCol w:w="1985"/>
        <w:gridCol w:w="1648"/>
        <w:gridCol w:w="971"/>
        <w:gridCol w:w="1131"/>
      </w:tblGrid>
      <w:tr w:rsidR="000C2A54" w:rsidRPr="00D60995" w14:paraId="225A62D1" w14:textId="77777777" w:rsidTr="3285EAFF">
        <w:tc>
          <w:tcPr>
            <w:tcW w:w="2126" w:type="dxa"/>
          </w:tcPr>
          <w:p w14:paraId="644A07A8" w14:textId="77777777" w:rsidR="000C2A54" w:rsidRPr="003C274D" w:rsidRDefault="000C2A54" w:rsidP="000C2A54">
            <w:pPr>
              <w:jc w:val="right"/>
              <w:rPr>
                <w:b/>
                <w:sz w:val="20"/>
                <w:szCs w:val="20"/>
              </w:rPr>
            </w:pPr>
          </w:p>
        </w:tc>
        <w:tc>
          <w:tcPr>
            <w:tcW w:w="1134" w:type="dxa"/>
          </w:tcPr>
          <w:p w14:paraId="0714A26F" w14:textId="77777777" w:rsidR="000C2A54" w:rsidRPr="00563D4A" w:rsidRDefault="00E865B2" w:rsidP="00E029DB">
            <w:pPr>
              <w:spacing w:line="259" w:lineRule="auto"/>
              <w:ind w:left="-137" w:hanging="40"/>
              <w:jc w:val="right"/>
              <w:rPr>
                <w:color w:val="000000" w:themeColor="text1"/>
              </w:rPr>
            </w:pPr>
            <w:r>
              <w:rPr>
                <w:b/>
                <w:bCs/>
                <w:sz w:val="20"/>
                <w:szCs w:val="20"/>
              </w:rPr>
              <w:t>20</w:t>
            </w:r>
            <w:r w:rsidR="415A16E6" w:rsidRPr="3285EAFF">
              <w:rPr>
                <w:b/>
                <w:bCs/>
                <w:sz w:val="20"/>
                <w:szCs w:val="20"/>
              </w:rPr>
              <w:t>21</w:t>
            </w:r>
            <w:r>
              <w:rPr>
                <w:b/>
                <w:bCs/>
                <w:sz w:val="20"/>
                <w:szCs w:val="20"/>
              </w:rPr>
              <w:t>-22</w:t>
            </w:r>
          </w:p>
          <w:p w14:paraId="3DA82D1A" w14:textId="77777777" w:rsidR="000C2A54" w:rsidRPr="00563D4A" w:rsidRDefault="000C2A54" w:rsidP="000C2A54">
            <w:pPr>
              <w:jc w:val="right"/>
              <w:rPr>
                <w:b/>
                <w:sz w:val="20"/>
                <w:szCs w:val="20"/>
              </w:rPr>
            </w:pPr>
            <w:r w:rsidRPr="00563D4A">
              <w:rPr>
                <w:b/>
                <w:sz w:val="20"/>
                <w:szCs w:val="20"/>
              </w:rPr>
              <w:t>total</w:t>
            </w:r>
          </w:p>
        </w:tc>
        <w:tc>
          <w:tcPr>
            <w:tcW w:w="1985" w:type="dxa"/>
          </w:tcPr>
          <w:p w14:paraId="77D721CC" w14:textId="77777777" w:rsidR="000C2A54" w:rsidRPr="00563D4A" w:rsidRDefault="000C2A54" w:rsidP="000C2A54">
            <w:pPr>
              <w:jc w:val="right"/>
              <w:rPr>
                <w:b/>
                <w:sz w:val="20"/>
                <w:szCs w:val="20"/>
              </w:rPr>
            </w:pPr>
            <w:r w:rsidRPr="00563D4A">
              <w:rPr>
                <w:b/>
                <w:sz w:val="20"/>
                <w:szCs w:val="20"/>
              </w:rPr>
              <w:t>Commissioners</w:t>
            </w:r>
          </w:p>
        </w:tc>
        <w:tc>
          <w:tcPr>
            <w:tcW w:w="1648" w:type="dxa"/>
          </w:tcPr>
          <w:p w14:paraId="133889C5" w14:textId="77777777" w:rsidR="000C2A54" w:rsidRPr="00563D4A" w:rsidRDefault="000C2A54" w:rsidP="000C2A54">
            <w:pPr>
              <w:jc w:val="right"/>
              <w:rPr>
                <w:b/>
                <w:sz w:val="20"/>
                <w:szCs w:val="20"/>
              </w:rPr>
            </w:pPr>
            <w:r w:rsidRPr="00563D4A">
              <w:rPr>
                <w:b/>
                <w:sz w:val="20"/>
                <w:szCs w:val="20"/>
              </w:rPr>
              <w:t>Permanently</w:t>
            </w:r>
          </w:p>
          <w:p w14:paraId="7B0A0B60" w14:textId="77777777" w:rsidR="00CC02A7" w:rsidRPr="00563D4A" w:rsidRDefault="000C2A54" w:rsidP="00CC02A7">
            <w:pPr>
              <w:jc w:val="right"/>
              <w:rPr>
                <w:b/>
                <w:sz w:val="20"/>
                <w:szCs w:val="20"/>
              </w:rPr>
            </w:pPr>
            <w:r w:rsidRPr="00563D4A">
              <w:rPr>
                <w:b/>
                <w:sz w:val="20"/>
                <w:szCs w:val="20"/>
              </w:rPr>
              <w:t xml:space="preserve">Employed </w:t>
            </w:r>
          </w:p>
          <w:p w14:paraId="4B6366A6" w14:textId="77777777" w:rsidR="000C2A54" w:rsidRPr="00563D4A" w:rsidRDefault="000C2A54" w:rsidP="000C2A54">
            <w:pPr>
              <w:jc w:val="right"/>
              <w:rPr>
                <w:b/>
                <w:sz w:val="20"/>
                <w:szCs w:val="20"/>
              </w:rPr>
            </w:pPr>
          </w:p>
        </w:tc>
        <w:tc>
          <w:tcPr>
            <w:tcW w:w="971" w:type="dxa"/>
          </w:tcPr>
          <w:p w14:paraId="3F65C30D" w14:textId="77777777" w:rsidR="000C2A54" w:rsidRPr="00563D4A" w:rsidRDefault="000C2A54" w:rsidP="000C2A54">
            <w:pPr>
              <w:jc w:val="right"/>
              <w:rPr>
                <w:b/>
                <w:sz w:val="20"/>
                <w:szCs w:val="20"/>
              </w:rPr>
            </w:pPr>
            <w:r w:rsidRPr="00563D4A">
              <w:rPr>
                <w:b/>
                <w:sz w:val="20"/>
                <w:szCs w:val="20"/>
              </w:rPr>
              <w:t>Others</w:t>
            </w:r>
          </w:p>
          <w:p w14:paraId="3DF88DE8" w14:textId="77777777" w:rsidR="000C2A54" w:rsidRPr="00563D4A" w:rsidRDefault="000C2A54" w:rsidP="000C2A54">
            <w:pPr>
              <w:jc w:val="center"/>
              <w:rPr>
                <w:b/>
                <w:sz w:val="20"/>
                <w:szCs w:val="20"/>
              </w:rPr>
            </w:pPr>
          </w:p>
        </w:tc>
        <w:tc>
          <w:tcPr>
            <w:tcW w:w="1131" w:type="dxa"/>
          </w:tcPr>
          <w:p w14:paraId="0368E25D" w14:textId="77777777" w:rsidR="000C2A54" w:rsidRPr="00563D4A" w:rsidRDefault="66483038" w:rsidP="00E029DB">
            <w:pPr>
              <w:spacing w:line="259" w:lineRule="auto"/>
              <w:ind w:left="-286" w:right="-327" w:firstLine="142"/>
              <w:jc w:val="center"/>
              <w:rPr>
                <w:color w:val="000000" w:themeColor="text1"/>
              </w:rPr>
            </w:pPr>
            <w:r w:rsidRPr="3285EAFF">
              <w:rPr>
                <w:b/>
                <w:bCs/>
                <w:sz w:val="20"/>
                <w:szCs w:val="20"/>
              </w:rPr>
              <w:t>2</w:t>
            </w:r>
            <w:r w:rsidR="00E865B2">
              <w:rPr>
                <w:b/>
                <w:bCs/>
                <w:sz w:val="20"/>
                <w:szCs w:val="20"/>
              </w:rPr>
              <w:t>020-21</w:t>
            </w:r>
          </w:p>
          <w:p w14:paraId="69C0BE88" w14:textId="77777777" w:rsidR="000C2A54" w:rsidRPr="00563D4A" w:rsidRDefault="00992457" w:rsidP="000C2A54">
            <w:pPr>
              <w:jc w:val="right"/>
              <w:rPr>
                <w:b/>
                <w:sz w:val="20"/>
                <w:szCs w:val="20"/>
              </w:rPr>
            </w:pPr>
            <w:r w:rsidRPr="00563D4A">
              <w:rPr>
                <w:b/>
                <w:sz w:val="20"/>
                <w:szCs w:val="20"/>
              </w:rPr>
              <w:t>T</w:t>
            </w:r>
            <w:r w:rsidR="000C2A54" w:rsidRPr="00563D4A">
              <w:rPr>
                <w:b/>
                <w:sz w:val="20"/>
                <w:szCs w:val="20"/>
              </w:rPr>
              <w:t>otal</w:t>
            </w:r>
          </w:p>
        </w:tc>
      </w:tr>
      <w:tr w:rsidR="000C2A54" w:rsidRPr="00D60995" w14:paraId="1004854D" w14:textId="77777777" w:rsidTr="3285EAFF">
        <w:tc>
          <w:tcPr>
            <w:tcW w:w="2126" w:type="dxa"/>
          </w:tcPr>
          <w:p w14:paraId="008DA5A0" w14:textId="77777777" w:rsidR="000C2A54" w:rsidRPr="00863EC6" w:rsidRDefault="000C2A54" w:rsidP="000C2A54">
            <w:pPr>
              <w:rPr>
                <w:sz w:val="20"/>
                <w:szCs w:val="20"/>
              </w:rPr>
            </w:pPr>
            <w:r w:rsidRPr="00863EC6">
              <w:rPr>
                <w:sz w:val="20"/>
                <w:szCs w:val="20"/>
              </w:rPr>
              <w:t>Directly employed</w:t>
            </w:r>
          </w:p>
        </w:tc>
        <w:tc>
          <w:tcPr>
            <w:tcW w:w="1134" w:type="dxa"/>
          </w:tcPr>
          <w:p w14:paraId="5517995B" w14:textId="30F88BA9" w:rsidR="000C2A54" w:rsidRPr="00563D4A" w:rsidRDefault="00915B65" w:rsidP="00E029DB">
            <w:pPr>
              <w:spacing w:line="259" w:lineRule="auto"/>
              <w:jc w:val="right"/>
              <w:rPr>
                <w:color w:val="000000" w:themeColor="text1"/>
              </w:rPr>
            </w:pPr>
            <w:r>
              <w:rPr>
                <w:sz w:val="20"/>
                <w:szCs w:val="20"/>
              </w:rPr>
              <w:t>29</w:t>
            </w:r>
          </w:p>
        </w:tc>
        <w:tc>
          <w:tcPr>
            <w:tcW w:w="1985" w:type="dxa"/>
          </w:tcPr>
          <w:p w14:paraId="056314AD" w14:textId="77777777" w:rsidR="000C2A54" w:rsidRPr="00563D4A" w:rsidRDefault="00E865B2" w:rsidP="000C2A54">
            <w:pPr>
              <w:jc w:val="right"/>
              <w:rPr>
                <w:sz w:val="20"/>
                <w:szCs w:val="20"/>
              </w:rPr>
            </w:pPr>
            <w:r>
              <w:rPr>
                <w:sz w:val="20"/>
                <w:szCs w:val="20"/>
              </w:rPr>
              <w:t>6</w:t>
            </w:r>
          </w:p>
        </w:tc>
        <w:tc>
          <w:tcPr>
            <w:tcW w:w="1648" w:type="dxa"/>
          </w:tcPr>
          <w:p w14:paraId="451CDCE8" w14:textId="4A12B2C1" w:rsidR="000C2A54" w:rsidRPr="00563D4A" w:rsidRDefault="00915B65" w:rsidP="00E029DB">
            <w:pPr>
              <w:spacing w:line="259" w:lineRule="auto"/>
              <w:jc w:val="right"/>
              <w:rPr>
                <w:color w:val="000000" w:themeColor="text1"/>
              </w:rPr>
            </w:pPr>
            <w:r>
              <w:rPr>
                <w:sz w:val="20"/>
                <w:szCs w:val="20"/>
              </w:rPr>
              <w:t>22</w:t>
            </w:r>
          </w:p>
        </w:tc>
        <w:tc>
          <w:tcPr>
            <w:tcW w:w="971" w:type="dxa"/>
          </w:tcPr>
          <w:p w14:paraId="7F5382A0" w14:textId="4A606038" w:rsidR="000C2A54" w:rsidRPr="00563D4A" w:rsidRDefault="00915B65" w:rsidP="00E029DB">
            <w:pPr>
              <w:spacing w:line="259" w:lineRule="auto"/>
              <w:jc w:val="right"/>
              <w:rPr>
                <w:color w:val="000000" w:themeColor="text1"/>
              </w:rPr>
            </w:pPr>
            <w:r>
              <w:rPr>
                <w:sz w:val="20"/>
                <w:szCs w:val="20"/>
              </w:rPr>
              <w:t>1</w:t>
            </w:r>
          </w:p>
        </w:tc>
        <w:tc>
          <w:tcPr>
            <w:tcW w:w="1131" w:type="dxa"/>
          </w:tcPr>
          <w:p w14:paraId="41C725DE" w14:textId="77777777" w:rsidR="000C2A54" w:rsidRPr="00563D4A" w:rsidRDefault="00E865B2" w:rsidP="00E029DB">
            <w:pPr>
              <w:spacing w:line="259" w:lineRule="auto"/>
              <w:jc w:val="right"/>
              <w:rPr>
                <w:sz w:val="20"/>
                <w:szCs w:val="20"/>
              </w:rPr>
            </w:pPr>
            <w:r>
              <w:rPr>
                <w:sz w:val="20"/>
                <w:szCs w:val="20"/>
              </w:rPr>
              <w:t>24</w:t>
            </w:r>
          </w:p>
        </w:tc>
      </w:tr>
      <w:tr w:rsidR="000C2A54" w:rsidRPr="00D60995" w14:paraId="75C3A81D" w14:textId="77777777" w:rsidTr="3285EAFF">
        <w:tc>
          <w:tcPr>
            <w:tcW w:w="2126" w:type="dxa"/>
          </w:tcPr>
          <w:p w14:paraId="187A91AC" w14:textId="77777777" w:rsidR="000C2A54" w:rsidRPr="00863EC6" w:rsidRDefault="000C2A54" w:rsidP="000C2A54">
            <w:pPr>
              <w:rPr>
                <w:sz w:val="20"/>
                <w:szCs w:val="20"/>
              </w:rPr>
            </w:pPr>
            <w:r w:rsidRPr="00863EC6">
              <w:rPr>
                <w:sz w:val="20"/>
                <w:szCs w:val="20"/>
              </w:rPr>
              <w:t>Other</w:t>
            </w:r>
          </w:p>
        </w:tc>
        <w:tc>
          <w:tcPr>
            <w:tcW w:w="1134" w:type="dxa"/>
          </w:tcPr>
          <w:p w14:paraId="31333DE4" w14:textId="77777777" w:rsidR="000C2A54" w:rsidRPr="00563D4A" w:rsidRDefault="00E865B2" w:rsidP="00E029DB">
            <w:pPr>
              <w:spacing w:line="259" w:lineRule="auto"/>
              <w:jc w:val="right"/>
              <w:rPr>
                <w:color w:val="000000" w:themeColor="text1"/>
              </w:rPr>
            </w:pPr>
            <w:r>
              <w:rPr>
                <w:sz w:val="20"/>
                <w:szCs w:val="20"/>
              </w:rPr>
              <w:t>1</w:t>
            </w:r>
          </w:p>
        </w:tc>
        <w:tc>
          <w:tcPr>
            <w:tcW w:w="1985" w:type="dxa"/>
          </w:tcPr>
          <w:p w14:paraId="15DA1578" w14:textId="77777777" w:rsidR="000C2A54" w:rsidRPr="00563D4A" w:rsidRDefault="00C141C6" w:rsidP="000C2A54">
            <w:pPr>
              <w:jc w:val="right"/>
              <w:rPr>
                <w:sz w:val="20"/>
                <w:szCs w:val="20"/>
              </w:rPr>
            </w:pPr>
            <w:r>
              <w:rPr>
                <w:sz w:val="20"/>
                <w:szCs w:val="20"/>
              </w:rPr>
              <w:t>0</w:t>
            </w:r>
          </w:p>
        </w:tc>
        <w:tc>
          <w:tcPr>
            <w:tcW w:w="1648" w:type="dxa"/>
          </w:tcPr>
          <w:p w14:paraId="6A765490" w14:textId="77777777" w:rsidR="000C2A54" w:rsidRPr="00563D4A" w:rsidRDefault="00C141C6" w:rsidP="000C2A54">
            <w:pPr>
              <w:jc w:val="right"/>
              <w:rPr>
                <w:sz w:val="20"/>
                <w:szCs w:val="20"/>
              </w:rPr>
            </w:pPr>
            <w:r>
              <w:rPr>
                <w:sz w:val="20"/>
                <w:szCs w:val="20"/>
              </w:rPr>
              <w:t>0</w:t>
            </w:r>
          </w:p>
        </w:tc>
        <w:tc>
          <w:tcPr>
            <w:tcW w:w="971" w:type="dxa"/>
          </w:tcPr>
          <w:p w14:paraId="58970C73" w14:textId="77777777" w:rsidR="000C2A54" w:rsidRPr="00563D4A" w:rsidRDefault="00E865B2" w:rsidP="00E029DB">
            <w:pPr>
              <w:spacing w:line="259" w:lineRule="auto"/>
              <w:jc w:val="right"/>
              <w:rPr>
                <w:color w:val="000000" w:themeColor="text1"/>
              </w:rPr>
            </w:pPr>
            <w:r>
              <w:rPr>
                <w:sz w:val="20"/>
                <w:szCs w:val="20"/>
              </w:rPr>
              <w:t>1</w:t>
            </w:r>
          </w:p>
        </w:tc>
        <w:tc>
          <w:tcPr>
            <w:tcW w:w="1131" w:type="dxa"/>
          </w:tcPr>
          <w:p w14:paraId="35C58673" w14:textId="77777777" w:rsidR="000C2A54" w:rsidRPr="00563D4A" w:rsidRDefault="00E865B2" w:rsidP="000C2A54">
            <w:pPr>
              <w:jc w:val="right"/>
              <w:rPr>
                <w:sz w:val="20"/>
                <w:szCs w:val="20"/>
              </w:rPr>
            </w:pPr>
            <w:r>
              <w:rPr>
                <w:sz w:val="20"/>
                <w:szCs w:val="20"/>
              </w:rPr>
              <w:t>0</w:t>
            </w:r>
          </w:p>
        </w:tc>
      </w:tr>
      <w:tr w:rsidR="000C2A54" w:rsidRPr="00D60995" w14:paraId="197802A6" w14:textId="77777777" w:rsidTr="3285EAFF">
        <w:tc>
          <w:tcPr>
            <w:tcW w:w="2126" w:type="dxa"/>
          </w:tcPr>
          <w:p w14:paraId="6E156588" w14:textId="77777777" w:rsidR="000C2A54" w:rsidRPr="00863EC6" w:rsidRDefault="000C2A54" w:rsidP="000C2A54">
            <w:pPr>
              <w:rPr>
                <w:b/>
                <w:sz w:val="20"/>
                <w:szCs w:val="20"/>
              </w:rPr>
            </w:pPr>
            <w:r w:rsidRPr="00863EC6">
              <w:rPr>
                <w:b/>
                <w:sz w:val="20"/>
                <w:szCs w:val="20"/>
              </w:rPr>
              <w:t>Total</w:t>
            </w:r>
          </w:p>
        </w:tc>
        <w:tc>
          <w:tcPr>
            <w:tcW w:w="1134" w:type="dxa"/>
            <w:tcBorders>
              <w:top w:val="single" w:sz="4" w:space="0" w:color="auto"/>
              <w:bottom w:val="single" w:sz="4" w:space="0" w:color="auto"/>
            </w:tcBorders>
          </w:tcPr>
          <w:p w14:paraId="45E4FC21" w14:textId="6E581078" w:rsidR="000C2A54" w:rsidRPr="00563D4A" w:rsidRDefault="00915B65" w:rsidP="00E029DB">
            <w:pPr>
              <w:spacing w:line="259" w:lineRule="auto"/>
              <w:jc w:val="right"/>
              <w:rPr>
                <w:color w:val="000000" w:themeColor="text1"/>
              </w:rPr>
            </w:pPr>
            <w:r>
              <w:rPr>
                <w:b/>
                <w:bCs/>
                <w:sz w:val="20"/>
                <w:szCs w:val="20"/>
              </w:rPr>
              <w:t>30</w:t>
            </w:r>
          </w:p>
        </w:tc>
        <w:tc>
          <w:tcPr>
            <w:tcW w:w="1985" w:type="dxa"/>
            <w:tcBorders>
              <w:top w:val="single" w:sz="4" w:space="0" w:color="auto"/>
              <w:bottom w:val="single" w:sz="4" w:space="0" w:color="auto"/>
            </w:tcBorders>
          </w:tcPr>
          <w:p w14:paraId="7CA96337" w14:textId="77777777" w:rsidR="000C2A54" w:rsidRPr="00563D4A" w:rsidRDefault="00E865B2" w:rsidP="000C2A54">
            <w:pPr>
              <w:jc w:val="right"/>
              <w:rPr>
                <w:b/>
                <w:sz w:val="20"/>
                <w:szCs w:val="20"/>
              </w:rPr>
            </w:pPr>
            <w:r>
              <w:rPr>
                <w:b/>
                <w:sz w:val="20"/>
                <w:szCs w:val="20"/>
              </w:rPr>
              <w:t>6</w:t>
            </w:r>
          </w:p>
        </w:tc>
        <w:tc>
          <w:tcPr>
            <w:tcW w:w="1648" w:type="dxa"/>
            <w:tcBorders>
              <w:top w:val="single" w:sz="4" w:space="0" w:color="auto"/>
              <w:bottom w:val="single" w:sz="4" w:space="0" w:color="auto"/>
            </w:tcBorders>
          </w:tcPr>
          <w:p w14:paraId="09501E09" w14:textId="437CBA6A" w:rsidR="000C2A54" w:rsidRPr="00563D4A" w:rsidRDefault="003B2CCE" w:rsidP="00E029DB">
            <w:pPr>
              <w:spacing w:line="259" w:lineRule="auto"/>
              <w:jc w:val="right"/>
              <w:rPr>
                <w:color w:val="000000" w:themeColor="text1"/>
              </w:rPr>
            </w:pPr>
            <w:r>
              <w:rPr>
                <w:b/>
                <w:bCs/>
                <w:sz w:val="20"/>
                <w:szCs w:val="20"/>
              </w:rPr>
              <w:t>22</w:t>
            </w:r>
          </w:p>
        </w:tc>
        <w:tc>
          <w:tcPr>
            <w:tcW w:w="971" w:type="dxa"/>
            <w:tcBorders>
              <w:top w:val="single" w:sz="4" w:space="0" w:color="auto"/>
              <w:bottom w:val="single" w:sz="4" w:space="0" w:color="auto"/>
            </w:tcBorders>
          </w:tcPr>
          <w:p w14:paraId="619CE5DB" w14:textId="230840DD" w:rsidR="000C2A54" w:rsidRPr="00563D4A" w:rsidRDefault="003B2CCE" w:rsidP="00E029DB">
            <w:pPr>
              <w:spacing w:line="259" w:lineRule="auto"/>
              <w:jc w:val="right"/>
              <w:rPr>
                <w:color w:val="000000" w:themeColor="text1"/>
              </w:rPr>
            </w:pPr>
            <w:r>
              <w:rPr>
                <w:b/>
                <w:bCs/>
                <w:sz w:val="20"/>
                <w:szCs w:val="20"/>
              </w:rPr>
              <w:t>2</w:t>
            </w:r>
          </w:p>
        </w:tc>
        <w:tc>
          <w:tcPr>
            <w:tcW w:w="1131" w:type="dxa"/>
            <w:tcBorders>
              <w:top w:val="single" w:sz="4" w:space="0" w:color="auto"/>
              <w:bottom w:val="single" w:sz="4" w:space="0" w:color="auto"/>
            </w:tcBorders>
          </w:tcPr>
          <w:p w14:paraId="5B2AF14D" w14:textId="77777777" w:rsidR="000C2A54" w:rsidRPr="00563D4A" w:rsidRDefault="00E865B2" w:rsidP="00E029DB">
            <w:pPr>
              <w:spacing w:line="259" w:lineRule="auto"/>
              <w:jc w:val="right"/>
              <w:rPr>
                <w:b/>
                <w:bCs/>
                <w:sz w:val="20"/>
                <w:szCs w:val="20"/>
              </w:rPr>
            </w:pPr>
            <w:r>
              <w:rPr>
                <w:b/>
                <w:bCs/>
                <w:sz w:val="20"/>
                <w:szCs w:val="20"/>
              </w:rPr>
              <w:t>24</w:t>
            </w:r>
          </w:p>
        </w:tc>
      </w:tr>
    </w:tbl>
    <w:p w14:paraId="658D3151" w14:textId="5991B14B" w:rsidR="001B791D" w:rsidRDefault="000C2A54" w:rsidP="004A60FF">
      <w:pPr>
        <w:widowControl w:val="0"/>
        <w:tabs>
          <w:tab w:val="right" w:pos="7371"/>
          <w:tab w:val="right" w:pos="9356"/>
        </w:tabs>
        <w:autoSpaceDE w:val="0"/>
        <w:autoSpaceDN w:val="0"/>
        <w:adjustRightInd w:val="0"/>
      </w:pPr>
      <w:r w:rsidRPr="00F97E5F">
        <w:t xml:space="preserve">The Commissioners are expected to devote approximately </w:t>
      </w:r>
      <w:r w:rsidR="00D60995">
        <w:t>three</w:t>
      </w:r>
      <w:r w:rsidR="00871DB1">
        <w:t xml:space="preserve"> days per</w:t>
      </w:r>
      <w:r w:rsidR="002A501C">
        <w:t xml:space="preserve"> </w:t>
      </w:r>
      <w:r w:rsidRPr="00F97E5F">
        <w:t xml:space="preserve">month to Commission business over the course of a year. </w:t>
      </w:r>
    </w:p>
    <w:p w14:paraId="454B7ADD" w14:textId="77777777" w:rsidR="004A60FF" w:rsidRDefault="004A60FF" w:rsidP="004A60FF">
      <w:pPr>
        <w:widowControl w:val="0"/>
        <w:tabs>
          <w:tab w:val="right" w:pos="7371"/>
          <w:tab w:val="right" w:pos="9356"/>
        </w:tabs>
        <w:autoSpaceDE w:val="0"/>
        <w:autoSpaceDN w:val="0"/>
        <w:adjustRightInd w:val="0"/>
        <w:rPr>
          <w:b/>
        </w:rPr>
      </w:pPr>
    </w:p>
    <w:p w14:paraId="74A9E22A" w14:textId="77777777" w:rsidR="004A68BF" w:rsidRDefault="004A68BF" w:rsidP="000C2A54">
      <w:pPr>
        <w:widowControl w:val="0"/>
        <w:tabs>
          <w:tab w:val="left" w:pos="567"/>
          <w:tab w:val="right" w:pos="7371"/>
          <w:tab w:val="right" w:pos="9356"/>
        </w:tabs>
        <w:autoSpaceDE w:val="0"/>
        <w:autoSpaceDN w:val="0"/>
        <w:adjustRightInd w:val="0"/>
        <w:ind w:left="567" w:hanging="567"/>
        <w:rPr>
          <w:b/>
        </w:rPr>
      </w:pPr>
      <w:r>
        <w:rPr>
          <w:b/>
        </w:rPr>
        <w:t>Staff composition</w:t>
      </w:r>
    </w:p>
    <w:p w14:paraId="34565B1F" w14:textId="77777777" w:rsidR="004A68BF" w:rsidRDefault="004A68BF" w:rsidP="000C2A54">
      <w:pPr>
        <w:widowControl w:val="0"/>
        <w:tabs>
          <w:tab w:val="left" w:pos="567"/>
          <w:tab w:val="right" w:pos="7371"/>
          <w:tab w:val="right" w:pos="9356"/>
        </w:tabs>
        <w:autoSpaceDE w:val="0"/>
        <w:autoSpaceDN w:val="0"/>
        <w:adjustRightInd w:val="0"/>
        <w:ind w:left="567" w:hanging="567"/>
        <w:rPr>
          <w:b/>
        </w:rPr>
      </w:pPr>
    </w:p>
    <w:tbl>
      <w:tblPr>
        <w:tblStyle w:val="TableGrid"/>
        <w:tblW w:w="0" w:type="auto"/>
        <w:tblInd w:w="-5" w:type="dxa"/>
        <w:tblLook w:val="04A0" w:firstRow="1" w:lastRow="0" w:firstColumn="1" w:lastColumn="0" w:noHBand="0" w:noVBand="1"/>
      </w:tblPr>
      <w:tblGrid>
        <w:gridCol w:w="1936"/>
        <w:gridCol w:w="1196"/>
        <w:gridCol w:w="1196"/>
        <w:gridCol w:w="1196"/>
        <w:gridCol w:w="1178"/>
        <w:gridCol w:w="1182"/>
        <w:gridCol w:w="1182"/>
      </w:tblGrid>
      <w:tr w:rsidR="004A68BF" w14:paraId="0807D552" w14:textId="77777777" w:rsidTr="3285EAFF">
        <w:tc>
          <w:tcPr>
            <w:tcW w:w="2055" w:type="dxa"/>
          </w:tcPr>
          <w:p w14:paraId="6FF28375" w14:textId="77777777" w:rsidR="004A68BF" w:rsidRPr="004A68BF" w:rsidRDefault="004A68BF" w:rsidP="000C2A54">
            <w:pPr>
              <w:widowControl w:val="0"/>
              <w:tabs>
                <w:tab w:val="left" w:pos="567"/>
                <w:tab w:val="right" w:pos="7371"/>
                <w:tab w:val="right" w:pos="9356"/>
              </w:tabs>
              <w:autoSpaceDE w:val="0"/>
              <w:autoSpaceDN w:val="0"/>
              <w:adjustRightInd w:val="0"/>
              <w:rPr>
                <w:sz w:val="20"/>
                <w:szCs w:val="20"/>
              </w:rPr>
            </w:pPr>
          </w:p>
        </w:tc>
        <w:tc>
          <w:tcPr>
            <w:tcW w:w="4120" w:type="dxa"/>
            <w:gridSpan w:val="3"/>
          </w:tcPr>
          <w:p w14:paraId="45AA1F7B" w14:textId="77777777" w:rsidR="004A68BF" w:rsidRPr="004A68BF" w:rsidRDefault="00E865B2" w:rsidP="3285EAFF">
            <w:pPr>
              <w:widowControl w:val="0"/>
              <w:tabs>
                <w:tab w:val="left" w:pos="567"/>
                <w:tab w:val="right" w:pos="7371"/>
                <w:tab w:val="right" w:pos="9356"/>
              </w:tabs>
              <w:autoSpaceDE w:val="0"/>
              <w:autoSpaceDN w:val="0"/>
              <w:adjustRightInd w:val="0"/>
              <w:jc w:val="center"/>
              <w:rPr>
                <w:b/>
                <w:bCs/>
                <w:sz w:val="20"/>
                <w:szCs w:val="20"/>
              </w:rPr>
            </w:pPr>
            <w:r>
              <w:rPr>
                <w:b/>
                <w:bCs/>
                <w:sz w:val="20"/>
                <w:szCs w:val="20"/>
              </w:rPr>
              <w:t>2021-22</w:t>
            </w:r>
          </w:p>
        </w:tc>
        <w:tc>
          <w:tcPr>
            <w:tcW w:w="2891" w:type="dxa"/>
            <w:gridSpan w:val="3"/>
          </w:tcPr>
          <w:p w14:paraId="2A8694D1" w14:textId="77777777" w:rsidR="004A68BF" w:rsidRPr="004A68BF" w:rsidRDefault="00E865B2" w:rsidP="00E029DB">
            <w:pPr>
              <w:tabs>
                <w:tab w:val="left" w:pos="567"/>
                <w:tab w:val="right" w:pos="7371"/>
                <w:tab w:val="right" w:pos="9356"/>
              </w:tabs>
              <w:spacing w:line="259" w:lineRule="auto"/>
              <w:jc w:val="center"/>
              <w:rPr>
                <w:b/>
                <w:bCs/>
                <w:sz w:val="20"/>
                <w:szCs w:val="20"/>
              </w:rPr>
            </w:pPr>
            <w:r>
              <w:rPr>
                <w:b/>
                <w:bCs/>
                <w:sz w:val="20"/>
                <w:szCs w:val="20"/>
              </w:rPr>
              <w:t>2020-21</w:t>
            </w:r>
          </w:p>
        </w:tc>
      </w:tr>
      <w:tr w:rsidR="004A68BF" w14:paraId="21401A81" w14:textId="77777777" w:rsidTr="3285EAFF">
        <w:tc>
          <w:tcPr>
            <w:tcW w:w="2055" w:type="dxa"/>
          </w:tcPr>
          <w:p w14:paraId="2F8F5187" w14:textId="77777777" w:rsidR="004A68BF" w:rsidRPr="004A68BF" w:rsidRDefault="004A68BF" w:rsidP="004A68BF">
            <w:pPr>
              <w:widowControl w:val="0"/>
              <w:tabs>
                <w:tab w:val="left" w:pos="567"/>
                <w:tab w:val="right" w:pos="7371"/>
                <w:tab w:val="right" w:pos="9356"/>
              </w:tabs>
              <w:autoSpaceDE w:val="0"/>
              <w:autoSpaceDN w:val="0"/>
              <w:adjustRightInd w:val="0"/>
              <w:rPr>
                <w:sz w:val="20"/>
                <w:szCs w:val="20"/>
              </w:rPr>
            </w:pPr>
          </w:p>
        </w:tc>
        <w:tc>
          <w:tcPr>
            <w:tcW w:w="1370" w:type="dxa"/>
          </w:tcPr>
          <w:p w14:paraId="28377E5D"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T</w:t>
            </w:r>
            <w:r>
              <w:rPr>
                <w:b/>
                <w:sz w:val="20"/>
                <w:szCs w:val="20"/>
              </w:rPr>
              <w:t>otal average number of Persons E</w:t>
            </w:r>
            <w:r w:rsidRPr="004A68BF">
              <w:rPr>
                <w:b/>
                <w:sz w:val="20"/>
                <w:szCs w:val="20"/>
              </w:rPr>
              <w:t>ngaged</w:t>
            </w:r>
          </w:p>
        </w:tc>
        <w:tc>
          <w:tcPr>
            <w:tcW w:w="1375" w:type="dxa"/>
          </w:tcPr>
          <w:p w14:paraId="73F772D9"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Female Persons Engaged</w:t>
            </w:r>
          </w:p>
        </w:tc>
        <w:tc>
          <w:tcPr>
            <w:tcW w:w="1375" w:type="dxa"/>
          </w:tcPr>
          <w:p w14:paraId="76FDF074"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Male Persons Engaged</w:t>
            </w:r>
          </w:p>
        </w:tc>
        <w:tc>
          <w:tcPr>
            <w:tcW w:w="963" w:type="dxa"/>
          </w:tcPr>
          <w:p w14:paraId="06FE9BA3"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Total average number of Persons engaged</w:t>
            </w:r>
          </w:p>
        </w:tc>
        <w:tc>
          <w:tcPr>
            <w:tcW w:w="964" w:type="dxa"/>
          </w:tcPr>
          <w:p w14:paraId="70A57BAD"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Female Persons Engaged</w:t>
            </w:r>
          </w:p>
        </w:tc>
        <w:tc>
          <w:tcPr>
            <w:tcW w:w="964" w:type="dxa"/>
          </w:tcPr>
          <w:p w14:paraId="17869649"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Male Persons Engaged</w:t>
            </w:r>
          </w:p>
        </w:tc>
      </w:tr>
      <w:tr w:rsidR="004A68BF" w14:paraId="226C8A04" w14:textId="77777777" w:rsidTr="3285EAFF">
        <w:tc>
          <w:tcPr>
            <w:tcW w:w="2055" w:type="dxa"/>
          </w:tcPr>
          <w:p w14:paraId="3345923E"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Commissioners</w:t>
            </w:r>
          </w:p>
        </w:tc>
        <w:tc>
          <w:tcPr>
            <w:tcW w:w="1370" w:type="dxa"/>
          </w:tcPr>
          <w:p w14:paraId="0F082407" w14:textId="77777777" w:rsidR="004A68BF" w:rsidRPr="005C2E30" w:rsidRDefault="00E865B2" w:rsidP="004A68BF">
            <w:pPr>
              <w:widowControl w:val="0"/>
              <w:tabs>
                <w:tab w:val="left" w:pos="567"/>
                <w:tab w:val="right" w:pos="7371"/>
                <w:tab w:val="right" w:pos="9356"/>
              </w:tabs>
              <w:autoSpaceDE w:val="0"/>
              <w:autoSpaceDN w:val="0"/>
              <w:adjustRightInd w:val="0"/>
              <w:jc w:val="center"/>
              <w:rPr>
                <w:sz w:val="20"/>
                <w:szCs w:val="20"/>
              </w:rPr>
            </w:pPr>
            <w:r>
              <w:rPr>
                <w:sz w:val="20"/>
                <w:szCs w:val="20"/>
              </w:rPr>
              <w:t>6</w:t>
            </w:r>
          </w:p>
        </w:tc>
        <w:tc>
          <w:tcPr>
            <w:tcW w:w="1375" w:type="dxa"/>
          </w:tcPr>
          <w:p w14:paraId="465AC94E" w14:textId="77777777" w:rsidR="004A68BF" w:rsidRPr="005C2E30" w:rsidRDefault="004A68BF" w:rsidP="004A68BF">
            <w:pPr>
              <w:widowControl w:val="0"/>
              <w:tabs>
                <w:tab w:val="left" w:pos="567"/>
                <w:tab w:val="right" w:pos="7371"/>
                <w:tab w:val="right" w:pos="9356"/>
              </w:tabs>
              <w:autoSpaceDE w:val="0"/>
              <w:autoSpaceDN w:val="0"/>
              <w:adjustRightInd w:val="0"/>
              <w:jc w:val="center"/>
              <w:rPr>
                <w:sz w:val="20"/>
                <w:szCs w:val="20"/>
              </w:rPr>
            </w:pPr>
            <w:r w:rsidRPr="005C2E30">
              <w:rPr>
                <w:sz w:val="20"/>
                <w:szCs w:val="20"/>
              </w:rPr>
              <w:t>2</w:t>
            </w:r>
          </w:p>
        </w:tc>
        <w:tc>
          <w:tcPr>
            <w:tcW w:w="1375" w:type="dxa"/>
          </w:tcPr>
          <w:p w14:paraId="23E987FC" w14:textId="77777777" w:rsidR="004A68BF" w:rsidRPr="005C2E30" w:rsidRDefault="00E865B2" w:rsidP="004A68BF">
            <w:pPr>
              <w:widowControl w:val="0"/>
              <w:tabs>
                <w:tab w:val="left" w:pos="567"/>
                <w:tab w:val="right" w:pos="7371"/>
                <w:tab w:val="right" w:pos="9356"/>
              </w:tabs>
              <w:autoSpaceDE w:val="0"/>
              <w:autoSpaceDN w:val="0"/>
              <w:adjustRightInd w:val="0"/>
              <w:jc w:val="center"/>
              <w:rPr>
                <w:sz w:val="20"/>
                <w:szCs w:val="20"/>
              </w:rPr>
            </w:pPr>
            <w:r>
              <w:rPr>
                <w:sz w:val="20"/>
                <w:szCs w:val="20"/>
              </w:rPr>
              <w:t>4</w:t>
            </w:r>
          </w:p>
        </w:tc>
        <w:tc>
          <w:tcPr>
            <w:tcW w:w="963" w:type="dxa"/>
          </w:tcPr>
          <w:p w14:paraId="51128F6F" w14:textId="77777777" w:rsidR="004A68BF" w:rsidRPr="005C2E30" w:rsidRDefault="004A68BF" w:rsidP="004A68BF">
            <w:pPr>
              <w:widowControl w:val="0"/>
              <w:tabs>
                <w:tab w:val="left" w:pos="567"/>
                <w:tab w:val="right" w:pos="7371"/>
                <w:tab w:val="right" w:pos="9356"/>
              </w:tabs>
              <w:autoSpaceDE w:val="0"/>
              <w:autoSpaceDN w:val="0"/>
              <w:adjustRightInd w:val="0"/>
              <w:jc w:val="center"/>
              <w:rPr>
                <w:sz w:val="20"/>
                <w:szCs w:val="20"/>
              </w:rPr>
            </w:pPr>
            <w:r w:rsidRPr="005C2E30">
              <w:rPr>
                <w:sz w:val="20"/>
                <w:szCs w:val="20"/>
              </w:rPr>
              <w:t>7</w:t>
            </w:r>
          </w:p>
        </w:tc>
        <w:tc>
          <w:tcPr>
            <w:tcW w:w="964" w:type="dxa"/>
          </w:tcPr>
          <w:p w14:paraId="50157AB4" w14:textId="77777777" w:rsidR="004A68BF" w:rsidRPr="005C2E30" w:rsidRDefault="004A68BF" w:rsidP="004A68BF">
            <w:pPr>
              <w:widowControl w:val="0"/>
              <w:tabs>
                <w:tab w:val="left" w:pos="567"/>
                <w:tab w:val="right" w:pos="7371"/>
                <w:tab w:val="right" w:pos="9356"/>
              </w:tabs>
              <w:autoSpaceDE w:val="0"/>
              <w:autoSpaceDN w:val="0"/>
              <w:adjustRightInd w:val="0"/>
              <w:jc w:val="center"/>
              <w:rPr>
                <w:sz w:val="20"/>
                <w:szCs w:val="20"/>
              </w:rPr>
            </w:pPr>
            <w:r w:rsidRPr="005C2E30">
              <w:rPr>
                <w:sz w:val="20"/>
                <w:szCs w:val="20"/>
              </w:rPr>
              <w:t>2</w:t>
            </w:r>
          </w:p>
        </w:tc>
        <w:tc>
          <w:tcPr>
            <w:tcW w:w="964" w:type="dxa"/>
          </w:tcPr>
          <w:p w14:paraId="63111C03" w14:textId="77777777" w:rsidR="004A68BF" w:rsidRPr="005C2E30" w:rsidRDefault="004A68BF" w:rsidP="004A68BF">
            <w:pPr>
              <w:widowControl w:val="0"/>
              <w:tabs>
                <w:tab w:val="left" w:pos="567"/>
                <w:tab w:val="right" w:pos="7371"/>
                <w:tab w:val="right" w:pos="9356"/>
              </w:tabs>
              <w:autoSpaceDE w:val="0"/>
              <w:autoSpaceDN w:val="0"/>
              <w:adjustRightInd w:val="0"/>
              <w:jc w:val="center"/>
              <w:rPr>
                <w:sz w:val="20"/>
                <w:szCs w:val="20"/>
              </w:rPr>
            </w:pPr>
            <w:r w:rsidRPr="005C2E30">
              <w:rPr>
                <w:sz w:val="20"/>
                <w:szCs w:val="20"/>
              </w:rPr>
              <w:t>5</w:t>
            </w:r>
          </w:p>
        </w:tc>
      </w:tr>
      <w:tr w:rsidR="004A68BF" w14:paraId="02B59DCB" w14:textId="77777777" w:rsidTr="3285EAFF">
        <w:tc>
          <w:tcPr>
            <w:tcW w:w="2055" w:type="dxa"/>
          </w:tcPr>
          <w:p w14:paraId="38F776A6" w14:textId="77777777" w:rsid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Permanently Employed</w:t>
            </w:r>
          </w:p>
        </w:tc>
        <w:tc>
          <w:tcPr>
            <w:tcW w:w="1370" w:type="dxa"/>
          </w:tcPr>
          <w:p w14:paraId="088F84D1" w14:textId="77777777" w:rsidR="004A68BF" w:rsidRDefault="004A68BF" w:rsidP="004A68BF">
            <w:pPr>
              <w:widowControl w:val="0"/>
              <w:tabs>
                <w:tab w:val="left" w:pos="567"/>
                <w:tab w:val="right" w:pos="7371"/>
                <w:tab w:val="right" w:pos="9356"/>
              </w:tabs>
              <w:autoSpaceDE w:val="0"/>
              <w:autoSpaceDN w:val="0"/>
              <w:adjustRightInd w:val="0"/>
              <w:jc w:val="center"/>
              <w:rPr>
                <w:sz w:val="20"/>
                <w:szCs w:val="20"/>
              </w:rPr>
            </w:pPr>
          </w:p>
          <w:p w14:paraId="04E6F67C" w14:textId="77777777" w:rsidR="00E865B2" w:rsidRPr="005C2E30" w:rsidRDefault="00E865B2" w:rsidP="004A68BF">
            <w:pPr>
              <w:widowControl w:val="0"/>
              <w:tabs>
                <w:tab w:val="left" w:pos="567"/>
                <w:tab w:val="right" w:pos="7371"/>
                <w:tab w:val="right" w:pos="9356"/>
              </w:tabs>
              <w:autoSpaceDE w:val="0"/>
              <w:autoSpaceDN w:val="0"/>
              <w:adjustRightInd w:val="0"/>
              <w:jc w:val="center"/>
              <w:rPr>
                <w:sz w:val="20"/>
                <w:szCs w:val="20"/>
              </w:rPr>
            </w:pPr>
            <w:r>
              <w:rPr>
                <w:sz w:val="20"/>
                <w:szCs w:val="20"/>
              </w:rPr>
              <w:t>23</w:t>
            </w:r>
          </w:p>
        </w:tc>
        <w:tc>
          <w:tcPr>
            <w:tcW w:w="1375" w:type="dxa"/>
          </w:tcPr>
          <w:p w14:paraId="2B8A9B23" w14:textId="77777777" w:rsidR="004A68BF" w:rsidRDefault="004A68BF" w:rsidP="00E029DB">
            <w:pPr>
              <w:tabs>
                <w:tab w:val="left" w:pos="567"/>
                <w:tab w:val="right" w:pos="7371"/>
                <w:tab w:val="right" w:pos="9356"/>
              </w:tabs>
              <w:spacing w:line="259" w:lineRule="auto"/>
              <w:jc w:val="center"/>
              <w:rPr>
                <w:sz w:val="20"/>
                <w:szCs w:val="20"/>
              </w:rPr>
            </w:pPr>
          </w:p>
          <w:p w14:paraId="7F6E4801" w14:textId="77777777" w:rsidR="00E865B2" w:rsidRPr="005C2E30" w:rsidRDefault="00E865B2" w:rsidP="00E029DB">
            <w:pPr>
              <w:tabs>
                <w:tab w:val="left" w:pos="567"/>
                <w:tab w:val="right" w:pos="7371"/>
                <w:tab w:val="right" w:pos="9356"/>
              </w:tabs>
              <w:spacing w:line="259" w:lineRule="auto"/>
              <w:jc w:val="center"/>
              <w:rPr>
                <w:color w:val="000000" w:themeColor="text1"/>
              </w:rPr>
            </w:pPr>
            <w:r>
              <w:rPr>
                <w:sz w:val="20"/>
                <w:szCs w:val="20"/>
              </w:rPr>
              <w:t>18</w:t>
            </w:r>
          </w:p>
        </w:tc>
        <w:tc>
          <w:tcPr>
            <w:tcW w:w="1375" w:type="dxa"/>
          </w:tcPr>
          <w:p w14:paraId="44CD5AB4" w14:textId="77777777" w:rsidR="004A68BF" w:rsidRDefault="004A68BF" w:rsidP="00E029DB">
            <w:pPr>
              <w:tabs>
                <w:tab w:val="left" w:pos="567"/>
                <w:tab w:val="right" w:pos="7371"/>
                <w:tab w:val="right" w:pos="9356"/>
              </w:tabs>
              <w:spacing w:line="259" w:lineRule="auto"/>
              <w:jc w:val="center"/>
              <w:rPr>
                <w:sz w:val="20"/>
                <w:szCs w:val="20"/>
              </w:rPr>
            </w:pPr>
          </w:p>
          <w:p w14:paraId="151D8D7A" w14:textId="77777777" w:rsidR="00E865B2" w:rsidRPr="005C2E30" w:rsidRDefault="00E865B2" w:rsidP="00E029DB">
            <w:pPr>
              <w:tabs>
                <w:tab w:val="left" w:pos="567"/>
                <w:tab w:val="right" w:pos="7371"/>
                <w:tab w:val="right" w:pos="9356"/>
              </w:tabs>
              <w:spacing w:line="259" w:lineRule="auto"/>
              <w:jc w:val="center"/>
              <w:rPr>
                <w:color w:val="000000" w:themeColor="text1"/>
              </w:rPr>
            </w:pPr>
            <w:r>
              <w:rPr>
                <w:sz w:val="20"/>
                <w:szCs w:val="20"/>
              </w:rPr>
              <w:t>5</w:t>
            </w:r>
          </w:p>
        </w:tc>
        <w:tc>
          <w:tcPr>
            <w:tcW w:w="963" w:type="dxa"/>
          </w:tcPr>
          <w:p w14:paraId="29C92BE2" w14:textId="77777777" w:rsidR="004A68BF" w:rsidRDefault="004A68BF" w:rsidP="00E029DB">
            <w:pPr>
              <w:tabs>
                <w:tab w:val="left" w:pos="567"/>
                <w:tab w:val="right" w:pos="7371"/>
                <w:tab w:val="right" w:pos="9356"/>
              </w:tabs>
              <w:spacing w:line="259" w:lineRule="auto"/>
              <w:jc w:val="center"/>
              <w:rPr>
                <w:sz w:val="20"/>
                <w:szCs w:val="20"/>
              </w:rPr>
            </w:pPr>
          </w:p>
          <w:p w14:paraId="25A5372C" w14:textId="77777777" w:rsidR="00E865B2" w:rsidRPr="005C2E30" w:rsidRDefault="00E865B2" w:rsidP="00E029DB">
            <w:pPr>
              <w:tabs>
                <w:tab w:val="left" w:pos="567"/>
                <w:tab w:val="right" w:pos="7371"/>
                <w:tab w:val="right" w:pos="9356"/>
              </w:tabs>
              <w:spacing w:line="259" w:lineRule="auto"/>
              <w:jc w:val="center"/>
              <w:rPr>
                <w:color w:val="000000" w:themeColor="text1"/>
              </w:rPr>
            </w:pPr>
            <w:r>
              <w:rPr>
                <w:sz w:val="20"/>
                <w:szCs w:val="20"/>
              </w:rPr>
              <w:t>17</w:t>
            </w:r>
          </w:p>
        </w:tc>
        <w:tc>
          <w:tcPr>
            <w:tcW w:w="964" w:type="dxa"/>
          </w:tcPr>
          <w:p w14:paraId="4E42640E" w14:textId="77777777" w:rsidR="00E14AE5" w:rsidRDefault="00E14AE5" w:rsidP="00E029DB">
            <w:pPr>
              <w:tabs>
                <w:tab w:val="left" w:pos="567"/>
                <w:tab w:val="right" w:pos="7371"/>
                <w:tab w:val="right" w:pos="9356"/>
              </w:tabs>
              <w:spacing w:line="259" w:lineRule="auto"/>
              <w:jc w:val="center"/>
              <w:rPr>
                <w:sz w:val="20"/>
                <w:szCs w:val="20"/>
              </w:rPr>
            </w:pPr>
          </w:p>
          <w:p w14:paraId="64055B74" w14:textId="77777777" w:rsidR="00E865B2" w:rsidRPr="005C2E30" w:rsidRDefault="00E865B2" w:rsidP="00E029DB">
            <w:pPr>
              <w:tabs>
                <w:tab w:val="left" w:pos="567"/>
                <w:tab w:val="right" w:pos="7371"/>
                <w:tab w:val="right" w:pos="9356"/>
              </w:tabs>
              <w:spacing w:line="259" w:lineRule="auto"/>
              <w:jc w:val="center"/>
              <w:rPr>
                <w:color w:val="000000" w:themeColor="text1"/>
              </w:rPr>
            </w:pPr>
            <w:r>
              <w:rPr>
                <w:sz w:val="20"/>
                <w:szCs w:val="20"/>
              </w:rPr>
              <w:t>14</w:t>
            </w:r>
          </w:p>
        </w:tc>
        <w:tc>
          <w:tcPr>
            <w:tcW w:w="964" w:type="dxa"/>
          </w:tcPr>
          <w:p w14:paraId="3C926056" w14:textId="77777777" w:rsidR="00E14AE5" w:rsidRDefault="00E14AE5" w:rsidP="004A68BF">
            <w:pPr>
              <w:widowControl w:val="0"/>
              <w:tabs>
                <w:tab w:val="left" w:pos="567"/>
                <w:tab w:val="right" w:pos="7371"/>
                <w:tab w:val="right" w:pos="9356"/>
              </w:tabs>
              <w:autoSpaceDE w:val="0"/>
              <w:autoSpaceDN w:val="0"/>
              <w:adjustRightInd w:val="0"/>
              <w:jc w:val="center"/>
              <w:rPr>
                <w:sz w:val="20"/>
                <w:szCs w:val="20"/>
              </w:rPr>
            </w:pPr>
          </w:p>
          <w:p w14:paraId="56868BFF" w14:textId="77777777" w:rsidR="00E865B2" w:rsidRPr="005C2E30" w:rsidRDefault="00E865B2" w:rsidP="004A68BF">
            <w:pPr>
              <w:widowControl w:val="0"/>
              <w:tabs>
                <w:tab w:val="left" w:pos="567"/>
                <w:tab w:val="right" w:pos="7371"/>
                <w:tab w:val="right" w:pos="9356"/>
              </w:tabs>
              <w:autoSpaceDE w:val="0"/>
              <w:autoSpaceDN w:val="0"/>
              <w:adjustRightInd w:val="0"/>
              <w:jc w:val="center"/>
              <w:rPr>
                <w:sz w:val="20"/>
                <w:szCs w:val="20"/>
              </w:rPr>
            </w:pPr>
            <w:r>
              <w:rPr>
                <w:sz w:val="20"/>
                <w:szCs w:val="20"/>
              </w:rPr>
              <w:t>3</w:t>
            </w:r>
          </w:p>
        </w:tc>
      </w:tr>
      <w:tr w:rsidR="004A68BF" w14:paraId="2F1B86B0" w14:textId="77777777" w:rsidTr="3285EAFF">
        <w:tc>
          <w:tcPr>
            <w:tcW w:w="2055" w:type="dxa"/>
          </w:tcPr>
          <w:p w14:paraId="0C73144B" w14:textId="77777777" w:rsid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Others</w:t>
            </w:r>
          </w:p>
        </w:tc>
        <w:tc>
          <w:tcPr>
            <w:tcW w:w="1370" w:type="dxa"/>
          </w:tcPr>
          <w:p w14:paraId="35DE46C8" w14:textId="0EAD1549" w:rsidR="004A68BF" w:rsidRPr="005C2E30" w:rsidRDefault="003B2CCE" w:rsidP="00E029DB">
            <w:pPr>
              <w:tabs>
                <w:tab w:val="left" w:pos="567"/>
                <w:tab w:val="right" w:pos="7371"/>
                <w:tab w:val="right" w:pos="9356"/>
              </w:tabs>
              <w:spacing w:line="259" w:lineRule="auto"/>
              <w:jc w:val="center"/>
              <w:rPr>
                <w:color w:val="000000" w:themeColor="text1"/>
              </w:rPr>
            </w:pPr>
            <w:r>
              <w:rPr>
                <w:sz w:val="20"/>
                <w:szCs w:val="20"/>
              </w:rPr>
              <w:t>1</w:t>
            </w:r>
          </w:p>
        </w:tc>
        <w:tc>
          <w:tcPr>
            <w:tcW w:w="1375" w:type="dxa"/>
          </w:tcPr>
          <w:p w14:paraId="2B4E46B5" w14:textId="21165170" w:rsidR="004A68BF" w:rsidRPr="005C2E30" w:rsidRDefault="003B2CCE" w:rsidP="00E029DB">
            <w:pPr>
              <w:tabs>
                <w:tab w:val="left" w:pos="567"/>
                <w:tab w:val="right" w:pos="7371"/>
                <w:tab w:val="right" w:pos="9356"/>
              </w:tabs>
              <w:spacing w:line="259" w:lineRule="auto"/>
              <w:jc w:val="center"/>
              <w:rPr>
                <w:color w:val="000000" w:themeColor="text1"/>
              </w:rPr>
            </w:pPr>
            <w:r>
              <w:rPr>
                <w:sz w:val="20"/>
                <w:szCs w:val="20"/>
              </w:rPr>
              <w:t>1</w:t>
            </w:r>
          </w:p>
        </w:tc>
        <w:tc>
          <w:tcPr>
            <w:tcW w:w="1375" w:type="dxa"/>
          </w:tcPr>
          <w:p w14:paraId="74FB530F" w14:textId="703EE6D6" w:rsidR="004A68BF" w:rsidRPr="005C2E30" w:rsidRDefault="003B2CCE" w:rsidP="00E029DB">
            <w:pPr>
              <w:tabs>
                <w:tab w:val="left" w:pos="567"/>
                <w:tab w:val="right" w:pos="7371"/>
                <w:tab w:val="right" w:pos="9356"/>
              </w:tabs>
              <w:spacing w:line="259" w:lineRule="auto"/>
              <w:jc w:val="center"/>
              <w:rPr>
                <w:color w:val="000000" w:themeColor="text1"/>
              </w:rPr>
            </w:pPr>
            <w:r>
              <w:rPr>
                <w:sz w:val="20"/>
                <w:szCs w:val="20"/>
              </w:rPr>
              <w:t>0</w:t>
            </w:r>
          </w:p>
        </w:tc>
        <w:tc>
          <w:tcPr>
            <w:tcW w:w="963" w:type="dxa"/>
          </w:tcPr>
          <w:p w14:paraId="68AE6753" w14:textId="77777777" w:rsidR="004A68BF" w:rsidRPr="005C2E30" w:rsidRDefault="00E865B2" w:rsidP="004A68BF">
            <w:pPr>
              <w:widowControl w:val="0"/>
              <w:tabs>
                <w:tab w:val="left" w:pos="567"/>
                <w:tab w:val="right" w:pos="7371"/>
                <w:tab w:val="right" w:pos="9356"/>
              </w:tabs>
              <w:autoSpaceDE w:val="0"/>
              <w:autoSpaceDN w:val="0"/>
              <w:adjustRightInd w:val="0"/>
              <w:jc w:val="center"/>
              <w:rPr>
                <w:sz w:val="20"/>
                <w:szCs w:val="20"/>
              </w:rPr>
            </w:pPr>
            <w:r>
              <w:rPr>
                <w:sz w:val="20"/>
                <w:szCs w:val="20"/>
              </w:rPr>
              <w:t>0</w:t>
            </w:r>
          </w:p>
        </w:tc>
        <w:tc>
          <w:tcPr>
            <w:tcW w:w="964" w:type="dxa"/>
          </w:tcPr>
          <w:p w14:paraId="05BEC52E" w14:textId="77777777" w:rsidR="004A68BF" w:rsidRPr="005C2E30" w:rsidRDefault="00E865B2" w:rsidP="00E029DB">
            <w:pPr>
              <w:tabs>
                <w:tab w:val="left" w:pos="567"/>
                <w:tab w:val="right" w:pos="7371"/>
                <w:tab w:val="right" w:pos="9356"/>
              </w:tabs>
              <w:spacing w:line="259" w:lineRule="auto"/>
              <w:jc w:val="center"/>
              <w:rPr>
                <w:sz w:val="20"/>
                <w:szCs w:val="20"/>
              </w:rPr>
            </w:pPr>
            <w:r>
              <w:rPr>
                <w:sz w:val="20"/>
                <w:szCs w:val="20"/>
              </w:rPr>
              <w:t>0</w:t>
            </w:r>
          </w:p>
        </w:tc>
        <w:tc>
          <w:tcPr>
            <w:tcW w:w="964" w:type="dxa"/>
          </w:tcPr>
          <w:p w14:paraId="029F2A04" w14:textId="77777777" w:rsidR="004A68BF" w:rsidRPr="005C2E30" w:rsidRDefault="00E865B2" w:rsidP="00E029DB">
            <w:pPr>
              <w:tabs>
                <w:tab w:val="left" w:pos="567"/>
                <w:tab w:val="right" w:pos="7371"/>
                <w:tab w:val="right" w:pos="9356"/>
              </w:tabs>
              <w:spacing w:line="259" w:lineRule="auto"/>
              <w:jc w:val="center"/>
              <w:rPr>
                <w:color w:val="000000" w:themeColor="text1"/>
              </w:rPr>
            </w:pPr>
            <w:r>
              <w:rPr>
                <w:sz w:val="20"/>
                <w:szCs w:val="20"/>
              </w:rPr>
              <w:t>0</w:t>
            </w:r>
          </w:p>
        </w:tc>
      </w:tr>
      <w:tr w:rsidR="004A68BF" w14:paraId="73AE29C2" w14:textId="77777777" w:rsidTr="3285EAFF">
        <w:tc>
          <w:tcPr>
            <w:tcW w:w="2055" w:type="dxa"/>
          </w:tcPr>
          <w:p w14:paraId="4E0AE05C" w14:textId="77777777" w:rsid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Total</w:t>
            </w:r>
          </w:p>
        </w:tc>
        <w:tc>
          <w:tcPr>
            <w:tcW w:w="1370" w:type="dxa"/>
          </w:tcPr>
          <w:p w14:paraId="124E12C6" w14:textId="382AA5F1" w:rsidR="004A68BF" w:rsidRPr="004A68BF" w:rsidRDefault="003B2CCE" w:rsidP="00E029DB">
            <w:pPr>
              <w:tabs>
                <w:tab w:val="left" w:pos="567"/>
                <w:tab w:val="right" w:pos="7371"/>
                <w:tab w:val="right" w:pos="9356"/>
              </w:tabs>
              <w:spacing w:line="259" w:lineRule="auto"/>
              <w:jc w:val="center"/>
              <w:rPr>
                <w:color w:val="000000" w:themeColor="text1"/>
              </w:rPr>
            </w:pPr>
            <w:r>
              <w:rPr>
                <w:b/>
                <w:bCs/>
                <w:sz w:val="20"/>
                <w:szCs w:val="20"/>
              </w:rPr>
              <w:t>30</w:t>
            </w:r>
          </w:p>
        </w:tc>
        <w:tc>
          <w:tcPr>
            <w:tcW w:w="1375" w:type="dxa"/>
          </w:tcPr>
          <w:p w14:paraId="5832F83D" w14:textId="572CCE50" w:rsidR="004A68BF" w:rsidRPr="004A68BF" w:rsidRDefault="003B2CCE" w:rsidP="00E029DB">
            <w:pPr>
              <w:tabs>
                <w:tab w:val="left" w:pos="567"/>
                <w:tab w:val="right" w:pos="7371"/>
                <w:tab w:val="right" w:pos="9356"/>
              </w:tabs>
              <w:spacing w:line="259" w:lineRule="auto"/>
              <w:jc w:val="center"/>
              <w:rPr>
                <w:color w:val="000000" w:themeColor="text1"/>
              </w:rPr>
            </w:pPr>
            <w:r>
              <w:rPr>
                <w:b/>
                <w:bCs/>
                <w:sz w:val="20"/>
                <w:szCs w:val="20"/>
              </w:rPr>
              <w:t>21</w:t>
            </w:r>
          </w:p>
        </w:tc>
        <w:tc>
          <w:tcPr>
            <w:tcW w:w="1375" w:type="dxa"/>
          </w:tcPr>
          <w:p w14:paraId="366A32D9" w14:textId="6CF3C301" w:rsidR="004A68BF" w:rsidRPr="004A68BF" w:rsidRDefault="003B2CCE" w:rsidP="00E029DB">
            <w:pPr>
              <w:tabs>
                <w:tab w:val="left" w:pos="567"/>
                <w:tab w:val="right" w:pos="7371"/>
                <w:tab w:val="right" w:pos="9356"/>
              </w:tabs>
              <w:spacing w:line="259" w:lineRule="auto"/>
              <w:jc w:val="center"/>
              <w:rPr>
                <w:color w:val="000000" w:themeColor="text1"/>
              </w:rPr>
            </w:pPr>
            <w:r>
              <w:rPr>
                <w:b/>
                <w:bCs/>
                <w:sz w:val="20"/>
                <w:szCs w:val="20"/>
              </w:rPr>
              <w:t>9</w:t>
            </w:r>
          </w:p>
        </w:tc>
        <w:tc>
          <w:tcPr>
            <w:tcW w:w="963" w:type="dxa"/>
          </w:tcPr>
          <w:p w14:paraId="232D7DE2" w14:textId="77777777" w:rsidR="004A68BF" w:rsidRPr="004A68BF" w:rsidRDefault="00E865B2" w:rsidP="00E029DB">
            <w:pPr>
              <w:tabs>
                <w:tab w:val="left" w:pos="567"/>
                <w:tab w:val="right" w:pos="7371"/>
                <w:tab w:val="right" w:pos="9356"/>
              </w:tabs>
              <w:spacing w:line="259" w:lineRule="auto"/>
              <w:jc w:val="center"/>
              <w:rPr>
                <w:b/>
                <w:bCs/>
                <w:sz w:val="20"/>
                <w:szCs w:val="20"/>
              </w:rPr>
            </w:pPr>
            <w:r>
              <w:rPr>
                <w:b/>
                <w:bCs/>
                <w:sz w:val="20"/>
                <w:szCs w:val="20"/>
              </w:rPr>
              <w:t>24</w:t>
            </w:r>
          </w:p>
        </w:tc>
        <w:tc>
          <w:tcPr>
            <w:tcW w:w="964" w:type="dxa"/>
          </w:tcPr>
          <w:p w14:paraId="234312C8" w14:textId="77777777" w:rsidR="004A68BF" w:rsidRPr="004A68BF" w:rsidRDefault="00E865B2" w:rsidP="3285EAFF">
            <w:pPr>
              <w:widowControl w:val="0"/>
              <w:tabs>
                <w:tab w:val="left" w:pos="567"/>
                <w:tab w:val="right" w:pos="7371"/>
                <w:tab w:val="right" w:pos="9356"/>
              </w:tabs>
              <w:autoSpaceDE w:val="0"/>
              <w:autoSpaceDN w:val="0"/>
              <w:adjustRightInd w:val="0"/>
              <w:jc w:val="center"/>
              <w:rPr>
                <w:b/>
                <w:bCs/>
                <w:sz w:val="20"/>
                <w:szCs w:val="20"/>
              </w:rPr>
            </w:pPr>
            <w:r>
              <w:rPr>
                <w:b/>
                <w:bCs/>
                <w:sz w:val="20"/>
                <w:szCs w:val="20"/>
              </w:rPr>
              <w:t>16</w:t>
            </w:r>
          </w:p>
        </w:tc>
        <w:tc>
          <w:tcPr>
            <w:tcW w:w="964" w:type="dxa"/>
          </w:tcPr>
          <w:p w14:paraId="5F3447AA" w14:textId="77777777" w:rsidR="004A68BF" w:rsidRPr="004A68BF" w:rsidRDefault="00E865B2" w:rsidP="00E029DB">
            <w:pPr>
              <w:tabs>
                <w:tab w:val="left" w:pos="567"/>
                <w:tab w:val="right" w:pos="7371"/>
                <w:tab w:val="right" w:pos="9356"/>
              </w:tabs>
              <w:spacing w:line="259" w:lineRule="auto"/>
              <w:jc w:val="center"/>
              <w:rPr>
                <w:color w:val="000000" w:themeColor="text1"/>
              </w:rPr>
            </w:pPr>
            <w:r>
              <w:rPr>
                <w:b/>
                <w:bCs/>
                <w:sz w:val="20"/>
                <w:szCs w:val="20"/>
              </w:rPr>
              <w:t>8</w:t>
            </w:r>
          </w:p>
        </w:tc>
      </w:tr>
    </w:tbl>
    <w:p w14:paraId="7B84F1FB" w14:textId="77777777" w:rsidR="004A68BF" w:rsidRDefault="004A68BF" w:rsidP="000C2A54">
      <w:pPr>
        <w:widowControl w:val="0"/>
        <w:tabs>
          <w:tab w:val="left" w:pos="567"/>
          <w:tab w:val="right" w:pos="7371"/>
          <w:tab w:val="right" w:pos="9356"/>
        </w:tabs>
        <w:autoSpaceDE w:val="0"/>
        <w:autoSpaceDN w:val="0"/>
        <w:adjustRightInd w:val="0"/>
        <w:ind w:left="567" w:hanging="567"/>
      </w:pPr>
    </w:p>
    <w:p w14:paraId="364429CA" w14:textId="77777777" w:rsidR="00370541" w:rsidRDefault="00370541" w:rsidP="00370541">
      <w:r w:rsidRPr="00370541">
        <w:rPr>
          <w:b/>
        </w:rPr>
        <w:t>Staff Turnover</w:t>
      </w:r>
    </w:p>
    <w:p w14:paraId="7003EABE" w14:textId="77777777" w:rsidR="00370541" w:rsidRDefault="00370541" w:rsidP="00370541"/>
    <w:p w14:paraId="61517C59" w14:textId="77777777" w:rsidR="00370541" w:rsidRDefault="00370541" w:rsidP="00370541">
      <w:pPr>
        <w:rPr>
          <w:rFonts w:ascii="Calibri" w:hAnsi="Calibri"/>
          <w:color w:val="auto"/>
          <w:sz w:val="22"/>
          <w:szCs w:val="22"/>
        </w:rPr>
      </w:pPr>
      <w:r>
        <w:t>The annual turnover rate of staff for the period</w:t>
      </w:r>
      <w:r w:rsidR="00E865B2">
        <w:t xml:space="preserve"> 2021-22 was </w:t>
      </w:r>
      <w:r w:rsidR="00391EFD">
        <w:t>13.0%</w:t>
      </w:r>
      <w:r>
        <w:t xml:space="preserve"> </w:t>
      </w:r>
      <w:r w:rsidR="00E865B2">
        <w:t>(2020-</w:t>
      </w:r>
      <w:r>
        <w:t>21</w:t>
      </w:r>
      <w:r w:rsidR="00E865B2">
        <w:t>:</w:t>
      </w:r>
      <w:r>
        <w:t xml:space="preserve"> 13.8%</w:t>
      </w:r>
      <w:r w:rsidR="00E865B2">
        <w:t>)</w:t>
      </w:r>
      <w:r>
        <w:t xml:space="preserve">.  </w:t>
      </w:r>
      <w:r w:rsidR="00391EFD">
        <w:t xml:space="preserve">During the year three members of staff left the Commission to take up posts elsewhere.  Recruitment for the Dedicated Mechanism was completed during 2021-22 resulting in an increase in staff numbers.  </w:t>
      </w:r>
    </w:p>
    <w:p w14:paraId="0E1C4FF5" w14:textId="77777777" w:rsidR="00D049A2" w:rsidRDefault="00D049A2" w:rsidP="000C2A54">
      <w:pPr>
        <w:widowControl w:val="0"/>
        <w:tabs>
          <w:tab w:val="left" w:pos="567"/>
          <w:tab w:val="right" w:pos="7371"/>
          <w:tab w:val="right" w:pos="9356"/>
        </w:tabs>
        <w:autoSpaceDE w:val="0"/>
        <w:autoSpaceDN w:val="0"/>
        <w:adjustRightInd w:val="0"/>
        <w:ind w:left="567" w:hanging="567"/>
      </w:pPr>
    </w:p>
    <w:p w14:paraId="6F341383" w14:textId="77777777" w:rsidR="00D049A2" w:rsidRDefault="00871DB1" w:rsidP="000C2A54">
      <w:pPr>
        <w:widowControl w:val="0"/>
        <w:tabs>
          <w:tab w:val="left" w:pos="567"/>
          <w:tab w:val="right" w:pos="7371"/>
          <w:tab w:val="right" w:pos="9356"/>
        </w:tabs>
        <w:autoSpaceDE w:val="0"/>
        <w:autoSpaceDN w:val="0"/>
        <w:adjustRightInd w:val="0"/>
        <w:ind w:left="567" w:hanging="567"/>
        <w:rPr>
          <w:b/>
        </w:rPr>
      </w:pPr>
      <w:r>
        <w:rPr>
          <w:b/>
        </w:rPr>
        <w:t>Managing Attendance</w:t>
      </w:r>
    </w:p>
    <w:p w14:paraId="3BDD7A8E" w14:textId="77777777" w:rsidR="00871DB1" w:rsidRDefault="00871DB1" w:rsidP="000C2A54">
      <w:pPr>
        <w:widowControl w:val="0"/>
        <w:tabs>
          <w:tab w:val="left" w:pos="567"/>
          <w:tab w:val="right" w:pos="7371"/>
          <w:tab w:val="right" w:pos="9356"/>
        </w:tabs>
        <w:autoSpaceDE w:val="0"/>
        <w:autoSpaceDN w:val="0"/>
        <w:adjustRightInd w:val="0"/>
        <w:ind w:left="567" w:hanging="567"/>
        <w:rPr>
          <w:b/>
        </w:rPr>
      </w:pPr>
    </w:p>
    <w:p w14:paraId="3AB37E11" w14:textId="77777777" w:rsidR="00871DB1" w:rsidRDefault="00871DB1" w:rsidP="00871DB1">
      <w:pPr>
        <w:widowControl w:val="0"/>
        <w:tabs>
          <w:tab w:val="right" w:pos="7371"/>
          <w:tab w:val="right" w:pos="9356"/>
        </w:tabs>
        <w:autoSpaceDE w:val="0"/>
        <w:autoSpaceDN w:val="0"/>
        <w:adjustRightInd w:val="0"/>
      </w:pPr>
      <w:r>
        <w:t>Staff absence arising as a result of illness, including injuries, disability or other health problems, was approximatel</w:t>
      </w:r>
      <w:r w:rsidR="00A80575">
        <w:t xml:space="preserve">y </w:t>
      </w:r>
      <w:r w:rsidR="00993DB0">
        <w:t>1.3</w:t>
      </w:r>
      <w:r w:rsidR="00A80575">
        <w:t xml:space="preserve"> days per employee in </w:t>
      </w:r>
      <w:r w:rsidR="00993DB0">
        <w:t>20</w:t>
      </w:r>
      <w:r w:rsidR="51CE5292">
        <w:t>21</w:t>
      </w:r>
      <w:r w:rsidR="00993DB0">
        <w:t>-22</w:t>
      </w:r>
      <w:r w:rsidR="00A80575">
        <w:t xml:space="preserve"> (</w:t>
      </w:r>
      <w:r w:rsidR="00993DB0">
        <w:t>20</w:t>
      </w:r>
      <w:r w:rsidR="212EBF91">
        <w:t>20</w:t>
      </w:r>
      <w:r w:rsidR="00993DB0">
        <w:t>-21</w:t>
      </w:r>
      <w:r w:rsidR="005D69D1">
        <w:t xml:space="preserve">: </w:t>
      </w:r>
      <w:r w:rsidR="00993DB0">
        <w:t>2.4</w:t>
      </w:r>
      <w:r w:rsidR="66D421E8">
        <w:t xml:space="preserve"> </w:t>
      </w:r>
      <w:r>
        <w:t xml:space="preserve">days).  </w:t>
      </w:r>
    </w:p>
    <w:p w14:paraId="12F81BE9" w14:textId="77777777" w:rsidR="00E14AE5" w:rsidRDefault="00E14AE5" w:rsidP="00871DB1">
      <w:pPr>
        <w:widowControl w:val="0"/>
        <w:tabs>
          <w:tab w:val="right" w:pos="7371"/>
          <w:tab w:val="right" w:pos="9356"/>
        </w:tabs>
        <w:autoSpaceDE w:val="0"/>
        <w:autoSpaceDN w:val="0"/>
        <w:adjustRightInd w:val="0"/>
      </w:pPr>
    </w:p>
    <w:p w14:paraId="535362EE" w14:textId="77777777" w:rsidR="00E14AE5" w:rsidRDefault="00E14AE5" w:rsidP="00871DB1">
      <w:pPr>
        <w:widowControl w:val="0"/>
        <w:tabs>
          <w:tab w:val="right" w:pos="7371"/>
          <w:tab w:val="right" w:pos="9356"/>
        </w:tabs>
        <w:autoSpaceDE w:val="0"/>
        <w:autoSpaceDN w:val="0"/>
        <w:adjustRightInd w:val="0"/>
      </w:pPr>
      <w:r>
        <w:rPr>
          <w:b/>
        </w:rPr>
        <w:t>Disabled Employees</w:t>
      </w:r>
    </w:p>
    <w:p w14:paraId="41072186" w14:textId="77777777" w:rsidR="00E14AE5" w:rsidRDefault="00E14AE5" w:rsidP="00871DB1">
      <w:pPr>
        <w:widowControl w:val="0"/>
        <w:tabs>
          <w:tab w:val="right" w:pos="7371"/>
          <w:tab w:val="right" w:pos="9356"/>
        </w:tabs>
        <w:autoSpaceDE w:val="0"/>
        <w:autoSpaceDN w:val="0"/>
        <w:adjustRightInd w:val="0"/>
      </w:pPr>
    </w:p>
    <w:p w14:paraId="499DDC15" w14:textId="77777777" w:rsidR="00E14AE5" w:rsidRDefault="00E14AE5" w:rsidP="00871DB1">
      <w:pPr>
        <w:widowControl w:val="0"/>
        <w:tabs>
          <w:tab w:val="right" w:pos="7371"/>
          <w:tab w:val="right" w:pos="9356"/>
        </w:tabs>
        <w:autoSpaceDE w:val="0"/>
        <w:autoSpaceDN w:val="0"/>
        <w:adjustRightInd w:val="0"/>
      </w:pPr>
      <w:r>
        <w:t>The Commission aims to ensure that there is no discrimination on the grounds of disability and that access to employment and career advancement in the Commission is based solely on ability, qualifications and suitability for the post.  All disabled applicants who meet the essential criteria for posts advertised at the Commission are guaranteed an interview.</w:t>
      </w:r>
      <w:r w:rsidR="00835B2C">
        <w:t xml:space="preserve">  The Commission complies with all existing legislation in regard to its disabled employees.</w:t>
      </w:r>
    </w:p>
    <w:p w14:paraId="4810F9A1" w14:textId="77777777" w:rsidR="00835B2C" w:rsidRDefault="00835B2C" w:rsidP="00871DB1">
      <w:pPr>
        <w:widowControl w:val="0"/>
        <w:tabs>
          <w:tab w:val="right" w:pos="7371"/>
          <w:tab w:val="right" w:pos="9356"/>
        </w:tabs>
        <w:autoSpaceDE w:val="0"/>
        <w:autoSpaceDN w:val="0"/>
        <w:adjustRightInd w:val="0"/>
      </w:pPr>
    </w:p>
    <w:p w14:paraId="4E4573D3" w14:textId="77777777" w:rsidR="00835B2C" w:rsidRDefault="00835B2C" w:rsidP="00871DB1">
      <w:pPr>
        <w:widowControl w:val="0"/>
        <w:tabs>
          <w:tab w:val="right" w:pos="7371"/>
          <w:tab w:val="right" w:pos="9356"/>
        </w:tabs>
        <w:autoSpaceDE w:val="0"/>
        <w:autoSpaceDN w:val="0"/>
        <w:adjustRightInd w:val="0"/>
      </w:pPr>
      <w:r>
        <w:rPr>
          <w:b/>
        </w:rPr>
        <w:t>Equal Opportunities</w:t>
      </w:r>
    </w:p>
    <w:p w14:paraId="5979336D" w14:textId="77777777" w:rsidR="00835B2C" w:rsidRDefault="00835B2C" w:rsidP="00871DB1">
      <w:pPr>
        <w:widowControl w:val="0"/>
        <w:tabs>
          <w:tab w:val="right" w:pos="7371"/>
          <w:tab w:val="right" w:pos="9356"/>
        </w:tabs>
        <w:autoSpaceDE w:val="0"/>
        <w:autoSpaceDN w:val="0"/>
        <w:adjustRightInd w:val="0"/>
      </w:pPr>
    </w:p>
    <w:p w14:paraId="19B6CB45" w14:textId="77777777" w:rsidR="00835B2C" w:rsidRDefault="00835B2C" w:rsidP="00871DB1">
      <w:pPr>
        <w:widowControl w:val="0"/>
        <w:tabs>
          <w:tab w:val="right" w:pos="7371"/>
          <w:tab w:val="right" w:pos="9356"/>
        </w:tabs>
        <w:autoSpaceDE w:val="0"/>
        <w:autoSpaceDN w:val="0"/>
        <w:adjustRightInd w:val="0"/>
      </w:pPr>
      <w:r>
        <w:t>The Commission is committed to equality of opportunity and promoting good relations in accordance with our Equality Scheme, prepared in compliance with Section 75 of the Northern Ireland Act 1998.  We strive to promote equality of opportunity and good relations within the organisation as well as in our activities.  The Commission complies fully with its statutory obligations and we liaise closely with the Equality Commission for Northern Ireland to ensure we work together effectively.</w:t>
      </w:r>
    </w:p>
    <w:p w14:paraId="0845B393" w14:textId="77777777" w:rsidR="00250101" w:rsidRDefault="00250101" w:rsidP="00871DB1">
      <w:pPr>
        <w:widowControl w:val="0"/>
        <w:tabs>
          <w:tab w:val="right" w:pos="7371"/>
          <w:tab w:val="right" w:pos="9356"/>
        </w:tabs>
        <w:autoSpaceDE w:val="0"/>
        <w:autoSpaceDN w:val="0"/>
        <w:adjustRightInd w:val="0"/>
        <w:rPr>
          <w:b/>
        </w:rPr>
      </w:pPr>
    </w:p>
    <w:p w14:paraId="7901786A" w14:textId="40F4BEBA" w:rsidR="00835B2C" w:rsidRDefault="00835B2C" w:rsidP="00871DB1">
      <w:pPr>
        <w:widowControl w:val="0"/>
        <w:tabs>
          <w:tab w:val="right" w:pos="7371"/>
          <w:tab w:val="right" w:pos="9356"/>
        </w:tabs>
        <w:autoSpaceDE w:val="0"/>
        <w:autoSpaceDN w:val="0"/>
        <w:adjustRightInd w:val="0"/>
      </w:pPr>
      <w:r>
        <w:rPr>
          <w:b/>
        </w:rPr>
        <w:t>Employee Consultation</w:t>
      </w:r>
    </w:p>
    <w:p w14:paraId="48756428" w14:textId="77777777" w:rsidR="00835B2C" w:rsidRDefault="00835B2C" w:rsidP="00871DB1">
      <w:pPr>
        <w:widowControl w:val="0"/>
        <w:tabs>
          <w:tab w:val="right" w:pos="7371"/>
          <w:tab w:val="right" w:pos="9356"/>
        </w:tabs>
        <w:autoSpaceDE w:val="0"/>
        <w:autoSpaceDN w:val="0"/>
        <w:adjustRightInd w:val="0"/>
      </w:pPr>
    </w:p>
    <w:p w14:paraId="5A9030DD" w14:textId="77777777" w:rsidR="00835B2C" w:rsidRDefault="00835B2C" w:rsidP="00871DB1">
      <w:pPr>
        <w:widowControl w:val="0"/>
        <w:tabs>
          <w:tab w:val="right" w:pos="7371"/>
          <w:tab w:val="right" w:pos="9356"/>
        </w:tabs>
        <w:autoSpaceDE w:val="0"/>
        <w:autoSpaceDN w:val="0"/>
        <w:adjustRightInd w:val="0"/>
      </w:pPr>
      <w:r>
        <w:t xml:space="preserve">The Commission recognises the benefits of keeping employees informed of the progress of the business and of involving them in the Commission’s performance.  During the </w:t>
      </w:r>
      <w:r w:rsidR="00176472">
        <w:t>year,</w:t>
      </w:r>
      <w:r>
        <w:t xml:space="preserve"> employees were regularly provided with information regarding the financial and economic factors affecting the performance of the Commission and on other matters of concern to them, as employees</w:t>
      </w:r>
      <w:r w:rsidR="003F0DB2">
        <w:t>,</w:t>
      </w:r>
      <w:r>
        <w:t xml:space="preserve"> through regular staff meetings.  Meetings were also held with employees on the drafting of the Commission’s business plan objectives for </w:t>
      </w:r>
      <w:r w:rsidR="00993DB0">
        <w:t>20</w:t>
      </w:r>
      <w:r w:rsidR="6A3DDA2E">
        <w:t>22</w:t>
      </w:r>
      <w:r w:rsidR="00993DB0">
        <w:t>-23 as well as the Commission’s Strategic Plan for 2022-25</w:t>
      </w:r>
      <w:r>
        <w:t>.</w:t>
      </w:r>
    </w:p>
    <w:p w14:paraId="68AF826C" w14:textId="77777777" w:rsidR="003F0DB2" w:rsidRDefault="003F0DB2" w:rsidP="00871DB1">
      <w:pPr>
        <w:widowControl w:val="0"/>
        <w:tabs>
          <w:tab w:val="right" w:pos="7371"/>
          <w:tab w:val="right" w:pos="9356"/>
        </w:tabs>
        <w:autoSpaceDE w:val="0"/>
        <w:autoSpaceDN w:val="0"/>
        <w:adjustRightInd w:val="0"/>
      </w:pPr>
    </w:p>
    <w:p w14:paraId="302B57E8" w14:textId="77777777" w:rsidR="003F0DB2" w:rsidRDefault="003F0DB2" w:rsidP="00871DB1">
      <w:pPr>
        <w:widowControl w:val="0"/>
        <w:tabs>
          <w:tab w:val="right" w:pos="7371"/>
          <w:tab w:val="right" w:pos="9356"/>
        </w:tabs>
        <w:autoSpaceDE w:val="0"/>
        <w:autoSpaceDN w:val="0"/>
        <w:adjustRightInd w:val="0"/>
        <w:rPr>
          <w:b/>
        </w:rPr>
      </w:pPr>
      <w:r>
        <w:rPr>
          <w:b/>
        </w:rPr>
        <w:t>Health and Safety</w:t>
      </w:r>
    </w:p>
    <w:p w14:paraId="09D81DA0" w14:textId="77777777" w:rsidR="003F0DB2" w:rsidRDefault="003F0DB2" w:rsidP="00871DB1">
      <w:pPr>
        <w:widowControl w:val="0"/>
        <w:tabs>
          <w:tab w:val="right" w:pos="7371"/>
          <w:tab w:val="right" w:pos="9356"/>
        </w:tabs>
        <w:autoSpaceDE w:val="0"/>
        <w:autoSpaceDN w:val="0"/>
        <w:adjustRightInd w:val="0"/>
        <w:rPr>
          <w:b/>
        </w:rPr>
      </w:pPr>
    </w:p>
    <w:p w14:paraId="42F53B65" w14:textId="77777777" w:rsidR="003F0DB2" w:rsidRPr="003F0DB2" w:rsidRDefault="003F0DB2" w:rsidP="00871DB1">
      <w:pPr>
        <w:widowControl w:val="0"/>
        <w:tabs>
          <w:tab w:val="right" w:pos="7371"/>
          <w:tab w:val="right" w:pos="9356"/>
        </w:tabs>
        <w:autoSpaceDE w:val="0"/>
        <w:autoSpaceDN w:val="0"/>
        <w:adjustRightInd w:val="0"/>
      </w:pPr>
      <w:r>
        <w:t xml:space="preserve">We recognise and accept our legal responsibilities in relation to the health, safety and welfare of our employees and for all people using our premises.  In line with this </w:t>
      </w:r>
      <w:r w:rsidR="00176472">
        <w:t>commitment,</w:t>
      </w:r>
      <w:r>
        <w:t xml:space="preserve"> the Commission has complied with the relevant legislation.</w:t>
      </w:r>
    </w:p>
    <w:p w14:paraId="54F47B57" w14:textId="77777777" w:rsidR="00871DB1" w:rsidRDefault="00871DB1" w:rsidP="00871DB1">
      <w:pPr>
        <w:widowControl w:val="0"/>
        <w:tabs>
          <w:tab w:val="right" w:pos="7371"/>
          <w:tab w:val="right" w:pos="9356"/>
        </w:tabs>
        <w:autoSpaceDE w:val="0"/>
        <w:autoSpaceDN w:val="0"/>
        <w:adjustRightInd w:val="0"/>
      </w:pPr>
    </w:p>
    <w:p w14:paraId="422C96CA" w14:textId="77777777" w:rsidR="00871DB1" w:rsidRDefault="00871DB1" w:rsidP="00871DB1">
      <w:pPr>
        <w:widowControl w:val="0"/>
        <w:tabs>
          <w:tab w:val="right" w:pos="7371"/>
          <w:tab w:val="right" w:pos="9356"/>
        </w:tabs>
        <w:autoSpaceDE w:val="0"/>
        <w:autoSpaceDN w:val="0"/>
        <w:adjustRightInd w:val="0"/>
        <w:rPr>
          <w:b/>
        </w:rPr>
      </w:pPr>
      <w:r>
        <w:rPr>
          <w:b/>
        </w:rPr>
        <w:t>Expenditure on Consultancy</w:t>
      </w:r>
    </w:p>
    <w:p w14:paraId="43A1A996" w14:textId="77777777" w:rsidR="00871DB1" w:rsidRDefault="00871DB1" w:rsidP="00871DB1">
      <w:pPr>
        <w:widowControl w:val="0"/>
        <w:tabs>
          <w:tab w:val="right" w:pos="7371"/>
          <w:tab w:val="right" w:pos="9356"/>
        </w:tabs>
        <w:autoSpaceDE w:val="0"/>
        <w:autoSpaceDN w:val="0"/>
        <w:adjustRightInd w:val="0"/>
        <w:rPr>
          <w:b/>
        </w:rPr>
      </w:pPr>
    </w:p>
    <w:p w14:paraId="2BF3B00B" w14:textId="77777777" w:rsidR="00871DB1" w:rsidRDefault="00871DB1" w:rsidP="00871DB1">
      <w:pPr>
        <w:widowControl w:val="0"/>
        <w:tabs>
          <w:tab w:val="right" w:pos="7371"/>
          <w:tab w:val="right" w:pos="9356"/>
        </w:tabs>
        <w:autoSpaceDE w:val="0"/>
        <w:autoSpaceDN w:val="0"/>
        <w:adjustRightInd w:val="0"/>
      </w:pPr>
      <w:r>
        <w:t>There was no exp</w:t>
      </w:r>
      <w:r w:rsidR="00A80575">
        <w:t xml:space="preserve">enditure on consultancy in </w:t>
      </w:r>
      <w:r w:rsidR="00993DB0">
        <w:t>20</w:t>
      </w:r>
      <w:r w:rsidR="519F0027">
        <w:t>21</w:t>
      </w:r>
      <w:r w:rsidR="00993DB0">
        <w:t>-22</w:t>
      </w:r>
      <w:r w:rsidR="00A80575">
        <w:t xml:space="preserve"> (</w:t>
      </w:r>
      <w:r w:rsidR="00993DB0">
        <w:t>2020-21</w:t>
      </w:r>
      <w:r>
        <w:t>: £nil)</w:t>
      </w:r>
      <w:r w:rsidR="00C606DC">
        <w:t>.</w:t>
      </w:r>
    </w:p>
    <w:p w14:paraId="3EB55396" w14:textId="77777777" w:rsidR="00C606DC" w:rsidRDefault="00C606DC" w:rsidP="00871DB1">
      <w:pPr>
        <w:widowControl w:val="0"/>
        <w:tabs>
          <w:tab w:val="right" w:pos="7371"/>
          <w:tab w:val="right" w:pos="9356"/>
        </w:tabs>
        <w:autoSpaceDE w:val="0"/>
        <w:autoSpaceDN w:val="0"/>
        <w:adjustRightInd w:val="0"/>
      </w:pPr>
    </w:p>
    <w:p w14:paraId="4D54872B" w14:textId="77777777" w:rsidR="00871DB1" w:rsidRDefault="00871DB1" w:rsidP="00871DB1">
      <w:pPr>
        <w:widowControl w:val="0"/>
        <w:tabs>
          <w:tab w:val="right" w:pos="7371"/>
          <w:tab w:val="right" w:pos="9356"/>
        </w:tabs>
        <w:autoSpaceDE w:val="0"/>
        <w:autoSpaceDN w:val="0"/>
        <w:adjustRightInd w:val="0"/>
      </w:pPr>
      <w:r>
        <w:rPr>
          <w:b/>
        </w:rPr>
        <w:t>Off-payroll engagements</w:t>
      </w:r>
    </w:p>
    <w:p w14:paraId="3ED2691E" w14:textId="77777777" w:rsidR="00871DB1" w:rsidRDefault="00871DB1" w:rsidP="00871DB1">
      <w:pPr>
        <w:widowControl w:val="0"/>
        <w:tabs>
          <w:tab w:val="right" w:pos="7371"/>
          <w:tab w:val="right" w:pos="9356"/>
        </w:tabs>
        <w:autoSpaceDE w:val="0"/>
        <w:autoSpaceDN w:val="0"/>
        <w:adjustRightInd w:val="0"/>
      </w:pPr>
    </w:p>
    <w:p w14:paraId="29177E57" w14:textId="77777777" w:rsidR="00871DB1" w:rsidRDefault="00871DB1" w:rsidP="00871DB1">
      <w:pPr>
        <w:widowControl w:val="0"/>
        <w:tabs>
          <w:tab w:val="right" w:pos="7371"/>
          <w:tab w:val="right" w:pos="9356"/>
        </w:tabs>
        <w:autoSpaceDE w:val="0"/>
        <w:autoSpaceDN w:val="0"/>
        <w:adjustRightInd w:val="0"/>
      </w:pPr>
      <w:r>
        <w:t xml:space="preserve">There were no </w:t>
      </w:r>
      <w:r w:rsidR="00A80575">
        <w:t xml:space="preserve">off-payroll engagements in </w:t>
      </w:r>
      <w:r w:rsidR="00993DB0">
        <w:t>20</w:t>
      </w:r>
      <w:r w:rsidR="5D652406">
        <w:t>21</w:t>
      </w:r>
      <w:r w:rsidR="00993DB0">
        <w:t>-22</w:t>
      </w:r>
      <w:r w:rsidR="00A80575">
        <w:t xml:space="preserve"> (</w:t>
      </w:r>
      <w:r w:rsidR="00993DB0">
        <w:t>20</w:t>
      </w:r>
      <w:r w:rsidR="0700DF38">
        <w:t>20</w:t>
      </w:r>
      <w:r w:rsidR="00993DB0">
        <w:t>-21</w:t>
      </w:r>
      <w:r>
        <w:t>: £nil)</w:t>
      </w:r>
      <w:r w:rsidR="00737D30">
        <w:t>.</w:t>
      </w:r>
    </w:p>
    <w:p w14:paraId="05568C4D" w14:textId="77777777" w:rsidR="00737D30" w:rsidRPr="00871DB1" w:rsidRDefault="00737D30" w:rsidP="00871DB1">
      <w:pPr>
        <w:widowControl w:val="0"/>
        <w:tabs>
          <w:tab w:val="right" w:pos="7371"/>
          <w:tab w:val="right" w:pos="9356"/>
        </w:tabs>
        <w:autoSpaceDE w:val="0"/>
        <w:autoSpaceDN w:val="0"/>
        <w:adjustRightInd w:val="0"/>
      </w:pPr>
    </w:p>
    <w:p w14:paraId="64511E64" w14:textId="77777777" w:rsidR="000C2A54" w:rsidRPr="00D619EC" w:rsidRDefault="00D619EC" w:rsidP="00D619EC">
      <w:pPr>
        <w:widowControl w:val="0"/>
        <w:tabs>
          <w:tab w:val="left" w:pos="0"/>
          <w:tab w:val="right" w:pos="7371"/>
          <w:tab w:val="right" w:pos="9356"/>
        </w:tabs>
        <w:autoSpaceDE w:val="0"/>
        <w:autoSpaceDN w:val="0"/>
        <w:adjustRightInd w:val="0"/>
        <w:ind w:hanging="567"/>
        <w:rPr>
          <w:b/>
          <w:bCs/>
        </w:rPr>
      </w:pPr>
      <w:r>
        <w:rPr>
          <w:b/>
          <w:bCs/>
        </w:rPr>
        <w:tab/>
      </w:r>
      <w:r w:rsidR="000C2A54" w:rsidRPr="00F97E5F">
        <w:rPr>
          <w:b/>
          <w:bCs/>
        </w:rPr>
        <w:t>Reporting of Civil Service and other compensation schemes – exit packages</w:t>
      </w:r>
      <w:r w:rsidR="000C2A54">
        <w:rPr>
          <w:bCs/>
        </w:rPr>
        <w:t xml:space="preserve"> (audited information)</w:t>
      </w:r>
    </w:p>
    <w:p w14:paraId="1707D9EB" w14:textId="77777777" w:rsidR="000C2A54" w:rsidRPr="00F97E5F" w:rsidRDefault="000C2A54" w:rsidP="000C2A54">
      <w:pPr>
        <w:widowControl w:val="0"/>
        <w:tabs>
          <w:tab w:val="left" w:pos="567"/>
          <w:tab w:val="right" w:pos="7371"/>
          <w:tab w:val="right" w:pos="9356"/>
        </w:tabs>
        <w:autoSpaceDE w:val="0"/>
        <w:autoSpaceDN w:val="0"/>
        <w:adjustRightInd w:val="0"/>
        <w:rPr>
          <w:b/>
        </w:rPr>
      </w:pPr>
    </w:p>
    <w:p w14:paraId="233FBBF4" w14:textId="77777777" w:rsidR="000C2A54" w:rsidRPr="00F97E5F" w:rsidRDefault="000C2A54" w:rsidP="00871DB1">
      <w:pPr>
        <w:widowControl w:val="0"/>
        <w:tabs>
          <w:tab w:val="left" w:pos="567"/>
          <w:tab w:val="right" w:pos="7371"/>
          <w:tab w:val="right" w:pos="9356"/>
        </w:tabs>
        <w:autoSpaceDE w:val="0"/>
        <w:autoSpaceDN w:val="0"/>
        <w:adjustRightInd w:val="0"/>
      </w:pPr>
      <w:r>
        <w:t>Ther</w:t>
      </w:r>
      <w:r w:rsidR="005D69D1">
        <w:t xml:space="preserve">e were no exit packages in </w:t>
      </w:r>
      <w:r w:rsidR="00993DB0">
        <w:t>20</w:t>
      </w:r>
      <w:r w:rsidR="4A33703B">
        <w:t>21</w:t>
      </w:r>
      <w:r w:rsidR="00993DB0">
        <w:t>-22</w:t>
      </w:r>
      <w:r w:rsidR="005D69D1">
        <w:t xml:space="preserve"> (</w:t>
      </w:r>
      <w:r w:rsidR="00993DB0">
        <w:t>20</w:t>
      </w:r>
      <w:r w:rsidR="16BA5364">
        <w:t>20</w:t>
      </w:r>
      <w:r w:rsidR="00993DB0">
        <w:t>-21</w:t>
      </w:r>
      <w:r w:rsidR="007B768A">
        <w:t>: £n</w:t>
      </w:r>
      <w:r>
        <w:t xml:space="preserve">il).  </w:t>
      </w:r>
    </w:p>
    <w:p w14:paraId="5F1A403A" w14:textId="77777777" w:rsidR="000C2A54" w:rsidRDefault="000C2A54" w:rsidP="000C2A54">
      <w:pPr>
        <w:autoSpaceDE w:val="0"/>
        <w:autoSpaceDN w:val="0"/>
        <w:adjustRightInd w:val="0"/>
        <w:rPr>
          <w:noProof/>
          <w:lang w:eastAsia="en-GB"/>
        </w:rPr>
      </w:pPr>
    </w:p>
    <w:p w14:paraId="0D1EE0F1" w14:textId="77777777" w:rsidR="001E24FD" w:rsidRDefault="00DD7949" w:rsidP="000C2A54">
      <w:pPr>
        <w:autoSpaceDE w:val="0"/>
        <w:autoSpaceDN w:val="0"/>
        <w:adjustRightInd w:val="0"/>
        <w:rPr>
          <w:noProof/>
          <w:lang w:eastAsia="en-GB"/>
        </w:rPr>
      </w:pPr>
      <w:r>
        <w:rPr>
          <w:noProof/>
          <w:lang w:eastAsia="en-GB"/>
        </w:rPr>
        <w:drawing>
          <wp:inline distT="0" distB="0" distL="0" distR="0" wp14:anchorId="7347810F" wp14:editId="192F207A">
            <wp:extent cx="2057399" cy="1182188"/>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1">
                      <a:extLst>
                        <a:ext uri="{28A0092B-C50C-407E-A947-70E740481C1C}">
                          <a14:useLocalDpi xmlns:a14="http://schemas.microsoft.com/office/drawing/2010/main" val="0"/>
                        </a:ext>
                      </a:extLst>
                    </a:blip>
                    <a:stretch>
                      <a:fillRect/>
                    </a:stretch>
                  </pic:blipFill>
                  <pic:spPr>
                    <a:xfrm>
                      <a:off x="0" y="0"/>
                      <a:ext cx="2057399" cy="1182188"/>
                    </a:xfrm>
                    <a:prstGeom prst="rect">
                      <a:avLst/>
                    </a:prstGeom>
                  </pic:spPr>
                </pic:pic>
              </a:graphicData>
            </a:graphic>
          </wp:inline>
        </w:drawing>
      </w:r>
    </w:p>
    <w:p w14:paraId="74A8384B" w14:textId="77777777" w:rsidR="000C2A54" w:rsidRPr="00D80497" w:rsidRDefault="000C2A54" w:rsidP="000C2A54">
      <w:pPr>
        <w:widowControl w:val="0"/>
        <w:autoSpaceDE w:val="0"/>
        <w:autoSpaceDN w:val="0"/>
        <w:adjustRightInd w:val="0"/>
        <w:rPr>
          <w:b/>
        </w:rPr>
      </w:pPr>
      <w:bookmarkStart w:id="15" w:name="SW0003"/>
      <w:r>
        <w:rPr>
          <w:b/>
        </w:rPr>
        <w:t>Dr David Russell</w:t>
      </w:r>
    </w:p>
    <w:p w14:paraId="74847EAB" w14:textId="77777777" w:rsidR="000C2A54" w:rsidRPr="00D80497" w:rsidRDefault="000C2A54" w:rsidP="000C2A54">
      <w:pPr>
        <w:widowControl w:val="0"/>
        <w:autoSpaceDE w:val="0"/>
        <w:autoSpaceDN w:val="0"/>
        <w:adjustRightInd w:val="0"/>
        <w:rPr>
          <w:b/>
        </w:rPr>
      </w:pPr>
      <w:r w:rsidRPr="00D80497">
        <w:rPr>
          <w:b/>
        </w:rPr>
        <w:t>Accounting Officer</w:t>
      </w:r>
    </w:p>
    <w:p w14:paraId="19FC55D8" w14:textId="77777777" w:rsidR="000C2A54" w:rsidRPr="00D80497" w:rsidRDefault="000C2A54" w:rsidP="000C2A54">
      <w:pPr>
        <w:widowControl w:val="0"/>
        <w:tabs>
          <w:tab w:val="left" w:pos="2802"/>
        </w:tabs>
        <w:autoSpaceDE w:val="0"/>
        <w:autoSpaceDN w:val="0"/>
        <w:adjustRightInd w:val="0"/>
      </w:pPr>
    </w:p>
    <w:p w14:paraId="0075EC5B" w14:textId="7762F815" w:rsidR="000C2A54" w:rsidRPr="00D80497" w:rsidRDefault="000C2A54" w:rsidP="000C2A54">
      <w:pPr>
        <w:widowControl w:val="0"/>
        <w:tabs>
          <w:tab w:val="left" w:pos="851"/>
        </w:tabs>
        <w:autoSpaceDE w:val="0"/>
        <w:autoSpaceDN w:val="0"/>
        <w:adjustRightInd w:val="0"/>
        <w:rPr>
          <w:b/>
        </w:rPr>
      </w:pPr>
      <w:r w:rsidRPr="00D80497">
        <w:rPr>
          <w:b/>
        </w:rPr>
        <w:t xml:space="preserve">Date: </w:t>
      </w:r>
      <w:r w:rsidR="0049664F">
        <w:rPr>
          <w:b/>
        </w:rPr>
        <w:t>10 October</w:t>
      </w:r>
      <w:r w:rsidR="00953497">
        <w:rPr>
          <w:b/>
        </w:rPr>
        <w:t xml:space="preserve"> 2022</w:t>
      </w:r>
    </w:p>
    <w:bookmarkEnd w:id="15"/>
    <w:p w14:paraId="46F90AF7" w14:textId="77777777" w:rsidR="000C2A54" w:rsidRPr="00503D7F" w:rsidRDefault="000C2A54" w:rsidP="008C73A2">
      <w:pPr>
        <w:jc w:val="center"/>
        <w:rPr>
          <w:b/>
          <w:sz w:val="28"/>
          <w:szCs w:val="28"/>
        </w:rPr>
      </w:pPr>
      <w:r>
        <w:rPr>
          <w:b/>
        </w:rPr>
        <w:br w:type="page"/>
      </w:r>
      <w:bookmarkStart w:id="16" w:name="ParliamentaryAccountability"/>
      <w:r w:rsidR="0045027A">
        <w:rPr>
          <w:rFonts w:cs="Arial"/>
          <w:b/>
          <w:color w:val="77328A"/>
          <w:sz w:val="30"/>
          <w:szCs w:val="30"/>
        </w:rPr>
        <w:t>Parliamentary Accountability and Audit Report</w:t>
      </w:r>
    </w:p>
    <w:bookmarkEnd w:id="16"/>
    <w:p w14:paraId="5B269081" w14:textId="77777777" w:rsidR="000C2A54" w:rsidRDefault="000C2A54" w:rsidP="000C2A54">
      <w:pPr>
        <w:rPr>
          <w:b/>
        </w:rPr>
      </w:pPr>
    </w:p>
    <w:p w14:paraId="718283F2" w14:textId="77777777" w:rsidR="00F0089C" w:rsidRDefault="00F0089C" w:rsidP="00310B25">
      <w:pPr>
        <w:pStyle w:val="BodyText"/>
        <w:numPr>
          <w:ilvl w:val="1"/>
          <w:numId w:val="16"/>
        </w:numPr>
        <w:spacing w:after="284" w:line="300" w:lineRule="atLeast"/>
      </w:pPr>
      <w:r w:rsidRPr="00E16658">
        <w:t xml:space="preserve">The accounts of the </w:t>
      </w:r>
      <w:r w:rsidR="00941C81">
        <w:t>Northern Ireland Human Rights Commission</w:t>
      </w:r>
      <w:r w:rsidRPr="00E16658">
        <w:t xml:space="preserve"> are audited by the Comptroller and Auditor General under </w:t>
      </w:r>
      <w:r w:rsidR="00941C81">
        <w:t xml:space="preserve">the Northern Ireland Act 1998. </w:t>
      </w:r>
      <w:r w:rsidRPr="00E16658">
        <w:t>The audit fee charged was £</w:t>
      </w:r>
      <w:r w:rsidR="00993DB0">
        <w:t>17</w:t>
      </w:r>
      <w:r w:rsidR="005D69D1">
        <w:t>,5</w:t>
      </w:r>
      <w:r w:rsidRPr="00E16658">
        <w:t>00</w:t>
      </w:r>
      <w:r w:rsidR="00993DB0">
        <w:t xml:space="preserve"> (£16</w:t>
      </w:r>
      <w:r w:rsidR="00737D30">
        <w:t>,500 in 2020</w:t>
      </w:r>
      <w:r w:rsidR="00993DB0">
        <w:t>-21</w:t>
      </w:r>
      <w:r>
        <w:t>)</w:t>
      </w:r>
      <w:r w:rsidRPr="00E16658">
        <w:t>. The auditors received no fees for non-audit services</w:t>
      </w:r>
      <w:r w:rsidR="007B768A">
        <w:t xml:space="preserve"> (</w:t>
      </w:r>
      <w:r w:rsidR="00993DB0">
        <w:t>20</w:t>
      </w:r>
      <w:r w:rsidR="00737D30">
        <w:t>20</w:t>
      </w:r>
      <w:r w:rsidR="00993DB0">
        <w:t>-21</w:t>
      </w:r>
      <w:r w:rsidR="007B768A">
        <w:t>: £nil</w:t>
      </w:r>
      <w:r w:rsidR="0072512F">
        <w:t>)</w:t>
      </w:r>
      <w:r w:rsidRPr="00E16658">
        <w:t>. The auditors have been provided with all relevant audit information necessary to complete their audit and the Accounting Officer has taken all the necessary steps to ensure that the auditors are aware of any relevant information.</w:t>
      </w:r>
    </w:p>
    <w:p w14:paraId="370CC803" w14:textId="77777777" w:rsidR="00F0089C" w:rsidRDefault="00F0089C" w:rsidP="00310B25">
      <w:pPr>
        <w:pStyle w:val="BodyText"/>
        <w:numPr>
          <w:ilvl w:val="1"/>
          <w:numId w:val="16"/>
        </w:numPr>
        <w:spacing w:after="284" w:line="300" w:lineRule="atLeast"/>
      </w:pPr>
      <w:r>
        <w:t>All expenditure was applied to the purpose intended by Parliament (audited).</w:t>
      </w:r>
    </w:p>
    <w:p w14:paraId="0061E08D" w14:textId="47B876E7" w:rsidR="00F0089C" w:rsidRDefault="00F0089C" w:rsidP="00310B25">
      <w:pPr>
        <w:pStyle w:val="BodyText"/>
        <w:numPr>
          <w:ilvl w:val="1"/>
          <w:numId w:val="16"/>
        </w:numPr>
        <w:spacing w:after="284" w:line="300" w:lineRule="atLeast"/>
      </w:pPr>
      <w:r>
        <w:t xml:space="preserve">No fees or charges were </w:t>
      </w:r>
      <w:r w:rsidR="003C45FA">
        <w:t xml:space="preserve">collected </w:t>
      </w:r>
      <w:r>
        <w:t xml:space="preserve">by </w:t>
      </w:r>
      <w:r w:rsidR="00941C81">
        <w:t>the</w:t>
      </w:r>
      <w:r w:rsidR="00941C81" w:rsidRPr="00E16658">
        <w:t xml:space="preserve"> </w:t>
      </w:r>
      <w:r w:rsidR="00941C81">
        <w:t>Northern Ireland Human Rights Commission</w:t>
      </w:r>
      <w:r>
        <w:t xml:space="preserve"> (audited)</w:t>
      </w:r>
      <w:r w:rsidR="00993DB0">
        <w:t xml:space="preserve"> (20</w:t>
      </w:r>
      <w:r w:rsidR="00A7412A">
        <w:t>20</w:t>
      </w:r>
      <w:r w:rsidR="00993DB0">
        <w:t>-21</w:t>
      </w:r>
      <w:r w:rsidR="00A7412A">
        <w:t>: £nil)</w:t>
      </w:r>
      <w:r>
        <w:t>.</w:t>
      </w:r>
    </w:p>
    <w:p w14:paraId="45F0434F" w14:textId="77777777" w:rsidR="00F0089C" w:rsidRDefault="00F0089C" w:rsidP="00310B25">
      <w:pPr>
        <w:pStyle w:val="BodyText"/>
        <w:numPr>
          <w:ilvl w:val="1"/>
          <w:numId w:val="16"/>
        </w:numPr>
        <w:spacing w:after="284" w:line="300" w:lineRule="atLeast"/>
      </w:pPr>
      <w:r>
        <w:t xml:space="preserve">The </w:t>
      </w:r>
      <w:r w:rsidR="00941C81">
        <w:t>Northern Ireland Human Rights Commission</w:t>
      </w:r>
      <w:r>
        <w:t xml:space="preserve"> has no remote contingent liabilities (audited)</w:t>
      </w:r>
      <w:r w:rsidR="00993DB0">
        <w:t xml:space="preserve"> (20</w:t>
      </w:r>
      <w:r w:rsidR="00A7412A">
        <w:t>20</w:t>
      </w:r>
      <w:r w:rsidR="00993DB0">
        <w:t>-21</w:t>
      </w:r>
      <w:r w:rsidR="00A7412A">
        <w:t>: £nil)</w:t>
      </w:r>
      <w:r>
        <w:t>.</w:t>
      </w:r>
    </w:p>
    <w:p w14:paraId="2D530F7C" w14:textId="77777777" w:rsidR="001C06AC" w:rsidRDefault="001C06AC" w:rsidP="00310B25">
      <w:pPr>
        <w:pStyle w:val="BodyText"/>
        <w:numPr>
          <w:ilvl w:val="1"/>
          <w:numId w:val="16"/>
        </w:numPr>
        <w:spacing w:after="284" w:line="300" w:lineRule="atLeast"/>
      </w:pPr>
      <w:r>
        <w:t>The Commission had no losses or special payments (audited)</w:t>
      </w:r>
      <w:r w:rsidR="00993DB0">
        <w:t xml:space="preserve"> (2020-21</w:t>
      </w:r>
      <w:r w:rsidR="00A7412A">
        <w:t>: £nil)</w:t>
      </w:r>
      <w:r>
        <w:t>.</w:t>
      </w:r>
    </w:p>
    <w:p w14:paraId="6685CB7B" w14:textId="795C5FCC" w:rsidR="00F0089C" w:rsidRDefault="00F0089C" w:rsidP="00310B25">
      <w:pPr>
        <w:pStyle w:val="BodyText"/>
        <w:numPr>
          <w:ilvl w:val="1"/>
          <w:numId w:val="16"/>
        </w:numPr>
        <w:spacing w:after="284" w:line="300" w:lineRule="atLeast"/>
      </w:pPr>
      <w:r>
        <w:t xml:space="preserve">The </w:t>
      </w:r>
      <w:r w:rsidR="00941C81">
        <w:t>Northern Ireland Human Rights Commission’s</w:t>
      </w:r>
      <w:r w:rsidR="00737D30">
        <w:t xml:space="preserve"> total expenditure in 2021</w:t>
      </w:r>
      <w:r w:rsidR="00993DB0">
        <w:t>-22</w:t>
      </w:r>
      <w:r>
        <w:t xml:space="preserve"> was</w:t>
      </w:r>
      <w:r w:rsidR="00CA7A47">
        <w:t xml:space="preserve"> £</w:t>
      </w:r>
      <w:r w:rsidR="00F643C2">
        <w:t>2,333,573</w:t>
      </w:r>
      <w:r>
        <w:t>. The net expenditure for prior years was as follows:</w:t>
      </w:r>
    </w:p>
    <w:p w14:paraId="35DC19CE" w14:textId="77777777" w:rsidR="00F0089C" w:rsidRPr="004A26CC" w:rsidRDefault="00F0089C" w:rsidP="001730DC">
      <w:pPr>
        <w:pStyle w:val="TableHeading"/>
        <w:rPr>
          <w:rFonts w:ascii="Verdana" w:hAnsi="Verdana"/>
          <w:b/>
          <w:color w:val="auto"/>
          <w:sz w:val="24"/>
        </w:rPr>
      </w:pPr>
      <w:r w:rsidRPr="004A26CC">
        <w:rPr>
          <w:rFonts w:ascii="Verdana" w:hAnsi="Verdana"/>
          <w:b/>
          <w:color w:val="auto"/>
          <w:sz w:val="24"/>
        </w:rPr>
        <w:t>Expenditure and income</w:t>
      </w:r>
    </w:p>
    <w:p w14:paraId="57D6D1CB" w14:textId="77777777" w:rsidR="008474EF" w:rsidRDefault="008474EF" w:rsidP="008474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3"/>
      </w:tblGrid>
      <w:tr w:rsidR="008474EF" w14:paraId="623A0FC9" w14:textId="77777777" w:rsidTr="008474EF">
        <w:tc>
          <w:tcPr>
            <w:tcW w:w="1812" w:type="dxa"/>
          </w:tcPr>
          <w:p w14:paraId="673B5068" w14:textId="77777777" w:rsidR="008474EF" w:rsidRDefault="008474EF" w:rsidP="008474EF"/>
        </w:tc>
        <w:tc>
          <w:tcPr>
            <w:tcW w:w="1812" w:type="dxa"/>
          </w:tcPr>
          <w:p w14:paraId="698882B1" w14:textId="77777777" w:rsidR="008474EF" w:rsidRDefault="00EF4DE1" w:rsidP="008474EF">
            <w:pPr>
              <w:jc w:val="right"/>
              <w:rPr>
                <w:b/>
                <w:sz w:val="20"/>
                <w:szCs w:val="20"/>
              </w:rPr>
            </w:pPr>
            <w:r>
              <w:rPr>
                <w:b/>
                <w:sz w:val="20"/>
                <w:szCs w:val="20"/>
              </w:rPr>
              <w:t>2021-22</w:t>
            </w:r>
          </w:p>
          <w:p w14:paraId="350AA322" w14:textId="77777777" w:rsidR="008474EF" w:rsidRPr="008474EF" w:rsidRDefault="008474EF" w:rsidP="008474EF">
            <w:pPr>
              <w:jc w:val="right"/>
              <w:rPr>
                <w:b/>
                <w:sz w:val="20"/>
                <w:szCs w:val="20"/>
              </w:rPr>
            </w:pPr>
            <w:r w:rsidRPr="008474EF">
              <w:rPr>
                <w:b/>
                <w:sz w:val="20"/>
                <w:szCs w:val="20"/>
              </w:rPr>
              <w:t>£000</w:t>
            </w:r>
          </w:p>
        </w:tc>
        <w:tc>
          <w:tcPr>
            <w:tcW w:w="1812" w:type="dxa"/>
          </w:tcPr>
          <w:p w14:paraId="7421193A" w14:textId="77777777" w:rsidR="008474EF" w:rsidRDefault="005D69D1" w:rsidP="008474EF">
            <w:pPr>
              <w:jc w:val="right"/>
              <w:rPr>
                <w:b/>
                <w:sz w:val="20"/>
                <w:szCs w:val="20"/>
              </w:rPr>
            </w:pPr>
            <w:r>
              <w:rPr>
                <w:b/>
                <w:sz w:val="20"/>
                <w:szCs w:val="20"/>
              </w:rPr>
              <w:t>20</w:t>
            </w:r>
            <w:r w:rsidR="00EF4DE1">
              <w:rPr>
                <w:b/>
                <w:sz w:val="20"/>
                <w:szCs w:val="20"/>
              </w:rPr>
              <w:t>20-21</w:t>
            </w:r>
            <w:r w:rsidR="008474EF" w:rsidRPr="008474EF">
              <w:rPr>
                <w:b/>
                <w:sz w:val="20"/>
                <w:szCs w:val="20"/>
              </w:rPr>
              <w:t xml:space="preserve"> </w:t>
            </w:r>
          </w:p>
          <w:p w14:paraId="34D1CA05" w14:textId="77777777" w:rsidR="008474EF" w:rsidRPr="008474EF" w:rsidRDefault="008474EF" w:rsidP="008474EF">
            <w:pPr>
              <w:jc w:val="right"/>
              <w:rPr>
                <w:b/>
                <w:sz w:val="20"/>
                <w:szCs w:val="20"/>
              </w:rPr>
            </w:pPr>
            <w:r w:rsidRPr="008474EF">
              <w:rPr>
                <w:b/>
                <w:sz w:val="20"/>
                <w:szCs w:val="20"/>
              </w:rPr>
              <w:t>£000</w:t>
            </w:r>
          </w:p>
        </w:tc>
        <w:tc>
          <w:tcPr>
            <w:tcW w:w="1812" w:type="dxa"/>
          </w:tcPr>
          <w:p w14:paraId="6F3FF6B5" w14:textId="77777777" w:rsidR="008474EF" w:rsidRDefault="005D69D1" w:rsidP="008474EF">
            <w:pPr>
              <w:jc w:val="right"/>
              <w:rPr>
                <w:b/>
                <w:sz w:val="20"/>
                <w:szCs w:val="20"/>
              </w:rPr>
            </w:pPr>
            <w:r>
              <w:rPr>
                <w:b/>
                <w:sz w:val="20"/>
                <w:szCs w:val="20"/>
              </w:rPr>
              <w:t>20</w:t>
            </w:r>
            <w:r w:rsidR="00EF4DE1">
              <w:rPr>
                <w:b/>
                <w:sz w:val="20"/>
                <w:szCs w:val="20"/>
              </w:rPr>
              <w:t>19-20</w:t>
            </w:r>
          </w:p>
          <w:p w14:paraId="03E8763E" w14:textId="77777777" w:rsidR="008474EF" w:rsidRPr="008474EF" w:rsidRDefault="008474EF" w:rsidP="008474EF">
            <w:pPr>
              <w:jc w:val="right"/>
              <w:rPr>
                <w:b/>
                <w:sz w:val="20"/>
                <w:szCs w:val="20"/>
              </w:rPr>
            </w:pPr>
            <w:r w:rsidRPr="008474EF">
              <w:rPr>
                <w:b/>
                <w:sz w:val="20"/>
                <w:szCs w:val="20"/>
              </w:rPr>
              <w:t>£000</w:t>
            </w:r>
          </w:p>
        </w:tc>
        <w:tc>
          <w:tcPr>
            <w:tcW w:w="1813" w:type="dxa"/>
          </w:tcPr>
          <w:p w14:paraId="080CDF00" w14:textId="77777777" w:rsidR="008474EF" w:rsidRDefault="00EF4DE1" w:rsidP="008474EF">
            <w:pPr>
              <w:jc w:val="right"/>
              <w:rPr>
                <w:b/>
                <w:sz w:val="20"/>
                <w:szCs w:val="20"/>
              </w:rPr>
            </w:pPr>
            <w:r>
              <w:rPr>
                <w:b/>
                <w:sz w:val="20"/>
                <w:szCs w:val="20"/>
              </w:rPr>
              <w:t>2018-19</w:t>
            </w:r>
            <w:r w:rsidR="008474EF" w:rsidRPr="008474EF">
              <w:rPr>
                <w:b/>
                <w:sz w:val="20"/>
                <w:szCs w:val="20"/>
              </w:rPr>
              <w:t xml:space="preserve"> </w:t>
            </w:r>
          </w:p>
          <w:p w14:paraId="70D3B87F" w14:textId="77777777" w:rsidR="008474EF" w:rsidRPr="008474EF" w:rsidRDefault="008474EF" w:rsidP="008474EF">
            <w:pPr>
              <w:jc w:val="right"/>
              <w:rPr>
                <w:b/>
                <w:sz w:val="20"/>
                <w:szCs w:val="20"/>
              </w:rPr>
            </w:pPr>
            <w:r w:rsidRPr="008474EF">
              <w:rPr>
                <w:b/>
                <w:sz w:val="20"/>
                <w:szCs w:val="20"/>
              </w:rPr>
              <w:t>£000</w:t>
            </w:r>
          </w:p>
          <w:p w14:paraId="0559D481" w14:textId="77777777" w:rsidR="008474EF" w:rsidRPr="008474EF" w:rsidRDefault="008474EF" w:rsidP="008474EF">
            <w:pPr>
              <w:jc w:val="right"/>
              <w:rPr>
                <w:b/>
                <w:sz w:val="20"/>
                <w:szCs w:val="20"/>
              </w:rPr>
            </w:pPr>
          </w:p>
        </w:tc>
      </w:tr>
      <w:tr w:rsidR="00BE1714" w14:paraId="487553B8" w14:textId="77777777" w:rsidTr="008474EF">
        <w:tc>
          <w:tcPr>
            <w:tcW w:w="1812" w:type="dxa"/>
          </w:tcPr>
          <w:p w14:paraId="687C7154" w14:textId="77777777" w:rsidR="00BE1714" w:rsidRPr="008474EF" w:rsidRDefault="00BE1714" w:rsidP="00BE1714">
            <w:pPr>
              <w:rPr>
                <w:sz w:val="20"/>
                <w:szCs w:val="20"/>
              </w:rPr>
            </w:pPr>
            <w:r w:rsidRPr="008474EF">
              <w:rPr>
                <w:sz w:val="20"/>
                <w:szCs w:val="20"/>
              </w:rPr>
              <w:t>Expenditure</w:t>
            </w:r>
          </w:p>
        </w:tc>
        <w:tc>
          <w:tcPr>
            <w:tcW w:w="1812" w:type="dxa"/>
          </w:tcPr>
          <w:p w14:paraId="09147F28" w14:textId="67D40008" w:rsidR="00BE1714" w:rsidRPr="005C2E30" w:rsidRDefault="00F643C2" w:rsidP="00BE1714">
            <w:pPr>
              <w:jc w:val="right"/>
              <w:rPr>
                <w:sz w:val="20"/>
                <w:szCs w:val="20"/>
              </w:rPr>
            </w:pPr>
            <w:r>
              <w:rPr>
                <w:sz w:val="20"/>
                <w:szCs w:val="20"/>
              </w:rPr>
              <w:t>2,333</w:t>
            </w:r>
          </w:p>
        </w:tc>
        <w:tc>
          <w:tcPr>
            <w:tcW w:w="1812" w:type="dxa"/>
          </w:tcPr>
          <w:p w14:paraId="725EDAA0" w14:textId="77777777" w:rsidR="00BE1714" w:rsidRPr="008474EF" w:rsidRDefault="00EF4DE1" w:rsidP="00BE1714">
            <w:pPr>
              <w:jc w:val="right"/>
              <w:rPr>
                <w:sz w:val="20"/>
                <w:szCs w:val="20"/>
              </w:rPr>
            </w:pPr>
            <w:r>
              <w:rPr>
                <w:sz w:val="20"/>
                <w:szCs w:val="20"/>
              </w:rPr>
              <w:t>1,636</w:t>
            </w:r>
          </w:p>
        </w:tc>
        <w:tc>
          <w:tcPr>
            <w:tcW w:w="1812" w:type="dxa"/>
          </w:tcPr>
          <w:p w14:paraId="3BF615B3" w14:textId="77777777" w:rsidR="00BE1714" w:rsidRPr="008474EF" w:rsidRDefault="00EF4DE1" w:rsidP="00BE1714">
            <w:pPr>
              <w:jc w:val="right"/>
              <w:rPr>
                <w:sz w:val="20"/>
                <w:szCs w:val="20"/>
              </w:rPr>
            </w:pPr>
            <w:r>
              <w:rPr>
                <w:sz w:val="20"/>
                <w:szCs w:val="20"/>
              </w:rPr>
              <w:t>1,282</w:t>
            </w:r>
          </w:p>
        </w:tc>
        <w:tc>
          <w:tcPr>
            <w:tcW w:w="1813" w:type="dxa"/>
          </w:tcPr>
          <w:p w14:paraId="6AAB4B51" w14:textId="77777777" w:rsidR="00BE1714" w:rsidRPr="008474EF" w:rsidRDefault="00EF4DE1" w:rsidP="00BE1714">
            <w:pPr>
              <w:jc w:val="right"/>
              <w:rPr>
                <w:sz w:val="20"/>
                <w:szCs w:val="20"/>
              </w:rPr>
            </w:pPr>
            <w:r>
              <w:rPr>
                <w:sz w:val="20"/>
                <w:szCs w:val="20"/>
              </w:rPr>
              <w:t>1,135</w:t>
            </w:r>
          </w:p>
        </w:tc>
      </w:tr>
      <w:tr w:rsidR="00BE1714" w14:paraId="7BF01B3A" w14:textId="77777777" w:rsidTr="008474EF">
        <w:tc>
          <w:tcPr>
            <w:tcW w:w="1812" w:type="dxa"/>
          </w:tcPr>
          <w:p w14:paraId="581985E5" w14:textId="77777777" w:rsidR="00BE1714" w:rsidRPr="008474EF" w:rsidRDefault="00BE1714" w:rsidP="00BE1714">
            <w:pPr>
              <w:rPr>
                <w:sz w:val="20"/>
                <w:szCs w:val="20"/>
              </w:rPr>
            </w:pPr>
            <w:r w:rsidRPr="008474EF">
              <w:rPr>
                <w:sz w:val="20"/>
                <w:szCs w:val="20"/>
              </w:rPr>
              <w:t>Income</w:t>
            </w:r>
          </w:p>
        </w:tc>
        <w:tc>
          <w:tcPr>
            <w:tcW w:w="1812" w:type="dxa"/>
          </w:tcPr>
          <w:p w14:paraId="66328A0A" w14:textId="77777777" w:rsidR="00BE1714" w:rsidRPr="008474EF" w:rsidRDefault="002B1B93" w:rsidP="00737D30">
            <w:pPr>
              <w:jc w:val="right"/>
              <w:rPr>
                <w:sz w:val="20"/>
                <w:szCs w:val="20"/>
                <w:u w:val="single"/>
              </w:rPr>
            </w:pPr>
            <w:r>
              <w:rPr>
                <w:sz w:val="20"/>
                <w:szCs w:val="20"/>
                <w:u w:val="single"/>
              </w:rPr>
              <w:t xml:space="preserve">    </w:t>
            </w:r>
            <w:r w:rsidR="00737D30">
              <w:rPr>
                <w:sz w:val="20"/>
                <w:szCs w:val="20"/>
                <w:u w:val="single"/>
              </w:rPr>
              <w:t>0</w:t>
            </w:r>
          </w:p>
        </w:tc>
        <w:tc>
          <w:tcPr>
            <w:tcW w:w="1812" w:type="dxa"/>
          </w:tcPr>
          <w:p w14:paraId="3BE69865" w14:textId="77777777" w:rsidR="00BE1714" w:rsidRPr="008474EF" w:rsidRDefault="001C06AC" w:rsidP="00EF4DE1">
            <w:pPr>
              <w:jc w:val="right"/>
              <w:rPr>
                <w:sz w:val="20"/>
                <w:szCs w:val="20"/>
                <w:u w:val="single"/>
              </w:rPr>
            </w:pPr>
            <w:r>
              <w:rPr>
                <w:sz w:val="20"/>
                <w:szCs w:val="20"/>
                <w:u w:val="single"/>
              </w:rPr>
              <w:t>___</w:t>
            </w:r>
            <w:r w:rsidR="00EF4DE1">
              <w:rPr>
                <w:sz w:val="20"/>
                <w:szCs w:val="20"/>
                <w:u w:val="single"/>
              </w:rPr>
              <w:t>0</w:t>
            </w:r>
          </w:p>
        </w:tc>
        <w:tc>
          <w:tcPr>
            <w:tcW w:w="1812" w:type="dxa"/>
          </w:tcPr>
          <w:p w14:paraId="187130B6" w14:textId="77777777" w:rsidR="00BE1714" w:rsidRPr="008474EF" w:rsidRDefault="001C06AC" w:rsidP="00BE1714">
            <w:pPr>
              <w:jc w:val="right"/>
              <w:rPr>
                <w:sz w:val="20"/>
                <w:szCs w:val="20"/>
              </w:rPr>
            </w:pPr>
            <w:r>
              <w:rPr>
                <w:sz w:val="20"/>
                <w:szCs w:val="20"/>
                <w:u w:val="single"/>
              </w:rPr>
              <w:t>__(</w:t>
            </w:r>
            <w:r w:rsidR="005D69D1">
              <w:rPr>
                <w:sz w:val="20"/>
                <w:szCs w:val="20"/>
                <w:u w:val="single"/>
              </w:rPr>
              <w:t>3</w:t>
            </w:r>
            <w:r w:rsidR="00EF4DE1">
              <w:rPr>
                <w:sz w:val="20"/>
                <w:szCs w:val="20"/>
                <w:u w:val="single"/>
              </w:rPr>
              <w:t>6</w:t>
            </w:r>
            <w:r>
              <w:rPr>
                <w:sz w:val="20"/>
                <w:szCs w:val="20"/>
                <w:u w:val="single"/>
              </w:rPr>
              <w:t>)</w:t>
            </w:r>
          </w:p>
        </w:tc>
        <w:tc>
          <w:tcPr>
            <w:tcW w:w="1813" w:type="dxa"/>
          </w:tcPr>
          <w:p w14:paraId="49667DAC" w14:textId="77777777" w:rsidR="00BE1714" w:rsidRPr="008474EF" w:rsidRDefault="00BE1714" w:rsidP="00BE1714">
            <w:pPr>
              <w:jc w:val="right"/>
              <w:rPr>
                <w:sz w:val="20"/>
                <w:szCs w:val="20"/>
                <w:u w:val="single"/>
              </w:rPr>
            </w:pPr>
            <w:r w:rsidRPr="008474EF">
              <w:rPr>
                <w:sz w:val="20"/>
                <w:szCs w:val="20"/>
              </w:rPr>
              <w:softHyphen/>
            </w:r>
            <w:r w:rsidRPr="008474EF">
              <w:rPr>
                <w:sz w:val="20"/>
                <w:szCs w:val="20"/>
              </w:rPr>
              <w:softHyphen/>
            </w:r>
            <w:r w:rsidR="001C06AC">
              <w:rPr>
                <w:sz w:val="20"/>
                <w:szCs w:val="20"/>
                <w:u w:val="single"/>
              </w:rPr>
              <w:t>___(</w:t>
            </w:r>
            <w:r w:rsidR="00737D30">
              <w:rPr>
                <w:sz w:val="20"/>
                <w:szCs w:val="20"/>
                <w:u w:val="single"/>
              </w:rPr>
              <w:t>3</w:t>
            </w:r>
            <w:r w:rsidR="00EF4DE1">
              <w:rPr>
                <w:sz w:val="20"/>
                <w:szCs w:val="20"/>
                <w:u w:val="single"/>
              </w:rPr>
              <w:t>4</w:t>
            </w:r>
            <w:r w:rsidR="001C06AC">
              <w:rPr>
                <w:sz w:val="20"/>
                <w:szCs w:val="20"/>
                <w:u w:val="single"/>
              </w:rPr>
              <w:t>)</w:t>
            </w:r>
          </w:p>
        </w:tc>
      </w:tr>
      <w:tr w:rsidR="00BE1714" w14:paraId="4ABE7E2E" w14:textId="77777777" w:rsidTr="008474EF">
        <w:tc>
          <w:tcPr>
            <w:tcW w:w="1812" w:type="dxa"/>
          </w:tcPr>
          <w:p w14:paraId="455187EA" w14:textId="77777777" w:rsidR="00BE1714" w:rsidRPr="008474EF" w:rsidRDefault="00BE1714" w:rsidP="00BE1714">
            <w:pPr>
              <w:rPr>
                <w:sz w:val="20"/>
                <w:szCs w:val="20"/>
              </w:rPr>
            </w:pPr>
          </w:p>
          <w:p w14:paraId="63D801FC" w14:textId="77777777" w:rsidR="00BE1714" w:rsidRPr="008474EF" w:rsidRDefault="00BE1714" w:rsidP="00BE1714">
            <w:pPr>
              <w:rPr>
                <w:sz w:val="20"/>
                <w:szCs w:val="20"/>
              </w:rPr>
            </w:pPr>
            <w:r w:rsidRPr="008474EF">
              <w:rPr>
                <w:sz w:val="20"/>
                <w:szCs w:val="20"/>
              </w:rPr>
              <w:t>Net Expenditure</w:t>
            </w:r>
          </w:p>
        </w:tc>
        <w:tc>
          <w:tcPr>
            <w:tcW w:w="1812" w:type="dxa"/>
          </w:tcPr>
          <w:p w14:paraId="70D1028D" w14:textId="77777777" w:rsidR="005D69D1" w:rsidRDefault="005D69D1" w:rsidP="005D69D1">
            <w:pPr>
              <w:jc w:val="right"/>
              <w:rPr>
                <w:sz w:val="20"/>
                <w:szCs w:val="20"/>
              </w:rPr>
            </w:pPr>
          </w:p>
          <w:p w14:paraId="1D5BCB8B" w14:textId="77777777" w:rsidR="002B1B93" w:rsidRDefault="002B1B93" w:rsidP="005D69D1">
            <w:pPr>
              <w:jc w:val="right"/>
              <w:rPr>
                <w:sz w:val="20"/>
                <w:szCs w:val="20"/>
              </w:rPr>
            </w:pPr>
          </w:p>
          <w:p w14:paraId="659C51C2" w14:textId="4B12148A" w:rsidR="002B1B93" w:rsidRPr="008474EF" w:rsidRDefault="00F643C2" w:rsidP="005D69D1">
            <w:pPr>
              <w:jc w:val="right"/>
              <w:rPr>
                <w:sz w:val="20"/>
                <w:szCs w:val="20"/>
              </w:rPr>
            </w:pPr>
            <w:r>
              <w:rPr>
                <w:sz w:val="20"/>
                <w:szCs w:val="20"/>
              </w:rPr>
              <w:t>2,333</w:t>
            </w:r>
          </w:p>
        </w:tc>
        <w:tc>
          <w:tcPr>
            <w:tcW w:w="1812" w:type="dxa"/>
          </w:tcPr>
          <w:p w14:paraId="38F97D82" w14:textId="77777777" w:rsidR="00BE1714" w:rsidRDefault="00BE1714" w:rsidP="00BE1714">
            <w:pPr>
              <w:jc w:val="right"/>
              <w:rPr>
                <w:sz w:val="20"/>
                <w:szCs w:val="20"/>
                <w:u w:val="single"/>
              </w:rPr>
            </w:pPr>
          </w:p>
          <w:p w14:paraId="5650ABA2" w14:textId="77777777" w:rsidR="00BE1714" w:rsidRPr="008474EF" w:rsidRDefault="00BE1714" w:rsidP="00BE1714">
            <w:pPr>
              <w:jc w:val="right"/>
              <w:rPr>
                <w:sz w:val="20"/>
                <w:szCs w:val="20"/>
                <w:u w:val="single"/>
              </w:rPr>
            </w:pPr>
          </w:p>
          <w:p w14:paraId="6FD543A9" w14:textId="77777777" w:rsidR="00BE1714" w:rsidRDefault="00EF4DE1" w:rsidP="00BE1714">
            <w:pPr>
              <w:jc w:val="right"/>
              <w:rPr>
                <w:sz w:val="20"/>
                <w:szCs w:val="20"/>
              </w:rPr>
            </w:pPr>
            <w:r>
              <w:rPr>
                <w:sz w:val="20"/>
                <w:szCs w:val="20"/>
              </w:rPr>
              <w:t>1,636</w:t>
            </w:r>
          </w:p>
          <w:p w14:paraId="6391941E" w14:textId="77777777" w:rsidR="005D69D1" w:rsidRPr="008474EF" w:rsidRDefault="005D69D1" w:rsidP="00BE1714">
            <w:pPr>
              <w:jc w:val="right"/>
              <w:rPr>
                <w:sz w:val="20"/>
                <w:szCs w:val="20"/>
              </w:rPr>
            </w:pPr>
          </w:p>
        </w:tc>
        <w:tc>
          <w:tcPr>
            <w:tcW w:w="1812" w:type="dxa"/>
          </w:tcPr>
          <w:p w14:paraId="62EC2820" w14:textId="77777777" w:rsidR="00BE1714" w:rsidRPr="008474EF" w:rsidRDefault="00BE1714" w:rsidP="00BE1714">
            <w:pPr>
              <w:jc w:val="right"/>
              <w:rPr>
                <w:sz w:val="20"/>
                <w:szCs w:val="20"/>
                <w:u w:val="single"/>
              </w:rPr>
            </w:pPr>
          </w:p>
          <w:p w14:paraId="18CC3CAD" w14:textId="77777777" w:rsidR="00BE1714" w:rsidRPr="008474EF" w:rsidRDefault="00BE1714" w:rsidP="00BE1714">
            <w:pPr>
              <w:jc w:val="right"/>
              <w:rPr>
                <w:sz w:val="20"/>
                <w:szCs w:val="20"/>
                <w:u w:val="single"/>
              </w:rPr>
            </w:pPr>
          </w:p>
          <w:p w14:paraId="6E4085A6" w14:textId="77777777" w:rsidR="00BE1714" w:rsidRPr="008474EF" w:rsidRDefault="00EF4DE1" w:rsidP="00BE1714">
            <w:pPr>
              <w:jc w:val="right"/>
              <w:rPr>
                <w:sz w:val="20"/>
                <w:szCs w:val="20"/>
              </w:rPr>
            </w:pPr>
            <w:r>
              <w:rPr>
                <w:sz w:val="20"/>
                <w:szCs w:val="20"/>
              </w:rPr>
              <w:t>1,246</w:t>
            </w:r>
          </w:p>
        </w:tc>
        <w:tc>
          <w:tcPr>
            <w:tcW w:w="1813" w:type="dxa"/>
          </w:tcPr>
          <w:p w14:paraId="3C54121D" w14:textId="77777777" w:rsidR="00BE1714" w:rsidRPr="008474EF" w:rsidRDefault="00BE1714" w:rsidP="00BE1714">
            <w:pPr>
              <w:jc w:val="right"/>
              <w:rPr>
                <w:sz w:val="20"/>
                <w:szCs w:val="20"/>
              </w:rPr>
            </w:pPr>
          </w:p>
          <w:p w14:paraId="0047B017" w14:textId="77777777" w:rsidR="00BE1714" w:rsidRPr="008474EF" w:rsidRDefault="00BE1714" w:rsidP="00BE1714">
            <w:pPr>
              <w:jc w:val="right"/>
              <w:rPr>
                <w:sz w:val="20"/>
                <w:szCs w:val="20"/>
              </w:rPr>
            </w:pPr>
          </w:p>
          <w:p w14:paraId="593B15C1" w14:textId="77777777" w:rsidR="00BE1714" w:rsidRPr="008474EF" w:rsidRDefault="00EF4DE1" w:rsidP="00BE1714">
            <w:pPr>
              <w:jc w:val="right"/>
              <w:rPr>
                <w:sz w:val="20"/>
                <w:szCs w:val="20"/>
              </w:rPr>
            </w:pPr>
            <w:r>
              <w:rPr>
                <w:sz w:val="20"/>
                <w:szCs w:val="20"/>
              </w:rPr>
              <w:t>1,101</w:t>
            </w:r>
          </w:p>
        </w:tc>
      </w:tr>
    </w:tbl>
    <w:p w14:paraId="08FB969D" w14:textId="77777777" w:rsidR="008474EF" w:rsidRPr="008474EF" w:rsidRDefault="008474EF" w:rsidP="008474EF"/>
    <w:p w14:paraId="36CDA7BA" w14:textId="77777777" w:rsidR="001E24FD" w:rsidRDefault="00DD7949" w:rsidP="00DD7949">
      <w:pPr>
        <w:rPr>
          <w:noProof/>
          <w:lang w:eastAsia="en-GB"/>
        </w:rPr>
      </w:pPr>
      <w:r>
        <w:rPr>
          <w:noProof/>
          <w:lang w:eastAsia="en-GB"/>
        </w:rPr>
        <w:drawing>
          <wp:inline distT="0" distB="0" distL="0" distR="0" wp14:anchorId="3FFDA949" wp14:editId="01541B82">
            <wp:extent cx="2057399" cy="1182188"/>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1">
                      <a:extLst>
                        <a:ext uri="{28A0092B-C50C-407E-A947-70E740481C1C}">
                          <a14:useLocalDpi xmlns:a14="http://schemas.microsoft.com/office/drawing/2010/main" val="0"/>
                        </a:ext>
                      </a:extLst>
                    </a:blip>
                    <a:stretch>
                      <a:fillRect/>
                    </a:stretch>
                  </pic:blipFill>
                  <pic:spPr>
                    <a:xfrm>
                      <a:off x="0" y="0"/>
                      <a:ext cx="2057399" cy="1182188"/>
                    </a:xfrm>
                    <a:prstGeom prst="rect">
                      <a:avLst/>
                    </a:prstGeom>
                  </pic:spPr>
                </pic:pic>
              </a:graphicData>
            </a:graphic>
          </wp:inline>
        </w:drawing>
      </w:r>
    </w:p>
    <w:p w14:paraId="0AA8683C" w14:textId="77777777" w:rsidR="00866B98" w:rsidRPr="00D80497" w:rsidRDefault="00866B98" w:rsidP="00866B98">
      <w:pPr>
        <w:widowControl w:val="0"/>
        <w:autoSpaceDE w:val="0"/>
        <w:autoSpaceDN w:val="0"/>
        <w:adjustRightInd w:val="0"/>
        <w:rPr>
          <w:b/>
        </w:rPr>
      </w:pPr>
      <w:r>
        <w:rPr>
          <w:b/>
        </w:rPr>
        <w:t>Dr David Russell</w:t>
      </w:r>
    </w:p>
    <w:p w14:paraId="79B37B38" w14:textId="77777777" w:rsidR="00866B98" w:rsidRPr="00D80497" w:rsidRDefault="00866B98" w:rsidP="00866B98">
      <w:pPr>
        <w:widowControl w:val="0"/>
        <w:autoSpaceDE w:val="0"/>
        <w:autoSpaceDN w:val="0"/>
        <w:adjustRightInd w:val="0"/>
        <w:rPr>
          <w:b/>
        </w:rPr>
      </w:pPr>
      <w:r w:rsidRPr="00D80497">
        <w:rPr>
          <w:b/>
        </w:rPr>
        <w:t>Accounting Officer</w:t>
      </w:r>
    </w:p>
    <w:p w14:paraId="758B00BC" w14:textId="77777777" w:rsidR="00866B98" w:rsidRPr="00D80497" w:rsidRDefault="00866B98" w:rsidP="00866B98">
      <w:pPr>
        <w:widowControl w:val="0"/>
        <w:tabs>
          <w:tab w:val="left" w:pos="2802"/>
        </w:tabs>
        <w:autoSpaceDE w:val="0"/>
        <w:autoSpaceDN w:val="0"/>
        <w:adjustRightInd w:val="0"/>
      </w:pPr>
    </w:p>
    <w:p w14:paraId="70A833FD" w14:textId="20E20621" w:rsidR="00866B98" w:rsidRDefault="00866B98" w:rsidP="00866B98">
      <w:pPr>
        <w:widowControl w:val="0"/>
        <w:tabs>
          <w:tab w:val="left" w:pos="851"/>
        </w:tabs>
        <w:autoSpaceDE w:val="0"/>
        <w:autoSpaceDN w:val="0"/>
        <w:adjustRightInd w:val="0"/>
        <w:rPr>
          <w:b/>
        </w:rPr>
      </w:pPr>
      <w:r w:rsidRPr="00D80497">
        <w:rPr>
          <w:b/>
        </w:rPr>
        <w:t xml:space="preserve">Date: </w:t>
      </w:r>
      <w:r w:rsidR="0049664F">
        <w:rPr>
          <w:b/>
        </w:rPr>
        <w:t>10 October</w:t>
      </w:r>
      <w:r w:rsidR="00953497">
        <w:rPr>
          <w:b/>
        </w:rPr>
        <w:t xml:space="preserve"> 2022</w:t>
      </w:r>
    </w:p>
    <w:p w14:paraId="7FDF6F50" w14:textId="77777777" w:rsidR="001E24FD" w:rsidRDefault="001E24FD" w:rsidP="00866B98">
      <w:pPr>
        <w:widowControl w:val="0"/>
        <w:tabs>
          <w:tab w:val="left" w:pos="851"/>
        </w:tabs>
        <w:autoSpaceDE w:val="0"/>
        <w:autoSpaceDN w:val="0"/>
        <w:adjustRightInd w:val="0"/>
        <w:rPr>
          <w:b/>
        </w:rPr>
      </w:pPr>
    </w:p>
    <w:p w14:paraId="1EE7D156" w14:textId="77777777" w:rsidR="00DC2DA5" w:rsidRPr="00DC2DA5" w:rsidRDefault="00DC2DA5" w:rsidP="00827D54">
      <w:pPr>
        <w:pStyle w:val="Heading1"/>
        <w:rPr>
          <w:rFonts w:ascii="Verdana" w:hAnsi="Verdana"/>
          <w:b w:val="0"/>
          <w:bCs w:val="0"/>
          <w:color w:val="auto"/>
        </w:rPr>
      </w:pPr>
      <w:r w:rsidRPr="00DC2DA5">
        <w:rPr>
          <w:rFonts w:ascii="Verdana" w:hAnsi="Verdana"/>
          <w:color w:val="auto"/>
        </w:rPr>
        <w:t>THE CERTIFICATE AND REPORT OF THE COMPTROLLER AND AUDITOR GENERAL TO THE HOUSES OF PARLIAMENT</w:t>
      </w:r>
    </w:p>
    <w:p w14:paraId="10F062F1" w14:textId="07C66712" w:rsidR="00DC2DA5" w:rsidRPr="008E0FF4" w:rsidRDefault="00DC2DA5" w:rsidP="00827D54">
      <w:pPr>
        <w:pStyle w:val="Heading2"/>
        <w:spacing w:before="100" w:beforeAutospacing="1" w:after="100" w:afterAutospacing="1"/>
        <w:rPr>
          <w:rFonts w:ascii="Verdana" w:hAnsi="Verdana"/>
          <w:color w:val="auto"/>
          <w:sz w:val="24"/>
          <w:szCs w:val="24"/>
        </w:rPr>
      </w:pPr>
      <w:r w:rsidRPr="008E0FF4">
        <w:rPr>
          <w:rStyle w:val="SubtleEmphasis"/>
          <w:rFonts w:ascii="Verdana" w:hAnsi="Verdana"/>
          <w:i/>
          <w:iCs/>
          <w:color w:val="auto"/>
          <w:sz w:val="24"/>
          <w:szCs w:val="24"/>
        </w:rPr>
        <w:t xml:space="preserve">Opinion on financial statements </w:t>
      </w:r>
    </w:p>
    <w:p w14:paraId="71107FA1" w14:textId="77777777" w:rsidR="00DC2DA5" w:rsidRPr="00DC2DA5" w:rsidRDefault="00DC2DA5" w:rsidP="00827D54">
      <w:pPr>
        <w:spacing w:before="100" w:beforeAutospacing="1" w:after="100" w:afterAutospacing="1"/>
      </w:pPr>
      <w:r w:rsidRPr="00DC2DA5">
        <w:t>I certify that I have audited the financial statements of the Northern Ireland Human Rights Commission for the year ended 31 March 2022 under the Northern Ireland Act 1998.</w:t>
      </w:r>
    </w:p>
    <w:p w14:paraId="20FD39A7" w14:textId="77777777" w:rsidR="00DC2DA5" w:rsidRPr="00DC2DA5" w:rsidRDefault="00DC2DA5" w:rsidP="00827D54">
      <w:pPr>
        <w:spacing w:before="100" w:beforeAutospacing="1" w:after="100" w:afterAutospacing="1"/>
      </w:pPr>
      <w:r w:rsidRPr="00DC2DA5">
        <w:t>The financial statements comprise the Northern Ireland Human Rights Commission’s</w:t>
      </w:r>
    </w:p>
    <w:p w14:paraId="2D998061" w14:textId="77777777" w:rsidR="00DC2DA5" w:rsidRPr="00DC2DA5" w:rsidRDefault="00DC2DA5" w:rsidP="00827D54">
      <w:pPr>
        <w:pStyle w:val="BodyText"/>
        <w:numPr>
          <w:ilvl w:val="0"/>
          <w:numId w:val="20"/>
        </w:numPr>
        <w:spacing w:before="100" w:beforeAutospacing="1" w:after="100" w:afterAutospacing="1"/>
      </w:pPr>
      <w:r w:rsidRPr="00DC2DA5">
        <w:t xml:space="preserve">Statement of Financial Position as at 31 March 2022;  </w:t>
      </w:r>
    </w:p>
    <w:p w14:paraId="74DED25E" w14:textId="77777777" w:rsidR="00DC2DA5" w:rsidRPr="00DC2DA5" w:rsidRDefault="00DC2DA5" w:rsidP="00827D54">
      <w:pPr>
        <w:pStyle w:val="BodyText"/>
        <w:numPr>
          <w:ilvl w:val="0"/>
          <w:numId w:val="20"/>
        </w:numPr>
        <w:spacing w:before="100" w:beforeAutospacing="1" w:after="100" w:afterAutospacing="1"/>
      </w:pPr>
      <w:r w:rsidRPr="00DC2DA5">
        <w:t xml:space="preserve">Statement of Comprehensive Net Expenditure, Statement of Cash Flows and Statement of Changes in Taxpayers’ Equity for the year then ended; and </w:t>
      </w:r>
    </w:p>
    <w:p w14:paraId="233944C7" w14:textId="77777777" w:rsidR="00DC2DA5" w:rsidRPr="00DC2DA5" w:rsidRDefault="00DC2DA5" w:rsidP="00827D54">
      <w:pPr>
        <w:pStyle w:val="BodyText"/>
        <w:numPr>
          <w:ilvl w:val="0"/>
          <w:numId w:val="20"/>
        </w:numPr>
        <w:spacing w:before="100" w:beforeAutospacing="1" w:after="100" w:afterAutospacing="1"/>
      </w:pPr>
      <w:r w:rsidRPr="00DC2DA5">
        <w:t>the related notes including the significant accounting policies.</w:t>
      </w:r>
    </w:p>
    <w:p w14:paraId="67105E08" w14:textId="46879774" w:rsidR="00DC2DA5" w:rsidRPr="00DC2DA5" w:rsidRDefault="00DC2DA5" w:rsidP="00827D54">
      <w:pPr>
        <w:pStyle w:val="BodyText"/>
        <w:spacing w:before="100" w:beforeAutospacing="1" w:after="100" w:afterAutospacing="1"/>
      </w:pPr>
      <w:r w:rsidRPr="00DC2DA5">
        <w:t xml:space="preserve">The financial reporting framework that has been applied in the preparation of the financial statements is </w:t>
      </w:r>
      <w:r w:rsidRPr="00DC2DA5">
        <w:rPr>
          <w:rFonts w:cs="Arial"/>
        </w:rPr>
        <w:t>applicable law and UK adopted</w:t>
      </w:r>
      <w:r w:rsidRPr="00DC2DA5">
        <w:t xml:space="preserve"> International Accounting Standards.  </w:t>
      </w:r>
    </w:p>
    <w:p w14:paraId="79F44DA4" w14:textId="77777777" w:rsidR="00DC2DA5" w:rsidRPr="00DC2DA5" w:rsidRDefault="00DC2DA5" w:rsidP="00827D54">
      <w:pPr>
        <w:spacing w:before="100" w:beforeAutospacing="1" w:after="100" w:afterAutospacing="1"/>
      </w:pPr>
      <w:r w:rsidRPr="00DC2DA5">
        <w:t>In my opinion, the financial statements:</w:t>
      </w:r>
    </w:p>
    <w:p w14:paraId="2C538CA2" w14:textId="77777777" w:rsidR="00DC2DA5" w:rsidRPr="00DC2DA5" w:rsidRDefault="00DC2DA5" w:rsidP="00827D54">
      <w:pPr>
        <w:numPr>
          <w:ilvl w:val="0"/>
          <w:numId w:val="19"/>
        </w:numPr>
        <w:spacing w:before="100" w:beforeAutospacing="1" w:after="100" w:afterAutospacing="1"/>
      </w:pPr>
      <w:r w:rsidRPr="00DC2DA5">
        <w:t>give a true and fair view of the state of the Northern Ireland Human Rights Commission’s affairs as at 31 March 2022 and its net operating expenditure for the year then ended; and</w:t>
      </w:r>
    </w:p>
    <w:p w14:paraId="1C46E6AA" w14:textId="77777777" w:rsidR="00DC2DA5" w:rsidRPr="00DC2DA5" w:rsidRDefault="00DC2DA5" w:rsidP="00827D54">
      <w:pPr>
        <w:numPr>
          <w:ilvl w:val="0"/>
          <w:numId w:val="19"/>
        </w:numPr>
        <w:spacing w:before="100" w:beforeAutospacing="1" w:after="100" w:afterAutospacing="1"/>
      </w:pPr>
      <w:r w:rsidRPr="00DC2DA5">
        <w:t>have been properly prepared in accordance with the Northern Ireland Act 1998 and Secretary of State directions issued thereunder.</w:t>
      </w:r>
    </w:p>
    <w:p w14:paraId="4A5104FE" w14:textId="36818DDB" w:rsidR="00DC2DA5" w:rsidRPr="00632319" w:rsidRDefault="00DC2DA5" w:rsidP="00632319">
      <w:pPr>
        <w:pStyle w:val="Heading2"/>
        <w:spacing w:before="100" w:beforeAutospacing="1" w:after="100" w:afterAutospacing="1"/>
        <w:rPr>
          <w:rFonts w:ascii="Verdana" w:hAnsi="Verdana"/>
          <w:b w:val="0"/>
          <w:bCs w:val="0"/>
          <w:color w:val="auto"/>
          <w:sz w:val="24"/>
          <w:szCs w:val="24"/>
        </w:rPr>
      </w:pPr>
      <w:r w:rsidRPr="00DC2DA5">
        <w:rPr>
          <w:rFonts w:ascii="Verdana" w:hAnsi="Verdana"/>
          <w:color w:val="auto"/>
          <w:sz w:val="24"/>
          <w:szCs w:val="24"/>
        </w:rPr>
        <w:t>Opinion on regularity</w:t>
      </w:r>
    </w:p>
    <w:p w14:paraId="21395772" w14:textId="77777777" w:rsidR="00DC2DA5" w:rsidRPr="00DC2DA5" w:rsidRDefault="00DC2DA5" w:rsidP="00827D54">
      <w:pPr>
        <w:spacing w:before="100" w:beforeAutospacing="1" w:after="100" w:afterAutospacing="1"/>
      </w:pPr>
      <w:r w:rsidRPr="00DC2DA5">
        <w:t>In my opinion, in all material respects, the income and expenditure recorded in the financial statements have been applied to the purposes intended by Parliament and the financial transactions recorded in the financial statements conform to the authorities which govern them.</w:t>
      </w:r>
    </w:p>
    <w:p w14:paraId="38830A60" w14:textId="232BCF32" w:rsidR="00DC2DA5" w:rsidRPr="00632319" w:rsidRDefault="00DC2DA5" w:rsidP="00632319">
      <w:pPr>
        <w:pStyle w:val="Heading2"/>
        <w:spacing w:before="100" w:beforeAutospacing="1" w:after="100" w:afterAutospacing="1"/>
        <w:rPr>
          <w:rFonts w:ascii="Verdana" w:hAnsi="Verdana"/>
          <w:b w:val="0"/>
          <w:bCs w:val="0"/>
          <w:color w:val="auto"/>
          <w:sz w:val="24"/>
          <w:szCs w:val="24"/>
        </w:rPr>
      </w:pPr>
      <w:r w:rsidRPr="00DC2DA5">
        <w:rPr>
          <w:rFonts w:ascii="Verdana" w:hAnsi="Verdana"/>
          <w:color w:val="auto"/>
          <w:sz w:val="24"/>
          <w:szCs w:val="24"/>
        </w:rPr>
        <w:t>Basis for opinions</w:t>
      </w:r>
    </w:p>
    <w:p w14:paraId="1631D820" w14:textId="77777777" w:rsidR="00DC2DA5" w:rsidRPr="00DC2DA5" w:rsidRDefault="00DC2DA5" w:rsidP="00827D54">
      <w:pPr>
        <w:spacing w:before="100" w:beforeAutospacing="1" w:after="100" w:afterAutospacing="1"/>
      </w:pPr>
      <w:bookmarkStart w:id="17" w:name="_Hlk535919225"/>
      <w:r w:rsidRPr="00DC2DA5">
        <w:t xml:space="preserve">I conducted my audit in accordance with International Standards on Auditing (UK) (ISAs UK), applicable law and Practice Note 10 </w:t>
      </w:r>
      <w:r w:rsidRPr="00DC2DA5">
        <w:rPr>
          <w:i/>
          <w:iCs/>
        </w:rPr>
        <w:t>Audit of Financial Statements and regularity of Public Sector Entities in the United Kingdom</w:t>
      </w:r>
      <w:r w:rsidRPr="00DC2DA5">
        <w:t xml:space="preserve">. My responsibilities under those standards are further described in the </w:t>
      </w:r>
      <w:r w:rsidRPr="00DC2DA5">
        <w:rPr>
          <w:i/>
          <w:iCs/>
        </w:rPr>
        <w:t>Auditor’s responsibilities for the audit of the financial statements</w:t>
      </w:r>
      <w:r w:rsidRPr="00DC2DA5">
        <w:t xml:space="preserve"> section of my certificate.</w:t>
      </w:r>
    </w:p>
    <w:p w14:paraId="113CEF89" w14:textId="77777777" w:rsidR="00DC2DA5" w:rsidRPr="00DC2DA5" w:rsidRDefault="00DC2DA5" w:rsidP="00827D54">
      <w:pPr>
        <w:spacing w:before="100" w:beforeAutospacing="1" w:after="100" w:afterAutospacing="1"/>
      </w:pPr>
      <w:r w:rsidRPr="00DC2DA5">
        <w:t xml:space="preserve">Those standards require me and my staff to comply with the Financial Reporting Council’s </w:t>
      </w:r>
      <w:r w:rsidRPr="00DC2DA5">
        <w:rPr>
          <w:i/>
          <w:iCs/>
        </w:rPr>
        <w:t>Revised Ethical Standard 2019</w:t>
      </w:r>
      <w:r w:rsidRPr="00DC2DA5">
        <w:t xml:space="preserve">. I have also elected to apply the ethical standards relevant to listed entities. I am independent of the Northern Ireland Human Rights Commission in accordance with the ethical requirements that are relevant to my audit of the financial statements in the UK. My staff and I have fulfilled our other ethical responsibilities in accordance with these requirements. </w:t>
      </w:r>
    </w:p>
    <w:p w14:paraId="69BE1F2D" w14:textId="77777777" w:rsidR="00DC2DA5" w:rsidRPr="00DC2DA5" w:rsidRDefault="00DC2DA5" w:rsidP="00827D54">
      <w:pPr>
        <w:spacing w:before="100" w:beforeAutospacing="1" w:after="100" w:afterAutospacing="1"/>
      </w:pPr>
      <w:r w:rsidRPr="00DC2DA5">
        <w:t>I believe that the audit evidence I have obtained is sufficient and appropriate to provide a basis for my opinion.</w:t>
      </w:r>
    </w:p>
    <w:p w14:paraId="62BCBAA0" w14:textId="62B87353" w:rsidR="00DC2DA5" w:rsidRPr="00632319" w:rsidRDefault="00DC2DA5" w:rsidP="00632319">
      <w:pPr>
        <w:pStyle w:val="Heading2"/>
        <w:spacing w:before="100" w:beforeAutospacing="1" w:after="100" w:afterAutospacing="1"/>
        <w:rPr>
          <w:rFonts w:ascii="Verdana" w:hAnsi="Verdana"/>
          <w:b w:val="0"/>
          <w:color w:val="auto"/>
          <w:sz w:val="24"/>
          <w:szCs w:val="24"/>
        </w:rPr>
      </w:pPr>
      <w:r w:rsidRPr="00DC2DA5">
        <w:rPr>
          <w:rFonts w:ascii="Verdana" w:hAnsi="Verdana"/>
          <w:color w:val="auto"/>
          <w:sz w:val="24"/>
          <w:szCs w:val="24"/>
        </w:rPr>
        <w:t xml:space="preserve">Conclusions relating to going concern </w:t>
      </w:r>
    </w:p>
    <w:p w14:paraId="7D5088A7" w14:textId="77777777" w:rsidR="00DC2DA5" w:rsidRPr="00DC2DA5" w:rsidRDefault="00DC2DA5" w:rsidP="00827D54">
      <w:pPr>
        <w:pStyle w:val="BodyText"/>
        <w:spacing w:before="100" w:beforeAutospacing="1" w:after="100" w:afterAutospacing="1"/>
      </w:pPr>
      <w:r w:rsidRPr="00DC2DA5">
        <w:t xml:space="preserve">In auditing the financial statements, I have concluded that the Northern Ireland Human Right Commission’s use of the going concern basis of accounting in the preparation of the financial statements is appropriate. </w:t>
      </w:r>
    </w:p>
    <w:p w14:paraId="15976A87" w14:textId="77777777" w:rsidR="00DC2DA5" w:rsidRPr="00DC2DA5" w:rsidRDefault="00DC2DA5" w:rsidP="00827D54">
      <w:pPr>
        <w:pStyle w:val="BodyText"/>
        <w:spacing w:before="100" w:beforeAutospacing="1" w:after="100" w:afterAutospacing="1"/>
      </w:pPr>
      <w:r w:rsidRPr="00DC2DA5">
        <w:t xml:space="preserve">Based on the work I have performed, I have not identified any material uncertainties relating to events or conditions that, individually or collectively, may cast significant doubt on the Northern Ireland Human Rights Commission’s ability to continue as a going concern for a period of at least twelve months from when the financial statements are authorised for issue. </w:t>
      </w:r>
    </w:p>
    <w:p w14:paraId="6CDE7A42" w14:textId="77777777" w:rsidR="00DC2DA5" w:rsidRPr="00DC2DA5" w:rsidRDefault="00DC2DA5" w:rsidP="00827D54">
      <w:pPr>
        <w:pStyle w:val="BodyText"/>
        <w:spacing w:before="100" w:beforeAutospacing="1" w:after="100" w:afterAutospacing="1"/>
      </w:pPr>
      <w:r w:rsidRPr="00DC2DA5">
        <w:t>My responsibilities and the responsibilities of the Accounting Officer</w:t>
      </w:r>
      <w:r w:rsidRPr="00DC2DA5">
        <w:rPr>
          <w:b/>
          <w:bCs/>
        </w:rPr>
        <w:t xml:space="preserve"> </w:t>
      </w:r>
      <w:r w:rsidRPr="00DC2DA5">
        <w:t>with respect to going concern are described in the relevant sections of this certificate.</w:t>
      </w:r>
    </w:p>
    <w:p w14:paraId="2E051F2D" w14:textId="77777777" w:rsidR="00DC2DA5" w:rsidRPr="00DC2DA5" w:rsidRDefault="00DC2DA5" w:rsidP="00827D54">
      <w:pPr>
        <w:pStyle w:val="BodyText"/>
        <w:spacing w:before="100" w:beforeAutospacing="1" w:after="100" w:afterAutospacing="1"/>
        <w:rPr>
          <w:iCs/>
          <w:vertAlign w:val="superscript"/>
        </w:rPr>
      </w:pPr>
      <w:r w:rsidRPr="00DC2DA5">
        <w:t>The going concern basis of accounting for the Northern Ireland Human Rights Commission is adopted in consideration of the requirements set out in HM Treasury’s Government Financial Reporting Manual, which require entities to adopt the going concern basis of accounting in the preparation of the financial statements where it anticipated that the services which they provide will continue into the future.</w:t>
      </w:r>
    </w:p>
    <w:p w14:paraId="64CD108E" w14:textId="592D1FE7" w:rsidR="00DC2DA5" w:rsidRPr="00632319" w:rsidRDefault="00DC2DA5" w:rsidP="00632319">
      <w:pPr>
        <w:pStyle w:val="Heading2"/>
        <w:spacing w:before="100" w:beforeAutospacing="1" w:after="100" w:afterAutospacing="1"/>
        <w:rPr>
          <w:rFonts w:ascii="Verdana" w:hAnsi="Verdana"/>
          <w:b w:val="0"/>
          <w:color w:val="auto"/>
          <w:sz w:val="24"/>
          <w:szCs w:val="24"/>
        </w:rPr>
      </w:pPr>
      <w:r w:rsidRPr="00DC2DA5">
        <w:rPr>
          <w:rFonts w:ascii="Verdana" w:hAnsi="Verdana"/>
          <w:color w:val="auto"/>
          <w:sz w:val="24"/>
          <w:szCs w:val="24"/>
        </w:rPr>
        <w:t>Other Information</w:t>
      </w:r>
    </w:p>
    <w:bookmarkEnd w:id="17"/>
    <w:p w14:paraId="2A010C40" w14:textId="0FAABF9D" w:rsidR="00DC2DA5" w:rsidRPr="00DC2DA5" w:rsidRDefault="00DC2DA5" w:rsidP="00827D54">
      <w:pPr>
        <w:pStyle w:val="BodyText"/>
        <w:spacing w:before="100" w:beforeAutospacing="1" w:after="100" w:afterAutospacing="1"/>
      </w:pPr>
      <w:r w:rsidRPr="00DC2DA5">
        <w:t>The other information comprises information included in the Annual Report but does not include the financial statements nor my auditor’s certificate. The Accounting Officer is responsible for the other information.</w:t>
      </w:r>
    </w:p>
    <w:p w14:paraId="053FC5FA" w14:textId="77777777" w:rsidR="00DC2DA5" w:rsidRPr="00DC2DA5" w:rsidRDefault="00DC2DA5" w:rsidP="00827D54">
      <w:pPr>
        <w:pStyle w:val="BodyText"/>
        <w:spacing w:before="100" w:beforeAutospacing="1" w:after="100" w:afterAutospacing="1"/>
      </w:pPr>
      <w:r w:rsidRPr="00DC2DA5">
        <w:t xml:space="preserve">My opinion on the financial statements does not cover the other information and, except to the extent otherwise explicitly stated in my certificate, I do not express any form of assurance conclusion thereon. </w:t>
      </w:r>
    </w:p>
    <w:p w14:paraId="7A9AA94F" w14:textId="77777777" w:rsidR="00DC2DA5" w:rsidRPr="00DC2DA5" w:rsidRDefault="00DC2DA5" w:rsidP="00827D54">
      <w:pPr>
        <w:pStyle w:val="BodyText"/>
        <w:spacing w:before="100" w:beforeAutospacing="1" w:after="100" w:afterAutospacing="1"/>
      </w:pPr>
      <w:r w:rsidRPr="00DC2DA5">
        <w:t xml:space="preserve">In connection with my audit of the financial statements, my responsibility is to read the other information and, in doing so, consider whether the other information is materially inconsistent with the financial statements or my knowledge obtained in the audit or otherwise appears to be materially misstated. </w:t>
      </w:r>
    </w:p>
    <w:p w14:paraId="1A5E4352" w14:textId="77777777" w:rsidR="00DC2DA5" w:rsidRPr="00DC2DA5" w:rsidRDefault="00DC2DA5" w:rsidP="00827D54">
      <w:pPr>
        <w:pStyle w:val="BodyText"/>
        <w:spacing w:before="100" w:beforeAutospacing="1" w:after="100" w:afterAutospacing="1"/>
      </w:pPr>
      <w:r w:rsidRPr="00DC2DA5">
        <w:t xml:space="preserve">If I identify such material inconsistencies or apparent material misstatements, I am required to determine whether this gives rise to a material misstatement in the financial statements themselves. If, based on the work I have performed, I conclude that there is a material misstatement of this other information, I am required to report that fact. </w:t>
      </w:r>
    </w:p>
    <w:p w14:paraId="2D4971F0" w14:textId="77777777" w:rsidR="00DC2DA5" w:rsidRPr="00DC2DA5" w:rsidRDefault="00DC2DA5" w:rsidP="00827D54">
      <w:pPr>
        <w:pStyle w:val="BodyText"/>
        <w:spacing w:before="100" w:beforeAutospacing="1" w:after="100" w:afterAutospacing="1"/>
      </w:pPr>
      <w:r w:rsidRPr="00DC2DA5">
        <w:t>I have nothing to report in this regard</w:t>
      </w:r>
    </w:p>
    <w:p w14:paraId="4F45B6F7" w14:textId="430158E9" w:rsidR="00DC2DA5" w:rsidRPr="00632319" w:rsidRDefault="00DC2DA5" w:rsidP="00632319">
      <w:pPr>
        <w:pStyle w:val="Heading2"/>
        <w:spacing w:before="100" w:beforeAutospacing="1" w:after="100" w:afterAutospacing="1"/>
        <w:rPr>
          <w:rFonts w:ascii="Verdana" w:hAnsi="Verdana"/>
          <w:b w:val="0"/>
          <w:color w:val="auto"/>
          <w:sz w:val="24"/>
          <w:szCs w:val="24"/>
        </w:rPr>
      </w:pPr>
      <w:r w:rsidRPr="00DC2DA5">
        <w:rPr>
          <w:rFonts w:ascii="Verdana" w:hAnsi="Verdana"/>
          <w:color w:val="auto"/>
          <w:sz w:val="24"/>
          <w:szCs w:val="24"/>
        </w:rPr>
        <w:t>Opinion on other matters</w:t>
      </w:r>
    </w:p>
    <w:p w14:paraId="4089114D" w14:textId="77777777" w:rsidR="00DC2DA5" w:rsidRPr="00DC2DA5" w:rsidRDefault="00DC2DA5" w:rsidP="00827D54">
      <w:pPr>
        <w:spacing w:before="100" w:beforeAutospacing="1" w:after="100" w:afterAutospacing="1"/>
      </w:pPr>
      <w:r w:rsidRPr="00DC2DA5">
        <w:t xml:space="preserve">In my opinion the part of the Remuneration and Staff Report to be audited has been properly prepared in accordance with Secretary of State </w:t>
      </w:r>
      <w:r w:rsidRPr="00DC2DA5">
        <w:rPr>
          <w:rFonts w:cs="Arial"/>
        </w:rPr>
        <w:t xml:space="preserve">directions issued under the Northern Ireland Act 1998: </w:t>
      </w:r>
      <w:r w:rsidRPr="00DC2DA5">
        <w:rPr>
          <w:highlight w:val="lightGray"/>
        </w:rPr>
        <w:t xml:space="preserve"> </w:t>
      </w:r>
    </w:p>
    <w:p w14:paraId="65697C34" w14:textId="77777777" w:rsidR="00DC2DA5" w:rsidRPr="00DC2DA5" w:rsidRDefault="00DC2DA5" w:rsidP="00827D54">
      <w:pPr>
        <w:spacing w:before="100" w:beforeAutospacing="1" w:after="100" w:afterAutospacing="1"/>
      </w:pPr>
      <w:r w:rsidRPr="00DC2DA5">
        <w:t>In my opinion, based on the work undertaken in the course of the audit:</w:t>
      </w:r>
    </w:p>
    <w:p w14:paraId="1ACED0CD" w14:textId="77777777" w:rsidR="00DC2DA5" w:rsidRPr="00DC2DA5" w:rsidRDefault="00DC2DA5" w:rsidP="00827D54">
      <w:pPr>
        <w:pStyle w:val="BodyText"/>
        <w:numPr>
          <w:ilvl w:val="0"/>
          <w:numId w:val="21"/>
        </w:numPr>
        <w:spacing w:before="100" w:beforeAutospacing="1" w:after="100" w:afterAutospacing="1"/>
      </w:pPr>
      <w:r w:rsidRPr="00DC2DA5">
        <w:t>the parts of the Accountability Report subject to audit</w:t>
      </w:r>
      <w:r w:rsidRPr="00DC2DA5">
        <w:rPr>
          <w:rStyle w:val="FootnoteReference"/>
        </w:rPr>
        <w:t xml:space="preserve"> </w:t>
      </w:r>
      <w:r w:rsidRPr="00DC2DA5">
        <w:t xml:space="preserve">have been properly prepared in accordance with Secretary of State directions made under the Northern Ireland Act 1998; and </w:t>
      </w:r>
    </w:p>
    <w:p w14:paraId="5AD567E7" w14:textId="6EF1D00C" w:rsidR="00DC2DA5" w:rsidRPr="00DC2DA5" w:rsidRDefault="00DC2DA5" w:rsidP="00827D54">
      <w:pPr>
        <w:pStyle w:val="BodyText"/>
        <w:numPr>
          <w:ilvl w:val="0"/>
          <w:numId w:val="21"/>
        </w:numPr>
        <w:spacing w:before="100" w:beforeAutospacing="1" w:after="100" w:afterAutospacing="1"/>
      </w:pPr>
      <w:r w:rsidRPr="00DC2DA5">
        <w:rPr>
          <w:rFonts w:cs="Arial"/>
        </w:rPr>
        <w:t xml:space="preserve">the information given in the Performance and Accountability Reports for the financial year for which the financial statements are prepared is consistent with the financial statements and is in accordance with the applicable legal requirements. </w:t>
      </w:r>
    </w:p>
    <w:p w14:paraId="3DF5E64C" w14:textId="25BCCA92" w:rsidR="00DC2DA5" w:rsidRPr="00632319" w:rsidRDefault="00DC2DA5" w:rsidP="00632319">
      <w:pPr>
        <w:pStyle w:val="Heading2"/>
        <w:spacing w:before="100" w:beforeAutospacing="1" w:after="100" w:afterAutospacing="1"/>
        <w:rPr>
          <w:rFonts w:ascii="Verdana" w:hAnsi="Verdana"/>
          <w:b w:val="0"/>
          <w:color w:val="auto"/>
          <w:sz w:val="24"/>
          <w:szCs w:val="24"/>
        </w:rPr>
      </w:pPr>
      <w:r w:rsidRPr="00DC2DA5">
        <w:rPr>
          <w:rFonts w:ascii="Verdana" w:hAnsi="Verdana"/>
          <w:color w:val="auto"/>
          <w:sz w:val="24"/>
          <w:szCs w:val="24"/>
        </w:rPr>
        <w:t>Matters on which I report by exception</w:t>
      </w:r>
    </w:p>
    <w:p w14:paraId="1D90C216" w14:textId="77777777" w:rsidR="00DC2DA5" w:rsidRPr="00DC2DA5" w:rsidRDefault="00DC2DA5" w:rsidP="00827D54">
      <w:pPr>
        <w:pStyle w:val="BodyText"/>
        <w:spacing w:before="100" w:beforeAutospacing="1" w:after="100" w:afterAutospacing="1"/>
        <w:rPr>
          <w:highlight w:val="lightGray"/>
        </w:rPr>
      </w:pPr>
      <w:r w:rsidRPr="00DC2DA5">
        <w:t>In the light of the knowledge and understanding of the Northern Ireland Human Rights Commission and its environment obtained in the course of the audit, I have not identified material misstatements in the Performance and Accountability Report.</w:t>
      </w:r>
    </w:p>
    <w:p w14:paraId="55727C9D" w14:textId="77777777" w:rsidR="00DC2DA5" w:rsidRPr="00DC2DA5" w:rsidRDefault="00DC2DA5" w:rsidP="00827D54">
      <w:pPr>
        <w:pStyle w:val="BodyText"/>
        <w:spacing w:before="100" w:beforeAutospacing="1" w:after="100" w:afterAutospacing="1"/>
      </w:pPr>
      <w:r w:rsidRPr="00DC2DA5">
        <w:t>I have nothing to report in respect of the following matters which I report to you if, in my opinion:</w:t>
      </w:r>
    </w:p>
    <w:p w14:paraId="24237CD6" w14:textId="77777777" w:rsidR="00DC2DA5" w:rsidRPr="00DC2DA5" w:rsidRDefault="00DC2DA5" w:rsidP="00827D54">
      <w:pPr>
        <w:pStyle w:val="BodyText"/>
        <w:numPr>
          <w:ilvl w:val="0"/>
          <w:numId w:val="22"/>
        </w:numPr>
        <w:spacing w:before="100" w:beforeAutospacing="1" w:after="100" w:afterAutospacing="1"/>
      </w:pPr>
      <w:r w:rsidRPr="00DC2DA5">
        <w:t>I have not received all of the information and explanations I require for my audit; or</w:t>
      </w:r>
    </w:p>
    <w:p w14:paraId="0078E381" w14:textId="77777777" w:rsidR="00DC2DA5" w:rsidRPr="00DC2DA5" w:rsidRDefault="00DC2DA5" w:rsidP="00827D54">
      <w:pPr>
        <w:pStyle w:val="BodyText"/>
        <w:numPr>
          <w:ilvl w:val="0"/>
          <w:numId w:val="22"/>
        </w:numPr>
        <w:spacing w:before="100" w:beforeAutospacing="1" w:after="100" w:afterAutospacing="1"/>
      </w:pPr>
      <w:r w:rsidRPr="00DC2DA5">
        <w:t>adequate accounting records have not been kept by the Northern Ireland Human Rights Commission or returns adequate for my audit have not been received from branches not visited by my staff; or</w:t>
      </w:r>
    </w:p>
    <w:p w14:paraId="38BC8376" w14:textId="77777777" w:rsidR="00DC2DA5" w:rsidRPr="00DC2DA5" w:rsidRDefault="00DC2DA5" w:rsidP="00827D54">
      <w:pPr>
        <w:pStyle w:val="BodyText"/>
        <w:numPr>
          <w:ilvl w:val="0"/>
          <w:numId w:val="22"/>
        </w:numPr>
        <w:spacing w:before="100" w:beforeAutospacing="1" w:after="100" w:afterAutospacing="1"/>
      </w:pPr>
      <w:r w:rsidRPr="00DC2DA5">
        <w:t>the financial statements and the parts of the Accountability Report subject to audit are not in agreement with the accounting records and returns; or</w:t>
      </w:r>
    </w:p>
    <w:p w14:paraId="330C172B" w14:textId="77777777" w:rsidR="00DC2DA5" w:rsidRPr="00DC2DA5" w:rsidRDefault="00DC2DA5" w:rsidP="00827D54">
      <w:pPr>
        <w:pStyle w:val="BodyText"/>
        <w:numPr>
          <w:ilvl w:val="0"/>
          <w:numId w:val="22"/>
        </w:numPr>
        <w:spacing w:before="100" w:beforeAutospacing="1" w:after="100" w:afterAutospacing="1"/>
      </w:pPr>
      <w:r w:rsidRPr="00DC2DA5">
        <w:rPr>
          <w:rFonts w:cs="Arial"/>
        </w:rPr>
        <w:t>certain disclosures of remuneration specified by HM Treasury’s Government Financial Reporting Manual have not been made or parts of the Remuneration and Staff Report to be audited are not in agreement with the accounting records and returns; or</w:t>
      </w:r>
    </w:p>
    <w:p w14:paraId="7529B7A9" w14:textId="540F4D64" w:rsidR="00DC2DA5" w:rsidRPr="00632319" w:rsidRDefault="00DC2DA5" w:rsidP="00827D54">
      <w:pPr>
        <w:pStyle w:val="BodyText"/>
        <w:numPr>
          <w:ilvl w:val="0"/>
          <w:numId w:val="23"/>
        </w:numPr>
        <w:spacing w:before="100" w:beforeAutospacing="1" w:after="100" w:afterAutospacing="1"/>
      </w:pPr>
      <w:r w:rsidRPr="00DC2DA5">
        <w:t>the Governance Statement does not reflect compliance with HM Treasury’s guidance.</w:t>
      </w:r>
    </w:p>
    <w:p w14:paraId="7C180B7F" w14:textId="6A18E51E" w:rsidR="00DC2DA5" w:rsidRPr="00632319" w:rsidRDefault="00DC2DA5" w:rsidP="00632319">
      <w:pPr>
        <w:pStyle w:val="Heading2"/>
        <w:spacing w:before="100" w:beforeAutospacing="1" w:after="100" w:afterAutospacing="1"/>
        <w:rPr>
          <w:rFonts w:ascii="Verdana" w:hAnsi="Verdana"/>
          <w:b w:val="0"/>
          <w:bCs w:val="0"/>
          <w:color w:val="auto"/>
          <w:sz w:val="24"/>
          <w:szCs w:val="24"/>
        </w:rPr>
      </w:pPr>
      <w:r w:rsidRPr="00DC2DA5">
        <w:rPr>
          <w:rFonts w:ascii="Verdana" w:hAnsi="Verdana"/>
          <w:color w:val="auto"/>
          <w:sz w:val="24"/>
          <w:szCs w:val="24"/>
        </w:rPr>
        <w:t>Responsibilities of the Accounting Officer for the financial statements</w:t>
      </w:r>
    </w:p>
    <w:p w14:paraId="417E0790" w14:textId="77777777" w:rsidR="00DC2DA5" w:rsidRPr="00DC2DA5" w:rsidRDefault="00DC2DA5" w:rsidP="00827D54">
      <w:pPr>
        <w:pStyle w:val="BodyText"/>
        <w:spacing w:before="100" w:beforeAutospacing="1" w:after="100" w:afterAutospacing="1"/>
      </w:pPr>
      <w:r w:rsidRPr="00DC2DA5">
        <w:t xml:space="preserve">As explained more fully in the Statement of Accounting Officer’s Responsibilities, the Accounting Officer is responsible for:  </w:t>
      </w:r>
    </w:p>
    <w:p w14:paraId="1AF5060B" w14:textId="77777777" w:rsidR="00DC2DA5" w:rsidRPr="00DC2DA5" w:rsidRDefault="00DC2DA5" w:rsidP="00827D54">
      <w:pPr>
        <w:pStyle w:val="BodyText"/>
        <w:numPr>
          <w:ilvl w:val="0"/>
          <w:numId w:val="24"/>
        </w:numPr>
        <w:spacing w:before="100" w:beforeAutospacing="1" w:after="100" w:afterAutospacing="1"/>
      </w:pPr>
      <w:r w:rsidRPr="00DC2DA5">
        <w:t xml:space="preserve">maintaining proper accounting records; </w:t>
      </w:r>
    </w:p>
    <w:p w14:paraId="44F58899" w14:textId="77777777" w:rsidR="00DC2DA5" w:rsidRPr="00DC2DA5" w:rsidRDefault="00DC2DA5" w:rsidP="00827D54">
      <w:pPr>
        <w:numPr>
          <w:ilvl w:val="0"/>
          <w:numId w:val="24"/>
        </w:numPr>
        <w:spacing w:before="100" w:beforeAutospacing="1" w:after="100" w:afterAutospacing="1"/>
      </w:pPr>
      <w:r w:rsidRPr="00DC2DA5">
        <w:t xml:space="preserve">the preparation of the financial statements and Annual Report in accordance with the applicable financial reporting framework and for being satisfied that they give a true and fair view; </w:t>
      </w:r>
    </w:p>
    <w:p w14:paraId="1A861CB1" w14:textId="77777777" w:rsidR="00DC2DA5" w:rsidRPr="00DC2DA5" w:rsidRDefault="00DC2DA5" w:rsidP="00827D54">
      <w:pPr>
        <w:numPr>
          <w:ilvl w:val="0"/>
          <w:numId w:val="24"/>
        </w:numPr>
        <w:spacing w:before="100" w:beforeAutospacing="1" w:after="100" w:afterAutospacing="1"/>
      </w:pPr>
      <w:r w:rsidRPr="00DC2DA5">
        <w:t xml:space="preserve">ensuring that the Annual Report and accounts as a whole is fair, balanced and understandable; </w:t>
      </w:r>
    </w:p>
    <w:p w14:paraId="2607743D" w14:textId="77777777" w:rsidR="00DC2DA5" w:rsidRPr="00DC2DA5" w:rsidRDefault="00DC2DA5" w:rsidP="00827D54">
      <w:pPr>
        <w:numPr>
          <w:ilvl w:val="0"/>
          <w:numId w:val="24"/>
        </w:numPr>
        <w:spacing w:before="100" w:beforeAutospacing="1" w:after="100" w:afterAutospacing="1"/>
      </w:pPr>
      <w:r w:rsidRPr="00DC2DA5">
        <w:t xml:space="preserve">internal controls as the Accounting Officer determines is necessary to enable the preparation of financial statement to be free from material misstatement, whether due to fraud or error; and </w:t>
      </w:r>
    </w:p>
    <w:p w14:paraId="1D563605" w14:textId="74A920B3" w:rsidR="00DC2DA5" w:rsidRPr="00DC2DA5" w:rsidRDefault="00DC2DA5" w:rsidP="00827D54">
      <w:pPr>
        <w:numPr>
          <w:ilvl w:val="0"/>
          <w:numId w:val="24"/>
        </w:numPr>
        <w:spacing w:before="100" w:beforeAutospacing="1" w:after="100" w:afterAutospacing="1"/>
        <w:ind w:left="1134"/>
      </w:pPr>
      <w:r w:rsidRPr="00DC2DA5">
        <w:t>assessing the Northern Ireland Human Rights Commission’s ability to continue as a going concern, disclosing, as applicable, matters related to going concern and using the going concern basis of accounting unless the Accounting Officer anticipates that the services provided by the Northern Ireland Human Rights Commission will not continue to be provided in the future</w:t>
      </w:r>
    </w:p>
    <w:p w14:paraId="69F3D560" w14:textId="17585B68" w:rsidR="00DC2DA5" w:rsidRPr="00632319" w:rsidRDefault="00DC2DA5" w:rsidP="00632319">
      <w:pPr>
        <w:pStyle w:val="Heading2"/>
        <w:spacing w:before="100" w:beforeAutospacing="1" w:after="100" w:afterAutospacing="1"/>
        <w:rPr>
          <w:rFonts w:ascii="Verdana" w:hAnsi="Verdana"/>
          <w:b w:val="0"/>
          <w:color w:val="auto"/>
          <w:sz w:val="24"/>
          <w:szCs w:val="24"/>
        </w:rPr>
      </w:pPr>
      <w:r w:rsidRPr="00DC2DA5">
        <w:rPr>
          <w:rFonts w:ascii="Verdana" w:hAnsi="Verdana"/>
          <w:color w:val="auto"/>
          <w:sz w:val="24"/>
          <w:szCs w:val="24"/>
        </w:rPr>
        <w:t>Auditor’s responsibilities for the audit of the financial statements</w:t>
      </w:r>
    </w:p>
    <w:p w14:paraId="4A4DC32E" w14:textId="77777777" w:rsidR="00DC2DA5" w:rsidRPr="00DC2DA5" w:rsidRDefault="00DC2DA5" w:rsidP="00827D54">
      <w:pPr>
        <w:pStyle w:val="BodyText"/>
        <w:spacing w:before="100" w:beforeAutospacing="1" w:after="100" w:afterAutospacing="1"/>
      </w:pPr>
      <w:r w:rsidRPr="00DC2DA5">
        <w:t>My responsibility is to audit, certify and report on the financial statements in accordance with the Northern Ireland Act 1998.</w:t>
      </w:r>
    </w:p>
    <w:p w14:paraId="2445867E" w14:textId="77777777" w:rsidR="00DC2DA5" w:rsidRPr="00DC2DA5" w:rsidRDefault="00DC2DA5" w:rsidP="00827D54">
      <w:pPr>
        <w:pStyle w:val="BodyText"/>
        <w:spacing w:before="100" w:beforeAutospacing="1" w:after="100" w:afterAutospacing="1"/>
      </w:pPr>
      <w:r w:rsidRPr="00DC2DA5">
        <w:t>My objectives are to obtain reasonable assurance about whether the financial statements as a whole are free from material misstatement, whether due to fraud or error, and to issue a certificate that includes my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1BE9EBD7" w14:textId="77777777" w:rsidR="00632319" w:rsidRDefault="00632319" w:rsidP="00827D54">
      <w:pPr>
        <w:pStyle w:val="Subtitle"/>
        <w:spacing w:before="100" w:beforeAutospacing="1" w:after="100" w:afterAutospacing="1"/>
        <w:rPr>
          <w:rFonts w:ascii="Verdana" w:eastAsia="Times New Roman" w:hAnsi="Verdana" w:cs="Arial"/>
          <w:b/>
          <w:bCs/>
          <w:color w:val="auto"/>
          <w:spacing w:val="0"/>
          <w:sz w:val="24"/>
          <w:szCs w:val="24"/>
        </w:rPr>
      </w:pPr>
    </w:p>
    <w:p w14:paraId="1A454DE4" w14:textId="33B7594F" w:rsidR="00DC2DA5" w:rsidRPr="00E37132" w:rsidRDefault="00DC2DA5" w:rsidP="00827D54">
      <w:pPr>
        <w:pStyle w:val="Subtitle"/>
        <w:spacing w:before="100" w:beforeAutospacing="1" w:after="100" w:afterAutospacing="1"/>
        <w:rPr>
          <w:rFonts w:ascii="Verdana" w:hAnsi="Verdana"/>
          <w:color w:val="auto"/>
          <w:sz w:val="24"/>
          <w:szCs w:val="24"/>
          <w:u w:val="single"/>
        </w:rPr>
      </w:pPr>
      <w:r w:rsidRPr="00E37132">
        <w:rPr>
          <w:rFonts w:ascii="Verdana" w:eastAsia="Times New Roman" w:hAnsi="Verdana" w:cs="Arial"/>
          <w:color w:val="auto"/>
          <w:spacing w:val="0"/>
          <w:sz w:val="24"/>
          <w:szCs w:val="24"/>
          <w:u w:val="single"/>
        </w:rPr>
        <w:t>Extent to which the audit was considered capable of detecting non-compliance with laws and regulations including fraud</w:t>
      </w:r>
    </w:p>
    <w:p w14:paraId="30AB5699" w14:textId="78095D29" w:rsidR="00DC2DA5" w:rsidRPr="00DC2DA5" w:rsidRDefault="00DC2DA5" w:rsidP="00827D54">
      <w:pPr>
        <w:pStyle w:val="BodyText"/>
        <w:spacing w:before="100" w:beforeAutospacing="1" w:after="100" w:afterAutospacing="1"/>
        <w:rPr>
          <w:rFonts w:cs="Arial"/>
        </w:rPr>
      </w:pPr>
      <w:r w:rsidRPr="00DC2DA5">
        <w:rPr>
          <w:rFonts w:cs="Arial"/>
        </w:rPr>
        <w:t>I design procedures in line with my responsibilities, outlined above, to detect material misstatements in respect of non-compliance with laws and regulations, including fraud. The extent to which my procedures are capable of detecting non-compliance with laws and regulations, including fraud is detailed below.</w:t>
      </w:r>
    </w:p>
    <w:p w14:paraId="382608B8" w14:textId="77777777" w:rsidR="00DC2DA5" w:rsidRPr="00E37132" w:rsidRDefault="00DC2DA5" w:rsidP="00827D54">
      <w:pPr>
        <w:pStyle w:val="Subtitle"/>
        <w:spacing w:before="100" w:beforeAutospacing="1" w:after="100" w:afterAutospacing="1"/>
        <w:rPr>
          <w:rFonts w:ascii="Verdana" w:eastAsia="Times New Roman" w:hAnsi="Verdana" w:cs="Arial"/>
          <w:color w:val="auto"/>
          <w:spacing w:val="0"/>
          <w:sz w:val="24"/>
          <w:szCs w:val="24"/>
          <w:u w:val="single"/>
        </w:rPr>
      </w:pPr>
      <w:r w:rsidRPr="00E37132">
        <w:rPr>
          <w:rFonts w:ascii="Verdana" w:eastAsia="Times New Roman" w:hAnsi="Verdana" w:cs="Arial"/>
          <w:color w:val="auto"/>
          <w:spacing w:val="0"/>
          <w:sz w:val="24"/>
          <w:szCs w:val="24"/>
          <w:u w:val="single"/>
        </w:rPr>
        <w:t xml:space="preserve">Identifying and assessing potential risks related to non-compliance with laws and regulations, including fraud </w:t>
      </w:r>
    </w:p>
    <w:p w14:paraId="26294C38" w14:textId="77777777" w:rsidR="00DC2DA5" w:rsidRPr="00DC2DA5" w:rsidRDefault="00DC2DA5" w:rsidP="00827D54">
      <w:pPr>
        <w:pStyle w:val="BodyText"/>
        <w:spacing w:before="100" w:beforeAutospacing="1" w:after="100" w:afterAutospacing="1"/>
        <w:rPr>
          <w:rFonts w:cs="Arial"/>
        </w:rPr>
      </w:pPr>
      <w:r w:rsidRPr="00DC2DA5">
        <w:rPr>
          <w:rFonts w:cs="Arial"/>
        </w:rPr>
        <w:t>In identifying and assessing risks of material misstatement in respect of non-compliance with laws and regulations, including fraud, we considered the following:</w:t>
      </w:r>
    </w:p>
    <w:p w14:paraId="195DBDDD" w14:textId="33EA486B" w:rsidR="00DC2DA5" w:rsidRPr="00DC2DA5" w:rsidRDefault="00DC2DA5" w:rsidP="00827D54">
      <w:pPr>
        <w:pStyle w:val="BodyText"/>
        <w:numPr>
          <w:ilvl w:val="0"/>
          <w:numId w:val="26"/>
        </w:numPr>
        <w:spacing w:before="100" w:beforeAutospacing="1" w:after="100" w:afterAutospacing="1"/>
        <w:rPr>
          <w:rFonts w:cs="Arial"/>
        </w:rPr>
      </w:pPr>
      <w:r w:rsidRPr="00DC2DA5">
        <w:rPr>
          <w:rFonts w:cs="Arial"/>
        </w:rPr>
        <w:t>the nature of the sector, control environment and operational performance including the design of the Northern Ireland Human Rights Commission’s accounting policies.</w:t>
      </w:r>
      <w:r w:rsidRPr="00DC2DA5">
        <w:rPr>
          <w:rFonts w:cs="Arial"/>
          <w:highlight w:val="lightGray"/>
        </w:rPr>
        <w:t xml:space="preserve">  </w:t>
      </w:r>
    </w:p>
    <w:p w14:paraId="3C497FA2" w14:textId="77777777" w:rsidR="00DC2DA5" w:rsidRPr="00DC2DA5" w:rsidRDefault="00DC2DA5" w:rsidP="00827D54">
      <w:pPr>
        <w:pStyle w:val="BodyText"/>
        <w:numPr>
          <w:ilvl w:val="0"/>
          <w:numId w:val="26"/>
        </w:numPr>
        <w:spacing w:before="100" w:beforeAutospacing="1" w:after="100" w:afterAutospacing="1"/>
        <w:rPr>
          <w:rFonts w:cs="Arial"/>
        </w:rPr>
      </w:pPr>
      <w:r w:rsidRPr="00DC2DA5">
        <w:rPr>
          <w:rFonts w:cs="Arial"/>
        </w:rPr>
        <w:t xml:space="preserve">Inquiring of management, </w:t>
      </w:r>
      <w:r w:rsidRPr="00DC2DA5">
        <w:t>Northern Ireland Human Rights Commission</w:t>
      </w:r>
      <w:r w:rsidRPr="00DC2DA5">
        <w:rPr>
          <w:rFonts w:cs="Arial"/>
        </w:rPr>
        <w:t xml:space="preserve">’s head of internal audit and those charged with governance, including obtaining and reviewing supporting documentation relating to the </w:t>
      </w:r>
      <w:r w:rsidRPr="00DC2DA5">
        <w:t>Northern Ireland Human Rights Commission</w:t>
      </w:r>
      <w:r w:rsidRPr="00DC2DA5">
        <w:rPr>
          <w:rFonts w:cs="Arial"/>
        </w:rPr>
        <w:t xml:space="preserve">’s policies and procedures relating to: </w:t>
      </w:r>
    </w:p>
    <w:p w14:paraId="6AB2341A" w14:textId="77777777" w:rsidR="00DC2DA5" w:rsidRPr="00DC2DA5" w:rsidRDefault="00DC2DA5" w:rsidP="00827D54">
      <w:pPr>
        <w:pStyle w:val="BodyText"/>
        <w:numPr>
          <w:ilvl w:val="1"/>
          <w:numId w:val="26"/>
        </w:numPr>
        <w:spacing w:before="100" w:beforeAutospacing="1" w:after="100" w:afterAutospacing="1"/>
        <w:rPr>
          <w:rFonts w:cs="Arial"/>
        </w:rPr>
      </w:pPr>
      <w:r w:rsidRPr="00DC2DA5">
        <w:rPr>
          <w:rFonts w:cs="Arial"/>
        </w:rPr>
        <w:t>identifying, evaluating and complying with laws and regulations and whether they were aware of any instances of non-compliance;</w:t>
      </w:r>
    </w:p>
    <w:p w14:paraId="5185C9DF" w14:textId="77777777" w:rsidR="00DC2DA5" w:rsidRPr="00DC2DA5" w:rsidRDefault="00DC2DA5" w:rsidP="00827D54">
      <w:pPr>
        <w:pStyle w:val="BodyText"/>
        <w:numPr>
          <w:ilvl w:val="1"/>
          <w:numId w:val="26"/>
        </w:numPr>
        <w:spacing w:before="100" w:beforeAutospacing="1" w:after="100" w:afterAutospacing="1"/>
        <w:rPr>
          <w:rFonts w:cs="Arial"/>
        </w:rPr>
      </w:pPr>
      <w:r w:rsidRPr="00DC2DA5">
        <w:rPr>
          <w:rFonts w:cs="Arial"/>
        </w:rPr>
        <w:t>detecting and responding to the risks of fraud and whether they have knowledge of any actual, suspected or alleged fraud; and</w:t>
      </w:r>
    </w:p>
    <w:p w14:paraId="149E5697" w14:textId="77777777" w:rsidR="00DC2DA5" w:rsidRPr="00DC2DA5" w:rsidRDefault="00DC2DA5" w:rsidP="00827D54">
      <w:pPr>
        <w:pStyle w:val="BodyText"/>
        <w:numPr>
          <w:ilvl w:val="1"/>
          <w:numId w:val="26"/>
        </w:numPr>
        <w:spacing w:before="100" w:beforeAutospacing="1" w:after="100" w:afterAutospacing="1"/>
        <w:rPr>
          <w:rFonts w:cs="Arial"/>
        </w:rPr>
      </w:pPr>
      <w:r w:rsidRPr="00DC2DA5">
        <w:rPr>
          <w:rFonts w:cs="Arial"/>
        </w:rPr>
        <w:t xml:space="preserve">the internal controls established to mitigate risks related to fraud or non-compliance with laws and regulations including the </w:t>
      </w:r>
      <w:r w:rsidRPr="00DC2DA5">
        <w:t>Northern Ireland Act 1998</w:t>
      </w:r>
      <w:r w:rsidRPr="00DC2DA5">
        <w:rPr>
          <w:rFonts w:cs="Arial"/>
        </w:rPr>
        <w:t xml:space="preserve"> and Managing Public Money;</w:t>
      </w:r>
    </w:p>
    <w:p w14:paraId="196CABE2" w14:textId="77777777" w:rsidR="00DC2DA5" w:rsidRPr="00DC2DA5" w:rsidRDefault="00DC2DA5" w:rsidP="00827D54">
      <w:pPr>
        <w:pStyle w:val="BodyText"/>
        <w:numPr>
          <w:ilvl w:val="0"/>
          <w:numId w:val="27"/>
        </w:numPr>
        <w:spacing w:before="100" w:beforeAutospacing="1" w:after="100" w:afterAutospacing="1"/>
        <w:rPr>
          <w:rFonts w:cs="Arial"/>
        </w:rPr>
      </w:pPr>
      <w:r w:rsidRPr="00DC2DA5">
        <w:rPr>
          <w:rFonts w:cs="Arial"/>
        </w:rPr>
        <w:t xml:space="preserve">discussing among the engagement team how and where fraud might occur in the financial statements and any potential indicators of fraud. </w:t>
      </w:r>
    </w:p>
    <w:p w14:paraId="790ACC73" w14:textId="77777777" w:rsidR="00DC2DA5" w:rsidRPr="00DC2DA5" w:rsidRDefault="00DC2DA5" w:rsidP="00827D54">
      <w:pPr>
        <w:pStyle w:val="BodyText"/>
        <w:spacing w:before="100" w:beforeAutospacing="1" w:after="100" w:afterAutospacing="1"/>
        <w:rPr>
          <w:rFonts w:cs="Arial"/>
        </w:rPr>
      </w:pPr>
      <w:r w:rsidRPr="00DC2DA5">
        <w:rPr>
          <w:rFonts w:cs="Arial"/>
        </w:rPr>
        <w:t>As a result of these procedures, I considered the opportunities and incentives that may exist within the Northern Ireland Human Rights Commission for fraud and identified the greatest potential for fraud in the following areas: posting of unusual journals, complex transactions, bias in management estimates. In common with all audits under ISAs (UK), I am also required to perform specific procedures to respond to the risk of management override of controls.</w:t>
      </w:r>
    </w:p>
    <w:p w14:paraId="2454548E" w14:textId="1A47E7BB" w:rsidR="00DC2DA5" w:rsidRPr="00DC2DA5" w:rsidRDefault="00DC2DA5" w:rsidP="00827D54">
      <w:pPr>
        <w:pStyle w:val="BodyText"/>
        <w:spacing w:before="100" w:beforeAutospacing="1" w:after="100" w:afterAutospacing="1"/>
        <w:rPr>
          <w:rFonts w:cs="Arial"/>
        </w:rPr>
      </w:pPr>
      <w:r w:rsidRPr="00DC2DA5">
        <w:rPr>
          <w:rFonts w:cs="Arial"/>
        </w:rPr>
        <w:t xml:space="preserve">I also obtained an understanding of the Northern Ireland Human Rights Commission’s framework of authority as well as other legal and regulatory frameworks in which the Northern Ireland Human Rights Commission operates, focusing on those laws and regulations that had a direct effect on material amounts and disclosures in the financial statements or that had a fundamental effect on the operations of the Northern Ireland Human Rights Commission. The key laws and regulations I considered in this context included </w:t>
      </w:r>
      <w:r w:rsidRPr="00DC2DA5">
        <w:t>Northern Ireland Act 1998,</w:t>
      </w:r>
      <w:r w:rsidRPr="00DC2DA5">
        <w:rPr>
          <w:rFonts w:cs="Arial"/>
        </w:rPr>
        <w:t>Managing Public Money, employment law and tax Legislation.</w:t>
      </w:r>
    </w:p>
    <w:p w14:paraId="523C99A9" w14:textId="77777777" w:rsidR="00DC2DA5" w:rsidRPr="00E37132" w:rsidRDefault="00DC2DA5" w:rsidP="00827D54">
      <w:pPr>
        <w:pStyle w:val="Subtitle"/>
        <w:spacing w:before="100" w:beforeAutospacing="1" w:after="100" w:afterAutospacing="1"/>
        <w:rPr>
          <w:rFonts w:ascii="Verdana" w:eastAsia="Times New Roman" w:hAnsi="Verdana" w:cs="Arial"/>
          <w:color w:val="auto"/>
          <w:spacing w:val="0"/>
          <w:sz w:val="24"/>
          <w:szCs w:val="24"/>
          <w:u w:val="single"/>
        </w:rPr>
      </w:pPr>
      <w:r w:rsidRPr="00E37132">
        <w:rPr>
          <w:rFonts w:ascii="Verdana" w:eastAsia="Times New Roman" w:hAnsi="Verdana" w:cs="Arial"/>
          <w:color w:val="auto"/>
          <w:spacing w:val="0"/>
          <w:sz w:val="24"/>
          <w:szCs w:val="24"/>
          <w:u w:val="single"/>
        </w:rPr>
        <w:t xml:space="preserve">Audit response to identified risk </w:t>
      </w:r>
    </w:p>
    <w:p w14:paraId="79DFCC92" w14:textId="77777777" w:rsidR="00DC2DA5" w:rsidRPr="00DC2DA5" w:rsidRDefault="00DC2DA5" w:rsidP="00827D54">
      <w:pPr>
        <w:spacing w:before="100" w:beforeAutospacing="1" w:after="100" w:afterAutospacing="1"/>
        <w:rPr>
          <w:rFonts w:cs="Arial"/>
        </w:rPr>
      </w:pPr>
      <w:r w:rsidRPr="00DC2DA5">
        <w:rPr>
          <w:rFonts w:cs="Arial"/>
        </w:rPr>
        <w:t xml:space="preserve">As a result of performing the above, the procedures I implemented to respond to identified risks included the following: </w:t>
      </w:r>
    </w:p>
    <w:p w14:paraId="19B7F7A0" w14:textId="77777777" w:rsidR="00DC2DA5" w:rsidRPr="00DC2DA5" w:rsidRDefault="00DC2DA5" w:rsidP="00827D54">
      <w:pPr>
        <w:pStyle w:val="BodyText"/>
        <w:numPr>
          <w:ilvl w:val="0"/>
          <w:numId w:val="25"/>
        </w:numPr>
        <w:spacing w:before="100" w:beforeAutospacing="1" w:after="100" w:afterAutospacing="1"/>
        <w:rPr>
          <w:rFonts w:cs="Arial"/>
        </w:rPr>
      </w:pPr>
      <w:r w:rsidRPr="00DC2DA5">
        <w:rPr>
          <w:rFonts w:cs="Arial"/>
        </w:rPr>
        <w:t>reviewing the financial statement disclosures and testing to supporting documentation to assess compliance with provisions of relevant laws and regulations described above as having direct effect on the financial statements;</w:t>
      </w:r>
    </w:p>
    <w:p w14:paraId="41A36EE5" w14:textId="77777777" w:rsidR="00DC2DA5" w:rsidRPr="00DC2DA5" w:rsidRDefault="00DC2DA5" w:rsidP="00827D54">
      <w:pPr>
        <w:pStyle w:val="BodyText"/>
        <w:numPr>
          <w:ilvl w:val="0"/>
          <w:numId w:val="25"/>
        </w:numPr>
        <w:spacing w:before="100" w:beforeAutospacing="1" w:after="100" w:afterAutospacing="1"/>
        <w:rPr>
          <w:rFonts w:cs="Arial"/>
        </w:rPr>
      </w:pPr>
      <w:r w:rsidRPr="00DC2DA5">
        <w:rPr>
          <w:rFonts w:cs="Arial"/>
        </w:rPr>
        <w:t xml:space="preserve">enquiring of management, the Audit and Risk Committee and in-house legal counsel concerning actual and potential litigation and claims; </w:t>
      </w:r>
    </w:p>
    <w:p w14:paraId="35E222C1" w14:textId="77777777" w:rsidR="00DC2DA5" w:rsidRPr="00DC2DA5" w:rsidRDefault="00DC2DA5" w:rsidP="00827D54">
      <w:pPr>
        <w:pStyle w:val="BodyText"/>
        <w:numPr>
          <w:ilvl w:val="0"/>
          <w:numId w:val="25"/>
        </w:numPr>
        <w:spacing w:before="100" w:beforeAutospacing="1" w:after="100" w:afterAutospacing="1"/>
        <w:rPr>
          <w:rFonts w:cs="Arial"/>
        </w:rPr>
      </w:pPr>
      <w:r w:rsidRPr="00DC2DA5">
        <w:rPr>
          <w:rFonts w:cs="Arial"/>
        </w:rPr>
        <w:t>reading and reviewing minutes of meetings of those charged with governance and the Commission and internal audit reports; and</w:t>
      </w:r>
    </w:p>
    <w:p w14:paraId="3F5C1E9B" w14:textId="559AB22C" w:rsidR="00DC2DA5" w:rsidRDefault="00DC2DA5" w:rsidP="00827D54">
      <w:pPr>
        <w:pStyle w:val="BodyText"/>
        <w:numPr>
          <w:ilvl w:val="0"/>
          <w:numId w:val="25"/>
        </w:numPr>
        <w:spacing w:before="100" w:beforeAutospacing="1" w:after="100" w:afterAutospacing="1"/>
        <w:rPr>
          <w:rFonts w:cs="Arial"/>
        </w:rPr>
      </w:pPr>
      <w:r w:rsidRPr="00DC2DA5">
        <w:rPr>
          <w:rFonts w:cs="Arial"/>
        </w:rPr>
        <w:t>in addressing the risk of fraud through management override of controls, testing the appropriateness of journal entries and other adjustments; assessing whether the judgements made in making accounting estimates are indicative of a potential bias; and evaluating the business rationale of any significant transactions that are unusual or outside the normal course of business.</w:t>
      </w:r>
    </w:p>
    <w:p w14:paraId="2AB22724" w14:textId="369D39CA" w:rsidR="005A53F8" w:rsidRPr="005A53F8" w:rsidRDefault="005A53F8" w:rsidP="005A53F8">
      <w:pPr>
        <w:pStyle w:val="BodyText"/>
        <w:numPr>
          <w:ilvl w:val="0"/>
          <w:numId w:val="25"/>
        </w:numPr>
      </w:pPr>
      <w:r>
        <w:t xml:space="preserve">We also communicated relevant identified laws and regulations and potential fraud risks to all engagement team members including internal specialists and significant component audit teams and remained alert to any indicators of fraud or non-compliance with laws and regulations throughout the audit. </w:t>
      </w:r>
    </w:p>
    <w:p w14:paraId="72D9556B" w14:textId="77777777" w:rsidR="00DC2DA5" w:rsidRPr="00DC2DA5" w:rsidRDefault="00DC2DA5" w:rsidP="00827D54">
      <w:pPr>
        <w:pStyle w:val="BodyText"/>
        <w:spacing w:before="100" w:beforeAutospacing="1" w:after="100" w:afterAutospacing="1"/>
        <w:rPr>
          <w:rFonts w:cs="Arial"/>
          <w:b/>
          <w:bCs/>
        </w:rPr>
      </w:pPr>
      <w:r w:rsidRPr="00DC2DA5">
        <w:t xml:space="preserve">A further description of my responsibilities for the audit of the financial statements is located on the Financial Reporting Council’s website at: </w:t>
      </w:r>
      <w:hyperlink r:id="rId27" w:history="1">
        <w:r w:rsidRPr="00DC2DA5">
          <w:rPr>
            <w:rStyle w:val="Hyperlink"/>
            <w:rFonts w:cs="Arial"/>
            <w:color w:val="auto"/>
          </w:rPr>
          <w:t>www.frc.org.uk/auditorsresponsibilities</w:t>
        </w:r>
      </w:hyperlink>
      <w:r w:rsidRPr="00DC2DA5">
        <w:t xml:space="preserve">. This description forms part of my certificate. </w:t>
      </w:r>
    </w:p>
    <w:p w14:paraId="16AED7B8" w14:textId="77777777" w:rsidR="00DC2DA5" w:rsidRPr="00E37132" w:rsidRDefault="00DC2DA5" w:rsidP="00827D54">
      <w:pPr>
        <w:pStyle w:val="Subtitle"/>
        <w:spacing w:before="100" w:beforeAutospacing="1" w:after="100" w:afterAutospacing="1"/>
        <w:rPr>
          <w:rFonts w:ascii="Verdana" w:eastAsia="Times New Roman" w:hAnsi="Verdana" w:cs="Arial"/>
          <w:color w:val="auto"/>
          <w:spacing w:val="0"/>
          <w:sz w:val="24"/>
          <w:szCs w:val="24"/>
          <w:u w:val="single"/>
        </w:rPr>
      </w:pPr>
      <w:r w:rsidRPr="00E37132">
        <w:rPr>
          <w:rFonts w:ascii="Verdana" w:eastAsia="Times New Roman" w:hAnsi="Verdana" w:cs="Arial"/>
          <w:color w:val="auto"/>
          <w:spacing w:val="0"/>
          <w:sz w:val="24"/>
          <w:szCs w:val="24"/>
          <w:u w:val="single"/>
        </w:rPr>
        <w:t>Other auditor’s responsibilities</w:t>
      </w:r>
    </w:p>
    <w:p w14:paraId="4C966C69" w14:textId="77777777" w:rsidR="00DC2DA5" w:rsidRPr="00DC2DA5" w:rsidRDefault="00DC2DA5" w:rsidP="00827D54">
      <w:pPr>
        <w:pStyle w:val="BodyText"/>
        <w:spacing w:before="100" w:beforeAutospacing="1" w:after="100" w:afterAutospacing="1"/>
      </w:pPr>
      <w:r w:rsidRPr="00DC2DA5">
        <w:t>I am required to obtain evidence sufficient to give reasonable assurance that the income and expenditure reported in the financial statements have been applied to the purposes intended by Parliament and the financial transactions conform to the authorities which govern them.</w:t>
      </w:r>
    </w:p>
    <w:p w14:paraId="74A3B812" w14:textId="5391B1E5" w:rsidR="00DC2DA5" w:rsidRPr="00632319" w:rsidRDefault="00DC2DA5" w:rsidP="00632319">
      <w:pPr>
        <w:pStyle w:val="BodyText"/>
        <w:spacing w:before="100" w:beforeAutospacing="1" w:after="100" w:afterAutospacing="1"/>
      </w:pPr>
      <w:r w:rsidRPr="00DC2DA5">
        <w:t xml:space="preserve">I communicate with those charged with governance regarding, among other matters, the planned scope and timing of the audit and significant audit findings, including any significant deficiencies in internal control that I identify during my audit. </w:t>
      </w:r>
    </w:p>
    <w:p w14:paraId="007E4342" w14:textId="0DD818A9" w:rsidR="00DC2DA5" w:rsidRPr="00632319" w:rsidRDefault="00DC2DA5" w:rsidP="00827D54">
      <w:pPr>
        <w:pStyle w:val="Heading2"/>
        <w:spacing w:before="100" w:beforeAutospacing="1" w:after="100" w:afterAutospacing="1"/>
        <w:rPr>
          <w:rFonts w:ascii="Verdana" w:hAnsi="Verdana"/>
          <w:b w:val="0"/>
          <w:bCs w:val="0"/>
          <w:color w:val="auto"/>
          <w:sz w:val="24"/>
          <w:szCs w:val="24"/>
        </w:rPr>
      </w:pPr>
      <w:r w:rsidRPr="00DC2DA5">
        <w:rPr>
          <w:rFonts w:ascii="Verdana" w:hAnsi="Verdana"/>
          <w:color w:val="auto"/>
          <w:sz w:val="24"/>
          <w:szCs w:val="24"/>
        </w:rPr>
        <w:t xml:space="preserve">Report  </w:t>
      </w:r>
    </w:p>
    <w:p w14:paraId="652E401D" w14:textId="1D0E3EAD" w:rsidR="00DC2DA5" w:rsidRPr="00632319" w:rsidRDefault="00DC2DA5" w:rsidP="00632319">
      <w:pPr>
        <w:spacing w:before="100" w:beforeAutospacing="1" w:after="100" w:afterAutospacing="1"/>
      </w:pPr>
      <w:r w:rsidRPr="00822CD0">
        <w:t>I have no observations to make on these financial statements.</w:t>
      </w:r>
    </w:p>
    <w:p w14:paraId="3A5E7B41" w14:textId="77777777" w:rsidR="00DC2DA5" w:rsidRPr="00822CD0" w:rsidRDefault="00DC2DA5" w:rsidP="00DC2DA5"/>
    <w:p w14:paraId="55AB3F2F" w14:textId="53A3D0C2" w:rsidR="00DC2DA5" w:rsidRPr="00822CD0" w:rsidRDefault="00DC2DA5" w:rsidP="00DC2DA5">
      <w:pPr>
        <w:rPr>
          <w:b/>
        </w:rPr>
      </w:pPr>
      <w:r w:rsidRPr="00822CD0">
        <w:rPr>
          <w:b/>
        </w:rPr>
        <w:t>Gareth Davies</w:t>
      </w:r>
      <w:r w:rsidRPr="00822CD0">
        <w:rPr>
          <w:b/>
        </w:rPr>
        <w:tab/>
      </w:r>
      <w:r w:rsidRPr="00822CD0">
        <w:rPr>
          <w:b/>
        </w:rPr>
        <w:tab/>
      </w:r>
      <w:r w:rsidRPr="00822CD0">
        <w:rPr>
          <w:b/>
        </w:rPr>
        <w:tab/>
      </w:r>
      <w:r w:rsidRPr="00822CD0">
        <w:rPr>
          <w:b/>
        </w:rPr>
        <w:tab/>
      </w:r>
      <w:r w:rsidRPr="00822CD0">
        <w:rPr>
          <w:b/>
        </w:rPr>
        <w:tab/>
      </w:r>
      <w:r w:rsidRPr="00822CD0">
        <w:rPr>
          <w:b/>
        </w:rPr>
        <w:tab/>
        <w:t>Date</w:t>
      </w:r>
      <w:r w:rsidR="004A60FF">
        <w:rPr>
          <w:b/>
        </w:rPr>
        <w:t xml:space="preserve"> </w:t>
      </w:r>
      <w:r w:rsidR="00671DA5">
        <w:rPr>
          <w:b/>
        </w:rPr>
        <w:t>10 October 2022</w:t>
      </w:r>
    </w:p>
    <w:p w14:paraId="25A3CE5C" w14:textId="77777777" w:rsidR="00DC2DA5" w:rsidRPr="00822CD0" w:rsidRDefault="00DC2DA5" w:rsidP="00DC2DA5">
      <w:pPr>
        <w:rPr>
          <w:b/>
        </w:rPr>
      </w:pPr>
      <w:r w:rsidRPr="00822CD0">
        <w:rPr>
          <w:b/>
        </w:rPr>
        <w:t>Comptroller and Auditor General</w:t>
      </w:r>
    </w:p>
    <w:p w14:paraId="1830628F" w14:textId="77777777" w:rsidR="00DC2DA5" w:rsidRPr="00822CD0" w:rsidRDefault="00DC2DA5" w:rsidP="00DC2DA5"/>
    <w:p w14:paraId="1341D833" w14:textId="77777777" w:rsidR="00DC2DA5" w:rsidRPr="00822CD0" w:rsidRDefault="00DC2DA5" w:rsidP="00DC2DA5">
      <w:r w:rsidRPr="00822CD0">
        <w:t>National Audit Office</w:t>
      </w:r>
    </w:p>
    <w:p w14:paraId="600FE49B" w14:textId="77777777" w:rsidR="00DC2DA5" w:rsidRPr="00822CD0" w:rsidRDefault="00DC2DA5" w:rsidP="00DC2DA5">
      <w:r w:rsidRPr="00822CD0">
        <w:t>157-197 Buckingham Palace Road</w:t>
      </w:r>
    </w:p>
    <w:p w14:paraId="5CC20478" w14:textId="77777777" w:rsidR="00DC2DA5" w:rsidRPr="00822CD0" w:rsidRDefault="00DC2DA5" w:rsidP="00DC2DA5">
      <w:r w:rsidRPr="00822CD0">
        <w:t>Victoria</w:t>
      </w:r>
    </w:p>
    <w:p w14:paraId="1A325A98" w14:textId="77777777" w:rsidR="00DC2DA5" w:rsidRPr="00822CD0" w:rsidRDefault="00DC2DA5" w:rsidP="00DC2DA5">
      <w:r w:rsidRPr="00822CD0">
        <w:t>London</w:t>
      </w:r>
    </w:p>
    <w:p w14:paraId="18CA3B62" w14:textId="77777777" w:rsidR="00DC2DA5" w:rsidRPr="00822CD0" w:rsidRDefault="00DC2DA5" w:rsidP="00DC2DA5">
      <w:r w:rsidRPr="00822CD0">
        <w:t>SW1W 9SP</w:t>
      </w:r>
    </w:p>
    <w:p w14:paraId="2154E0FD" w14:textId="77777777" w:rsidR="00DC2DA5" w:rsidRPr="00822CD0" w:rsidRDefault="00DC2DA5" w:rsidP="00DC2DA5">
      <w:pPr>
        <w:spacing w:after="120" w:line="276" w:lineRule="auto"/>
        <w:jc w:val="both"/>
      </w:pPr>
    </w:p>
    <w:p w14:paraId="50482133" w14:textId="77777777" w:rsidR="00DC2DA5" w:rsidRPr="00822CD0" w:rsidRDefault="00DC2DA5" w:rsidP="00DC2DA5">
      <w:pPr>
        <w:spacing w:after="120" w:line="276" w:lineRule="auto"/>
        <w:jc w:val="both"/>
      </w:pPr>
    </w:p>
    <w:p w14:paraId="7A2E92D1" w14:textId="77777777" w:rsidR="00DC2DA5" w:rsidRPr="00822CD0" w:rsidRDefault="00DC2DA5" w:rsidP="00DC2DA5">
      <w:pPr>
        <w:spacing w:after="120" w:line="276" w:lineRule="auto"/>
        <w:jc w:val="both"/>
      </w:pPr>
    </w:p>
    <w:p w14:paraId="67C34E57" w14:textId="77777777" w:rsidR="00DC2DA5" w:rsidRPr="00822CD0" w:rsidRDefault="00DC2DA5" w:rsidP="00DC2DA5">
      <w:pPr>
        <w:spacing w:after="120" w:line="276" w:lineRule="auto"/>
        <w:jc w:val="both"/>
      </w:pPr>
    </w:p>
    <w:p w14:paraId="2ED4BBD9" w14:textId="77777777" w:rsidR="000C2A54" w:rsidRDefault="000C2A54" w:rsidP="000C2A54">
      <w:pPr>
        <w:jc w:val="center"/>
        <w:rPr>
          <w:b/>
          <w:color w:val="auto"/>
          <w:sz w:val="28"/>
          <w:szCs w:val="28"/>
        </w:rPr>
        <w:sectPr w:rsidR="000C2A54" w:rsidSect="00AE0E5D">
          <w:headerReference w:type="even" r:id="rId28"/>
          <w:headerReference w:type="default" r:id="rId29"/>
          <w:footerReference w:type="even" r:id="rId30"/>
          <w:footerReference w:type="default" r:id="rId31"/>
          <w:headerReference w:type="first" r:id="rId32"/>
          <w:pgSz w:w="11907" w:h="16840" w:code="9"/>
          <w:pgMar w:top="1418" w:right="1418" w:bottom="851" w:left="1418" w:header="709" w:footer="709" w:gutter="0"/>
          <w:pgNumType w:start="5"/>
          <w:cols w:space="708"/>
          <w:docGrid w:linePitch="360"/>
        </w:sectPr>
      </w:pPr>
    </w:p>
    <w:p w14:paraId="32372D3A" w14:textId="77777777" w:rsidR="000C2A54" w:rsidRPr="001C4D92" w:rsidRDefault="000C2A54" w:rsidP="000C2A54">
      <w:pPr>
        <w:widowControl w:val="0"/>
        <w:autoSpaceDE w:val="0"/>
        <w:autoSpaceDN w:val="0"/>
        <w:adjustRightInd w:val="0"/>
        <w:ind w:left="-567" w:right="-567"/>
        <w:jc w:val="center"/>
        <w:rPr>
          <w:b/>
          <w:sz w:val="32"/>
          <w:szCs w:val="32"/>
        </w:rPr>
      </w:pPr>
      <w:r w:rsidRPr="001C4D92">
        <w:rPr>
          <w:b/>
          <w:sz w:val="32"/>
          <w:szCs w:val="32"/>
        </w:rPr>
        <w:t xml:space="preserve"> </w:t>
      </w:r>
      <w:r w:rsidR="008C73A2">
        <w:rPr>
          <w:rFonts w:cs="Arial"/>
          <w:b/>
          <w:color w:val="77328A"/>
          <w:sz w:val="30"/>
          <w:szCs w:val="30"/>
        </w:rPr>
        <w:t>Financial Statements</w:t>
      </w:r>
      <w:r w:rsidR="008D0E8C">
        <w:rPr>
          <w:rFonts w:cs="Arial"/>
          <w:b/>
          <w:color w:val="77328A"/>
          <w:sz w:val="30"/>
          <w:szCs w:val="30"/>
        </w:rPr>
        <w:t xml:space="preserve"> for the Year Ended 31 March 202</w:t>
      </w:r>
      <w:r w:rsidR="003A3109">
        <w:rPr>
          <w:rFonts w:cs="Arial"/>
          <w:b/>
          <w:color w:val="77328A"/>
          <w:sz w:val="30"/>
          <w:szCs w:val="30"/>
        </w:rPr>
        <w:t>2</w:t>
      </w:r>
    </w:p>
    <w:p w14:paraId="09CEE928" w14:textId="77777777" w:rsidR="000C2A54" w:rsidRDefault="000C2A54" w:rsidP="000C2A54">
      <w:pPr>
        <w:widowControl w:val="0"/>
        <w:autoSpaceDE w:val="0"/>
        <w:autoSpaceDN w:val="0"/>
        <w:adjustRightInd w:val="0"/>
        <w:ind w:left="-567" w:right="-567"/>
        <w:jc w:val="center"/>
      </w:pPr>
    </w:p>
    <w:p w14:paraId="61D36A43" w14:textId="77777777" w:rsidR="000C2A54" w:rsidRDefault="008C73A2" w:rsidP="000C2A54">
      <w:pPr>
        <w:widowControl w:val="0"/>
        <w:autoSpaceDE w:val="0"/>
        <w:autoSpaceDN w:val="0"/>
        <w:adjustRightInd w:val="0"/>
        <w:ind w:left="-567" w:right="-567"/>
        <w:jc w:val="center"/>
        <w:rPr>
          <w:b/>
          <w:sz w:val="28"/>
          <w:szCs w:val="28"/>
        </w:rPr>
      </w:pPr>
      <w:bookmarkStart w:id="18" w:name="StatementofComprehensiveNetExpenditure"/>
      <w:r>
        <w:rPr>
          <w:rFonts w:cs="Arial"/>
          <w:b/>
          <w:color w:val="77328A"/>
          <w:sz w:val="30"/>
          <w:szCs w:val="30"/>
        </w:rPr>
        <w:t>Statement of Comprehensive Net Expenditure for the Year End</w:t>
      </w:r>
      <w:r w:rsidR="008D0E8C">
        <w:rPr>
          <w:rFonts w:cs="Arial"/>
          <w:b/>
          <w:color w:val="77328A"/>
          <w:sz w:val="30"/>
          <w:szCs w:val="30"/>
        </w:rPr>
        <w:t>ed 31 March 202</w:t>
      </w:r>
      <w:r w:rsidR="003A3109">
        <w:rPr>
          <w:rFonts w:cs="Arial"/>
          <w:b/>
          <w:color w:val="77328A"/>
          <w:sz w:val="30"/>
          <w:szCs w:val="30"/>
        </w:rPr>
        <w:t>2</w:t>
      </w:r>
    </w:p>
    <w:bookmarkEnd w:id="18"/>
    <w:p w14:paraId="06A0782A" w14:textId="77777777" w:rsidR="000C2A54" w:rsidRPr="00AC49A1" w:rsidRDefault="000C2A54" w:rsidP="000C2A54">
      <w:pPr>
        <w:widowControl w:val="0"/>
        <w:tabs>
          <w:tab w:val="right" w:pos="7371"/>
          <w:tab w:val="right" w:pos="9071"/>
        </w:tabs>
        <w:autoSpaceDE w:val="0"/>
        <w:autoSpaceDN w:val="0"/>
        <w:adjustRightInd w:val="0"/>
        <w:rPr>
          <w:rFonts w:cs="Arial"/>
          <w:b/>
          <w:bCs/>
          <w:sz w:val="22"/>
          <w:szCs w:val="22"/>
        </w:rPr>
      </w:pPr>
    </w:p>
    <w:p w14:paraId="552EA558" w14:textId="77777777" w:rsidR="000C2A54" w:rsidRPr="003061F1" w:rsidRDefault="000C2A54" w:rsidP="000C2A54">
      <w:pPr>
        <w:widowControl w:val="0"/>
        <w:tabs>
          <w:tab w:val="right" w:pos="7371"/>
          <w:tab w:val="right" w:pos="9071"/>
        </w:tabs>
        <w:autoSpaceDE w:val="0"/>
        <w:autoSpaceDN w:val="0"/>
        <w:adjustRightInd w:val="0"/>
        <w:rPr>
          <w:rFonts w:cs="Arial"/>
          <w:b/>
          <w:bCs/>
          <w:sz w:val="20"/>
          <w:szCs w:val="20"/>
        </w:rPr>
      </w:pPr>
      <w:r w:rsidRPr="00AC49A1">
        <w:rPr>
          <w:rFonts w:cs="Arial"/>
          <w:b/>
          <w:bCs/>
          <w:sz w:val="22"/>
          <w:szCs w:val="22"/>
        </w:rPr>
        <w:tab/>
      </w:r>
      <w:r w:rsidR="003A3109">
        <w:rPr>
          <w:rFonts w:cs="Arial"/>
          <w:b/>
          <w:bCs/>
          <w:sz w:val="20"/>
          <w:szCs w:val="20"/>
        </w:rPr>
        <w:t>2021-22</w:t>
      </w:r>
      <w:r w:rsidRPr="003061F1">
        <w:rPr>
          <w:rFonts w:cs="Arial"/>
          <w:b/>
          <w:bCs/>
          <w:sz w:val="20"/>
          <w:szCs w:val="20"/>
        </w:rPr>
        <w:tab/>
      </w:r>
      <w:r w:rsidR="003A3109">
        <w:rPr>
          <w:rFonts w:cs="Arial"/>
          <w:b/>
          <w:bCs/>
          <w:sz w:val="20"/>
          <w:szCs w:val="20"/>
        </w:rPr>
        <w:t>2020-21</w:t>
      </w:r>
    </w:p>
    <w:p w14:paraId="798A02BF" w14:textId="77777777" w:rsidR="000C2A54" w:rsidRPr="003061F1" w:rsidRDefault="000C2A54" w:rsidP="000C2A54">
      <w:pPr>
        <w:widowControl w:val="0"/>
        <w:tabs>
          <w:tab w:val="center" w:pos="5580"/>
          <w:tab w:val="right" w:pos="7371"/>
          <w:tab w:val="right" w:pos="9072"/>
        </w:tabs>
        <w:autoSpaceDE w:val="0"/>
        <w:autoSpaceDN w:val="0"/>
        <w:adjustRightInd w:val="0"/>
        <w:rPr>
          <w:b/>
          <w:sz w:val="20"/>
          <w:szCs w:val="20"/>
        </w:rPr>
      </w:pPr>
      <w:r w:rsidRPr="003061F1">
        <w:rPr>
          <w:b/>
          <w:sz w:val="20"/>
          <w:szCs w:val="20"/>
        </w:rPr>
        <w:tab/>
        <w:t>Notes</w:t>
      </w:r>
      <w:r w:rsidRPr="003061F1">
        <w:rPr>
          <w:b/>
          <w:sz w:val="20"/>
          <w:szCs w:val="20"/>
        </w:rPr>
        <w:tab/>
        <w:t>£</w:t>
      </w:r>
      <w:r w:rsidRPr="003061F1">
        <w:rPr>
          <w:b/>
          <w:sz w:val="20"/>
          <w:szCs w:val="20"/>
        </w:rPr>
        <w:tab/>
        <w:t>£</w:t>
      </w:r>
    </w:p>
    <w:p w14:paraId="3E985B2A" w14:textId="77777777" w:rsidR="000C2A54" w:rsidRPr="003061F1" w:rsidRDefault="000C2A54" w:rsidP="000C2A54">
      <w:pPr>
        <w:widowControl w:val="0"/>
        <w:tabs>
          <w:tab w:val="center" w:pos="5580"/>
        </w:tabs>
        <w:autoSpaceDE w:val="0"/>
        <w:autoSpaceDN w:val="0"/>
        <w:adjustRightInd w:val="0"/>
        <w:rPr>
          <w:rFonts w:cs="Arial"/>
          <w:b/>
          <w:bCs/>
          <w:sz w:val="20"/>
          <w:szCs w:val="20"/>
        </w:rPr>
      </w:pPr>
    </w:p>
    <w:p w14:paraId="75EE24CF" w14:textId="77777777" w:rsidR="000C2A54" w:rsidRPr="003061F1" w:rsidRDefault="000C2A54" w:rsidP="000C2A54">
      <w:pPr>
        <w:widowControl w:val="0"/>
        <w:tabs>
          <w:tab w:val="center" w:pos="5580"/>
          <w:tab w:val="right" w:pos="7371"/>
          <w:tab w:val="right" w:pos="9071"/>
        </w:tabs>
        <w:autoSpaceDE w:val="0"/>
        <w:autoSpaceDN w:val="0"/>
        <w:adjustRightInd w:val="0"/>
        <w:rPr>
          <w:rFonts w:cs="Arial"/>
          <w:b/>
          <w:bCs/>
          <w:sz w:val="20"/>
          <w:szCs w:val="20"/>
        </w:rPr>
      </w:pPr>
      <w:r w:rsidRPr="003061F1">
        <w:rPr>
          <w:rFonts w:cs="Arial"/>
          <w:b/>
          <w:bCs/>
          <w:sz w:val="20"/>
          <w:szCs w:val="20"/>
        </w:rPr>
        <w:t>Expenditure</w:t>
      </w:r>
    </w:p>
    <w:p w14:paraId="4C070F23" w14:textId="77777777" w:rsidR="000C2A54" w:rsidRPr="003061F1" w:rsidRDefault="000C2A54" w:rsidP="000C2A54">
      <w:pPr>
        <w:widowControl w:val="0"/>
        <w:tabs>
          <w:tab w:val="center" w:pos="5580"/>
          <w:tab w:val="right" w:pos="7371"/>
          <w:tab w:val="left" w:pos="7695"/>
          <w:tab w:val="right" w:pos="9071"/>
        </w:tabs>
        <w:autoSpaceDE w:val="0"/>
        <w:autoSpaceDN w:val="0"/>
        <w:adjustRightInd w:val="0"/>
        <w:rPr>
          <w:rFonts w:cs="Arial"/>
          <w:sz w:val="20"/>
          <w:szCs w:val="20"/>
        </w:rPr>
      </w:pPr>
      <w:r w:rsidRPr="003061F1">
        <w:rPr>
          <w:rFonts w:cs="Arial"/>
          <w:sz w:val="20"/>
          <w:szCs w:val="20"/>
        </w:rPr>
        <w:t>Staff costs</w:t>
      </w:r>
      <w:r w:rsidRPr="003061F1">
        <w:rPr>
          <w:rFonts w:cs="Arial"/>
          <w:sz w:val="20"/>
          <w:szCs w:val="20"/>
        </w:rPr>
        <w:tab/>
      </w:r>
      <w:r w:rsidRPr="003061F1">
        <w:rPr>
          <w:rFonts w:cs="Arial"/>
          <w:b/>
          <w:bCs/>
          <w:sz w:val="20"/>
          <w:szCs w:val="20"/>
        </w:rPr>
        <w:t>3</w:t>
      </w:r>
      <w:r w:rsidR="0087285C">
        <w:rPr>
          <w:rFonts w:cs="Arial"/>
          <w:bCs/>
          <w:sz w:val="20"/>
          <w:szCs w:val="20"/>
        </w:rPr>
        <w:tab/>
      </w:r>
      <w:r w:rsidR="003A3109">
        <w:rPr>
          <w:rFonts w:cs="Arial"/>
          <w:bCs/>
          <w:sz w:val="20"/>
          <w:szCs w:val="20"/>
        </w:rPr>
        <w:t>1,573,013</w:t>
      </w:r>
      <w:r w:rsidRPr="003061F1">
        <w:rPr>
          <w:rFonts w:cs="Arial"/>
          <w:bCs/>
          <w:sz w:val="20"/>
          <w:szCs w:val="20"/>
        </w:rPr>
        <w:tab/>
      </w:r>
      <w:r w:rsidRPr="003061F1">
        <w:rPr>
          <w:rFonts w:cs="Arial"/>
          <w:bCs/>
          <w:sz w:val="20"/>
          <w:szCs w:val="20"/>
        </w:rPr>
        <w:tab/>
      </w:r>
      <w:r w:rsidR="003A3109">
        <w:rPr>
          <w:rFonts w:cs="Arial"/>
          <w:bCs/>
          <w:sz w:val="20"/>
          <w:szCs w:val="20"/>
        </w:rPr>
        <w:t>987,641</w:t>
      </w:r>
    </w:p>
    <w:p w14:paraId="45DC87F5" w14:textId="3DE90E02" w:rsidR="000C2A54" w:rsidRPr="003061F1" w:rsidRDefault="007B768A" w:rsidP="000C2A54">
      <w:pPr>
        <w:widowControl w:val="0"/>
        <w:tabs>
          <w:tab w:val="center" w:pos="5580"/>
          <w:tab w:val="right" w:pos="7371"/>
          <w:tab w:val="right" w:pos="9071"/>
        </w:tabs>
        <w:autoSpaceDE w:val="0"/>
        <w:autoSpaceDN w:val="0"/>
        <w:adjustRightInd w:val="0"/>
        <w:rPr>
          <w:rFonts w:cs="Arial"/>
          <w:sz w:val="20"/>
          <w:szCs w:val="20"/>
        </w:rPr>
      </w:pPr>
      <w:r>
        <w:rPr>
          <w:rFonts w:cs="Arial"/>
          <w:sz w:val="20"/>
          <w:szCs w:val="20"/>
        </w:rPr>
        <w:t>Other o</w:t>
      </w:r>
      <w:r w:rsidR="000C2A54" w:rsidRPr="003061F1">
        <w:rPr>
          <w:rFonts w:cs="Arial"/>
          <w:sz w:val="20"/>
          <w:szCs w:val="20"/>
        </w:rPr>
        <w:t>perating costs</w:t>
      </w:r>
      <w:r w:rsidR="000C2A54" w:rsidRPr="003061F1">
        <w:rPr>
          <w:rFonts w:cs="Arial"/>
          <w:sz w:val="20"/>
          <w:szCs w:val="20"/>
        </w:rPr>
        <w:tab/>
      </w:r>
      <w:r w:rsidR="000C2A54" w:rsidRPr="003061F1">
        <w:rPr>
          <w:rFonts w:cs="Arial"/>
          <w:b/>
          <w:bCs/>
          <w:sz w:val="20"/>
          <w:szCs w:val="20"/>
        </w:rPr>
        <w:t>4</w:t>
      </w:r>
      <w:r w:rsidR="000C2A54" w:rsidRPr="003061F1">
        <w:rPr>
          <w:rFonts w:cs="Arial"/>
          <w:bCs/>
          <w:sz w:val="20"/>
          <w:szCs w:val="20"/>
        </w:rPr>
        <w:tab/>
      </w:r>
      <w:r w:rsidR="00B55E87">
        <w:rPr>
          <w:rFonts w:cs="Arial"/>
          <w:bCs/>
          <w:sz w:val="20"/>
          <w:szCs w:val="20"/>
        </w:rPr>
        <w:t>669,319</w:t>
      </w:r>
      <w:r w:rsidR="000C2A54" w:rsidRPr="003061F1">
        <w:rPr>
          <w:rFonts w:cs="Arial"/>
          <w:bCs/>
          <w:sz w:val="20"/>
          <w:szCs w:val="20"/>
        </w:rPr>
        <w:tab/>
      </w:r>
      <w:r w:rsidR="003A3109">
        <w:rPr>
          <w:rFonts w:cs="Arial"/>
          <w:bCs/>
          <w:sz w:val="20"/>
          <w:szCs w:val="20"/>
        </w:rPr>
        <w:t>564,178</w:t>
      </w:r>
    </w:p>
    <w:p w14:paraId="38589E77" w14:textId="77777777" w:rsidR="000C2A54" w:rsidRDefault="007B768A" w:rsidP="000C2A54">
      <w:pPr>
        <w:widowControl w:val="0"/>
        <w:tabs>
          <w:tab w:val="center" w:pos="5580"/>
          <w:tab w:val="right" w:pos="7371"/>
          <w:tab w:val="right" w:pos="9071"/>
        </w:tabs>
        <w:autoSpaceDE w:val="0"/>
        <w:autoSpaceDN w:val="0"/>
        <w:adjustRightInd w:val="0"/>
        <w:rPr>
          <w:rFonts w:cs="Arial"/>
          <w:bCs/>
          <w:sz w:val="20"/>
          <w:szCs w:val="20"/>
        </w:rPr>
      </w:pPr>
      <w:r>
        <w:rPr>
          <w:rFonts w:cs="Arial"/>
          <w:sz w:val="20"/>
          <w:szCs w:val="20"/>
        </w:rPr>
        <w:t>Depreciation, amortisation and i</w:t>
      </w:r>
      <w:r w:rsidR="000C2A54" w:rsidRPr="003061F1">
        <w:rPr>
          <w:rFonts w:cs="Arial"/>
          <w:sz w:val="20"/>
          <w:szCs w:val="20"/>
        </w:rPr>
        <w:t>mpairment</w:t>
      </w:r>
      <w:r w:rsidR="000C2A54" w:rsidRPr="003061F1">
        <w:rPr>
          <w:rFonts w:cs="Arial"/>
          <w:sz w:val="20"/>
          <w:szCs w:val="20"/>
        </w:rPr>
        <w:tab/>
      </w:r>
      <w:r w:rsidR="000C2A54" w:rsidRPr="003061F1">
        <w:rPr>
          <w:rFonts w:cs="Arial"/>
          <w:b/>
          <w:bCs/>
          <w:sz w:val="20"/>
          <w:szCs w:val="20"/>
        </w:rPr>
        <w:t>4</w:t>
      </w:r>
      <w:r w:rsidR="000C2A54" w:rsidRPr="003061F1">
        <w:rPr>
          <w:rFonts w:cs="Arial"/>
          <w:bCs/>
          <w:sz w:val="20"/>
          <w:szCs w:val="20"/>
        </w:rPr>
        <w:tab/>
      </w:r>
      <w:r w:rsidR="003A3109">
        <w:rPr>
          <w:rFonts w:cs="Arial"/>
          <w:bCs/>
          <w:sz w:val="20"/>
          <w:szCs w:val="20"/>
        </w:rPr>
        <w:t>91,241</w:t>
      </w:r>
      <w:r w:rsidR="000C2A54" w:rsidRPr="003061F1">
        <w:rPr>
          <w:rFonts w:cs="Arial"/>
          <w:bCs/>
          <w:sz w:val="20"/>
          <w:szCs w:val="20"/>
        </w:rPr>
        <w:tab/>
      </w:r>
      <w:r w:rsidR="003A3109">
        <w:rPr>
          <w:rFonts w:cs="Arial"/>
          <w:bCs/>
          <w:sz w:val="20"/>
          <w:szCs w:val="20"/>
        </w:rPr>
        <w:t>81,835</w:t>
      </w:r>
    </w:p>
    <w:p w14:paraId="3AC41A9D" w14:textId="77777777" w:rsidR="00C606DC" w:rsidRPr="00C606DC" w:rsidRDefault="00737D30" w:rsidP="000C2A54">
      <w:pPr>
        <w:widowControl w:val="0"/>
        <w:tabs>
          <w:tab w:val="center" w:pos="5580"/>
          <w:tab w:val="right" w:pos="7371"/>
          <w:tab w:val="right" w:pos="9071"/>
        </w:tabs>
        <w:autoSpaceDE w:val="0"/>
        <w:autoSpaceDN w:val="0"/>
        <w:adjustRightInd w:val="0"/>
        <w:rPr>
          <w:rFonts w:cs="Arial"/>
          <w:bCs/>
          <w:sz w:val="20"/>
          <w:szCs w:val="20"/>
        </w:rPr>
      </w:pPr>
      <w:r>
        <w:rPr>
          <w:rFonts w:cs="Arial"/>
          <w:bCs/>
          <w:sz w:val="20"/>
          <w:szCs w:val="20"/>
        </w:rPr>
        <w:t>Loss on disposal of asset</w:t>
      </w:r>
      <w:r>
        <w:rPr>
          <w:rFonts w:cs="Arial"/>
          <w:bCs/>
          <w:sz w:val="20"/>
          <w:szCs w:val="20"/>
        </w:rPr>
        <w:tab/>
      </w:r>
      <w:r>
        <w:rPr>
          <w:rFonts w:cs="Arial"/>
          <w:b/>
          <w:bCs/>
          <w:sz w:val="20"/>
          <w:szCs w:val="20"/>
        </w:rPr>
        <w:t>4</w:t>
      </w:r>
      <w:r>
        <w:rPr>
          <w:rFonts w:cs="Arial"/>
          <w:b/>
          <w:bCs/>
          <w:sz w:val="20"/>
          <w:szCs w:val="20"/>
        </w:rPr>
        <w:tab/>
      </w:r>
      <w:r w:rsidR="003A3109">
        <w:rPr>
          <w:rFonts w:cs="Arial"/>
          <w:bCs/>
          <w:sz w:val="20"/>
          <w:szCs w:val="20"/>
        </w:rPr>
        <w:t>0</w:t>
      </w:r>
      <w:r w:rsidR="003A3109">
        <w:rPr>
          <w:rFonts w:cs="Arial"/>
          <w:bCs/>
          <w:sz w:val="20"/>
          <w:szCs w:val="20"/>
        </w:rPr>
        <w:tab/>
        <w:t>2,183</w:t>
      </w:r>
    </w:p>
    <w:p w14:paraId="103DDBA5"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301FFDEB" w14:textId="30CB341A" w:rsidR="000C2A54" w:rsidRPr="003061F1" w:rsidRDefault="000C2A54" w:rsidP="000C2A54">
      <w:pPr>
        <w:widowControl w:val="0"/>
        <w:tabs>
          <w:tab w:val="center" w:pos="5580"/>
          <w:tab w:val="right" w:pos="7371"/>
          <w:tab w:val="right" w:pos="9071"/>
        </w:tabs>
        <w:autoSpaceDE w:val="0"/>
        <w:autoSpaceDN w:val="0"/>
        <w:adjustRightInd w:val="0"/>
        <w:rPr>
          <w:rFonts w:cs="Arial"/>
          <w:b/>
          <w:sz w:val="20"/>
          <w:szCs w:val="20"/>
        </w:rPr>
      </w:pPr>
      <w:r w:rsidRPr="003061F1">
        <w:rPr>
          <w:rFonts w:cs="Arial"/>
          <w:b/>
          <w:bCs/>
          <w:sz w:val="20"/>
          <w:szCs w:val="20"/>
        </w:rPr>
        <w:t xml:space="preserve">Total </w:t>
      </w:r>
      <w:r w:rsidR="007B768A">
        <w:rPr>
          <w:rFonts w:cs="Arial"/>
          <w:b/>
          <w:bCs/>
          <w:sz w:val="20"/>
          <w:szCs w:val="20"/>
        </w:rPr>
        <w:t xml:space="preserve">operating </w:t>
      </w:r>
      <w:r w:rsidRPr="003061F1">
        <w:rPr>
          <w:rFonts w:cs="Arial"/>
          <w:b/>
          <w:bCs/>
          <w:sz w:val="20"/>
          <w:szCs w:val="20"/>
        </w:rPr>
        <w:t>expenditure</w:t>
      </w:r>
      <w:r w:rsidRPr="003061F1">
        <w:rPr>
          <w:rFonts w:cs="Arial"/>
          <w:b/>
          <w:bCs/>
          <w:sz w:val="20"/>
          <w:szCs w:val="20"/>
        </w:rPr>
        <w:tab/>
      </w:r>
      <w:r w:rsidRPr="003061F1">
        <w:rPr>
          <w:rFonts w:cs="Arial"/>
          <w:b/>
          <w:bCs/>
          <w:sz w:val="20"/>
          <w:szCs w:val="20"/>
        </w:rPr>
        <w:tab/>
      </w:r>
      <w:r w:rsidR="00B55E87">
        <w:rPr>
          <w:rFonts w:cs="Arial"/>
          <w:b/>
          <w:bCs/>
          <w:sz w:val="20"/>
          <w:szCs w:val="20"/>
        </w:rPr>
        <w:t>2,333,573</w:t>
      </w:r>
      <w:r w:rsidRPr="003061F1">
        <w:rPr>
          <w:rFonts w:cs="Arial"/>
          <w:b/>
          <w:bCs/>
          <w:sz w:val="20"/>
          <w:szCs w:val="20"/>
        </w:rPr>
        <w:tab/>
      </w:r>
      <w:r w:rsidR="003A3109">
        <w:rPr>
          <w:rFonts w:cs="Arial"/>
          <w:b/>
          <w:bCs/>
          <w:sz w:val="20"/>
          <w:szCs w:val="20"/>
        </w:rPr>
        <w:t>1,635,837</w:t>
      </w:r>
    </w:p>
    <w:p w14:paraId="565CE3F5"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44A201B3" w14:textId="77777777" w:rsidR="000C2A54" w:rsidRPr="003061F1" w:rsidRDefault="000C2A54" w:rsidP="000C2A54">
      <w:pPr>
        <w:widowControl w:val="0"/>
        <w:tabs>
          <w:tab w:val="center" w:pos="5580"/>
          <w:tab w:val="right" w:pos="7371"/>
          <w:tab w:val="right" w:pos="9071"/>
        </w:tabs>
        <w:autoSpaceDE w:val="0"/>
        <w:autoSpaceDN w:val="0"/>
        <w:adjustRightInd w:val="0"/>
        <w:rPr>
          <w:rFonts w:cs="Arial"/>
          <w:b/>
          <w:bCs/>
          <w:sz w:val="20"/>
          <w:szCs w:val="20"/>
          <w:highlight w:val="yellow"/>
        </w:rPr>
      </w:pPr>
    </w:p>
    <w:p w14:paraId="162805C0" w14:textId="77777777" w:rsidR="000C2A54" w:rsidRPr="003061F1" w:rsidRDefault="000C2A54" w:rsidP="000C2A54">
      <w:pPr>
        <w:widowControl w:val="0"/>
        <w:tabs>
          <w:tab w:val="center" w:pos="5580"/>
          <w:tab w:val="right" w:pos="7371"/>
          <w:tab w:val="right" w:pos="9071"/>
        </w:tabs>
        <w:autoSpaceDE w:val="0"/>
        <w:autoSpaceDN w:val="0"/>
        <w:adjustRightInd w:val="0"/>
        <w:rPr>
          <w:rFonts w:cs="Arial"/>
          <w:b/>
          <w:bCs/>
          <w:sz w:val="20"/>
          <w:szCs w:val="20"/>
        </w:rPr>
      </w:pPr>
      <w:r w:rsidRPr="003061F1">
        <w:rPr>
          <w:rFonts w:cs="Arial"/>
          <w:b/>
          <w:bCs/>
          <w:sz w:val="20"/>
          <w:szCs w:val="20"/>
        </w:rPr>
        <w:t>Income</w:t>
      </w:r>
    </w:p>
    <w:p w14:paraId="18714270" w14:textId="77777777" w:rsidR="000C2A54" w:rsidRPr="003061F1" w:rsidRDefault="000C2A54" w:rsidP="000C2A54">
      <w:pPr>
        <w:widowControl w:val="0"/>
        <w:tabs>
          <w:tab w:val="center" w:pos="5580"/>
          <w:tab w:val="right" w:pos="7371"/>
          <w:tab w:val="right" w:pos="9071"/>
        </w:tabs>
        <w:autoSpaceDE w:val="0"/>
        <w:autoSpaceDN w:val="0"/>
        <w:adjustRightInd w:val="0"/>
        <w:rPr>
          <w:rFonts w:cs="Arial"/>
          <w:sz w:val="20"/>
          <w:szCs w:val="20"/>
        </w:rPr>
      </w:pPr>
      <w:r w:rsidRPr="003061F1">
        <w:rPr>
          <w:rFonts w:cs="Arial"/>
          <w:sz w:val="20"/>
          <w:szCs w:val="20"/>
        </w:rPr>
        <w:t xml:space="preserve">Other income </w:t>
      </w:r>
      <w:r w:rsidRPr="003061F1">
        <w:rPr>
          <w:rFonts w:cs="Arial"/>
          <w:sz w:val="20"/>
          <w:szCs w:val="20"/>
        </w:rPr>
        <w:tab/>
      </w:r>
      <w:r w:rsidRPr="003061F1">
        <w:rPr>
          <w:rFonts w:cs="Arial"/>
          <w:b/>
          <w:bCs/>
          <w:sz w:val="20"/>
          <w:szCs w:val="20"/>
        </w:rPr>
        <w:t>5</w:t>
      </w:r>
      <w:r w:rsidRPr="003061F1">
        <w:rPr>
          <w:rFonts w:cs="Arial"/>
          <w:bCs/>
          <w:sz w:val="20"/>
          <w:szCs w:val="20"/>
        </w:rPr>
        <w:tab/>
      </w:r>
      <w:r w:rsidR="00737D30">
        <w:rPr>
          <w:rFonts w:cs="Arial"/>
          <w:bCs/>
          <w:sz w:val="20"/>
          <w:szCs w:val="20"/>
        </w:rPr>
        <w:t>0</w:t>
      </w:r>
      <w:r w:rsidR="003A3109">
        <w:rPr>
          <w:rFonts w:cs="Arial"/>
          <w:bCs/>
          <w:sz w:val="20"/>
          <w:szCs w:val="20"/>
        </w:rPr>
        <w:tab/>
        <w:t>0</w:t>
      </w:r>
    </w:p>
    <w:p w14:paraId="4C0E7231"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613FA1C8" w14:textId="77777777" w:rsidR="000C2A54" w:rsidRPr="003061F1" w:rsidRDefault="000C2A54" w:rsidP="000C2A54">
      <w:pPr>
        <w:widowControl w:val="0"/>
        <w:tabs>
          <w:tab w:val="center" w:pos="5580"/>
          <w:tab w:val="right" w:pos="7371"/>
          <w:tab w:val="right" w:pos="9071"/>
        </w:tabs>
        <w:autoSpaceDE w:val="0"/>
        <w:autoSpaceDN w:val="0"/>
        <w:adjustRightInd w:val="0"/>
        <w:rPr>
          <w:rFonts w:cs="Arial"/>
          <w:b/>
          <w:sz w:val="20"/>
          <w:szCs w:val="20"/>
        </w:rPr>
      </w:pPr>
      <w:r w:rsidRPr="003061F1">
        <w:rPr>
          <w:rFonts w:cs="Arial"/>
          <w:b/>
          <w:bCs/>
          <w:sz w:val="20"/>
          <w:szCs w:val="20"/>
        </w:rPr>
        <w:t xml:space="preserve">Total </w:t>
      </w:r>
      <w:r w:rsidR="007B768A">
        <w:rPr>
          <w:rFonts w:cs="Arial"/>
          <w:b/>
          <w:bCs/>
          <w:sz w:val="20"/>
          <w:szCs w:val="20"/>
        </w:rPr>
        <w:t xml:space="preserve">operating </w:t>
      </w:r>
      <w:r w:rsidRPr="003061F1">
        <w:rPr>
          <w:rFonts w:cs="Arial"/>
          <w:b/>
          <w:bCs/>
          <w:sz w:val="20"/>
          <w:szCs w:val="20"/>
        </w:rPr>
        <w:t xml:space="preserve">income </w:t>
      </w:r>
      <w:r w:rsidRPr="003061F1">
        <w:rPr>
          <w:rFonts w:cs="Arial"/>
          <w:b/>
          <w:bCs/>
          <w:sz w:val="20"/>
          <w:szCs w:val="20"/>
        </w:rPr>
        <w:tab/>
      </w:r>
      <w:r w:rsidRPr="003061F1">
        <w:rPr>
          <w:rFonts w:cs="Arial"/>
          <w:b/>
          <w:bCs/>
          <w:sz w:val="20"/>
          <w:szCs w:val="20"/>
        </w:rPr>
        <w:tab/>
      </w:r>
      <w:r w:rsidR="00737D30">
        <w:rPr>
          <w:rFonts w:cs="Arial"/>
          <w:b/>
          <w:bCs/>
          <w:sz w:val="20"/>
          <w:szCs w:val="20"/>
        </w:rPr>
        <w:t>0</w:t>
      </w:r>
      <w:r w:rsidR="003A3109">
        <w:rPr>
          <w:rFonts w:cs="Arial"/>
          <w:b/>
          <w:bCs/>
          <w:sz w:val="20"/>
          <w:szCs w:val="20"/>
        </w:rPr>
        <w:tab/>
        <w:t>0</w:t>
      </w:r>
    </w:p>
    <w:p w14:paraId="612E69A5" w14:textId="77777777" w:rsidR="000C2A54" w:rsidRPr="003061F1" w:rsidRDefault="000C2A54" w:rsidP="000C2A54">
      <w:pPr>
        <w:widowControl w:val="0"/>
        <w:tabs>
          <w:tab w:val="center" w:pos="5580"/>
          <w:tab w:val="right" w:pos="7371"/>
          <w:tab w:val="right" w:pos="9072"/>
        </w:tabs>
        <w:autoSpaceDE w:val="0"/>
        <w:autoSpaceDN w:val="0"/>
        <w:adjustRightInd w:val="0"/>
        <w:rPr>
          <w:rFonts w:cs="Arial"/>
          <w:sz w:val="20"/>
          <w:szCs w:val="20"/>
        </w:rPr>
      </w:pPr>
    </w:p>
    <w:p w14:paraId="4C97BFAC"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74A1166D" w14:textId="7E9A86F5" w:rsidR="000C2A54" w:rsidRPr="003061F1" w:rsidRDefault="00503D7F" w:rsidP="000C2A54">
      <w:pPr>
        <w:widowControl w:val="0"/>
        <w:tabs>
          <w:tab w:val="center" w:pos="5580"/>
          <w:tab w:val="right" w:pos="7371"/>
          <w:tab w:val="right" w:pos="9072"/>
        </w:tabs>
        <w:autoSpaceDE w:val="0"/>
        <w:autoSpaceDN w:val="0"/>
        <w:adjustRightInd w:val="0"/>
        <w:rPr>
          <w:b/>
          <w:sz w:val="20"/>
          <w:szCs w:val="20"/>
        </w:rPr>
      </w:pPr>
      <w:r>
        <w:rPr>
          <w:b/>
          <w:sz w:val="20"/>
          <w:szCs w:val="20"/>
        </w:rPr>
        <w:t>Net</w:t>
      </w:r>
      <w:r w:rsidR="007B768A">
        <w:rPr>
          <w:b/>
          <w:sz w:val="20"/>
          <w:szCs w:val="20"/>
        </w:rPr>
        <w:t xml:space="preserve"> operating e</w:t>
      </w:r>
      <w:r w:rsidR="000C2A54" w:rsidRPr="003061F1">
        <w:rPr>
          <w:b/>
          <w:sz w:val="20"/>
          <w:szCs w:val="20"/>
        </w:rPr>
        <w:t>xpenditure</w:t>
      </w:r>
      <w:r w:rsidR="000C2A54" w:rsidRPr="003061F1">
        <w:rPr>
          <w:b/>
          <w:sz w:val="20"/>
          <w:szCs w:val="20"/>
        </w:rPr>
        <w:tab/>
      </w:r>
      <w:r w:rsidR="000C2A54" w:rsidRPr="003061F1">
        <w:rPr>
          <w:b/>
          <w:sz w:val="20"/>
          <w:szCs w:val="20"/>
        </w:rPr>
        <w:tab/>
      </w:r>
      <w:r w:rsidR="00B55E87">
        <w:rPr>
          <w:b/>
          <w:sz w:val="20"/>
          <w:szCs w:val="20"/>
        </w:rPr>
        <w:t>2,333,573</w:t>
      </w:r>
      <w:r w:rsidR="000C2A54" w:rsidRPr="003061F1">
        <w:rPr>
          <w:b/>
          <w:sz w:val="20"/>
          <w:szCs w:val="20"/>
        </w:rPr>
        <w:tab/>
      </w:r>
      <w:r w:rsidR="003A3109">
        <w:rPr>
          <w:b/>
          <w:sz w:val="20"/>
          <w:szCs w:val="20"/>
        </w:rPr>
        <w:t>1,635,837</w:t>
      </w:r>
    </w:p>
    <w:p w14:paraId="62E657D8" w14:textId="77777777" w:rsidR="000C2A54" w:rsidRPr="00B90FC7" w:rsidRDefault="000C2A54" w:rsidP="000C2A54">
      <w:pPr>
        <w:widowControl w:val="0"/>
        <w:tabs>
          <w:tab w:val="center" w:pos="5580"/>
          <w:tab w:val="right" w:pos="7371"/>
          <w:tab w:val="right" w:pos="9072"/>
        </w:tabs>
        <w:autoSpaceDE w:val="0"/>
        <w:autoSpaceDN w:val="0"/>
        <w:adjustRightInd w:val="0"/>
        <w:rPr>
          <w:rFonts w:cs="Arial"/>
          <w:b/>
          <w:bCs/>
          <w:sz w:val="22"/>
          <w:szCs w:val="22"/>
        </w:rPr>
      </w:pPr>
      <w:r w:rsidRPr="003061F1">
        <w:rPr>
          <w:b/>
          <w:sz w:val="20"/>
          <w:szCs w:val="20"/>
        </w:rPr>
        <w:t>for the year ended 31 March</w:t>
      </w:r>
      <w:r w:rsidR="003A3109">
        <w:rPr>
          <w:b/>
          <w:sz w:val="20"/>
          <w:szCs w:val="20"/>
        </w:rPr>
        <w:t xml:space="preserve"> 2022</w:t>
      </w:r>
      <w:r w:rsidRPr="003061F1">
        <w:rPr>
          <w:rFonts w:cs="Arial"/>
          <w:b/>
          <w:bCs/>
          <w:sz w:val="20"/>
          <w:szCs w:val="20"/>
        </w:rPr>
        <w:tab/>
      </w:r>
      <w:r w:rsidRPr="003061F1">
        <w:rPr>
          <w:rFonts w:cs="Arial"/>
          <w:b/>
          <w:bCs/>
          <w:sz w:val="20"/>
          <w:szCs w:val="20"/>
        </w:rPr>
        <w:tab/>
      </w:r>
      <w:r w:rsidRPr="003061F1">
        <w:rPr>
          <w:rFonts w:cs="Arial"/>
          <w:sz w:val="20"/>
          <w:szCs w:val="20"/>
        </w:rPr>
        <w:t>─────────</w:t>
      </w:r>
      <w:r w:rsidRPr="00EB5423">
        <w:rPr>
          <w:rFonts w:cs="Arial"/>
          <w:sz w:val="22"/>
          <w:szCs w:val="22"/>
        </w:rPr>
        <w:tab/>
        <w:t>─────────</w:t>
      </w:r>
    </w:p>
    <w:p w14:paraId="39C4EA3D" w14:textId="77777777" w:rsidR="000C2A54" w:rsidRDefault="000C2A54" w:rsidP="000C2A54">
      <w:pPr>
        <w:widowControl w:val="0"/>
        <w:tabs>
          <w:tab w:val="center" w:pos="5529"/>
          <w:tab w:val="right" w:pos="7371"/>
          <w:tab w:val="right" w:pos="9356"/>
        </w:tabs>
        <w:autoSpaceDE w:val="0"/>
        <w:autoSpaceDN w:val="0"/>
        <w:adjustRightInd w:val="0"/>
        <w:rPr>
          <w:sz w:val="22"/>
          <w:szCs w:val="22"/>
        </w:rPr>
      </w:pPr>
    </w:p>
    <w:p w14:paraId="525AE7CC" w14:textId="77777777" w:rsidR="00A80D37" w:rsidRPr="00251E9E" w:rsidRDefault="00A80D37" w:rsidP="000C2A54">
      <w:pPr>
        <w:widowControl w:val="0"/>
        <w:tabs>
          <w:tab w:val="center" w:pos="5529"/>
          <w:tab w:val="right" w:pos="7371"/>
          <w:tab w:val="right" w:pos="9356"/>
        </w:tabs>
        <w:autoSpaceDE w:val="0"/>
        <w:autoSpaceDN w:val="0"/>
        <w:adjustRightInd w:val="0"/>
        <w:rPr>
          <w:b/>
          <w:color w:val="auto"/>
          <w:sz w:val="20"/>
          <w:szCs w:val="20"/>
        </w:rPr>
      </w:pPr>
      <w:r w:rsidRPr="00251E9E">
        <w:rPr>
          <w:b/>
          <w:color w:val="auto"/>
          <w:sz w:val="20"/>
          <w:szCs w:val="20"/>
        </w:rPr>
        <w:t>Other comprehensive net expenditure</w:t>
      </w:r>
    </w:p>
    <w:p w14:paraId="047B5B73" w14:textId="77777777" w:rsidR="00A80D37" w:rsidRPr="00251E9E" w:rsidRDefault="00A80D37" w:rsidP="000C2A54">
      <w:pPr>
        <w:widowControl w:val="0"/>
        <w:tabs>
          <w:tab w:val="center" w:pos="5529"/>
          <w:tab w:val="right" w:pos="7371"/>
          <w:tab w:val="right" w:pos="9356"/>
        </w:tabs>
        <w:autoSpaceDE w:val="0"/>
        <w:autoSpaceDN w:val="0"/>
        <w:adjustRightInd w:val="0"/>
        <w:rPr>
          <w:b/>
          <w:color w:val="auto"/>
          <w:sz w:val="20"/>
          <w:szCs w:val="20"/>
        </w:rPr>
      </w:pPr>
    </w:p>
    <w:p w14:paraId="0B6FF231" w14:textId="77777777" w:rsidR="00503D7F" w:rsidRPr="00251E9E" w:rsidRDefault="00A80D37" w:rsidP="000C2A54">
      <w:pPr>
        <w:widowControl w:val="0"/>
        <w:tabs>
          <w:tab w:val="right" w:pos="7371"/>
          <w:tab w:val="right" w:pos="9071"/>
        </w:tabs>
        <w:autoSpaceDE w:val="0"/>
        <w:autoSpaceDN w:val="0"/>
        <w:adjustRightInd w:val="0"/>
        <w:rPr>
          <w:rFonts w:cs="Arial"/>
          <w:bCs/>
          <w:color w:val="auto"/>
          <w:sz w:val="20"/>
          <w:szCs w:val="20"/>
        </w:rPr>
      </w:pPr>
      <w:r w:rsidRPr="00251E9E">
        <w:rPr>
          <w:rFonts w:cs="Arial"/>
          <w:bCs/>
          <w:color w:val="auto"/>
          <w:sz w:val="20"/>
          <w:szCs w:val="20"/>
        </w:rPr>
        <w:t xml:space="preserve">Net </w:t>
      </w:r>
      <w:r w:rsidR="00737D30">
        <w:rPr>
          <w:rFonts w:cs="Arial"/>
          <w:bCs/>
          <w:color w:val="auto"/>
          <w:sz w:val="20"/>
          <w:szCs w:val="20"/>
        </w:rPr>
        <w:t>(gain)/</w:t>
      </w:r>
      <w:r w:rsidRPr="00251E9E">
        <w:rPr>
          <w:rFonts w:cs="Arial"/>
          <w:bCs/>
          <w:color w:val="auto"/>
          <w:sz w:val="20"/>
          <w:szCs w:val="20"/>
        </w:rPr>
        <w:t xml:space="preserve">loss on revaluation of property, plant and </w:t>
      </w:r>
    </w:p>
    <w:p w14:paraId="60AB0A1B" w14:textId="66E6E750" w:rsidR="00654B06" w:rsidRDefault="00503D7F" w:rsidP="00201F9C">
      <w:pPr>
        <w:widowControl w:val="0"/>
        <w:tabs>
          <w:tab w:val="right" w:pos="7371"/>
          <w:tab w:val="right" w:pos="9071"/>
        </w:tabs>
        <w:autoSpaceDE w:val="0"/>
        <w:autoSpaceDN w:val="0"/>
        <w:adjustRightInd w:val="0"/>
        <w:rPr>
          <w:rFonts w:cs="Arial"/>
          <w:bCs/>
          <w:color w:val="auto"/>
          <w:sz w:val="20"/>
          <w:szCs w:val="20"/>
        </w:rPr>
      </w:pPr>
      <w:r w:rsidRPr="00251E9E">
        <w:rPr>
          <w:rFonts w:cs="Arial"/>
          <w:bCs/>
          <w:color w:val="auto"/>
          <w:sz w:val="20"/>
          <w:szCs w:val="20"/>
        </w:rPr>
        <w:t>E</w:t>
      </w:r>
      <w:r w:rsidR="00654B06">
        <w:rPr>
          <w:rFonts w:cs="Arial"/>
          <w:bCs/>
          <w:color w:val="auto"/>
          <w:sz w:val="20"/>
          <w:szCs w:val="20"/>
        </w:rPr>
        <w:t>quipment</w:t>
      </w:r>
      <w:r w:rsidR="00654B06" w:rsidRPr="00251E9E">
        <w:rPr>
          <w:rFonts w:cs="Arial"/>
          <w:bCs/>
          <w:color w:val="auto"/>
          <w:sz w:val="20"/>
          <w:szCs w:val="20"/>
        </w:rPr>
        <w:t xml:space="preserve">                                          </w:t>
      </w:r>
      <w:r w:rsidR="008D0E8C">
        <w:rPr>
          <w:rFonts w:cs="Arial"/>
          <w:bCs/>
          <w:color w:val="auto"/>
          <w:sz w:val="20"/>
          <w:szCs w:val="20"/>
        </w:rPr>
        <w:t xml:space="preserve">                    </w:t>
      </w:r>
      <w:r w:rsidR="00654B06" w:rsidRPr="00201F9C">
        <w:rPr>
          <w:rFonts w:cs="Arial"/>
          <w:b/>
          <w:bCs/>
          <w:color w:val="auto"/>
          <w:sz w:val="20"/>
          <w:szCs w:val="20"/>
        </w:rPr>
        <w:t xml:space="preserve">         </w:t>
      </w:r>
      <w:r w:rsidR="003A3109">
        <w:rPr>
          <w:rFonts w:cs="Arial"/>
          <w:b/>
          <w:bCs/>
          <w:color w:val="auto"/>
          <w:sz w:val="20"/>
          <w:szCs w:val="20"/>
          <w:u w:val="single"/>
        </w:rPr>
        <w:t xml:space="preserve">    </w:t>
      </w:r>
      <w:r w:rsidR="00654B06" w:rsidRPr="00201F9C">
        <w:rPr>
          <w:rFonts w:cs="Arial"/>
          <w:bCs/>
          <w:color w:val="auto"/>
          <w:sz w:val="20"/>
          <w:szCs w:val="20"/>
          <w:u w:val="single"/>
        </w:rPr>
        <w:t xml:space="preserve"> </w:t>
      </w:r>
      <w:r w:rsidR="00654B06" w:rsidRPr="00201F9C">
        <w:rPr>
          <w:rFonts w:cs="Arial"/>
          <w:bCs/>
          <w:color w:val="auto"/>
          <w:sz w:val="20"/>
          <w:szCs w:val="20"/>
          <w:u w:val="single"/>
        </w:rPr>
        <w:tab/>
      </w:r>
      <w:r w:rsidR="0027305F">
        <w:rPr>
          <w:rFonts w:cs="Arial"/>
          <w:bCs/>
          <w:color w:val="auto"/>
          <w:sz w:val="20"/>
          <w:szCs w:val="20"/>
          <w:u w:val="single"/>
        </w:rPr>
        <w:t xml:space="preserve">  </w:t>
      </w:r>
      <w:r w:rsidR="003A3109">
        <w:rPr>
          <w:rFonts w:cs="Arial"/>
          <w:bCs/>
          <w:color w:val="auto"/>
          <w:sz w:val="20"/>
          <w:szCs w:val="20"/>
          <w:u w:val="single"/>
        </w:rPr>
        <w:t>(29,403)</w:t>
      </w:r>
      <w:r w:rsidR="00201F9C" w:rsidRPr="00201F9C">
        <w:rPr>
          <w:rFonts w:cs="Arial"/>
          <w:bCs/>
          <w:color w:val="auto"/>
          <w:sz w:val="20"/>
          <w:szCs w:val="20"/>
          <w:u w:val="single"/>
        </w:rPr>
        <w:tab/>
      </w:r>
      <w:r w:rsidR="003A3109">
        <w:rPr>
          <w:rFonts w:cs="Arial"/>
          <w:bCs/>
          <w:color w:val="auto"/>
          <w:sz w:val="20"/>
          <w:szCs w:val="20"/>
          <w:u w:val="single"/>
        </w:rPr>
        <w:t>0</w:t>
      </w:r>
      <w:r w:rsidR="00654B06" w:rsidRPr="00251E9E">
        <w:rPr>
          <w:rFonts w:cs="Arial"/>
          <w:bCs/>
          <w:color w:val="auto"/>
          <w:sz w:val="20"/>
          <w:szCs w:val="20"/>
          <w:u w:val="single"/>
        </w:rPr>
        <w:t xml:space="preserve">    </w:t>
      </w:r>
    </w:p>
    <w:p w14:paraId="1CAF9284" w14:textId="77777777" w:rsidR="00A80D37" w:rsidRDefault="00503D7F" w:rsidP="000C2A54">
      <w:pPr>
        <w:widowControl w:val="0"/>
        <w:tabs>
          <w:tab w:val="right" w:pos="7371"/>
          <w:tab w:val="right" w:pos="9071"/>
        </w:tabs>
        <w:autoSpaceDE w:val="0"/>
        <w:autoSpaceDN w:val="0"/>
        <w:adjustRightInd w:val="0"/>
        <w:rPr>
          <w:rFonts w:cs="Arial"/>
          <w:bCs/>
          <w:color w:val="auto"/>
          <w:sz w:val="20"/>
          <w:szCs w:val="20"/>
        </w:rPr>
      </w:pPr>
      <w:r w:rsidRPr="00251E9E">
        <w:rPr>
          <w:rFonts w:cs="Arial"/>
          <w:bCs/>
          <w:color w:val="auto"/>
          <w:sz w:val="20"/>
          <w:szCs w:val="20"/>
          <w:u w:val="single"/>
        </w:rPr>
        <w:t xml:space="preserve">  </w:t>
      </w:r>
      <w:r w:rsidR="00251E9E">
        <w:rPr>
          <w:rFonts w:cs="Arial"/>
          <w:bCs/>
          <w:color w:val="auto"/>
          <w:sz w:val="20"/>
          <w:szCs w:val="20"/>
        </w:rPr>
        <w:br/>
      </w:r>
    </w:p>
    <w:p w14:paraId="16948A3A" w14:textId="09386A15" w:rsidR="000C2A54" w:rsidRDefault="00A80D37" w:rsidP="000C2A54">
      <w:pPr>
        <w:widowControl w:val="0"/>
        <w:tabs>
          <w:tab w:val="right" w:pos="7371"/>
          <w:tab w:val="right" w:pos="9071"/>
        </w:tabs>
        <w:autoSpaceDE w:val="0"/>
        <w:autoSpaceDN w:val="0"/>
        <w:adjustRightInd w:val="0"/>
        <w:rPr>
          <w:rFonts w:cs="Arial"/>
          <w:b/>
          <w:bCs/>
          <w:sz w:val="20"/>
          <w:szCs w:val="20"/>
        </w:rPr>
      </w:pPr>
      <w:r w:rsidRPr="00251E9E">
        <w:rPr>
          <w:b/>
          <w:color w:val="auto"/>
          <w:sz w:val="20"/>
          <w:szCs w:val="20"/>
        </w:rPr>
        <w:t>Comprehensive net expenditure for the year</w:t>
      </w:r>
      <w:r w:rsidR="00503D7F" w:rsidRPr="00251E9E">
        <w:rPr>
          <w:b/>
          <w:color w:val="auto"/>
          <w:sz w:val="20"/>
          <w:szCs w:val="20"/>
        </w:rPr>
        <w:t xml:space="preserve">  </w:t>
      </w:r>
      <w:r w:rsidR="00503D7F" w:rsidRPr="00251E9E">
        <w:rPr>
          <w:b/>
          <w:color w:val="auto"/>
          <w:sz w:val="20"/>
          <w:szCs w:val="20"/>
        </w:rPr>
        <w:tab/>
      </w:r>
      <w:r w:rsidR="00A672F7">
        <w:rPr>
          <w:b/>
          <w:color w:val="auto"/>
          <w:sz w:val="20"/>
          <w:szCs w:val="20"/>
          <w:u w:val="single"/>
        </w:rPr>
        <w:t>2,304,170</w:t>
      </w:r>
      <w:r w:rsidR="000C2A54" w:rsidRPr="00251E9E">
        <w:rPr>
          <w:rFonts w:cs="Arial"/>
          <w:b/>
          <w:bCs/>
          <w:color w:val="auto"/>
          <w:sz w:val="22"/>
          <w:szCs w:val="22"/>
        </w:rPr>
        <w:tab/>
      </w:r>
      <w:r w:rsidR="003A3109">
        <w:rPr>
          <w:rFonts w:cs="Arial"/>
          <w:b/>
          <w:bCs/>
          <w:color w:val="auto"/>
          <w:sz w:val="20"/>
          <w:szCs w:val="20"/>
          <w:u w:val="single"/>
        </w:rPr>
        <w:t>1,635,837</w:t>
      </w:r>
    </w:p>
    <w:p w14:paraId="5B87965B" w14:textId="77777777" w:rsidR="00600AD1" w:rsidRPr="00600AD1" w:rsidRDefault="00600AD1" w:rsidP="000C2A54">
      <w:pPr>
        <w:widowControl w:val="0"/>
        <w:tabs>
          <w:tab w:val="right" w:pos="7371"/>
          <w:tab w:val="right" w:pos="9071"/>
        </w:tabs>
        <w:autoSpaceDE w:val="0"/>
        <w:autoSpaceDN w:val="0"/>
        <w:adjustRightInd w:val="0"/>
        <w:rPr>
          <w:b/>
          <w:color w:val="FF0000"/>
          <w:sz w:val="20"/>
          <w:szCs w:val="20"/>
        </w:rPr>
      </w:pPr>
    </w:p>
    <w:p w14:paraId="7B9FFF3D" w14:textId="77777777" w:rsidR="000C2A54" w:rsidRPr="00AC49A1" w:rsidRDefault="00600AD1" w:rsidP="000C2A54">
      <w:pPr>
        <w:widowControl w:val="0"/>
        <w:tabs>
          <w:tab w:val="center" w:pos="5529"/>
          <w:tab w:val="right" w:pos="7371"/>
          <w:tab w:val="right" w:pos="9356"/>
        </w:tabs>
        <w:autoSpaceDE w:val="0"/>
        <w:autoSpaceDN w:val="0"/>
        <w:adjustRightInd w:val="0"/>
        <w:rPr>
          <w:sz w:val="22"/>
          <w:szCs w:val="22"/>
        </w:rPr>
      </w:pPr>
      <w:r>
        <w:rPr>
          <w:sz w:val="22"/>
          <w:szCs w:val="22"/>
        </w:rPr>
        <w:tab/>
      </w:r>
      <w:r>
        <w:rPr>
          <w:sz w:val="22"/>
          <w:szCs w:val="22"/>
        </w:rPr>
        <w:tab/>
      </w:r>
    </w:p>
    <w:p w14:paraId="440FD3BA" w14:textId="77777777" w:rsidR="000C2A54" w:rsidRPr="00EB5423" w:rsidRDefault="000C2A54" w:rsidP="000C2A54">
      <w:pPr>
        <w:widowControl w:val="0"/>
        <w:tabs>
          <w:tab w:val="center" w:pos="5529"/>
          <w:tab w:val="right" w:pos="7371"/>
          <w:tab w:val="right" w:pos="9356"/>
        </w:tabs>
        <w:autoSpaceDE w:val="0"/>
        <w:autoSpaceDN w:val="0"/>
        <w:adjustRightInd w:val="0"/>
        <w:rPr>
          <w:sz w:val="22"/>
          <w:szCs w:val="22"/>
        </w:rPr>
      </w:pPr>
      <w:r w:rsidRPr="00EB5423">
        <w:rPr>
          <w:sz w:val="22"/>
          <w:szCs w:val="22"/>
        </w:rPr>
        <w:t>All amounts above relate to continuing activities.</w:t>
      </w:r>
    </w:p>
    <w:p w14:paraId="2E3A571F" w14:textId="77777777" w:rsidR="000C2A54" w:rsidRPr="00EB5423" w:rsidRDefault="000C2A54" w:rsidP="000C2A54">
      <w:pPr>
        <w:widowControl w:val="0"/>
        <w:tabs>
          <w:tab w:val="center" w:pos="5529"/>
          <w:tab w:val="right" w:pos="7371"/>
          <w:tab w:val="right" w:pos="9356"/>
        </w:tabs>
        <w:autoSpaceDE w:val="0"/>
        <w:autoSpaceDN w:val="0"/>
        <w:adjustRightInd w:val="0"/>
        <w:rPr>
          <w:sz w:val="22"/>
          <w:szCs w:val="22"/>
        </w:rPr>
      </w:pPr>
    </w:p>
    <w:p w14:paraId="0F2CFDDB" w14:textId="46E78755"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 xml:space="preserve">The notes on pages </w:t>
      </w:r>
      <w:r w:rsidR="00612DE1">
        <w:rPr>
          <w:sz w:val="22"/>
          <w:szCs w:val="22"/>
        </w:rPr>
        <w:t>60</w:t>
      </w:r>
      <w:r w:rsidR="00863A80" w:rsidRPr="00EB5423">
        <w:rPr>
          <w:sz w:val="22"/>
          <w:szCs w:val="22"/>
        </w:rPr>
        <w:t xml:space="preserve"> </w:t>
      </w:r>
      <w:r w:rsidR="00C529B8">
        <w:rPr>
          <w:sz w:val="22"/>
          <w:szCs w:val="22"/>
        </w:rPr>
        <w:t xml:space="preserve">to </w:t>
      </w:r>
      <w:r w:rsidR="00612DE1">
        <w:rPr>
          <w:sz w:val="22"/>
          <w:szCs w:val="22"/>
        </w:rPr>
        <w:t>73</w:t>
      </w:r>
      <w:r w:rsidR="00863A80" w:rsidRPr="00EB5423">
        <w:rPr>
          <w:sz w:val="22"/>
          <w:szCs w:val="22"/>
        </w:rPr>
        <w:t xml:space="preserve"> </w:t>
      </w:r>
      <w:r w:rsidRPr="00EB5423">
        <w:rPr>
          <w:sz w:val="22"/>
          <w:szCs w:val="22"/>
        </w:rPr>
        <w:t>form part of the financial statements.</w:t>
      </w:r>
    </w:p>
    <w:p w14:paraId="4C1379DF" w14:textId="77777777" w:rsidR="000C2A54" w:rsidRDefault="000C2A54" w:rsidP="000C2A54">
      <w:pPr>
        <w:jc w:val="center"/>
      </w:pPr>
      <w:r w:rsidRPr="00351DFE">
        <w:rPr>
          <w:b/>
        </w:rPr>
        <w:br w:type="page"/>
      </w:r>
    </w:p>
    <w:p w14:paraId="22374C83" w14:textId="77777777" w:rsidR="000C2A54" w:rsidRPr="00EB5423" w:rsidRDefault="008C73A2" w:rsidP="000C2A54">
      <w:pPr>
        <w:jc w:val="center"/>
        <w:rPr>
          <w:b/>
        </w:rPr>
      </w:pPr>
      <w:bookmarkStart w:id="19" w:name="StatementofFinancialPosition"/>
      <w:r>
        <w:rPr>
          <w:rFonts w:cs="Arial"/>
          <w:b/>
          <w:color w:val="77328A"/>
          <w:sz w:val="30"/>
          <w:szCs w:val="30"/>
        </w:rPr>
        <w:t>Statement of Finan</w:t>
      </w:r>
      <w:r w:rsidR="008D0E8C">
        <w:rPr>
          <w:rFonts w:cs="Arial"/>
          <w:b/>
          <w:color w:val="77328A"/>
          <w:sz w:val="30"/>
          <w:szCs w:val="30"/>
        </w:rPr>
        <w:t>cial Position as at 31 March 202</w:t>
      </w:r>
      <w:r w:rsidR="003A3109">
        <w:rPr>
          <w:rFonts w:cs="Arial"/>
          <w:b/>
          <w:color w:val="77328A"/>
          <w:sz w:val="30"/>
          <w:szCs w:val="30"/>
        </w:rPr>
        <w:t>2</w:t>
      </w:r>
    </w:p>
    <w:bookmarkEnd w:id="19"/>
    <w:p w14:paraId="3E7EF1AA" w14:textId="77777777" w:rsidR="000C2A54" w:rsidRPr="00AC49A1" w:rsidRDefault="000C2A54" w:rsidP="000C2A54">
      <w:pPr>
        <w:jc w:val="center"/>
        <w:rPr>
          <w:b/>
          <w:sz w:val="28"/>
        </w:rPr>
      </w:pPr>
    </w:p>
    <w:tbl>
      <w:tblPr>
        <w:tblW w:w="9004" w:type="dxa"/>
        <w:jc w:val="center"/>
        <w:tblLayout w:type="fixed"/>
        <w:tblLook w:val="01E0" w:firstRow="1" w:lastRow="1" w:firstColumn="1" w:lastColumn="1" w:noHBand="0" w:noVBand="0"/>
      </w:tblPr>
      <w:tblGrid>
        <w:gridCol w:w="2800"/>
        <w:gridCol w:w="641"/>
        <w:gridCol w:w="181"/>
        <w:gridCol w:w="282"/>
        <w:gridCol w:w="437"/>
        <w:gridCol w:w="1080"/>
        <w:gridCol w:w="1260"/>
        <w:gridCol w:w="1083"/>
        <w:gridCol w:w="1240"/>
      </w:tblGrid>
      <w:tr w:rsidR="000C2A54" w:rsidRPr="00287A60" w14:paraId="0C916425" w14:textId="77777777" w:rsidTr="000C2A54">
        <w:trPr>
          <w:jc w:val="center"/>
        </w:trPr>
        <w:tc>
          <w:tcPr>
            <w:tcW w:w="3441" w:type="dxa"/>
            <w:gridSpan w:val="2"/>
          </w:tcPr>
          <w:p w14:paraId="2709E9D1" w14:textId="77777777" w:rsidR="000C2A54" w:rsidRPr="00B90FC7" w:rsidRDefault="000C2A54" w:rsidP="000C2A54">
            <w:pPr>
              <w:rPr>
                <w:b/>
                <w:sz w:val="20"/>
                <w:szCs w:val="20"/>
              </w:rPr>
            </w:pPr>
          </w:p>
        </w:tc>
        <w:tc>
          <w:tcPr>
            <w:tcW w:w="900" w:type="dxa"/>
            <w:gridSpan w:val="3"/>
          </w:tcPr>
          <w:p w14:paraId="425BAF59" w14:textId="77777777" w:rsidR="000C2A54" w:rsidRPr="00B90FC7" w:rsidRDefault="000C2A54" w:rsidP="000C2A54">
            <w:pPr>
              <w:rPr>
                <w:b/>
                <w:sz w:val="20"/>
                <w:szCs w:val="20"/>
              </w:rPr>
            </w:pPr>
          </w:p>
        </w:tc>
        <w:tc>
          <w:tcPr>
            <w:tcW w:w="2340" w:type="dxa"/>
            <w:gridSpan w:val="2"/>
          </w:tcPr>
          <w:p w14:paraId="5262BA8E" w14:textId="77777777" w:rsidR="000C2A54" w:rsidRPr="00B90FC7" w:rsidRDefault="008D0E8C" w:rsidP="000C2A54">
            <w:pPr>
              <w:jc w:val="center"/>
              <w:rPr>
                <w:b/>
                <w:sz w:val="20"/>
                <w:szCs w:val="20"/>
              </w:rPr>
            </w:pPr>
            <w:r>
              <w:rPr>
                <w:b/>
                <w:sz w:val="20"/>
                <w:szCs w:val="20"/>
              </w:rPr>
              <w:t>31 March 202</w:t>
            </w:r>
            <w:r w:rsidR="003A3109">
              <w:rPr>
                <w:b/>
                <w:sz w:val="20"/>
                <w:szCs w:val="20"/>
              </w:rPr>
              <w:t>2</w:t>
            </w:r>
          </w:p>
        </w:tc>
        <w:tc>
          <w:tcPr>
            <w:tcW w:w="2323" w:type="dxa"/>
            <w:gridSpan w:val="2"/>
          </w:tcPr>
          <w:p w14:paraId="309BAF88" w14:textId="77777777" w:rsidR="000C2A54" w:rsidRDefault="000C2A54" w:rsidP="000C2A54">
            <w:pPr>
              <w:jc w:val="center"/>
              <w:rPr>
                <w:b/>
                <w:sz w:val="20"/>
                <w:szCs w:val="20"/>
              </w:rPr>
            </w:pPr>
            <w:r>
              <w:rPr>
                <w:b/>
                <w:sz w:val="20"/>
                <w:szCs w:val="20"/>
              </w:rPr>
              <w:t xml:space="preserve">31 March </w:t>
            </w:r>
            <w:r w:rsidR="003A3109">
              <w:rPr>
                <w:b/>
                <w:sz w:val="20"/>
                <w:szCs w:val="20"/>
              </w:rPr>
              <w:t>2021</w:t>
            </w:r>
          </w:p>
          <w:p w14:paraId="5FA9B4FE" w14:textId="77777777" w:rsidR="000C2A54" w:rsidRPr="00B90FC7" w:rsidRDefault="000C2A54" w:rsidP="000C2A54">
            <w:pPr>
              <w:jc w:val="center"/>
              <w:rPr>
                <w:b/>
                <w:sz w:val="20"/>
                <w:szCs w:val="20"/>
              </w:rPr>
            </w:pPr>
          </w:p>
        </w:tc>
      </w:tr>
      <w:tr w:rsidR="000C2A54" w:rsidRPr="00287A60" w14:paraId="270FCEF9" w14:textId="77777777" w:rsidTr="000C2A54">
        <w:trPr>
          <w:jc w:val="center"/>
        </w:trPr>
        <w:tc>
          <w:tcPr>
            <w:tcW w:w="3441" w:type="dxa"/>
            <w:gridSpan w:val="2"/>
          </w:tcPr>
          <w:p w14:paraId="40BB9A2F" w14:textId="77777777" w:rsidR="000C2A54" w:rsidRPr="00B90FC7" w:rsidRDefault="000C2A54" w:rsidP="000C2A54">
            <w:pPr>
              <w:rPr>
                <w:b/>
                <w:sz w:val="20"/>
                <w:szCs w:val="20"/>
              </w:rPr>
            </w:pPr>
          </w:p>
        </w:tc>
        <w:tc>
          <w:tcPr>
            <w:tcW w:w="900" w:type="dxa"/>
            <w:gridSpan w:val="3"/>
          </w:tcPr>
          <w:p w14:paraId="7816E67F" w14:textId="77777777" w:rsidR="000C2A54" w:rsidRPr="00B90FC7" w:rsidRDefault="000C2A54" w:rsidP="000C2A54">
            <w:pPr>
              <w:rPr>
                <w:b/>
                <w:sz w:val="20"/>
                <w:szCs w:val="20"/>
              </w:rPr>
            </w:pPr>
            <w:r w:rsidRPr="00B90FC7">
              <w:rPr>
                <w:b/>
                <w:sz w:val="20"/>
                <w:szCs w:val="20"/>
              </w:rPr>
              <w:t>Notes</w:t>
            </w:r>
          </w:p>
        </w:tc>
        <w:tc>
          <w:tcPr>
            <w:tcW w:w="1080" w:type="dxa"/>
          </w:tcPr>
          <w:p w14:paraId="219585C8" w14:textId="77777777" w:rsidR="000C2A54" w:rsidRPr="00B90FC7" w:rsidRDefault="000C2A54" w:rsidP="000C2A54">
            <w:pPr>
              <w:jc w:val="right"/>
              <w:rPr>
                <w:b/>
                <w:sz w:val="20"/>
                <w:szCs w:val="20"/>
              </w:rPr>
            </w:pPr>
            <w:r w:rsidRPr="00B90FC7">
              <w:rPr>
                <w:b/>
                <w:sz w:val="20"/>
                <w:szCs w:val="20"/>
              </w:rPr>
              <w:t>£</w:t>
            </w:r>
          </w:p>
        </w:tc>
        <w:tc>
          <w:tcPr>
            <w:tcW w:w="1260" w:type="dxa"/>
          </w:tcPr>
          <w:p w14:paraId="003A1603" w14:textId="77777777" w:rsidR="000C2A54" w:rsidRPr="00B90FC7" w:rsidRDefault="000C2A54" w:rsidP="000C2A54">
            <w:pPr>
              <w:jc w:val="right"/>
              <w:rPr>
                <w:b/>
                <w:sz w:val="20"/>
                <w:szCs w:val="20"/>
              </w:rPr>
            </w:pPr>
            <w:r w:rsidRPr="00B90FC7">
              <w:rPr>
                <w:b/>
                <w:sz w:val="20"/>
                <w:szCs w:val="20"/>
              </w:rPr>
              <w:t>£</w:t>
            </w:r>
          </w:p>
        </w:tc>
        <w:tc>
          <w:tcPr>
            <w:tcW w:w="1083" w:type="dxa"/>
          </w:tcPr>
          <w:p w14:paraId="4F6B2816" w14:textId="77777777" w:rsidR="000C2A54" w:rsidRPr="00B90FC7" w:rsidRDefault="000C2A54" w:rsidP="000C2A54">
            <w:pPr>
              <w:jc w:val="right"/>
              <w:rPr>
                <w:b/>
                <w:sz w:val="20"/>
                <w:szCs w:val="20"/>
              </w:rPr>
            </w:pPr>
            <w:r w:rsidRPr="00B90FC7">
              <w:rPr>
                <w:b/>
                <w:sz w:val="20"/>
                <w:szCs w:val="20"/>
              </w:rPr>
              <w:t>£</w:t>
            </w:r>
          </w:p>
        </w:tc>
        <w:tc>
          <w:tcPr>
            <w:tcW w:w="1240" w:type="dxa"/>
          </w:tcPr>
          <w:p w14:paraId="5CEDBA45" w14:textId="77777777" w:rsidR="000C2A54" w:rsidRPr="00B90FC7" w:rsidRDefault="000C2A54" w:rsidP="000C2A54">
            <w:pPr>
              <w:jc w:val="right"/>
              <w:rPr>
                <w:b/>
                <w:sz w:val="20"/>
                <w:szCs w:val="20"/>
              </w:rPr>
            </w:pPr>
            <w:r w:rsidRPr="00B90FC7">
              <w:rPr>
                <w:b/>
                <w:sz w:val="20"/>
                <w:szCs w:val="20"/>
              </w:rPr>
              <w:t>£</w:t>
            </w:r>
          </w:p>
        </w:tc>
      </w:tr>
      <w:tr w:rsidR="000C2A54" w:rsidRPr="00287A60" w14:paraId="42FB4B8E" w14:textId="77777777" w:rsidTr="000C2A54">
        <w:trPr>
          <w:jc w:val="center"/>
        </w:trPr>
        <w:tc>
          <w:tcPr>
            <w:tcW w:w="3622" w:type="dxa"/>
            <w:gridSpan w:val="3"/>
          </w:tcPr>
          <w:p w14:paraId="2483DB22" w14:textId="77777777" w:rsidR="000C2A54" w:rsidRPr="00B90FC7" w:rsidRDefault="000C2A54" w:rsidP="000C2A54">
            <w:pPr>
              <w:widowControl w:val="0"/>
              <w:tabs>
                <w:tab w:val="center" w:pos="3969"/>
                <w:tab w:val="center" w:pos="5245"/>
                <w:tab w:val="right" w:pos="5670"/>
                <w:tab w:val="center" w:pos="6379"/>
                <w:tab w:val="right" w:pos="6804"/>
                <w:tab w:val="center" w:pos="7513"/>
                <w:tab w:val="right" w:pos="7938"/>
                <w:tab w:val="center" w:pos="8647"/>
              </w:tabs>
              <w:autoSpaceDE w:val="0"/>
              <w:autoSpaceDN w:val="0"/>
              <w:adjustRightInd w:val="0"/>
              <w:rPr>
                <w:rFonts w:cs="Arial"/>
                <w:b/>
                <w:bCs/>
                <w:sz w:val="20"/>
                <w:szCs w:val="20"/>
              </w:rPr>
            </w:pPr>
            <w:r w:rsidRPr="00B90FC7">
              <w:rPr>
                <w:rFonts w:cs="Arial"/>
                <w:b/>
                <w:bCs/>
                <w:sz w:val="20"/>
                <w:szCs w:val="20"/>
              </w:rPr>
              <w:t>Non</w:t>
            </w:r>
            <w:r>
              <w:rPr>
                <w:rFonts w:cs="Arial"/>
                <w:b/>
                <w:bCs/>
                <w:sz w:val="20"/>
                <w:szCs w:val="20"/>
                <w:lang w:val="fr-FR"/>
              </w:rPr>
              <w:t>-</w:t>
            </w:r>
            <w:r w:rsidRPr="00B90FC7">
              <w:rPr>
                <w:rFonts w:cs="Arial"/>
                <w:b/>
                <w:bCs/>
                <w:sz w:val="20"/>
                <w:szCs w:val="20"/>
              </w:rPr>
              <w:t>current assets:</w:t>
            </w:r>
          </w:p>
        </w:tc>
        <w:tc>
          <w:tcPr>
            <w:tcW w:w="282" w:type="dxa"/>
          </w:tcPr>
          <w:p w14:paraId="717A756D" w14:textId="77777777" w:rsidR="000C2A54" w:rsidRPr="00B90FC7" w:rsidRDefault="000C2A54" w:rsidP="000C2A54">
            <w:pPr>
              <w:rPr>
                <w:b/>
                <w:sz w:val="20"/>
                <w:szCs w:val="20"/>
              </w:rPr>
            </w:pPr>
          </w:p>
        </w:tc>
        <w:tc>
          <w:tcPr>
            <w:tcW w:w="1517" w:type="dxa"/>
            <w:gridSpan w:val="2"/>
          </w:tcPr>
          <w:p w14:paraId="01F7BAC8" w14:textId="77777777" w:rsidR="000C2A54" w:rsidRPr="00B90FC7" w:rsidRDefault="000C2A54" w:rsidP="000C2A54">
            <w:pPr>
              <w:jc w:val="right"/>
              <w:rPr>
                <w:sz w:val="20"/>
                <w:szCs w:val="20"/>
              </w:rPr>
            </w:pPr>
          </w:p>
        </w:tc>
        <w:tc>
          <w:tcPr>
            <w:tcW w:w="1260" w:type="dxa"/>
          </w:tcPr>
          <w:p w14:paraId="17C53897" w14:textId="77777777" w:rsidR="000C2A54" w:rsidRPr="00B90FC7" w:rsidRDefault="000C2A54" w:rsidP="000C2A54">
            <w:pPr>
              <w:jc w:val="right"/>
              <w:rPr>
                <w:sz w:val="20"/>
                <w:szCs w:val="20"/>
              </w:rPr>
            </w:pPr>
          </w:p>
        </w:tc>
        <w:tc>
          <w:tcPr>
            <w:tcW w:w="1083" w:type="dxa"/>
          </w:tcPr>
          <w:p w14:paraId="0418B99A" w14:textId="77777777" w:rsidR="000C2A54" w:rsidRPr="00B90FC7" w:rsidRDefault="000C2A54" w:rsidP="000C2A54">
            <w:pPr>
              <w:jc w:val="right"/>
              <w:rPr>
                <w:sz w:val="20"/>
                <w:szCs w:val="20"/>
              </w:rPr>
            </w:pPr>
          </w:p>
        </w:tc>
        <w:tc>
          <w:tcPr>
            <w:tcW w:w="1240" w:type="dxa"/>
          </w:tcPr>
          <w:p w14:paraId="4394EAAA" w14:textId="77777777" w:rsidR="000C2A54" w:rsidRPr="00B90FC7" w:rsidRDefault="000C2A54" w:rsidP="000C2A54">
            <w:pPr>
              <w:jc w:val="right"/>
              <w:rPr>
                <w:sz w:val="20"/>
                <w:szCs w:val="20"/>
              </w:rPr>
            </w:pPr>
          </w:p>
        </w:tc>
      </w:tr>
      <w:tr w:rsidR="000C2A54" w:rsidRPr="00287A60" w14:paraId="598A5026" w14:textId="77777777" w:rsidTr="000C2A54">
        <w:trPr>
          <w:jc w:val="center"/>
        </w:trPr>
        <w:tc>
          <w:tcPr>
            <w:tcW w:w="3441" w:type="dxa"/>
            <w:gridSpan w:val="2"/>
          </w:tcPr>
          <w:p w14:paraId="3D8E7196" w14:textId="77777777" w:rsidR="000C2A54" w:rsidRPr="00B90FC7" w:rsidRDefault="000C2A54" w:rsidP="000C2A54">
            <w:pPr>
              <w:rPr>
                <w:b/>
                <w:sz w:val="20"/>
                <w:szCs w:val="20"/>
              </w:rPr>
            </w:pPr>
            <w:r w:rsidRPr="00B90FC7">
              <w:rPr>
                <w:rFonts w:cs="Arial"/>
                <w:sz w:val="20"/>
                <w:szCs w:val="20"/>
              </w:rPr>
              <w:t>Property, plant and equipment</w:t>
            </w:r>
          </w:p>
        </w:tc>
        <w:tc>
          <w:tcPr>
            <w:tcW w:w="900" w:type="dxa"/>
            <w:gridSpan w:val="3"/>
          </w:tcPr>
          <w:p w14:paraId="1CA849A8" w14:textId="77777777" w:rsidR="000C2A54" w:rsidRPr="00B90FC7" w:rsidRDefault="000C2A54" w:rsidP="000C2A54">
            <w:pPr>
              <w:jc w:val="center"/>
              <w:rPr>
                <w:b/>
                <w:sz w:val="20"/>
                <w:szCs w:val="20"/>
              </w:rPr>
            </w:pPr>
            <w:r>
              <w:rPr>
                <w:b/>
                <w:sz w:val="20"/>
                <w:szCs w:val="20"/>
              </w:rPr>
              <w:t>6</w:t>
            </w:r>
          </w:p>
        </w:tc>
        <w:tc>
          <w:tcPr>
            <w:tcW w:w="1080" w:type="dxa"/>
          </w:tcPr>
          <w:p w14:paraId="7F1E746A" w14:textId="77777777" w:rsidR="000C2A54" w:rsidRPr="00B90FC7" w:rsidRDefault="000C2A54" w:rsidP="000C2A54">
            <w:pPr>
              <w:jc w:val="right"/>
              <w:rPr>
                <w:sz w:val="20"/>
                <w:szCs w:val="20"/>
              </w:rPr>
            </w:pPr>
          </w:p>
        </w:tc>
        <w:tc>
          <w:tcPr>
            <w:tcW w:w="1260" w:type="dxa"/>
          </w:tcPr>
          <w:p w14:paraId="4E650429" w14:textId="77777777" w:rsidR="000C2A54" w:rsidRPr="00B90FC7" w:rsidRDefault="003A3109" w:rsidP="000C2A54">
            <w:pPr>
              <w:jc w:val="right"/>
              <w:rPr>
                <w:sz w:val="20"/>
                <w:szCs w:val="20"/>
              </w:rPr>
            </w:pPr>
            <w:r>
              <w:rPr>
                <w:sz w:val="20"/>
                <w:szCs w:val="20"/>
              </w:rPr>
              <w:t>536,916</w:t>
            </w:r>
          </w:p>
        </w:tc>
        <w:tc>
          <w:tcPr>
            <w:tcW w:w="1083" w:type="dxa"/>
          </w:tcPr>
          <w:p w14:paraId="145D8A44" w14:textId="77777777" w:rsidR="000C2A54" w:rsidRPr="00B90FC7" w:rsidRDefault="000C2A54" w:rsidP="000C2A54">
            <w:pPr>
              <w:jc w:val="right"/>
              <w:rPr>
                <w:sz w:val="20"/>
                <w:szCs w:val="20"/>
              </w:rPr>
            </w:pPr>
          </w:p>
        </w:tc>
        <w:tc>
          <w:tcPr>
            <w:tcW w:w="1240" w:type="dxa"/>
          </w:tcPr>
          <w:p w14:paraId="638DFF5C" w14:textId="77777777" w:rsidR="000C2A54" w:rsidRPr="005B6801" w:rsidRDefault="003A3109" w:rsidP="000C2A54">
            <w:pPr>
              <w:jc w:val="right"/>
              <w:rPr>
                <w:sz w:val="20"/>
                <w:szCs w:val="20"/>
              </w:rPr>
            </w:pPr>
            <w:r>
              <w:rPr>
                <w:sz w:val="20"/>
                <w:szCs w:val="20"/>
              </w:rPr>
              <w:t>583,698</w:t>
            </w:r>
          </w:p>
        </w:tc>
      </w:tr>
      <w:tr w:rsidR="000C2A54" w:rsidRPr="00287A60" w14:paraId="6E91877E" w14:textId="77777777" w:rsidTr="000C2A54">
        <w:trPr>
          <w:jc w:val="center"/>
        </w:trPr>
        <w:tc>
          <w:tcPr>
            <w:tcW w:w="3441" w:type="dxa"/>
            <w:gridSpan w:val="2"/>
          </w:tcPr>
          <w:p w14:paraId="2A31B8F1" w14:textId="77777777" w:rsidR="000C2A54" w:rsidRPr="00B90FC7" w:rsidRDefault="000C2A54" w:rsidP="000C2A54">
            <w:pPr>
              <w:rPr>
                <w:rFonts w:cs="Arial"/>
                <w:sz w:val="20"/>
                <w:szCs w:val="20"/>
              </w:rPr>
            </w:pPr>
            <w:r>
              <w:rPr>
                <w:rFonts w:cs="Arial"/>
                <w:sz w:val="20"/>
                <w:szCs w:val="20"/>
              </w:rPr>
              <w:t>Intangible</w:t>
            </w:r>
            <w:r w:rsidR="007B768A">
              <w:rPr>
                <w:rFonts w:cs="Arial"/>
                <w:sz w:val="20"/>
                <w:szCs w:val="20"/>
              </w:rPr>
              <w:t xml:space="preserve"> assets</w:t>
            </w:r>
          </w:p>
        </w:tc>
        <w:tc>
          <w:tcPr>
            <w:tcW w:w="900" w:type="dxa"/>
            <w:gridSpan w:val="3"/>
          </w:tcPr>
          <w:p w14:paraId="5090C80C" w14:textId="77777777" w:rsidR="000C2A54" w:rsidRDefault="000C2A54" w:rsidP="000C2A54">
            <w:pPr>
              <w:jc w:val="center"/>
              <w:rPr>
                <w:b/>
                <w:sz w:val="20"/>
                <w:szCs w:val="20"/>
              </w:rPr>
            </w:pPr>
            <w:r>
              <w:rPr>
                <w:b/>
                <w:sz w:val="20"/>
                <w:szCs w:val="20"/>
              </w:rPr>
              <w:t>7</w:t>
            </w:r>
          </w:p>
        </w:tc>
        <w:tc>
          <w:tcPr>
            <w:tcW w:w="1080" w:type="dxa"/>
          </w:tcPr>
          <w:p w14:paraId="5D574DAC" w14:textId="77777777" w:rsidR="000C2A54" w:rsidRPr="00B90FC7" w:rsidRDefault="000C2A54" w:rsidP="000C2A54">
            <w:pPr>
              <w:jc w:val="right"/>
              <w:rPr>
                <w:sz w:val="20"/>
                <w:szCs w:val="20"/>
              </w:rPr>
            </w:pPr>
          </w:p>
        </w:tc>
        <w:tc>
          <w:tcPr>
            <w:tcW w:w="1260" w:type="dxa"/>
          </w:tcPr>
          <w:p w14:paraId="794BAD1A" w14:textId="77777777" w:rsidR="000C2A54" w:rsidRDefault="003A3109" w:rsidP="00600AD1">
            <w:pPr>
              <w:jc w:val="right"/>
              <w:rPr>
                <w:sz w:val="20"/>
                <w:szCs w:val="20"/>
              </w:rPr>
            </w:pPr>
            <w:r>
              <w:rPr>
                <w:sz w:val="20"/>
                <w:szCs w:val="20"/>
              </w:rPr>
              <w:t>3,222</w:t>
            </w:r>
          </w:p>
        </w:tc>
        <w:tc>
          <w:tcPr>
            <w:tcW w:w="1083" w:type="dxa"/>
          </w:tcPr>
          <w:p w14:paraId="673CB4AE" w14:textId="77777777" w:rsidR="000C2A54" w:rsidRPr="00B90FC7" w:rsidRDefault="000C2A54" w:rsidP="000C2A54">
            <w:pPr>
              <w:jc w:val="right"/>
              <w:rPr>
                <w:sz w:val="20"/>
                <w:szCs w:val="20"/>
              </w:rPr>
            </w:pPr>
          </w:p>
        </w:tc>
        <w:tc>
          <w:tcPr>
            <w:tcW w:w="1240" w:type="dxa"/>
          </w:tcPr>
          <w:p w14:paraId="1EEC6954" w14:textId="77777777" w:rsidR="000C2A54" w:rsidRDefault="003A3109" w:rsidP="000C2A54">
            <w:pPr>
              <w:jc w:val="right"/>
              <w:rPr>
                <w:sz w:val="20"/>
                <w:szCs w:val="20"/>
                <w:u w:val="single"/>
              </w:rPr>
            </w:pPr>
            <w:r>
              <w:rPr>
                <w:sz w:val="20"/>
                <w:szCs w:val="20"/>
                <w:u w:val="single"/>
              </w:rPr>
              <w:t>7,305</w:t>
            </w:r>
          </w:p>
        </w:tc>
      </w:tr>
      <w:tr w:rsidR="000C2A54" w:rsidRPr="00287A60" w14:paraId="23908ED2" w14:textId="77777777" w:rsidTr="000C2A54">
        <w:trPr>
          <w:jc w:val="center"/>
        </w:trPr>
        <w:tc>
          <w:tcPr>
            <w:tcW w:w="3622" w:type="dxa"/>
            <w:gridSpan w:val="3"/>
          </w:tcPr>
          <w:p w14:paraId="6007CDA7" w14:textId="77777777" w:rsidR="000C2A54" w:rsidRPr="00B90FC7" w:rsidRDefault="000C2A54" w:rsidP="000C2A54">
            <w:pPr>
              <w:rPr>
                <w:b/>
                <w:sz w:val="20"/>
                <w:szCs w:val="20"/>
              </w:rPr>
            </w:pPr>
            <w:r w:rsidRPr="00B90FC7">
              <w:rPr>
                <w:rFonts w:cs="Arial"/>
                <w:b/>
                <w:bCs/>
                <w:sz w:val="20"/>
                <w:szCs w:val="20"/>
              </w:rPr>
              <w:t>Total non</w:t>
            </w:r>
            <w:r>
              <w:rPr>
                <w:rFonts w:cs="Arial"/>
                <w:b/>
                <w:bCs/>
                <w:sz w:val="20"/>
                <w:szCs w:val="20"/>
                <w:lang w:val="fr-FR"/>
              </w:rPr>
              <w:t>-</w:t>
            </w:r>
            <w:r w:rsidRPr="00B90FC7">
              <w:rPr>
                <w:rFonts w:cs="Arial"/>
                <w:b/>
                <w:bCs/>
                <w:sz w:val="20"/>
                <w:szCs w:val="20"/>
              </w:rPr>
              <w:t>current assets</w:t>
            </w:r>
          </w:p>
        </w:tc>
        <w:tc>
          <w:tcPr>
            <w:tcW w:w="282" w:type="dxa"/>
          </w:tcPr>
          <w:p w14:paraId="26697AA1" w14:textId="77777777" w:rsidR="000C2A54" w:rsidRPr="00B90FC7" w:rsidRDefault="000C2A54" w:rsidP="000C2A54">
            <w:pPr>
              <w:rPr>
                <w:b/>
                <w:sz w:val="20"/>
                <w:szCs w:val="20"/>
              </w:rPr>
            </w:pPr>
          </w:p>
        </w:tc>
        <w:tc>
          <w:tcPr>
            <w:tcW w:w="1517" w:type="dxa"/>
            <w:gridSpan w:val="2"/>
          </w:tcPr>
          <w:p w14:paraId="379228BD" w14:textId="77777777" w:rsidR="000C2A54" w:rsidRPr="00B90FC7" w:rsidRDefault="000C2A54" w:rsidP="000C2A54">
            <w:pPr>
              <w:jc w:val="right"/>
              <w:rPr>
                <w:sz w:val="20"/>
                <w:szCs w:val="20"/>
              </w:rPr>
            </w:pPr>
          </w:p>
        </w:tc>
        <w:tc>
          <w:tcPr>
            <w:tcW w:w="1260" w:type="dxa"/>
            <w:tcBorders>
              <w:top w:val="single" w:sz="4" w:space="0" w:color="auto"/>
            </w:tcBorders>
          </w:tcPr>
          <w:p w14:paraId="7D31A19D" w14:textId="77777777" w:rsidR="000C2A54" w:rsidRPr="00B90FC7" w:rsidRDefault="00E916F9" w:rsidP="00C9166E">
            <w:pPr>
              <w:jc w:val="right"/>
              <w:rPr>
                <w:sz w:val="20"/>
                <w:szCs w:val="20"/>
              </w:rPr>
            </w:pPr>
            <w:r>
              <w:rPr>
                <w:sz w:val="20"/>
                <w:szCs w:val="20"/>
              </w:rPr>
              <w:t>540,138</w:t>
            </w:r>
          </w:p>
        </w:tc>
        <w:tc>
          <w:tcPr>
            <w:tcW w:w="1083" w:type="dxa"/>
          </w:tcPr>
          <w:p w14:paraId="741204C2" w14:textId="77777777" w:rsidR="000C2A54" w:rsidRPr="00B90FC7" w:rsidRDefault="000C2A54" w:rsidP="000C2A54">
            <w:pPr>
              <w:jc w:val="right"/>
              <w:rPr>
                <w:sz w:val="20"/>
                <w:szCs w:val="20"/>
              </w:rPr>
            </w:pPr>
          </w:p>
        </w:tc>
        <w:tc>
          <w:tcPr>
            <w:tcW w:w="1240" w:type="dxa"/>
          </w:tcPr>
          <w:p w14:paraId="724D8913" w14:textId="43DA5E08" w:rsidR="000C2A54" w:rsidRPr="00B90FC7" w:rsidRDefault="00E916F9" w:rsidP="00C9166E">
            <w:pPr>
              <w:jc w:val="right"/>
              <w:rPr>
                <w:sz w:val="20"/>
                <w:szCs w:val="20"/>
              </w:rPr>
            </w:pPr>
            <w:r>
              <w:rPr>
                <w:sz w:val="20"/>
                <w:szCs w:val="20"/>
              </w:rPr>
              <w:t>591,00</w:t>
            </w:r>
            <w:r w:rsidR="0027305F">
              <w:rPr>
                <w:sz w:val="20"/>
                <w:szCs w:val="20"/>
              </w:rPr>
              <w:t>4</w:t>
            </w:r>
          </w:p>
        </w:tc>
      </w:tr>
      <w:tr w:rsidR="000C2A54" w:rsidRPr="00287A60" w14:paraId="6DE384C6" w14:textId="77777777" w:rsidTr="000C2A54">
        <w:trPr>
          <w:jc w:val="center"/>
        </w:trPr>
        <w:tc>
          <w:tcPr>
            <w:tcW w:w="2800" w:type="dxa"/>
          </w:tcPr>
          <w:p w14:paraId="7BC3DDEF" w14:textId="77777777" w:rsidR="007B768A" w:rsidRDefault="007B768A" w:rsidP="000C2A54">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p>
          <w:p w14:paraId="24261D40" w14:textId="77777777" w:rsidR="000C2A54" w:rsidRPr="00B90FC7" w:rsidRDefault="000C2A54" w:rsidP="000C2A54">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r w:rsidRPr="00B90FC7">
              <w:rPr>
                <w:rFonts w:cs="Arial"/>
                <w:b/>
                <w:bCs/>
                <w:sz w:val="20"/>
                <w:szCs w:val="20"/>
              </w:rPr>
              <w:t>Current assets:</w:t>
            </w:r>
          </w:p>
        </w:tc>
        <w:tc>
          <w:tcPr>
            <w:tcW w:w="1541" w:type="dxa"/>
            <w:gridSpan w:val="4"/>
          </w:tcPr>
          <w:p w14:paraId="653CEACD" w14:textId="77777777" w:rsidR="000C2A54" w:rsidRPr="00B90FC7" w:rsidRDefault="000C2A54" w:rsidP="000C2A54">
            <w:pPr>
              <w:rPr>
                <w:b/>
                <w:sz w:val="20"/>
                <w:szCs w:val="20"/>
              </w:rPr>
            </w:pPr>
          </w:p>
        </w:tc>
        <w:tc>
          <w:tcPr>
            <w:tcW w:w="1080" w:type="dxa"/>
          </w:tcPr>
          <w:p w14:paraId="6D08B068" w14:textId="77777777" w:rsidR="000C2A54" w:rsidRPr="00B90FC7" w:rsidRDefault="000C2A54" w:rsidP="000C2A54">
            <w:pPr>
              <w:jc w:val="right"/>
              <w:rPr>
                <w:sz w:val="20"/>
                <w:szCs w:val="20"/>
              </w:rPr>
            </w:pPr>
          </w:p>
        </w:tc>
        <w:tc>
          <w:tcPr>
            <w:tcW w:w="1260" w:type="dxa"/>
          </w:tcPr>
          <w:p w14:paraId="0164823E" w14:textId="77777777" w:rsidR="000C2A54" w:rsidRPr="00B90FC7" w:rsidRDefault="000C2A54" w:rsidP="000C2A54">
            <w:pPr>
              <w:jc w:val="right"/>
              <w:rPr>
                <w:sz w:val="20"/>
                <w:szCs w:val="20"/>
              </w:rPr>
            </w:pPr>
          </w:p>
        </w:tc>
        <w:tc>
          <w:tcPr>
            <w:tcW w:w="1083" w:type="dxa"/>
          </w:tcPr>
          <w:p w14:paraId="07E52CC4" w14:textId="77777777" w:rsidR="000C2A54" w:rsidRPr="00B90FC7" w:rsidRDefault="000C2A54" w:rsidP="000C2A54">
            <w:pPr>
              <w:jc w:val="right"/>
              <w:rPr>
                <w:sz w:val="20"/>
                <w:szCs w:val="20"/>
              </w:rPr>
            </w:pPr>
          </w:p>
        </w:tc>
        <w:tc>
          <w:tcPr>
            <w:tcW w:w="1240" w:type="dxa"/>
          </w:tcPr>
          <w:p w14:paraId="7DF2FD12" w14:textId="77777777" w:rsidR="000C2A54" w:rsidRPr="00B90FC7" w:rsidRDefault="000C2A54" w:rsidP="000C2A54">
            <w:pPr>
              <w:jc w:val="right"/>
              <w:rPr>
                <w:sz w:val="20"/>
                <w:szCs w:val="20"/>
              </w:rPr>
            </w:pPr>
          </w:p>
        </w:tc>
      </w:tr>
      <w:tr w:rsidR="000C2A54" w:rsidRPr="00287A60" w14:paraId="4A6C7033" w14:textId="77777777" w:rsidTr="000C2A54">
        <w:trPr>
          <w:jc w:val="center"/>
        </w:trPr>
        <w:tc>
          <w:tcPr>
            <w:tcW w:w="3441" w:type="dxa"/>
            <w:gridSpan w:val="2"/>
          </w:tcPr>
          <w:p w14:paraId="4C699172" w14:textId="77777777" w:rsidR="000C2A54" w:rsidRPr="00B90FC7" w:rsidRDefault="000C2A54" w:rsidP="000C2A54">
            <w:pPr>
              <w:rPr>
                <w:b/>
                <w:sz w:val="20"/>
                <w:szCs w:val="20"/>
              </w:rPr>
            </w:pPr>
            <w:r w:rsidRPr="00B90FC7">
              <w:rPr>
                <w:rFonts w:cs="Arial"/>
                <w:sz w:val="20"/>
                <w:szCs w:val="20"/>
              </w:rPr>
              <w:t>Trade and other receivables</w:t>
            </w:r>
          </w:p>
        </w:tc>
        <w:tc>
          <w:tcPr>
            <w:tcW w:w="900" w:type="dxa"/>
            <w:gridSpan w:val="3"/>
          </w:tcPr>
          <w:p w14:paraId="08FDA373" w14:textId="77777777" w:rsidR="000C2A54" w:rsidRPr="00B90FC7" w:rsidRDefault="000C2A54" w:rsidP="000C2A54">
            <w:pPr>
              <w:jc w:val="center"/>
              <w:rPr>
                <w:b/>
                <w:sz w:val="20"/>
                <w:szCs w:val="20"/>
              </w:rPr>
            </w:pPr>
            <w:r>
              <w:rPr>
                <w:b/>
                <w:sz w:val="20"/>
                <w:szCs w:val="20"/>
              </w:rPr>
              <w:t>9</w:t>
            </w:r>
          </w:p>
        </w:tc>
        <w:tc>
          <w:tcPr>
            <w:tcW w:w="1080" w:type="dxa"/>
          </w:tcPr>
          <w:p w14:paraId="05742EE0" w14:textId="77777777" w:rsidR="000C2A54" w:rsidRPr="00B90FC7" w:rsidRDefault="00E916F9" w:rsidP="000C2A54">
            <w:pPr>
              <w:jc w:val="right"/>
              <w:rPr>
                <w:sz w:val="20"/>
                <w:szCs w:val="20"/>
              </w:rPr>
            </w:pPr>
            <w:r>
              <w:rPr>
                <w:sz w:val="20"/>
                <w:szCs w:val="20"/>
              </w:rPr>
              <w:t>61,507</w:t>
            </w:r>
          </w:p>
        </w:tc>
        <w:tc>
          <w:tcPr>
            <w:tcW w:w="1260" w:type="dxa"/>
          </w:tcPr>
          <w:p w14:paraId="5536EE69" w14:textId="77777777" w:rsidR="000C2A54" w:rsidRPr="00B90FC7" w:rsidRDefault="000C2A54" w:rsidP="000C2A54">
            <w:pPr>
              <w:jc w:val="right"/>
              <w:rPr>
                <w:sz w:val="20"/>
                <w:szCs w:val="20"/>
              </w:rPr>
            </w:pPr>
          </w:p>
        </w:tc>
        <w:tc>
          <w:tcPr>
            <w:tcW w:w="1083" w:type="dxa"/>
          </w:tcPr>
          <w:p w14:paraId="37652456" w14:textId="77777777" w:rsidR="000C2A54" w:rsidRPr="00B90FC7" w:rsidRDefault="00E916F9" w:rsidP="000C2A54">
            <w:pPr>
              <w:jc w:val="right"/>
              <w:rPr>
                <w:sz w:val="20"/>
                <w:szCs w:val="20"/>
              </w:rPr>
            </w:pPr>
            <w:r>
              <w:rPr>
                <w:sz w:val="20"/>
                <w:szCs w:val="20"/>
              </w:rPr>
              <w:t>47,409</w:t>
            </w:r>
          </w:p>
        </w:tc>
        <w:tc>
          <w:tcPr>
            <w:tcW w:w="1240" w:type="dxa"/>
          </w:tcPr>
          <w:p w14:paraId="3E2FCA30" w14:textId="77777777" w:rsidR="000C2A54" w:rsidRPr="00B90FC7" w:rsidRDefault="000C2A54" w:rsidP="000C2A54">
            <w:pPr>
              <w:jc w:val="right"/>
              <w:rPr>
                <w:sz w:val="20"/>
                <w:szCs w:val="20"/>
              </w:rPr>
            </w:pPr>
          </w:p>
        </w:tc>
      </w:tr>
      <w:tr w:rsidR="000C2A54" w:rsidRPr="00287A60" w14:paraId="5C74451A" w14:textId="77777777" w:rsidTr="000C2A54">
        <w:trPr>
          <w:jc w:val="center"/>
        </w:trPr>
        <w:tc>
          <w:tcPr>
            <w:tcW w:w="3441" w:type="dxa"/>
            <w:gridSpan w:val="2"/>
          </w:tcPr>
          <w:p w14:paraId="3D19296C" w14:textId="77777777" w:rsidR="000C2A54" w:rsidRPr="00B90FC7" w:rsidRDefault="000C2A54" w:rsidP="000C2A54">
            <w:pPr>
              <w:rPr>
                <w:b/>
                <w:sz w:val="20"/>
                <w:szCs w:val="20"/>
              </w:rPr>
            </w:pPr>
            <w:r w:rsidRPr="00B90FC7">
              <w:rPr>
                <w:rFonts w:cs="Arial"/>
                <w:sz w:val="20"/>
                <w:szCs w:val="20"/>
              </w:rPr>
              <w:t>Cash and cash equivalents</w:t>
            </w:r>
          </w:p>
        </w:tc>
        <w:tc>
          <w:tcPr>
            <w:tcW w:w="900" w:type="dxa"/>
            <w:gridSpan w:val="3"/>
          </w:tcPr>
          <w:p w14:paraId="0956E65C" w14:textId="77777777" w:rsidR="000C2A54" w:rsidRPr="00B90FC7" w:rsidRDefault="000C2A54" w:rsidP="000C2A54">
            <w:pPr>
              <w:jc w:val="center"/>
              <w:rPr>
                <w:b/>
                <w:sz w:val="20"/>
                <w:szCs w:val="20"/>
              </w:rPr>
            </w:pPr>
            <w:r>
              <w:rPr>
                <w:b/>
                <w:sz w:val="20"/>
                <w:szCs w:val="20"/>
              </w:rPr>
              <w:t>10</w:t>
            </w:r>
          </w:p>
        </w:tc>
        <w:tc>
          <w:tcPr>
            <w:tcW w:w="1080" w:type="dxa"/>
            <w:tcBorders>
              <w:bottom w:val="single" w:sz="4" w:space="0" w:color="auto"/>
            </w:tcBorders>
          </w:tcPr>
          <w:p w14:paraId="65D00DE5" w14:textId="77777777" w:rsidR="000C2A54" w:rsidRPr="00B90FC7" w:rsidRDefault="00E916F9" w:rsidP="000C2A54">
            <w:pPr>
              <w:jc w:val="right"/>
              <w:rPr>
                <w:sz w:val="20"/>
                <w:szCs w:val="20"/>
              </w:rPr>
            </w:pPr>
            <w:r>
              <w:rPr>
                <w:sz w:val="20"/>
                <w:szCs w:val="20"/>
              </w:rPr>
              <w:t>541,738</w:t>
            </w:r>
          </w:p>
        </w:tc>
        <w:tc>
          <w:tcPr>
            <w:tcW w:w="1260" w:type="dxa"/>
          </w:tcPr>
          <w:p w14:paraId="79B1E60D" w14:textId="77777777" w:rsidR="000C2A54" w:rsidRPr="00B90FC7" w:rsidRDefault="000C2A54" w:rsidP="000C2A54">
            <w:pPr>
              <w:jc w:val="right"/>
              <w:rPr>
                <w:sz w:val="20"/>
                <w:szCs w:val="20"/>
              </w:rPr>
            </w:pPr>
          </w:p>
        </w:tc>
        <w:tc>
          <w:tcPr>
            <w:tcW w:w="1083" w:type="dxa"/>
            <w:tcBorders>
              <w:bottom w:val="single" w:sz="4" w:space="0" w:color="auto"/>
            </w:tcBorders>
          </w:tcPr>
          <w:p w14:paraId="38D37516" w14:textId="77777777" w:rsidR="000C2A54" w:rsidRPr="00B90FC7" w:rsidRDefault="00E916F9" w:rsidP="000C2A54">
            <w:pPr>
              <w:jc w:val="right"/>
              <w:rPr>
                <w:sz w:val="20"/>
                <w:szCs w:val="20"/>
              </w:rPr>
            </w:pPr>
            <w:r>
              <w:rPr>
                <w:sz w:val="20"/>
                <w:szCs w:val="20"/>
              </w:rPr>
              <w:t>340,338</w:t>
            </w:r>
          </w:p>
        </w:tc>
        <w:tc>
          <w:tcPr>
            <w:tcW w:w="1240" w:type="dxa"/>
          </w:tcPr>
          <w:p w14:paraId="233FAA48" w14:textId="77777777" w:rsidR="000C2A54" w:rsidRPr="00B90FC7" w:rsidRDefault="000C2A54" w:rsidP="000C2A54">
            <w:pPr>
              <w:jc w:val="right"/>
              <w:rPr>
                <w:sz w:val="20"/>
                <w:szCs w:val="20"/>
              </w:rPr>
            </w:pPr>
          </w:p>
        </w:tc>
      </w:tr>
      <w:tr w:rsidR="000C2A54" w:rsidRPr="00287A60" w14:paraId="700C26D7" w14:textId="77777777" w:rsidTr="000C2A54">
        <w:trPr>
          <w:jc w:val="center"/>
        </w:trPr>
        <w:tc>
          <w:tcPr>
            <w:tcW w:w="3622" w:type="dxa"/>
            <w:gridSpan w:val="3"/>
          </w:tcPr>
          <w:p w14:paraId="738BD214" w14:textId="77777777" w:rsidR="000C2A54" w:rsidRPr="00B90FC7" w:rsidRDefault="000C2A54" w:rsidP="000C2A54">
            <w:pPr>
              <w:rPr>
                <w:rFonts w:cs="Arial"/>
                <w:b/>
                <w:sz w:val="20"/>
                <w:szCs w:val="20"/>
              </w:rPr>
            </w:pPr>
            <w:r w:rsidRPr="00B90FC7">
              <w:rPr>
                <w:rFonts w:cs="Arial"/>
                <w:b/>
                <w:sz w:val="20"/>
                <w:szCs w:val="20"/>
              </w:rPr>
              <w:t>Total current assets</w:t>
            </w:r>
          </w:p>
          <w:p w14:paraId="56074F16" w14:textId="77777777" w:rsidR="000C2A54" w:rsidRPr="00B90FC7" w:rsidRDefault="000C2A54" w:rsidP="000C2A54">
            <w:pPr>
              <w:rPr>
                <w:b/>
                <w:sz w:val="20"/>
                <w:szCs w:val="20"/>
              </w:rPr>
            </w:pPr>
          </w:p>
        </w:tc>
        <w:tc>
          <w:tcPr>
            <w:tcW w:w="719" w:type="dxa"/>
            <w:gridSpan w:val="2"/>
          </w:tcPr>
          <w:p w14:paraId="7171E8B7" w14:textId="77777777" w:rsidR="000C2A54" w:rsidRPr="00B90FC7" w:rsidRDefault="000C2A54" w:rsidP="000C2A54">
            <w:pPr>
              <w:rPr>
                <w:b/>
                <w:sz w:val="20"/>
                <w:szCs w:val="20"/>
              </w:rPr>
            </w:pPr>
          </w:p>
        </w:tc>
        <w:tc>
          <w:tcPr>
            <w:tcW w:w="1080" w:type="dxa"/>
            <w:tcBorders>
              <w:top w:val="single" w:sz="4" w:space="0" w:color="auto"/>
            </w:tcBorders>
          </w:tcPr>
          <w:p w14:paraId="39F999A2" w14:textId="77777777" w:rsidR="000C2A54" w:rsidRPr="00B90FC7" w:rsidRDefault="000C2A54" w:rsidP="000C2A54">
            <w:pPr>
              <w:jc w:val="right"/>
              <w:rPr>
                <w:sz w:val="20"/>
                <w:szCs w:val="20"/>
              </w:rPr>
            </w:pPr>
          </w:p>
        </w:tc>
        <w:tc>
          <w:tcPr>
            <w:tcW w:w="1260" w:type="dxa"/>
            <w:tcBorders>
              <w:bottom w:val="single" w:sz="4" w:space="0" w:color="auto"/>
            </w:tcBorders>
          </w:tcPr>
          <w:p w14:paraId="3787BE15" w14:textId="77777777" w:rsidR="000C2A54" w:rsidRPr="00B90FC7" w:rsidRDefault="00E916F9" w:rsidP="000C2A54">
            <w:pPr>
              <w:jc w:val="right"/>
              <w:rPr>
                <w:sz w:val="20"/>
                <w:szCs w:val="20"/>
              </w:rPr>
            </w:pPr>
            <w:r>
              <w:rPr>
                <w:sz w:val="20"/>
                <w:szCs w:val="20"/>
              </w:rPr>
              <w:t>603,245</w:t>
            </w:r>
          </w:p>
        </w:tc>
        <w:tc>
          <w:tcPr>
            <w:tcW w:w="1083" w:type="dxa"/>
            <w:tcBorders>
              <w:top w:val="single" w:sz="4" w:space="0" w:color="auto"/>
            </w:tcBorders>
          </w:tcPr>
          <w:p w14:paraId="6D940A7C" w14:textId="77777777" w:rsidR="000C2A54" w:rsidRPr="00B90FC7" w:rsidRDefault="000C2A54" w:rsidP="000C2A54">
            <w:pPr>
              <w:jc w:val="right"/>
              <w:rPr>
                <w:sz w:val="20"/>
                <w:szCs w:val="20"/>
              </w:rPr>
            </w:pPr>
          </w:p>
        </w:tc>
        <w:tc>
          <w:tcPr>
            <w:tcW w:w="1240" w:type="dxa"/>
            <w:tcBorders>
              <w:bottom w:val="single" w:sz="4" w:space="0" w:color="auto"/>
            </w:tcBorders>
          </w:tcPr>
          <w:p w14:paraId="63633599" w14:textId="77777777" w:rsidR="000C2A54" w:rsidRPr="00B90FC7" w:rsidRDefault="00E916F9" w:rsidP="000C2A54">
            <w:pPr>
              <w:jc w:val="right"/>
              <w:rPr>
                <w:sz w:val="20"/>
                <w:szCs w:val="20"/>
              </w:rPr>
            </w:pPr>
            <w:r>
              <w:rPr>
                <w:sz w:val="20"/>
                <w:szCs w:val="20"/>
              </w:rPr>
              <w:t>387,747</w:t>
            </w:r>
          </w:p>
        </w:tc>
      </w:tr>
      <w:tr w:rsidR="000C2A54" w:rsidRPr="00287A60" w14:paraId="1349EBF0" w14:textId="77777777" w:rsidTr="000C2A54">
        <w:trPr>
          <w:jc w:val="center"/>
        </w:trPr>
        <w:tc>
          <w:tcPr>
            <w:tcW w:w="3441" w:type="dxa"/>
            <w:gridSpan w:val="2"/>
          </w:tcPr>
          <w:p w14:paraId="1D3AF467" w14:textId="77777777" w:rsidR="000C2A54" w:rsidRPr="00B90FC7" w:rsidRDefault="000C2A54" w:rsidP="000C2A54">
            <w:pPr>
              <w:rPr>
                <w:rFonts w:cs="Arial"/>
                <w:b/>
                <w:bCs/>
                <w:sz w:val="20"/>
                <w:szCs w:val="20"/>
              </w:rPr>
            </w:pPr>
          </w:p>
          <w:p w14:paraId="79BED547" w14:textId="77777777" w:rsidR="000C2A54" w:rsidRPr="00B90FC7" w:rsidRDefault="000C2A54" w:rsidP="000C2A54">
            <w:pPr>
              <w:rPr>
                <w:b/>
                <w:sz w:val="20"/>
                <w:szCs w:val="20"/>
              </w:rPr>
            </w:pPr>
            <w:r w:rsidRPr="00B90FC7">
              <w:rPr>
                <w:rFonts w:cs="Arial"/>
                <w:b/>
                <w:bCs/>
                <w:sz w:val="20"/>
                <w:szCs w:val="20"/>
              </w:rPr>
              <w:t>Total assets</w:t>
            </w:r>
          </w:p>
        </w:tc>
        <w:tc>
          <w:tcPr>
            <w:tcW w:w="900" w:type="dxa"/>
            <w:gridSpan w:val="3"/>
          </w:tcPr>
          <w:p w14:paraId="2908F809" w14:textId="77777777" w:rsidR="000C2A54" w:rsidRPr="00B90FC7" w:rsidRDefault="000C2A54" w:rsidP="000C2A54">
            <w:pPr>
              <w:rPr>
                <w:b/>
                <w:sz w:val="20"/>
                <w:szCs w:val="20"/>
              </w:rPr>
            </w:pPr>
          </w:p>
        </w:tc>
        <w:tc>
          <w:tcPr>
            <w:tcW w:w="1080" w:type="dxa"/>
          </w:tcPr>
          <w:p w14:paraId="582032D5" w14:textId="77777777" w:rsidR="000C2A54" w:rsidRPr="00B90FC7" w:rsidRDefault="000C2A54" w:rsidP="000C2A54">
            <w:pPr>
              <w:jc w:val="right"/>
              <w:rPr>
                <w:sz w:val="20"/>
                <w:szCs w:val="20"/>
              </w:rPr>
            </w:pPr>
          </w:p>
        </w:tc>
        <w:tc>
          <w:tcPr>
            <w:tcW w:w="1260" w:type="dxa"/>
            <w:tcBorders>
              <w:top w:val="single" w:sz="4" w:space="0" w:color="auto"/>
              <w:bottom w:val="single" w:sz="4" w:space="0" w:color="auto"/>
            </w:tcBorders>
          </w:tcPr>
          <w:p w14:paraId="664AECBE" w14:textId="77777777" w:rsidR="00737D30" w:rsidRDefault="00737D30" w:rsidP="00737D30">
            <w:pPr>
              <w:jc w:val="right"/>
              <w:rPr>
                <w:sz w:val="20"/>
                <w:szCs w:val="20"/>
              </w:rPr>
            </w:pPr>
          </w:p>
          <w:p w14:paraId="63692D48" w14:textId="77777777" w:rsidR="00E916F9" w:rsidRPr="00B90FC7" w:rsidRDefault="00E916F9" w:rsidP="00737D30">
            <w:pPr>
              <w:jc w:val="right"/>
              <w:rPr>
                <w:sz w:val="20"/>
                <w:szCs w:val="20"/>
              </w:rPr>
            </w:pPr>
            <w:r>
              <w:rPr>
                <w:sz w:val="20"/>
                <w:szCs w:val="20"/>
              </w:rPr>
              <w:t>1,143,383</w:t>
            </w:r>
          </w:p>
        </w:tc>
        <w:tc>
          <w:tcPr>
            <w:tcW w:w="1083" w:type="dxa"/>
          </w:tcPr>
          <w:p w14:paraId="54FB1173" w14:textId="77777777" w:rsidR="000C2A54" w:rsidRPr="00B90FC7" w:rsidRDefault="000C2A54" w:rsidP="000C2A54">
            <w:pPr>
              <w:jc w:val="right"/>
              <w:rPr>
                <w:sz w:val="20"/>
                <w:szCs w:val="20"/>
              </w:rPr>
            </w:pPr>
          </w:p>
        </w:tc>
        <w:tc>
          <w:tcPr>
            <w:tcW w:w="1240" w:type="dxa"/>
            <w:tcBorders>
              <w:top w:val="single" w:sz="4" w:space="0" w:color="auto"/>
              <w:bottom w:val="single" w:sz="4" w:space="0" w:color="auto"/>
            </w:tcBorders>
          </w:tcPr>
          <w:p w14:paraId="3ED95101" w14:textId="77777777" w:rsidR="000C2A54" w:rsidRDefault="000C2A54" w:rsidP="000C2A54">
            <w:pPr>
              <w:jc w:val="right"/>
              <w:rPr>
                <w:sz w:val="20"/>
                <w:szCs w:val="20"/>
              </w:rPr>
            </w:pPr>
          </w:p>
          <w:p w14:paraId="3205603E" w14:textId="77777777" w:rsidR="00E916F9" w:rsidRPr="003B42D9" w:rsidRDefault="00E916F9" w:rsidP="000C2A54">
            <w:pPr>
              <w:jc w:val="right"/>
              <w:rPr>
                <w:sz w:val="20"/>
                <w:szCs w:val="20"/>
              </w:rPr>
            </w:pPr>
            <w:r>
              <w:rPr>
                <w:sz w:val="20"/>
                <w:szCs w:val="20"/>
              </w:rPr>
              <w:t>978,750</w:t>
            </w:r>
          </w:p>
        </w:tc>
      </w:tr>
      <w:tr w:rsidR="000C2A54" w:rsidRPr="00287A60" w14:paraId="445138B1" w14:textId="77777777" w:rsidTr="000C2A54">
        <w:trPr>
          <w:jc w:val="center"/>
        </w:trPr>
        <w:tc>
          <w:tcPr>
            <w:tcW w:w="3441" w:type="dxa"/>
            <w:gridSpan w:val="2"/>
          </w:tcPr>
          <w:p w14:paraId="15ED1F9F" w14:textId="77777777" w:rsidR="007B768A" w:rsidRDefault="007B768A" w:rsidP="000C2A54">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p>
          <w:p w14:paraId="44E2CA8A" w14:textId="77777777" w:rsidR="000C2A54" w:rsidRPr="00B90FC7" w:rsidRDefault="000C2A54" w:rsidP="000C2A54">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r w:rsidRPr="00B90FC7">
              <w:rPr>
                <w:rFonts w:cs="Arial"/>
                <w:b/>
                <w:bCs/>
                <w:sz w:val="20"/>
                <w:szCs w:val="20"/>
              </w:rPr>
              <w:t>Current liabilities:</w:t>
            </w:r>
          </w:p>
        </w:tc>
        <w:tc>
          <w:tcPr>
            <w:tcW w:w="900" w:type="dxa"/>
            <w:gridSpan w:val="3"/>
          </w:tcPr>
          <w:p w14:paraId="4B80D750" w14:textId="77777777" w:rsidR="000C2A54" w:rsidRPr="00B90FC7" w:rsidRDefault="000C2A54" w:rsidP="000C2A54">
            <w:pPr>
              <w:rPr>
                <w:b/>
                <w:sz w:val="20"/>
                <w:szCs w:val="20"/>
              </w:rPr>
            </w:pPr>
          </w:p>
        </w:tc>
        <w:tc>
          <w:tcPr>
            <w:tcW w:w="1080" w:type="dxa"/>
          </w:tcPr>
          <w:p w14:paraId="28D10755" w14:textId="77777777" w:rsidR="000C2A54" w:rsidRPr="00B90FC7" w:rsidRDefault="000C2A54" w:rsidP="000C2A54">
            <w:pPr>
              <w:jc w:val="right"/>
              <w:rPr>
                <w:sz w:val="20"/>
                <w:szCs w:val="20"/>
              </w:rPr>
            </w:pPr>
          </w:p>
        </w:tc>
        <w:tc>
          <w:tcPr>
            <w:tcW w:w="1260" w:type="dxa"/>
            <w:tcBorders>
              <w:top w:val="single" w:sz="4" w:space="0" w:color="auto"/>
            </w:tcBorders>
          </w:tcPr>
          <w:p w14:paraId="7613179A" w14:textId="77777777" w:rsidR="000C2A54" w:rsidRPr="00B90FC7" w:rsidRDefault="000C2A54" w:rsidP="000C2A54">
            <w:pPr>
              <w:jc w:val="right"/>
              <w:rPr>
                <w:sz w:val="20"/>
                <w:szCs w:val="20"/>
              </w:rPr>
            </w:pPr>
          </w:p>
        </w:tc>
        <w:tc>
          <w:tcPr>
            <w:tcW w:w="1083" w:type="dxa"/>
          </w:tcPr>
          <w:p w14:paraId="557D52F9" w14:textId="77777777" w:rsidR="000C2A54" w:rsidRPr="00B90FC7" w:rsidRDefault="000C2A54" w:rsidP="000C2A54">
            <w:pPr>
              <w:jc w:val="right"/>
              <w:rPr>
                <w:sz w:val="20"/>
                <w:szCs w:val="20"/>
              </w:rPr>
            </w:pPr>
          </w:p>
        </w:tc>
        <w:tc>
          <w:tcPr>
            <w:tcW w:w="1240" w:type="dxa"/>
            <w:tcBorders>
              <w:top w:val="single" w:sz="4" w:space="0" w:color="auto"/>
            </w:tcBorders>
          </w:tcPr>
          <w:p w14:paraId="43E5072E" w14:textId="77777777" w:rsidR="000C2A54" w:rsidRPr="00B90FC7" w:rsidRDefault="000C2A54" w:rsidP="000C2A54">
            <w:pPr>
              <w:jc w:val="right"/>
              <w:rPr>
                <w:sz w:val="20"/>
                <w:szCs w:val="20"/>
              </w:rPr>
            </w:pPr>
          </w:p>
        </w:tc>
      </w:tr>
      <w:tr w:rsidR="000C2A54" w:rsidRPr="00287A60" w14:paraId="750BE1E4" w14:textId="77777777" w:rsidTr="000C2A54">
        <w:trPr>
          <w:jc w:val="center"/>
        </w:trPr>
        <w:tc>
          <w:tcPr>
            <w:tcW w:w="3441" w:type="dxa"/>
            <w:gridSpan w:val="2"/>
          </w:tcPr>
          <w:p w14:paraId="7AF8B4FD" w14:textId="77777777" w:rsidR="000C2A54" w:rsidRPr="00737D30" w:rsidRDefault="000C2A54" w:rsidP="000C2A54">
            <w:pPr>
              <w:rPr>
                <w:rFonts w:cs="Arial"/>
                <w:sz w:val="20"/>
                <w:szCs w:val="20"/>
              </w:rPr>
            </w:pPr>
            <w:r w:rsidRPr="00B90FC7">
              <w:rPr>
                <w:rFonts w:cs="Arial"/>
                <w:sz w:val="20"/>
                <w:szCs w:val="20"/>
              </w:rPr>
              <w:t>Trade and other payables</w:t>
            </w:r>
          </w:p>
        </w:tc>
        <w:tc>
          <w:tcPr>
            <w:tcW w:w="900" w:type="dxa"/>
            <w:gridSpan w:val="3"/>
          </w:tcPr>
          <w:p w14:paraId="3244542F" w14:textId="77777777" w:rsidR="000C2A54" w:rsidRPr="00B90FC7" w:rsidRDefault="000C2A54" w:rsidP="00737D30">
            <w:pPr>
              <w:jc w:val="center"/>
              <w:rPr>
                <w:b/>
                <w:sz w:val="20"/>
                <w:szCs w:val="20"/>
              </w:rPr>
            </w:pPr>
            <w:r>
              <w:rPr>
                <w:b/>
                <w:sz w:val="20"/>
                <w:szCs w:val="20"/>
              </w:rPr>
              <w:t>11</w:t>
            </w:r>
          </w:p>
        </w:tc>
        <w:tc>
          <w:tcPr>
            <w:tcW w:w="1080" w:type="dxa"/>
          </w:tcPr>
          <w:p w14:paraId="025E55BC" w14:textId="77777777" w:rsidR="000C2A54" w:rsidRPr="00B90FC7" w:rsidRDefault="000C2A54" w:rsidP="000C2A54">
            <w:pPr>
              <w:jc w:val="right"/>
              <w:rPr>
                <w:sz w:val="20"/>
                <w:szCs w:val="20"/>
              </w:rPr>
            </w:pPr>
          </w:p>
        </w:tc>
        <w:tc>
          <w:tcPr>
            <w:tcW w:w="1260" w:type="dxa"/>
            <w:tcBorders>
              <w:bottom w:val="single" w:sz="4" w:space="0" w:color="auto"/>
            </w:tcBorders>
          </w:tcPr>
          <w:p w14:paraId="780BCBC9" w14:textId="544A4B85" w:rsidR="00737D30" w:rsidRPr="00B90FC7" w:rsidRDefault="00A672F7" w:rsidP="00737D30">
            <w:pPr>
              <w:jc w:val="right"/>
              <w:rPr>
                <w:sz w:val="20"/>
                <w:szCs w:val="20"/>
              </w:rPr>
            </w:pPr>
            <w:r>
              <w:rPr>
                <w:sz w:val="20"/>
                <w:szCs w:val="20"/>
              </w:rPr>
              <w:t>219,330</w:t>
            </w:r>
          </w:p>
        </w:tc>
        <w:tc>
          <w:tcPr>
            <w:tcW w:w="1083" w:type="dxa"/>
          </w:tcPr>
          <w:p w14:paraId="7795CA97" w14:textId="77777777" w:rsidR="000C2A54" w:rsidRPr="00B90FC7" w:rsidRDefault="000C2A54" w:rsidP="00737D30">
            <w:pPr>
              <w:jc w:val="center"/>
              <w:rPr>
                <w:sz w:val="20"/>
                <w:szCs w:val="20"/>
              </w:rPr>
            </w:pPr>
          </w:p>
        </w:tc>
        <w:tc>
          <w:tcPr>
            <w:tcW w:w="1240" w:type="dxa"/>
            <w:tcBorders>
              <w:bottom w:val="single" w:sz="4" w:space="0" w:color="auto"/>
            </w:tcBorders>
          </w:tcPr>
          <w:p w14:paraId="4889FB44" w14:textId="77777777" w:rsidR="00737D30" w:rsidRDefault="00E916F9" w:rsidP="00737D30">
            <w:pPr>
              <w:jc w:val="right"/>
              <w:rPr>
                <w:sz w:val="20"/>
                <w:szCs w:val="20"/>
              </w:rPr>
            </w:pPr>
            <w:r>
              <w:rPr>
                <w:sz w:val="20"/>
                <w:szCs w:val="20"/>
              </w:rPr>
              <w:t>278,415</w:t>
            </w:r>
          </w:p>
          <w:p w14:paraId="707935A5" w14:textId="77777777" w:rsidR="00737D30" w:rsidRPr="00B90FC7" w:rsidRDefault="00737D30" w:rsidP="00737D30">
            <w:pPr>
              <w:jc w:val="right"/>
              <w:rPr>
                <w:sz w:val="20"/>
                <w:szCs w:val="20"/>
              </w:rPr>
            </w:pPr>
          </w:p>
        </w:tc>
      </w:tr>
      <w:tr w:rsidR="000C2A54" w:rsidRPr="00394E89" w14:paraId="14D95293" w14:textId="77777777" w:rsidTr="000C2A54">
        <w:trPr>
          <w:jc w:val="center"/>
        </w:trPr>
        <w:tc>
          <w:tcPr>
            <w:tcW w:w="3622" w:type="dxa"/>
            <w:gridSpan w:val="3"/>
          </w:tcPr>
          <w:p w14:paraId="63E5D7D8" w14:textId="77777777" w:rsidR="000C2A54" w:rsidRPr="003902AD" w:rsidRDefault="000C2A54" w:rsidP="000C2A54">
            <w:pPr>
              <w:rPr>
                <w:rFonts w:cs="Arial"/>
                <w:b/>
                <w:bCs/>
                <w:sz w:val="20"/>
                <w:szCs w:val="20"/>
              </w:rPr>
            </w:pPr>
            <w:r w:rsidRPr="00B90FC7">
              <w:rPr>
                <w:rFonts w:cs="Arial"/>
                <w:b/>
                <w:sz w:val="20"/>
                <w:szCs w:val="20"/>
              </w:rPr>
              <w:t xml:space="preserve">Total current </w:t>
            </w:r>
            <w:r w:rsidRPr="00B90FC7">
              <w:rPr>
                <w:rFonts w:cs="Arial"/>
                <w:b/>
                <w:bCs/>
                <w:sz w:val="20"/>
                <w:szCs w:val="20"/>
              </w:rPr>
              <w:t>liabilities</w:t>
            </w:r>
          </w:p>
        </w:tc>
        <w:tc>
          <w:tcPr>
            <w:tcW w:w="719" w:type="dxa"/>
            <w:gridSpan w:val="2"/>
          </w:tcPr>
          <w:p w14:paraId="03966897" w14:textId="77777777" w:rsidR="000C2A54" w:rsidRPr="00B90FC7" w:rsidRDefault="000C2A54" w:rsidP="000C2A54">
            <w:pPr>
              <w:rPr>
                <w:b/>
                <w:sz w:val="20"/>
                <w:szCs w:val="20"/>
              </w:rPr>
            </w:pPr>
          </w:p>
        </w:tc>
        <w:tc>
          <w:tcPr>
            <w:tcW w:w="1080" w:type="dxa"/>
          </w:tcPr>
          <w:p w14:paraId="3C372AA5" w14:textId="77777777" w:rsidR="000C2A54" w:rsidRPr="00B90FC7" w:rsidRDefault="000C2A54" w:rsidP="000C2A54">
            <w:pPr>
              <w:jc w:val="right"/>
              <w:rPr>
                <w:sz w:val="20"/>
                <w:szCs w:val="20"/>
              </w:rPr>
            </w:pPr>
          </w:p>
        </w:tc>
        <w:tc>
          <w:tcPr>
            <w:tcW w:w="1260" w:type="dxa"/>
            <w:tcBorders>
              <w:top w:val="single" w:sz="4" w:space="0" w:color="auto"/>
              <w:bottom w:val="single" w:sz="4" w:space="0" w:color="auto"/>
            </w:tcBorders>
          </w:tcPr>
          <w:p w14:paraId="2B6BC1DA" w14:textId="41400761" w:rsidR="000C2A54" w:rsidRPr="00B90FC7" w:rsidRDefault="00A672F7" w:rsidP="000C2A54">
            <w:pPr>
              <w:jc w:val="right"/>
              <w:rPr>
                <w:sz w:val="20"/>
                <w:szCs w:val="20"/>
              </w:rPr>
            </w:pPr>
            <w:r>
              <w:rPr>
                <w:sz w:val="20"/>
                <w:szCs w:val="20"/>
              </w:rPr>
              <w:t>219,330</w:t>
            </w:r>
          </w:p>
        </w:tc>
        <w:tc>
          <w:tcPr>
            <w:tcW w:w="1083" w:type="dxa"/>
          </w:tcPr>
          <w:p w14:paraId="5FF88DBA" w14:textId="77777777" w:rsidR="000C2A54" w:rsidRPr="00B90FC7" w:rsidRDefault="000C2A54" w:rsidP="000C2A54">
            <w:pPr>
              <w:jc w:val="right"/>
              <w:rPr>
                <w:sz w:val="20"/>
                <w:szCs w:val="20"/>
              </w:rPr>
            </w:pPr>
          </w:p>
        </w:tc>
        <w:tc>
          <w:tcPr>
            <w:tcW w:w="1240" w:type="dxa"/>
            <w:tcBorders>
              <w:top w:val="single" w:sz="4" w:space="0" w:color="auto"/>
              <w:bottom w:val="single" w:sz="4" w:space="0" w:color="auto"/>
            </w:tcBorders>
          </w:tcPr>
          <w:p w14:paraId="5D6207FD" w14:textId="77777777" w:rsidR="000C2A54" w:rsidRPr="00B90FC7" w:rsidRDefault="00E916F9" w:rsidP="007D6AD0">
            <w:pPr>
              <w:jc w:val="right"/>
              <w:rPr>
                <w:sz w:val="20"/>
                <w:szCs w:val="20"/>
              </w:rPr>
            </w:pPr>
            <w:r>
              <w:rPr>
                <w:sz w:val="20"/>
                <w:szCs w:val="20"/>
              </w:rPr>
              <w:t>278,415</w:t>
            </w:r>
          </w:p>
        </w:tc>
      </w:tr>
      <w:tr w:rsidR="000C2A54" w:rsidRPr="00287A60" w14:paraId="50EB0AF7" w14:textId="77777777" w:rsidTr="000C2A54">
        <w:trPr>
          <w:jc w:val="center"/>
        </w:trPr>
        <w:tc>
          <w:tcPr>
            <w:tcW w:w="3622" w:type="dxa"/>
            <w:gridSpan w:val="3"/>
          </w:tcPr>
          <w:p w14:paraId="704186D3" w14:textId="77777777" w:rsidR="00737D30" w:rsidRDefault="00737D30" w:rsidP="000C2A54">
            <w:pPr>
              <w:rPr>
                <w:rFonts w:cs="Arial"/>
                <w:b/>
                <w:sz w:val="20"/>
                <w:szCs w:val="20"/>
                <w:lang w:val="fr-FR"/>
              </w:rPr>
            </w:pPr>
          </w:p>
          <w:p w14:paraId="1CDE3A0D" w14:textId="77777777" w:rsidR="00737D30" w:rsidRDefault="00737D30" w:rsidP="000C2A54">
            <w:pPr>
              <w:rPr>
                <w:rFonts w:cs="Arial"/>
                <w:b/>
                <w:sz w:val="20"/>
                <w:szCs w:val="20"/>
                <w:lang w:val="fr-FR"/>
              </w:rPr>
            </w:pPr>
            <w:r>
              <w:rPr>
                <w:rFonts w:cs="Arial"/>
                <w:b/>
                <w:sz w:val="20"/>
                <w:szCs w:val="20"/>
                <w:lang w:val="fr-FR"/>
              </w:rPr>
              <w:t>Non Current Liabilities</w:t>
            </w:r>
          </w:p>
          <w:p w14:paraId="1465BFB2" w14:textId="77777777" w:rsidR="00737D30" w:rsidRDefault="00737D30" w:rsidP="000C2A54">
            <w:pPr>
              <w:rPr>
                <w:rFonts w:cs="Arial"/>
                <w:sz w:val="20"/>
                <w:szCs w:val="20"/>
                <w:lang w:val="fr-FR"/>
              </w:rPr>
            </w:pPr>
            <w:r>
              <w:rPr>
                <w:rFonts w:cs="Arial"/>
                <w:sz w:val="20"/>
                <w:szCs w:val="20"/>
                <w:lang w:val="fr-FR"/>
              </w:rPr>
              <w:t>Provisions – Dilapidations</w:t>
            </w:r>
          </w:p>
          <w:p w14:paraId="1E77C145" w14:textId="77777777" w:rsidR="00737D30" w:rsidRPr="00737D30" w:rsidRDefault="00737D30" w:rsidP="000C2A54">
            <w:pPr>
              <w:rPr>
                <w:rFonts w:cs="Arial"/>
                <w:sz w:val="20"/>
                <w:szCs w:val="20"/>
                <w:lang w:val="fr-FR"/>
              </w:rPr>
            </w:pPr>
          </w:p>
          <w:p w14:paraId="733E30FB" w14:textId="77777777" w:rsidR="003902AD" w:rsidRDefault="003902AD" w:rsidP="000C2A54">
            <w:pPr>
              <w:rPr>
                <w:rFonts w:cs="Arial"/>
                <w:b/>
                <w:sz w:val="20"/>
                <w:szCs w:val="20"/>
                <w:lang w:val="fr-FR"/>
              </w:rPr>
            </w:pPr>
          </w:p>
          <w:p w14:paraId="33EA00E0" w14:textId="77777777" w:rsidR="003902AD" w:rsidRDefault="003902AD" w:rsidP="000C2A54">
            <w:pPr>
              <w:rPr>
                <w:rFonts w:cs="Arial"/>
                <w:b/>
                <w:sz w:val="20"/>
                <w:szCs w:val="20"/>
                <w:lang w:val="fr-FR"/>
              </w:rPr>
            </w:pPr>
          </w:p>
          <w:p w14:paraId="3330563C" w14:textId="77777777" w:rsidR="000C2A54" w:rsidRPr="00B90FC7" w:rsidRDefault="000C2A54" w:rsidP="000C2A54">
            <w:pPr>
              <w:rPr>
                <w:b/>
                <w:sz w:val="20"/>
                <w:szCs w:val="20"/>
                <w:lang w:val="fr-FR"/>
              </w:rPr>
            </w:pPr>
            <w:r>
              <w:rPr>
                <w:rFonts w:cs="Arial"/>
                <w:b/>
                <w:sz w:val="20"/>
                <w:szCs w:val="20"/>
                <w:lang w:val="fr-FR"/>
              </w:rPr>
              <w:t>Total</w:t>
            </w:r>
            <w:r w:rsidRPr="000F5E52">
              <w:rPr>
                <w:rFonts w:cs="Arial"/>
                <w:b/>
                <w:sz w:val="20"/>
                <w:szCs w:val="20"/>
                <w:lang w:val="fr-FR"/>
              </w:rPr>
              <w:t xml:space="preserve"> assets less</w:t>
            </w:r>
            <w:r w:rsidRPr="00B90FC7">
              <w:rPr>
                <w:rFonts w:cs="Arial"/>
                <w:b/>
                <w:bCs/>
                <w:sz w:val="20"/>
                <w:szCs w:val="20"/>
                <w:lang w:val="fr-FR"/>
              </w:rPr>
              <w:t xml:space="preserve"> </w:t>
            </w:r>
            <w:r w:rsidRPr="000F5E52">
              <w:rPr>
                <w:rFonts w:cs="Arial"/>
                <w:b/>
                <w:sz w:val="20"/>
                <w:szCs w:val="20"/>
                <w:lang w:val="fr-FR"/>
              </w:rPr>
              <w:t xml:space="preserve">current </w:t>
            </w:r>
            <w:r w:rsidR="003902AD">
              <w:rPr>
                <w:rFonts w:cs="Arial"/>
                <w:b/>
                <w:sz w:val="20"/>
                <w:szCs w:val="20"/>
                <w:lang w:val="fr-FR"/>
              </w:rPr>
              <w:t xml:space="preserve">and non current </w:t>
            </w:r>
            <w:r>
              <w:rPr>
                <w:rFonts w:cs="Arial"/>
                <w:b/>
                <w:sz w:val="20"/>
                <w:szCs w:val="20"/>
                <w:lang w:val="fr-FR"/>
              </w:rPr>
              <w:t>liabilities</w:t>
            </w:r>
          </w:p>
        </w:tc>
        <w:tc>
          <w:tcPr>
            <w:tcW w:w="719" w:type="dxa"/>
            <w:gridSpan w:val="2"/>
          </w:tcPr>
          <w:p w14:paraId="606912DD" w14:textId="77777777" w:rsidR="000C2A54" w:rsidRDefault="000C2A54" w:rsidP="000C2A54">
            <w:pPr>
              <w:rPr>
                <w:b/>
                <w:sz w:val="20"/>
                <w:szCs w:val="20"/>
                <w:lang w:val="fr-FR"/>
              </w:rPr>
            </w:pPr>
          </w:p>
          <w:p w14:paraId="3A0584AC" w14:textId="77777777" w:rsidR="00737D30" w:rsidRDefault="00737D30" w:rsidP="000C2A54">
            <w:pPr>
              <w:rPr>
                <w:b/>
                <w:sz w:val="20"/>
                <w:szCs w:val="20"/>
                <w:lang w:val="fr-FR"/>
              </w:rPr>
            </w:pPr>
          </w:p>
          <w:p w14:paraId="00BF92E7" w14:textId="77777777" w:rsidR="00737D30" w:rsidRPr="00737D30" w:rsidRDefault="00737D30" w:rsidP="000C2A54">
            <w:pPr>
              <w:rPr>
                <w:b/>
                <w:sz w:val="20"/>
                <w:szCs w:val="20"/>
                <w:lang w:val="fr-FR"/>
              </w:rPr>
            </w:pPr>
            <w:r>
              <w:rPr>
                <w:b/>
                <w:sz w:val="20"/>
                <w:szCs w:val="20"/>
                <w:lang w:val="fr-FR"/>
              </w:rPr>
              <w:t>12</w:t>
            </w:r>
          </w:p>
        </w:tc>
        <w:tc>
          <w:tcPr>
            <w:tcW w:w="1080" w:type="dxa"/>
          </w:tcPr>
          <w:p w14:paraId="50736848" w14:textId="77777777" w:rsidR="000C2A54" w:rsidRDefault="000C2A54" w:rsidP="000C2A54">
            <w:pPr>
              <w:jc w:val="right"/>
              <w:rPr>
                <w:sz w:val="20"/>
                <w:szCs w:val="20"/>
                <w:lang w:val="fr-FR"/>
              </w:rPr>
            </w:pPr>
          </w:p>
          <w:p w14:paraId="76746D1E" w14:textId="77777777" w:rsidR="00737D30" w:rsidRDefault="00737D30" w:rsidP="000C2A54">
            <w:pPr>
              <w:jc w:val="right"/>
              <w:rPr>
                <w:sz w:val="20"/>
                <w:szCs w:val="20"/>
                <w:lang w:val="fr-FR"/>
              </w:rPr>
            </w:pPr>
          </w:p>
          <w:p w14:paraId="6B8B10D5" w14:textId="77777777" w:rsidR="00737D30" w:rsidRPr="00B90FC7" w:rsidRDefault="00737D30" w:rsidP="00737D30">
            <w:pPr>
              <w:rPr>
                <w:sz w:val="20"/>
                <w:szCs w:val="20"/>
                <w:lang w:val="fr-FR"/>
              </w:rPr>
            </w:pPr>
          </w:p>
        </w:tc>
        <w:tc>
          <w:tcPr>
            <w:tcW w:w="1260" w:type="dxa"/>
            <w:tcBorders>
              <w:top w:val="single" w:sz="4" w:space="0" w:color="auto"/>
            </w:tcBorders>
          </w:tcPr>
          <w:p w14:paraId="51119BD0" w14:textId="77777777" w:rsidR="00A85ADF" w:rsidRDefault="00A85ADF" w:rsidP="000C2A54">
            <w:pPr>
              <w:jc w:val="right"/>
              <w:rPr>
                <w:sz w:val="20"/>
                <w:szCs w:val="20"/>
              </w:rPr>
            </w:pPr>
          </w:p>
          <w:p w14:paraId="2B934BB6" w14:textId="77777777" w:rsidR="00737D30" w:rsidRDefault="00737D30" w:rsidP="000C2A54">
            <w:pPr>
              <w:jc w:val="right"/>
              <w:rPr>
                <w:sz w:val="20"/>
                <w:szCs w:val="20"/>
              </w:rPr>
            </w:pPr>
          </w:p>
          <w:p w14:paraId="4CCC5417" w14:textId="77777777" w:rsidR="00737D30" w:rsidRDefault="00737D30" w:rsidP="000C2A54">
            <w:pPr>
              <w:jc w:val="right"/>
              <w:rPr>
                <w:sz w:val="20"/>
                <w:szCs w:val="20"/>
              </w:rPr>
            </w:pPr>
            <w:r>
              <w:rPr>
                <w:sz w:val="20"/>
                <w:szCs w:val="20"/>
              </w:rPr>
              <w:t>75,000</w:t>
            </w:r>
          </w:p>
          <w:p w14:paraId="55C2E16D" w14:textId="77777777" w:rsidR="003902AD" w:rsidRDefault="003902AD" w:rsidP="000C2A54">
            <w:pPr>
              <w:jc w:val="right"/>
              <w:rPr>
                <w:sz w:val="20"/>
                <w:szCs w:val="20"/>
              </w:rPr>
            </w:pPr>
          </w:p>
          <w:p w14:paraId="304F0218" w14:textId="77777777" w:rsidR="003902AD" w:rsidRDefault="003902AD" w:rsidP="003902AD">
            <w:pPr>
              <w:pBdr>
                <w:top w:val="single" w:sz="4" w:space="1" w:color="auto"/>
                <w:bottom w:val="single" w:sz="4" w:space="1" w:color="auto"/>
              </w:pBdr>
              <w:jc w:val="right"/>
              <w:rPr>
                <w:sz w:val="20"/>
                <w:szCs w:val="20"/>
              </w:rPr>
            </w:pPr>
            <w:r>
              <w:rPr>
                <w:sz w:val="20"/>
                <w:szCs w:val="20"/>
              </w:rPr>
              <w:t>75,000</w:t>
            </w:r>
          </w:p>
          <w:p w14:paraId="621010FB" w14:textId="77777777" w:rsidR="00737D30" w:rsidRDefault="00737D30" w:rsidP="000C2A54">
            <w:pPr>
              <w:jc w:val="right"/>
              <w:rPr>
                <w:sz w:val="20"/>
                <w:szCs w:val="20"/>
              </w:rPr>
            </w:pPr>
          </w:p>
          <w:p w14:paraId="1D686B37" w14:textId="5067FAD0" w:rsidR="00F92B3B" w:rsidRPr="00184BE8" w:rsidRDefault="00497422" w:rsidP="000C2A54">
            <w:pPr>
              <w:jc w:val="right"/>
              <w:rPr>
                <w:sz w:val="20"/>
                <w:szCs w:val="20"/>
              </w:rPr>
            </w:pPr>
            <w:r>
              <w:rPr>
                <w:sz w:val="20"/>
                <w:szCs w:val="20"/>
              </w:rPr>
              <w:t>849,053</w:t>
            </w:r>
          </w:p>
        </w:tc>
        <w:tc>
          <w:tcPr>
            <w:tcW w:w="1083" w:type="dxa"/>
          </w:tcPr>
          <w:p w14:paraId="49E5E463" w14:textId="77777777" w:rsidR="000C2A54" w:rsidRPr="00B90FC7" w:rsidRDefault="000C2A54" w:rsidP="000C2A54">
            <w:pPr>
              <w:jc w:val="right"/>
              <w:rPr>
                <w:sz w:val="20"/>
                <w:szCs w:val="20"/>
              </w:rPr>
            </w:pPr>
          </w:p>
        </w:tc>
        <w:tc>
          <w:tcPr>
            <w:tcW w:w="1240" w:type="dxa"/>
            <w:tcBorders>
              <w:top w:val="single" w:sz="4" w:space="0" w:color="auto"/>
            </w:tcBorders>
          </w:tcPr>
          <w:p w14:paraId="137787C7" w14:textId="77777777" w:rsidR="000C2A54" w:rsidRDefault="000C2A54" w:rsidP="000C2A54">
            <w:pPr>
              <w:jc w:val="right"/>
              <w:rPr>
                <w:sz w:val="20"/>
                <w:szCs w:val="20"/>
              </w:rPr>
            </w:pPr>
          </w:p>
          <w:p w14:paraId="6BA0A0A7" w14:textId="77777777" w:rsidR="00737D30" w:rsidRDefault="00737D30" w:rsidP="000C2A54">
            <w:pPr>
              <w:jc w:val="right"/>
              <w:rPr>
                <w:sz w:val="20"/>
                <w:szCs w:val="20"/>
              </w:rPr>
            </w:pPr>
          </w:p>
          <w:p w14:paraId="0C400BD3" w14:textId="77777777" w:rsidR="00737D30" w:rsidRDefault="00E916F9" w:rsidP="000C2A54">
            <w:pPr>
              <w:jc w:val="right"/>
              <w:rPr>
                <w:sz w:val="20"/>
                <w:szCs w:val="20"/>
              </w:rPr>
            </w:pPr>
            <w:r>
              <w:rPr>
                <w:sz w:val="20"/>
                <w:szCs w:val="20"/>
              </w:rPr>
              <w:t>75,000</w:t>
            </w:r>
          </w:p>
          <w:p w14:paraId="10125986" w14:textId="77777777" w:rsidR="003902AD" w:rsidRDefault="003902AD" w:rsidP="000C2A54">
            <w:pPr>
              <w:jc w:val="right"/>
              <w:rPr>
                <w:sz w:val="20"/>
                <w:szCs w:val="20"/>
              </w:rPr>
            </w:pPr>
          </w:p>
          <w:p w14:paraId="2B01222D" w14:textId="77777777" w:rsidR="003902AD" w:rsidRDefault="00E916F9" w:rsidP="003902AD">
            <w:pPr>
              <w:pBdr>
                <w:top w:val="single" w:sz="4" w:space="1" w:color="auto"/>
                <w:bottom w:val="single" w:sz="4" w:space="1" w:color="auto"/>
              </w:pBdr>
              <w:jc w:val="right"/>
              <w:rPr>
                <w:sz w:val="20"/>
                <w:szCs w:val="20"/>
              </w:rPr>
            </w:pPr>
            <w:r>
              <w:rPr>
                <w:sz w:val="20"/>
                <w:szCs w:val="20"/>
              </w:rPr>
              <w:t>75,000</w:t>
            </w:r>
          </w:p>
          <w:p w14:paraId="6588F089" w14:textId="77777777" w:rsidR="00737D30" w:rsidRDefault="00737D30" w:rsidP="000C2A54">
            <w:pPr>
              <w:jc w:val="right"/>
              <w:rPr>
                <w:sz w:val="20"/>
                <w:szCs w:val="20"/>
              </w:rPr>
            </w:pPr>
          </w:p>
          <w:p w14:paraId="5180AFF4" w14:textId="77777777" w:rsidR="000C2A54" w:rsidRPr="00184BE8" w:rsidRDefault="00E916F9" w:rsidP="000C2A54">
            <w:pPr>
              <w:jc w:val="right"/>
              <w:rPr>
                <w:sz w:val="20"/>
                <w:szCs w:val="20"/>
              </w:rPr>
            </w:pPr>
            <w:r>
              <w:rPr>
                <w:sz w:val="20"/>
                <w:szCs w:val="20"/>
              </w:rPr>
              <w:t>625,335</w:t>
            </w:r>
          </w:p>
        </w:tc>
      </w:tr>
      <w:tr w:rsidR="000C2A54" w:rsidRPr="00287A60" w14:paraId="3C67FBF4" w14:textId="77777777" w:rsidTr="000C2A54">
        <w:trPr>
          <w:jc w:val="center"/>
        </w:trPr>
        <w:tc>
          <w:tcPr>
            <w:tcW w:w="3441" w:type="dxa"/>
            <w:gridSpan w:val="2"/>
          </w:tcPr>
          <w:p w14:paraId="64109213" w14:textId="77777777" w:rsidR="000C2A54" w:rsidRPr="007954F0" w:rsidRDefault="000C2A54" w:rsidP="000C2A54">
            <w:pPr>
              <w:rPr>
                <w:b/>
                <w:sz w:val="20"/>
                <w:szCs w:val="20"/>
                <w:vertAlign w:val="superscript"/>
              </w:rPr>
            </w:pPr>
          </w:p>
        </w:tc>
        <w:tc>
          <w:tcPr>
            <w:tcW w:w="900" w:type="dxa"/>
            <w:gridSpan w:val="3"/>
          </w:tcPr>
          <w:p w14:paraId="6AC0D5C4" w14:textId="77777777" w:rsidR="000C2A54" w:rsidRPr="00B90FC7" w:rsidRDefault="000C2A54" w:rsidP="003902AD">
            <w:pPr>
              <w:rPr>
                <w:b/>
                <w:sz w:val="20"/>
                <w:szCs w:val="20"/>
              </w:rPr>
            </w:pPr>
          </w:p>
        </w:tc>
        <w:tc>
          <w:tcPr>
            <w:tcW w:w="1080" w:type="dxa"/>
          </w:tcPr>
          <w:p w14:paraId="02D5AB81" w14:textId="77777777" w:rsidR="000C2A54" w:rsidRPr="00B90FC7" w:rsidRDefault="000C2A54" w:rsidP="000C2A54">
            <w:pPr>
              <w:jc w:val="right"/>
              <w:rPr>
                <w:sz w:val="20"/>
                <w:szCs w:val="20"/>
              </w:rPr>
            </w:pPr>
          </w:p>
        </w:tc>
        <w:tc>
          <w:tcPr>
            <w:tcW w:w="1260" w:type="dxa"/>
            <w:tcBorders>
              <w:bottom w:val="single" w:sz="4" w:space="0" w:color="auto"/>
            </w:tcBorders>
          </w:tcPr>
          <w:p w14:paraId="5A212B89" w14:textId="77777777" w:rsidR="000C2A54" w:rsidRPr="007F4D84" w:rsidRDefault="000C2A54" w:rsidP="00A85ADF">
            <w:pPr>
              <w:rPr>
                <w:sz w:val="20"/>
                <w:szCs w:val="20"/>
              </w:rPr>
            </w:pPr>
          </w:p>
        </w:tc>
        <w:tc>
          <w:tcPr>
            <w:tcW w:w="1083" w:type="dxa"/>
          </w:tcPr>
          <w:p w14:paraId="458FFF0A" w14:textId="77777777" w:rsidR="000C2A54" w:rsidRPr="00B90FC7" w:rsidRDefault="000C2A54" w:rsidP="000C2A54">
            <w:pPr>
              <w:jc w:val="right"/>
              <w:rPr>
                <w:sz w:val="20"/>
                <w:szCs w:val="20"/>
              </w:rPr>
            </w:pPr>
          </w:p>
        </w:tc>
        <w:tc>
          <w:tcPr>
            <w:tcW w:w="1240" w:type="dxa"/>
            <w:tcBorders>
              <w:bottom w:val="single" w:sz="4" w:space="0" w:color="auto"/>
            </w:tcBorders>
          </w:tcPr>
          <w:p w14:paraId="4037EC10" w14:textId="77777777" w:rsidR="000C2A54" w:rsidRPr="00B90FC7" w:rsidRDefault="000C2A54" w:rsidP="00033356">
            <w:pPr>
              <w:rPr>
                <w:sz w:val="20"/>
                <w:szCs w:val="20"/>
              </w:rPr>
            </w:pPr>
          </w:p>
        </w:tc>
      </w:tr>
      <w:tr w:rsidR="000C2A54" w:rsidRPr="00287A60" w14:paraId="0B2E1849" w14:textId="77777777" w:rsidTr="000C2A54">
        <w:trPr>
          <w:jc w:val="center"/>
        </w:trPr>
        <w:tc>
          <w:tcPr>
            <w:tcW w:w="3441" w:type="dxa"/>
            <w:gridSpan w:val="2"/>
          </w:tcPr>
          <w:p w14:paraId="7C3986D2" w14:textId="77777777" w:rsidR="000C2A54" w:rsidRPr="00B90FC7" w:rsidRDefault="000C2A54" w:rsidP="000C2A54">
            <w:pPr>
              <w:rPr>
                <w:rFonts w:cs="Arial"/>
                <w:b/>
                <w:bCs/>
                <w:sz w:val="20"/>
                <w:szCs w:val="20"/>
              </w:rPr>
            </w:pPr>
          </w:p>
          <w:p w14:paraId="45F6158F" w14:textId="77777777" w:rsidR="000C2A54" w:rsidRPr="00B90FC7" w:rsidRDefault="000C2A54" w:rsidP="000C2A54">
            <w:pPr>
              <w:rPr>
                <w:b/>
                <w:sz w:val="20"/>
                <w:szCs w:val="20"/>
              </w:rPr>
            </w:pPr>
            <w:r w:rsidRPr="00B90FC7">
              <w:rPr>
                <w:rFonts w:cs="Arial"/>
                <w:b/>
                <w:bCs/>
                <w:sz w:val="20"/>
                <w:szCs w:val="20"/>
              </w:rPr>
              <w:t xml:space="preserve">Assets less </w:t>
            </w:r>
            <w:r w:rsidR="007B768A">
              <w:rPr>
                <w:rFonts w:cs="Arial"/>
                <w:b/>
                <w:bCs/>
                <w:sz w:val="20"/>
                <w:szCs w:val="20"/>
              </w:rPr>
              <w:t xml:space="preserve">total </w:t>
            </w:r>
            <w:r w:rsidRPr="00B90FC7">
              <w:rPr>
                <w:rFonts w:cs="Arial"/>
                <w:b/>
                <w:bCs/>
                <w:sz w:val="20"/>
                <w:szCs w:val="20"/>
              </w:rPr>
              <w:t>liabilities</w:t>
            </w:r>
          </w:p>
        </w:tc>
        <w:tc>
          <w:tcPr>
            <w:tcW w:w="900" w:type="dxa"/>
            <w:gridSpan w:val="3"/>
          </w:tcPr>
          <w:p w14:paraId="0CA5DEC0" w14:textId="77777777" w:rsidR="000C2A54" w:rsidRPr="00B90FC7" w:rsidRDefault="000C2A54" w:rsidP="000C2A54">
            <w:pPr>
              <w:rPr>
                <w:b/>
                <w:sz w:val="20"/>
                <w:szCs w:val="20"/>
              </w:rPr>
            </w:pPr>
          </w:p>
        </w:tc>
        <w:tc>
          <w:tcPr>
            <w:tcW w:w="1080" w:type="dxa"/>
          </w:tcPr>
          <w:p w14:paraId="525F3062" w14:textId="77777777" w:rsidR="000C2A54" w:rsidRPr="00B90FC7" w:rsidRDefault="000C2A54" w:rsidP="000C2A54">
            <w:pPr>
              <w:jc w:val="right"/>
              <w:rPr>
                <w:sz w:val="20"/>
                <w:szCs w:val="20"/>
              </w:rPr>
            </w:pPr>
          </w:p>
        </w:tc>
        <w:tc>
          <w:tcPr>
            <w:tcW w:w="1260" w:type="dxa"/>
            <w:tcBorders>
              <w:top w:val="single" w:sz="4" w:space="0" w:color="auto"/>
              <w:bottom w:val="double" w:sz="4" w:space="0" w:color="auto"/>
            </w:tcBorders>
          </w:tcPr>
          <w:p w14:paraId="28D00821" w14:textId="77777777" w:rsidR="00F92B3B" w:rsidRDefault="00F92B3B" w:rsidP="000C2A54">
            <w:pPr>
              <w:jc w:val="right"/>
              <w:rPr>
                <w:b/>
                <w:sz w:val="20"/>
                <w:szCs w:val="20"/>
              </w:rPr>
            </w:pPr>
          </w:p>
          <w:p w14:paraId="4FD49C60" w14:textId="400DF0F4" w:rsidR="00E916F9" w:rsidRPr="007F4D84" w:rsidRDefault="00497422" w:rsidP="000C2A54">
            <w:pPr>
              <w:jc w:val="right"/>
              <w:rPr>
                <w:b/>
                <w:sz w:val="20"/>
                <w:szCs w:val="20"/>
              </w:rPr>
            </w:pPr>
            <w:r>
              <w:rPr>
                <w:b/>
                <w:sz w:val="20"/>
                <w:szCs w:val="20"/>
              </w:rPr>
              <w:t>849,053</w:t>
            </w:r>
          </w:p>
        </w:tc>
        <w:tc>
          <w:tcPr>
            <w:tcW w:w="1083" w:type="dxa"/>
          </w:tcPr>
          <w:p w14:paraId="2A7FE62B" w14:textId="77777777" w:rsidR="000C2A54" w:rsidRPr="00B90FC7" w:rsidRDefault="000C2A54" w:rsidP="000C2A54">
            <w:pPr>
              <w:jc w:val="right"/>
              <w:rPr>
                <w:sz w:val="20"/>
                <w:szCs w:val="20"/>
              </w:rPr>
            </w:pPr>
          </w:p>
        </w:tc>
        <w:tc>
          <w:tcPr>
            <w:tcW w:w="1240" w:type="dxa"/>
            <w:tcBorders>
              <w:top w:val="single" w:sz="4" w:space="0" w:color="auto"/>
              <w:bottom w:val="double" w:sz="4" w:space="0" w:color="auto"/>
            </w:tcBorders>
          </w:tcPr>
          <w:p w14:paraId="07ADCA8E" w14:textId="77777777" w:rsidR="000C2A54" w:rsidRDefault="000C2A54" w:rsidP="000C2A54">
            <w:pPr>
              <w:jc w:val="right"/>
              <w:rPr>
                <w:b/>
                <w:sz w:val="20"/>
                <w:szCs w:val="20"/>
              </w:rPr>
            </w:pPr>
          </w:p>
          <w:p w14:paraId="31404F47" w14:textId="77777777" w:rsidR="00E916F9" w:rsidRPr="00B90FC7" w:rsidRDefault="00E916F9" w:rsidP="000C2A54">
            <w:pPr>
              <w:jc w:val="right"/>
              <w:rPr>
                <w:b/>
                <w:sz w:val="20"/>
                <w:szCs w:val="20"/>
              </w:rPr>
            </w:pPr>
            <w:r>
              <w:rPr>
                <w:b/>
                <w:sz w:val="20"/>
                <w:szCs w:val="20"/>
              </w:rPr>
              <w:t>625,335</w:t>
            </w:r>
          </w:p>
        </w:tc>
      </w:tr>
      <w:tr w:rsidR="000C2A54" w:rsidRPr="00287A60" w14:paraId="4DD60335" w14:textId="77777777" w:rsidTr="00A64226">
        <w:trPr>
          <w:trHeight w:val="741"/>
          <w:jc w:val="center"/>
        </w:trPr>
        <w:tc>
          <w:tcPr>
            <w:tcW w:w="3441" w:type="dxa"/>
            <w:gridSpan w:val="2"/>
          </w:tcPr>
          <w:p w14:paraId="0266528F" w14:textId="77777777" w:rsidR="000C2A54" w:rsidRPr="00B90FC7" w:rsidRDefault="000C2A54" w:rsidP="000C2A54">
            <w:pPr>
              <w:widowControl w:val="0"/>
              <w:tabs>
                <w:tab w:val="center" w:pos="3960"/>
                <w:tab w:val="right" w:pos="5670"/>
                <w:tab w:val="right" w:pos="6804"/>
                <w:tab w:val="right" w:pos="7938"/>
                <w:tab w:val="right" w:pos="9072"/>
              </w:tabs>
              <w:autoSpaceDE w:val="0"/>
              <w:autoSpaceDN w:val="0"/>
              <w:adjustRightInd w:val="0"/>
              <w:rPr>
                <w:rFonts w:cs="Arial"/>
                <w:b/>
                <w:sz w:val="20"/>
                <w:szCs w:val="20"/>
              </w:rPr>
            </w:pPr>
          </w:p>
          <w:p w14:paraId="2A79E79B" w14:textId="77777777" w:rsidR="000C2A54" w:rsidRPr="00B90FC7" w:rsidRDefault="007B768A" w:rsidP="000C2A54">
            <w:pPr>
              <w:widowControl w:val="0"/>
              <w:tabs>
                <w:tab w:val="center" w:pos="3960"/>
                <w:tab w:val="right" w:pos="5670"/>
                <w:tab w:val="right" w:pos="6804"/>
                <w:tab w:val="right" w:pos="7938"/>
                <w:tab w:val="right" w:pos="9072"/>
              </w:tabs>
              <w:autoSpaceDE w:val="0"/>
              <w:autoSpaceDN w:val="0"/>
              <w:adjustRightInd w:val="0"/>
              <w:rPr>
                <w:rFonts w:cs="Arial"/>
                <w:sz w:val="20"/>
                <w:szCs w:val="20"/>
              </w:rPr>
            </w:pPr>
            <w:r>
              <w:rPr>
                <w:rFonts w:cs="Arial"/>
                <w:b/>
                <w:sz w:val="20"/>
                <w:szCs w:val="20"/>
              </w:rPr>
              <w:t>Taxpayers’ e</w:t>
            </w:r>
            <w:r w:rsidR="000C2A54" w:rsidRPr="00B90FC7">
              <w:rPr>
                <w:rFonts w:cs="Arial"/>
                <w:b/>
                <w:sz w:val="20"/>
                <w:szCs w:val="20"/>
              </w:rPr>
              <w:t>quity</w:t>
            </w:r>
          </w:p>
        </w:tc>
        <w:tc>
          <w:tcPr>
            <w:tcW w:w="900" w:type="dxa"/>
            <w:gridSpan w:val="3"/>
          </w:tcPr>
          <w:p w14:paraId="21B6ECDF" w14:textId="77777777" w:rsidR="000C2A54" w:rsidRPr="00B90FC7" w:rsidRDefault="000C2A54" w:rsidP="000C2A54">
            <w:pPr>
              <w:rPr>
                <w:b/>
                <w:sz w:val="20"/>
                <w:szCs w:val="20"/>
              </w:rPr>
            </w:pPr>
          </w:p>
        </w:tc>
        <w:tc>
          <w:tcPr>
            <w:tcW w:w="1080" w:type="dxa"/>
          </w:tcPr>
          <w:p w14:paraId="01A9DD0A" w14:textId="77777777" w:rsidR="000C2A54" w:rsidRPr="00B90FC7" w:rsidRDefault="000C2A54" w:rsidP="000C2A54">
            <w:pPr>
              <w:rPr>
                <w:sz w:val="20"/>
                <w:szCs w:val="20"/>
              </w:rPr>
            </w:pPr>
          </w:p>
        </w:tc>
        <w:tc>
          <w:tcPr>
            <w:tcW w:w="1260" w:type="dxa"/>
            <w:tcBorders>
              <w:top w:val="double" w:sz="4" w:space="0" w:color="auto"/>
            </w:tcBorders>
          </w:tcPr>
          <w:p w14:paraId="6C917AAF" w14:textId="77777777" w:rsidR="000C2A54" w:rsidRPr="00B90FC7" w:rsidRDefault="000C2A54" w:rsidP="000C2A54">
            <w:pPr>
              <w:jc w:val="right"/>
              <w:rPr>
                <w:sz w:val="20"/>
                <w:szCs w:val="20"/>
              </w:rPr>
            </w:pPr>
          </w:p>
        </w:tc>
        <w:tc>
          <w:tcPr>
            <w:tcW w:w="1083" w:type="dxa"/>
          </w:tcPr>
          <w:p w14:paraId="241C724E" w14:textId="77777777" w:rsidR="000C2A54" w:rsidRPr="00B90FC7" w:rsidRDefault="000C2A54" w:rsidP="000C2A54">
            <w:pPr>
              <w:jc w:val="right"/>
              <w:rPr>
                <w:sz w:val="20"/>
                <w:szCs w:val="20"/>
              </w:rPr>
            </w:pPr>
          </w:p>
          <w:p w14:paraId="7259DA8C" w14:textId="77777777" w:rsidR="000C2A54" w:rsidRPr="00B90FC7" w:rsidRDefault="000C2A54" w:rsidP="000C2A54">
            <w:pPr>
              <w:rPr>
                <w:sz w:val="20"/>
                <w:szCs w:val="20"/>
              </w:rPr>
            </w:pPr>
          </w:p>
          <w:p w14:paraId="7C22203F" w14:textId="77777777" w:rsidR="000C2A54" w:rsidRPr="00B90FC7" w:rsidRDefault="000C2A54" w:rsidP="000C2A54">
            <w:pPr>
              <w:jc w:val="right"/>
              <w:rPr>
                <w:sz w:val="20"/>
                <w:szCs w:val="20"/>
              </w:rPr>
            </w:pPr>
          </w:p>
        </w:tc>
        <w:tc>
          <w:tcPr>
            <w:tcW w:w="1240" w:type="dxa"/>
            <w:tcBorders>
              <w:top w:val="double" w:sz="4" w:space="0" w:color="auto"/>
            </w:tcBorders>
          </w:tcPr>
          <w:p w14:paraId="443C0699" w14:textId="77777777" w:rsidR="000C2A54" w:rsidRPr="00B90FC7" w:rsidRDefault="000C2A54" w:rsidP="000C2A54">
            <w:pPr>
              <w:jc w:val="right"/>
              <w:rPr>
                <w:sz w:val="20"/>
                <w:szCs w:val="20"/>
              </w:rPr>
            </w:pPr>
          </w:p>
        </w:tc>
      </w:tr>
      <w:tr w:rsidR="000C2A54" w:rsidRPr="00287A60" w14:paraId="387DED1E" w14:textId="77777777" w:rsidTr="00A64226">
        <w:trPr>
          <w:jc w:val="center"/>
        </w:trPr>
        <w:tc>
          <w:tcPr>
            <w:tcW w:w="3441" w:type="dxa"/>
            <w:gridSpan w:val="2"/>
          </w:tcPr>
          <w:p w14:paraId="264C0F77" w14:textId="58E80586" w:rsidR="00146BCC" w:rsidRDefault="000C2A54" w:rsidP="000C2A54">
            <w:pPr>
              <w:rPr>
                <w:rFonts w:cs="Arial"/>
                <w:sz w:val="20"/>
                <w:szCs w:val="20"/>
              </w:rPr>
            </w:pPr>
            <w:r w:rsidRPr="00B90FC7">
              <w:rPr>
                <w:rFonts w:cs="Arial"/>
                <w:sz w:val="20"/>
                <w:szCs w:val="20"/>
              </w:rPr>
              <w:t>General</w:t>
            </w:r>
            <w:r w:rsidR="00146BCC">
              <w:rPr>
                <w:rFonts w:cs="Arial"/>
                <w:sz w:val="20"/>
                <w:szCs w:val="20"/>
              </w:rPr>
              <w:t xml:space="preserve"> Reserves</w:t>
            </w:r>
          </w:p>
          <w:p w14:paraId="3E4E4737" w14:textId="77777777" w:rsidR="00146BCC" w:rsidRDefault="00146BCC" w:rsidP="000C2A54">
            <w:pPr>
              <w:rPr>
                <w:rFonts w:cs="Arial"/>
                <w:sz w:val="20"/>
                <w:szCs w:val="20"/>
              </w:rPr>
            </w:pPr>
          </w:p>
          <w:p w14:paraId="2645EA1D" w14:textId="755DC475" w:rsidR="000C2A54" w:rsidRPr="00B90FC7" w:rsidRDefault="008855BA" w:rsidP="000C2A54">
            <w:pPr>
              <w:rPr>
                <w:b/>
                <w:sz w:val="20"/>
                <w:szCs w:val="20"/>
              </w:rPr>
            </w:pPr>
            <w:r>
              <w:rPr>
                <w:rFonts w:cs="Arial"/>
                <w:sz w:val="20"/>
                <w:szCs w:val="20"/>
              </w:rPr>
              <w:t>Revaluation R</w:t>
            </w:r>
            <w:r w:rsidR="000C2A54" w:rsidRPr="00B90FC7">
              <w:rPr>
                <w:rFonts w:cs="Arial"/>
                <w:sz w:val="20"/>
                <w:szCs w:val="20"/>
              </w:rPr>
              <w:t>eserve</w:t>
            </w:r>
            <w:r>
              <w:rPr>
                <w:rFonts w:cs="Arial"/>
                <w:sz w:val="20"/>
                <w:szCs w:val="20"/>
              </w:rPr>
              <w:t>s</w:t>
            </w:r>
          </w:p>
        </w:tc>
        <w:tc>
          <w:tcPr>
            <w:tcW w:w="900" w:type="dxa"/>
            <w:gridSpan w:val="3"/>
          </w:tcPr>
          <w:p w14:paraId="6333168D" w14:textId="77777777" w:rsidR="000C2A54" w:rsidRPr="00B90FC7" w:rsidRDefault="000C2A54" w:rsidP="000C2A54">
            <w:pPr>
              <w:rPr>
                <w:b/>
                <w:sz w:val="20"/>
                <w:szCs w:val="20"/>
              </w:rPr>
            </w:pPr>
          </w:p>
        </w:tc>
        <w:tc>
          <w:tcPr>
            <w:tcW w:w="1080" w:type="dxa"/>
          </w:tcPr>
          <w:p w14:paraId="39F50C05" w14:textId="77777777" w:rsidR="000C2A54" w:rsidRPr="00B90FC7" w:rsidRDefault="000C2A54" w:rsidP="000C2A54">
            <w:pPr>
              <w:jc w:val="right"/>
              <w:rPr>
                <w:sz w:val="20"/>
                <w:szCs w:val="20"/>
              </w:rPr>
            </w:pPr>
          </w:p>
        </w:tc>
        <w:tc>
          <w:tcPr>
            <w:tcW w:w="1260" w:type="dxa"/>
          </w:tcPr>
          <w:p w14:paraId="2992E058" w14:textId="2946BDE8" w:rsidR="000C2A54" w:rsidRDefault="00146BCC" w:rsidP="00600AD1">
            <w:pPr>
              <w:jc w:val="right"/>
              <w:rPr>
                <w:sz w:val="20"/>
                <w:szCs w:val="20"/>
              </w:rPr>
            </w:pPr>
            <w:r>
              <w:rPr>
                <w:sz w:val="20"/>
                <w:szCs w:val="20"/>
              </w:rPr>
              <w:t>819,650</w:t>
            </w:r>
          </w:p>
          <w:p w14:paraId="2DC60672" w14:textId="77777777" w:rsidR="00146BCC" w:rsidRDefault="00146BCC" w:rsidP="00600AD1">
            <w:pPr>
              <w:jc w:val="right"/>
              <w:rPr>
                <w:sz w:val="20"/>
                <w:szCs w:val="20"/>
              </w:rPr>
            </w:pPr>
          </w:p>
          <w:p w14:paraId="08DAEBC5" w14:textId="6CDDDC22" w:rsidR="00146BCC" w:rsidRPr="00A64226" w:rsidRDefault="008C5FAB" w:rsidP="00600AD1">
            <w:pPr>
              <w:jc w:val="right"/>
              <w:rPr>
                <w:sz w:val="20"/>
                <w:szCs w:val="20"/>
              </w:rPr>
            </w:pPr>
            <w:r>
              <w:rPr>
                <w:sz w:val="20"/>
                <w:szCs w:val="20"/>
              </w:rPr>
              <w:t>29,403</w:t>
            </w:r>
          </w:p>
        </w:tc>
        <w:tc>
          <w:tcPr>
            <w:tcW w:w="1083" w:type="dxa"/>
          </w:tcPr>
          <w:p w14:paraId="519390C6" w14:textId="77777777" w:rsidR="000C2A54" w:rsidRPr="00B90FC7" w:rsidRDefault="000C2A54" w:rsidP="000C2A54">
            <w:pPr>
              <w:jc w:val="right"/>
              <w:rPr>
                <w:sz w:val="20"/>
                <w:szCs w:val="20"/>
              </w:rPr>
            </w:pPr>
          </w:p>
        </w:tc>
        <w:tc>
          <w:tcPr>
            <w:tcW w:w="1240" w:type="dxa"/>
          </w:tcPr>
          <w:p w14:paraId="4B9D88FD" w14:textId="77777777" w:rsidR="000C2A54" w:rsidRDefault="00E916F9" w:rsidP="000C2A54">
            <w:pPr>
              <w:jc w:val="right"/>
              <w:rPr>
                <w:sz w:val="20"/>
                <w:szCs w:val="20"/>
              </w:rPr>
            </w:pPr>
            <w:r>
              <w:rPr>
                <w:sz w:val="20"/>
                <w:szCs w:val="20"/>
              </w:rPr>
              <w:t>625,335</w:t>
            </w:r>
          </w:p>
          <w:p w14:paraId="05418241" w14:textId="77777777" w:rsidR="008C5FAB" w:rsidRDefault="008C5FAB" w:rsidP="000C2A54">
            <w:pPr>
              <w:jc w:val="right"/>
              <w:rPr>
                <w:sz w:val="20"/>
                <w:szCs w:val="20"/>
              </w:rPr>
            </w:pPr>
          </w:p>
          <w:p w14:paraId="2525DC37" w14:textId="727D164C" w:rsidR="008C5FAB" w:rsidRPr="00B90FC7" w:rsidRDefault="008C5FAB" w:rsidP="000C2A54">
            <w:pPr>
              <w:jc w:val="right"/>
              <w:rPr>
                <w:sz w:val="20"/>
                <w:szCs w:val="20"/>
              </w:rPr>
            </w:pPr>
            <w:r>
              <w:rPr>
                <w:sz w:val="20"/>
                <w:szCs w:val="20"/>
              </w:rPr>
              <w:t>0</w:t>
            </w:r>
          </w:p>
        </w:tc>
      </w:tr>
      <w:tr w:rsidR="000C2A54" w:rsidRPr="00287A60" w14:paraId="4AD6B1F2" w14:textId="77777777" w:rsidTr="000C2A54">
        <w:trPr>
          <w:jc w:val="center"/>
        </w:trPr>
        <w:tc>
          <w:tcPr>
            <w:tcW w:w="3441" w:type="dxa"/>
            <w:gridSpan w:val="2"/>
          </w:tcPr>
          <w:p w14:paraId="51FE6825" w14:textId="77777777" w:rsidR="000C2A54" w:rsidRPr="00B90FC7" w:rsidRDefault="000C2A54" w:rsidP="000C2A54">
            <w:pPr>
              <w:rPr>
                <w:b/>
                <w:sz w:val="20"/>
                <w:szCs w:val="20"/>
              </w:rPr>
            </w:pPr>
          </w:p>
        </w:tc>
        <w:tc>
          <w:tcPr>
            <w:tcW w:w="900" w:type="dxa"/>
            <w:gridSpan w:val="3"/>
          </w:tcPr>
          <w:p w14:paraId="27EE41E3" w14:textId="77777777" w:rsidR="000C2A54" w:rsidRPr="00B90FC7" w:rsidRDefault="000C2A54" w:rsidP="000C2A54">
            <w:pPr>
              <w:rPr>
                <w:b/>
                <w:sz w:val="20"/>
                <w:szCs w:val="20"/>
              </w:rPr>
            </w:pPr>
          </w:p>
        </w:tc>
        <w:tc>
          <w:tcPr>
            <w:tcW w:w="1080" w:type="dxa"/>
          </w:tcPr>
          <w:p w14:paraId="7A627143" w14:textId="77777777" w:rsidR="000C2A54" w:rsidRPr="00B90FC7" w:rsidRDefault="000C2A54" w:rsidP="000C2A54">
            <w:pPr>
              <w:jc w:val="right"/>
              <w:rPr>
                <w:sz w:val="20"/>
                <w:szCs w:val="20"/>
              </w:rPr>
            </w:pPr>
          </w:p>
        </w:tc>
        <w:tc>
          <w:tcPr>
            <w:tcW w:w="1260" w:type="dxa"/>
            <w:tcBorders>
              <w:top w:val="single" w:sz="4" w:space="0" w:color="auto"/>
              <w:bottom w:val="double" w:sz="4" w:space="0" w:color="auto"/>
            </w:tcBorders>
          </w:tcPr>
          <w:p w14:paraId="2DA00257" w14:textId="77777777" w:rsidR="00F92B3B" w:rsidRDefault="00F92B3B" w:rsidP="001D3F77">
            <w:pPr>
              <w:jc w:val="right"/>
              <w:rPr>
                <w:b/>
                <w:sz w:val="20"/>
                <w:szCs w:val="20"/>
              </w:rPr>
            </w:pPr>
          </w:p>
          <w:p w14:paraId="6E8685C4" w14:textId="19F03B6F" w:rsidR="00E916F9" w:rsidRPr="007F4D84" w:rsidRDefault="00497422" w:rsidP="001D3F77">
            <w:pPr>
              <w:jc w:val="right"/>
              <w:rPr>
                <w:b/>
                <w:sz w:val="20"/>
                <w:szCs w:val="20"/>
              </w:rPr>
            </w:pPr>
            <w:r>
              <w:rPr>
                <w:b/>
                <w:sz w:val="20"/>
                <w:szCs w:val="20"/>
              </w:rPr>
              <w:t>849,053</w:t>
            </w:r>
          </w:p>
        </w:tc>
        <w:tc>
          <w:tcPr>
            <w:tcW w:w="1083" w:type="dxa"/>
          </w:tcPr>
          <w:p w14:paraId="39C698F4" w14:textId="77777777" w:rsidR="000C2A54" w:rsidRPr="00B90FC7" w:rsidRDefault="000C2A54" w:rsidP="000C2A54">
            <w:pPr>
              <w:jc w:val="right"/>
              <w:rPr>
                <w:sz w:val="20"/>
                <w:szCs w:val="20"/>
              </w:rPr>
            </w:pPr>
          </w:p>
        </w:tc>
        <w:tc>
          <w:tcPr>
            <w:tcW w:w="1240" w:type="dxa"/>
            <w:tcBorders>
              <w:top w:val="single" w:sz="4" w:space="0" w:color="auto"/>
              <w:bottom w:val="double" w:sz="4" w:space="0" w:color="auto"/>
            </w:tcBorders>
          </w:tcPr>
          <w:p w14:paraId="12E6A016" w14:textId="77777777" w:rsidR="000C2A54" w:rsidRDefault="000C2A54" w:rsidP="000C2A54">
            <w:pPr>
              <w:jc w:val="right"/>
              <w:rPr>
                <w:b/>
                <w:sz w:val="20"/>
                <w:szCs w:val="20"/>
              </w:rPr>
            </w:pPr>
          </w:p>
          <w:p w14:paraId="34981E7F" w14:textId="77777777" w:rsidR="00E916F9" w:rsidRPr="00B90FC7" w:rsidRDefault="00E916F9" w:rsidP="000C2A54">
            <w:pPr>
              <w:jc w:val="right"/>
              <w:rPr>
                <w:b/>
                <w:sz w:val="20"/>
                <w:szCs w:val="20"/>
              </w:rPr>
            </w:pPr>
            <w:r>
              <w:rPr>
                <w:b/>
                <w:sz w:val="20"/>
                <w:szCs w:val="20"/>
              </w:rPr>
              <w:t>625,335</w:t>
            </w:r>
          </w:p>
        </w:tc>
      </w:tr>
    </w:tbl>
    <w:p w14:paraId="29757984" w14:textId="77777777" w:rsidR="000C2A54" w:rsidRDefault="000C2A54" w:rsidP="000C2A54">
      <w:pPr>
        <w:widowControl w:val="0"/>
        <w:tabs>
          <w:tab w:val="center" w:pos="6096"/>
          <w:tab w:val="right" w:pos="7797"/>
          <w:tab w:val="right" w:pos="9356"/>
        </w:tabs>
        <w:autoSpaceDE w:val="0"/>
        <w:autoSpaceDN w:val="0"/>
        <w:adjustRightInd w:val="0"/>
      </w:pPr>
    </w:p>
    <w:p w14:paraId="1AC3864F" w14:textId="33DCB204"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 xml:space="preserve">The notes on pages </w:t>
      </w:r>
      <w:r w:rsidR="00612DE1">
        <w:rPr>
          <w:sz w:val="22"/>
          <w:szCs w:val="22"/>
        </w:rPr>
        <w:t>60</w:t>
      </w:r>
      <w:r w:rsidR="000634E9" w:rsidRPr="00EB5423">
        <w:rPr>
          <w:sz w:val="22"/>
          <w:szCs w:val="22"/>
        </w:rPr>
        <w:t xml:space="preserve"> </w:t>
      </w:r>
      <w:r w:rsidRPr="00EB5423">
        <w:rPr>
          <w:sz w:val="22"/>
          <w:szCs w:val="22"/>
        </w:rPr>
        <w:t xml:space="preserve">to </w:t>
      </w:r>
      <w:r w:rsidR="00612DE1">
        <w:rPr>
          <w:sz w:val="22"/>
          <w:szCs w:val="22"/>
        </w:rPr>
        <w:t>73</w:t>
      </w:r>
      <w:r w:rsidR="000634E9" w:rsidRPr="00EB5423">
        <w:rPr>
          <w:sz w:val="22"/>
          <w:szCs w:val="22"/>
        </w:rPr>
        <w:t xml:space="preserve"> </w:t>
      </w:r>
      <w:r w:rsidRPr="00EB5423">
        <w:rPr>
          <w:sz w:val="22"/>
          <w:szCs w:val="22"/>
        </w:rPr>
        <w:t>form part of the financial statements.</w:t>
      </w:r>
    </w:p>
    <w:p w14:paraId="5A0457DE" w14:textId="77777777" w:rsidR="000C2A54" w:rsidRPr="00EB5423" w:rsidRDefault="000C2A54" w:rsidP="000C2A54">
      <w:pPr>
        <w:widowControl w:val="0"/>
        <w:tabs>
          <w:tab w:val="center" w:pos="3969"/>
          <w:tab w:val="center" w:pos="5245"/>
          <w:tab w:val="center" w:pos="6379"/>
          <w:tab w:val="center" w:pos="7513"/>
          <w:tab w:val="center" w:pos="8647"/>
        </w:tabs>
        <w:autoSpaceDE w:val="0"/>
        <w:autoSpaceDN w:val="0"/>
        <w:adjustRightInd w:val="0"/>
        <w:rPr>
          <w:sz w:val="22"/>
          <w:szCs w:val="22"/>
          <w:vertAlign w:val="superscript"/>
        </w:rPr>
      </w:pPr>
    </w:p>
    <w:p w14:paraId="73ABD150" w14:textId="0350AB92" w:rsidR="000C2A54" w:rsidRPr="00EB5423" w:rsidRDefault="000C2A54" w:rsidP="000C2A54">
      <w:pPr>
        <w:widowControl w:val="0"/>
        <w:tabs>
          <w:tab w:val="center" w:pos="3969"/>
          <w:tab w:val="center" w:pos="5245"/>
          <w:tab w:val="center" w:pos="6379"/>
          <w:tab w:val="center" w:pos="7513"/>
          <w:tab w:val="center" w:pos="8647"/>
        </w:tabs>
        <w:autoSpaceDE w:val="0"/>
        <w:autoSpaceDN w:val="0"/>
        <w:adjustRightInd w:val="0"/>
        <w:rPr>
          <w:sz w:val="22"/>
          <w:szCs w:val="22"/>
        </w:rPr>
      </w:pPr>
      <w:r w:rsidRPr="00EB5423">
        <w:rPr>
          <w:sz w:val="22"/>
          <w:szCs w:val="22"/>
        </w:rPr>
        <w:t xml:space="preserve">The financial statements on pages </w:t>
      </w:r>
      <w:r w:rsidR="00612DE1">
        <w:rPr>
          <w:sz w:val="22"/>
          <w:szCs w:val="22"/>
        </w:rPr>
        <w:t>56</w:t>
      </w:r>
      <w:r w:rsidR="000634E9" w:rsidRPr="00EB5423">
        <w:rPr>
          <w:sz w:val="22"/>
          <w:szCs w:val="22"/>
        </w:rPr>
        <w:t xml:space="preserve"> </w:t>
      </w:r>
      <w:r w:rsidRPr="00EB5423">
        <w:rPr>
          <w:sz w:val="22"/>
          <w:szCs w:val="22"/>
        </w:rPr>
        <w:t xml:space="preserve">to </w:t>
      </w:r>
      <w:r w:rsidR="00612DE1">
        <w:rPr>
          <w:sz w:val="22"/>
          <w:szCs w:val="22"/>
        </w:rPr>
        <w:t>73</w:t>
      </w:r>
      <w:r w:rsidR="00E916F9">
        <w:rPr>
          <w:sz w:val="22"/>
          <w:szCs w:val="22"/>
        </w:rPr>
        <w:t xml:space="preserve"> </w:t>
      </w:r>
      <w:r w:rsidRPr="00EB5423">
        <w:rPr>
          <w:sz w:val="22"/>
          <w:szCs w:val="22"/>
        </w:rPr>
        <w:t xml:space="preserve">were approved by the Commission on </w:t>
      </w:r>
      <w:r w:rsidR="00612DE1">
        <w:rPr>
          <w:sz w:val="22"/>
          <w:szCs w:val="22"/>
        </w:rPr>
        <w:t>27 June 2022</w:t>
      </w:r>
      <w:r w:rsidRPr="00EB5423">
        <w:rPr>
          <w:sz w:val="22"/>
          <w:szCs w:val="22"/>
        </w:rPr>
        <w:t>:</w:t>
      </w:r>
    </w:p>
    <w:p w14:paraId="23BA62C1" w14:textId="77777777" w:rsidR="00632319" w:rsidRDefault="00DD7949" w:rsidP="000C2A54">
      <w:pPr>
        <w:widowControl w:val="0"/>
        <w:autoSpaceDE w:val="0"/>
        <w:autoSpaceDN w:val="0"/>
        <w:adjustRightInd w:val="0"/>
        <w:rPr>
          <w:b/>
          <w:sz w:val="22"/>
          <w:szCs w:val="22"/>
        </w:rPr>
      </w:pPr>
      <w:r>
        <w:rPr>
          <w:noProof/>
          <w:lang w:eastAsia="en-GB"/>
        </w:rPr>
        <w:drawing>
          <wp:inline distT="0" distB="0" distL="0" distR="0" wp14:anchorId="12AFF05E" wp14:editId="65BBEE9B">
            <wp:extent cx="1794699" cy="8048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1">
                      <a:extLst>
                        <a:ext uri="{28A0092B-C50C-407E-A947-70E740481C1C}">
                          <a14:useLocalDpi xmlns:a14="http://schemas.microsoft.com/office/drawing/2010/main" val="0"/>
                        </a:ext>
                      </a:extLst>
                    </a:blip>
                    <a:stretch>
                      <a:fillRect/>
                    </a:stretch>
                  </pic:blipFill>
                  <pic:spPr>
                    <a:xfrm>
                      <a:off x="0" y="0"/>
                      <a:ext cx="1809413" cy="811461"/>
                    </a:xfrm>
                    <a:prstGeom prst="rect">
                      <a:avLst/>
                    </a:prstGeom>
                  </pic:spPr>
                </pic:pic>
              </a:graphicData>
            </a:graphic>
          </wp:inline>
        </w:drawing>
      </w:r>
    </w:p>
    <w:p w14:paraId="40550240" w14:textId="74600C07" w:rsidR="000C2A54" w:rsidRPr="00632319" w:rsidRDefault="000C2A54" w:rsidP="000C2A54">
      <w:pPr>
        <w:widowControl w:val="0"/>
        <w:autoSpaceDE w:val="0"/>
        <w:autoSpaceDN w:val="0"/>
        <w:adjustRightInd w:val="0"/>
        <w:rPr>
          <w:noProof/>
          <w:lang w:eastAsia="en-GB"/>
        </w:rPr>
      </w:pPr>
      <w:r>
        <w:rPr>
          <w:b/>
          <w:sz w:val="22"/>
          <w:szCs w:val="22"/>
        </w:rPr>
        <w:t>Dr David Russell</w:t>
      </w:r>
    </w:p>
    <w:p w14:paraId="18442386" w14:textId="77777777" w:rsidR="000C2A54" w:rsidRPr="00EB5423" w:rsidRDefault="000C2A54" w:rsidP="000C2A54">
      <w:pPr>
        <w:widowControl w:val="0"/>
        <w:autoSpaceDE w:val="0"/>
        <w:autoSpaceDN w:val="0"/>
        <w:adjustRightInd w:val="0"/>
        <w:rPr>
          <w:b/>
          <w:sz w:val="22"/>
          <w:szCs w:val="22"/>
        </w:rPr>
      </w:pPr>
      <w:r w:rsidRPr="00EB5423">
        <w:rPr>
          <w:b/>
          <w:sz w:val="22"/>
          <w:szCs w:val="22"/>
        </w:rPr>
        <w:t>Accounting Officer</w:t>
      </w:r>
    </w:p>
    <w:p w14:paraId="09139018" w14:textId="77777777" w:rsidR="000C2A54" w:rsidRPr="00EB5423" w:rsidRDefault="000C2A54" w:rsidP="000C2A54">
      <w:pPr>
        <w:widowControl w:val="0"/>
        <w:autoSpaceDE w:val="0"/>
        <w:autoSpaceDN w:val="0"/>
        <w:adjustRightInd w:val="0"/>
        <w:rPr>
          <w:b/>
          <w:sz w:val="22"/>
          <w:szCs w:val="22"/>
        </w:rPr>
      </w:pPr>
    </w:p>
    <w:p w14:paraId="4E8B95FA" w14:textId="3A37BEE7" w:rsidR="000C2A54" w:rsidRDefault="000C2A54" w:rsidP="000C2A54">
      <w:pPr>
        <w:widowControl w:val="0"/>
        <w:tabs>
          <w:tab w:val="left" w:pos="851"/>
        </w:tabs>
        <w:autoSpaceDE w:val="0"/>
        <w:autoSpaceDN w:val="0"/>
        <w:adjustRightInd w:val="0"/>
        <w:rPr>
          <w:b/>
          <w:sz w:val="22"/>
          <w:szCs w:val="22"/>
        </w:rPr>
      </w:pPr>
      <w:r w:rsidRPr="00EB5423">
        <w:rPr>
          <w:b/>
          <w:sz w:val="22"/>
          <w:szCs w:val="22"/>
        </w:rPr>
        <w:t xml:space="preserve">Date:  </w:t>
      </w:r>
      <w:r w:rsidR="0049664F">
        <w:rPr>
          <w:b/>
          <w:sz w:val="22"/>
          <w:szCs w:val="22"/>
        </w:rPr>
        <w:t>10 October</w:t>
      </w:r>
      <w:r w:rsidR="00CD2ACA">
        <w:rPr>
          <w:b/>
          <w:sz w:val="22"/>
          <w:szCs w:val="22"/>
        </w:rPr>
        <w:t xml:space="preserve"> </w:t>
      </w:r>
      <w:r w:rsidR="00953497">
        <w:rPr>
          <w:b/>
          <w:sz w:val="22"/>
          <w:szCs w:val="22"/>
        </w:rPr>
        <w:t>2022</w:t>
      </w:r>
    </w:p>
    <w:p w14:paraId="5C056692" w14:textId="77777777" w:rsidR="000C2A54" w:rsidRPr="00EB5423" w:rsidRDefault="008C73A2" w:rsidP="000C2A54">
      <w:pPr>
        <w:ind w:left="-567" w:right="-567"/>
        <w:jc w:val="center"/>
        <w:rPr>
          <w:b/>
        </w:rPr>
      </w:pPr>
      <w:bookmarkStart w:id="20" w:name="StatementofCashFlows"/>
      <w:r>
        <w:rPr>
          <w:rFonts w:cs="Arial"/>
          <w:b/>
          <w:color w:val="77328A"/>
          <w:sz w:val="30"/>
          <w:szCs w:val="30"/>
        </w:rPr>
        <w:t>Statement of Cash Flows for the Year En</w:t>
      </w:r>
      <w:r w:rsidR="008D0E8C">
        <w:rPr>
          <w:rFonts w:cs="Arial"/>
          <w:b/>
          <w:color w:val="77328A"/>
          <w:sz w:val="30"/>
          <w:szCs w:val="30"/>
        </w:rPr>
        <w:t>ded 31 March 202</w:t>
      </w:r>
      <w:r w:rsidR="00E916F9">
        <w:rPr>
          <w:rFonts w:cs="Arial"/>
          <w:b/>
          <w:color w:val="77328A"/>
          <w:sz w:val="30"/>
          <w:szCs w:val="30"/>
        </w:rPr>
        <w:t>2</w:t>
      </w:r>
    </w:p>
    <w:bookmarkEnd w:id="20"/>
    <w:p w14:paraId="563CC535" w14:textId="77777777" w:rsidR="000C2A54" w:rsidRPr="00E04BAE" w:rsidRDefault="000C2A54" w:rsidP="000C2A54">
      <w:pPr>
        <w:ind w:left="-567" w:right="-567"/>
        <w:jc w:val="center"/>
        <w:rPr>
          <w:b/>
          <w:sz w:val="28"/>
          <w:szCs w:val="28"/>
        </w:rPr>
      </w:pPr>
    </w:p>
    <w:p w14:paraId="746657BF" w14:textId="77777777" w:rsidR="000C2A54" w:rsidRPr="006C7E49" w:rsidRDefault="000C2A54" w:rsidP="000C2A54">
      <w:pPr>
        <w:widowControl w:val="0"/>
        <w:tabs>
          <w:tab w:val="center" w:pos="5670"/>
          <w:tab w:val="right" w:pos="7371"/>
          <w:tab w:val="right" w:pos="9071"/>
        </w:tabs>
        <w:autoSpaceDE w:val="0"/>
        <w:autoSpaceDN w:val="0"/>
        <w:adjustRightInd w:val="0"/>
        <w:ind w:firstLine="720"/>
        <w:rPr>
          <w:rFonts w:cs="Arial"/>
          <w:b/>
          <w:bCs/>
          <w:sz w:val="20"/>
          <w:szCs w:val="20"/>
        </w:rPr>
      </w:pPr>
      <w:r w:rsidRPr="002B4C5F">
        <w:rPr>
          <w:rFonts w:cs="Arial"/>
          <w:b/>
          <w:bCs/>
          <w:sz w:val="22"/>
          <w:szCs w:val="22"/>
        </w:rPr>
        <w:tab/>
      </w:r>
      <w:r w:rsidRPr="002B4C5F">
        <w:rPr>
          <w:rFonts w:cs="Arial"/>
          <w:b/>
          <w:bCs/>
          <w:sz w:val="22"/>
          <w:szCs w:val="22"/>
        </w:rPr>
        <w:tab/>
      </w:r>
      <w:r w:rsidR="00E916F9">
        <w:rPr>
          <w:rFonts w:cs="Arial"/>
          <w:b/>
          <w:bCs/>
          <w:sz w:val="20"/>
          <w:szCs w:val="20"/>
        </w:rPr>
        <w:t>20</w:t>
      </w:r>
      <w:r w:rsidR="003902AD">
        <w:rPr>
          <w:rFonts w:cs="Arial"/>
          <w:b/>
          <w:bCs/>
          <w:sz w:val="20"/>
          <w:szCs w:val="20"/>
        </w:rPr>
        <w:t>21</w:t>
      </w:r>
      <w:r w:rsidR="00E916F9">
        <w:rPr>
          <w:rFonts w:cs="Arial"/>
          <w:b/>
          <w:bCs/>
          <w:sz w:val="20"/>
          <w:szCs w:val="20"/>
        </w:rPr>
        <w:t>-22</w:t>
      </w:r>
      <w:r w:rsidRPr="006C7E49">
        <w:rPr>
          <w:rFonts w:cs="Arial"/>
          <w:b/>
          <w:bCs/>
          <w:sz w:val="20"/>
          <w:szCs w:val="20"/>
        </w:rPr>
        <w:tab/>
      </w:r>
      <w:r w:rsidR="00E916F9">
        <w:rPr>
          <w:rFonts w:cs="Arial"/>
          <w:b/>
          <w:bCs/>
          <w:sz w:val="20"/>
          <w:szCs w:val="20"/>
        </w:rPr>
        <w:t>20</w:t>
      </w:r>
      <w:r w:rsidR="003902AD">
        <w:rPr>
          <w:rFonts w:cs="Arial"/>
          <w:b/>
          <w:bCs/>
          <w:sz w:val="20"/>
          <w:szCs w:val="20"/>
        </w:rPr>
        <w:t>20</w:t>
      </w:r>
      <w:r w:rsidR="00E916F9">
        <w:rPr>
          <w:rFonts w:cs="Arial"/>
          <w:b/>
          <w:bCs/>
          <w:sz w:val="20"/>
          <w:szCs w:val="20"/>
        </w:rPr>
        <w:t>-21</w:t>
      </w:r>
      <w:r w:rsidRPr="006C7E49">
        <w:rPr>
          <w:rFonts w:cs="Arial"/>
          <w:b/>
          <w:bCs/>
          <w:sz w:val="20"/>
          <w:szCs w:val="20"/>
        </w:rPr>
        <w:t xml:space="preserve"> </w:t>
      </w:r>
    </w:p>
    <w:p w14:paraId="15411DE5" w14:textId="77777777" w:rsidR="000C2A54" w:rsidRPr="006C7E49" w:rsidRDefault="000C2A54" w:rsidP="000C2A54">
      <w:pPr>
        <w:widowControl w:val="0"/>
        <w:tabs>
          <w:tab w:val="center" w:pos="5670"/>
          <w:tab w:val="right" w:pos="7371"/>
          <w:tab w:val="right" w:pos="9071"/>
        </w:tabs>
        <w:autoSpaceDE w:val="0"/>
        <w:autoSpaceDN w:val="0"/>
        <w:adjustRightInd w:val="0"/>
        <w:ind w:left="4920" w:hanging="4920"/>
        <w:rPr>
          <w:rFonts w:cs="Arial"/>
          <w:b/>
          <w:bCs/>
          <w:sz w:val="20"/>
          <w:szCs w:val="20"/>
        </w:rPr>
      </w:pPr>
      <w:r w:rsidRPr="006C7E49">
        <w:rPr>
          <w:rFonts w:cs="Arial"/>
          <w:b/>
          <w:bCs/>
          <w:sz w:val="20"/>
          <w:szCs w:val="20"/>
        </w:rPr>
        <w:tab/>
      </w:r>
      <w:r w:rsidRPr="006C7E49">
        <w:rPr>
          <w:b/>
          <w:sz w:val="20"/>
          <w:szCs w:val="20"/>
        </w:rPr>
        <w:t>Notes</w:t>
      </w:r>
      <w:r w:rsidRPr="006C7E49">
        <w:rPr>
          <w:rFonts w:cs="Arial"/>
          <w:b/>
          <w:bCs/>
          <w:sz w:val="20"/>
          <w:szCs w:val="20"/>
        </w:rPr>
        <w:tab/>
      </w:r>
      <w:r w:rsidRPr="006C7E49">
        <w:rPr>
          <w:rFonts w:cs="Arial"/>
          <w:b/>
          <w:bCs/>
          <w:sz w:val="20"/>
          <w:szCs w:val="20"/>
        </w:rPr>
        <w:tab/>
        <w:t>£</w:t>
      </w:r>
      <w:r w:rsidRPr="006C7E49">
        <w:rPr>
          <w:rFonts w:cs="Arial"/>
          <w:b/>
          <w:bCs/>
          <w:sz w:val="20"/>
          <w:szCs w:val="20"/>
        </w:rPr>
        <w:tab/>
        <w:t>£</w:t>
      </w:r>
    </w:p>
    <w:p w14:paraId="7E24960E" w14:textId="77777777" w:rsidR="000C2A54" w:rsidRPr="006C7E49" w:rsidRDefault="000C2A54" w:rsidP="000C2A54">
      <w:pPr>
        <w:widowControl w:val="0"/>
        <w:tabs>
          <w:tab w:val="center" w:pos="5670"/>
          <w:tab w:val="right" w:pos="7371"/>
          <w:tab w:val="right" w:pos="9071"/>
        </w:tabs>
        <w:autoSpaceDE w:val="0"/>
        <w:autoSpaceDN w:val="0"/>
        <w:adjustRightInd w:val="0"/>
        <w:rPr>
          <w:rFonts w:cs="Arial"/>
          <w:b/>
          <w:bCs/>
          <w:sz w:val="20"/>
          <w:szCs w:val="20"/>
        </w:rPr>
      </w:pPr>
    </w:p>
    <w:p w14:paraId="5C9D9C4F" w14:textId="77777777" w:rsid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r w:rsidRPr="006C7E49">
        <w:rPr>
          <w:rFonts w:cs="Arial"/>
          <w:b/>
          <w:bCs/>
          <w:sz w:val="20"/>
          <w:szCs w:val="20"/>
        </w:rPr>
        <w:t xml:space="preserve">Cash flows from operating activities </w:t>
      </w:r>
    </w:p>
    <w:p w14:paraId="25825B0B" w14:textId="77777777" w:rsidR="007B768A" w:rsidRDefault="007B768A" w:rsidP="000C2A54">
      <w:pPr>
        <w:widowControl w:val="0"/>
        <w:tabs>
          <w:tab w:val="center" w:pos="5160"/>
          <w:tab w:val="right" w:pos="7371"/>
          <w:tab w:val="right" w:pos="9071"/>
        </w:tabs>
        <w:autoSpaceDE w:val="0"/>
        <w:autoSpaceDN w:val="0"/>
        <w:adjustRightInd w:val="0"/>
        <w:rPr>
          <w:rFonts w:cs="Arial"/>
          <w:b/>
          <w:bCs/>
          <w:sz w:val="20"/>
          <w:szCs w:val="20"/>
        </w:rPr>
      </w:pPr>
    </w:p>
    <w:p w14:paraId="14EB6E65" w14:textId="26B7461C" w:rsidR="007B768A" w:rsidRDefault="007B768A"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Net operating exp</w:t>
      </w:r>
      <w:r w:rsidR="00807E97">
        <w:rPr>
          <w:rFonts w:cs="Arial"/>
          <w:bCs/>
          <w:sz w:val="20"/>
          <w:szCs w:val="20"/>
        </w:rPr>
        <w:t xml:space="preserve">enditure </w:t>
      </w:r>
      <w:r w:rsidR="00807E97">
        <w:rPr>
          <w:rFonts w:cs="Arial"/>
          <w:bCs/>
          <w:sz w:val="20"/>
          <w:szCs w:val="20"/>
        </w:rPr>
        <w:tab/>
      </w:r>
      <w:r w:rsidR="00807E97">
        <w:rPr>
          <w:rFonts w:cs="Arial"/>
          <w:bCs/>
          <w:sz w:val="20"/>
          <w:szCs w:val="20"/>
        </w:rPr>
        <w:tab/>
      </w:r>
      <w:r w:rsidR="00ED27FA">
        <w:rPr>
          <w:rFonts w:cs="Arial"/>
          <w:bCs/>
          <w:sz w:val="20"/>
          <w:szCs w:val="20"/>
        </w:rPr>
        <w:t>(</w:t>
      </w:r>
      <w:r w:rsidR="00076A51">
        <w:rPr>
          <w:rFonts w:cs="Arial"/>
          <w:bCs/>
          <w:sz w:val="20"/>
          <w:szCs w:val="20"/>
        </w:rPr>
        <w:t>2,333,573</w:t>
      </w:r>
      <w:r w:rsidR="00ED27FA">
        <w:rPr>
          <w:rFonts w:cs="Arial"/>
          <w:bCs/>
          <w:sz w:val="20"/>
          <w:szCs w:val="20"/>
        </w:rPr>
        <w:t>)</w:t>
      </w:r>
      <w:r w:rsidRPr="006C7E49">
        <w:rPr>
          <w:rFonts w:cs="Arial"/>
          <w:bCs/>
          <w:sz w:val="20"/>
          <w:szCs w:val="20"/>
        </w:rPr>
        <w:tab/>
        <w:t>(1,</w:t>
      </w:r>
      <w:r w:rsidR="00E916F9">
        <w:rPr>
          <w:rFonts w:cs="Arial"/>
          <w:bCs/>
          <w:sz w:val="20"/>
          <w:szCs w:val="20"/>
        </w:rPr>
        <w:t>635,83</w:t>
      </w:r>
      <w:r w:rsidR="0027305F">
        <w:rPr>
          <w:rFonts w:cs="Arial"/>
          <w:bCs/>
          <w:sz w:val="20"/>
          <w:szCs w:val="20"/>
        </w:rPr>
        <w:t>6</w:t>
      </w:r>
      <w:r w:rsidR="00E916F9">
        <w:rPr>
          <w:rFonts w:cs="Arial"/>
          <w:bCs/>
          <w:sz w:val="20"/>
          <w:szCs w:val="20"/>
        </w:rPr>
        <w:t>)</w:t>
      </w:r>
    </w:p>
    <w:p w14:paraId="26F6D16A" w14:textId="77777777" w:rsidR="000C2A54" w:rsidRPr="006C7E49" w:rsidRDefault="007B768A"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ab/>
      </w:r>
      <w:r w:rsidR="000C2A54" w:rsidRPr="006C7E49">
        <w:rPr>
          <w:rFonts w:cs="Arial"/>
          <w:bCs/>
          <w:sz w:val="20"/>
          <w:szCs w:val="20"/>
        </w:rPr>
        <w:tab/>
      </w:r>
    </w:p>
    <w:p w14:paraId="65CC963D" w14:textId="77777777" w:rsidR="000C2A54" w:rsidRPr="006C7E49" w:rsidRDefault="00713362"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Increase</w:t>
      </w:r>
      <w:r w:rsidR="000C2A54" w:rsidRPr="006C7E49">
        <w:rPr>
          <w:rFonts w:cs="Arial"/>
          <w:bCs/>
          <w:sz w:val="20"/>
          <w:szCs w:val="20"/>
        </w:rPr>
        <w:t xml:space="preserve"> in trade and other </w:t>
      </w:r>
      <w:r w:rsidR="000C2A54" w:rsidRPr="006C7E49">
        <w:rPr>
          <w:rFonts w:cs="Arial"/>
          <w:bCs/>
          <w:sz w:val="20"/>
          <w:szCs w:val="20"/>
        </w:rPr>
        <w:tab/>
      </w:r>
    </w:p>
    <w:p w14:paraId="74AC8DFB" w14:textId="77777777" w:rsidR="000C2A54" w:rsidRPr="006C7E49" w:rsidRDefault="000C2A54" w:rsidP="000C2A54">
      <w:pPr>
        <w:widowControl w:val="0"/>
        <w:tabs>
          <w:tab w:val="center" w:pos="5160"/>
          <w:tab w:val="right" w:pos="7371"/>
          <w:tab w:val="right" w:pos="9071"/>
        </w:tabs>
        <w:autoSpaceDE w:val="0"/>
        <w:autoSpaceDN w:val="0"/>
        <w:adjustRightInd w:val="0"/>
        <w:rPr>
          <w:rFonts w:cs="Arial"/>
          <w:bCs/>
          <w:sz w:val="20"/>
          <w:szCs w:val="20"/>
        </w:rPr>
      </w:pPr>
      <w:r w:rsidRPr="006C7E49">
        <w:rPr>
          <w:rFonts w:cs="Arial"/>
          <w:bCs/>
          <w:sz w:val="20"/>
          <w:szCs w:val="20"/>
        </w:rPr>
        <w:t>receivables</w:t>
      </w:r>
      <w:r w:rsidRPr="006C7E49">
        <w:rPr>
          <w:rFonts w:cs="Arial"/>
          <w:bCs/>
          <w:sz w:val="20"/>
          <w:szCs w:val="20"/>
        </w:rPr>
        <w:tab/>
      </w:r>
      <w:r w:rsidRPr="006C7E49">
        <w:rPr>
          <w:rFonts w:cs="Arial"/>
          <w:b/>
          <w:bCs/>
          <w:sz w:val="20"/>
          <w:szCs w:val="20"/>
        </w:rPr>
        <w:t>9</w:t>
      </w:r>
      <w:r w:rsidRPr="006C7E49">
        <w:rPr>
          <w:rFonts w:cs="Arial"/>
          <w:bCs/>
          <w:sz w:val="20"/>
          <w:szCs w:val="20"/>
        </w:rPr>
        <w:tab/>
      </w:r>
      <w:r w:rsidR="00E916F9">
        <w:rPr>
          <w:rFonts w:cs="Arial"/>
          <w:bCs/>
          <w:sz w:val="20"/>
          <w:szCs w:val="20"/>
        </w:rPr>
        <w:t>(14,098</w:t>
      </w:r>
      <w:r w:rsidR="007973AC">
        <w:rPr>
          <w:rFonts w:cs="Arial"/>
          <w:bCs/>
          <w:sz w:val="20"/>
          <w:szCs w:val="20"/>
        </w:rPr>
        <w:t>)</w:t>
      </w:r>
      <w:r w:rsidR="00E916F9">
        <w:rPr>
          <w:rFonts w:cs="Arial"/>
          <w:bCs/>
          <w:sz w:val="20"/>
          <w:szCs w:val="20"/>
        </w:rPr>
        <w:tab/>
        <w:t>(19,647</w:t>
      </w:r>
      <w:r w:rsidR="00713362">
        <w:rPr>
          <w:rFonts w:cs="Arial"/>
          <w:bCs/>
          <w:sz w:val="20"/>
          <w:szCs w:val="20"/>
        </w:rPr>
        <w:t>)</w:t>
      </w:r>
    </w:p>
    <w:p w14:paraId="1ACFBEA3" w14:textId="77777777" w:rsidR="00E633B4" w:rsidRPr="006C7E49" w:rsidRDefault="00E633B4" w:rsidP="000C2A54">
      <w:pPr>
        <w:widowControl w:val="0"/>
        <w:tabs>
          <w:tab w:val="center" w:pos="5160"/>
          <w:tab w:val="right" w:pos="7371"/>
          <w:tab w:val="right" w:pos="9071"/>
        </w:tabs>
        <w:autoSpaceDE w:val="0"/>
        <w:autoSpaceDN w:val="0"/>
        <w:adjustRightInd w:val="0"/>
        <w:rPr>
          <w:rFonts w:cs="Arial"/>
          <w:bCs/>
          <w:sz w:val="20"/>
          <w:szCs w:val="20"/>
        </w:rPr>
      </w:pPr>
    </w:p>
    <w:p w14:paraId="2ED12EC9" w14:textId="1036C046" w:rsidR="007D0485" w:rsidRDefault="00E916F9"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(Decrease)/</w:t>
      </w:r>
      <w:r w:rsidR="007973AC">
        <w:rPr>
          <w:rFonts w:cs="Arial"/>
          <w:bCs/>
          <w:sz w:val="20"/>
          <w:szCs w:val="20"/>
        </w:rPr>
        <w:t>Increase</w:t>
      </w:r>
      <w:r w:rsidR="000C2A54" w:rsidRPr="006C7E49">
        <w:rPr>
          <w:rFonts w:cs="Arial"/>
          <w:bCs/>
          <w:sz w:val="20"/>
          <w:szCs w:val="20"/>
        </w:rPr>
        <w:t xml:space="preserve"> in trade payables</w:t>
      </w:r>
      <w:r w:rsidR="000C2A54" w:rsidRPr="006C7E49">
        <w:rPr>
          <w:rFonts w:cs="Arial"/>
          <w:bCs/>
          <w:sz w:val="20"/>
          <w:szCs w:val="20"/>
        </w:rPr>
        <w:tab/>
      </w:r>
      <w:r w:rsidR="000C2A54" w:rsidRPr="006C7E49">
        <w:rPr>
          <w:rFonts w:cs="Arial"/>
          <w:b/>
          <w:bCs/>
          <w:sz w:val="20"/>
          <w:szCs w:val="20"/>
        </w:rPr>
        <w:t>11</w:t>
      </w:r>
      <w:r w:rsidR="000C2A54" w:rsidRPr="006C7E49">
        <w:rPr>
          <w:rFonts w:cs="Arial"/>
          <w:bCs/>
          <w:sz w:val="20"/>
          <w:szCs w:val="20"/>
        </w:rPr>
        <w:tab/>
      </w:r>
      <w:r>
        <w:rPr>
          <w:rFonts w:cs="Arial"/>
          <w:bCs/>
          <w:sz w:val="20"/>
          <w:szCs w:val="20"/>
        </w:rPr>
        <w:t>(</w:t>
      </w:r>
      <w:r w:rsidR="00076A51">
        <w:rPr>
          <w:rFonts w:cs="Arial"/>
          <w:bCs/>
          <w:sz w:val="20"/>
          <w:szCs w:val="20"/>
        </w:rPr>
        <w:t>59,085</w:t>
      </w:r>
      <w:r>
        <w:rPr>
          <w:rFonts w:cs="Arial"/>
          <w:bCs/>
          <w:sz w:val="20"/>
          <w:szCs w:val="20"/>
        </w:rPr>
        <w:t>)</w:t>
      </w:r>
      <w:r w:rsidR="000C2A54" w:rsidRPr="006C7E49">
        <w:rPr>
          <w:rFonts w:cs="Arial"/>
          <w:bCs/>
          <w:sz w:val="20"/>
          <w:szCs w:val="20"/>
        </w:rPr>
        <w:tab/>
      </w:r>
      <w:r>
        <w:rPr>
          <w:rFonts w:cs="Arial"/>
          <w:bCs/>
          <w:sz w:val="20"/>
          <w:szCs w:val="20"/>
        </w:rPr>
        <w:t>83,640</w:t>
      </w:r>
    </w:p>
    <w:p w14:paraId="29FC9802" w14:textId="77777777" w:rsidR="00C943AE" w:rsidRDefault="00C943AE" w:rsidP="000C2A54">
      <w:pPr>
        <w:widowControl w:val="0"/>
        <w:tabs>
          <w:tab w:val="center" w:pos="5160"/>
          <w:tab w:val="right" w:pos="7371"/>
          <w:tab w:val="right" w:pos="9071"/>
        </w:tabs>
        <w:autoSpaceDE w:val="0"/>
        <w:autoSpaceDN w:val="0"/>
        <w:adjustRightInd w:val="0"/>
        <w:rPr>
          <w:rFonts w:cs="Arial"/>
          <w:bCs/>
          <w:sz w:val="20"/>
          <w:szCs w:val="20"/>
        </w:rPr>
      </w:pPr>
    </w:p>
    <w:p w14:paraId="4A1ECF84" w14:textId="62B10282" w:rsidR="00B479EA" w:rsidRDefault="00B479EA" w:rsidP="000C2A54">
      <w:pPr>
        <w:widowControl w:val="0"/>
        <w:tabs>
          <w:tab w:val="center" w:pos="5160"/>
          <w:tab w:val="right" w:pos="7371"/>
          <w:tab w:val="right" w:pos="9071"/>
        </w:tabs>
        <w:autoSpaceDE w:val="0"/>
        <w:autoSpaceDN w:val="0"/>
        <w:adjustRightInd w:val="0"/>
        <w:rPr>
          <w:rFonts w:cs="Arial"/>
          <w:bCs/>
          <w:iCs/>
          <w:sz w:val="20"/>
          <w:szCs w:val="20"/>
        </w:rPr>
      </w:pPr>
      <w:r>
        <w:rPr>
          <w:rFonts w:cs="Arial"/>
          <w:bCs/>
          <w:iCs/>
          <w:sz w:val="20"/>
          <w:szCs w:val="20"/>
        </w:rPr>
        <w:t xml:space="preserve">Movements in payables relating to purchase </w:t>
      </w:r>
      <w:r>
        <w:rPr>
          <w:rFonts w:cs="Arial"/>
          <w:bCs/>
          <w:iCs/>
          <w:sz w:val="20"/>
          <w:szCs w:val="20"/>
        </w:rPr>
        <w:tab/>
      </w:r>
      <w:r>
        <w:rPr>
          <w:rFonts w:cs="Arial"/>
          <w:bCs/>
          <w:iCs/>
          <w:sz w:val="20"/>
          <w:szCs w:val="20"/>
        </w:rPr>
        <w:tab/>
        <w:t>0</w:t>
      </w:r>
      <w:r>
        <w:rPr>
          <w:rFonts w:cs="Arial"/>
          <w:bCs/>
          <w:iCs/>
          <w:sz w:val="20"/>
          <w:szCs w:val="20"/>
        </w:rPr>
        <w:tab/>
        <w:t>35,648</w:t>
      </w:r>
    </w:p>
    <w:p w14:paraId="1220F80E" w14:textId="08D40DB7" w:rsidR="00713362" w:rsidRDefault="00B479EA" w:rsidP="000C2A54">
      <w:pPr>
        <w:widowControl w:val="0"/>
        <w:tabs>
          <w:tab w:val="center" w:pos="5160"/>
          <w:tab w:val="right" w:pos="7371"/>
          <w:tab w:val="right" w:pos="9071"/>
        </w:tabs>
        <w:autoSpaceDE w:val="0"/>
        <w:autoSpaceDN w:val="0"/>
        <w:adjustRightInd w:val="0"/>
        <w:rPr>
          <w:rFonts w:cs="Arial"/>
          <w:bCs/>
          <w:iCs/>
          <w:sz w:val="20"/>
          <w:szCs w:val="20"/>
        </w:rPr>
      </w:pPr>
      <w:r>
        <w:rPr>
          <w:rFonts w:cs="Arial"/>
          <w:bCs/>
          <w:iCs/>
          <w:sz w:val="20"/>
          <w:szCs w:val="20"/>
        </w:rPr>
        <w:t>of property, plant and equipment</w:t>
      </w:r>
    </w:p>
    <w:p w14:paraId="7278369D" w14:textId="77777777" w:rsidR="00B479EA" w:rsidRPr="00B479EA" w:rsidRDefault="00B479EA" w:rsidP="000C2A54">
      <w:pPr>
        <w:widowControl w:val="0"/>
        <w:tabs>
          <w:tab w:val="center" w:pos="5160"/>
          <w:tab w:val="right" w:pos="7371"/>
          <w:tab w:val="right" w:pos="9071"/>
        </w:tabs>
        <w:autoSpaceDE w:val="0"/>
        <w:autoSpaceDN w:val="0"/>
        <w:adjustRightInd w:val="0"/>
        <w:rPr>
          <w:rFonts w:cs="Arial"/>
          <w:bCs/>
          <w:iCs/>
          <w:sz w:val="20"/>
          <w:szCs w:val="20"/>
        </w:rPr>
      </w:pPr>
    </w:p>
    <w:p w14:paraId="15D8FCC4" w14:textId="77777777" w:rsidR="007D0485" w:rsidRDefault="007B768A" w:rsidP="007D0485">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Depreciation, a</w:t>
      </w:r>
      <w:r w:rsidR="007D0485">
        <w:rPr>
          <w:rFonts w:cs="Arial"/>
          <w:bCs/>
          <w:sz w:val="20"/>
          <w:szCs w:val="20"/>
        </w:rPr>
        <w:t xml:space="preserve">mortisation and </w:t>
      </w:r>
    </w:p>
    <w:p w14:paraId="4065B036" w14:textId="77777777" w:rsidR="007D0485" w:rsidRDefault="007B768A" w:rsidP="007D0485">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i</w:t>
      </w:r>
      <w:r w:rsidR="007D0485">
        <w:rPr>
          <w:rFonts w:cs="Arial"/>
          <w:bCs/>
          <w:sz w:val="20"/>
          <w:szCs w:val="20"/>
        </w:rPr>
        <w:t>mpairment</w:t>
      </w:r>
      <w:r w:rsidR="007D0485">
        <w:rPr>
          <w:rFonts w:cs="Arial"/>
          <w:bCs/>
          <w:sz w:val="20"/>
          <w:szCs w:val="20"/>
        </w:rPr>
        <w:tab/>
      </w:r>
      <w:r w:rsidR="007D0485">
        <w:rPr>
          <w:rFonts w:cs="Arial"/>
          <w:b/>
          <w:bCs/>
          <w:sz w:val="20"/>
          <w:szCs w:val="20"/>
        </w:rPr>
        <w:t>4</w:t>
      </w:r>
      <w:r w:rsidR="007D0485">
        <w:rPr>
          <w:rFonts w:cs="Arial"/>
          <w:b/>
          <w:bCs/>
          <w:sz w:val="20"/>
          <w:szCs w:val="20"/>
        </w:rPr>
        <w:tab/>
      </w:r>
      <w:r w:rsidR="00E916F9">
        <w:rPr>
          <w:rFonts w:cs="Arial"/>
          <w:bCs/>
          <w:sz w:val="20"/>
          <w:szCs w:val="20"/>
        </w:rPr>
        <w:t>91,241</w:t>
      </w:r>
      <w:r w:rsidR="00E916F9">
        <w:rPr>
          <w:rFonts w:cs="Arial"/>
          <w:bCs/>
          <w:sz w:val="20"/>
          <w:szCs w:val="20"/>
        </w:rPr>
        <w:tab/>
        <w:t>81,835</w:t>
      </w:r>
    </w:p>
    <w:p w14:paraId="1825ECA0" w14:textId="77777777" w:rsidR="00A90C64" w:rsidRDefault="00A90C64" w:rsidP="007D0485">
      <w:pPr>
        <w:widowControl w:val="0"/>
        <w:tabs>
          <w:tab w:val="center" w:pos="5160"/>
          <w:tab w:val="right" w:pos="7371"/>
          <w:tab w:val="right" w:pos="9072"/>
        </w:tabs>
        <w:autoSpaceDE w:val="0"/>
        <w:autoSpaceDN w:val="0"/>
        <w:adjustRightInd w:val="0"/>
        <w:rPr>
          <w:rFonts w:cs="Arial"/>
          <w:bCs/>
          <w:sz w:val="20"/>
          <w:szCs w:val="20"/>
        </w:rPr>
      </w:pPr>
    </w:p>
    <w:p w14:paraId="01F363E9" w14:textId="77777777" w:rsidR="00A90C64" w:rsidRDefault="00A90C64" w:rsidP="007D0485">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Adjustment for loss on disposal of</w:t>
      </w:r>
      <w:r w:rsidR="00713362">
        <w:rPr>
          <w:rFonts w:cs="Arial"/>
          <w:bCs/>
          <w:sz w:val="20"/>
          <w:szCs w:val="20"/>
        </w:rPr>
        <w:t xml:space="preserve"> asset</w:t>
      </w:r>
      <w:r w:rsidR="00713362">
        <w:rPr>
          <w:rFonts w:cs="Arial"/>
          <w:bCs/>
          <w:sz w:val="20"/>
          <w:szCs w:val="20"/>
        </w:rPr>
        <w:tab/>
      </w:r>
      <w:r>
        <w:rPr>
          <w:rFonts w:cs="Arial"/>
          <w:b/>
          <w:bCs/>
          <w:sz w:val="20"/>
          <w:szCs w:val="20"/>
        </w:rPr>
        <w:t>4</w:t>
      </w:r>
      <w:r>
        <w:rPr>
          <w:rFonts w:cs="Arial"/>
          <w:b/>
          <w:bCs/>
          <w:sz w:val="20"/>
          <w:szCs w:val="20"/>
        </w:rPr>
        <w:tab/>
      </w:r>
      <w:r w:rsidR="00E916F9">
        <w:rPr>
          <w:rFonts w:cs="Arial"/>
          <w:bCs/>
          <w:sz w:val="20"/>
          <w:szCs w:val="20"/>
        </w:rPr>
        <w:t>0</w:t>
      </w:r>
      <w:r w:rsidR="00E916F9">
        <w:rPr>
          <w:rFonts w:cs="Arial"/>
          <w:bCs/>
          <w:sz w:val="20"/>
          <w:szCs w:val="20"/>
        </w:rPr>
        <w:tab/>
        <w:t>2,183</w:t>
      </w:r>
      <w:r>
        <w:rPr>
          <w:rFonts w:cs="Arial"/>
          <w:bCs/>
          <w:sz w:val="20"/>
          <w:szCs w:val="20"/>
        </w:rPr>
        <w:t xml:space="preserve"> </w:t>
      </w:r>
    </w:p>
    <w:p w14:paraId="714C9471" w14:textId="77777777" w:rsidR="00A90C64" w:rsidRPr="007D0485" w:rsidRDefault="00A90C64" w:rsidP="007D0485">
      <w:pPr>
        <w:widowControl w:val="0"/>
        <w:tabs>
          <w:tab w:val="center" w:pos="5160"/>
          <w:tab w:val="right" w:pos="7371"/>
          <w:tab w:val="right" w:pos="9072"/>
        </w:tabs>
        <w:autoSpaceDE w:val="0"/>
        <w:autoSpaceDN w:val="0"/>
        <w:adjustRightInd w:val="0"/>
        <w:rPr>
          <w:rFonts w:cs="Arial"/>
          <w:bCs/>
          <w:sz w:val="20"/>
          <w:szCs w:val="20"/>
        </w:rPr>
      </w:pPr>
    </w:p>
    <w:p w14:paraId="21E7B91A" w14:textId="77777777" w:rsidR="000C2A54" w:rsidRPr="006C7E49" w:rsidRDefault="00713362" w:rsidP="000C2A54">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Increase</w:t>
      </w:r>
      <w:r w:rsidR="00F130A1">
        <w:rPr>
          <w:rFonts w:cs="Arial"/>
          <w:bCs/>
          <w:sz w:val="20"/>
          <w:szCs w:val="20"/>
        </w:rPr>
        <w:t xml:space="preserve"> in provisions</w:t>
      </w:r>
      <w:r w:rsidR="000C2A54" w:rsidRPr="006C7E49">
        <w:rPr>
          <w:rFonts w:cs="Arial"/>
          <w:bCs/>
          <w:sz w:val="20"/>
          <w:szCs w:val="20"/>
        </w:rPr>
        <w:tab/>
      </w:r>
      <w:r w:rsidR="000C2A54" w:rsidRPr="006C7E49">
        <w:rPr>
          <w:rFonts w:cs="Arial"/>
          <w:b/>
          <w:bCs/>
          <w:sz w:val="20"/>
          <w:szCs w:val="20"/>
        </w:rPr>
        <w:t>12</w:t>
      </w:r>
      <w:r w:rsidR="000C2A54" w:rsidRPr="006C7E49">
        <w:rPr>
          <w:rFonts w:cs="Arial"/>
          <w:bCs/>
          <w:sz w:val="20"/>
          <w:szCs w:val="20"/>
        </w:rPr>
        <w:tab/>
      </w:r>
      <w:r>
        <w:rPr>
          <w:rFonts w:cs="Arial"/>
          <w:bCs/>
          <w:sz w:val="20"/>
          <w:szCs w:val="20"/>
        </w:rPr>
        <w:t>0</w:t>
      </w:r>
      <w:r w:rsidR="000C2A54" w:rsidRPr="006C7E49">
        <w:rPr>
          <w:rFonts w:cs="Arial"/>
          <w:bCs/>
          <w:sz w:val="20"/>
          <w:szCs w:val="20"/>
        </w:rPr>
        <w:tab/>
      </w:r>
      <w:r w:rsidR="00E916F9">
        <w:rPr>
          <w:rFonts w:cs="Arial"/>
          <w:bCs/>
          <w:sz w:val="20"/>
          <w:szCs w:val="20"/>
        </w:rPr>
        <w:t>75,00</w:t>
      </w:r>
      <w:r>
        <w:rPr>
          <w:rFonts w:cs="Arial"/>
          <w:bCs/>
          <w:sz w:val="20"/>
          <w:szCs w:val="20"/>
        </w:rPr>
        <w:t>0</w:t>
      </w:r>
    </w:p>
    <w:p w14:paraId="51B4E333" w14:textId="77777777" w:rsidR="000C2A54" w:rsidRPr="006C7E49" w:rsidRDefault="000C2A54" w:rsidP="000C2A54">
      <w:pPr>
        <w:widowControl w:val="0"/>
        <w:tabs>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237D03AE" w14:textId="77777777" w:rsidR="000C2A54" w:rsidRP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r w:rsidRPr="006C7E49">
        <w:rPr>
          <w:rFonts w:cs="Arial"/>
          <w:b/>
          <w:bCs/>
          <w:sz w:val="20"/>
          <w:szCs w:val="20"/>
        </w:rPr>
        <w:t>Net cash outflow from operating activities</w:t>
      </w:r>
      <w:r w:rsidR="006C7E49">
        <w:rPr>
          <w:rFonts w:cs="Arial"/>
          <w:b/>
          <w:bCs/>
          <w:sz w:val="20"/>
          <w:szCs w:val="20"/>
        </w:rPr>
        <w:tab/>
      </w:r>
      <w:r w:rsidRPr="006C7E49">
        <w:rPr>
          <w:rFonts w:cs="Arial"/>
          <w:b/>
          <w:bCs/>
          <w:sz w:val="20"/>
          <w:szCs w:val="20"/>
        </w:rPr>
        <w:tab/>
      </w:r>
      <w:r w:rsidR="00713362">
        <w:rPr>
          <w:rFonts w:cs="Arial"/>
          <w:b/>
          <w:bCs/>
          <w:sz w:val="20"/>
          <w:szCs w:val="20"/>
        </w:rPr>
        <w:t>(</w:t>
      </w:r>
      <w:r w:rsidR="00E916F9">
        <w:rPr>
          <w:rFonts w:cs="Arial"/>
          <w:b/>
          <w:bCs/>
          <w:sz w:val="20"/>
          <w:szCs w:val="20"/>
        </w:rPr>
        <w:t>2,315,515</w:t>
      </w:r>
      <w:r w:rsidR="007973AC" w:rsidRPr="00B55299">
        <w:rPr>
          <w:rFonts w:cs="Arial"/>
          <w:b/>
          <w:bCs/>
          <w:sz w:val="20"/>
          <w:szCs w:val="20"/>
        </w:rPr>
        <w:t>)</w:t>
      </w:r>
      <w:r w:rsidRPr="006C7E49">
        <w:rPr>
          <w:rFonts w:cs="Arial"/>
          <w:b/>
          <w:bCs/>
          <w:sz w:val="20"/>
          <w:szCs w:val="20"/>
        </w:rPr>
        <w:tab/>
        <w:t>(1,</w:t>
      </w:r>
      <w:r w:rsidR="00E916F9">
        <w:rPr>
          <w:rFonts w:cs="Arial"/>
          <w:b/>
          <w:bCs/>
          <w:sz w:val="20"/>
          <w:szCs w:val="20"/>
        </w:rPr>
        <w:t>377,178</w:t>
      </w:r>
      <w:r w:rsidRPr="006C7E49">
        <w:rPr>
          <w:rFonts w:cs="Arial"/>
          <w:b/>
          <w:bCs/>
          <w:sz w:val="20"/>
          <w:szCs w:val="20"/>
        </w:rPr>
        <w:t>)</w:t>
      </w:r>
    </w:p>
    <w:p w14:paraId="0E02F01F" w14:textId="77777777" w:rsidR="000C2A54" w:rsidRPr="006C7E49" w:rsidRDefault="000C2A54" w:rsidP="000C2A54">
      <w:pPr>
        <w:widowControl w:val="0"/>
        <w:tabs>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21C29ACC" w14:textId="77777777" w:rsidR="000C2A54" w:rsidRPr="006C7E49" w:rsidRDefault="000C2A54" w:rsidP="000C2A54">
      <w:pPr>
        <w:widowControl w:val="0"/>
        <w:tabs>
          <w:tab w:val="center" w:pos="5670"/>
          <w:tab w:val="right" w:pos="7371"/>
          <w:tab w:val="right" w:pos="9071"/>
        </w:tabs>
        <w:autoSpaceDE w:val="0"/>
        <w:autoSpaceDN w:val="0"/>
        <w:adjustRightInd w:val="0"/>
        <w:rPr>
          <w:rFonts w:cs="Arial"/>
          <w:sz w:val="20"/>
          <w:szCs w:val="20"/>
        </w:rPr>
      </w:pPr>
    </w:p>
    <w:p w14:paraId="41B94D2A" w14:textId="77777777" w:rsidR="000C2A54" w:rsidRPr="006C7E49" w:rsidRDefault="007B768A" w:rsidP="000C2A54">
      <w:pPr>
        <w:widowControl w:val="0"/>
        <w:tabs>
          <w:tab w:val="center" w:pos="5160"/>
          <w:tab w:val="right" w:pos="7371"/>
          <w:tab w:val="right" w:pos="9071"/>
        </w:tabs>
        <w:autoSpaceDE w:val="0"/>
        <w:autoSpaceDN w:val="0"/>
        <w:adjustRightInd w:val="0"/>
        <w:rPr>
          <w:rFonts w:cs="Arial"/>
          <w:bCs/>
          <w:sz w:val="20"/>
          <w:szCs w:val="20"/>
        </w:rPr>
      </w:pPr>
      <w:r>
        <w:rPr>
          <w:rFonts w:cs="Arial"/>
          <w:b/>
          <w:bCs/>
          <w:sz w:val="20"/>
          <w:szCs w:val="20"/>
        </w:rPr>
        <w:t>Cash flows from investing</w:t>
      </w:r>
      <w:r w:rsidR="000C2A54" w:rsidRPr="006C7E49">
        <w:rPr>
          <w:rFonts w:cs="Arial"/>
          <w:b/>
          <w:bCs/>
          <w:sz w:val="20"/>
          <w:szCs w:val="20"/>
        </w:rPr>
        <w:t xml:space="preserve"> activities </w:t>
      </w:r>
      <w:r w:rsidR="000C2A54" w:rsidRPr="006C7E49">
        <w:rPr>
          <w:rFonts w:cs="Arial"/>
          <w:b/>
          <w:bCs/>
          <w:sz w:val="20"/>
          <w:szCs w:val="20"/>
        </w:rPr>
        <w:tab/>
      </w:r>
      <w:r w:rsidR="000C2A54" w:rsidRPr="006C7E49">
        <w:rPr>
          <w:rFonts w:cs="Arial"/>
          <w:b/>
          <w:bCs/>
          <w:sz w:val="20"/>
          <w:szCs w:val="20"/>
        </w:rPr>
        <w:tab/>
      </w:r>
    </w:p>
    <w:p w14:paraId="7CD221EA" w14:textId="77777777" w:rsidR="007B699D" w:rsidRDefault="000C2A54" w:rsidP="000C2A54">
      <w:pPr>
        <w:widowControl w:val="0"/>
        <w:tabs>
          <w:tab w:val="center" w:pos="5160"/>
          <w:tab w:val="right" w:pos="7371"/>
          <w:tab w:val="right" w:pos="9071"/>
        </w:tabs>
        <w:autoSpaceDE w:val="0"/>
        <w:autoSpaceDN w:val="0"/>
        <w:adjustRightInd w:val="0"/>
        <w:rPr>
          <w:rFonts w:cs="Arial"/>
          <w:bCs/>
          <w:sz w:val="20"/>
          <w:szCs w:val="20"/>
        </w:rPr>
      </w:pPr>
      <w:r w:rsidRPr="006C7E49">
        <w:rPr>
          <w:rFonts w:cs="Arial"/>
          <w:bCs/>
          <w:sz w:val="20"/>
          <w:szCs w:val="20"/>
        </w:rPr>
        <w:t>Purchase of property, plant and equipment</w:t>
      </w:r>
      <w:r w:rsidRPr="006C7E49">
        <w:rPr>
          <w:rFonts w:cs="Arial"/>
          <w:bCs/>
          <w:sz w:val="20"/>
          <w:szCs w:val="20"/>
        </w:rPr>
        <w:tab/>
      </w:r>
      <w:r w:rsidR="00D40995" w:rsidRPr="007D0485">
        <w:rPr>
          <w:rFonts w:cs="Arial"/>
          <w:b/>
          <w:bCs/>
          <w:sz w:val="20"/>
          <w:szCs w:val="20"/>
        </w:rPr>
        <w:t>6</w:t>
      </w:r>
      <w:r w:rsidRPr="006C7E49">
        <w:rPr>
          <w:rFonts w:cs="Arial"/>
          <w:bCs/>
          <w:sz w:val="20"/>
          <w:szCs w:val="20"/>
        </w:rPr>
        <w:tab/>
      </w:r>
      <w:r w:rsidR="008667F0">
        <w:rPr>
          <w:rFonts w:cs="Arial"/>
          <w:bCs/>
          <w:sz w:val="20"/>
          <w:szCs w:val="20"/>
        </w:rPr>
        <w:t>(</w:t>
      </w:r>
      <w:r w:rsidR="00E916F9">
        <w:rPr>
          <w:rFonts w:cs="Arial"/>
          <w:bCs/>
          <w:sz w:val="20"/>
          <w:szCs w:val="20"/>
        </w:rPr>
        <w:t>10,972</w:t>
      </w:r>
      <w:r w:rsidR="007973AC">
        <w:rPr>
          <w:rFonts w:cs="Arial"/>
          <w:bCs/>
          <w:sz w:val="20"/>
          <w:szCs w:val="20"/>
        </w:rPr>
        <w:t>)</w:t>
      </w:r>
      <w:r w:rsidRPr="006C7E49">
        <w:rPr>
          <w:rFonts w:cs="Arial"/>
          <w:bCs/>
          <w:sz w:val="20"/>
          <w:szCs w:val="20"/>
        </w:rPr>
        <w:tab/>
        <w:t>(</w:t>
      </w:r>
      <w:r w:rsidR="00E916F9">
        <w:rPr>
          <w:rFonts w:cs="Arial"/>
          <w:bCs/>
          <w:sz w:val="20"/>
          <w:szCs w:val="20"/>
        </w:rPr>
        <w:t>641,643</w:t>
      </w:r>
      <w:r w:rsidR="003061F1">
        <w:rPr>
          <w:rFonts w:cs="Arial"/>
          <w:bCs/>
          <w:sz w:val="20"/>
          <w:szCs w:val="20"/>
        </w:rPr>
        <w:t>)</w:t>
      </w:r>
    </w:p>
    <w:p w14:paraId="246C1029" w14:textId="77777777" w:rsidR="007B699D" w:rsidRDefault="007B699D" w:rsidP="000C2A54">
      <w:pPr>
        <w:widowControl w:val="0"/>
        <w:tabs>
          <w:tab w:val="center" w:pos="5160"/>
          <w:tab w:val="right" w:pos="7371"/>
          <w:tab w:val="right" w:pos="9071"/>
        </w:tabs>
        <w:autoSpaceDE w:val="0"/>
        <w:autoSpaceDN w:val="0"/>
        <w:adjustRightInd w:val="0"/>
        <w:rPr>
          <w:rFonts w:cs="Arial"/>
          <w:bCs/>
          <w:sz w:val="20"/>
          <w:szCs w:val="20"/>
        </w:rPr>
      </w:pPr>
    </w:p>
    <w:p w14:paraId="60B4BC00"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109D344E" w14:textId="77777777" w:rsidR="000C2A54" w:rsidRPr="006C7E49" w:rsidRDefault="000C2A54" w:rsidP="000C2A54">
      <w:pPr>
        <w:widowControl w:val="0"/>
        <w:tabs>
          <w:tab w:val="center" w:pos="5160"/>
          <w:tab w:val="right" w:pos="7371"/>
          <w:tab w:val="right" w:pos="9071"/>
        </w:tabs>
        <w:autoSpaceDE w:val="0"/>
        <w:autoSpaceDN w:val="0"/>
        <w:adjustRightInd w:val="0"/>
        <w:rPr>
          <w:rFonts w:cs="Arial"/>
          <w:bCs/>
          <w:sz w:val="20"/>
          <w:szCs w:val="20"/>
        </w:rPr>
      </w:pPr>
      <w:r w:rsidRPr="006C7E49">
        <w:rPr>
          <w:rFonts w:cs="Arial"/>
          <w:b/>
          <w:bCs/>
          <w:sz w:val="20"/>
          <w:szCs w:val="20"/>
        </w:rPr>
        <w:t>Net cash outflow from investing activities</w:t>
      </w:r>
      <w:r w:rsidR="003061F1">
        <w:rPr>
          <w:rFonts w:cs="Arial"/>
          <w:b/>
          <w:bCs/>
          <w:sz w:val="20"/>
          <w:szCs w:val="20"/>
        </w:rPr>
        <w:tab/>
      </w:r>
      <w:r w:rsidRPr="006C7E49">
        <w:rPr>
          <w:rFonts w:cs="Arial"/>
          <w:bCs/>
          <w:sz w:val="20"/>
          <w:szCs w:val="20"/>
        </w:rPr>
        <w:tab/>
      </w:r>
      <w:r w:rsidR="00386F56">
        <w:rPr>
          <w:rFonts w:cs="Arial"/>
          <w:b/>
          <w:bCs/>
          <w:sz w:val="20"/>
          <w:szCs w:val="20"/>
        </w:rPr>
        <w:t>(</w:t>
      </w:r>
      <w:r w:rsidR="00E916F9">
        <w:rPr>
          <w:rFonts w:cs="Arial"/>
          <w:b/>
          <w:bCs/>
          <w:sz w:val="20"/>
          <w:szCs w:val="20"/>
        </w:rPr>
        <w:t>10,972</w:t>
      </w:r>
      <w:r w:rsidR="007973AC">
        <w:rPr>
          <w:rFonts w:cs="Arial"/>
          <w:b/>
          <w:bCs/>
          <w:sz w:val="20"/>
          <w:szCs w:val="20"/>
        </w:rPr>
        <w:t>)</w:t>
      </w:r>
      <w:r w:rsidRPr="006C7E49">
        <w:rPr>
          <w:rFonts w:cs="Arial"/>
          <w:b/>
          <w:bCs/>
          <w:sz w:val="20"/>
          <w:szCs w:val="20"/>
        </w:rPr>
        <w:tab/>
        <w:t>(</w:t>
      </w:r>
      <w:r w:rsidR="00E916F9">
        <w:rPr>
          <w:rFonts w:cs="Arial"/>
          <w:b/>
          <w:bCs/>
          <w:sz w:val="20"/>
          <w:szCs w:val="20"/>
        </w:rPr>
        <w:t>641,643</w:t>
      </w:r>
      <w:r w:rsidRPr="006C7E49">
        <w:rPr>
          <w:rFonts w:cs="Arial"/>
          <w:b/>
          <w:bCs/>
          <w:sz w:val="20"/>
          <w:szCs w:val="20"/>
        </w:rPr>
        <w:t>)</w:t>
      </w:r>
    </w:p>
    <w:p w14:paraId="79EC41D0"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77A5D294" w14:textId="77777777" w:rsidR="000C2A54" w:rsidRP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p>
    <w:p w14:paraId="2F8C6816" w14:textId="77777777" w:rsidR="00C6005E" w:rsidRDefault="000C2A54" w:rsidP="000C2A54">
      <w:pPr>
        <w:widowControl w:val="0"/>
        <w:tabs>
          <w:tab w:val="center" w:pos="5160"/>
          <w:tab w:val="right" w:pos="7371"/>
          <w:tab w:val="right" w:pos="9072"/>
        </w:tabs>
        <w:autoSpaceDE w:val="0"/>
        <w:autoSpaceDN w:val="0"/>
        <w:adjustRightInd w:val="0"/>
        <w:rPr>
          <w:rFonts w:cs="Arial"/>
          <w:b/>
          <w:bCs/>
          <w:sz w:val="20"/>
          <w:szCs w:val="20"/>
        </w:rPr>
      </w:pPr>
      <w:r w:rsidRPr="006C7E49">
        <w:rPr>
          <w:rFonts w:cs="Arial"/>
          <w:b/>
          <w:bCs/>
          <w:sz w:val="20"/>
          <w:szCs w:val="20"/>
        </w:rPr>
        <w:t>Cash inflow from financing activities</w:t>
      </w:r>
    </w:p>
    <w:p w14:paraId="3881D242" w14:textId="77777777" w:rsidR="000C2A54" w:rsidRPr="006C7E49" w:rsidRDefault="00C6005E" w:rsidP="000C2A54">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Funding from parent department</w:t>
      </w:r>
      <w:r w:rsidR="000C2A54" w:rsidRPr="006C7E49">
        <w:rPr>
          <w:rFonts w:cs="Arial"/>
          <w:b/>
          <w:bCs/>
          <w:sz w:val="20"/>
          <w:szCs w:val="20"/>
        </w:rPr>
        <w:tab/>
      </w:r>
      <w:r w:rsidR="000C2A54" w:rsidRPr="006C7E49">
        <w:rPr>
          <w:rFonts w:cs="Arial"/>
          <w:b/>
          <w:bCs/>
          <w:sz w:val="20"/>
          <w:szCs w:val="20"/>
        </w:rPr>
        <w:tab/>
      </w:r>
      <w:r w:rsidR="00E916F9">
        <w:rPr>
          <w:rFonts w:cs="Arial"/>
          <w:bCs/>
          <w:sz w:val="20"/>
          <w:szCs w:val="20"/>
        </w:rPr>
        <w:t>2,527,887</w:t>
      </w:r>
      <w:r w:rsidR="000C2A54" w:rsidRPr="006C7E49">
        <w:rPr>
          <w:rFonts w:cs="Arial"/>
          <w:b/>
          <w:bCs/>
          <w:sz w:val="20"/>
          <w:szCs w:val="20"/>
        </w:rPr>
        <w:tab/>
      </w:r>
      <w:r w:rsidR="000C2A54" w:rsidRPr="006C7E49">
        <w:rPr>
          <w:rFonts w:cs="Arial"/>
          <w:bCs/>
          <w:sz w:val="20"/>
          <w:szCs w:val="20"/>
        </w:rPr>
        <w:t>1,</w:t>
      </w:r>
      <w:r w:rsidR="00E916F9">
        <w:rPr>
          <w:rFonts w:cs="Arial"/>
          <w:bCs/>
          <w:sz w:val="20"/>
          <w:szCs w:val="20"/>
        </w:rPr>
        <w:t>747,253</w:t>
      </w:r>
    </w:p>
    <w:p w14:paraId="676C05A4" w14:textId="77777777" w:rsidR="000C2A54" w:rsidRPr="00B90FC7" w:rsidRDefault="000C2A54" w:rsidP="000C2A54">
      <w:pPr>
        <w:widowControl w:val="0"/>
        <w:tabs>
          <w:tab w:val="center" w:pos="5160"/>
          <w:tab w:val="center" w:pos="5580"/>
          <w:tab w:val="right" w:pos="7371"/>
          <w:tab w:val="right" w:pos="9072"/>
        </w:tabs>
        <w:autoSpaceDE w:val="0"/>
        <w:autoSpaceDN w:val="0"/>
        <w:adjustRightInd w:val="0"/>
        <w:rPr>
          <w:sz w:val="22"/>
          <w:szCs w:val="22"/>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36215259" w14:textId="77777777" w:rsidR="000C2A54" w:rsidRP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r w:rsidRPr="006C7E49">
        <w:rPr>
          <w:rFonts w:cs="Arial"/>
          <w:b/>
          <w:bCs/>
          <w:sz w:val="20"/>
          <w:szCs w:val="20"/>
        </w:rPr>
        <w:t xml:space="preserve">Net cash </w:t>
      </w:r>
      <w:r w:rsidR="00527708">
        <w:rPr>
          <w:rFonts w:cs="Arial"/>
          <w:b/>
          <w:bCs/>
          <w:sz w:val="20"/>
          <w:szCs w:val="20"/>
        </w:rPr>
        <w:t>inflow</w:t>
      </w:r>
      <w:r w:rsidR="00527708" w:rsidRPr="006C7E49">
        <w:rPr>
          <w:rFonts w:cs="Arial"/>
          <w:b/>
          <w:bCs/>
          <w:sz w:val="20"/>
          <w:szCs w:val="20"/>
        </w:rPr>
        <w:t xml:space="preserve"> </w:t>
      </w:r>
      <w:r w:rsidRPr="006C7E49">
        <w:rPr>
          <w:rFonts w:cs="Arial"/>
          <w:b/>
          <w:bCs/>
          <w:sz w:val="20"/>
          <w:szCs w:val="20"/>
        </w:rPr>
        <w:t>from financing activities</w:t>
      </w:r>
      <w:r w:rsidRPr="006C7E49">
        <w:rPr>
          <w:rFonts w:cs="Arial"/>
          <w:b/>
          <w:bCs/>
          <w:sz w:val="20"/>
          <w:szCs w:val="20"/>
        </w:rPr>
        <w:tab/>
      </w:r>
      <w:r w:rsidR="003061F1">
        <w:rPr>
          <w:rFonts w:cs="Arial"/>
          <w:b/>
          <w:bCs/>
          <w:sz w:val="20"/>
          <w:szCs w:val="20"/>
        </w:rPr>
        <w:tab/>
      </w:r>
      <w:r w:rsidR="00E916F9">
        <w:rPr>
          <w:rFonts w:cs="Arial"/>
          <w:b/>
          <w:bCs/>
          <w:sz w:val="20"/>
          <w:szCs w:val="20"/>
        </w:rPr>
        <w:t>2,527,887</w:t>
      </w:r>
      <w:r w:rsidRPr="006C7E49">
        <w:rPr>
          <w:rFonts w:cs="Arial"/>
          <w:b/>
          <w:bCs/>
          <w:sz w:val="20"/>
          <w:szCs w:val="20"/>
        </w:rPr>
        <w:tab/>
        <w:t>1,</w:t>
      </w:r>
      <w:r w:rsidR="00E916F9">
        <w:rPr>
          <w:rFonts w:cs="Arial"/>
          <w:b/>
          <w:bCs/>
          <w:sz w:val="20"/>
          <w:szCs w:val="20"/>
        </w:rPr>
        <w:t>747,253</w:t>
      </w:r>
    </w:p>
    <w:p w14:paraId="3760FE25"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1F0294CE"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sz w:val="20"/>
          <w:szCs w:val="20"/>
        </w:rPr>
      </w:pPr>
      <w:r w:rsidRPr="006C7E49">
        <w:rPr>
          <w:rFonts w:cs="Arial"/>
          <w:b/>
          <w:bCs/>
          <w:sz w:val="20"/>
          <w:szCs w:val="20"/>
        </w:rPr>
        <w:t>Net</w:t>
      </w:r>
      <w:r w:rsidR="0029565E">
        <w:rPr>
          <w:rFonts w:cs="Arial"/>
          <w:b/>
          <w:bCs/>
          <w:sz w:val="20"/>
          <w:szCs w:val="20"/>
        </w:rPr>
        <w:t xml:space="preserve"> increase/(decrease) </w:t>
      </w:r>
      <w:r w:rsidRPr="006C7E49">
        <w:rPr>
          <w:rFonts w:cs="Arial"/>
          <w:b/>
          <w:bCs/>
          <w:sz w:val="20"/>
          <w:szCs w:val="20"/>
        </w:rPr>
        <w:t xml:space="preserve">in cash </w:t>
      </w:r>
      <w:r w:rsidRPr="006C7E49">
        <w:rPr>
          <w:rFonts w:cs="Arial"/>
          <w:b/>
          <w:bCs/>
          <w:sz w:val="20"/>
          <w:szCs w:val="20"/>
        </w:rPr>
        <w:br/>
        <w:t>and cash equivalents in the period</w:t>
      </w:r>
      <w:r w:rsidRPr="006C7E49">
        <w:rPr>
          <w:rFonts w:cs="Arial"/>
          <w:b/>
          <w:bCs/>
          <w:sz w:val="20"/>
          <w:szCs w:val="20"/>
        </w:rPr>
        <w:tab/>
        <w:t>10</w:t>
      </w:r>
      <w:r w:rsidRPr="006C7E49">
        <w:rPr>
          <w:rFonts w:cs="Arial"/>
          <w:b/>
          <w:bCs/>
          <w:sz w:val="20"/>
          <w:szCs w:val="20"/>
        </w:rPr>
        <w:tab/>
      </w:r>
      <w:r w:rsidRPr="006C7E49">
        <w:rPr>
          <w:rFonts w:cs="Arial"/>
          <w:b/>
          <w:bCs/>
          <w:sz w:val="20"/>
          <w:szCs w:val="20"/>
        </w:rPr>
        <w:tab/>
      </w:r>
      <w:r w:rsidR="0029565E">
        <w:rPr>
          <w:rFonts w:cs="Arial"/>
          <w:b/>
          <w:bCs/>
          <w:sz w:val="20"/>
          <w:szCs w:val="20"/>
        </w:rPr>
        <w:t>201,400</w:t>
      </w:r>
      <w:r w:rsidRPr="006C7E49">
        <w:rPr>
          <w:rFonts w:cs="Arial"/>
          <w:b/>
          <w:bCs/>
          <w:sz w:val="20"/>
          <w:szCs w:val="20"/>
        </w:rPr>
        <w:tab/>
      </w:r>
      <w:r w:rsidR="0029565E">
        <w:rPr>
          <w:rFonts w:cs="Arial"/>
          <w:b/>
          <w:bCs/>
          <w:sz w:val="20"/>
          <w:szCs w:val="20"/>
        </w:rPr>
        <w:t>(271,567)</w:t>
      </w:r>
    </w:p>
    <w:p w14:paraId="411361A0"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sz w:val="20"/>
          <w:szCs w:val="20"/>
        </w:rPr>
        <w:tab/>
      </w:r>
      <w:r w:rsidRPr="006C7E49">
        <w:rPr>
          <w:sz w:val="20"/>
          <w:szCs w:val="20"/>
        </w:rPr>
        <w:tab/>
      </w:r>
      <w:r w:rsidRPr="006C7E49">
        <w:rPr>
          <w:sz w:val="20"/>
          <w:szCs w:val="20"/>
        </w:rPr>
        <w:tab/>
      </w:r>
      <w:r w:rsidRPr="006C7E49">
        <w:rPr>
          <w:rFonts w:ascii="Arial" w:hAnsi="Arial"/>
          <w:sz w:val="20"/>
          <w:szCs w:val="20"/>
        </w:rPr>
        <w:t>═════════</w:t>
      </w:r>
      <w:r w:rsidRPr="006C7E49">
        <w:rPr>
          <w:sz w:val="20"/>
          <w:szCs w:val="20"/>
        </w:rPr>
        <w:tab/>
      </w:r>
      <w:r w:rsidRPr="006C7E49">
        <w:rPr>
          <w:rFonts w:ascii="Arial" w:hAnsi="Arial"/>
          <w:sz w:val="20"/>
          <w:szCs w:val="20"/>
        </w:rPr>
        <w:t>═════════</w:t>
      </w:r>
    </w:p>
    <w:p w14:paraId="1F951935"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r w:rsidRPr="006C7E49">
        <w:rPr>
          <w:rFonts w:cs="Arial"/>
          <w:b/>
          <w:bCs/>
          <w:sz w:val="20"/>
          <w:szCs w:val="20"/>
        </w:rPr>
        <w:t xml:space="preserve">Cash and cash equivalents at the </w:t>
      </w:r>
    </w:p>
    <w:p w14:paraId="35F4D72D"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r w:rsidRPr="006C7E49">
        <w:rPr>
          <w:rFonts w:cs="Arial"/>
          <w:b/>
          <w:bCs/>
          <w:sz w:val="20"/>
          <w:szCs w:val="20"/>
        </w:rPr>
        <w:t>beginning of the period</w:t>
      </w:r>
      <w:r w:rsidRPr="006C7E49">
        <w:rPr>
          <w:rFonts w:cs="Arial"/>
          <w:b/>
          <w:bCs/>
          <w:sz w:val="20"/>
          <w:szCs w:val="20"/>
        </w:rPr>
        <w:tab/>
        <w:t>10</w:t>
      </w:r>
      <w:r w:rsidRPr="006C7E49">
        <w:rPr>
          <w:rFonts w:cs="Arial"/>
          <w:b/>
          <w:bCs/>
          <w:sz w:val="20"/>
          <w:szCs w:val="20"/>
        </w:rPr>
        <w:tab/>
      </w:r>
      <w:r w:rsidRPr="006C7E49">
        <w:rPr>
          <w:rFonts w:cs="Arial"/>
          <w:b/>
          <w:bCs/>
          <w:sz w:val="20"/>
          <w:szCs w:val="20"/>
        </w:rPr>
        <w:tab/>
      </w:r>
      <w:r w:rsidR="0029565E">
        <w:rPr>
          <w:rFonts w:cs="Arial"/>
          <w:b/>
          <w:bCs/>
          <w:sz w:val="20"/>
          <w:szCs w:val="20"/>
        </w:rPr>
        <w:t>340,338</w:t>
      </w:r>
      <w:r w:rsidRPr="006C7E49">
        <w:rPr>
          <w:rFonts w:cs="Arial"/>
          <w:b/>
          <w:bCs/>
          <w:sz w:val="20"/>
          <w:szCs w:val="20"/>
        </w:rPr>
        <w:tab/>
      </w:r>
      <w:r w:rsidR="0029565E">
        <w:rPr>
          <w:rFonts w:cs="Arial"/>
          <w:b/>
          <w:bCs/>
          <w:sz w:val="20"/>
          <w:szCs w:val="20"/>
        </w:rPr>
        <w:t>611,905</w:t>
      </w:r>
    </w:p>
    <w:p w14:paraId="0CEFB9C9"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63B6FEBA"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r w:rsidRPr="006C7E49">
        <w:rPr>
          <w:rFonts w:cs="Arial"/>
          <w:b/>
          <w:bCs/>
          <w:sz w:val="20"/>
          <w:szCs w:val="20"/>
        </w:rPr>
        <w:t xml:space="preserve">Cash and cash equivalents at the </w:t>
      </w:r>
      <w:r w:rsidRPr="006C7E49">
        <w:rPr>
          <w:rFonts w:cs="Arial"/>
          <w:b/>
          <w:bCs/>
          <w:sz w:val="20"/>
          <w:szCs w:val="20"/>
        </w:rPr>
        <w:tab/>
        <w:t>10</w:t>
      </w:r>
      <w:r w:rsidRPr="006C7E49">
        <w:rPr>
          <w:rFonts w:cs="Arial"/>
          <w:b/>
          <w:bCs/>
          <w:sz w:val="20"/>
          <w:szCs w:val="20"/>
        </w:rPr>
        <w:tab/>
      </w:r>
      <w:r w:rsidRPr="006C7E49">
        <w:rPr>
          <w:rFonts w:cs="Arial"/>
          <w:b/>
          <w:bCs/>
          <w:sz w:val="20"/>
          <w:szCs w:val="20"/>
        </w:rPr>
        <w:tab/>
      </w:r>
      <w:r w:rsidR="0029565E">
        <w:rPr>
          <w:rFonts w:cs="Arial"/>
          <w:b/>
          <w:bCs/>
          <w:sz w:val="20"/>
          <w:szCs w:val="20"/>
        </w:rPr>
        <w:t>541,738</w:t>
      </w:r>
      <w:r w:rsidRPr="006C7E49">
        <w:rPr>
          <w:rFonts w:cs="Arial"/>
          <w:b/>
          <w:bCs/>
          <w:sz w:val="20"/>
          <w:szCs w:val="20"/>
        </w:rPr>
        <w:tab/>
      </w:r>
      <w:r w:rsidR="0029565E">
        <w:rPr>
          <w:rFonts w:cs="Arial"/>
          <w:b/>
          <w:bCs/>
          <w:sz w:val="20"/>
          <w:szCs w:val="20"/>
        </w:rPr>
        <w:t>340,338</w:t>
      </w:r>
    </w:p>
    <w:p w14:paraId="7E5713F0"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sz w:val="20"/>
          <w:szCs w:val="20"/>
        </w:rPr>
      </w:pPr>
      <w:r w:rsidRPr="006C7E49">
        <w:rPr>
          <w:rFonts w:cs="Arial"/>
          <w:b/>
          <w:bCs/>
          <w:sz w:val="20"/>
          <w:szCs w:val="20"/>
        </w:rPr>
        <w:t>end of the period</w:t>
      </w:r>
      <w:r w:rsidRPr="006C7E49">
        <w:rPr>
          <w:rFonts w:cs="Arial"/>
          <w:b/>
          <w:bCs/>
          <w:sz w:val="20"/>
          <w:szCs w:val="20"/>
        </w:rPr>
        <w:tab/>
      </w:r>
      <w:r w:rsidRPr="006C7E49">
        <w:rPr>
          <w:rFonts w:cs="Arial"/>
          <w:b/>
          <w:bCs/>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6DA4CD61"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p>
    <w:p w14:paraId="6667F15B" w14:textId="77777777" w:rsidR="000C2A54" w:rsidRDefault="000C2A54" w:rsidP="000C2A54">
      <w:pPr>
        <w:widowControl w:val="0"/>
        <w:tabs>
          <w:tab w:val="center" w:pos="5670"/>
          <w:tab w:val="right" w:pos="7371"/>
          <w:tab w:val="right" w:pos="9071"/>
        </w:tabs>
        <w:autoSpaceDE w:val="0"/>
        <w:autoSpaceDN w:val="0"/>
        <w:adjustRightInd w:val="0"/>
        <w:rPr>
          <w:rFonts w:cs="Arial"/>
          <w:b/>
          <w:bCs/>
          <w:sz w:val="22"/>
          <w:szCs w:val="22"/>
        </w:rPr>
      </w:pPr>
    </w:p>
    <w:p w14:paraId="3CA31849" w14:textId="77777777" w:rsidR="000C2A54" w:rsidRPr="00AC49A1" w:rsidRDefault="000C2A54" w:rsidP="000C2A54">
      <w:pPr>
        <w:widowControl w:val="0"/>
        <w:autoSpaceDE w:val="0"/>
        <w:autoSpaceDN w:val="0"/>
        <w:adjustRightInd w:val="0"/>
        <w:rPr>
          <w:rFonts w:cs="Arial"/>
          <w:sz w:val="22"/>
          <w:szCs w:val="22"/>
        </w:rPr>
      </w:pPr>
    </w:p>
    <w:p w14:paraId="57E77565" w14:textId="0C89BEE1"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 xml:space="preserve">The notes on pages </w:t>
      </w:r>
      <w:r w:rsidR="00612DE1">
        <w:rPr>
          <w:sz w:val="22"/>
          <w:szCs w:val="22"/>
        </w:rPr>
        <w:t>60</w:t>
      </w:r>
      <w:r w:rsidR="0081025D" w:rsidRPr="00EB5423">
        <w:rPr>
          <w:sz w:val="22"/>
          <w:szCs w:val="22"/>
        </w:rPr>
        <w:t xml:space="preserve"> </w:t>
      </w:r>
      <w:r w:rsidRPr="00EB5423">
        <w:rPr>
          <w:sz w:val="22"/>
          <w:szCs w:val="22"/>
        </w:rPr>
        <w:t xml:space="preserve">to </w:t>
      </w:r>
      <w:r w:rsidR="00612DE1">
        <w:rPr>
          <w:sz w:val="22"/>
          <w:szCs w:val="22"/>
        </w:rPr>
        <w:t>73</w:t>
      </w:r>
      <w:r w:rsidR="0081025D" w:rsidRPr="00EB5423">
        <w:rPr>
          <w:sz w:val="22"/>
          <w:szCs w:val="22"/>
        </w:rPr>
        <w:t xml:space="preserve"> </w:t>
      </w:r>
      <w:r w:rsidRPr="00EB5423">
        <w:rPr>
          <w:sz w:val="22"/>
          <w:szCs w:val="22"/>
        </w:rPr>
        <w:t>form part of the financial statements.</w:t>
      </w:r>
    </w:p>
    <w:p w14:paraId="658F8B77" w14:textId="77777777" w:rsidR="000C2A54" w:rsidRPr="00EB5423" w:rsidRDefault="00F130A1" w:rsidP="00417CAC">
      <w:pPr>
        <w:jc w:val="center"/>
        <w:rPr>
          <w:b/>
        </w:rPr>
      </w:pPr>
      <w:bookmarkStart w:id="21" w:name="StatementofChangesinEquity"/>
      <w:r>
        <w:rPr>
          <w:rFonts w:cs="Arial"/>
          <w:b/>
          <w:color w:val="77328A"/>
          <w:sz w:val="30"/>
          <w:szCs w:val="30"/>
        </w:rPr>
        <w:br w:type="page"/>
      </w:r>
      <w:r w:rsidR="008C73A2">
        <w:rPr>
          <w:rFonts w:cs="Arial"/>
          <w:b/>
          <w:color w:val="77328A"/>
          <w:sz w:val="30"/>
          <w:szCs w:val="30"/>
        </w:rPr>
        <w:t xml:space="preserve">Statement of Changes in </w:t>
      </w:r>
      <w:r w:rsidR="00FB15E6">
        <w:rPr>
          <w:rFonts w:cs="Arial"/>
          <w:b/>
          <w:color w:val="77328A"/>
          <w:sz w:val="30"/>
          <w:szCs w:val="30"/>
        </w:rPr>
        <w:t xml:space="preserve">Taxpayers’ </w:t>
      </w:r>
      <w:r w:rsidR="008C73A2">
        <w:rPr>
          <w:rFonts w:cs="Arial"/>
          <w:b/>
          <w:color w:val="77328A"/>
          <w:sz w:val="30"/>
          <w:szCs w:val="30"/>
        </w:rPr>
        <w:t>Equity</w:t>
      </w:r>
      <w:r w:rsidR="004E6BF5">
        <w:rPr>
          <w:rFonts w:cs="Arial"/>
          <w:b/>
          <w:color w:val="77328A"/>
          <w:sz w:val="30"/>
          <w:szCs w:val="30"/>
        </w:rPr>
        <w:t xml:space="preserve"> for the Year Ended 31 March 202</w:t>
      </w:r>
      <w:r w:rsidR="0029565E">
        <w:rPr>
          <w:rFonts w:cs="Arial"/>
          <w:b/>
          <w:color w:val="77328A"/>
          <w:sz w:val="30"/>
          <w:szCs w:val="30"/>
        </w:rPr>
        <w:t>2</w:t>
      </w:r>
    </w:p>
    <w:bookmarkEnd w:id="21"/>
    <w:p w14:paraId="4EE64406" w14:textId="77777777" w:rsidR="000C2A54" w:rsidRDefault="000C2A54" w:rsidP="000C2A54">
      <w:pPr>
        <w:widowControl w:val="0"/>
        <w:autoSpaceDE w:val="0"/>
        <w:autoSpaceDN w:val="0"/>
        <w:adjustRightInd w:val="0"/>
        <w:jc w:val="center"/>
        <w:rPr>
          <w:b/>
          <w:sz w:val="28"/>
        </w:rPr>
      </w:pPr>
    </w:p>
    <w:p w14:paraId="72CC7451" w14:textId="77777777" w:rsidR="000C2A54" w:rsidRDefault="000C2A54" w:rsidP="000C2A54">
      <w:pPr>
        <w:widowControl w:val="0"/>
        <w:autoSpaceDE w:val="0"/>
        <w:autoSpaceDN w:val="0"/>
        <w:adjustRightInd w:val="0"/>
        <w:jc w:val="center"/>
        <w:rPr>
          <w:b/>
          <w:sz w:val="28"/>
        </w:rPr>
      </w:pPr>
    </w:p>
    <w:tbl>
      <w:tblPr>
        <w:tblW w:w="9073" w:type="dxa"/>
        <w:tblLayout w:type="fixed"/>
        <w:tblLook w:val="01E0" w:firstRow="1" w:lastRow="1" w:firstColumn="1" w:lastColumn="1" w:noHBand="0" w:noVBand="0"/>
      </w:tblPr>
      <w:tblGrid>
        <w:gridCol w:w="2268"/>
        <w:gridCol w:w="2268"/>
        <w:gridCol w:w="2268"/>
        <w:gridCol w:w="2269"/>
      </w:tblGrid>
      <w:tr w:rsidR="002B787F" w:rsidRPr="002D3016" w14:paraId="6ADE0B11" w14:textId="77777777" w:rsidTr="00664A13">
        <w:tc>
          <w:tcPr>
            <w:tcW w:w="2268" w:type="dxa"/>
          </w:tcPr>
          <w:p w14:paraId="289734F9" w14:textId="77777777" w:rsidR="002B787F" w:rsidRPr="002D3016" w:rsidRDefault="002B787F" w:rsidP="006F26A2">
            <w:pPr>
              <w:widowControl w:val="0"/>
              <w:autoSpaceDE w:val="0"/>
              <w:autoSpaceDN w:val="0"/>
              <w:adjustRightInd w:val="0"/>
              <w:ind w:right="-855"/>
              <w:jc w:val="right"/>
              <w:rPr>
                <w:b/>
                <w:sz w:val="22"/>
                <w:szCs w:val="22"/>
              </w:rPr>
            </w:pPr>
          </w:p>
        </w:tc>
        <w:tc>
          <w:tcPr>
            <w:tcW w:w="2268" w:type="dxa"/>
          </w:tcPr>
          <w:p w14:paraId="4BD7FD83" w14:textId="1F7AF794" w:rsidR="002B787F" w:rsidRDefault="002B787F" w:rsidP="006F26A2">
            <w:pPr>
              <w:widowControl w:val="0"/>
              <w:autoSpaceDE w:val="0"/>
              <w:autoSpaceDN w:val="0"/>
              <w:adjustRightInd w:val="0"/>
              <w:jc w:val="right"/>
              <w:rPr>
                <w:b/>
                <w:sz w:val="20"/>
                <w:szCs w:val="20"/>
              </w:rPr>
            </w:pPr>
            <w:r>
              <w:rPr>
                <w:b/>
                <w:sz w:val="20"/>
                <w:szCs w:val="20"/>
              </w:rPr>
              <w:t>General Reserves</w:t>
            </w:r>
          </w:p>
          <w:p w14:paraId="5D40087E" w14:textId="77777777" w:rsidR="00612DE1" w:rsidRDefault="00612DE1" w:rsidP="006F26A2">
            <w:pPr>
              <w:widowControl w:val="0"/>
              <w:autoSpaceDE w:val="0"/>
              <w:autoSpaceDN w:val="0"/>
              <w:adjustRightInd w:val="0"/>
              <w:jc w:val="right"/>
              <w:rPr>
                <w:b/>
                <w:sz w:val="20"/>
                <w:szCs w:val="20"/>
              </w:rPr>
            </w:pPr>
          </w:p>
          <w:p w14:paraId="38256840" w14:textId="514B9FD8" w:rsidR="002B787F" w:rsidRDefault="002B787F" w:rsidP="006F26A2">
            <w:pPr>
              <w:widowControl w:val="0"/>
              <w:autoSpaceDE w:val="0"/>
              <w:autoSpaceDN w:val="0"/>
              <w:adjustRightInd w:val="0"/>
              <w:jc w:val="right"/>
              <w:rPr>
                <w:b/>
                <w:sz w:val="20"/>
                <w:szCs w:val="20"/>
              </w:rPr>
            </w:pPr>
            <w:r>
              <w:rPr>
                <w:b/>
                <w:sz w:val="20"/>
                <w:szCs w:val="20"/>
              </w:rPr>
              <w:t>£</w:t>
            </w:r>
          </w:p>
        </w:tc>
        <w:tc>
          <w:tcPr>
            <w:tcW w:w="2268" w:type="dxa"/>
          </w:tcPr>
          <w:p w14:paraId="63C3AE73" w14:textId="77777777" w:rsidR="002B787F" w:rsidRDefault="002B787F" w:rsidP="00612DE1">
            <w:pPr>
              <w:widowControl w:val="0"/>
              <w:autoSpaceDE w:val="0"/>
              <w:autoSpaceDN w:val="0"/>
              <w:adjustRightInd w:val="0"/>
              <w:ind w:right="597"/>
              <w:rPr>
                <w:b/>
                <w:sz w:val="20"/>
                <w:szCs w:val="20"/>
              </w:rPr>
            </w:pPr>
            <w:r>
              <w:rPr>
                <w:b/>
                <w:sz w:val="20"/>
                <w:szCs w:val="20"/>
              </w:rPr>
              <w:t>Revaluation Reserves</w:t>
            </w:r>
          </w:p>
          <w:p w14:paraId="04974176" w14:textId="124BB364" w:rsidR="007F35D2" w:rsidRDefault="007F35D2" w:rsidP="002B787F">
            <w:pPr>
              <w:widowControl w:val="0"/>
              <w:autoSpaceDE w:val="0"/>
              <w:autoSpaceDN w:val="0"/>
              <w:adjustRightInd w:val="0"/>
              <w:ind w:right="597"/>
              <w:jc w:val="right"/>
              <w:rPr>
                <w:b/>
                <w:sz w:val="20"/>
                <w:szCs w:val="20"/>
              </w:rPr>
            </w:pPr>
            <w:r>
              <w:rPr>
                <w:b/>
                <w:sz w:val="20"/>
                <w:szCs w:val="20"/>
              </w:rPr>
              <w:t>£</w:t>
            </w:r>
          </w:p>
        </w:tc>
        <w:tc>
          <w:tcPr>
            <w:tcW w:w="2269" w:type="dxa"/>
          </w:tcPr>
          <w:p w14:paraId="126EB5AB" w14:textId="7C92C09B" w:rsidR="002B787F" w:rsidRPr="003061F1" w:rsidRDefault="002B787F" w:rsidP="00612DE1">
            <w:pPr>
              <w:widowControl w:val="0"/>
              <w:autoSpaceDE w:val="0"/>
              <w:autoSpaceDN w:val="0"/>
              <w:adjustRightInd w:val="0"/>
              <w:ind w:left="-112" w:right="740"/>
              <w:jc w:val="center"/>
              <w:rPr>
                <w:b/>
                <w:sz w:val="20"/>
                <w:szCs w:val="20"/>
              </w:rPr>
            </w:pPr>
            <w:r>
              <w:rPr>
                <w:b/>
                <w:sz w:val="20"/>
                <w:szCs w:val="20"/>
              </w:rPr>
              <w:t>T</w:t>
            </w:r>
            <w:r w:rsidRPr="003061F1">
              <w:rPr>
                <w:b/>
                <w:sz w:val="20"/>
                <w:szCs w:val="20"/>
              </w:rPr>
              <w:t>otal</w:t>
            </w:r>
          </w:p>
          <w:p w14:paraId="3C3C1C17" w14:textId="77777777" w:rsidR="002B787F" w:rsidRDefault="002B787F" w:rsidP="00612DE1">
            <w:pPr>
              <w:widowControl w:val="0"/>
              <w:autoSpaceDE w:val="0"/>
              <w:autoSpaceDN w:val="0"/>
              <w:adjustRightInd w:val="0"/>
              <w:ind w:right="740"/>
              <w:jc w:val="right"/>
              <w:rPr>
                <w:b/>
                <w:sz w:val="20"/>
                <w:szCs w:val="20"/>
              </w:rPr>
            </w:pPr>
            <w:r w:rsidRPr="003061F1">
              <w:rPr>
                <w:b/>
                <w:sz w:val="20"/>
                <w:szCs w:val="20"/>
              </w:rPr>
              <w:t>Reserves</w:t>
            </w:r>
          </w:p>
          <w:p w14:paraId="690E7652" w14:textId="77777777" w:rsidR="002B787F" w:rsidRPr="003061F1" w:rsidRDefault="002B787F" w:rsidP="00612DE1">
            <w:pPr>
              <w:widowControl w:val="0"/>
              <w:autoSpaceDE w:val="0"/>
              <w:autoSpaceDN w:val="0"/>
              <w:adjustRightInd w:val="0"/>
              <w:ind w:right="740"/>
              <w:jc w:val="right"/>
              <w:rPr>
                <w:b/>
                <w:sz w:val="20"/>
                <w:szCs w:val="20"/>
              </w:rPr>
            </w:pPr>
            <w:r>
              <w:rPr>
                <w:b/>
                <w:sz w:val="20"/>
                <w:szCs w:val="20"/>
              </w:rPr>
              <w:t>£</w:t>
            </w:r>
          </w:p>
        </w:tc>
      </w:tr>
      <w:tr w:rsidR="002B787F" w:rsidRPr="00EB7EA1" w14:paraId="02BE9D14" w14:textId="77777777" w:rsidTr="00664A13">
        <w:tc>
          <w:tcPr>
            <w:tcW w:w="2268" w:type="dxa"/>
          </w:tcPr>
          <w:p w14:paraId="635B7EDD" w14:textId="77777777" w:rsidR="002B787F" w:rsidRPr="003061F1" w:rsidRDefault="002B787F" w:rsidP="006F26A2">
            <w:pPr>
              <w:widowControl w:val="0"/>
              <w:autoSpaceDE w:val="0"/>
              <w:autoSpaceDN w:val="0"/>
              <w:adjustRightInd w:val="0"/>
              <w:rPr>
                <w:b/>
                <w:sz w:val="20"/>
                <w:szCs w:val="20"/>
              </w:rPr>
            </w:pPr>
          </w:p>
          <w:p w14:paraId="481ECF82" w14:textId="77777777" w:rsidR="002B787F" w:rsidRPr="003061F1" w:rsidRDefault="002B787F" w:rsidP="006F26A2">
            <w:pPr>
              <w:widowControl w:val="0"/>
              <w:autoSpaceDE w:val="0"/>
              <w:autoSpaceDN w:val="0"/>
              <w:adjustRightInd w:val="0"/>
              <w:rPr>
                <w:b/>
                <w:sz w:val="20"/>
                <w:szCs w:val="20"/>
              </w:rPr>
            </w:pPr>
            <w:r>
              <w:rPr>
                <w:b/>
                <w:sz w:val="20"/>
                <w:szCs w:val="20"/>
              </w:rPr>
              <w:t>Balance at 31 March 2020</w:t>
            </w:r>
          </w:p>
          <w:p w14:paraId="610B854B" w14:textId="77777777" w:rsidR="002B787F" w:rsidRPr="003061F1" w:rsidRDefault="002B787F" w:rsidP="006F26A2">
            <w:pPr>
              <w:widowControl w:val="0"/>
              <w:autoSpaceDE w:val="0"/>
              <w:autoSpaceDN w:val="0"/>
              <w:adjustRightInd w:val="0"/>
              <w:rPr>
                <w:b/>
                <w:sz w:val="20"/>
                <w:szCs w:val="20"/>
              </w:rPr>
            </w:pPr>
          </w:p>
        </w:tc>
        <w:tc>
          <w:tcPr>
            <w:tcW w:w="2268" w:type="dxa"/>
          </w:tcPr>
          <w:p w14:paraId="12056AA3" w14:textId="77777777" w:rsidR="002B787F" w:rsidRDefault="002B787F" w:rsidP="006F26A2">
            <w:pPr>
              <w:widowControl w:val="0"/>
              <w:autoSpaceDE w:val="0"/>
              <w:autoSpaceDN w:val="0"/>
              <w:adjustRightInd w:val="0"/>
              <w:jc w:val="right"/>
              <w:rPr>
                <w:b/>
                <w:sz w:val="20"/>
                <w:szCs w:val="20"/>
              </w:rPr>
            </w:pPr>
          </w:p>
          <w:p w14:paraId="74D8A144" w14:textId="77777777" w:rsidR="002B787F" w:rsidRPr="003061F1" w:rsidRDefault="002B787F" w:rsidP="006F26A2">
            <w:pPr>
              <w:widowControl w:val="0"/>
              <w:autoSpaceDE w:val="0"/>
              <w:autoSpaceDN w:val="0"/>
              <w:adjustRightInd w:val="0"/>
              <w:jc w:val="right"/>
              <w:rPr>
                <w:b/>
                <w:sz w:val="20"/>
                <w:szCs w:val="20"/>
              </w:rPr>
            </w:pPr>
            <w:r>
              <w:rPr>
                <w:b/>
                <w:sz w:val="20"/>
                <w:szCs w:val="20"/>
              </w:rPr>
              <w:t>513,918</w:t>
            </w:r>
          </w:p>
        </w:tc>
        <w:tc>
          <w:tcPr>
            <w:tcW w:w="2268" w:type="dxa"/>
          </w:tcPr>
          <w:p w14:paraId="1187FE15" w14:textId="77777777" w:rsidR="002B787F" w:rsidRDefault="002B787F" w:rsidP="002B787F">
            <w:pPr>
              <w:widowControl w:val="0"/>
              <w:autoSpaceDE w:val="0"/>
              <w:autoSpaceDN w:val="0"/>
              <w:adjustRightInd w:val="0"/>
              <w:ind w:right="597"/>
              <w:jc w:val="right"/>
              <w:rPr>
                <w:b/>
                <w:sz w:val="20"/>
                <w:szCs w:val="20"/>
              </w:rPr>
            </w:pPr>
          </w:p>
          <w:p w14:paraId="317C5BEA" w14:textId="3514F891" w:rsidR="007F35D2" w:rsidRDefault="007F35D2" w:rsidP="002B787F">
            <w:pPr>
              <w:widowControl w:val="0"/>
              <w:autoSpaceDE w:val="0"/>
              <w:autoSpaceDN w:val="0"/>
              <w:adjustRightInd w:val="0"/>
              <w:ind w:right="597"/>
              <w:jc w:val="right"/>
              <w:rPr>
                <w:b/>
                <w:sz w:val="20"/>
                <w:szCs w:val="20"/>
              </w:rPr>
            </w:pPr>
            <w:r>
              <w:rPr>
                <w:b/>
                <w:sz w:val="20"/>
                <w:szCs w:val="20"/>
              </w:rPr>
              <w:t>0</w:t>
            </w:r>
          </w:p>
        </w:tc>
        <w:tc>
          <w:tcPr>
            <w:tcW w:w="2269" w:type="dxa"/>
          </w:tcPr>
          <w:p w14:paraId="35AF946E" w14:textId="25726AEA" w:rsidR="002B787F" w:rsidRDefault="002B787F" w:rsidP="00612DE1">
            <w:pPr>
              <w:widowControl w:val="0"/>
              <w:autoSpaceDE w:val="0"/>
              <w:autoSpaceDN w:val="0"/>
              <w:adjustRightInd w:val="0"/>
              <w:ind w:right="740"/>
              <w:jc w:val="right"/>
              <w:rPr>
                <w:b/>
                <w:sz w:val="20"/>
                <w:szCs w:val="20"/>
              </w:rPr>
            </w:pPr>
          </w:p>
          <w:p w14:paraId="2BDE1B00" w14:textId="77777777" w:rsidR="002B787F" w:rsidRPr="003061F1" w:rsidRDefault="002B787F" w:rsidP="00612DE1">
            <w:pPr>
              <w:widowControl w:val="0"/>
              <w:autoSpaceDE w:val="0"/>
              <w:autoSpaceDN w:val="0"/>
              <w:adjustRightInd w:val="0"/>
              <w:ind w:right="740"/>
              <w:jc w:val="right"/>
              <w:rPr>
                <w:b/>
                <w:sz w:val="20"/>
                <w:szCs w:val="20"/>
              </w:rPr>
            </w:pPr>
            <w:r>
              <w:rPr>
                <w:b/>
                <w:sz w:val="20"/>
                <w:szCs w:val="20"/>
              </w:rPr>
              <w:t>513,918</w:t>
            </w:r>
          </w:p>
        </w:tc>
      </w:tr>
      <w:tr w:rsidR="002B787F" w:rsidRPr="002D3016" w14:paraId="23D0A9A9" w14:textId="77777777" w:rsidTr="00664A13">
        <w:tc>
          <w:tcPr>
            <w:tcW w:w="2268" w:type="dxa"/>
          </w:tcPr>
          <w:p w14:paraId="659CC614" w14:textId="77777777" w:rsidR="002B787F" w:rsidRDefault="002B787F" w:rsidP="006F26A2">
            <w:pPr>
              <w:widowControl w:val="0"/>
              <w:autoSpaceDE w:val="0"/>
              <w:autoSpaceDN w:val="0"/>
              <w:adjustRightInd w:val="0"/>
              <w:rPr>
                <w:rFonts w:cs="Arial"/>
                <w:bCs/>
                <w:sz w:val="20"/>
                <w:szCs w:val="20"/>
              </w:rPr>
            </w:pPr>
            <w:r>
              <w:rPr>
                <w:rFonts w:cs="Arial"/>
                <w:bCs/>
                <w:sz w:val="20"/>
                <w:szCs w:val="20"/>
              </w:rPr>
              <w:t>Comprehensive net e</w:t>
            </w:r>
            <w:r w:rsidRPr="003061F1">
              <w:rPr>
                <w:rFonts w:cs="Arial"/>
                <w:bCs/>
                <w:sz w:val="20"/>
                <w:szCs w:val="20"/>
              </w:rPr>
              <w:t>xpenditure for the year</w:t>
            </w:r>
          </w:p>
          <w:p w14:paraId="4A67E7DA" w14:textId="77777777" w:rsidR="002B787F" w:rsidRDefault="002B787F" w:rsidP="006F26A2">
            <w:pPr>
              <w:widowControl w:val="0"/>
              <w:autoSpaceDE w:val="0"/>
              <w:autoSpaceDN w:val="0"/>
              <w:adjustRightInd w:val="0"/>
              <w:rPr>
                <w:rFonts w:cs="Arial"/>
                <w:bCs/>
                <w:sz w:val="20"/>
                <w:szCs w:val="20"/>
              </w:rPr>
            </w:pPr>
          </w:p>
          <w:p w14:paraId="0F3666F9" w14:textId="77777777" w:rsidR="002B787F" w:rsidRPr="003061F1" w:rsidRDefault="002B787F" w:rsidP="006F26A2">
            <w:pPr>
              <w:widowControl w:val="0"/>
              <w:autoSpaceDE w:val="0"/>
              <w:autoSpaceDN w:val="0"/>
              <w:adjustRightInd w:val="0"/>
              <w:rPr>
                <w:sz w:val="20"/>
                <w:szCs w:val="20"/>
              </w:rPr>
            </w:pPr>
          </w:p>
        </w:tc>
        <w:tc>
          <w:tcPr>
            <w:tcW w:w="2268" w:type="dxa"/>
          </w:tcPr>
          <w:p w14:paraId="35190A97" w14:textId="77777777" w:rsidR="002B787F" w:rsidRDefault="002B787F" w:rsidP="006F26A2">
            <w:pPr>
              <w:widowControl w:val="0"/>
              <w:autoSpaceDE w:val="0"/>
              <w:autoSpaceDN w:val="0"/>
              <w:adjustRightInd w:val="0"/>
              <w:jc w:val="right"/>
              <w:rPr>
                <w:sz w:val="20"/>
                <w:szCs w:val="20"/>
              </w:rPr>
            </w:pPr>
          </w:p>
          <w:p w14:paraId="1CB81C2C" w14:textId="77777777" w:rsidR="002B787F" w:rsidRPr="003061F1" w:rsidRDefault="002B787F" w:rsidP="0029565E">
            <w:pPr>
              <w:widowControl w:val="0"/>
              <w:autoSpaceDE w:val="0"/>
              <w:autoSpaceDN w:val="0"/>
              <w:adjustRightInd w:val="0"/>
              <w:jc w:val="right"/>
              <w:rPr>
                <w:sz w:val="20"/>
                <w:szCs w:val="20"/>
              </w:rPr>
            </w:pPr>
            <w:r>
              <w:rPr>
                <w:sz w:val="20"/>
                <w:szCs w:val="20"/>
              </w:rPr>
              <w:t>(1,635,837)</w:t>
            </w:r>
          </w:p>
        </w:tc>
        <w:tc>
          <w:tcPr>
            <w:tcW w:w="2268" w:type="dxa"/>
          </w:tcPr>
          <w:p w14:paraId="3EFF75F9" w14:textId="77777777" w:rsidR="002B787F" w:rsidRDefault="002B787F" w:rsidP="002B787F">
            <w:pPr>
              <w:widowControl w:val="0"/>
              <w:autoSpaceDE w:val="0"/>
              <w:autoSpaceDN w:val="0"/>
              <w:adjustRightInd w:val="0"/>
              <w:ind w:right="597"/>
              <w:jc w:val="right"/>
              <w:rPr>
                <w:sz w:val="20"/>
                <w:szCs w:val="20"/>
              </w:rPr>
            </w:pPr>
          </w:p>
          <w:p w14:paraId="1C565978" w14:textId="714765C2" w:rsidR="007F35D2" w:rsidRPr="003061F1" w:rsidRDefault="007F35D2" w:rsidP="002B787F">
            <w:pPr>
              <w:widowControl w:val="0"/>
              <w:autoSpaceDE w:val="0"/>
              <w:autoSpaceDN w:val="0"/>
              <w:adjustRightInd w:val="0"/>
              <w:ind w:right="597"/>
              <w:jc w:val="right"/>
              <w:rPr>
                <w:sz w:val="20"/>
                <w:szCs w:val="20"/>
              </w:rPr>
            </w:pPr>
            <w:r>
              <w:rPr>
                <w:sz w:val="20"/>
                <w:szCs w:val="20"/>
              </w:rPr>
              <w:t>0</w:t>
            </w:r>
          </w:p>
        </w:tc>
        <w:tc>
          <w:tcPr>
            <w:tcW w:w="2269" w:type="dxa"/>
          </w:tcPr>
          <w:p w14:paraId="5E1D8B3D" w14:textId="7C211603" w:rsidR="002B787F" w:rsidRPr="003061F1" w:rsidRDefault="002B787F" w:rsidP="00612DE1">
            <w:pPr>
              <w:widowControl w:val="0"/>
              <w:autoSpaceDE w:val="0"/>
              <w:autoSpaceDN w:val="0"/>
              <w:adjustRightInd w:val="0"/>
              <w:ind w:right="740"/>
              <w:jc w:val="right"/>
              <w:rPr>
                <w:sz w:val="20"/>
                <w:szCs w:val="20"/>
              </w:rPr>
            </w:pPr>
          </w:p>
          <w:p w14:paraId="2E739966" w14:textId="5D3FF28F" w:rsidR="002B787F" w:rsidRPr="003061F1" w:rsidRDefault="002B787F" w:rsidP="00612DE1">
            <w:pPr>
              <w:widowControl w:val="0"/>
              <w:autoSpaceDE w:val="0"/>
              <w:autoSpaceDN w:val="0"/>
              <w:adjustRightInd w:val="0"/>
              <w:ind w:right="740"/>
              <w:jc w:val="right"/>
              <w:rPr>
                <w:sz w:val="20"/>
                <w:szCs w:val="20"/>
              </w:rPr>
            </w:pPr>
            <w:r>
              <w:rPr>
                <w:sz w:val="20"/>
                <w:szCs w:val="20"/>
              </w:rPr>
              <w:t>(1,635,83</w:t>
            </w:r>
            <w:r w:rsidR="007F35D2">
              <w:rPr>
                <w:sz w:val="20"/>
                <w:szCs w:val="20"/>
              </w:rPr>
              <w:t>7</w:t>
            </w:r>
            <w:r>
              <w:rPr>
                <w:sz w:val="20"/>
                <w:szCs w:val="20"/>
              </w:rPr>
              <w:t>)</w:t>
            </w:r>
          </w:p>
        </w:tc>
      </w:tr>
      <w:tr w:rsidR="002B787F" w:rsidRPr="00756704" w14:paraId="5377BB8B" w14:textId="77777777" w:rsidTr="00664A13">
        <w:tc>
          <w:tcPr>
            <w:tcW w:w="2268" w:type="dxa"/>
          </w:tcPr>
          <w:p w14:paraId="17097670" w14:textId="77777777" w:rsidR="002B787F" w:rsidRPr="003061F1" w:rsidRDefault="002B787F" w:rsidP="006F26A2">
            <w:pPr>
              <w:widowControl w:val="0"/>
              <w:autoSpaceDE w:val="0"/>
              <w:autoSpaceDN w:val="0"/>
              <w:adjustRightInd w:val="0"/>
              <w:rPr>
                <w:sz w:val="20"/>
                <w:szCs w:val="20"/>
              </w:rPr>
            </w:pPr>
            <w:r w:rsidRPr="003061F1">
              <w:rPr>
                <w:sz w:val="20"/>
                <w:szCs w:val="20"/>
              </w:rPr>
              <w:t>Grant-in-aid from NIO</w:t>
            </w:r>
          </w:p>
        </w:tc>
        <w:tc>
          <w:tcPr>
            <w:tcW w:w="2268" w:type="dxa"/>
            <w:tcBorders>
              <w:bottom w:val="single" w:sz="4" w:space="0" w:color="auto"/>
            </w:tcBorders>
          </w:tcPr>
          <w:p w14:paraId="61116972" w14:textId="77777777" w:rsidR="002B787F" w:rsidRPr="003061F1" w:rsidRDefault="002B787F" w:rsidP="006F26A2">
            <w:pPr>
              <w:widowControl w:val="0"/>
              <w:autoSpaceDE w:val="0"/>
              <w:autoSpaceDN w:val="0"/>
              <w:adjustRightInd w:val="0"/>
              <w:jc w:val="right"/>
              <w:rPr>
                <w:sz w:val="20"/>
                <w:szCs w:val="20"/>
              </w:rPr>
            </w:pPr>
            <w:r>
              <w:rPr>
                <w:sz w:val="20"/>
                <w:szCs w:val="20"/>
              </w:rPr>
              <w:t>1,747,253</w:t>
            </w:r>
          </w:p>
        </w:tc>
        <w:tc>
          <w:tcPr>
            <w:tcW w:w="2268" w:type="dxa"/>
            <w:tcBorders>
              <w:bottom w:val="single" w:sz="4" w:space="0" w:color="auto"/>
            </w:tcBorders>
          </w:tcPr>
          <w:p w14:paraId="28DCC2CB" w14:textId="2616F030" w:rsidR="002B787F" w:rsidRDefault="009C3FBE" w:rsidP="002B787F">
            <w:pPr>
              <w:widowControl w:val="0"/>
              <w:autoSpaceDE w:val="0"/>
              <w:autoSpaceDN w:val="0"/>
              <w:adjustRightInd w:val="0"/>
              <w:ind w:right="597"/>
              <w:jc w:val="right"/>
              <w:rPr>
                <w:sz w:val="20"/>
                <w:szCs w:val="20"/>
              </w:rPr>
            </w:pPr>
            <w:r>
              <w:rPr>
                <w:sz w:val="20"/>
                <w:szCs w:val="20"/>
              </w:rPr>
              <w:t>0</w:t>
            </w:r>
          </w:p>
        </w:tc>
        <w:tc>
          <w:tcPr>
            <w:tcW w:w="2269" w:type="dxa"/>
            <w:tcBorders>
              <w:bottom w:val="single" w:sz="4" w:space="0" w:color="auto"/>
            </w:tcBorders>
          </w:tcPr>
          <w:p w14:paraId="7407348B" w14:textId="26ABD37A" w:rsidR="002B787F" w:rsidRPr="003061F1" w:rsidRDefault="002B787F" w:rsidP="00612DE1">
            <w:pPr>
              <w:widowControl w:val="0"/>
              <w:autoSpaceDE w:val="0"/>
              <w:autoSpaceDN w:val="0"/>
              <w:adjustRightInd w:val="0"/>
              <w:ind w:right="740"/>
              <w:jc w:val="right"/>
              <w:rPr>
                <w:sz w:val="20"/>
                <w:szCs w:val="20"/>
              </w:rPr>
            </w:pPr>
            <w:r>
              <w:rPr>
                <w:sz w:val="20"/>
                <w:szCs w:val="20"/>
              </w:rPr>
              <w:t>1,747,253</w:t>
            </w:r>
          </w:p>
        </w:tc>
      </w:tr>
      <w:tr w:rsidR="002B787F" w:rsidRPr="00756704" w14:paraId="4BF64C86" w14:textId="77777777" w:rsidTr="00664A13">
        <w:tc>
          <w:tcPr>
            <w:tcW w:w="2268" w:type="dxa"/>
          </w:tcPr>
          <w:p w14:paraId="3362B7DC" w14:textId="77777777" w:rsidR="002B787F" w:rsidRPr="003061F1" w:rsidRDefault="002B787F" w:rsidP="006F26A2">
            <w:pPr>
              <w:widowControl w:val="0"/>
              <w:autoSpaceDE w:val="0"/>
              <w:autoSpaceDN w:val="0"/>
              <w:adjustRightInd w:val="0"/>
              <w:rPr>
                <w:b/>
                <w:sz w:val="20"/>
                <w:szCs w:val="20"/>
              </w:rPr>
            </w:pPr>
          </w:p>
          <w:p w14:paraId="6D345021" w14:textId="77777777" w:rsidR="002B787F" w:rsidRPr="003061F1" w:rsidRDefault="002B787F" w:rsidP="006F26A2">
            <w:pPr>
              <w:widowControl w:val="0"/>
              <w:autoSpaceDE w:val="0"/>
              <w:autoSpaceDN w:val="0"/>
              <w:adjustRightInd w:val="0"/>
              <w:rPr>
                <w:b/>
                <w:sz w:val="20"/>
                <w:szCs w:val="20"/>
              </w:rPr>
            </w:pPr>
            <w:r>
              <w:rPr>
                <w:b/>
                <w:sz w:val="20"/>
                <w:szCs w:val="20"/>
              </w:rPr>
              <w:t>Balance at 31 March 2021</w:t>
            </w:r>
          </w:p>
        </w:tc>
        <w:tc>
          <w:tcPr>
            <w:tcW w:w="2268" w:type="dxa"/>
            <w:tcBorders>
              <w:top w:val="single" w:sz="4" w:space="0" w:color="auto"/>
              <w:bottom w:val="single" w:sz="4" w:space="0" w:color="auto"/>
            </w:tcBorders>
          </w:tcPr>
          <w:p w14:paraId="0AF300B2" w14:textId="77777777" w:rsidR="002B787F" w:rsidRDefault="002B787F" w:rsidP="006F26A2">
            <w:pPr>
              <w:widowControl w:val="0"/>
              <w:autoSpaceDE w:val="0"/>
              <w:autoSpaceDN w:val="0"/>
              <w:adjustRightInd w:val="0"/>
              <w:jc w:val="right"/>
              <w:rPr>
                <w:b/>
                <w:sz w:val="20"/>
                <w:szCs w:val="20"/>
              </w:rPr>
            </w:pPr>
          </w:p>
          <w:p w14:paraId="276E6623" w14:textId="77777777" w:rsidR="002B787F" w:rsidRPr="003061F1" w:rsidRDefault="002B787F" w:rsidP="0029565E">
            <w:pPr>
              <w:widowControl w:val="0"/>
              <w:autoSpaceDE w:val="0"/>
              <w:autoSpaceDN w:val="0"/>
              <w:adjustRightInd w:val="0"/>
              <w:jc w:val="right"/>
              <w:rPr>
                <w:b/>
                <w:sz w:val="20"/>
                <w:szCs w:val="20"/>
              </w:rPr>
            </w:pPr>
            <w:r>
              <w:rPr>
                <w:b/>
                <w:sz w:val="20"/>
                <w:szCs w:val="20"/>
              </w:rPr>
              <w:t>625,336</w:t>
            </w:r>
          </w:p>
        </w:tc>
        <w:tc>
          <w:tcPr>
            <w:tcW w:w="2268" w:type="dxa"/>
            <w:tcBorders>
              <w:top w:val="single" w:sz="4" w:space="0" w:color="auto"/>
              <w:bottom w:val="single" w:sz="4" w:space="0" w:color="auto"/>
            </w:tcBorders>
          </w:tcPr>
          <w:p w14:paraId="19DF5A15" w14:textId="77777777" w:rsidR="002B787F" w:rsidRDefault="002B787F" w:rsidP="002B787F">
            <w:pPr>
              <w:widowControl w:val="0"/>
              <w:autoSpaceDE w:val="0"/>
              <w:autoSpaceDN w:val="0"/>
              <w:adjustRightInd w:val="0"/>
              <w:ind w:right="597"/>
              <w:jc w:val="right"/>
              <w:rPr>
                <w:b/>
                <w:sz w:val="20"/>
                <w:szCs w:val="20"/>
              </w:rPr>
            </w:pPr>
          </w:p>
          <w:p w14:paraId="2FBC85CF" w14:textId="5C631D79" w:rsidR="009C3FBE" w:rsidRDefault="009C3FBE" w:rsidP="002B787F">
            <w:pPr>
              <w:widowControl w:val="0"/>
              <w:autoSpaceDE w:val="0"/>
              <w:autoSpaceDN w:val="0"/>
              <w:adjustRightInd w:val="0"/>
              <w:ind w:right="597"/>
              <w:jc w:val="right"/>
              <w:rPr>
                <w:b/>
                <w:sz w:val="20"/>
                <w:szCs w:val="20"/>
              </w:rPr>
            </w:pPr>
            <w:r>
              <w:rPr>
                <w:b/>
                <w:sz w:val="20"/>
                <w:szCs w:val="20"/>
              </w:rPr>
              <w:t>0</w:t>
            </w:r>
          </w:p>
        </w:tc>
        <w:tc>
          <w:tcPr>
            <w:tcW w:w="2269" w:type="dxa"/>
            <w:tcBorders>
              <w:top w:val="single" w:sz="4" w:space="0" w:color="auto"/>
              <w:bottom w:val="single" w:sz="4" w:space="0" w:color="auto"/>
            </w:tcBorders>
          </w:tcPr>
          <w:p w14:paraId="51510C67" w14:textId="4019902B" w:rsidR="002B787F" w:rsidRDefault="002B787F" w:rsidP="00612DE1">
            <w:pPr>
              <w:widowControl w:val="0"/>
              <w:autoSpaceDE w:val="0"/>
              <w:autoSpaceDN w:val="0"/>
              <w:adjustRightInd w:val="0"/>
              <w:ind w:right="740"/>
              <w:jc w:val="right"/>
              <w:rPr>
                <w:b/>
                <w:sz w:val="20"/>
                <w:szCs w:val="20"/>
              </w:rPr>
            </w:pPr>
          </w:p>
          <w:p w14:paraId="2D55B465" w14:textId="77777777" w:rsidR="002B787F" w:rsidRPr="003061F1" w:rsidRDefault="002B787F" w:rsidP="00612DE1">
            <w:pPr>
              <w:widowControl w:val="0"/>
              <w:autoSpaceDE w:val="0"/>
              <w:autoSpaceDN w:val="0"/>
              <w:adjustRightInd w:val="0"/>
              <w:ind w:right="740"/>
              <w:jc w:val="right"/>
              <w:rPr>
                <w:b/>
                <w:sz w:val="20"/>
                <w:szCs w:val="20"/>
              </w:rPr>
            </w:pPr>
            <w:r>
              <w:rPr>
                <w:b/>
                <w:sz w:val="20"/>
                <w:szCs w:val="20"/>
              </w:rPr>
              <w:t>625,336</w:t>
            </w:r>
          </w:p>
        </w:tc>
      </w:tr>
      <w:tr w:rsidR="002B787F" w:rsidRPr="00756704" w14:paraId="708F3634" w14:textId="77777777" w:rsidTr="00664A13">
        <w:tc>
          <w:tcPr>
            <w:tcW w:w="2268" w:type="dxa"/>
          </w:tcPr>
          <w:p w14:paraId="42E2959C" w14:textId="77777777" w:rsidR="002B787F" w:rsidRPr="003061F1" w:rsidRDefault="002B787F" w:rsidP="006F26A2">
            <w:pPr>
              <w:widowControl w:val="0"/>
              <w:autoSpaceDE w:val="0"/>
              <w:autoSpaceDN w:val="0"/>
              <w:adjustRightInd w:val="0"/>
              <w:rPr>
                <w:sz w:val="20"/>
                <w:szCs w:val="20"/>
              </w:rPr>
            </w:pPr>
          </w:p>
        </w:tc>
        <w:tc>
          <w:tcPr>
            <w:tcW w:w="2268" w:type="dxa"/>
          </w:tcPr>
          <w:p w14:paraId="09924EDA" w14:textId="77777777" w:rsidR="002B787F" w:rsidRPr="003061F1" w:rsidRDefault="002B787F" w:rsidP="006F26A2">
            <w:pPr>
              <w:widowControl w:val="0"/>
              <w:autoSpaceDE w:val="0"/>
              <w:autoSpaceDN w:val="0"/>
              <w:adjustRightInd w:val="0"/>
              <w:jc w:val="right"/>
              <w:rPr>
                <w:sz w:val="20"/>
                <w:szCs w:val="20"/>
              </w:rPr>
            </w:pPr>
          </w:p>
        </w:tc>
        <w:tc>
          <w:tcPr>
            <w:tcW w:w="2268" w:type="dxa"/>
          </w:tcPr>
          <w:p w14:paraId="3A089265" w14:textId="77777777" w:rsidR="002B787F" w:rsidRPr="003061F1" w:rsidRDefault="002B787F" w:rsidP="002B787F">
            <w:pPr>
              <w:widowControl w:val="0"/>
              <w:autoSpaceDE w:val="0"/>
              <w:autoSpaceDN w:val="0"/>
              <w:adjustRightInd w:val="0"/>
              <w:ind w:right="597"/>
              <w:jc w:val="right"/>
              <w:rPr>
                <w:sz w:val="20"/>
                <w:szCs w:val="20"/>
              </w:rPr>
            </w:pPr>
          </w:p>
        </w:tc>
        <w:tc>
          <w:tcPr>
            <w:tcW w:w="2269" w:type="dxa"/>
          </w:tcPr>
          <w:p w14:paraId="4CE7B81E" w14:textId="0F6BEA4F" w:rsidR="002B787F" w:rsidRPr="003061F1" w:rsidRDefault="002B787F" w:rsidP="00612DE1">
            <w:pPr>
              <w:widowControl w:val="0"/>
              <w:autoSpaceDE w:val="0"/>
              <w:autoSpaceDN w:val="0"/>
              <w:adjustRightInd w:val="0"/>
              <w:ind w:right="740"/>
              <w:jc w:val="right"/>
              <w:rPr>
                <w:sz w:val="20"/>
                <w:szCs w:val="20"/>
              </w:rPr>
            </w:pPr>
          </w:p>
        </w:tc>
      </w:tr>
      <w:tr w:rsidR="002B787F" w:rsidRPr="00756704" w14:paraId="221AF7FA" w14:textId="77777777" w:rsidTr="00664A13">
        <w:tc>
          <w:tcPr>
            <w:tcW w:w="2268" w:type="dxa"/>
          </w:tcPr>
          <w:p w14:paraId="411F6AE4" w14:textId="77777777" w:rsidR="002B787F" w:rsidRPr="003061F1" w:rsidRDefault="002B787F" w:rsidP="006F26A2">
            <w:pPr>
              <w:widowControl w:val="0"/>
              <w:autoSpaceDE w:val="0"/>
              <w:autoSpaceDN w:val="0"/>
              <w:adjustRightInd w:val="0"/>
              <w:rPr>
                <w:b/>
                <w:sz w:val="20"/>
                <w:szCs w:val="20"/>
              </w:rPr>
            </w:pPr>
            <w:r w:rsidRPr="003061F1">
              <w:rPr>
                <w:b/>
                <w:sz w:val="20"/>
                <w:szCs w:val="20"/>
              </w:rPr>
              <w:t xml:space="preserve">Changes in taxpayers’ equity for </w:t>
            </w:r>
            <w:r>
              <w:rPr>
                <w:b/>
                <w:sz w:val="20"/>
                <w:szCs w:val="20"/>
              </w:rPr>
              <w:t>2021-22</w:t>
            </w:r>
          </w:p>
        </w:tc>
        <w:tc>
          <w:tcPr>
            <w:tcW w:w="2268" w:type="dxa"/>
          </w:tcPr>
          <w:p w14:paraId="6D548C5C" w14:textId="77777777" w:rsidR="002B787F" w:rsidRPr="003061F1" w:rsidRDefault="002B787F" w:rsidP="006F26A2">
            <w:pPr>
              <w:widowControl w:val="0"/>
              <w:autoSpaceDE w:val="0"/>
              <w:autoSpaceDN w:val="0"/>
              <w:adjustRightInd w:val="0"/>
              <w:jc w:val="right"/>
              <w:rPr>
                <w:sz w:val="20"/>
                <w:szCs w:val="20"/>
              </w:rPr>
            </w:pPr>
          </w:p>
        </w:tc>
        <w:tc>
          <w:tcPr>
            <w:tcW w:w="2268" w:type="dxa"/>
          </w:tcPr>
          <w:p w14:paraId="6BFAAE23" w14:textId="77777777" w:rsidR="002B787F" w:rsidRPr="003061F1" w:rsidRDefault="002B787F" w:rsidP="002B787F">
            <w:pPr>
              <w:widowControl w:val="0"/>
              <w:autoSpaceDE w:val="0"/>
              <w:autoSpaceDN w:val="0"/>
              <w:adjustRightInd w:val="0"/>
              <w:ind w:right="597"/>
              <w:jc w:val="right"/>
              <w:rPr>
                <w:sz w:val="20"/>
                <w:szCs w:val="20"/>
              </w:rPr>
            </w:pPr>
          </w:p>
        </w:tc>
        <w:tc>
          <w:tcPr>
            <w:tcW w:w="2269" w:type="dxa"/>
          </w:tcPr>
          <w:p w14:paraId="5F9995F6" w14:textId="5CB0214F" w:rsidR="002B787F" w:rsidRPr="003061F1" w:rsidRDefault="002B787F" w:rsidP="00612DE1">
            <w:pPr>
              <w:widowControl w:val="0"/>
              <w:autoSpaceDE w:val="0"/>
              <w:autoSpaceDN w:val="0"/>
              <w:adjustRightInd w:val="0"/>
              <w:ind w:right="740"/>
              <w:jc w:val="right"/>
              <w:rPr>
                <w:sz w:val="20"/>
                <w:szCs w:val="20"/>
              </w:rPr>
            </w:pPr>
          </w:p>
        </w:tc>
      </w:tr>
      <w:tr w:rsidR="002B787F" w:rsidRPr="002D3016" w14:paraId="77F4CA9C" w14:textId="77777777" w:rsidTr="00664A13">
        <w:tc>
          <w:tcPr>
            <w:tcW w:w="2268" w:type="dxa"/>
          </w:tcPr>
          <w:p w14:paraId="7FA80417" w14:textId="77777777" w:rsidR="002B787F" w:rsidRPr="003061F1" w:rsidRDefault="002B787F" w:rsidP="006F26A2">
            <w:pPr>
              <w:widowControl w:val="0"/>
              <w:autoSpaceDE w:val="0"/>
              <w:autoSpaceDN w:val="0"/>
              <w:adjustRightInd w:val="0"/>
              <w:rPr>
                <w:sz w:val="20"/>
                <w:szCs w:val="20"/>
              </w:rPr>
            </w:pPr>
          </w:p>
          <w:p w14:paraId="6BB1D120" w14:textId="77777777" w:rsidR="002B787F" w:rsidRDefault="002B787F" w:rsidP="006F26A2">
            <w:pPr>
              <w:widowControl w:val="0"/>
              <w:autoSpaceDE w:val="0"/>
              <w:autoSpaceDN w:val="0"/>
              <w:adjustRightInd w:val="0"/>
              <w:rPr>
                <w:rFonts w:cs="Arial"/>
                <w:bCs/>
                <w:sz w:val="20"/>
                <w:szCs w:val="20"/>
              </w:rPr>
            </w:pPr>
            <w:r>
              <w:rPr>
                <w:rFonts w:cs="Arial"/>
                <w:bCs/>
                <w:sz w:val="20"/>
                <w:szCs w:val="20"/>
              </w:rPr>
              <w:t>Comprehensive net e</w:t>
            </w:r>
            <w:r w:rsidRPr="003061F1">
              <w:rPr>
                <w:rFonts w:cs="Arial"/>
                <w:bCs/>
                <w:sz w:val="20"/>
                <w:szCs w:val="20"/>
              </w:rPr>
              <w:t>xpenditure for the year</w:t>
            </w:r>
          </w:p>
          <w:p w14:paraId="1FB0B2AF" w14:textId="77777777" w:rsidR="002B787F" w:rsidRDefault="002B787F" w:rsidP="006F26A2">
            <w:pPr>
              <w:widowControl w:val="0"/>
              <w:autoSpaceDE w:val="0"/>
              <w:autoSpaceDN w:val="0"/>
              <w:adjustRightInd w:val="0"/>
              <w:rPr>
                <w:rFonts w:cs="Arial"/>
                <w:bCs/>
                <w:sz w:val="20"/>
                <w:szCs w:val="20"/>
              </w:rPr>
            </w:pPr>
          </w:p>
          <w:p w14:paraId="58C3B95E" w14:textId="77777777" w:rsidR="002B787F" w:rsidRPr="0091473F" w:rsidRDefault="002B787F" w:rsidP="006F26A2">
            <w:pPr>
              <w:widowControl w:val="0"/>
              <w:autoSpaceDE w:val="0"/>
              <w:autoSpaceDN w:val="0"/>
              <w:adjustRightInd w:val="0"/>
              <w:rPr>
                <w:rFonts w:cs="Arial"/>
                <w:bCs/>
                <w:sz w:val="20"/>
                <w:szCs w:val="20"/>
              </w:rPr>
            </w:pPr>
            <w:r>
              <w:rPr>
                <w:rFonts w:cs="Arial"/>
                <w:bCs/>
                <w:sz w:val="20"/>
                <w:szCs w:val="20"/>
              </w:rPr>
              <w:t>Net gain on revaluation of property</w:t>
            </w:r>
          </w:p>
        </w:tc>
        <w:tc>
          <w:tcPr>
            <w:tcW w:w="2268" w:type="dxa"/>
          </w:tcPr>
          <w:p w14:paraId="67AB2429" w14:textId="77777777" w:rsidR="002B787F" w:rsidRDefault="002B787F" w:rsidP="006F26A2">
            <w:pPr>
              <w:widowControl w:val="0"/>
              <w:autoSpaceDE w:val="0"/>
              <w:autoSpaceDN w:val="0"/>
              <w:adjustRightInd w:val="0"/>
              <w:jc w:val="right"/>
              <w:rPr>
                <w:sz w:val="20"/>
                <w:szCs w:val="20"/>
              </w:rPr>
            </w:pPr>
          </w:p>
          <w:p w14:paraId="2B973102" w14:textId="77777777" w:rsidR="002B787F" w:rsidRDefault="002B787F" w:rsidP="006F26A2">
            <w:pPr>
              <w:widowControl w:val="0"/>
              <w:autoSpaceDE w:val="0"/>
              <w:autoSpaceDN w:val="0"/>
              <w:adjustRightInd w:val="0"/>
              <w:jc w:val="right"/>
              <w:rPr>
                <w:sz w:val="20"/>
                <w:szCs w:val="20"/>
              </w:rPr>
            </w:pPr>
          </w:p>
          <w:p w14:paraId="623FD3B8" w14:textId="6CC9CB4C" w:rsidR="002B787F" w:rsidRDefault="002B787F" w:rsidP="00686C36">
            <w:pPr>
              <w:widowControl w:val="0"/>
              <w:autoSpaceDE w:val="0"/>
              <w:autoSpaceDN w:val="0"/>
              <w:adjustRightInd w:val="0"/>
              <w:jc w:val="right"/>
              <w:rPr>
                <w:sz w:val="20"/>
                <w:szCs w:val="20"/>
              </w:rPr>
            </w:pPr>
            <w:r>
              <w:rPr>
                <w:sz w:val="20"/>
                <w:szCs w:val="20"/>
              </w:rPr>
              <w:t>(</w:t>
            </w:r>
            <w:r w:rsidR="009C3FBE">
              <w:rPr>
                <w:sz w:val="20"/>
                <w:szCs w:val="20"/>
              </w:rPr>
              <w:t>2,333,573</w:t>
            </w:r>
            <w:r>
              <w:rPr>
                <w:sz w:val="20"/>
                <w:szCs w:val="20"/>
              </w:rPr>
              <w:t>)</w:t>
            </w:r>
          </w:p>
          <w:p w14:paraId="45AA2A50" w14:textId="77777777" w:rsidR="002B787F" w:rsidRDefault="002B787F" w:rsidP="00686C36">
            <w:pPr>
              <w:widowControl w:val="0"/>
              <w:autoSpaceDE w:val="0"/>
              <w:autoSpaceDN w:val="0"/>
              <w:adjustRightInd w:val="0"/>
              <w:jc w:val="right"/>
              <w:rPr>
                <w:sz w:val="20"/>
                <w:szCs w:val="20"/>
              </w:rPr>
            </w:pPr>
          </w:p>
          <w:p w14:paraId="63F53CDE" w14:textId="1489122E" w:rsidR="002B787F" w:rsidRDefault="002B787F" w:rsidP="00686C36">
            <w:pPr>
              <w:widowControl w:val="0"/>
              <w:autoSpaceDE w:val="0"/>
              <w:autoSpaceDN w:val="0"/>
              <w:adjustRightInd w:val="0"/>
              <w:jc w:val="right"/>
              <w:rPr>
                <w:sz w:val="20"/>
                <w:szCs w:val="20"/>
              </w:rPr>
            </w:pPr>
          </w:p>
          <w:p w14:paraId="2C260B31" w14:textId="338FCA83" w:rsidR="001F6483" w:rsidRDefault="001F6483" w:rsidP="00686C36">
            <w:pPr>
              <w:widowControl w:val="0"/>
              <w:autoSpaceDE w:val="0"/>
              <w:autoSpaceDN w:val="0"/>
              <w:adjustRightInd w:val="0"/>
              <w:jc w:val="right"/>
              <w:rPr>
                <w:sz w:val="20"/>
                <w:szCs w:val="20"/>
              </w:rPr>
            </w:pPr>
            <w:r>
              <w:rPr>
                <w:sz w:val="20"/>
                <w:szCs w:val="20"/>
              </w:rPr>
              <w:t>0</w:t>
            </w:r>
          </w:p>
        </w:tc>
        <w:tc>
          <w:tcPr>
            <w:tcW w:w="2268" w:type="dxa"/>
          </w:tcPr>
          <w:p w14:paraId="43C347B5" w14:textId="77777777" w:rsidR="002B787F" w:rsidRDefault="002B787F" w:rsidP="002B787F">
            <w:pPr>
              <w:widowControl w:val="0"/>
              <w:autoSpaceDE w:val="0"/>
              <w:autoSpaceDN w:val="0"/>
              <w:adjustRightInd w:val="0"/>
              <w:ind w:right="597"/>
              <w:jc w:val="right"/>
              <w:rPr>
                <w:sz w:val="20"/>
                <w:szCs w:val="20"/>
              </w:rPr>
            </w:pPr>
          </w:p>
          <w:p w14:paraId="3EEF7473" w14:textId="77777777" w:rsidR="009C3FBE" w:rsidRDefault="009C3FBE" w:rsidP="002B787F">
            <w:pPr>
              <w:widowControl w:val="0"/>
              <w:autoSpaceDE w:val="0"/>
              <w:autoSpaceDN w:val="0"/>
              <w:adjustRightInd w:val="0"/>
              <w:ind w:right="597"/>
              <w:jc w:val="right"/>
              <w:rPr>
                <w:sz w:val="20"/>
                <w:szCs w:val="20"/>
              </w:rPr>
            </w:pPr>
          </w:p>
          <w:p w14:paraId="7C18C313" w14:textId="77777777" w:rsidR="009C3FBE" w:rsidRDefault="009C3FBE" w:rsidP="002B787F">
            <w:pPr>
              <w:widowControl w:val="0"/>
              <w:autoSpaceDE w:val="0"/>
              <w:autoSpaceDN w:val="0"/>
              <w:adjustRightInd w:val="0"/>
              <w:ind w:right="597"/>
              <w:jc w:val="right"/>
              <w:rPr>
                <w:sz w:val="20"/>
                <w:szCs w:val="20"/>
              </w:rPr>
            </w:pPr>
            <w:r>
              <w:rPr>
                <w:sz w:val="20"/>
                <w:szCs w:val="20"/>
              </w:rPr>
              <w:t>0</w:t>
            </w:r>
          </w:p>
          <w:p w14:paraId="265C2746" w14:textId="77777777" w:rsidR="001F6483" w:rsidRDefault="001F6483" w:rsidP="002B787F">
            <w:pPr>
              <w:widowControl w:val="0"/>
              <w:autoSpaceDE w:val="0"/>
              <w:autoSpaceDN w:val="0"/>
              <w:adjustRightInd w:val="0"/>
              <w:ind w:right="597"/>
              <w:jc w:val="right"/>
              <w:rPr>
                <w:sz w:val="20"/>
                <w:szCs w:val="20"/>
              </w:rPr>
            </w:pPr>
          </w:p>
          <w:p w14:paraId="4EDCBCA8" w14:textId="77777777" w:rsidR="001F6483" w:rsidRDefault="001F6483" w:rsidP="002B787F">
            <w:pPr>
              <w:widowControl w:val="0"/>
              <w:autoSpaceDE w:val="0"/>
              <w:autoSpaceDN w:val="0"/>
              <w:adjustRightInd w:val="0"/>
              <w:ind w:right="597"/>
              <w:jc w:val="right"/>
              <w:rPr>
                <w:sz w:val="20"/>
                <w:szCs w:val="20"/>
              </w:rPr>
            </w:pPr>
          </w:p>
          <w:p w14:paraId="796E8EC4" w14:textId="77777777" w:rsidR="001F6483" w:rsidRDefault="001F6483" w:rsidP="002B787F">
            <w:pPr>
              <w:widowControl w:val="0"/>
              <w:autoSpaceDE w:val="0"/>
              <w:autoSpaceDN w:val="0"/>
              <w:adjustRightInd w:val="0"/>
              <w:ind w:right="597"/>
              <w:jc w:val="right"/>
              <w:rPr>
                <w:sz w:val="20"/>
                <w:szCs w:val="20"/>
              </w:rPr>
            </w:pPr>
            <w:r>
              <w:rPr>
                <w:sz w:val="20"/>
                <w:szCs w:val="20"/>
              </w:rPr>
              <w:t>29,403</w:t>
            </w:r>
          </w:p>
          <w:p w14:paraId="32941FEB" w14:textId="77777777" w:rsidR="0063323D" w:rsidRDefault="0063323D" w:rsidP="002B787F">
            <w:pPr>
              <w:widowControl w:val="0"/>
              <w:autoSpaceDE w:val="0"/>
              <w:autoSpaceDN w:val="0"/>
              <w:adjustRightInd w:val="0"/>
              <w:ind w:right="597"/>
              <w:jc w:val="right"/>
              <w:rPr>
                <w:sz w:val="20"/>
                <w:szCs w:val="20"/>
              </w:rPr>
            </w:pPr>
          </w:p>
          <w:p w14:paraId="1BA21119" w14:textId="5BAB9E90" w:rsidR="0063323D" w:rsidRDefault="0063323D" w:rsidP="0063323D">
            <w:pPr>
              <w:widowControl w:val="0"/>
              <w:autoSpaceDE w:val="0"/>
              <w:autoSpaceDN w:val="0"/>
              <w:adjustRightInd w:val="0"/>
              <w:ind w:right="597"/>
              <w:rPr>
                <w:sz w:val="20"/>
                <w:szCs w:val="20"/>
              </w:rPr>
            </w:pPr>
          </w:p>
        </w:tc>
        <w:tc>
          <w:tcPr>
            <w:tcW w:w="2269" w:type="dxa"/>
          </w:tcPr>
          <w:p w14:paraId="4A881F42" w14:textId="64CCB0A8" w:rsidR="002B787F" w:rsidRDefault="002B787F" w:rsidP="00612DE1">
            <w:pPr>
              <w:widowControl w:val="0"/>
              <w:autoSpaceDE w:val="0"/>
              <w:autoSpaceDN w:val="0"/>
              <w:adjustRightInd w:val="0"/>
              <w:ind w:right="740"/>
              <w:jc w:val="right"/>
              <w:rPr>
                <w:sz w:val="20"/>
                <w:szCs w:val="20"/>
              </w:rPr>
            </w:pPr>
          </w:p>
          <w:p w14:paraId="6323F340" w14:textId="77777777" w:rsidR="002B787F" w:rsidRDefault="002B787F" w:rsidP="00612DE1">
            <w:pPr>
              <w:widowControl w:val="0"/>
              <w:autoSpaceDE w:val="0"/>
              <w:autoSpaceDN w:val="0"/>
              <w:adjustRightInd w:val="0"/>
              <w:ind w:right="740"/>
              <w:jc w:val="right"/>
              <w:rPr>
                <w:sz w:val="20"/>
                <w:szCs w:val="20"/>
              </w:rPr>
            </w:pPr>
          </w:p>
          <w:p w14:paraId="7537DB01" w14:textId="698B3404" w:rsidR="002B787F" w:rsidRDefault="002B787F" w:rsidP="00612DE1">
            <w:pPr>
              <w:widowControl w:val="0"/>
              <w:autoSpaceDE w:val="0"/>
              <w:autoSpaceDN w:val="0"/>
              <w:adjustRightInd w:val="0"/>
              <w:ind w:right="740"/>
              <w:jc w:val="right"/>
              <w:rPr>
                <w:sz w:val="20"/>
                <w:szCs w:val="20"/>
              </w:rPr>
            </w:pPr>
            <w:r>
              <w:rPr>
                <w:sz w:val="20"/>
                <w:szCs w:val="20"/>
              </w:rPr>
              <w:t>(</w:t>
            </w:r>
            <w:r w:rsidR="009C3FBE">
              <w:rPr>
                <w:sz w:val="20"/>
                <w:szCs w:val="20"/>
              </w:rPr>
              <w:t>2,333,573</w:t>
            </w:r>
            <w:r>
              <w:rPr>
                <w:sz w:val="20"/>
                <w:szCs w:val="20"/>
              </w:rPr>
              <w:t>)</w:t>
            </w:r>
          </w:p>
          <w:p w14:paraId="7AD99FC2" w14:textId="77777777" w:rsidR="002B787F" w:rsidRDefault="002B787F" w:rsidP="00612DE1">
            <w:pPr>
              <w:widowControl w:val="0"/>
              <w:autoSpaceDE w:val="0"/>
              <w:autoSpaceDN w:val="0"/>
              <w:adjustRightInd w:val="0"/>
              <w:ind w:right="740"/>
              <w:jc w:val="right"/>
              <w:rPr>
                <w:sz w:val="20"/>
                <w:szCs w:val="20"/>
              </w:rPr>
            </w:pPr>
          </w:p>
          <w:p w14:paraId="66BB6902" w14:textId="77777777" w:rsidR="001F6483" w:rsidRDefault="001F6483" w:rsidP="00612DE1">
            <w:pPr>
              <w:widowControl w:val="0"/>
              <w:autoSpaceDE w:val="0"/>
              <w:autoSpaceDN w:val="0"/>
              <w:adjustRightInd w:val="0"/>
              <w:ind w:right="740"/>
              <w:jc w:val="right"/>
              <w:rPr>
                <w:sz w:val="20"/>
                <w:szCs w:val="20"/>
              </w:rPr>
            </w:pPr>
          </w:p>
          <w:p w14:paraId="09D2D2FC" w14:textId="4D202F17" w:rsidR="002B787F" w:rsidRPr="003061F1" w:rsidRDefault="002B787F" w:rsidP="00612DE1">
            <w:pPr>
              <w:widowControl w:val="0"/>
              <w:autoSpaceDE w:val="0"/>
              <w:autoSpaceDN w:val="0"/>
              <w:adjustRightInd w:val="0"/>
              <w:ind w:right="740"/>
              <w:jc w:val="right"/>
              <w:rPr>
                <w:sz w:val="20"/>
                <w:szCs w:val="20"/>
              </w:rPr>
            </w:pPr>
            <w:r>
              <w:rPr>
                <w:sz w:val="20"/>
                <w:szCs w:val="20"/>
              </w:rPr>
              <w:t>29,403</w:t>
            </w:r>
          </w:p>
        </w:tc>
      </w:tr>
      <w:tr w:rsidR="002B787F" w:rsidRPr="002D3016" w14:paraId="3F16E32A" w14:textId="77777777" w:rsidTr="00664A13">
        <w:tc>
          <w:tcPr>
            <w:tcW w:w="2268" w:type="dxa"/>
          </w:tcPr>
          <w:p w14:paraId="050DC44D" w14:textId="77777777" w:rsidR="002B787F" w:rsidRPr="003061F1" w:rsidRDefault="002B787F" w:rsidP="006F26A2">
            <w:pPr>
              <w:widowControl w:val="0"/>
              <w:autoSpaceDE w:val="0"/>
              <w:autoSpaceDN w:val="0"/>
              <w:adjustRightInd w:val="0"/>
              <w:rPr>
                <w:sz w:val="20"/>
                <w:szCs w:val="20"/>
              </w:rPr>
            </w:pPr>
          </w:p>
          <w:p w14:paraId="7C307ABC" w14:textId="77777777" w:rsidR="002B787F" w:rsidRPr="003061F1" w:rsidRDefault="002B787F" w:rsidP="006F26A2">
            <w:pPr>
              <w:widowControl w:val="0"/>
              <w:autoSpaceDE w:val="0"/>
              <w:autoSpaceDN w:val="0"/>
              <w:adjustRightInd w:val="0"/>
              <w:rPr>
                <w:sz w:val="20"/>
                <w:szCs w:val="20"/>
              </w:rPr>
            </w:pPr>
            <w:r w:rsidRPr="003061F1">
              <w:rPr>
                <w:sz w:val="20"/>
                <w:szCs w:val="20"/>
              </w:rPr>
              <w:t>Grant-in-aid from NIO</w:t>
            </w:r>
          </w:p>
        </w:tc>
        <w:tc>
          <w:tcPr>
            <w:tcW w:w="2268" w:type="dxa"/>
            <w:tcBorders>
              <w:bottom w:val="single" w:sz="4" w:space="0" w:color="auto"/>
            </w:tcBorders>
          </w:tcPr>
          <w:p w14:paraId="6AE18A69" w14:textId="77777777" w:rsidR="002B787F" w:rsidRDefault="002B787F" w:rsidP="006F26A2">
            <w:pPr>
              <w:widowControl w:val="0"/>
              <w:autoSpaceDE w:val="0"/>
              <w:autoSpaceDN w:val="0"/>
              <w:adjustRightInd w:val="0"/>
              <w:jc w:val="right"/>
              <w:rPr>
                <w:sz w:val="20"/>
                <w:szCs w:val="20"/>
              </w:rPr>
            </w:pPr>
          </w:p>
          <w:p w14:paraId="6987D1C2" w14:textId="77777777" w:rsidR="002B787F" w:rsidRDefault="002B787F" w:rsidP="006F26A2">
            <w:pPr>
              <w:widowControl w:val="0"/>
              <w:autoSpaceDE w:val="0"/>
              <w:autoSpaceDN w:val="0"/>
              <w:adjustRightInd w:val="0"/>
              <w:jc w:val="right"/>
              <w:rPr>
                <w:sz w:val="20"/>
                <w:szCs w:val="20"/>
              </w:rPr>
            </w:pPr>
            <w:r>
              <w:rPr>
                <w:sz w:val="20"/>
                <w:szCs w:val="20"/>
              </w:rPr>
              <w:t>2,527,887</w:t>
            </w:r>
          </w:p>
        </w:tc>
        <w:tc>
          <w:tcPr>
            <w:tcW w:w="2268" w:type="dxa"/>
            <w:tcBorders>
              <w:bottom w:val="single" w:sz="4" w:space="0" w:color="auto"/>
            </w:tcBorders>
          </w:tcPr>
          <w:p w14:paraId="048FD369" w14:textId="77777777" w:rsidR="002B787F" w:rsidRDefault="002B787F" w:rsidP="002B787F">
            <w:pPr>
              <w:widowControl w:val="0"/>
              <w:autoSpaceDE w:val="0"/>
              <w:autoSpaceDN w:val="0"/>
              <w:adjustRightInd w:val="0"/>
              <w:ind w:right="597"/>
              <w:rPr>
                <w:sz w:val="20"/>
                <w:szCs w:val="20"/>
              </w:rPr>
            </w:pPr>
          </w:p>
          <w:p w14:paraId="1D29070F" w14:textId="403D2812" w:rsidR="0063323D" w:rsidRDefault="0063323D" w:rsidP="0063323D">
            <w:pPr>
              <w:widowControl w:val="0"/>
              <w:autoSpaceDE w:val="0"/>
              <w:autoSpaceDN w:val="0"/>
              <w:adjustRightInd w:val="0"/>
              <w:ind w:right="597"/>
              <w:jc w:val="right"/>
              <w:rPr>
                <w:sz w:val="20"/>
                <w:szCs w:val="20"/>
              </w:rPr>
            </w:pPr>
            <w:r>
              <w:rPr>
                <w:sz w:val="20"/>
                <w:szCs w:val="20"/>
              </w:rPr>
              <w:t>0</w:t>
            </w:r>
          </w:p>
        </w:tc>
        <w:tc>
          <w:tcPr>
            <w:tcW w:w="2269" w:type="dxa"/>
            <w:tcBorders>
              <w:bottom w:val="single" w:sz="4" w:space="0" w:color="auto"/>
            </w:tcBorders>
          </w:tcPr>
          <w:p w14:paraId="1A86E3CF" w14:textId="5957ECEC" w:rsidR="002B787F" w:rsidRDefault="002B787F" w:rsidP="0029565E">
            <w:pPr>
              <w:widowControl w:val="0"/>
              <w:autoSpaceDE w:val="0"/>
              <w:autoSpaceDN w:val="0"/>
              <w:adjustRightInd w:val="0"/>
              <w:rPr>
                <w:sz w:val="20"/>
                <w:szCs w:val="20"/>
              </w:rPr>
            </w:pPr>
          </w:p>
          <w:p w14:paraId="63DE8D7D" w14:textId="77777777" w:rsidR="002B787F" w:rsidRDefault="002B787F" w:rsidP="00612DE1">
            <w:pPr>
              <w:widowControl w:val="0"/>
              <w:autoSpaceDE w:val="0"/>
              <w:autoSpaceDN w:val="0"/>
              <w:adjustRightInd w:val="0"/>
              <w:ind w:right="740"/>
              <w:jc w:val="right"/>
              <w:rPr>
                <w:sz w:val="20"/>
                <w:szCs w:val="20"/>
              </w:rPr>
            </w:pPr>
            <w:r>
              <w:rPr>
                <w:sz w:val="20"/>
                <w:szCs w:val="20"/>
              </w:rPr>
              <w:t>2,527,887</w:t>
            </w:r>
          </w:p>
          <w:p w14:paraId="43DE37FE" w14:textId="66B90AC1" w:rsidR="0063323D" w:rsidRPr="003061F1" w:rsidRDefault="0063323D" w:rsidP="006F26A2">
            <w:pPr>
              <w:widowControl w:val="0"/>
              <w:autoSpaceDE w:val="0"/>
              <w:autoSpaceDN w:val="0"/>
              <w:adjustRightInd w:val="0"/>
              <w:jc w:val="right"/>
              <w:rPr>
                <w:sz w:val="20"/>
                <w:szCs w:val="20"/>
              </w:rPr>
            </w:pPr>
          </w:p>
        </w:tc>
      </w:tr>
      <w:tr w:rsidR="002B787F" w:rsidRPr="002D3016" w14:paraId="320E3327" w14:textId="77777777" w:rsidTr="00664A13">
        <w:tc>
          <w:tcPr>
            <w:tcW w:w="2268" w:type="dxa"/>
          </w:tcPr>
          <w:p w14:paraId="6C159E91" w14:textId="77777777" w:rsidR="002B787F" w:rsidRPr="003061F1" w:rsidRDefault="002B787F" w:rsidP="006F26A2">
            <w:pPr>
              <w:widowControl w:val="0"/>
              <w:autoSpaceDE w:val="0"/>
              <w:autoSpaceDN w:val="0"/>
              <w:adjustRightInd w:val="0"/>
              <w:rPr>
                <w:b/>
                <w:sz w:val="20"/>
                <w:szCs w:val="20"/>
              </w:rPr>
            </w:pPr>
          </w:p>
          <w:p w14:paraId="1471187D" w14:textId="77777777" w:rsidR="002B787F" w:rsidRPr="003061F1" w:rsidRDefault="002B787F" w:rsidP="006F26A2">
            <w:pPr>
              <w:widowControl w:val="0"/>
              <w:autoSpaceDE w:val="0"/>
              <w:autoSpaceDN w:val="0"/>
              <w:adjustRightInd w:val="0"/>
              <w:rPr>
                <w:b/>
                <w:sz w:val="20"/>
                <w:szCs w:val="20"/>
              </w:rPr>
            </w:pPr>
            <w:r>
              <w:rPr>
                <w:b/>
                <w:sz w:val="20"/>
                <w:szCs w:val="20"/>
              </w:rPr>
              <w:t>Balance at 31 March 2022</w:t>
            </w:r>
          </w:p>
        </w:tc>
        <w:tc>
          <w:tcPr>
            <w:tcW w:w="2268" w:type="dxa"/>
            <w:tcBorders>
              <w:top w:val="single" w:sz="4" w:space="0" w:color="auto"/>
              <w:bottom w:val="single" w:sz="4" w:space="0" w:color="auto"/>
            </w:tcBorders>
          </w:tcPr>
          <w:p w14:paraId="47B1F40B" w14:textId="77777777" w:rsidR="00541F20" w:rsidRDefault="00541F20" w:rsidP="006F26A2">
            <w:pPr>
              <w:widowControl w:val="0"/>
              <w:autoSpaceDE w:val="0"/>
              <w:autoSpaceDN w:val="0"/>
              <w:adjustRightInd w:val="0"/>
              <w:jc w:val="right"/>
              <w:rPr>
                <w:b/>
                <w:sz w:val="20"/>
                <w:szCs w:val="20"/>
              </w:rPr>
            </w:pPr>
          </w:p>
          <w:p w14:paraId="50ADD9BB" w14:textId="5E7ADF7F" w:rsidR="00541F20" w:rsidRDefault="00541F20" w:rsidP="006F26A2">
            <w:pPr>
              <w:widowControl w:val="0"/>
              <w:autoSpaceDE w:val="0"/>
              <w:autoSpaceDN w:val="0"/>
              <w:adjustRightInd w:val="0"/>
              <w:jc w:val="right"/>
              <w:rPr>
                <w:b/>
                <w:sz w:val="20"/>
                <w:szCs w:val="20"/>
              </w:rPr>
            </w:pPr>
            <w:r>
              <w:rPr>
                <w:b/>
                <w:sz w:val="20"/>
                <w:szCs w:val="20"/>
              </w:rPr>
              <w:t>819,650</w:t>
            </w:r>
          </w:p>
          <w:p w14:paraId="160106A7" w14:textId="1C577E55" w:rsidR="002B787F" w:rsidRDefault="002B787F" w:rsidP="006F26A2">
            <w:pPr>
              <w:widowControl w:val="0"/>
              <w:autoSpaceDE w:val="0"/>
              <w:autoSpaceDN w:val="0"/>
              <w:adjustRightInd w:val="0"/>
              <w:jc w:val="right"/>
              <w:rPr>
                <w:b/>
                <w:sz w:val="20"/>
                <w:szCs w:val="20"/>
              </w:rPr>
            </w:pPr>
          </w:p>
        </w:tc>
        <w:tc>
          <w:tcPr>
            <w:tcW w:w="2268" w:type="dxa"/>
            <w:tcBorders>
              <w:top w:val="single" w:sz="4" w:space="0" w:color="auto"/>
              <w:bottom w:val="single" w:sz="4" w:space="0" w:color="auto"/>
            </w:tcBorders>
          </w:tcPr>
          <w:p w14:paraId="1FA47950" w14:textId="77777777" w:rsidR="002B787F" w:rsidRDefault="002B787F" w:rsidP="002B787F">
            <w:pPr>
              <w:widowControl w:val="0"/>
              <w:autoSpaceDE w:val="0"/>
              <w:autoSpaceDN w:val="0"/>
              <w:adjustRightInd w:val="0"/>
              <w:ind w:right="597"/>
              <w:jc w:val="right"/>
              <w:rPr>
                <w:b/>
                <w:sz w:val="20"/>
                <w:szCs w:val="20"/>
              </w:rPr>
            </w:pPr>
          </w:p>
          <w:p w14:paraId="27FE0AA6" w14:textId="0F4E0852" w:rsidR="00541F20" w:rsidRDefault="00541F20" w:rsidP="002B787F">
            <w:pPr>
              <w:widowControl w:val="0"/>
              <w:autoSpaceDE w:val="0"/>
              <w:autoSpaceDN w:val="0"/>
              <w:adjustRightInd w:val="0"/>
              <w:ind w:right="597"/>
              <w:jc w:val="right"/>
              <w:rPr>
                <w:b/>
                <w:sz w:val="20"/>
                <w:szCs w:val="20"/>
              </w:rPr>
            </w:pPr>
            <w:r>
              <w:rPr>
                <w:b/>
                <w:sz w:val="20"/>
                <w:szCs w:val="20"/>
              </w:rPr>
              <w:t>29,403</w:t>
            </w:r>
          </w:p>
        </w:tc>
        <w:tc>
          <w:tcPr>
            <w:tcW w:w="2269" w:type="dxa"/>
            <w:tcBorders>
              <w:top w:val="single" w:sz="4" w:space="0" w:color="auto"/>
              <w:bottom w:val="single" w:sz="4" w:space="0" w:color="auto"/>
            </w:tcBorders>
          </w:tcPr>
          <w:p w14:paraId="42A368D6" w14:textId="66D9BCBA" w:rsidR="00541F20" w:rsidRDefault="00541F20" w:rsidP="006F26A2">
            <w:pPr>
              <w:widowControl w:val="0"/>
              <w:autoSpaceDE w:val="0"/>
              <w:autoSpaceDN w:val="0"/>
              <w:adjustRightInd w:val="0"/>
              <w:jc w:val="right"/>
              <w:rPr>
                <w:b/>
                <w:sz w:val="20"/>
                <w:szCs w:val="20"/>
              </w:rPr>
            </w:pPr>
          </w:p>
          <w:p w14:paraId="4A2A22B5" w14:textId="0D75DDCF" w:rsidR="00541F20" w:rsidRDefault="00541F20" w:rsidP="00612DE1">
            <w:pPr>
              <w:widowControl w:val="0"/>
              <w:autoSpaceDE w:val="0"/>
              <w:autoSpaceDN w:val="0"/>
              <w:adjustRightInd w:val="0"/>
              <w:ind w:right="740"/>
              <w:jc w:val="right"/>
              <w:rPr>
                <w:b/>
                <w:sz w:val="20"/>
                <w:szCs w:val="20"/>
              </w:rPr>
            </w:pPr>
            <w:r>
              <w:rPr>
                <w:b/>
                <w:sz w:val="20"/>
                <w:szCs w:val="20"/>
              </w:rPr>
              <w:t>849,053</w:t>
            </w:r>
          </w:p>
          <w:p w14:paraId="1678C444" w14:textId="6396468A" w:rsidR="002B787F" w:rsidRPr="003061F1" w:rsidRDefault="002B787F" w:rsidP="006F26A2">
            <w:pPr>
              <w:widowControl w:val="0"/>
              <w:autoSpaceDE w:val="0"/>
              <w:autoSpaceDN w:val="0"/>
              <w:adjustRightInd w:val="0"/>
              <w:jc w:val="right"/>
              <w:rPr>
                <w:b/>
                <w:sz w:val="20"/>
                <w:szCs w:val="20"/>
              </w:rPr>
            </w:pPr>
          </w:p>
        </w:tc>
      </w:tr>
    </w:tbl>
    <w:p w14:paraId="65CD3FD3" w14:textId="77777777" w:rsidR="000C2A54" w:rsidRDefault="000C2A54" w:rsidP="000C2A54">
      <w:pPr>
        <w:widowControl w:val="0"/>
        <w:autoSpaceDE w:val="0"/>
        <w:autoSpaceDN w:val="0"/>
        <w:adjustRightInd w:val="0"/>
        <w:jc w:val="center"/>
        <w:rPr>
          <w:b/>
          <w:sz w:val="22"/>
          <w:szCs w:val="22"/>
        </w:rPr>
      </w:pPr>
    </w:p>
    <w:p w14:paraId="0E1667A2" w14:textId="77777777" w:rsidR="000C2A54" w:rsidRDefault="000C2A54" w:rsidP="000C2A54">
      <w:pPr>
        <w:widowControl w:val="0"/>
        <w:autoSpaceDE w:val="0"/>
        <w:autoSpaceDN w:val="0"/>
        <w:adjustRightInd w:val="0"/>
        <w:jc w:val="center"/>
        <w:rPr>
          <w:b/>
          <w:sz w:val="22"/>
          <w:szCs w:val="22"/>
        </w:rPr>
      </w:pPr>
    </w:p>
    <w:p w14:paraId="0C926D7F" w14:textId="428550C5"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T</w:t>
      </w:r>
      <w:r w:rsidR="0029565E">
        <w:rPr>
          <w:sz w:val="22"/>
          <w:szCs w:val="22"/>
        </w:rPr>
        <w:t xml:space="preserve">he notes on pages </w:t>
      </w:r>
      <w:r w:rsidR="00612DE1">
        <w:rPr>
          <w:sz w:val="22"/>
          <w:szCs w:val="22"/>
        </w:rPr>
        <w:t>60</w:t>
      </w:r>
      <w:r w:rsidR="000143A4" w:rsidRPr="00EB5423">
        <w:rPr>
          <w:sz w:val="22"/>
          <w:szCs w:val="22"/>
        </w:rPr>
        <w:t xml:space="preserve"> </w:t>
      </w:r>
      <w:r w:rsidRPr="00EB5423">
        <w:rPr>
          <w:sz w:val="22"/>
          <w:szCs w:val="22"/>
        </w:rPr>
        <w:t xml:space="preserve">to </w:t>
      </w:r>
      <w:r w:rsidR="00612DE1">
        <w:rPr>
          <w:sz w:val="22"/>
          <w:szCs w:val="22"/>
        </w:rPr>
        <w:t>73</w:t>
      </w:r>
      <w:r w:rsidR="000143A4" w:rsidRPr="00EB5423">
        <w:rPr>
          <w:sz w:val="22"/>
          <w:szCs w:val="22"/>
        </w:rPr>
        <w:t xml:space="preserve"> </w:t>
      </w:r>
      <w:r w:rsidRPr="00EB5423">
        <w:rPr>
          <w:sz w:val="22"/>
          <w:szCs w:val="22"/>
        </w:rPr>
        <w:t>form part of the financial statements.</w:t>
      </w:r>
    </w:p>
    <w:p w14:paraId="687F6B17" w14:textId="77777777" w:rsidR="000C2A54" w:rsidRPr="00756704" w:rsidRDefault="000C2A54" w:rsidP="000C2A54">
      <w:pPr>
        <w:widowControl w:val="0"/>
        <w:autoSpaceDE w:val="0"/>
        <w:autoSpaceDN w:val="0"/>
        <w:adjustRightInd w:val="0"/>
        <w:jc w:val="center"/>
        <w:rPr>
          <w:b/>
          <w:sz w:val="22"/>
          <w:szCs w:val="22"/>
        </w:rPr>
      </w:pPr>
    </w:p>
    <w:p w14:paraId="7B3C35E8" w14:textId="77777777" w:rsidR="008C73A2" w:rsidRDefault="000C2A54" w:rsidP="008C73A2">
      <w:pPr>
        <w:widowControl w:val="0"/>
        <w:autoSpaceDE w:val="0"/>
        <w:autoSpaceDN w:val="0"/>
        <w:adjustRightInd w:val="0"/>
        <w:jc w:val="center"/>
        <w:rPr>
          <w:rFonts w:cs="Arial"/>
          <w:b/>
          <w:color w:val="77328A"/>
          <w:sz w:val="30"/>
          <w:szCs w:val="30"/>
        </w:rPr>
      </w:pPr>
      <w:r>
        <w:rPr>
          <w:b/>
          <w:sz w:val="28"/>
          <w:szCs w:val="28"/>
        </w:rPr>
        <w:br w:type="page"/>
      </w:r>
    </w:p>
    <w:p w14:paraId="4FECFC57" w14:textId="77777777" w:rsidR="008C73A2" w:rsidRDefault="008C73A2" w:rsidP="000C2A54">
      <w:pPr>
        <w:widowControl w:val="0"/>
        <w:autoSpaceDE w:val="0"/>
        <w:autoSpaceDN w:val="0"/>
        <w:adjustRightInd w:val="0"/>
        <w:jc w:val="center"/>
        <w:rPr>
          <w:rFonts w:cs="Arial"/>
          <w:b/>
          <w:color w:val="77328A"/>
          <w:sz w:val="30"/>
          <w:szCs w:val="30"/>
        </w:rPr>
      </w:pPr>
      <w:r>
        <w:rPr>
          <w:rFonts w:cs="Arial"/>
          <w:b/>
          <w:color w:val="77328A"/>
          <w:sz w:val="30"/>
          <w:szCs w:val="30"/>
        </w:rPr>
        <w:t xml:space="preserve"> Notes to the Financial Statements </w:t>
      </w:r>
    </w:p>
    <w:p w14:paraId="51998792" w14:textId="77777777" w:rsidR="000C2A54" w:rsidRPr="003B42D9" w:rsidRDefault="004E6BF5" w:rsidP="000C2A54">
      <w:pPr>
        <w:widowControl w:val="0"/>
        <w:autoSpaceDE w:val="0"/>
        <w:autoSpaceDN w:val="0"/>
        <w:adjustRightInd w:val="0"/>
        <w:jc w:val="center"/>
        <w:rPr>
          <w:b/>
        </w:rPr>
      </w:pPr>
      <w:r>
        <w:rPr>
          <w:rFonts w:cs="Arial"/>
          <w:b/>
          <w:color w:val="77328A"/>
          <w:sz w:val="30"/>
          <w:szCs w:val="30"/>
        </w:rPr>
        <w:t>for the Year Ended 31 March 202</w:t>
      </w:r>
      <w:r w:rsidR="0029565E">
        <w:rPr>
          <w:rFonts w:cs="Arial"/>
          <w:b/>
          <w:color w:val="77328A"/>
          <w:sz w:val="30"/>
          <w:szCs w:val="30"/>
        </w:rPr>
        <w:t>2</w:t>
      </w:r>
    </w:p>
    <w:p w14:paraId="09F2D072" w14:textId="77777777" w:rsidR="000C2A54" w:rsidRPr="003B42D9" w:rsidRDefault="000C2A54" w:rsidP="000C2A54">
      <w:pPr>
        <w:rPr>
          <w:b/>
        </w:rPr>
      </w:pPr>
    </w:p>
    <w:p w14:paraId="4333682D" w14:textId="77777777" w:rsidR="000C2A54" w:rsidRPr="004E6BF5" w:rsidRDefault="000C2A54" w:rsidP="000C2A54">
      <w:pPr>
        <w:widowControl w:val="0"/>
        <w:autoSpaceDE w:val="0"/>
        <w:autoSpaceDN w:val="0"/>
        <w:adjustRightInd w:val="0"/>
        <w:ind w:left="567" w:hanging="567"/>
        <w:rPr>
          <w:b/>
          <w:color w:val="FF0000"/>
        </w:rPr>
      </w:pPr>
      <w:r>
        <w:rPr>
          <w:b/>
        </w:rPr>
        <w:t>1</w:t>
      </w:r>
      <w:r w:rsidRPr="003B42D9">
        <w:rPr>
          <w:b/>
        </w:rPr>
        <w:t>.</w:t>
      </w:r>
      <w:r w:rsidRPr="003B42D9">
        <w:rPr>
          <w:b/>
        </w:rPr>
        <w:tab/>
        <w:t xml:space="preserve">Statement of accounting policies </w:t>
      </w:r>
    </w:p>
    <w:p w14:paraId="26305A1F" w14:textId="77777777" w:rsidR="000C2A54" w:rsidRPr="003B42D9" w:rsidRDefault="000C2A54" w:rsidP="000C2A54">
      <w:pPr>
        <w:widowControl w:val="0"/>
        <w:tabs>
          <w:tab w:val="left" w:pos="567"/>
        </w:tabs>
        <w:autoSpaceDE w:val="0"/>
        <w:autoSpaceDN w:val="0"/>
        <w:adjustRightInd w:val="0"/>
        <w:ind w:left="567" w:hanging="567"/>
        <w:rPr>
          <w:b/>
        </w:rPr>
      </w:pPr>
    </w:p>
    <w:p w14:paraId="27FE0D96" w14:textId="77777777" w:rsidR="000C2A54" w:rsidRPr="003B42D9" w:rsidRDefault="000C2A54" w:rsidP="000C2A54">
      <w:pPr>
        <w:pStyle w:val="BodyTextIndent3"/>
        <w:tabs>
          <w:tab w:val="left" w:pos="567"/>
        </w:tabs>
        <w:spacing w:after="0"/>
        <w:ind w:left="567" w:hanging="567"/>
        <w:rPr>
          <w:sz w:val="24"/>
          <w:szCs w:val="24"/>
        </w:rPr>
      </w:pPr>
      <w:r w:rsidRPr="003B42D9">
        <w:rPr>
          <w:sz w:val="24"/>
          <w:szCs w:val="24"/>
        </w:rPr>
        <w:tab/>
        <w:t xml:space="preserve">The financial statements have been prepared in accordance with the Government Financial Reporting Manual (FReM) for </w:t>
      </w:r>
      <w:r w:rsidR="0091473F">
        <w:rPr>
          <w:sz w:val="24"/>
          <w:szCs w:val="24"/>
        </w:rPr>
        <w:t>2021</w:t>
      </w:r>
      <w:r w:rsidR="0029565E">
        <w:rPr>
          <w:sz w:val="24"/>
          <w:szCs w:val="24"/>
        </w:rPr>
        <w:t>-22</w:t>
      </w:r>
      <w:r w:rsidRPr="003B42D9">
        <w:rPr>
          <w:sz w:val="24"/>
          <w:szCs w:val="24"/>
        </w:rPr>
        <w:t>, issued by HM Treasury.  The accounting policies contained in the FReM apply International Financial Reporting Standards (IFRS), as adapted or interpreted for the public sector context.  Where the FReM permits a choice of accounting policy, the accounting policy which is judged to be most appropriate to the particular circumstances of the Northern Ireland Human Rights Commission for the purpose of giving a true and fair view has been selected.  The particular policies adopted by the Northern Ireland Human Rights Commission for the</w:t>
      </w:r>
      <w:r w:rsidR="003F76DD">
        <w:rPr>
          <w:sz w:val="24"/>
          <w:szCs w:val="24"/>
        </w:rPr>
        <w:t xml:space="preserve"> year ending </w:t>
      </w:r>
      <w:r w:rsidR="0029565E">
        <w:rPr>
          <w:sz w:val="24"/>
          <w:szCs w:val="24"/>
        </w:rPr>
        <w:t>31 March 2022</w:t>
      </w:r>
      <w:r w:rsidRPr="003B42D9">
        <w:rPr>
          <w:sz w:val="24"/>
          <w:szCs w:val="24"/>
        </w:rPr>
        <w:t xml:space="preserve"> are described below. They have been applied consistently in dealing with items that are considered material to the accounts.</w:t>
      </w:r>
    </w:p>
    <w:p w14:paraId="585C016B" w14:textId="77777777" w:rsidR="000C2A54" w:rsidRPr="003B42D9" w:rsidRDefault="000C2A54" w:rsidP="000C2A54">
      <w:pPr>
        <w:pStyle w:val="BodyTextIndent3"/>
        <w:tabs>
          <w:tab w:val="left" w:pos="567"/>
        </w:tabs>
        <w:spacing w:after="0"/>
        <w:ind w:left="567" w:hanging="567"/>
        <w:rPr>
          <w:sz w:val="24"/>
          <w:szCs w:val="24"/>
        </w:rPr>
      </w:pPr>
    </w:p>
    <w:p w14:paraId="5CAF3C1D" w14:textId="77777777" w:rsidR="000C2A54" w:rsidRPr="003B42D9" w:rsidRDefault="000C2A54" w:rsidP="000C2A54">
      <w:pPr>
        <w:widowControl w:val="0"/>
        <w:tabs>
          <w:tab w:val="left" w:pos="720"/>
        </w:tabs>
        <w:autoSpaceDE w:val="0"/>
        <w:autoSpaceDN w:val="0"/>
        <w:adjustRightInd w:val="0"/>
        <w:ind w:left="1418" w:hanging="851"/>
        <w:rPr>
          <w:b/>
        </w:rPr>
      </w:pPr>
      <w:r w:rsidRPr="003B42D9">
        <w:rPr>
          <w:b/>
        </w:rPr>
        <w:t>1.1</w:t>
      </w:r>
      <w:r w:rsidRPr="003B42D9">
        <w:rPr>
          <w:b/>
        </w:rPr>
        <w:tab/>
        <w:t>Accounting convention</w:t>
      </w:r>
    </w:p>
    <w:p w14:paraId="49A200FF" w14:textId="77777777" w:rsidR="000C2A54" w:rsidRPr="003B42D9" w:rsidRDefault="000C2A54" w:rsidP="000C2A54">
      <w:pPr>
        <w:pStyle w:val="BodyTextIndent3"/>
        <w:tabs>
          <w:tab w:val="left" w:pos="720"/>
        </w:tabs>
        <w:spacing w:after="0"/>
        <w:ind w:left="567"/>
        <w:rPr>
          <w:sz w:val="24"/>
          <w:szCs w:val="24"/>
        </w:rPr>
      </w:pPr>
    </w:p>
    <w:p w14:paraId="670D1605" w14:textId="77777777" w:rsidR="000C2A54" w:rsidRPr="003B42D9" w:rsidRDefault="000C2A54" w:rsidP="000C2A54">
      <w:pPr>
        <w:pStyle w:val="BodyTextIndent3"/>
        <w:tabs>
          <w:tab w:val="left" w:pos="720"/>
        </w:tabs>
        <w:spacing w:after="0"/>
        <w:ind w:left="1418"/>
        <w:rPr>
          <w:sz w:val="24"/>
          <w:szCs w:val="24"/>
        </w:rPr>
      </w:pPr>
      <w:r w:rsidRPr="003B42D9">
        <w:rPr>
          <w:sz w:val="24"/>
          <w:szCs w:val="24"/>
        </w:rPr>
        <w:t>The financial statements have been prepared in accordance with the historical cost convention, modified to account for the revaluation of property, plant and equipment.</w:t>
      </w:r>
    </w:p>
    <w:p w14:paraId="7C12A06B" w14:textId="77777777" w:rsidR="000C2A54" w:rsidRPr="003B42D9" w:rsidRDefault="000C2A54" w:rsidP="000C2A54">
      <w:pPr>
        <w:pStyle w:val="BodyTextIndent3"/>
        <w:tabs>
          <w:tab w:val="left" w:pos="720"/>
        </w:tabs>
        <w:spacing w:after="0"/>
        <w:ind w:left="1418"/>
        <w:rPr>
          <w:sz w:val="24"/>
          <w:szCs w:val="24"/>
        </w:rPr>
      </w:pPr>
    </w:p>
    <w:p w14:paraId="71A12A92" w14:textId="77777777" w:rsidR="000C2A54" w:rsidRPr="003B42D9" w:rsidRDefault="000C2A54" w:rsidP="000C2A54">
      <w:pPr>
        <w:pStyle w:val="BodyTextIndent3"/>
        <w:tabs>
          <w:tab w:val="left" w:pos="720"/>
        </w:tabs>
        <w:spacing w:after="0"/>
        <w:ind w:left="1418"/>
        <w:rPr>
          <w:sz w:val="24"/>
          <w:szCs w:val="24"/>
        </w:rPr>
      </w:pPr>
      <w:r w:rsidRPr="003B42D9">
        <w:rPr>
          <w:sz w:val="24"/>
          <w:szCs w:val="24"/>
        </w:rPr>
        <w:t>The accounts comply with the accounting standards issued or adopted by the Accounting Standards Board, FReM and accounting and disclosure requirements issued by HM Treasury and are in Sterling.</w:t>
      </w:r>
    </w:p>
    <w:p w14:paraId="4EEB0D10" w14:textId="77777777" w:rsidR="000C2A54" w:rsidRPr="003B42D9" w:rsidRDefault="000C2A54" w:rsidP="000C2A54">
      <w:pPr>
        <w:widowControl w:val="0"/>
        <w:tabs>
          <w:tab w:val="left" w:pos="567"/>
        </w:tabs>
        <w:autoSpaceDE w:val="0"/>
        <w:autoSpaceDN w:val="0"/>
        <w:adjustRightInd w:val="0"/>
      </w:pPr>
    </w:p>
    <w:p w14:paraId="2A60F98D" w14:textId="77777777" w:rsidR="000C2A54" w:rsidRPr="003B42D9" w:rsidRDefault="000C2A54" w:rsidP="000C2A54">
      <w:pPr>
        <w:widowControl w:val="0"/>
        <w:autoSpaceDE w:val="0"/>
        <w:autoSpaceDN w:val="0"/>
        <w:adjustRightInd w:val="0"/>
        <w:ind w:left="1418" w:hanging="851"/>
        <w:rPr>
          <w:b/>
        </w:rPr>
      </w:pPr>
      <w:r w:rsidRPr="003B42D9">
        <w:rPr>
          <w:b/>
        </w:rPr>
        <w:t>1.2</w:t>
      </w:r>
      <w:r w:rsidRPr="003B42D9">
        <w:rPr>
          <w:b/>
        </w:rPr>
        <w:tab/>
        <w:t>Critical accounting estimates and key judgements</w:t>
      </w:r>
    </w:p>
    <w:p w14:paraId="65526EC9" w14:textId="77777777" w:rsidR="000C2A54" w:rsidRPr="003B42D9" w:rsidRDefault="000C2A54" w:rsidP="000C2A54">
      <w:pPr>
        <w:tabs>
          <w:tab w:val="left" w:pos="567"/>
        </w:tabs>
        <w:autoSpaceDE w:val="0"/>
        <w:autoSpaceDN w:val="0"/>
        <w:adjustRightInd w:val="0"/>
        <w:jc w:val="both"/>
        <w:rPr>
          <w:rFonts w:ascii="Arial" w:hAnsi="Arial" w:cs="Arial"/>
        </w:rPr>
      </w:pPr>
    </w:p>
    <w:p w14:paraId="267109AF" w14:textId="77777777" w:rsidR="000C2A54" w:rsidRPr="003B42D9" w:rsidRDefault="000C2A54" w:rsidP="000C2A54">
      <w:pPr>
        <w:tabs>
          <w:tab w:val="left" w:pos="720"/>
        </w:tabs>
        <w:ind w:left="1418"/>
      </w:pPr>
      <w:r w:rsidRPr="003B42D9">
        <w:t>The preparation of financial statements in conformity with IFRS requires the use of accounting estimates and assumptions.  It also requires the Commission to exercise judgement in the process of applying the accounting policies.  We continually evaluate our estimates, assumptions and judgements based on available information and experience.  As the use of estimates is inherent in financial reporting, actual results could differ from these estimates.  The estimates and assumptions which have the most significant risk of causing a material adjustment to the carrying amounts of assets and liabilities are discussed below.</w:t>
      </w:r>
    </w:p>
    <w:p w14:paraId="598D514B" w14:textId="77777777" w:rsidR="000C2A54" w:rsidRPr="003B42D9" w:rsidRDefault="000C2A54" w:rsidP="000C2A54">
      <w:pPr>
        <w:ind w:left="567" w:firstLine="567"/>
        <w:rPr>
          <w:b/>
        </w:rPr>
      </w:pPr>
    </w:p>
    <w:p w14:paraId="1D749878" w14:textId="77777777" w:rsidR="000C2A54" w:rsidRPr="003B42D9" w:rsidRDefault="000C2A54" w:rsidP="000C2A54">
      <w:pPr>
        <w:tabs>
          <w:tab w:val="left" w:pos="1985"/>
        </w:tabs>
        <w:ind w:left="1418"/>
        <w:rPr>
          <w:b/>
        </w:rPr>
      </w:pPr>
      <w:r w:rsidRPr="003B42D9">
        <w:rPr>
          <w:b/>
        </w:rPr>
        <w:t>(i)</w:t>
      </w:r>
      <w:r w:rsidRPr="003B42D9">
        <w:rPr>
          <w:b/>
        </w:rPr>
        <w:tab/>
        <w:t xml:space="preserve">Depreciation of property, plant, equipment and </w:t>
      </w:r>
      <w:r w:rsidRPr="003B42D9">
        <w:rPr>
          <w:b/>
        </w:rPr>
        <w:tab/>
        <w:t>intangibles</w:t>
      </w:r>
    </w:p>
    <w:p w14:paraId="1D09EE7D" w14:textId="171CF6CD" w:rsidR="000C2A54" w:rsidRPr="003B42D9" w:rsidRDefault="000C2A54" w:rsidP="000C2A54">
      <w:pPr>
        <w:ind w:left="1985"/>
        <w:rPr>
          <w:b/>
        </w:rPr>
      </w:pPr>
      <w:r w:rsidRPr="003B42D9">
        <w:t xml:space="preserve">Depreciation is provided in the accounts so as to write-down the respective assets to their residual values over their expected useful lives and as such the selection of the estimated useful lives and the expected residual values of the assets requires the use of estimates and judgements.  Details of the estimated useful lives are as shown in Note 1.7 and Note </w:t>
      </w:r>
      <w:r w:rsidR="008860A2">
        <w:t>1.9</w:t>
      </w:r>
      <w:r w:rsidRPr="003B42D9">
        <w:t>.</w:t>
      </w:r>
      <w:r w:rsidRPr="003B42D9">
        <w:br/>
      </w:r>
    </w:p>
    <w:p w14:paraId="210F0269" w14:textId="77777777" w:rsidR="000C2A54" w:rsidRPr="003B42D9" w:rsidRDefault="000C2A54" w:rsidP="000C2A54">
      <w:pPr>
        <w:ind w:left="1985" w:hanging="567"/>
        <w:rPr>
          <w:b/>
        </w:rPr>
      </w:pPr>
      <w:r w:rsidRPr="003B42D9">
        <w:rPr>
          <w:b/>
        </w:rPr>
        <w:t>(ii)</w:t>
      </w:r>
      <w:r w:rsidRPr="003B42D9">
        <w:rPr>
          <w:b/>
        </w:rPr>
        <w:tab/>
        <w:t>Impairment of property, plant and equipment</w:t>
      </w:r>
    </w:p>
    <w:p w14:paraId="57DC372E" w14:textId="77777777" w:rsidR="000C2A54" w:rsidRPr="003B42D9" w:rsidRDefault="000C2A54" w:rsidP="000C2A54">
      <w:pPr>
        <w:ind w:left="1985"/>
      </w:pPr>
      <w:r w:rsidRPr="003B42D9">
        <w:t>Where there is an indication that the carrying value of items of property, plant and equipment may have been impaired through events or changes in circumstances, a review will be undertaken of the recoverable amount of that asset.</w:t>
      </w:r>
    </w:p>
    <w:p w14:paraId="363DD307" w14:textId="77777777" w:rsidR="000C2A54" w:rsidRPr="003B42D9" w:rsidRDefault="000C2A54" w:rsidP="000C2A54"/>
    <w:p w14:paraId="7CD57BEC" w14:textId="77777777" w:rsidR="000C2A54" w:rsidRPr="003B42D9" w:rsidRDefault="000C2A54" w:rsidP="000C2A54">
      <w:pPr>
        <w:rPr>
          <w:b/>
        </w:rPr>
      </w:pPr>
      <w:r w:rsidRPr="003B42D9">
        <w:tab/>
      </w:r>
      <w:r w:rsidRPr="003B42D9">
        <w:tab/>
      </w:r>
      <w:r w:rsidRPr="003B42D9">
        <w:rPr>
          <w:b/>
        </w:rPr>
        <w:t>(iii) Provisions</w:t>
      </w:r>
    </w:p>
    <w:p w14:paraId="24FFF869" w14:textId="77777777" w:rsidR="000C2A54" w:rsidRPr="003B42D9" w:rsidRDefault="000C2A54" w:rsidP="000C2A54">
      <w:pPr>
        <w:tabs>
          <w:tab w:val="left" w:pos="1276"/>
          <w:tab w:val="left" w:pos="1985"/>
        </w:tabs>
        <w:ind w:left="1985" w:hanging="1985"/>
      </w:pPr>
      <w:r w:rsidRPr="003B42D9">
        <w:rPr>
          <w:b/>
        </w:rPr>
        <w:tab/>
      </w:r>
      <w:r w:rsidRPr="003B42D9">
        <w:rPr>
          <w:b/>
        </w:rPr>
        <w:tab/>
      </w:r>
      <w:r w:rsidRPr="003B42D9">
        <w:t xml:space="preserve">The Commission provides for legal or constructive </w:t>
      </w:r>
      <w:r w:rsidR="00176472" w:rsidRPr="003B42D9">
        <w:t>obligations, which</w:t>
      </w:r>
      <w:r w:rsidRPr="003B42D9">
        <w:t xml:space="preserve"> are of uncertain timing or amount at the reporting date on the basis of the best estimate of the expenditure required to settle the obligation.</w:t>
      </w:r>
    </w:p>
    <w:p w14:paraId="0AE98860" w14:textId="77777777" w:rsidR="000C2A54" w:rsidRPr="003B42D9" w:rsidRDefault="000C2A54" w:rsidP="000C2A54">
      <w:pPr>
        <w:tabs>
          <w:tab w:val="left" w:pos="1276"/>
          <w:tab w:val="left" w:pos="1985"/>
        </w:tabs>
      </w:pPr>
    </w:p>
    <w:p w14:paraId="3C216F24" w14:textId="77777777" w:rsidR="000C2A54" w:rsidRPr="003B42D9" w:rsidRDefault="000C2A54" w:rsidP="000C2A54">
      <w:pPr>
        <w:widowControl w:val="0"/>
        <w:autoSpaceDE w:val="0"/>
        <w:autoSpaceDN w:val="0"/>
        <w:adjustRightInd w:val="0"/>
        <w:ind w:left="1418" w:hanging="851"/>
        <w:rPr>
          <w:b/>
        </w:rPr>
      </w:pPr>
      <w:r w:rsidRPr="003B42D9">
        <w:rPr>
          <w:b/>
        </w:rPr>
        <w:t>1.3</w:t>
      </w:r>
      <w:r w:rsidRPr="003B42D9">
        <w:rPr>
          <w:b/>
        </w:rPr>
        <w:tab/>
        <w:t xml:space="preserve">Accounting standards, interpretations and amendments to published standards adopted in the year ended </w:t>
      </w:r>
      <w:r w:rsidR="0029565E">
        <w:rPr>
          <w:b/>
        </w:rPr>
        <w:t>31 March 2022</w:t>
      </w:r>
    </w:p>
    <w:p w14:paraId="69B18E9E" w14:textId="77777777" w:rsidR="000C2A54" w:rsidRPr="003B42D9" w:rsidRDefault="000C2A54" w:rsidP="000C2A54">
      <w:pPr>
        <w:tabs>
          <w:tab w:val="left" w:pos="567"/>
        </w:tabs>
        <w:ind w:left="540"/>
        <w:jc w:val="both"/>
        <w:rPr>
          <w:rFonts w:ascii="Arial" w:hAnsi="Arial" w:cs="Arial"/>
        </w:rPr>
      </w:pPr>
    </w:p>
    <w:p w14:paraId="5BB93BBB" w14:textId="77777777" w:rsidR="002D6006" w:rsidRPr="003B42D9" w:rsidRDefault="000C2A54" w:rsidP="002D6006">
      <w:pPr>
        <w:tabs>
          <w:tab w:val="left" w:pos="567"/>
        </w:tabs>
        <w:ind w:left="1418"/>
      </w:pPr>
      <w:r w:rsidRPr="003B42D9">
        <w:t xml:space="preserve">The Commission has reviewed the standards, interpretations and amendments to the International Financial Reporting Standards (IFRS) included in the </w:t>
      </w:r>
      <w:r w:rsidR="0091473F">
        <w:t>2021</w:t>
      </w:r>
      <w:r w:rsidR="0029565E">
        <w:t>-22</w:t>
      </w:r>
      <w:r w:rsidRPr="003B42D9">
        <w:t xml:space="preserve"> Government Financial Reporting Manual (FReM) and which are relevant to its operations.  The Commission considers that the adoption of these standards has not had a significant impact on its results or financial position.</w:t>
      </w:r>
    </w:p>
    <w:p w14:paraId="6C356A32" w14:textId="77777777" w:rsidR="000C2A54" w:rsidRPr="003B42D9" w:rsidRDefault="000C2A54" w:rsidP="000C2A54">
      <w:pPr>
        <w:tabs>
          <w:tab w:val="left" w:pos="567"/>
        </w:tabs>
        <w:ind w:left="540"/>
        <w:jc w:val="both"/>
        <w:rPr>
          <w:rFonts w:ascii="Arial" w:hAnsi="Arial" w:cs="Arial"/>
        </w:rPr>
      </w:pPr>
    </w:p>
    <w:p w14:paraId="5837E444" w14:textId="77777777" w:rsidR="000C2A54" w:rsidRPr="003B42D9" w:rsidRDefault="000C2A54" w:rsidP="000C2A54">
      <w:pPr>
        <w:widowControl w:val="0"/>
        <w:autoSpaceDE w:val="0"/>
        <w:autoSpaceDN w:val="0"/>
        <w:adjustRightInd w:val="0"/>
        <w:ind w:left="1418" w:hanging="851"/>
        <w:rPr>
          <w:b/>
        </w:rPr>
      </w:pPr>
      <w:r w:rsidRPr="003B42D9">
        <w:rPr>
          <w:b/>
        </w:rPr>
        <w:t>1.4</w:t>
      </w:r>
      <w:r w:rsidRPr="003B42D9">
        <w:rPr>
          <w:b/>
        </w:rPr>
        <w:tab/>
        <w:t>Accounting standards, interpretations and amendments to published standards not yet effective</w:t>
      </w:r>
    </w:p>
    <w:p w14:paraId="733CF851" w14:textId="77777777" w:rsidR="000C2A54" w:rsidRPr="003B42D9" w:rsidRDefault="000C2A54" w:rsidP="000C2A54">
      <w:pPr>
        <w:tabs>
          <w:tab w:val="left" w:pos="567"/>
        </w:tabs>
        <w:jc w:val="both"/>
        <w:rPr>
          <w:rFonts w:ascii="Arial" w:hAnsi="Arial" w:cs="Arial"/>
        </w:rPr>
      </w:pPr>
    </w:p>
    <w:p w14:paraId="050F1FAF" w14:textId="77777777" w:rsidR="000C2A54" w:rsidRDefault="000C2A54" w:rsidP="000C2A54">
      <w:pPr>
        <w:tabs>
          <w:tab w:val="left" w:pos="567"/>
        </w:tabs>
        <w:ind w:left="1418"/>
      </w:pPr>
      <w:r w:rsidRPr="003B42D9">
        <w:t xml:space="preserve">The Commission has not adopted any Standards or Interpretations from the IFRS in advance of the required implementation dates.  </w:t>
      </w:r>
      <w:r w:rsidR="00BA4EC9">
        <w:t>The following</w:t>
      </w:r>
      <w:r w:rsidRPr="003B42D9">
        <w:t xml:space="preserve"> standards or interpretations </w:t>
      </w:r>
      <w:r w:rsidR="003A70E7">
        <w:t>were</w:t>
      </w:r>
      <w:r w:rsidRPr="003B42D9">
        <w:t xml:space="preserve"> issued by the International Accounting Standards </w:t>
      </w:r>
      <w:r w:rsidR="00BA4EC9">
        <w:t>Board but have not been adopted:</w:t>
      </w:r>
    </w:p>
    <w:p w14:paraId="303F318D" w14:textId="77777777" w:rsidR="00BC2CE3" w:rsidRDefault="00BC2CE3" w:rsidP="008626EA">
      <w:pPr>
        <w:tabs>
          <w:tab w:val="left" w:pos="567"/>
        </w:tabs>
      </w:pPr>
    </w:p>
    <w:p w14:paraId="035CB1D0" w14:textId="77777777" w:rsidR="00BC2CE3" w:rsidRDefault="00216E67" w:rsidP="00782F24">
      <w:pPr>
        <w:tabs>
          <w:tab w:val="left" w:pos="567"/>
        </w:tabs>
        <w:ind w:left="1440" w:hanging="1440"/>
      </w:pPr>
      <w:r>
        <w:tab/>
      </w:r>
      <w:r w:rsidR="00782F24">
        <w:tab/>
      </w:r>
      <w:r w:rsidR="00BC2CE3">
        <w:t>IFRS 16 – Leases replaces IAS 17 Leases and</w:t>
      </w:r>
      <w:r w:rsidR="002D6006">
        <w:t xml:space="preserve"> related interpretations and had</w:t>
      </w:r>
      <w:r w:rsidR="00BC2CE3">
        <w:t xml:space="preserve"> an effective date of 1 January 2019.  The new standard provides a single lessee accounting model, requiring lessees to recognise assets and liabilities for all leases unless the lease term is 12 months or less or the underlying asset has a low value.  Lessors continue to classify leases as operating or finance, with IFRS 16’s approach to lessor accounting substantially unchanged from its predecessor, IAS 17.  The new standard </w:t>
      </w:r>
      <w:r w:rsidR="00660AE7">
        <w:t>wa</w:t>
      </w:r>
      <w:r w:rsidR="00BC2CE3">
        <w:t xml:space="preserve">s </w:t>
      </w:r>
      <w:r w:rsidR="00283CC4">
        <w:t>due</w:t>
      </w:r>
      <w:r w:rsidR="00BC2CE3">
        <w:t xml:space="preserve"> to be applied from 1 April 2019</w:t>
      </w:r>
      <w:r w:rsidR="00283CC4">
        <w:t xml:space="preserve">, however, </w:t>
      </w:r>
      <w:r w:rsidR="00BD5CE2">
        <w:t>the Financial Reporting Advisory Board took the decision to delay the implementation of IFRS 16 for bodies applying the Government Financial Reporting Manual until 1 April 202</w:t>
      </w:r>
      <w:r w:rsidR="007B2D55">
        <w:t>2</w:t>
      </w:r>
      <w:r w:rsidR="00BD5CE2">
        <w:t>.</w:t>
      </w:r>
    </w:p>
    <w:p w14:paraId="161E25E6" w14:textId="77777777" w:rsidR="00216E67" w:rsidRDefault="00216E67" w:rsidP="00BC2CE3">
      <w:pPr>
        <w:tabs>
          <w:tab w:val="left" w:pos="567"/>
        </w:tabs>
      </w:pPr>
    </w:p>
    <w:p w14:paraId="1DA097E9" w14:textId="58E99B12" w:rsidR="00216E67" w:rsidRDefault="00216E67" w:rsidP="00782F24">
      <w:pPr>
        <w:tabs>
          <w:tab w:val="left" w:pos="567"/>
        </w:tabs>
        <w:ind w:left="1440" w:hanging="1440"/>
      </w:pPr>
      <w:r>
        <w:tab/>
      </w:r>
      <w:r w:rsidR="00782F24">
        <w:tab/>
      </w:r>
      <w:r w:rsidR="008B722F">
        <w:t>IFRS 16 – Leases replaces IAS 17 Leases and is effective for periods beginning on or after 1 January 2019.  However, for bodies applying the Government Financial Reporting Manual (FREM), HM Treasury have agreed with the Financial Reporting Advisory Board (FRAB) to defer the implementation of IFRS 16 Leases until 1 April 2022.  The Commission will be impacted by the implementation in relation to the Alfred House Lease.</w:t>
      </w:r>
    </w:p>
    <w:p w14:paraId="38D5BFDF" w14:textId="7B2E987D" w:rsidR="00EB0A08" w:rsidRDefault="00EB0A08" w:rsidP="00782F24">
      <w:pPr>
        <w:tabs>
          <w:tab w:val="left" w:pos="567"/>
        </w:tabs>
        <w:ind w:left="1440" w:hanging="1440"/>
      </w:pPr>
    </w:p>
    <w:p w14:paraId="459CE261" w14:textId="7BBFE6DE" w:rsidR="00EB0A08" w:rsidRDefault="00EB0A08" w:rsidP="00782F24">
      <w:pPr>
        <w:tabs>
          <w:tab w:val="left" w:pos="567"/>
        </w:tabs>
        <w:ind w:left="1440" w:hanging="1440"/>
      </w:pPr>
      <w:r>
        <w:tab/>
      </w:r>
      <w:r>
        <w:tab/>
        <w:t xml:space="preserve">On initial application of IFRS 16, the Commission will recognise right of use assets and lease liabilities, based on the present value of future cash flows for the lease over </w:t>
      </w:r>
      <w:r w:rsidR="00AC33B8">
        <w:t>the applicable lease term determined in accordance with the new Standard.  The Commission expect to recognise the following opening balance in 2022-23</w:t>
      </w:r>
      <w:r w:rsidR="00024DBF">
        <w:t>:</w:t>
      </w:r>
    </w:p>
    <w:p w14:paraId="0C08CD9C" w14:textId="6A07FB7F" w:rsidR="00024DBF" w:rsidRDefault="00024DBF" w:rsidP="00782F24">
      <w:pPr>
        <w:tabs>
          <w:tab w:val="left" w:pos="567"/>
        </w:tabs>
        <w:ind w:left="1440" w:hanging="1440"/>
      </w:pPr>
    </w:p>
    <w:p w14:paraId="4F482CC6" w14:textId="151CA5AF" w:rsidR="00024DBF" w:rsidRDefault="00024DBF" w:rsidP="00782F24">
      <w:pPr>
        <w:tabs>
          <w:tab w:val="left" w:pos="567"/>
        </w:tabs>
        <w:ind w:left="1440" w:hanging="1440"/>
      </w:pPr>
      <w:r>
        <w:tab/>
      </w:r>
      <w:r>
        <w:tab/>
      </w:r>
      <w:r w:rsidR="00C56484">
        <w:t>Statement of Financial Position</w:t>
      </w:r>
      <w:r>
        <w:tab/>
      </w:r>
    </w:p>
    <w:p w14:paraId="36CE6015" w14:textId="6E29E4AD" w:rsidR="00024DBF" w:rsidRDefault="00024DBF" w:rsidP="00782F24">
      <w:pPr>
        <w:tabs>
          <w:tab w:val="left" w:pos="567"/>
        </w:tabs>
        <w:ind w:left="1440" w:hanging="1440"/>
      </w:pPr>
      <w:r>
        <w:tab/>
      </w:r>
      <w:r>
        <w:tab/>
      </w:r>
      <w:r w:rsidR="00C56484">
        <w:t>Right of Use</w:t>
      </w:r>
      <w:r>
        <w:tab/>
      </w:r>
      <w:r w:rsidR="00326824">
        <w:tab/>
      </w:r>
      <w:r w:rsidR="00326824">
        <w:tab/>
      </w:r>
      <w:r w:rsidR="003572E7">
        <w:t xml:space="preserve">      </w:t>
      </w:r>
      <w:r w:rsidR="008462AB">
        <w:tab/>
      </w:r>
      <w:r w:rsidR="003572E7">
        <w:t xml:space="preserve"> </w:t>
      </w:r>
      <w:r w:rsidR="00A57AEB">
        <w:tab/>
      </w:r>
      <w:r>
        <w:t>£</w:t>
      </w:r>
      <w:r w:rsidR="003572E7">
        <w:t>606,885</w:t>
      </w:r>
    </w:p>
    <w:p w14:paraId="44809BC5" w14:textId="42EBCC37" w:rsidR="008462AB" w:rsidRDefault="008462AB" w:rsidP="00782F24">
      <w:pPr>
        <w:tabs>
          <w:tab w:val="left" w:pos="567"/>
        </w:tabs>
        <w:ind w:left="1440" w:hanging="1440"/>
      </w:pPr>
      <w:r>
        <w:tab/>
      </w:r>
      <w:r>
        <w:tab/>
        <w:t>Lease Liability</w:t>
      </w:r>
      <w:r>
        <w:tab/>
      </w:r>
      <w:r>
        <w:tab/>
      </w:r>
      <w:r>
        <w:tab/>
      </w:r>
      <w:r>
        <w:tab/>
      </w:r>
      <w:r w:rsidR="00A57AEB">
        <w:t xml:space="preserve">       </w:t>
      </w:r>
      <w:r>
        <w:t>(£606,885)</w:t>
      </w:r>
    </w:p>
    <w:p w14:paraId="0580B0FD" w14:textId="1C35AF76" w:rsidR="00024DBF" w:rsidRDefault="00024DBF" w:rsidP="00782F24">
      <w:pPr>
        <w:tabs>
          <w:tab w:val="left" w:pos="567"/>
        </w:tabs>
        <w:ind w:left="1440" w:hanging="1440"/>
      </w:pPr>
    </w:p>
    <w:p w14:paraId="33372FA0" w14:textId="77777777" w:rsidR="00197746" w:rsidRDefault="00024DBF" w:rsidP="00782F24">
      <w:pPr>
        <w:tabs>
          <w:tab w:val="left" w:pos="567"/>
        </w:tabs>
        <w:ind w:left="1440" w:hanging="1440"/>
      </w:pPr>
      <w:r>
        <w:tab/>
      </w:r>
      <w:r>
        <w:tab/>
      </w:r>
      <w:r w:rsidR="00197746">
        <w:t>Statement of Comprehensive Net Expenditure</w:t>
      </w:r>
    </w:p>
    <w:p w14:paraId="529914E3" w14:textId="6C82C6C6" w:rsidR="00024DBF" w:rsidRDefault="00197746" w:rsidP="00782F24">
      <w:pPr>
        <w:tabs>
          <w:tab w:val="left" w:pos="567"/>
        </w:tabs>
        <w:ind w:left="1440" w:hanging="1440"/>
      </w:pPr>
      <w:r>
        <w:tab/>
      </w:r>
      <w:r>
        <w:tab/>
      </w:r>
      <w:r w:rsidR="00326824">
        <w:t>Depreciation expected 2022-23</w:t>
      </w:r>
      <w:r w:rsidR="00326824">
        <w:tab/>
      </w:r>
      <w:r>
        <w:t xml:space="preserve">  </w:t>
      </w:r>
      <w:r w:rsidR="00A57AEB">
        <w:tab/>
      </w:r>
      <w:r>
        <w:t xml:space="preserve"> </w:t>
      </w:r>
      <w:r w:rsidR="00326824">
        <w:t>£</w:t>
      </w:r>
      <w:r>
        <w:t>72,819</w:t>
      </w:r>
    </w:p>
    <w:p w14:paraId="35566BDF" w14:textId="02FBA5C4" w:rsidR="00326824" w:rsidRDefault="00326824" w:rsidP="00782F24">
      <w:pPr>
        <w:tabs>
          <w:tab w:val="left" w:pos="567"/>
        </w:tabs>
        <w:ind w:left="1440" w:hanging="1440"/>
      </w:pPr>
      <w:r>
        <w:tab/>
      </w:r>
      <w:r>
        <w:tab/>
        <w:t>Interest expected 2022-23</w:t>
      </w:r>
      <w:r>
        <w:tab/>
      </w:r>
      <w:r>
        <w:tab/>
      </w:r>
      <w:r w:rsidR="00197746">
        <w:t xml:space="preserve">   </w:t>
      </w:r>
      <w:r w:rsidR="00A57AEB">
        <w:tab/>
      </w:r>
      <w:r w:rsidR="004E20B2">
        <w:t xml:space="preserve"> </w:t>
      </w:r>
      <w:r w:rsidR="00197746">
        <w:t>£  6,</w:t>
      </w:r>
      <w:r w:rsidR="009E7B03">
        <w:t>683</w:t>
      </w:r>
    </w:p>
    <w:p w14:paraId="0F08DEB4" w14:textId="57A7443A" w:rsidR="00406CF9" w:rsidRDefault="00406CF9" w:rsidP="00782F24">
      <w:pPr>
        <w:tabs>
          <w:tab w:val="left" w:pos="567"/>
        </w:tabs>
        <w:ind w:left="1440" w:hanging="1440"/>
      </w:pPr>
      <w:r>
        <w:tab/>
      </w:r>
      <w:r>
        <w:tab/>
        <w:t>IAS17 basis rental payment</w:t>
      </w:r>
      <w:r w:rsidR="00FC4FC4">
        <w:t>s</w:t>
      </w:r>
    </w:p>
    <w:p w14:paraId="0725E529" w14:textId="462369CB" w:rsidR="00406CF9" w:rsidRDefault="00406CF9" w:rsidP="00782F24">
      <w:pPr>
        <w:tabs>
          <w:tab w:val="left" w:pos="567"/>
        </w:tabs>
        <w:ind w:left="1440" w:hanging="1440"/>
      </w:pPr>
      <w:r>
        <w:tab/>
      </w:r>
      <w:r>
        <w:tab/>
      </w:r>
      <w:r w:rsidR="00FC4FC4">
        <w:t>e</w:t>
      </w:r>
      <w:r>
        <w:t>xpected</w:t>
      </w:r>
      <w:r>
        <w:tab/>
      </w:r>
      <w:r>
        <w:tab/>
      </w:r>
      <w:r>
        <w:tab/>
      </w:r>
      <w:r>
        <w:tab/>
      </w:r>
      <w:r>
        <w:tab/>
      </w:r>
      <w:r w:rsidR="00FC4FC4">
        <w:t xml:space="preserve">  </w:t>
      </w:r>
      <w:r w:rsidR="00A57AEB">
        <w:t xml:space="preserve">      </w:t>
      </w:r>
      <w:r w:rsidR="00FC4FC4">
        <w:t>(£80,638</w:t>
      </w:r>
      <w:r w:rsidR="000A3201">
        <w:t>)</w:t>
      </w:r>
    </w:p>
    <w:p w14:paraId="471BD4FC" w14:textId="766A5B53" w:rsidR="00406CF9" w:rsidRDefault="00406CF9" w:rsidP="00782F24">
      <w:pPr>
        <w:tabs>
          <w:tab w:val="left" w:pos="567"/>
        </w:tabs>
        <w:ind w:left="1440" w:hanging="1440"/>
      </w:pPr>
    </w:p>
    <w:p w14:paraId="693E80C7" w14:textId="314E8A33" w:rsidR="00406CF9" w:rsidRDefault="00406CF9" w:rsidP="00782F24">
      <w:pPr>
        <w:tabs>
          <w:tab w:val="left" w:pos="567"/>
        </w:tabs>
        <w:ind w:left="1440" w:hanging="1440"/>
      </w:pPr>
      <w:r>
        <w:tab/>
      </w:r>
      <w:r>
        <w:tab/>
        <w:t>Increase/(Decrease) Expenditure</w:t>
      </w:r>
      <w:r>
        <w:tab/>
      </w:r>
      <w:r w:rsidR="00E011F1">
        <w:t xml:space="preserve">  </w:t>
      </w:r>
      <w:r w:rsidR="004E20B2">
        <w:t xml:space="preserve">      </w:t>
      </w:r>
      <w:r w:rsidR="00E011F1">
        <w:t>(£  1,13</w:t>
      </w:r>
      <w:r w:rsidR="00647C81">
        <w:t>6</w:t>
      </w:r>
      <w:r w:rsidR="00E011F1">
        <w:t>)</w:t>
      </w:r>
    </w:p>
    <w:p w14:paraId="34F097B1" w14:textId="77777777" w:rsidR="0090316F" w:rsidRDefault="0090316F" w:rsidP="00782F24">
      <w:pPr>
        <w:tabs>
          <w:tab w:val="left" w:pos="567"/>
        </w:tabs>
        <w:ind w:left="1440" w:hanging="1440"/>
      </w:pPr>
    </w:p>
    <w:p w14:paraId="0CF8372C" w14:textId="2CF80C2B" w:rsidR="002D6006" w:rsidRPr="003B42D9" w:rsidRDefault="002D6006" w:rsidP="00782F24">
      <w:pPr>
        <w:tabs>
          <w:tab w:val="left" w:pos="567"/>
        </w:tabs>
        <w:ind w:left="1440" w:hanging="1440"/>
      </w:pPr>
      <w:r>
        <w:tab/>
      </w:r>
      <w:r>
        <w:tab/>
        <w:t>IFRS 17 – Insurance contracts</w:t>
      </w:r>
      <w:r w:rsidR="00BF268E">
        <w:t xml:space="preserve"> supersedes IFRS 4 Insurance contracts and related interpretations.  This new standard was due to be applied from 1 January 202</w:t>
      </w:r>
      <w:r w:rsidR="00DD765C">
        <w:t>3 but the IASB has deferred the effective date until 1 April 2025</w:t>
      </w:r>
      <w:r w:rsidR="00BF268E">
        <w:t xml:space="preserve">.  </w:t>
      </w:r>
    </w:p>
    <w:p w14:paraId="29694C9B" w14:textId="77777777" w:rsidR="000C2A54" w:rsidRPr="003B42D9" w:rsidRDefault="000C2A54" w:rsidP="000C2A54">
      <w:pPr>
        <w:tabs>
          <w:tab w:val="left" w:pos="567"/>
        </w:tabs>
        <w:jc w:val="both"/>
        <w:rPr>
          <w:rFonts w:ascii="Arial" w:hAnsi="Arial" w:cs="Arial"/>
        </w:rPr>
      </w:pPr>
    </w:p>
    <w:p w14:paraId="47ACA3EF" w14:textId="77777777" w:rsidR="000C2A54" w:rsidRPr="003B42D9" w:rsidRDefault="000C2A54" w:rsidP="000C2A54">
      <w:pPr>
        <w:widowControl w:val="0"/>
        <w:autoSpaceDE w:val="0"/>
        <w:autoSpaceDN w:val="0"/>
        <w:adjustRightInd w:val="0"/>
        <w:ind w:left="1418" w:hanging="851"/>
        <w:rPr>
          <w:b/>
        </w:rPr>
      </w:pPr>
      <w:r w:rsidRPr="003B42D9">
        <w:rPr>
          <w:b/>
        </w:rPr>
        <w:t>1.5</w:t>
      </w:r>
      <w:r w:rsidRPr="003B42D9">
        <w:rPr>
          <w:b/>
        </w:rPr>
        <w:tab/>
        <w:t>Income</w:t>
      </w:r>
    </w:p>
    <w:p w14:paraId="4519E88F" w14:textId="77777777" w:rsidR="000C2A54" w:rsidRPr="003B42D9" w:rsidRDefault="000C2A54" w:rsidP="000C2A54">
      <w:pPr>
        <w:tabs>
          <w:tab w:val="left" w:pos="3372"/>
        </w:tabs>
        <w:rPr>
          <w:lang w:val="en-IE"/>
        </w:rPr>
      </w:pPr>
    </w:p>
    <w:p w14:paraId="0DFB7C89" w14:textId="77777777" w:rsidR="00624C8B" w:rsidRDefault="00624C8B" w:rsidP="000C2A54">
      <w:pPr>
        <w:widowControl w:val="0"/>
        <w:autoSpaceDE w:val="0"/>
        <w:autoSpaceDN w:val="0"/>
        <w:adjustRightInd w:val="0"/>
        <w:ind w:left="1440" w:hanging="22"/>
      </w:pPr>
      <w:r>
        <w:t xml:space="preserve">At </w:t>
      </w:r>
      <w:r w:rsidR="00176472">
        <w:t>times,</w:t>
      </w:r>
      <w:r>
        <w:t xml:space="preserve"> the Commission receives income from sources other than the NIO, for specific projects.  The Commission will seek to recover any associated costs for the project in line with the contract.</w:t>
      </w:r>
    </w:p>
    <w:p w14:paraId="03E54B4C" w14:textId="77777777" w:rsidR="006952B5" w:rsidRDefault="006952B5" w:rsidP="0029565E">
      <w:pPr>
        <w:tabs>
          <w:tab w:val="left" w:pos="567"/>
        </w:tabs>
      </w:pPr>
    </w:p>
    <w:p w14:paraId="0E864694" w14:textId="77777777" w:rsidR="006952B5" w:rsidRDefault="006952B5" w:rsidP="006952B5">
      <w:pPr>
        <w:widowControl w:val="0"/>
        <w:autoSpaceDE w:val="0"/>
        <w:autoSpaceDN w:val="0"/>
        <w:adjustRightInd w:val="0"/>
        <w:ind w:left="1440" w:hanging="22"/>
      </w:pPr>
      <w:r>
        <w:tab/>
        <w:t xml:space="preserve">In line with its accounting policy, the Commission </w:t>
      </w:r>
      <w:r w:rsidR="0091473F">
        <w:t>applies</w:t>
      </w:r>
      <w:r>
        <w:t xml:space="preserve"> the requirements of IFRS 15 to income earned from other sources.</w:t>
      </w:r>
      <w:r w:rsidR="0091473F">
        <w:t xml:space="preserve">  The Commission received no income from oth</w:t>
      </w:r>
      <w:r w:rsidR="0029565E">
        <w:t>er sources during the year 20</w:t>
      </w:r>
      <w:r w:rsidR="0091473F">
        <w:t>21</w:t>
      </w:r>
      <w:r w:rsidR="0029565E">
        <w:t>-22 (2020-21 £nil)</w:t>
      </w:r>
      <w:r w:rsidR="0091473F">
        <w:t xml:space="preserve">.  </w:t>
      </w:r>
    </w:p>
    <w:p w14:paraId="504E566F" w14:textId="77777777" w:rsidR="000C2A54" w:rsidRDefault="00624C8B" w:rsidP="001B791D">
      <w:pPr>
        <w:tabs>
          <w:tab w:val="left" w:pos="567"/>
        </w:tabs>
        <w:ind w:left="1440" w:hanging="1440"/>
      </w:pPr>
      <w:r>
        <w:tab/>
      </w:r>
      <w:r>
        <w:tab/>
      </w:r>
    </w:p>
    <w:p w14:paraId="6856C2C7" w14:textId="77777777" w:rsidR="000C2A54" w:rsidRPr="003B42D9" w:rsidRDefault="000C2A54" w:rsidP="000C2A54">
      <w:pPr>
        <w:widowControl w:val="0"/>
        <w:autoSpaceDE w:val="0"/>
        <w:autoSpaceDN w:val="0"/>
        <w:adjustRightInd w:val="0"/>
        <w:ind w:left="567"/>
        <w:rPr>
          <w:b/>
        </w:rPr>
      </w:pPr>
      <w:r w:rsidRPr="003B42D9">
        <w:rPr>
          <w:b/>
        </w:rPr>
        <w:t>1.6</w:t>
      </w:r>
      <w:r w:rsidRPr="003B42D9">
        <w:rPr>
          <w:b/>
        </w:rPr>
        <w:tab/>
        <w:t>Grant-in-aid</w:t>
      </w:r>
    </w:p>
    <w:p w14:paraId="637B400E" w14:textId="77777777" w:rsidR="000C2A54" w:rsidRPr="003B42D9" w:rsidRDefault="000C2A54" w:rsidP="000C2A54">
      <w:pPr>
        <w:widowControl w:val="0"/>
        <w:autoSpaceDE w:val="0"/>
        <w:autoSpaceDN w:val="0"/>
        <w:adjustRightInd w:val="0"/>
        <w:ind w:firstLine="567"/>
        <w:rPr>
          <w:b/>
        </w:rPr>
      </w:pPr>
    </w:p>
    <w:p w14:paraId="60B9D1AC" w14:textId="42F78BE3" w:rsidR="004E20B2" w:rsidRDefault="000C2A54" w:rsidP="004E20B2">
      <w:pPr>
        <w:widowControl w:val="0"/>
        <w:autoSpaceDE w:val="0"/>
        <w:autoSpaceDN w:val="0"/>
        <w:adjustRightInd w:val="0"/>
        <w:ind w:left="1440" w:hanging="873"/>
      </w:pPr>
      <w:r w:rsidRPr="003B42D9">
        <w:rPr>
          <w:b/>
        </w:rPr>
        <w:tab/>
      </w:r>
      <w:r w:rsidRPr="003B42D9">
        <w:t xml:space="preserve">Grant in aid is credited directly to the General Reserve as it is regarded as contributions from a controlling </w:t>
      </w:r>
      <w:r w:rsidR="00176472" w:rsidRPr="003B42D9">
        <w:t>party, which</w:t>
      </w:r>
      <w:r w:rsidRPr="003B42D9">
        <w:t xml:space="preserve"> gives rise to a financial interest in the residual interest in the Commission.</w:t>
      </w:r>
    </w:p>
    <w:p w14:paraId="3C87DA10" w14:textId="77777777" w:rsidR="004E20B2" w:rsidRDefault="004E20B2" w:rsidP="004E20B2">
      <w:pPr>
        <w:widowControl w:val="0"/>
        <w:autoSpaceDE w:val="0"/>
        <w:autoSpaceDN w:val="0"/>
        <w:adjustRightInd w:val="0"/>
        <w:ind w:left="1440" w:hanging="873"/>
      </w:pPr>
    </w:p>
    <w:p w14:paraId="5ED93420" w14:textId="77777777" w:rsidR="000C2A54" w:rsidRPr="003B42D9" w:rsidRDefault="000C2A54" w:rsidP="004E20B2">
      <w:pPr>
        <w:widowControl w:val="0"/>
        <w:autoSpaceDE w:val="0"/>
        <w:autoSpaceDN w:val="0"/>
        <w:adjustRightInd w:val="0"/>
        <w:ind w:left="1440" w:hanging="873"/>
        <w:rPr>
          <w:b/>
        </w:rPr>
      </w:pPr>
      <w:r w:rsidRPr="003B42D9">
        <w:rPr>
          <w:b/>
        </w:rPr>
        <w:t>1.7</w:t>
      </w:r>
      <w:r w:rsidRPr="003B42D9">
        <w:rPr>
          <w:b/>
        </w:rPr>
        <w:tab/>
        <w:t>Property, plant and equipment and depreciation</w:t>
      </w:r>
    </w:p>
    <w:p w14:paraId="4DB1A82F" w14:textId="77777777" w:rsidR="000C2A54" w:rsidRPr="003B42D9" w:rsidRDefault="000C2A54" w:rsidP="000C2A54">
      <w:pPr>
        <w:tabs>
          <w:tab w:val="left" w:pos="567"/>
        </w:tabs>
        <w:autoSpaceDE w:val="0"/>
        <w:autoSpaceDN w:val="0"/>
        <w:adjustRightInd w:val="0"/>
        <w:ind w:left="567"/>
      </w:pPr>
    </w:p>
    <w:p w14:paraId="338DF6E1" w14:textId="77777777" w:rsidR="000C2A54" w:rsidRPr="003B42D9" w:rsidRDefault="000C2A54" w:rsidP="000C2A54">
      <w:pPr>
        <w:tabs>
          <w:tab w:val="left" w:pos="709"/>
        </w:tabs>
        <w:autoSpaceDE w:val="0"/>
        <w:autoSpaceDN w:val="0"/>
        <w:adjustRightInd w:val="0"/>
        <w:ind w:left="1418"/>
      </w:pPr>
      <w:r w:rsidRPr="003B42D9">
        <w:t xml:space="preserve">Property plant and equipment comprises leasehold improvements to </w:t>
      </w:r>
      <w:r w:rsidR="007B2D55">
        <w:t>Alfred Street</w:t>
      </w:r>
      <w:r w:rsidRPr="003B42D9">
        <w:t>, fixtures and fittings and information technology equipment at fair value.</w:t>
      </w:r>
    </w:p>
    <w:p w14:paraId="6844ED7A" w14:textId="77777777" w:rsidR="000C2A54" w:rsidRPr="003B42D9" w:rsidRDefault="000C2A54" w:rsidP="000C2A54">
      <w:pPr>
        <w:tabs>
          <w:tab w:val="left" w:pos="709"/>
        </w:tabs>
        <w:autoSpaceDE w:val="0"/>
        <w:autoSpaceDN w:val="0"/>
        <w:adjustRightInd w:val="0"/>
        <w:ind w:left="1418"/>
      </w:pPr>
    </w:p>
    <w:p w14:paraId="3757560F" w14:textId="77777777" w:rsidR="000C2A54" w:rsidRPr="003B42D9" w:rsidRDefault="000C2A54" w:rsidP="000C2A54">
      <w:pPr>
        <w:tabs>
          <w:tab w:val="left" w:pos="709"/>
        </w:tabs>
        <w:autoSpaceDE w:val="0"/>
        <w:autoSpaceDN w:val="0"/>
        <w:adjustRightInd w:val="0"/>
        <w:ind w:left="1418"/>
      </w:pPr>
      <w:r w:rsidRPr="003B42D9">
        <w:t xml:space="preserve">Items of property, plant and equipment are capitalised if they are intended for use on a continuous basis and their individual original purchase cost is £1,000 or more.  Items with an individual cost of less than £1,000 but, when taken together, represent a significant investment will be grouped.  </w:t>
      </w:r>
    </w:p>
    <w:p w14:paraId="2C8D5724" w14:textId="77777777" w:rsidR="000C2A54" w:rsidRPr="003B42D9" w:rsidRDefault="000C2A54" w:rsidP="000C2A54">
      <w:pPr>
        <w:tabs>
          <w:tab w:val="left" w:pos="709"/>
        </w:tabs>
        <w:autoSpaceDE w:val="0"/>
        <w:autoSpaceDN w:val="0"/>
        <w:adjustRightInd w:val="0"/>
        <w:ind w:left="1560"/>
      </w:pPr>
    </w:p>
    <w:p w14:paraId="4554C3D0" w14:textId="7ABAEEC1" w:rsidR="000C2A54" w:rsidRPr="003B42D9" w:rsidRDefault="000C2A54" w:rsidP="000C2A54">
      <w:pPr>
        <w:tabs>
          <w:tab w:val="left" w:pos="709"/>
        </w:tabs>
        <w:autoSpaceDE w:val="0"/>
        <w:autoSpaceDN w:val="0"/>
        <w:adjustRightInd w:val="0"/>
        <w:ind w:left="1418"/>
      </w:pPr>
      <w:r w:rsidRPr="003B42D9">
        <w:t xml:space="preserve">Leasehold improvement expenditure has been capitalised and is restated at current </w:t>
      </w:r>
      <w:r w:rsidR="00660836">
        <w:t>value</w:t>
      </w:r>
      <w:r w:rsidR="00660836" w:rsidRPr="003B42D9">
        <w:t xml:space="preserve"> </w:t>
      </w:r>
      <w:r w:rsidRPr="003B42D9">
        <w:t>using professional valuations.  Valuations are carried out annually using indices compiled by the Office for National Statistics, and normally every third year by professional external valuers employed by the Land and Property Services (Valuations) in accordance with the Appraisal and Valuation Manual prepared and published by the Royal Institution of Chartered Surveyors, as at 31 March</w:t>
      </w:r>
      <w:r w:rsidR="008D53CC">
        <w:t xml:space="preserve"> 2022</w:t>
      </w:r>
      <w:r w:rsidRPr="003B42D9">
        <w:t xml:space="preserve">.  </w:t>
      </w:r>
      <w:r>
        <w:t>T</w:t>
      </w:r>
      <w:r w:rsidRPr="003B42D9">
        <w:t xml:space="preserve">he current lease was negotiated </w:t>
      </w:r>
      <w:r>
        <w:t xml:space="preserve">in </w:t>
      </w:r>
      <w:r w:rsidR="0091473F">
        <w:t>March 2020</w:t>
      </w:r>
      <w:r>
        <w:t xml:space="preserve"> and </w:t>
      </w:r>
      <w:r w:rsidR="0091473F">
        <w:t>i</w:t>
      </w:r>
      <w:r w:rsidR="00E82515">
        <w:t>s</w:t>
      </w:r>
      <w:r>
        <w:t xml:space="preserve"> </w:t>
      </w:r>
      <w:r w:rsidRPr="003B42D9">
        <w:t xml:space="preserve">for a period of </w:t>
      </w:r>
      <w:r w:rsidR="0091473F">
        <w:t>ten</w:t>
      </w:r>
      <w:r w:rsidRPr="003B42D9">
        <w:t xml:space="preserve"> years</w:t>
      </w:r>
      <w:r>
        <w:t xml:space="preserve"> </w:t>
      </w:r>
      <w:r w:rsidR="00C6005E">
        <w:t xml:space="preserve">until </w:t>
      </w:r>
      <w:r w:rsidR="0091473F">
        <w:t>18 March 2030 with a break clause after five years</w:t>
      </w:r>
      <w:r>
        <w:t>.</w:t>
      </w:r>
      <w:r w:rsidRPr="003B42D9">
        <w:t xml:space="preserve">  </w:t>
      </w:r>
    </w:p>
    <w:p w14:paraId="5FE8E431" w14:textId="77777777" w:rsidR="000C2A54" w:rsidRPr="003B42D9" w:rsidRDefault="000C2A54" w:rsidP="000C2A54">
      <w:pPr>
        <w:tabs>
          <w:tab w:val="left" w:pos="709"/>
        </w:tabs>
        <w:autoSpaceDE w:val="0"/>
        <w:autoSpaceDN w:val="0"/>
        <w:adjustRightInd w:val="0"/>
        <w:ind w:left="1560"/>
      </w:pPr>
    </w:p>
    <w:p w14:paraId="04871FA5" w14:textId="77777777" w:rsidR="000C2A54" w:rsidRPr="003B42D9" w:rsidRDefault="000C2A54" w:rsidP="000C2A54">
      <w:pPr>
        <w:tabs>
          <w:tab w:val="left" w:pos="709"/>
        </w:tabs>
        <w:autoSpaceDE w:val="0"/>
        <w:autoSpaceDN w:val="0"/>
        <w:adjustRightInd w:val="0"/>
        <w:ind w:left="1418"/>
      </w:pPr>
      <w:r w:rsidRPr="003B42D9">
        <w:t>Any surplus/loss on revaluation is treated as follows:</w:t>
      </w:r>
    </w:p>
    <w:p w14:paraId="4ED5A960" w14:textId="77777777" w:rsidR="000C2A54" w:rsidRPr="003B42D9" w:rsidRDefault="000C2A54" w:rsidP="000C2A54">
      <w:pPr>
        <w:tabs>
          <w:tab w:val="left" w:pos="709"/>
        </w:tabs>
        <w:autoSpaceDE w:val="0"/>
        <w:autoSpaceDN w:val="0"/>
        <w:adjustRightInd w:val="0"/>
        <w:ind w:left="1560"/>
      </w:pPr>
    </w:p>
    <w:p w14:paraId="75CF96B2" w14:textId="77777777" w:rsidR="000C2A54" w:rsidRPr="003B42D9" w:rsidRDefault="000C2A54" w:rsidP="00310B25">
      <w:pPr>
        <w:pStyle w:val="ListParagraph"/>
        <w:numPr>
          <w:ilvl w:val="0"/>
          <w:numId w:val="7"/>
        </w:numPr>
        <w:autoSpaceDE w:val="0"/>
        <w:autoSpaceDN w:val="0"/>
        <w:adjustRightInd w:val="0"/>
        <w:ind w:left="1701" w:hanging="283"/>
      </w:pPr>
      <w:r w:rsidRPr="003B42D9">
        <w:t xml:space="preserve">Unrealised surplus arising from revaluation of property, plant and equipment is credited to the Revaluation Reserve unless it reverses a revaluation decrease of the same asset previously charged to the </w:t>
      </w:r>
      <w:r w:rsidRPr="003B42D9">
        <w:rPr>
          <w:rFonts w:cs="Arial"/>
        </w:rPr>
        <w:t>Statement of Comprehensive Net Expenditure</w:t>
      </w:r>
      <w:r w:rsidRPr="003B42D9">
        <w:t>;</w:t>
      </w:r>
    </w:p>
    <w:p w14:paraId="37D52E2A" w14:textId="77777777" w:rsidR="000C2A54" w:rsidRPr="003B42D9" w:rsidRDefault="000C2A54" w:rsidP="000C2A54">
      <w:pPr>
        <w:autoSpaceDE w:val="0"/>
        <w:autoSpaceDN w:val="0"/>
        <w:adjustRightInd w:val="0"/>
        <w:ind w:left="1701" w:hanging="283"/>
      </w:pPr>
    </w:p>
    <w:p w14:paraId="0858D2B5" w14:textId="767E1A4B" w:rsidR="000C2A54" w:rsidRDefault="000C2A54" w:rsidP="00310B25">
      <w:pPr>
        <w:pStyle w:val="ListParagraph"/>
        <w:numPr>
          <w:ilvl w:val="0"/>
          <w:numId w:val="7"/>
        </w:numPr>
        <w:autoSpaceDE w:val="0"/>
        <w:autoSpaceDN w:val="0"/>
        <w:adjustRightInd w:val="0"/>
        <w:ind w:left="1701" w:hanging="283"/>
      </w:pPr>
      <w:r w:rsidRPr="003B42D9">
        <w:t xml:space="preserve">Losses arising from the revaluation of property, plant and equipment are debited to the Revaluation Reserve to the extent that gains were recorded previously, and otherwise to the </w:t>
      </w:r>
      <w:r w:rsidRPr="003B42D9">
        <w:rPr>
          <w:rFonts w:cs="Arial"/>
        </w:rPr>
        <w:t>Statement of Comprehensive Net Expenditure</w:t>
      </w:r>
      <w:r w:rsidRPr="003B42D9">
        <w:t>.</w:t>
      </w:r>
    </w:p>
    <w:p w14:paraId="13A78688" w14:textId="77777777" w:rsidR="00975D2D" w:rsidRDefault="00975D2D" w:rsidP="00975D2D">
      <w:pPr>
        <w:pStyle w:val="ListParagraph"/>
      </w:pPr>
    </w:p>
    <w:p w14:paraId="3ABD461D" w14:textId="77777777" w:rsidR="00975D2D" w:rsidRPr="003B42D9" w:rsidRDefault="00975D2D" w:rsidP="00975D2D">
      <w:pPr>
        <w:autoSpaceDE w:val="0"/>
        <w:autoSpaceDN w:val="0"/>
        <w:adjustRightInd w:val="0"/>
        <w:ind w:left="1418"/>
      </w:pPr>
      <w:r w:rsidRPr="003B42D9">
        <w:t>All property, plant and equipment are reviewed annually as part of an inventory check against the Commission’s asset register.</w:t>
      </w:r>
    </w:p>
    <w:p w14:paraId="0A37AC37" w14:textId="77777777" w:rsidR="00975D2D" w:rsidRPr="003B42D9" w:rsidRDefault="00975D2D" w:rsidP="00975D2D">
      <w:pPr>
        <w:autoSpaceDE w:val="0"/>
        <w:autoSpaceDN w:val="0"/>
        <w:adjustRightInd w:val="0"/>
        <w:ind w:left="1418"/>
      </w:pPr>
    </w:p>
    <w:p w14:paraId="14D6801E" w14:textId="77777777" w:rsidR="00975D2D" w:rsidRPr="003B42D9" w:rsidRDefault="00975D2D" w:rsidP="00975D2D">
      <w:pPr>
        <w:autoSpaceDE w:val="0"/>
        <w:autoSpaceDN w:val="0"/>
        <w:adjustRightInd w:val="0"/>
        <w:ind w:left="1418"/>
      </w:pPr>
      <w:r w:rsidRPr="003B42D9">
        <w:t>All other property, plant and equipment is valued on the basis of historical cost less depreciation as an approximation of fair value due to short life or low value of the individual assets.</w:t>
      </w:r>
    </w:p>
    <w:p w14:paraId="03FDB2FA" w14:textId="77777777" w:rsidR="00975D2D" w:rsidRPr="003B42D9" w:rsidRDefault="00975D2D" w:rsidP="00975D2D">
      <w:pPr>
        <w:autoSpaceDE w:val="0"/>
        <w:autoSpaceDN w:val="0"/>
        <w:adjustRightInd w:val="0"/>
        <w:ind w:left="1418"/>
      </w:pPr>
    </w:p>
    <w:p w14:paraId="36C7DD83" w14:textId="77777777" w:rsidR="00975D2D" w:rsidRPr="003B42D9" w:rsidRDefault="00975D2D" w:rsidP="00975D2D">
      <w:pPr>
        <w:autoSpaceDE w:val="0"/>
        <w:autoSpaceDN w:val="0"/>
        <w:adjustRightInd w:val="0"/>
        <w:ind w:left="1418"/>
      </w:pPr>
      <w:r w:rsidRPr="003B42D9">
        <w:t>Depreciation is provided on a straight-line basis at rates calculated to write</w:t>
      </w:r>
      <w:r w:rsidRPr="003B42D9">
        <w:rPr>
          <w:rFonts w:cs="Arial"/>
        </w:rPr>
        <w:t>-</w:t>
      </w:r>
      <w:r w:rsidRPr="003B42D9">
        <w:t>off the cost less estimated residual value of each asset over its expected useful life.  The estimated useful lives for depreciation purposes are:</w:t>
      </w:r>
    </w:p>
    <w:p w14:paraId="2C89C960" w14:textId="77777777" w:rsidR="00975D2D" w:rsidRPr="003B42D9" w:rsidRDefault="00975D2D" w:rsidP="00975D2D">
      <w:pPr>
        <w:widowControl w:val="0"/>
        <w:tabs>
          <w:tab w:val="left" w:pos="5670"/>
        </w:tabs>
        <w:autoSpaceDE w:val="0"/>
        <w:autoSpaceDN w:val="0"/>
        <w:adjustRightInd w:val="0"/>
        <w:ind w:firstLine="720"/>
      </w:pPr>
    </w:p>
    <w:p w14:paraId="3CFF3919" w14:textId="77777777" w:rsidR="00975D2D" w:rsidRPr="003B42D9" w:rsidRDefault="00975D2D" w:rsidP="00975D2D">
      <w:pPr>
        <w:widowControl w:val="0"/>
        <w:tabs>
          <w:tab w:val="left" w:pos="5670"/>
        </w:tabs>
        <w:autoSpaceDE w:val="0"/>
        <w:autoSpaceDN w:val="0"/>
        <w:adjustRightInd w:val="0"/>
        <w:ind w:firstLine="1418"/>
      </w:pPr>
      <w:r w:rsidRPr="003B42D9">
        <w:t>Leasehold improvements:</w:t>
      </w:r>
      <w:r w:rsidRPr="003B42D9">
        <w:tab/>
        <w:t xml:space="preserve">10 years (or the life of the </w:t>
      </w:r>
    </w:p>
    <w:p w14:paraId="263E4A07" w14:textId="77777777" w:rsidR="00975D2D" w:rsidRPr="003B42D9" w:rsidRDefault="00975D2D" w:rsidP="00975D2D">
      <w:pPr>
        <w:widowControl w:val="0"/>
        <w:tabs>
          <w:tab w:val="left" w:pos="5670"/>
        </w:tabs>
        <w:autoSpaceDE w:val="0"/>
        <w:autoSpaceDN w:val="0"/>
        <w:adjustRightInd w:val="0"/>
        <w:ind w:left="1418"/>
      </w:pPr>
      <w:r w:rsidRPr="003B42D9">
        <w:tab/>
        <w:t>lease, whichever is least)</w:t>
      </w:r>
    </w:p>
    <w:p w14:paraId="3EAAAF22" w14:textId="77777777" w:rsidR="00975D2D" w:rsidRPr="003B42D9" w:rsidRDefault="00975D2D" w:rsidP="00975D2D">
      <w:pPr>
        <w:widowControl w:val="0"/>
        <w:tabs>
          <w:tab w:val="left" w:pos="5670"/>
        </w:tabs>
        <w:autoSpaceDE w:val="0"/>
        <w:autoSpaceDN w:val="0"/>
        <w:adjustRightInd w:val="0"/>
        <w:ind w:left="1418"/>
      </w:pPr>
      <w:r w:rsidRPr="003B42D9">
        <w:t>Computer equipment:</w:t>
      </w:r>
      <w:r w:rsidRPr="003B42D9">
        <w:tab/>
        <w:t>3 years</w:t>
      </w:r>
    </w:p>
    <w:p w14:paraId="350D74DB" w14:textId="77777777" w:rsidR="00975D2D" w:rsidRPr="003B42D9" w:rsidRDefault="00975D2D" w:rsidP="00975D2D">
      <w:pPr>
        <w:widowControl w:val="0"/>
        <w:tabs>
          <w:tab w:val="left" w:pos="5670"/>
        </w:tabs>
        <w:autoSpaceDE w:val="0"/>
        <w:autoSpaceDN w:val="0"/>
        <w:adjustRightInd w:val="0"/>
        <w:ind w:left="1418"/>
      </w:pPr>
      <w:r w:rsidRPr="003B42D9">
        <w:t>Fixtures, fittings and equipment:</w:t>
      </w:r>
      <w:r w:rsidRPr="003B42D9">
        <w:tab/>
        <w:t>5 years</w:t>
      </w:r>
    </w:p>
    <w:p w14:paraId="5EC3ABED" w14:textId="77777777" w:rsidR="00975D2D" w:rsidRPr="003B42D9" w:rsidRDefault="00975D2D" w:rsidP="00975D2D">
      <w:pPr>
        <w:autoSpaceDE w:val="0"/>
        <w:autoSpaceDN w:val="0"/>
        <w:adjustRightInd w:val="0"/>
        <w:ind w:left="1418"/>
      </w:pPr>
    </w:p>
    <w:p w14:paraId="77F06225" w14:textId="77777777" w:rsidR="00E5476D" w:rsidRDefault="00E5476D" w:rsidP="005A3BB2">
      <w:pPr>
        <w:autoSpaceDE w:val="0"/>
        <w:autoSpaceDN w:val="0"/>
        <w:adjustRightInd w:val="0"/>
      </w:pPr>
    </w:p>
    <w:p w14:paraId="3A4FEFCB" w14:textId="1426E50F" w:rsidR="00E5476D" w:rsidRPr="00E5476D" w:rsidRDefault="00B07E4A" w:rsidP="00E5476D">
      <w:pPr>
        <w:tabs>
          <w:tab w:val="left" w:pos="709"/>
        </w:tabs>
        <w:autoSpaceDE w:val="0"/>
        <w:autoSpaceDN w:val="0"/>
        <w:adjustRightInd w:val="0"/>
        <w:ind w:left="1440" w:hanging="1440"/>
        <w:rPr>
          <w:b/>
          <w:bCs/>
        </w:rPr>
      </w:pPr>
      <w:r>
        <w:rPr>
          <w:b/>
          <w:bCs/>
        </w:rPr>
        <w:tab/>
      </w:r>
      <w:r w:rsidR="00E5476D">
        <w:rPr>
          <w:b/>
          <w:bCs/>
        </w:rPr>
        <w:t>1.8</w:t>
      </w:r>
      <w:r w:rsidR="00E5476D">
        <w:rPr>
          <w:b/>
          <w:bCs/>
        </w:rPr>
        <w:tab/>
        <w:t>IAS 37 – Provision, Contingent Liabilities and Contingent Assets</w:t>
      </w:r>
      <w:r w:rsidR="00E5476D">
        <w:rPr>
          <w:b/>
          <w:bCs/>
        </w:rPr>
        <w:tab/>
      </w:r>
    </w:p>
    <w:p w14:paraId="4CBB496C" w14:textId="77777777" w:rsidR="005A3BB2" w:rsidRDefault="005A3BB2" w:rsidP="005A3BB2">
      <w:pPr>
        <w:autoSpaceDE w:val="0"/>
        <w:autoSpaceDN w:val="0"/>
        <w:adjustRightInd w:val="0"/>
      </w:pPr>
    </w:p>
    <w:p w14:paraId="3332B4C0" w14:textId="7A03B017" w:rsidR="00800E11" w:rsidRDefault="00E5476D" w:rsidP="000C2A54">
      <w:pPr>
        <w:autoSpaceDE w:val="0"/>
        <w:autoSpaceDN w:val="0"/>
        <w:adjustRightInd w:val="0"/>
        <w:ind w:left="1418"/>
      </w:pPr>
      <w:r>
        <w:t>U</w:t>
      </w:r>
      <w:r w:rsidR="004A2CEE">
        <w:t>nder IAS 37.14</w:t>
      </w:r>
      <w:r w:rsidR="005F2697">
        <w:t>, a provision shall be recognised when:</w:t>
      </w:r>
    </w:p>
    <w:p w14:paraId="3B4CF461" w14:textId="77777777" w:rsidR="005F2697" w:rsidRDefault="005F2697" w:rsidP="000C2A54">
      <w:pPr>
        <w:autoSpaceDE w:val="0"/>
        <w:autoSpaceDN w:val="0"/>
        <w:adjustRightInd w:val="0"/>
        <w:ind w:left="1418"/>
      </w:pPr>
    </w:p>
    <w:p w14:paraId="124803C9" w14:textId="77777777" w:rsidR="005F2697" w:rsidRDefault="005F2697" w:rsidP="00310B25">
      <w:pPr>
        <w:pStyle w:val="ListParagraph"/>
        <w:numPr>
          <w:ilvl w:val="0"/>
          <w:numId w:val="15"/>
        </w:numPr>
        <w:autoSpaceDE w:val="0"/>
        <w:autoSpaceDN w:val="0"/>
        <w:adjustRightInd w:val="0"/>
      </w:pPr>
      <w:r>
        <w:t>“An entity has a present obligation (legal or constructive) as a result of a past event;</w:t>
      </w:r>
    </w:p>
    <w:p w14:paraId="6FC5E1A0" w14:textId="77777777" w:rsidR="005F2697" w:rsidRDefault="005F2697" w:rsidP="00310B25">
      <w:pPr>
        <w:pStyle w:val="ListParagraph"/>
        <w:numPr>
          <w:ilvl w:val="0"/>
          <w:numId w:val="15"/>
        </w:numPr>
        <w:autoSpaceDE w:val="0"/>
        <w:autoSpaceDN w:val="0"/>
        <w:adjustRightInd w:val="0"/>
      </w:pPr>
      <w:r>
        <w:t>It is probably that an outflow of resources embodying economic benefits will be required to settle the obligation; and</w:t>
      </w:r>
    </w:p>
    <w:p w14:paraId="156DAC64" w14:textId="77777777" w:rsidR="005F2697" w:rsidRDefault="005F2697" w:rsidP="00310B25">
      <w:pPr>
        <w:pStyle w:val="ListParagraph"/>
        <w:numPr>
          <w:ilvl w:val="0"/>
          <w:numId w:val="15"/>
        </w:numPr>
        <w:autoSpaceDE w:val="0"/>
        <w:autoSpaceDN w:val="0"/>
        <w:adjustRightInd w:val="0"/>
      </w:pPr>
      <w:r>
        <w:t>A reliable estimate can be made of the amount of the obligation.</w:t>
      </w:r>
      <w:r w:rsidR="00582180">
        <w:t>”</w:t>
      </w:r>
    </w:p>
    <w:p w14:paraId="2B7B3625" w14:textId="77777777" w:rsidR="00582180" w:rsidRDefault="00582180" w:rsidP="00582180">
      <w:pPr>
        <w:autoSpaceDE w:val="0"/>
        <w:autoSpaceDN w:val="0"/>
        <w:adjustRightInd w:val="0"/>
      </w:pPr>
    </w:p>
    <w:p w14:paraId="30D8FDA9" w14:textId="7DE11BDA" w:rsidR="00582180" w:rsidRDefault="00582180" w:rsidP="007C6B78">
      <w:pPr>
        <w:autoSpaceDE w:val="0"/>
        <w:autoSpaceDN w:val="0"/>
        <w:adjustRightInd w:val="0"/>
        <w:ind w:left="1440" w:hanging="720"/>
      </w:pPr>
      <w:r>
        <w:tab/>
      </w:r>
      <w:r w:rsidR="00B97B1A">
        <w:t>As the</w:t>
      </w:r>
      <w:r w:rsidR="007C72AC">
        <w:t xml:space="preserve"> Commission’s lease contains a clause under which</w:t>
      </w:r>
      <w:r w:rsidR="005B3DFB">
        <w:t>,</w:t>
      </w:r>
      <w:r w:rsidR="007C72AC">
        <w:t xml:space="preserve"> </w:t>
      </w:r>
      <w:r w:rsidR="00DB1FF2">
        <w:t>at the expiration of the lease</w:t>
      </w:r>
      <w:r w:rsidR="005B3DFB">
        <w:t xml:space="preserve">, </w:t>
      </w:r>
      <w:r w:rsidR="00C97C03">
        <w:t xml:space="preserve">there is </w:t>
      </w:r>
      <w:r w:rsidR="00827E4A">
        <w:t>an obligation to repair the property</w:t>
      </w:r>
      <w:r w:rsidR="00362EF7">
        <w:t xml:space="preserve"> and return it to the lessor in a specified condition</w:t>
      </w:r>
      <w:r w:rsidR="00B97B1A">
        <w:t xml:space="preserve">, a provision for dilapidation costs </w:t>
      </w:r>
      <w:r w:rsidR="00C97C03">
        <w:t>is recognised in the accounts</w:t>
      </w:r>
      <w:r w:rsidR="00DC73A1">
        <w:t xml:space="preserve">.  </w:t>
      </w:r>
      <w:r w:rsidR="00D65D83">
        <w:t xml:space="preserve"> </w:t>
      </w:r>
    </w:p>
    <w:p w14:paraId="0F881C88" w14:textId="77777777" w:rsidR="007C6B78" w:rsidRDefault="007C6B78" w:rsidP="00582180">
      <w:pPr>
        <w:autoSpaceDE w:val="0"/>
        <w:autoSpaceDN w:val="0"/>
        <w:adjustRightInd w:val="0"/>
        <w:ind w:left="720"/>
      </w:pPr>
    </w:p>
    <w:p w14:paraId="73BB429A" w14:textId="77777777" w:rsidR="007C6B78" w:rsidRDefault="009D020C" w:rsidP="007543BD">
      <w:pPr>
        <w:autoSpaceDE w:val="0"/>
        <w:autoSpaceDN w:val="0"/>
        <w:adjustRightInd w:val="0"/>
        <w:ind w:left="1440" w:hanging="720"/>
      </w:pPr>
      <w:r>
        <w:tab/>
      </w:r>
      <w:r w:rsidR="00E01AB0">
        <w:t xml:space="preserve">The provision for dilapidation costs </w:t>
      </w:r>
      <w:r w:rsidR="00AE3711">
        <w:t>is based on a reliable estimate of the amount that would need to be paid to discharge the obligation</w:t>
      </w:r>
      <w:r w:rsidR="009B55BB">
        <w:t xml:space="preserve"> </w:t>
      </w:r>
      <w:r w:rsidR="00851138">
        <w:t>at the end of the lease</w:t>
      </w:r>
      <w:r w:rsidR="005A5724">
        <w:t>.</w:t>
      </w:r>
      <w:r w:rsidR="00E01AB0">
        <w:t xml:space="preserve"> </w:t>
      </w:r>
    </w:p>
    <w:p w14:paraId="71F70CCC" w14:textId="77777777" w:rsidR="00800E11" w:rsidRDefault="00800E11" w:rsidP="000C2A54">
      <w:pPr>
        <w:autoSpaceDE w:val="0"/>
        <w:autoSpaceDN w:val="0"/>
        <w:adjustRightInd w:val="0"/>
        <w:ind w:left="1418"/>
      </w:pPr>
    </w:p>
    <w:p w14:paraId="2C0DC46E" w14:textId="77777777" w:rsidR="000C2A54" w:rsidRDefault="000C2A54" w:rsidP="000C2A54">
      <w:pPr>
        <w:widowControl w:val="0"/>
        <w:tabs>
          <w:tab w:val="left" w:pos="5670"/>
        </w:tabs>
        <w:autoSpaceDE w:val="0"/>
        <w:autoSpaceDN w:val="0"/>
        <w:adjustRightInd w:val="0"/>
        <w:ind w:left="1418"/>
        <w:rPr>
          <w:sz w:val="22"/>
          <w:szCs w:val="22"/>
        </w:rPr>
      </w:pPr>
    </w:p>
    <w:p w14:paraId="27356A2F" w14:textId="02257D4D" w:rsidR="000C2A54" w:rsidRPr="00F97E5F" w:rsidRDefault="00B07E4A" w:rsidP="000C2A54">
      <w:pPr>
        <w:widowControl w:val="0"/>
        <w:autoSpaceDE w:val="0"/>
        <w:autoSpaceDN w:val="0"/>
        <w:adjustRightInd w:val="0"/>
        <w:ind w:left="1418" w:hanging="851"/>
        <w:rPr>
          <w:rFonts w:cs="Arial"/>
          <w:b/>
          <w:bCs/>
        </w:rPr>
      </w:pPr>
      <w:r>
        <w:rPr>
          <w:rFonts w:cs="Arial"/>
          <w:b/>
          <w:bCs/>
        </w:rPr>
        <w:t>1.9</w:t>
      </w:r>
      <w:r w:rsidR="000C2A54" w:rsidRPr="00F97E5F">
        <w:rPr>
          <w:rFonts w:cs="Arial"/>
          <w:b/>
          <w:bCs/>
        </w:rPr>
        <w:tab/>
        <w:t>Intangible Assets</w:t>
      </w:r>
    </w:p>
    <w:p w14:paraId="473745B8" w14:textId="77777777" w:rsidR="00C6005E" w:rsidRDefault="00C6005E" w:rsidP="000C2A54">
      <w:pPr>
        <w:widowControl w:val="0"/>
        <w:autoSpaceDE w:val="0"/>
        <w:autoSpaceDN w:val="0"/>
        <w:adjustRightInd w:val="0"/>
        <w:ind w:left="1418"/>
        <w:rPr>
          <w:rFonts w:cs="Arial"/>
          <w:bCs/>
        </w:rPr>
      </w:pPr>
    </w:p>
    <w:p w14:paraId="2E7A89F9" w14:textId="28BE3182" w:rsidR="000C2A54" w:rsidRDefault="00AB5030" w:rsidP="000C2A54">
      <w:pPr>
        <w:widowControl w:val="0"/>
        <w:autoSpaceDE w:val="0"/>
        <w:autoSpaceDN w:val="0"/>
        <w:adjustRightInd w:val="0"/>
        <w:ind w:left="1418"/>
        <w:rPr>
          <w:rFonts w:cs="Arial"/>
          <w:bCs/>
        </w:rPr>
      </w:pPr>
      <w:r>
        <w:rPr>
          <w:rFonts w:cs="Arial"/>
          <w:bCs/>
        </w:rPr>
        <w:t xml:space="preserve">The Commission follows the </w:t>
      </w:r>
      <w:r w:rsidR="008667F0">
        <w:rPr>
          <w:rFonts w:cs="Arial"/>
          <w:bCs/>
        </w:rPr>
        <w:t>criteria set out within IAS 38 when recognising an asset as intangible.</w:t>
      </w:r>
    </w:p>
    <w:p w14:paraId="237E1F12" w14:textId="3CB0C1C6" w:rsidR="003E37ED" w:rsidRDefault="003E37ED" w:rsidP="000C2A54">
      <w:pPr>
        <w:widowControl w:val="0"/>
        <w:autoSpaceDE w:val="0"/>
        <w:autoSpaceDN w:val="0"/>
        <w:adjustRightInd w:val="0"/>
        <w:ind w:left="1418"/>
        <w:rPr>
          <w:rFonts w:cs="Arial"/>
          <w:bCs/>
        </w:rPr>
      </w:pPr>
    </w:p>
    <w:p w14:paraId="40D72DC7" w14:textId="1DF2C55C" w:rsidR="00220BC8" w:rsidRDefault="00F43768" w:rsidP="000C2A54">
      <w:pPr>
        <w:widowControl w:val="0"/>
        <w:autoSpaceDE w:val="0"/>
        <w:autoSpaceDN w:val="0"/>
        <w:adjustRightInd w:val="0"/>
        <w:ind w:left="1418"/>
        <w:rPr>
          <w:rFonts w:cs="Arial"/>
          <w:bCs/>
        </w:rPr>
      </w:pPr>
      <w:r>
        <w:rPr>
          <w:rFonts w:cs="Arial"/>
          <w:bCs/>
        </w:rPr>
        <w:t>Software licenses are amortised over 2 years</w:t>
      </w:r>
      <w:r w:rsidR="00220BC8">
        <w:rPr>
          <w:rFonts w:cs="Arial"/>
          <w:bCs/>
        </w:rPr>
        <w:t xml:space="preserve"> (or the life of the license)</w:t>
      </w:r>
      <w:r w:rsidR="00234EB0">
        <w:rPr>
          <w:rFonts w:cs="Arial"/>
          <w:bCs/>
        </w:rPr>
        <w:t>.</w:t>
      </w:r>
    </w:p>
    <w:p w14:paraId="26098940" w14:textId="77777777" w:rsidR="00220BC8" w:rsidRDefault="00220BC8" w:rsidP="000C2A54">
      <w:pPr>
        <w:widowControl w:val="0"/>
        <w:autoSpaceDE w:val="0"/>
        <w:autoSpaceDN w:val="0"/>
        <w:adjustRightInd w:val="0"/>
        <w:ind w:left="1418"/>
        <w:rPr>
          <w:rFonts w:cs="Arial"/>
          <w:bCs/>
        </w:rPr>
      </w:pPr>
    </w:p>
    <w:p w14:paraId="64068ADD" w14:textId="73449EA7" w:rsidR="003E37ED" w:rsidRPr="00F97E5F" w:rsidRDefault="003E37ED" w:rsidP="000C2A54">
      <w:pPr>
        <w:widowControl w:val="0"/>
        <w:autoSpaceDE w:val="0"/>
        <w:autoSpaceDN w:val="0"/>
        <w:adjustRightInd w:val="0"/>
        <w:ind w:left="1418"/>
        <w:rPr>
          <w:rFonts w:cs="Arial"/>
          <w:bCs/>
        </w:rPr>
      </w:pPr>
      <w:r>
        <w:rPr>
          <w:rFonts w:cs="Arial"/>
          <w:bCs/>
        </w:rPr>
        <w:t>Intangible assets are amortised over 5 years (or the life of the asset).</w:t>
      </w:r>
    </w:p>
    <w:p w14:paraId="2E0BDF0A" w14:textId="77777777" w:rsidR="000C2A54" w:rsidRPr="00F97E5F" w:rsidRDefault="000C2A54" w:rsidP="000C2A54">
      <w:pPr>
        <w:widowControl w:val="0"/>
        <w:autoSpaceDE w:val="0"/>
        <w:autoSpaceDN w:val="0"/>
        <w:adjustRightInd w:val="0"/>
        <w:rPr>
          <w:rFonts w:cs="Arial"/>
          <w:bCs/>
        </w:rPr>
      </w:pPr>
    </w:p>
    <w:p w14:paraId="18784459" w14:textId="2A8768E7" w:rsidR="000C2A54" w:rsidRPr="00F97E5F" w:rsidRDefault="00B07E4A" w:rsidP="000C2A54">
      <w:pPr>
        <w:widowControl w:val="0"/>
        <w:autoSpaceDE w:val="0"/>
        <w:autoSpaceDN w:val="0"/>
        <w:adjustRightInd w:val="0"/>
        <w:ind w:firstLine="567"/>
        <w:rPr>
          <w:rFonts w:cs="Arial"/>
          <w:b/>
          <w:bCs/>
        </w:rPr>
      </w:pPr>
      <w:r>
        <w:rPr>
          <w:rFonts w:cs="Arial"/>
          <w:b/>
          <w:bCs/>
        </w:rPr>
        <w:t>1.10</w:t>
      </w:r>
      <w:r w:rsidR="000C2A54" w:rsidRPr="00F97E5F">
        <w:rPr>
          <w:rFonts w:cs="Arial"/>
          <w:b/>
          <w:bCs/>
        </w:rPr>
        <w:tab/>
        <w:t>Operating leases</w:t>
      </w:r>
    </w:p>
    <w:p w14:paraId="58E2C945" w14:textId="77777777" w:rsidR="000C2A54" w:rsidRPr="00F97E5F" w:rsidRDefault="000C2A54" w:rsidP="000C2A54">
      <w:pPr>
        <w:widowControl w:val="0"/>
        <w:tabs>
          <w:tab w:val="left" w:pos="567"/>
        </w:tabs>
        <w:autoSpaceDE w:val="0"/>
        <w:autoSpaceDN w:val="0"/>
        <w:adjustRightInd w:val="0"/>
        <w:ind w:left="567"/>
        <w:rPr>
          <w:rFonts w:cs="Arial"/>
        </w:rPr>
      </w:pPr>
    </w:p>
    <w:p w14:paraId="0F504C16" w14:textId="77777777" w:rsidR="000C2A54" w:rsidRPr="00F97E5F" w:rsidRDefault="000C2A54" w:rsidP="000C2A54">
      <w:pPr>
        <w:widowControl w:val="0"/>
        <w:tabs>
          <w:tab w:val="left" w:pos="567"/>
        </w:tabs>
        <w:autoSpaceDE w:val="0"/>
        <w:autoSpaceDN w:val="0"/>
        <w:adjustRightInd w:val="0"/>
        <w:ind w:left="1418"/>
        <w:rPr>
          <w:rFonts w:cs="Arial"/>
        </w:rPr>
      </w:pPr>
      <w:r w:rsidRPr="00F97E5F">
        <w:rPr>
          <w:rFonts w:cs="Arial"/>
        </w:rPr>
        <w:t xml:space="preserve">Rentals payable under operating leases are charged against the Statement of Comprehensive Net Expenditure on a </w:t>
      </w:r>
      <w:r w:rsidR="00176472" w:rsidRPr="00F97E5F">
        <w:rPr>
          <w:rFonts w:cs="Arial"/>
        </w:rPr>
        <w:t>straight-line</w:t>
      </w:r>
      <w:r w:rsidRPr="00F97E5F">
        <w:rPr>
          <w:rFonts w:cs="Arial"/>
        </w:rPr>
        <w:t xml:space="preserve"> basis over the lease term.  </w:t>
      </w:r>
      <w:r w:rsidR="00BA6D56">
        <w:rPr>
          <w:rFonts w:cs="Arial"/>
        </w:rPr>
        <w:t xml:space="preserve">The </w:t>
      </w:r>
      <w:r w:rsidR="0091473F">
        <w:rPr>
          <w:rFonts w:cs="Arial"/>
        </w:rPr>
        <w:t xml:space="preserve">lease for the </w:t>
      </w:r>
      <w:r w:rsidR="00BA6D56">
        <w:rPr>
          <w:rFonts w:cs="Arial"/>
        </w:rPr>
        <w:t>Commission</w:t>
      </w:r>
      <w:r w:rsidR="0091473F">
        <w:rPr>
          <w:rFonts w:cs="Arial"/>
        </w:rPr>
        <w:t xml:space="preserve">’s premises in Alfred Street </w:t>
      </w:r>
      <w:r w:rsidR="00BA6D56">
        <w:rPr>
          <w:rFonts w:cs="Arial"/>
        </w:rPr>
        <w:t>commenced on 18 March 2020 for a period of ten years, with a break clause after five years.</w:t>
      </w:r>
    </w:p>
    <w:p w14:paraId="1683B0AD" w14:textId="77777777" w:rsidR="001E5939" w:rsidRPr="00F97E5F" w:rsidRDefault="001E5939" w:rsidP="000C2A54">
      <w:pPr>
        <w:widowControl w:val="0"/>
        <w:tabs>
          <w:tab w:val="left" w:pos="567"/>
        </w:tabs>
        <w:autoSpaceDE w:val="0"/>
        <w:autoSpaceDN w:val="0"/>
        <w:adjustRightInd w:val="0"/>
        <w:rPr>
          <w:b/>
        </w:rPr>
      </w:pPr>
    </w:p>
    <w:p w14:paraId="551D97AA" w14:textId="27D0369E" w:rsidR="000C2A54" w:rsidRPr="00F97E5F" w:rsidRDefault="00B07E4A" w:rsidP="000C2A54">
      <w:pPr>
        <w:widowControl w:val="0"/>
        <w:autoSpaceDE w:val="0"/>
        <w:autoSpaceDN w:val="0"/>
        <w:adjustRightInd w:val="0"/>
        <w:ind w:left="1418" w:hanging="851"/>
        <w:rPr>
          <w:b/>
        </w:rPr>
      </w:pPr>
      <w:r>
        <w:rPr>
          <w:b/>
        </w:rPr>
        <w:t>1.11</w:t>
      </w:r>
      <w:r w:rsidR="000C2A54" w:rsidRPr="00F97E5F">
        <w:rPr>
          <w:b/>
        </w:rPr>
        <w:tab/>
        <w:t>Pensions</w:t>
      </w:r>
    </w:p>
    <w:p w14:paraId="6B504526" w14:textId="77777777" w:rsidR="000C2A54" w:rsidRPr="00F97E5F" w:rsidRDefault="000C2A54" w:rsidP="000C2A54">
      <w:pPr>
        <w:widowControl w:val="0"/>
        <w:tabs>
          <w:tab w:val="left" w:pos="567"/>
        </w:tabs>
        <w:autoSpaceDE w:val="0"/>
        <w:autoSpaceDN w:val="0"/>
        <w:adjustRightInd w:val="0"/>
        <w:ind w:left="567"/>
      </w:pPr>
    </w:p>
    <w:p w14:paraId="0179AE55" w14:textId="77777777" w:rsidR="000C2A54" w:rsidRDefault="000C2A54" w:rsidP="000C2A54">
      <w:pPr>
        <w:widowControl w:val="0"/>
        <w:autoSpaceDE w:val="0"/>
        <w:autoSpaceDN w:val="0"/>
        <w:adjustRightInd w:val="0"/>
        <w:ind w:left="1418"/>
      </w:pPr>
      <w:r w:rsidRPr="00F97E5F">
        <w:t>Past and present employees are covered by the provisions of the Principal Civil Service Pension Schemes (PCSPS</w:t>
      </w:r>
      <w:r w:rsidR="00176472" w:rsidRPr="00F97E5F">
        <w:t>), which</w:t>
      </w:r>
      <w:r w:rsidRPr="00F97E5F">
        <w:t xml:space="preserve"> are described in </w:t>
      </w:r>
      <w:r>
        <w:t>the Remuneration and Staff Report</w:t>
      </w:r>
      <w:r w:rsidRPr="00F97E5F">
        <w:t>.  The defined benefit schemes are unfunded.  The Commission recognises the expected cost of these elements on a systematic and rational basis over the period during which it benefits from employees’ services by payment to the PCSPS of amounts calculated on an accruing basis.  Liability for payment of future benefits is a charge on the PCSPS.  In respect of the defined contribution schemes, the Commission recognises the contributions payable for the year.</w:t>
      </w:r>
    </w:p>
    <w:p w14:paraId="3421992B" w14:textId="77777777" w:rsidR="000C2A54" w:rsidRDefault="000C2A54" w:rsidP="000C2A54">
      <w:pPr>
        <w:widowControl w:val="0"/>
        <w:autoSpaceDE w:val="0"/>
        <w:autoSpaceDN w:val="0"/>
        <w:adjustRightInd w:val="0"/>
        <w:rPr>
          <w:b/>
        </w:rPr>
      </w:pPr>
    </w:p>
    <w:p w14:paraId="07FDD97F" w14:textId="79CC16EC" w:rsidR="000C2A54" w:rsidRPr="00F97E5F" w:rsidRDefault="00B07E4A" w:rsidP="000C2A54">
      <w:pPr>
        <w:widowControl w:val="0"/>
        <w:autoSpaceDE w:val="0"/>
        <w:autoSpaceDN w:val="0"/>
        <w:adjustRightInd w:val="0"/>
        <w:ind w:left="1418" w:hanging="851"/>
        <w:rPr>
          <w:b/>
        </w:rPr>
      </w:pPr>
      <w:r>
        <w:rPr>
          <w:b/>
        </w:rPr>
        <w:t>1.12</w:t>
      </w:r>
      <w:r w:rsidR="000C2A54" w:rsidRPr="00F97E5F">
        <w:rPr>
          <w:b/>
        </w:rPr>
        <w:tab/>
        <w:t>Value Added Tax</w:t>
      </w:r>
    </w:p>
    <w:p w14:paraId="308D9812" w14:textId="77777777" w:rsidR="000C2A54" w:rsidRPr="00BE16D9" w:rsidRDefault="000C2A54" w:rsidP="000C2A54">
      <w:pPr>
        <w:widowControl w:val="0"/>
        <w:tabs>
          <w:tab w:val="left" w:pos="567"/>
        </w:tabs>
        <w:autoSpaceDE w:val="0"/>
        <w:autoSpaceDN w:val="0"/>
        <w:adjustRightInd w:val="0"/>
        <w:rPr>
          <w:sz w:val="22"/>
          <w:szCs w:val="22"/>
        </w:rPr>
      </w:pPr>
    </w:p>
    <w:p w14:paraId="430FABD7" w14:textId="77777777" w:rsidR="000C2A54" w:rsidRPr="00F97E5F" w:rsidRDefault="000C2A54" w:rsidP="000C2A54">
      <w:pPr>
        <w:widowControl w:val="0"/>
        <w:tabs>
          <w:tab w:val="left" w:pos="567"/>
        </w:tabs>
        <w:autoSpaceDE w:val="0"/>
        <w:autoSpaceDN w:val="0"/>
        <w:adjustRightInd w:val="0"/>
        <w:ind w:left="1418"/>
      </w:pPr>
      <w:r w:rsidRPr="00F97E5F">
        <w:t xml:space="preserve">The Commission is ineligible to reclaim input VAT on expenditure.  Therefore, all </w:t>
      </w:r>
      <w:r w:rsidR="00660AE7">
        <w:t>irrecoverable VAT is included in expenditure or included in the capitalised purchase cost of non-current assets</w:t>
      </w:r>
      <w:r w:rsidRPr="00F97E5F">
        <w:t>.</w:t>
      </w:r>
    </w:p>
    <w:p w14:paraId="4B402944" w14:textId="77777777" w:rsidR="000C2A54" w:rsidRPr="00F97E5F" w:rsidRDefault="000C2A54" w:rsidP="000C2A54">
      <w:pPr>
        <w:rPr>
          <w:b/>
        </w:rPr>
      </w:pPr>
    </w:p>
    <w:p w14:paraId="777BE2E0" w14:textId="25985F89" w:rsidR="000C2A54" w:rsidRPr="00F97E5F" w:rsidRDefault="000C2A54" w:rsidP="000C2A54">
      <w:pPr>
        <w:tabs>
          <w:tab w:val="left" w:pos="567"/>
        </w:tabs>
        <w:rPr>
          <w:b/>
        </w:rPr>
      </w:pPr>
      <w:r w:rsidRPr="00F97E5F">
        <w:rPr>
          <w:b/>
        </w:rPr>
        <w:tab/>
      </w:r>
      <w:r w:rsidR="00B07E4A">
        <w:rPr>
          <w:b/>
        </w:rPr>
        <w:t>1.13</w:t>
      </w:r>
      <w:r w:rsidRPr="00F97E5F">
        <w:rPr>
          <w:b/>
        </w:rPr>
        <w:tab/>
        <w:t>Legal casework expenditure</w:t>
      </w:r>
    </w:p>
    <w:p w14:paraId="66BBAF06" w14:textId="77777777" w:rsidR="000C2A54" w:rsidRPr="00F97E5F" w:rsidRDefault="000C2A54" w:rsidP="000C2A54">
      <w:pPr>
        <w:widowControl w:val="0"/>
        <w:tabs>
          <w:tab w:val="left" w:pos="567"/>
        </w:tabs>
        <w:autoSpaceDE w:val="0"/>
        <w:autoSpaceDN w:val="0"/>
        <w:adjustRightInd w:val="0"/>
        <w:ind w:left="567"/>
      </w:pPr>
    </w:p>
    <w:p w14:paraId="49365890" w14:textId="77777777" w:rsidR="000C2A54" w:rsidRPr="00F97E5F" w:rsidRDefault="000C2A54" w:rsidP="000C2A54">
      <w:pPr>
        <w:widowControl w:val="0"/>
        <w:tabs>
          <w:tab w:val="left" w:pos="567"/>
        </w:tabs>
        <w:autoSpaceDE w:val="0"/>
        <w:autoSpaceDN w:val="0"/>
        <w:adjustRightInd w:val="0"/>
        <w:ind w:left="1418"/>
      </w:pPr>
      <w:r w:rsidRPr="00F97E5F">
        <w:t xml:space="preserve">Section 70 of the Northern Ireland Act 1998 enables the Commission to support legal cases in relation to the protection of human rights.  Some of these cases can span several years.  </w:t>
      </w:r>
    </w:p>
    <w:p w14:paraId="44F06EEB" w14:textId="77777777" w:rsidR="000C2A54" w:rsidRPr="00F97E5F" w:rsidRDefault="000C2A54" w:rsidP="000C2A54">
      <w:pPr>
        <w:widowControl w:val="0"/>
        <w:tabs>
          <w:tab w:val="left" w:pos="720"/>
        </w:tabs>
        <w:autoSpaceDE w:val="0"/>
        <w:autoSpaceDN w:val="0"/>
        <w:adjustRightInd w:val="0"/>
      </w:pPr>
    </w:p>
    <w:p w14:paraId="56DC08B5" w14:textId="77777777" w:rsidR="000C2A54" w:rsidRPr="00F97E5F" w:rsidRDefault="000C2A54" w:rsidP="000C2A54">
      <w:pPr>
        <w:widowControl w:val="0"/>
        <w:tabs>
          <w:tab w:val="left" w:pos="720"/>
        </w:tabs>
        <w:autoSpaceDE w:val="0"/>
        <w:autoSpaceDN w:val="0"/>
        <w:adjustRightInd w:val="0"/>
        <w:ind w:left="1418"/>
      </w:pPr>
      <w:r w:rsidRPr="00F97E5F">
        <w:t>In some cases, costs are recoverable from the respondent if the applicant is successful.  Given this, while the Commission decides to support cases, contingent on the outcome, payments are not normally made until judgment is passed, and the judge decides on a cost order (i</w:t>
      </w:r>
      <w:r w:rsidR="00782F24">
        <w:t>.</w:t>
      </w:r>
      <w:r w:rsidRPr="00F97E5F">
        <w:t>e</w:t>
      </w:r>
      <w:r w:rsidR="00782F24">
        <w:t>.</w:t>
      </w:r>
      <w:r w:rsidRPr="00F97E5F">
        <w:t xml:space="preserve"> whether the ‘losing’ side should pay all costs or each side should bear their own costs).  Given that a criterion for Commission support is whether a case has a ‘reasonable chance of success’, it does not expect to incur costs in many cases.  However, cases can be lost.  In these cases, it is possible that the applicant could be asked to pay the respondent's costs.  Where this happens, the Commission may pay these costs on behalf of the applicant.  Any such potential liabilities are noted in the financial statements as contingent liabilities or provisions.</w:t>
      </w:r>
    </w:p>
    <w:p w14:paraId="5246F1B4" w14:textId="77777777" w:rsidR="000C2A54" w:rsidRPr="00F97E5F" w:rsidRDefault="000C2A54" w:rsidP="000C2A54">
      <w:pPr>
        <w:widowControl w:val="0"/>
        <w:autoSpaceDE w:val="0"/>
        <w:autoSpaceDN w:val="0"/>
        <w:adjustRightInd w:val="0"/>
      </w:pPr>
    </w:p>
    <w:p w14:paraId="06B35A17" w14:textId="6195D1BA" w:rsidR="000C2A54" w:rsidRPr="00F97E5F" w:rsidRDefault="00B07E4A" w:rsidP="000C2A54">
      <w:pPr>
        <w:widowControl w:val="0"/>
        <w:autoSpaceDE w:val="0"/>
        <w:autoSpaceDN w:val="0"/>
        <w:adjustRightInd w:val="0"/>
        <w:ind w:left="1418" w:hanging="851"/>
        <w:rPr>
          <w:b/>
        </w:rPr>
      </w:pPr>
      <w:r>
        <w:rPr>
          <w:b/>
        </w:rPr>
        <w:t>1.14</w:t>
      </w:r>
      <w:r w:rsidR="000C2A54" w:rsidRPr="00F97E5F">
        <w:rPr>
          <w:b/>
        </w:rPr>
        <w:tab/>
        <w:t>Staff costs</w:t>
      </w:r>
    </w:p>
    <w:p w14:paraId="2993D3B6" w14:textId="77777777" w:rsidR="000C2A54" w:rsidRPr="00F97E5F" w:rsidRDefault="000C2A54" w:rsidP="000C2A54">
      <w:pPr>
        <w:widowControl w:val="0"/>
        <w:tabs>
          <w:tab w:val="left" w:pos="567"/>
        </w:tabs>
        <w:autoSpaceDE w:val="0"/>
        <w:autoSpaceDN w:val="0"/>
        <w:adjustRightInd w:val="0"/>
        <w:ind w:left="540"/>
      </w:pPr>
    </w:p>
    <w:p w14:paraId="272DBF2A" w14:textId="77777777" w:rsidR="000C2A54" w:rsidRDefault="000C2A54" w:rsidP="000C2A54">
      <w:pPr>
        <w:widowControl w:val="0"/>
        <w:autoSpaceDE w:val="0"/>
        <w:autoSpaceDN w:val="0"/>
        <w:adjustRightInd w:val="0"/>
        <w:ind w:left="1418"/>
      </w:pPr>
      <w:r w:rsidRPr="00F97E5F">
        <w:t>Under IAS19 Employee Benefits legislation, all staff costs must be recorded as an expense as soon as the Commission is obligated to pay them.  This includes the cost of any untaken leave as at the year–</w:t>
      </w:r>
      <w:r w:rsidR="00176472" w:rsidRPr="00F97E5F">
        <w:t>end</w:t>
      </w:r>
      <w:r w:rsidR="00176472">
        <w:t>, which</w:t>
      </w:r>
      <w:r>
        <w:t xml:space="preserve"> is estimated at £</w:t>
      </w:r>
      <w:r w:rsidR="008D53CC">
        <w:t>57,720</w:t>
      </w:r>
      <w:r>
        <w:t xml:space="preserve"> (</w:t>
      </w:r>
      <w:r w:rsidR="004E6BF5">
        <w:t>20</w:t>
      </w:r>
      <w:r w:rsidR="008D53CC">
        <w:t>20-21</w:t>
      </w:r>
      <w:r>
        <w:t>: £</w:t>
      </w:r>
      <w:r w:rsidR="008D53CC">
        <w:t>43,172</w:t>
      </w:r>
      <w:r>
        <w:t>).</w:t>
      </w:r>
      <w:r w:rsidRPr="00F97E5F">
        <w:t xml:space="preserve"> </w:t>
      </w:r>
    </w:p>
    <w:p w14:paraId="210B8421" w14:textId="77777777" w:rsidR="005059F8" w:rsidRDefault="005059F8" w:rsidP="005059F8">
      <w:pPr>
        <w:widowControl w:val="0"/>
        <w:autoSpaceDE w:val="0"/>
        <w:autoSpaceDN w:val="0"/>
        <w:adjustRightInd w:val="0"/>
      </w:pPr>
    </w:p>
    <w:p w14:paraId="51D89F9B" w14:textId="4B9BA6EF" w:rsidR="005059F8" w:rsidRDefault="005059F8" w:rsidP="005059F8">
      <w:pPr>
        <w:widowControl w:val="0"/>
        <w:tabs>
          <w:tab w:val="left" w:pos="567"/>
        </w:tabs>
        <w:autoSpaceDE w:val="0"/>
        <w:autoSpaceDN w:val="0"/>
        <w:adjustRightInd w:val="0"/>
      </w:pPr>
      <w:r>
        <w:tab/>
      </w:r>
      <w:r w:rsidR="00B07E4A">
        <w:rPr>
          <w:b/>
        </w:rPr>
        <w:t>1.15</w:t>
      </w:r>
      <w:r>
        <w:rPr>
          <w:b/>
        </w:rPr>
        <w:tab/>
        <w:t>Going concern</w:t>
      </w:r>
    </w:p>
    <w:p w14:paraId="7E6FF14B" w14:textId="77777777" w:rsidR="005059F8" w:rsidRDefault="005059F8" w:rsidP="005059F8">
      <w:pPr>
        <w:widowControl w:val="0"/>
        <w:tabs>
          <w:tab w:val="left" w:pos="567"/>
        </w:tabs>
        <w:autoSpaceDE w:val="0"/>
        <w:autoSpaceDN w:val="0"/>
        <w:adjustRightInd w:val="0"/>
      </w:pPr>
    </w:p>
    <w:p w14:paraId="117234F4" w14:textId="598C120A" w:rsidR="006315E2" w:rsidRDefault="005059F8" w:rsidP="00BD5CE2">
      <w:pPr>
        <w:ind w:left="1440" w:hanging="1440"/>
        <w:rPr>
          <w:bCs/>
          <w:color w:val="auto"/>
        </w:rPr>
      </w:pPr>
      <w:r>
        <w:tab/>
      </w:r>
      <w:r w:rsidR="00BD5CE2">
        <w:t xml:space="preserve">The Commission’s sponsoring body is the Northern Ireland Office as laid out in </w:t>
      </w:r>
      <w:r w:rsidR="00BD5CE2" w:rsidRPr="006867D6">
        <w:rPr>
          <w:bCs/>
          <w:color w:val="auto"/>
        </w:rPr>
        <w:t>the Northern Ireland Act 1998</w:t>
      </w:r>
      <w:r w:rsidR="00BD5CE2">
        <w:rPr>
          <w:bCs/>
          <w:color w:val="auto"/>
        </w:rPr>
        <w:t xml:space="preserve">. </w:t>
      </w:r>
      <w:r w:rsidR="00BD5CE2">
        <w:t>T</w:t>
      </w:r>
      <w:r w:rsidR="001C734F">
        <w:t xml:space="preserve">he Commission’s </w:t>
      </w:r>
      <w:r w:rsidR="00126BDD">
        <w:t xml:space="preserve">core </w:t>
      </w:r>
      <w:r w:rsidR="001C734F">
        <w:t xml:space="preserve">budget for </w:t>
      </w:r>
      <w:r w:rsidR="00BB6645">
        <w:t xml:space="preserve">2022-23 </w:t>
      </w:r>
      <w:r w:rsidR="00BD5CE2">
        <w:t xml:space="preserve">has been approved by the Northern Ireland Office. At the date of this </w:t>
      </w:r>
      <w:r w:rsidR="00176472">
        <w:t>report,</w:t>
      </w:r>
      <w:r w:rsidR="00BD5CE2">
        <w:t xml:space="preserve"> the accounting officer has no reason to believe that furt</w:t>
      </w:r>
      <w:r w:rsidR="001C734F">
        <w:t xml:space="preserve">her </w:t>
      </w:r>
      <w:r w:rsidR="008D53CC">
        <w:t>support beyond 31 March 2023</w:t>
      </w:r>
      <w:r w:rsidR="00BD5CE2">
        <w:t xml:space="preserve"> will not be forthcoming</w:t>
      </w:r>
      <w:r w:rsidR="00BB6645">
        <w:t>, not only</w:t>
      </w:r>
      <w:r w:rsidR="00BD5CE2">
        <w:t xml:space="preserve"> due to the protections laid down in </w:t>
      </w:r>
      <w:r w:rsidR="00BD5CE2" w:rsidRPr="006867D6">
        <w:rPr>
          <w:bCs/>
          <w:color w:val="auto"/>
        </w:rPr>
        <w:t>the Northern Ireland Act 1998</w:t>
      </w:r>
      <w:r w:rsidR="00BB6645">
        <w:rPr>
          <w:bCs/>
          <w:color w:val="auto"/>
        </w:rPr>
        <w:t xml:space="preserve">, but also following the Spending Review 2021 in which the Commission’s budget for the next three years until </w:t>
      </w:r>
      <w:r w:rsidR="00276847">
        <w:rPr>
          <w:bCs/>
          <w:color w:val="auto"/>
        </w:rPr>
        <w:t>31 March 2025 has been confirmed</w:t>
      </w:r>
      <w:r w:rsidR="00BD5CE2">
        <w:rPr>
          <w:bCs/>
          <w:color w:val="auto"/>
        </w:rPr>
        <w:t xml:space="preserve">. </w:t>
      </w:r>
    </w:p>
    <w:p w14:paraId="7B9F8220" w14:textId="77777777" w:rsidR="006315E2" w:rsidRDefault="006315E2" w:rsidP="00BD5CE2">
      <w:pPr>
        <w:ind w:left="1440" w:hanging="1440"/>
        <w:rPr>
          <w:bCs/>
          <w:color w:val="auto"/>
        </w:rPr>
      </w:pPr>
    </w:p>
    <w:p w14:paraId="77892F84" w14:textId="4D0D00D7" w:rsidR="00752CED" w:rsidRDefault="00561EDB" w:rsidP="006315E2">
      <w:pPr>
        <w:ind w:left="1440"/>
        <w:rPr>
          <w:bCs/>
          <w:color w:val="auto"/>
        </w:rPr>
      </w:pPr>
      <w:r>
        <w:rPr>
          <w:bCs/>
          <w:color w:val="auto"/>
        </w:rPr>
        <w:t xml:space="preserve">The </w:t>
      </w:r>
      <w:r w:rsidR="00040401">
        <w:rPr>
          <w:bCs/>
          <w:color w:val="auto"/>
        </w:rPr>
        <w:t xml:space="preserve">Commission also receives additional funding for </w:t>
      </w:r>
      <w:r w:rsidR="004E679F">
        <w:rPr>
          <w:bCs/>
          <w:color w:val="auto"/>
        </w:rPr>
        <w:t>the</w:t>
      </w:r>
      <w:r>
        <w:rPr>
          <w:bCs/>
          <w:color w:val="auto"/>
        </w:rPr>
        <w:t xml:space="preserve"> Dedicated Mechanism</w:t>
      </w:r>
      <w:r w:rsidR="004E679F">
        <w:rPr>
          <w:bCs/>
          <w:color w:val="auto"/>
        </w:rPr>
        <w:t>, which</w:t>
      </w:r>
      <w:r>
        <w:rPr>
          <w:bCs/>
          <w:color w:val="auto"/>
        </w:rPr>
        <w:t xml:space="preserve"> ar</w:t>
      </w:r>
      <w:r w:rsidR="00C133B3">
        <w:rPr>
          <w:bCs/>
          <w:color w:val="auto"/>
        </w:rPr>
        <w:t>ises from a statutory</w:t>
      </w:r>
      <w:r w:rsidR="004E679F">
        <w:rPr>
          <w:bCs/>
          <w:color w:val="auto"/>
        </w:rPr>
        <w:t xml:space="preserve"> requirement under </w:t>
      </w:r>
      <w:r w:rsidR="004C1B56">
        <w:rPr>
          <w:bCs/>
          <w:color w:val="auto"/>
        </w:rPr>
        <w:t>the EU</w:t>
      </w:r>
      <w:r w:rsidR="0022609A">
        <w:rPr>
          <w:bCs/>
          <w:color w:val="auto"/>
        </w:rPr>
        <w:t xml:space="preserve"> Withdrawal Agreement Act</w:t>
      </w:r>
      <w:r w:rsidR="004E679F">
        <w:rPr>
          <w:bCs/>
          <w:color w:val="auto"/>
        </w:rPr>
        <w:t>.  This role will continue in the future and beyond the financial year 2022-23</w:t>
      </w:r>
      <w:r w:rsidR="00433999">
        <w:rPr>
          <w:bCs/>
          <w:color w:val="auto"/>
        </w:rPr>
        <w:t xml:space="preserve">.  </w:t>
      </w:r>
      <w:r w:rsidR="00773D2D">
        <w:rPr>
          <w:bCs/>
          <w:color w:val="auto"/>
        </w:rPr>
        <w:t xml:space="preserve">The Northern Ireland Office </w:t>
      </w:r>
      <w:r w:rsidR="0022609A">
        <w:rPr>
          <w:bCs/>
          <w:color w:val="auto"/>
        </w:rPr>
        <w:t>has confirmed that it will</w:t>
      </w:r>
      <w:r w:rsidR="00A865BD">
        <w:rPr>
          <w:bCs/>
          <w:color w:val="auto"/>
        </w:rPr>
        <w:t xml:space="preserve"> provide financial support to assist the Commission in meeting its liabilities as and when they fall due, but only to the extent that money is not otherwise available to meet such liabilities.  </w:t>
      </w:r>
      <w:r w:rsidR="00433999">
        <w:rPr>
          <w:bCs/>
          <w:color w:val="auto"/>
        </w:rPr>
        <w:t xml:space="preserve">At the date of this report, the Northern Ireland Office have confirmed that they will </w:t>
      </w:r>
      <w:r w:rsidR="00394E8F">
        <w:rPr>
          <w:bCs/>
          <w:color w:val="auto"/>
        </w:rPr>
        <w:t>provide such support, to the extent outlined above, for a period of 12 months from the date of approval of the Commission’s Annual Report and Accounts.  The Northern Ireland Office have confirmed they will seek sufficient</w:t>
      </w:r>
      <w:r w:rsidR="00B3623D">
        <w:rPr>
          <w:bCs/>
          <w:color w:val="auto"/>
        </w:rPr>
        <w:t xml:space="preserve"> UK government funding from HM Treasury for the financial year 2023-24 to ensure the Commission continues to meet its statutory obligations</w:t>
      </w:r>
      <w:r w:rsidR="00752CED">
        <w:rPr>
          <w:bCs/>
          <w:color w:val="auto"/>
        </w:rPr>
        <w:t xml:space="preserve">.  HM Treasury understand this is a statutory requirement which the UK government has committed to funding in the long term.  </w:t>
      </w:r>
    </w:p>
    <w:p w14:paraId="5F264875" w14:textId="77777777" w:rsidR="00752CED" w:rsidRDefault="00752CED" w:rsidP="006315E2">
      <w:pPr>
        <w:ind w:left="1440"/>
        <w:rPr>
          <w:bCs/>
          <w:color w:val="auto"/>
        </w:rPr>
      </w:pPr>
    </w:p>
    <w:p w14:paraId="2788D158" w14:textId="0A9CA31B" w:rsidR="00BD5CE2" w:rsidRDefault="00176472" w:rsidP="006315E2">
      <w:pPr>
        <w:ind w:left="1440"/>
        <w:rPr>
          <w:bCs/>
          <w:color w:val="auto"/>
        </w:rPr>
      </w:pPr>
      <w:r>
        <w:rPr>
          <w:bCs/>
          <w:color w:val="auto"/>
        </w:rPr>
        <w:t>Therefore,</w:t>
      </w:r>
      <w:r w:rsidR="00BD5CE2">
        <w:rPr>
          <w:bCs/>
          <w:color w:val="auto"/>
        </w:rPr>
        <w:t xml:space="preserve"> </w:t>
      </w:r>
      <w:r w:rsidR="00BD5CE2" w:rsidRPr="007A5A3D">
        <w:rPr>
          <w:bCs/>
          <w:color w:val="auto"/>
        </w:rPr>
        <w:t xml:space="preserve">it has been considered appropriate to adopt a going concern basis </w:t>
      </w:r>
      <w:r w:rsidR="001C734F">
        <w:rPr>
          <w:bCs/>
          <w:color w:val="auto"/>
        </w:rPr>
        <w:t>for the preparation of the 2021</w:t>
      </w:r>
      <w:r w:rsidR="008D53CC">
        <w:rPr>
          <w:bCs/>
          <w:color w:val="auto"/>
        </w:rPr>
        <w:t>-22</w:t>
      </w:r>
      <w:r w:rsidR="00BD5CE2" w:rsidRPr="007A5A3D">
        <w:rPr>
          <w:bCs/>
          <w:color w:val="auto"/>
        </w:rPr>
        <w:t xml:space="preserve"> financial statements</w:t>
      </w:r>
      <w:r w:rsidR="00BD5CE2">
        <w:rPr>
          <w:bCs/>
          <w:color w:val="auto"/>
        </w:rPr>
        <w:t>.</w:t>
      </w:r>
    </w:p>
    <w:p w14:paraId="362A0439" w14:textId="04F0C824" w:rsidR="00612DE1" w:rsidRDefault="00612DE1" w:rsidP="006315E2">
      <w:pPr>
        <w:ind w:left="1440"/>
        <w:rPr>
          <w:bCs/>
          <w:color w:val="auto"/>
        </w:rPr>
      </w:pPr>
    </w:p>
    <w:p w14:paraId="49D055FA" w14:textId="77777777" w:rsidR="003061F1" w:rsidRPr="00BE16D9" w:rsidRDefault="003061F1" w:rsidP="000C2A54">
      <w:pPr>
        <w:widowControl w:val="0"/>
        <w:autoSpaceDE w:val="0"/>
        <w:autoSpaceDN w:val="0"/>
        <w:adjustRightInd w:val="0"/>
        <w:rPr>
          <w:sz w:val="22"/>
          <w:szCs w:val="22"/>
        </w:rPr>
      </w:pPr>
    </w:p>
    <w:p w14:paraId="587F4464" w14:textId="77777777" w:rsidR="000C2A54" w:rsidRPr="00F97E5F" w:rsidRDefault="000C2A54" w:rsidP="000C2A54">
      <w:pPr>
        <w:widowControl w:val="0"/>
        <w:tabs>
          <w:tab w:val="left" w:pos="567"/>
        </w:tabs>
        <w:autoSpaceDE w:val="0"/>
        <w:autoSpaceDN w:val="0"/>
        <w:adjustRightInd w:val="0"/>
        <w:rPr>
          <w:b/>
        </w:rPr>
      </w:pPr>
      <w:r w:rsidRPr="00BE16D9">
        <w:rPr>
          <w:b/>
          <w:sz w:val="22"/>
          <w:szCs w:val="22"/>
        </w:rPr>
        <w:t>2.</w:t>
      </w:r>
      <w:r w:rsidRPr="00BE16D9">
        <w:rPr>
          <w:b/>
          <w:sz w:val="22"/>
          <w:szCs w:val="22"/>
        </w:rPr>
        <w:tab/>
      </w:r>
      <w:r w:rsidRPr="00F97E5F">
        <w:rPr>
          <w:b/>
        </w:rPr>
        <w:t>Analysis of net expenditure by segment</w:t>
      </w:r>
    </w:p>
    <w:p w14:paraId="256F91BD" w14:textId="77777777" w:rsidR="000C2A54" w:rsidRPr="00F97E5F" w:rsidRDefault="000C2A54" w:rsidP="000C2A54">
      <w:pPr>
        <w:widowControl w:val="0"/>
        <w:tabs>
          <w:tab w:val="left" w:pos="567"/>
          <w:tab w:val="right" w:pos="4140"/>
          <w:tab w:val="right" w:pos="6480"/>
          <w:tab w:val="right" w:pos="8820"/>
        </w:tabs>
        <w:autoSpaceDE w:val="0"/>
        <w:autoSpaceDN w:val="0"/>
        <w:adjustRightInd w:val="0"/>
        <w:rPr>
          <w:b/>
        </w:rPr>
      </w:pPr>
    </w:p>
    <w:p w14:paraId="67D92AEB" w14:textId="524C61D0" w:rsidR="00F61A65" w:rsidRDefault="000C2A54" w:rsidP="00250101">
      <w:pPr>
        <w:ind w:left="567"/>
        <w:rPr>
          <w:rFonts w:cs="Arial"/>
          <w:color w:val="auto"/>
          <w:lang w:val="en-US" w:eastAsia="en-GB"/>
        </w:rPr>
      </w:pPr>
      <w:r w:rsidRPr="00F97E5F">
        <w:rPr>
          <w:rFonts w:cs="Arial"/>
          <w:color w:val="auto"/>
          <w:lang w:val="en-US" w:eastAsia="en-GB"/>
        </w:rPr>
        <w:t>In line with the provisions of IFRS 8, Operating Segments, the Commission does not</w:t>
      </w:r>
      <w:r w:rsidR="00A808A9">
        <w:rPr>
          <w:rFonts w:cs="Arial"/>
          <w:color w:val="auto"/>
          <w:lang w:val="en-US" w:eastAsia="en-GB"/>
        </w:rPr>
        <w:t xml:space="preserve"> normally</w:t>
      </w:r>
      <w:r w:rsidRPr="00F97E5F">
        <w:rPr>
          <w:rFonts w:cs="Arial"/>
          <w:color w:val="auto"/>
          <w:lang w:val="en-US" w:eastAsia="en-GB"/>
        </w:rPr>
        <w:t xml:space="preserve"> analyse its net expenditure by operating segment</w:t>
      </w:r>
      <w:r>
        <w:rPr>
          <w:rFonts w:cs="Arial"/>
          <w:color w:val="auto"/>
          <w:lang w:val="en-US" w:eastAsia="en-GB"/>
        </w:rPr>
        <w:t>s</w:t>
      </w:r>
      <w:r w:rsidR="00FF1FA8">
        <w:rPr>
          <w:rFonts w:cs="Arial"/>
          <w:color w:val="auto"/>
          <w:lang w:val="en-US" w:eastAsia="en-GB"/>
        </w:rPr>
        <w:t xml:space="preserve">. </w:t>
      </w:r>
      <w:r w:rsidR="00A808A9">
        <w:rPr>
          <w:rFonts w:cs="Arial"/>
          <w:color w:val="auto"/>
          <w:lang w:val="en-US" w:eastAsia="en-GB"/>
        </w:rPr>
        <w:t xml:space="preserve">However, as the Commission received </w:t>
      </w:r>
      <w:r w:rsidR="00D619EC">
        <w:rPr>
          <w:rFonts w:cs="Arial"/>
          <w:color w:val="auto"/>
          <w:lang w:val="en-US" w:eastAsia="en-GB"/>
        </w:rPr>
        <w:t>ring-fenced</w:t>
      </w:r>
      <w:r w:rsidR="00A808A9">
        <w:rPr>
          <w:rFonts w:cs="Arial"/>
          <w:color w:val="auto"/>
          <w:lang w:val="en-US" w:eastAsia="en-GB"/>
        </w:rPr>
        <w:t xml:space="preserve"> funding for the dedicated </w:t>
      </w:r>
      <w:r w:rsidR="00B152E4">
        <w:rPr>
          <w:rFonts w:cs="Arial"/>
          <w:color w:val="auto"/>
          <w:lang w:val="en-US" w:eastAsia="en-GB"/>
        </w:rPr>
        <w:t>mechanism,</w:t>
      </w:r>
      <w:r w:rsidR="00A808A9">
        <w:rPr>
          <w:rFonts w:cs="Arial"/>
          <w:color w:val="auto"/>
          <w:lang w:val="en-US" w:eastAsia="en-GB"/>
        </w:rPr>
        <w:t xml:space="preserve"> we have disclosed this expenditure as a footnote throughout the annual report and accounts</w:t>
      </w:r>
      <w:r w:rsidR="00FF1FA8">
        <w:rPr>
          <w:rFonts w:cs="Arial"/>
          <w:color w:val="auto"/>
          <w:lang w:val="en-US" w:eastAsia="en-GB"/>
        </w:rPr>
        <w:t xml:space="preserve">. </w:t>
      </w:r>
    </w:p>
    <w:p w14:paraId="11506114" w14:textId="77777777" w:rsidR="008D760E" w:rsidRDefault="008D760E" w:rsidP="000C2A54">
      <w:pPr>
        <w:ind w:left="567"/>
        <w:rPr>
          <w:rFonts w:cs="Arial"/>
          <w:color w:val="auto"/>
          <w:lang w:val="en-US" w:eastAsia="en-GB"/>
        </w:rPr>
      </w:pPr>
    </w:p>
    <w:p w14:paraId="53A8EF5E" w14:textId="77777777" w:rsidR="000C2A54" w:rsidRPr="00F97E5F" w:rsidRDefault="000C2A54" w:rsidP="000C2A54">
      <w:pPr>
        <w:ind w:left="567" w:hanging="567"/>
        <w:rPr>
          <w:b/>
        </w:rPr>
      </w:pPr>
      <w:r w:rsidRPr="3285EAFF">
        <w:rPr>
          <w:b/>
          <w:bCs/>
        </w:rPr>
        <w:t>3.</w:t>
      </w:r>
      <w:r w:rsidRPr="00F97E5F">
        <w:rPr>
          <w:b/>
        </w:rPr>
        <w:tab/>
      </w:r>
      <w:r w:rsidRPr="3285EAFF">
        <w:rPr>
          <w:b/>
          <w:bCs/>
        </w:rPr>
        <w:t>Staff costs</w:t>
      </w:r>
      <w:r w:rsidR="001D3F77" w:rsidRPr="3285EAFF">
        <w:rPr>
          <w:rStyle w:val="FootnoteReference"/>
          <w:b/>
          <w:bCs/>
        </w:rPr>
        <w:footnoteReference w:id="16"/>
      </w:r>
    </w:p>
    <w:p w14:paraId="12F3BE58" w14:textId="77777777" w:rsidR="000C2A54" w:rsidRPr="00832258" w:rsidRDefault="000C2A54" w:rsidP="000C2A54"/>
    <w:tbl>
      <w:tblPr>
        <w:tblW w:w="10655" w:type="dxa"/>
        <w:jc w:val="center"/>
        <w:tblLayout w:type="fixed"/>
        <w:tblLook w:val="01E0" w:firstRow="1" w:lastRow="1" w:firstColumn="1" w:lastColumn="1" w:noHBand="0" w:noVBand="0"/>
      </w:tblPr>
      <w:tblGrid>
        <w:gridCol w:w="2461"/>
        <w:gridCol w:w="1534"/>
        <w:gridCol w:w="1980"/>
        <w:gridCol w:w="1800"/>
        <w:gridCol w:w="1440"/>
        <w:gridCol w:w="1440"/>
      </w:tblGrid>
      <w:tr w:rsidR="000C2A54" w:rsidRPr="00730E98" w14:paraId="00DB462D" w14:textId="77777777" w:rsidTr="000C2A54">
        <w:trPr>
          <w:jc w:val="center"/>
        </w:trPr>
        <w:tc>
          <w:tcPr>
            <w:tcW w:w="2461" w:type="dxa"/>
          </w:tcPr>
          <w:p w14:paraId="2BD9FD9A" w14:textId="77777777" w:rsidR="000C2A54" w:rsidRPr="00730E98" w:rsidRDefault="000C2A54" w:rsidP="000C2A54">
            <w:pPr>
              <w:jc w:val="right"/>
              <w:rPr>
                <w:sz w:val="20"/>
                <w:szCs w:val="20"/>
              </w:rPr>
            </w:pPr>
          </w:p>
        </w:tc>
        <w:tc>
          <w:tcPr>
            <w:tcW w:w="1534" w:type="dxa"/>
          </w:tcPr>
          <w:p w14:paraId="64E2C94C" w14:textId="77777777" w:rsidR="000C2A54" w:rsidRPr="00730E98" w:rsidRDefault="008D53CC" w:rsidP="000C2A54">
            <w:pPr>
              <w:jc w:val="right"/>
              <w:rPr>
                <w:b/>
                <w:sz w:val="20"/>
                <w:szCs w:val="20"/>
              </w:rPr>
            </w:pPr>
            <w:r>
              <w:rPr>
                <w:b/>
                <w:sz w:val="20"/>
                <w:szCs w:val="20"/>
              </w:rPr>
              <w:t>2021-22</w:t>
            </w:r>
          </w:p>
          <w:p w14:paraId="6B5145F8" w14:textId="77777777" w:rsidR="000C2A54" w:rsidRPr="00730E98" w:rsidRDefault="000C2A54" w:rsidP="000C2A54">
            <w:pPr>
              <w:jc w:val="right"/>
              <w:rPr>
                <w:b/>
                <w:sz w:val="20"/>
                <w:szCs w:val="20"/>
              </w:rPr>
            </w:pPr>
            <w:r w:rsidRPr="00730E98">
              <w:rPr>
                <w:b/>
                <w:sz w:val="20"/>
                <w:szCs w:val="20"/>
              </w:rPr>
              <w:t>total</w:t>
            </w:r>
          </w:p>
        </w:tc>
        <w:tc>
          <w:tcPr>
            <w:tcW w:w="1980" w:type="dxa"/>
          </w:tcPr>
          <w:p w14:paraId="27F6215F" w14:textId="77777777" w:rsidR="000C2A54" w:rsidRPr="00730E98" w:rsidRDefault="000C2A54" w:rsidP="000C2A54">
            <w:pPr>
              <w:jc w:val="right"/>
              <w:rPr>
                <w:b/>
                <w:sz w:val="20"/>
                <w:szCs w:val="20"/>
              </w:rPr>
            </w:pPr>
            <w:r w:rsidRPr="00730E98">
              <w:rPr>
                <w:b/>
                <w:sz w:val="20"/>
                <w:szCs w:val="20"/>
              </w:rPr>
              <w:t>Commissioners</w:t>
            </w:r>
          </w:p>
        </w:tc>
        <w:tc>
          <w:tcPr>
            <w:tcW w:w="1800" w:type="dxa"/>
          </w:tcPr>
          <w:p w14:paraId="286B111B" w14:textId="77777777" w:rsidR="000C2A54" w:rsidRPr="00730E98" w:rsidRDefault="000C2A54" w:rsidP="000C2A54">
            <w:pPr>
              <w:jc w:val="right"/>
              <w:rPr>
                <w:b/>
                <w:sz w:val="20"/>
                <w:szCs w:val="20"/>
              </w:rPr>
            </w:pPr>
            <w:r w:rsidRPr="00730E98">
              <w:rPr>
                <w:b/>
                <w:sz w:val="20"/>
                <w:szCs w:val="20"/>
              </w:rPr>
              <w:t>Permanently</w:t>
            </w:r>
          </w:p>
          <w:p w14:paraId="2E7BF940" w14:textId="77777777" w:rsidR="00660AE7" w:rsidRPr="00730E98" w:rsidRDefault="000C2A54" w:rsidP="00660AE7">
            <w:pPr>
              <w:jc w:val="right"/>
              <w:rPr>
                <w:b/>
                <w:sz w:val="20"/>
                <w:szCs w:val="20"/>
              </w:rPr>
            </w:pPr>
            <w:r w:rsidRPr="00730E98">
              <w:rPr>
                <w:b/>
                <w:sz w:val="20"/>
                <w:szCs w:val="20"/>
              </w:rPr>
              <w:t>Employed</w:t>
            </w:r>
            <w:r>
              <w:rPr>
                <w:b/>
                <w:sz w:val="20"/>
                <w:szCs w:val="20"/>
              </w:rPr>
              <w:t xml:space="preserve"> </w:t>
            </w:r>
          </w:p>
          <w:p w14:paraId="6515C7D1" w14:textId="77777777" w:rsidR="000C2A54" w:rsidRPr="00730E98" w:rsidRDefault="000C2A54" w:rsidP="000C2A54">
            <w:pPr>
              <w:jc w:val="right"/>
              <w:rPr>
                <w:b/>
                <w:sz w:val="20"/>
                <w:szCs w:val="20"/>
              </w:rPr>
            </w:pPr>
          </w:p>
        </w:tc>
        <w:tc>
          <w:tcPr>
            <w:tcW w:w="1440" w:type="dxa"/>
          </w:tcPr>
          <w:p w14:paraId="0F9F8647" w14:textId="77777777" w:rsidR="000C2A54" w:rsidRPr="00730E98" w:rsidRDefault="000C2A54" w:rsidP="000C2A54">
            <w:pPr>
              <w:jc w:val="right"/>
              <w:rPr>
                <w:b/>
                <w:sz w:val="20"/>
                <w:szCs w:val="20"/>
              </w:rPr>
            </w:pPr>
            <w:r w:rsidRPr="00730E98">
              <w:rPr>
                <w:b/>
                <w:sz w:val="20"/>
                <w:szCs w:val="20"/>
              </w:rPr>
              <w:t>Others</w:t>
            </w:r>
          </w:p>
          <w:p w14:paraId="75EF141A" w14:textId="77777777" w:rsidR="000C2A54" w:rsidRPr="00730E98" w:rsidRDefault="000C2A54" w:rsidP="000C2A54">
            <w:pPr>
              <w:jc w:val="right"/>
              <w:rPr>
                <w:b/>
                <w:sz w:val="20"/>
                <w:szCs w:val="20"/>
              </w:rPr>
            </w:pPr>
          </w:p>
        </w:tc>
        <w:tc>
          <w:tcPr>
            <w:tcW w:w="1440" w:type="dxa"/>
          </w:tcPr>
          <w:p w14:paraId="6FE32021" w14:textId="77777777" w:rsidR="000C2A54" w:rsidRPr="00730E98" w:rsidRDefault="004E6BF5" w:rsidP="000C2A54">
            <w:pPr>
              <w:jc w:val="right"/>
              <w:rPr>
                <w:b/>
                <w:sz w:val="20"/>
                <w:szCs w:val="20"/>
              </w:rPr>
            </w:pPr>
            <w:r>
              <w:rPr>
                <w:b/>
                <w:sz w:val="20"/>
                <w:szCs w:val="20"/>
              </w:rPr>
              <w:t>20</w:t>
            </w:r>
            <w:r w:rsidR="008D53CC">
              <w:rPr>
                <w:b/>
                <w:sz w:val="20"/>
                <w:szCs w:val="20"/>
              </w:rPr>
              <w:t>20-21</w:t>
            </w:r>
          </w:p>
          <w:p w14:paraId="77548766" w14:textId="77777777" w:rsidR="000C2A54" w:rsidRPr="00730E98" w:rsidRDefault="000C2A54" w:rsidP="000C2A54">
            <w:pPr>
              <w:jc w:val="right"/>
              <w:rPr>
                <w:b/>
                <w:sz w:val="20"/>
                <w:szCs w:val="20"/>
              </w:rPr>
            </w:pPr>
            <w:r w:rsidRPr="00730E98">
              <w:rPr>
                <w:b/>
                <w:sz w:val="20"/>
                <w:szCs w:val="20"/>
              </w:rPr>
              <w:t>total</w:t>
            </w:r>
          </w:p>
        </w:tc>
      </w:tr>
      <w:tr w:rsidR="000C2A54" w:rsidRPr="00730E98" w14:paraId="2641C642" w14:textId="77777777" w:rsidTr="000C2A54">
        <w:trPr>
          <w:jc w:val="center"/>
        </w:trPr>
        <w:tc>
          <w:tcPr>
            <w:tcW w:w="2461" w:type="dxa"/>
          </w:tcPr>
          <w:p w14:paraId="771FD209" w14:textId="77777777" w:rsidR="000C2A54" w:rsidRPr="00730E98" w:rsidRDefault="000C2A54" w:rsidP="000C2A54">
            <w:pPr>
              <w:jc w:val="right"/>
              <w:rPr>
                <w:sz w:val="20"/>
                <w:szCs w:val="20"/>
              </w:rPr>
            </w:pPr>
          </w:p>
        </w:tc>
        <w:tc>
          <w:tcPr>
            <w:tcW w:w="1534" w:type="dxa"/>
          </w:tcPr>
          <w:p w14:paraId="1AC98B20" w14:textId="77777777" w:rsidR="000C2A54" w:rsidRPr="00730E9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730E98">
              <w:rPr>
                <w:b/>
                <w:sz w:val="20"/>
                <w:szCs w:val="20"/>
              </w:rPr>
              <w:t>£</w:t>
            </w:r>
          </w:p>
        </w:tc>
        <w:tc>
          <w:tcPr>
            <w:tcW w:w="1980" w:type="dxa"/>
          </w:tcPr>
          <w:p w14:paraId="40EB0033" w14:textId="77777777" w:rsidR="000C2A54" w:rsidRPr="00730E9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730E98">
              <w:rPr>
                <w:b/>
                <w:sz w:val="20"/>
                <w:szCs w:val="20"/>
              </w:rPr>
              <w:t>£</w:t>
            </w:r>
          </w:p>
        </w:tc>
        <w:tc>
          <w:tcPr>
            <w:tcW w:w="1800" w:type="dxa"/>
          </w:tcPr>
          <w:p w14:paraId="12737980" w14:textId="77777777" w:rsidR="000C2A54" w:rsidRPr="00730E98" w:rsidRDefault="00243E7B" w:rsidP="00243E7B">
            <w:pPr>
              <w:widowControl w:val="0"/>
              <w:tabs>
                <w:tab w:val="left" w:pos="567"/>
                <w:tab w:val="right" w:pos="4140"/>
                <w:tab w:val="right" w:pos="6480"/>
                <w:tab w:val="right" w:pos="8820"/>
              </w:tabs>
              <w:autoSpaceDE w:val="0"/>
              <w:autoSpaceDN w:val="0"/>
              <w:adjustRightInd w:val="0"/>
              <w:jc w:val="center"/>
              <w:rPr>
                <w:b/>
                <w:sz w:val="20"/>
                <w:szCs w:val="20"/>
              </w:rPr>
            </w:pPr>
            <w:r>
              <w:rPr>
                <w:b/>
                <w:sz w:val="20"/>
                <w:szCs w:val="20"/>
              </w:rPr>
              <w:t xml:space="preserve">            </w:t>
            </w:r>
            <w:r w:rsidR="000C2A54" w:rsidRPr="00730E98">
              <w:rPr>
                <w:b/>
                <w:sz w:val="20"/>
                <w:szCs w:val="20"/>
              </w:rPr>
              <w:t>£</w:t>
            </w:r>
          </w:p>
        </w:tc>
        <w:tc>
          <w:tcPr>
            <w:tcW w:w="1440" w:type="dxa"/>
          </w:tcPr>
          <w:p w14:paraId="7308D639" w14:textId="77777777" w:rsidR="000C2A54" w:rsidRPr="00730E9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730E98">
              <w:rPr>
                <w:b/>
                <w:sz w:val="20"/>
                <w:szCs w:val="20"/>
              </w:rPr>
              <w:t>£</w:t>
            </w:r>
          </w:p>
        </w:tc>
        <w:tc>
          <w:tcPr>
            <w:tcW w:w="1440" w:type="dxa"/>
          </w:tcPr>
          <w:p w14:paraId="350F47C9" w14:textId="77777777" w:rsidR="000C2A54" w:rsidRPr="00730E9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730E98">
              <w:rPr>
                <w:b/>
                <w:sz w:val="20"/>
                <w:szCs w:val="20"/>
              </w:rPr>
              <w:t>£</w:t>
            </w:r>
          </w:p>
        </w:tc>
      </w:tr>
      <w:tr w:rsidR="00E64B1A" w:rsidRPr="00863EC6" w14:paraId="54BBBFFE" w14:textId="77777777" w:rsidTr="000C2A54">
        <w:trPr>
          <w:jc w:val="center"/>
        </w:trPr>
        <w:tc>
          <w:tcPr>
            <w:tcW w:w="2461" w:type="dxa"/>
          </w:tcPr>
          <w:p w14:paraId="445F9C75" w14:textId="77777777" w:rsidR="00E64B1A" w:rsidRPr="00863EC6" w:rsidRDefault="00E64B1A" w:rsidP="00E64B1A">
            <w:pPr>
              <w:rPr>
                <w:sz w:val="20"/>
                <w:szCs w:val="20"/>
              </w:rPr>
            </w:pPr>
            <w:r w:rsidRPr="00863EC6">
              <w:rPr>
                <w:sz w:val="20"/>
                <w:szCs w:val="20"/>
              </w:rPr>
              <w:t xml:space="preserve">Wages </w:t>
            </w:r>
            <w:r>
              <w:rPr>
                <w:sz w:val="20"/>
                <w:szCs w:val="20"/>
              </w:rPr>
              <w:t>and</w:t>
            </w:r>
            <w:r w:rsidRPr="00863EC6">
              <w:rPr>
                <w:sz w:val="20"/>
                <w:szCs w:val="20"/>
              </w:rPr>
              <w:t xml:space="preserve"> </w:t>
            </w:r>
            <w:r>
              <w:rPr>
                <w:sz w:val="20"/>
                <w:szCs w:val="20"/>
              </w:rPr>
              <w:t>s</w:t>
            </w:r>
            <w:r w:rsidRPr="00863EC6">
              <w:rPr>
                <w:sz w:val="20"/>
                <w:szCs w:val="20"/>
              </w:rPr>
              <w:t>alaries</w:t>
            </w:r>
          </w:p>
        </w:tc>
        <w:tc>
          <w:tcPr>
            <w:tcW w:w="1534" w:type="dxa"/>
          </w:tcPr>
          <w:p w14:paraId="2301FD1D" w14:textId="77777777" w:rsidR="00E64B1A" w:rsidRPr="00863EC6" w:rsidRDefault="008D53CC" w:rsidP="00E64B1A">
            <w:pPr>
              <w:jc w:val="right"/>
              <w:rPr>
                <w:sz w:val="20"/>
                <w:szCs w:val="20"/>
              </w:rPr>
            </w:pPr>
            <w:r>
              <w:rPr>
                <w:sz w:val="20"/>
                <w:szCs w:val="20"/>
              </w:rPr>
              <w:t>1,151,327</w:t>
            </w:r>
          </w:p>
        </w:tc>
        <w:tc>
          <w:tcPr>
            <w:tcW w:w="1980" w:type="dxa"/>
          </w:tcPr>
          <w:p w14:paraId="1E57F563" w14:textId="77777777" w:rsidR="00E64B1A" w:rsidDel="006E56F3" w:rsidRDefault="008D53CC" w:rsidP="00E64B1A">
            <w:pPr>
              <w:jc w:val="right"/>
              <w:rPr>
                <w:sz w:val="20"/>
                <w:szCs w:val="20"/>
              </w:rPr>
            </w:pPr>
            <w:r>
              <w:rPr>
                <w:sz w:val="20"/>
                <w:szCs w:val="20"/>
              </w:rPr>
              <w:t>117,477</w:t>
            </w:r>
          </w:p>
        </w:tc>
        <w:tc>
          <w:tcPr>
            <w:tcW w:w="1800" w:type="dxa"/>
          </w:tcPr>
          <w:p w14:paraId="2F6DA51E" w14:textId="77777777" w:rsidR="00E64B1A" w:rsidRPr="00863EC6" w:rsidRDefault="00255020" w:rsidP="00255020">
            <w:pPr>
              <w:rPr>
                <w:sz w:val="20"/>
                <w:szCs w:val="20"/>
              </w:rPr>
            </w:pPr>
            <w:r>
              <w:rPr>
                <w:sz w:val="20"/>
                <w:szCs w:val="20"/>
              </w:rPr>
              <w:t xml:space="preserve">        </w:t>
            </w:r>
            <w:r w:rsidR="008D53CC">
              <w:rPr>
                <w:sz w:val="20"/>
                <w:szCs w:val="20"/>
              </w:rPr>
              <w:t>968,256</w:t>
            </w:r>
            <w:r>
              <w:rPr>
                <w:sz w:val="20"/>
                <w:szCs w:val="20"/>
              </w:rPr>
              <w:t xml:space="preserve"> </w:t>
            </w:r>
          </w:p>
        </w:tc>
        <w:tc>
          <w:tcPr>
            <w:tcW w:w="1440" w:type="dxa"/>
          </w:tcPr>
          <w:p w14:paraId="1C6434AF" w14:textId="7D2127EE" w:rsidR="00E64B1A" w:rsidRPr="00766324" w:rsidRDefault="00276847" w:rsidP="00E64B1A">
            <w:pPr>
              <w:jc w:val="right"/>
              <w:rPr>
                <w:sz w:val="20"/>
                <w:szCs w:val="20"/>
              </w:rPr>
            </w:pPr>
            <w:r>
              <w:rPr>
                <w:sz w:val="20"/>
                <w:szCs w:val="20"/>
              </w:rPr>
              <w:t>65,594</w:t>
            </w:r>
          </w:p>
        </w:tc>
        <w:tc>
          <w:tcPr>
            <w:tcW w:w="1440" w:type="dxa"/>
          </w:tcPr>
          <w:p w14:paraId="4B45EDAC" w14:textId="77777777" w:rsidR="00E64B1A" w:rsidRPr="00863EC6" w:rsidRDefault="008D53CC" w:rsidP="00E64B1A">
            <w:pPr>
              <w:jc w:val="right"/>
              <w:rPr>
                <w:sz w:val="20"/>
                <w:szCs w:val="20"/>
              </w:rPr>
            </w:pPr>
            <w:r>
              <w:rPr>
                <w:sz w:val="20"/>
                <w:szCs w:val="20"/>
              </w:rPr>
              <w:t>744,428</w:t>
            </w:r>
          </w:p>
        </w:tc>
      </w:tr>
      <w:tr w:rsidR="00E64B1A" w:rsidRPr="00863EC6" w14:paraId="487A1C5F" w14:textId="77777777" w:rsidTr="000C2A54">
        <w:trPr>
          <w:jc w:val="center"/>
        </w:trPr>
        <w:tc>
          <w:tcPr>
            <w:tcW w:w="2461" w:type="dxa"/>
          </w:tcPr>
          <w:p w14:paraId="41C14B50" w14:textId="77777777" w:rsidR="00E64B1A" w:rsidRPr="00863EC6" w:rsidRDefault="00E64B1A" w:rsidP="00E64B1A">
            <w:pPr>
              <w:rPr>
                <w:sz w:val="20"/>
                <w:szCs w:val="20"/>
              </w:rPr>
            </w:pPr>
            <w:r w:rsidRPr="00863EC6">
              <w:rPr>
                <w:sz w:val="20"/>
                <w:szCs w:val="20"/>
              </w:rPr>
              <w:t>Social security costs</w:t>
            </w:r>
          </w:p>
        </w:tc>
        <w:tc>
          <w:tcPr>
            <w:tcW w:w="1534" w:type="dxa"/>
          </w:tcPr>
          <w:p w14:paraId="2F732650" w14:textId="77777777" w:rsidR="00E64B1A" w:rsidRPr="0050481D" w:rsidRDefault="008D53CC" w:rsidP="00E64B1A">
            <w:pPr>
              <w:jc w:val="right"/>
              <w:rPr>
                <w:sz w:val="20"/>
                <w:szCs w:val="20"/>
              </w:rPr>
            </w:pPr>
            <w:r>
              <w:rPr>
                <w:sz w:val="20"/>
                <w:szCs w:val="20"/>
              </w:rPr>
              <w:t>119,918</w:t>
            </w:r>
          </w:p>
        </w:tc>
        <w:tc>
          <w:tcPr>
            <w:tcW w:w="1980" w:type="dxa"/>
          </w:tcPr>
          <w:p w14:paraId="6F919444" w14:textId="77777777" w:rsidR="00E64B1A" w:rsidRPr="0050481D" w:rsidRDefault="008D53CC" w:rsidP="00E64B1A">
            <w:pPr>
              <w:jc w:val="right"/>
              <w:rPr>
                <w:sz w:val="20"/>
                <w:szCs w:val="20"/>
              </w:rPr>
            </w:pPr>
            <w:r>
              <w:rPr>
                <w:sz w:val="20"/>
                <w:szCs w:val="20"/>
              </w:rPr>
              <w:t>9,464</w:t>
            </w:r>
          </w:p>
        </w:tc>
        <w:tc>
          <w:tcPr>
            <w:tcW w:w="1800" w:type="dxa"/>
          </w:tcPr>
          <w:p w14:paraId="3EF1E04D" w14:textId="77777777" w:rsidR="00E64B1A" w:rsidRPr="0050481D" w:rsidRDefault="00255020" w:rsidP="00255020">
            <w:pPr>
              <w:rPr>
                <w:sz w:val="20"/>
                <w:szCs w:val="20"/>
              </w:rPr>
            </w:pPr>
            <w:r>
              <w:rPr>
                <w:sz w:val="20"/>
                <w:szCs w:val="20"/>
              </w:rPr>
              <w:t xml:space="preserve">        </w:t>
            </w:r>
            <w:r w:rsidR="008D53CC">
              <w:rPr>
                <w:sz w:val="20"/>
                <w:szCs w:val="20"/>
              </w:rPr>
              <w:t>107,394</w:t>
            </w:r>
          </w:p>
        </w:tc>
        <w:tc>
          <w:tcPr>
            <w:tcW w:w="1440" w:type="dxa"/>
          </w:tcPr>
          <w:p w14:paraId="6036BD84" w14:textId="77777777" w:rsidR="00E64B1A" w:rsidRPr="00766324" w:rsidRDefault="008D53CC" w:rsidP="00E64B1A">
            <w:pPr>
              <w:jc w:val="right"/>
              <w:rPr>
                <w:sz w:val="20"/>
                <w:szCs w:val="20"/>
              </w:rPr>
            </w:pPr>
            <w:r>
              <w:rPr>
                <w:sz w:val="20"/>
                <w:szCs w:val="20"/>
              </w:rPr>
              <w:t>3,060</w:t>
            </w:r>
          </w:p>
        </w:tc>
        <w:tc>
          <w:tcPr>
            <w:tcW w:w="1440" w:type="dxa"/>
          </w:tcPr>
          <w:p w14:paraId="2F115F19" w14:textId="77777777" w:rsidR="00E64B1A" w:rsidRPr="00863EC6" w:rsidRDefault="008D53CC" w:rsidP="00E64B1A">
            <w:pPr>
              <w:jc w:val="right"/>
              <w:rPr>
                <w:sz w:val="20"/>
                <w:szCs w:val="20"/>
              </w:rPr>
            </w:pPr>
            <w:r>
              <w:rPr>
                <w:sz w:val="20"/>
                <w:szCs w:val="20"/>
              </w:rPr>
              <w:t>69,057</w:t>
            </w:r>
          </w:p>
        </w:tc>
      </w:tr>
      <w:tr w:rsidR="00E64B1A" w:rsidRPr="00863EC6" w14:paraId="0588F9B7" w14:textId="77777777" w:rsidTr="000C2A54">
        <w:trPr>
          <w:jc w:val="center"/>
        </w:trPr>
        <w:tc>
          <w:tcPr>
            <w:tcW w:w="2461" w:type="dxa"/>
          </w:tcPr>
          <w:p w14:paraId="0F9F3DA2" w14:textId="77777777" w:rsidR="00E64B1A" w:rsidRPr="00863EC6" w:rsidRDefault="00E64B1A" w:rsidP="00E64B1A">
            <w:pPr>
              <w:rPr>
                <w:sz w:val="20"/>
                <w:szCs w:val="20"/>
              </w:rPr>
            </w:pPr>
            <w:r w:rsidRPr="00863EC6">
              <w:rPr>
                <w:sz w:val="20"/>
                <w:szCs w:val="20"/>
              </w:rPr>
              <w:t>Other pension costs</w:t>
            </w:r>
          </w:p>
        </w:tc>
        <w:tc>
          <w:tcPr>
            <w:tcW w:w="1534" w:type="dxa"/>
            <w:tcBorders>
              <w:bottom w:val="single" w:sz="4" w:space="0" w:color="auto"/>
            </w:tcBorders>
          </w:tcPr>
          <w:p w14:paraId="6B0C3083" w14:textId="77777777" w:rsidR="00E64B1A" w:rsidRPr="0050481D" w:rsidRDefault="008D53CC" w:rsidP="00E64B1A">
            <w:pPr>
              <w:jc w:val="right"/>
              <w:rPr>
                <w:sz w:val="20"/>
                <w:szCs w:val="20"/>
              </w:rPr>
            </w:pPr>
            <w:r>
              <w:rPr>
                <w:sz w:val="20"/>
                <w:szCs w:val="20"/>
              </w:rPr>
              <w:t>301,768</w:t>
            </w:r>
          </w:p>
        </w:tc>
        <w:tc>
          <w:tcPr>
            <w:tcW w:w="1980" w:type="dxa"/>
            <w:tcBorders>
              <w:bottom w:val="single" w:sz="4" w:space="0" w:color="auto"/>
            </w:tcBorders>
          </w:tcPr>
          <w:p w14:paraId="4DAE086D" w14:textId="77777777" w:rsidR="00E64B1A" w:rsidRPr="0050481D" w:rsidRDefault="008D53CC" w:rsidP="00E64B1A">
            <w:pPr>
              <w:jc w:val="right"/>
              <w:rPr>
                <w:sz w:val="20"/>
                <w:szCs w:val="20"/>
              </w:rPr>
            </w:pPr>
            <w:r>
              <w:rPr>
                <w:sz w:val="20"/>
                <w:szCs w:val="20"/>
              </w:rPr>
              <w:t>21,441</w:t>
            </w:r>
          </w:p>
        </w:tc>
        <w:tc>
          <w:tcPr>
            <w:tcW w:w="1800" w:type="dxa"/>
            <w:tcBorders>
              <w:bottom w:val="single" w:sz="4" w:space="0" w:color="auto"/>
            </w:tcBorders>
          </w:tcPr>
          <w:p w14:paraId="28861ABC" w14:textId="77777777" w:rsidR="00E64B1A" w:rsidRPr="0050481D" w:rsidRDefault="00255020" w:rsidP="00255020">
            <w:pPr>
              <w:rPr>
                <w:sz w:val="20"/>
                <w:szCs w:val="20"/>
              </w:rPr>
            </w:pPr>
            <w:r>
              <w:rPr>
                <w:sz w:val="20"/>
                <w:szCs w:val="20"/>
              </w:rPr>
              <w:t xml:space="preserve">        </w:t>
            </w:r>
            <w:r w:rsidR="008D53CC">
              <w:rPr>
                <w:sz w:val="20"/>
                <w:szCs w:val="20"/>
              </w:rPr>
              <w:t>272,704</w:t>
            </w:r>
          </w:p>
        </w:tc>
        <w:tc>
          <w:tcPr>
            <w:tcW w:w="1440" w:type="dxa"/>
            <w:tcBorders>
              <w:bottom w:val="single" w:sz="4" w:space="0" w:color="auto"/>
            </w:tcBorders>
          </w:tcPr>
          <w:p w14:paraId="3BBC6FAB" w14:textId="77777777" w:rsidR="00E64B1A" w:rsidRPr="00766324" w:rsidRDefault="008D53CC" w:rsidP="00E64B1A">
            <w:pPr>
              <w:jc w:val="right"/>
              <w:rPr>
                <w:sz w:val="20"/>
                <w:szCs w:val="20"/>
              </w:rPr>
            </w:pPr>
            <w:r>
              <w:rPr>
                <w:sz w:val="20"/>
                <w:szCs w:val="20"/>
              </w:rPr>
              <w:t>7,623</w:t>
            </w:r>
          </w:p>
        </w:tc>
        <w:tc>
          <w:tcPr>
            <w:tcW w:w="1440" w:type="dxa"/>
            <w:tcBorders>
              <w:bottom w:val="single" w:sz="4" w:space="0" w:color="auto"/>
            </w:tcBorders>
          </w:tcPr>
          <w:p w14:paraId="4714D700" w14:textId="77777777" w:rsidR="00E64B1A" w:rsidRPr="00863EC6" w:rsidRDefault="008D53CC" w:rsidP="00E64B1A">
            <w:pPr>
              <w:jc w:val="right"/>
              <w:rPr>
                <w:sz w:val="20"/>
                <w:szCs w:val="20"/>
              </w:rPr>
            </w:pPr>
            <w:r>
              <w:rPr>
                <w:sz w:val="20"/>
                <w:szCs w:val="20"/>
              </w:rPr>
              <w:t>174,156</w:t>
            </w:r>
          </w:p>
        </w:tc>
      </w:tr>
      <w:tr w:rsidR="00E64B1A" w:rsidRPr="00863EC6" w14:paraId="087732C9" w14:textId="77777777" w:rsidTr="000C2A54">
        <w:trPr>
          <w:jc w:val="center"/>
        </w:trPr>
        <w:tc>
          <w:tcPr>
            <w:tcW w:w="2461" w:type="dxa"/>
          </w:tcPr>
          <w:p w14:paraId="72E0855E" w14:textId="77777777" w:rsidR="00E64B1A" w:rsidRPr="008F1FC0" w:rsidRDefault="00E64B1A" w:rsidP="00E64B1A">
            <w:pPr>
              <w:rPr>
                <w:b/>
                <w:sz w:val="20"/>
                <w:szCs w:val="20"/>
              </w:rPr>
            </w:pPr>
            <w:r>
              <w:rPr>
                <w:b/>
                <w:sz w:val="20"/>
                <w:szCs w:val="20"/>
              </w:rPr>
              <w:t>Total Staff Costs</w:t>
            </w:r>
          </w:p>
        </w:tc>
        <w:tc>
          <w:tcPr>
            <w:tcW w:w="1534" w:type="dxa"/>
            <w:tcBorders>
              <w:top w:val="single" w:sz="4" w:space="0" w:color="auto"/>
              <w:bottom w:val="single" w:sz="4" w:space="0" w:color="auto"/>
            </w:tcBorders>
          </w:tcPr>
          <w:p w14:paraId="2A696794" w14:textId="77777777" w:rsidR="00E64B1A" w:rsidRPr="0050481D" w:rsidRDefault="008D53CC" w:rsidP="00E64B1A">
            <w:pPr>
              <w:jc w:val="right"/>
              <w:rPr>
                <w:b/>
                <w:sz w:val="20"/>
                <w:szCs w:val="20"/>
              </w:rPr>
            </w:pPr>
            <w:r>
              <w:rPr>
                <w:b/>
                <w:sz w:val="20"/>
                <w:szCs w:val="20"/>
              </w:rPr>
              <w:t>1,573,013</w:t>
            </w:r>
          </w:p>
        </w:tc>
        <w:tc>
          <w:tcPr>
            <w:tcW w:w="1980" w:type="dxa"/>
            <w:tcBorders>
              <w:top w:val="single" w:sz="4" w:space="0" w:color="auto"/>
              <w:bottom w:val="single" w:sz="4" w:space="0" w:color="auto"/>
            </w:tcBorders>
          </w:tcPr>
          <w:p w14:paraId="28B75921" w14:textId="77777777" w:rsidR="00E64B1A" w:rsidRPr="0050481D" w:rsidDel="006E56F3" w:rsidRDefault="008D53CC" w:rsidP="00E64B1A">
            <w:pPr>
              <w:jc w:val="right"/>
              <w:rPr>
                <w:b/>
                <w:sz w:val="20"/>
                <w:szCs w:val="20"/>
              </w:rPr>
            </w:pPr>
            <w:r>
              <w:rPr>
                <w:b/>
                <w:sz w:val="20"/>
                <w:szCs w:val="20"/>
              </w:rPr>
              <w:t>148,382</w:t>
            </w:r>
          </w:p>
        </w:tc>
        <w:tc>
          <w:tcPr>
            <w:tcW w:w="1800" w:type="dxa"/>
            <w:tcBorders>
              <w:top w:val="single" w:sz="4" w:space="0" w:color="auto"/>
              <w:bottom w:val="single" w:sz="4" w:space="0" w:color="auto"/>
            </w:tcBorders>
          </w:tcPr>
          <w:p w14:paraId="1CE321F4" w14:textId="77777777" w:rsidR="00E64B1A" w:rsidRPr="0050481D" w:rsidRDefault="008D53CC" w:rsidP="00E64B1A">
            <w:pPr>
              <w:jc w:val="right"/>
              <w:rPr>
                <w:b/>
                <w:sz w:val="20"/>
                <w:szCs w:val="20"/>
              </w:rPr>
            </w:pPr>
            <w:r>
              <w:rPr>
                <w:b/>
                <w:sz w:val="20"/>
                <w:szCs w:val="20"/>
              </w:rPr>
              <w:t>1,348,354</w:t>
            </w:r>
            <w:r w:rsidR="00255020">
              <w:rPr>
                <w:rStyle w:val="FootnoteReference"/>
                <w:b/>
                <w:sz w:val="20"/>
                <w:szCs w:val="20"/>
              </w:rPr>
              <w:footnoteReference w:id="17"/>
            </w:r>
          </w:p>
        </w:tc>
        <w:tc>
          <w:tcPr>
            <w:tcW w:w="1440" w:type="dxa"/>
            <w:tcBorders>
              <w:top w:val="single" w:sz="4" w:space="0" w:color="auto"/>
              <w:bottom w:val="single" w:sz="4" w:space="0" w:color="auto"/>
            </w:tcBorders>
          </w:tcPr>
          <w:p w14:paraId="509A54BF" w14:textId="77777777" w:rsidR="00E64B1A" w:rsidRPr="008F1FC0" w:rsidRDefault="008D53CC" w:rsidP="00E64B1A">
            <w:pPr>
              <w:jc w:val="right"/>
              <w:rPr>
                <w:b/>
                <w:sz w:val="20"/>
                <w:szCs w:val="20"/>
              </w:rPr>
            </w:pPr>
            <w:r>
              <w:rPr>
                <w:b/>
                <w:sz w:val="20"/>
                <w:szCs w:val="20"/>
              </w:rPr>
              <w:t>76,277</w:t>
            </w:r>
          </w:p>
        </w:tc>
        <w:tc>
          <w:tcPr>
            <w:tcW w:w="1440" w:type="dxa"/>
            <w:tcBorders>
              <w:top w:val="single" w:sz="4" w:space="0" w:color="auto"/>
              <w:bottom w:val="single" w:sz="4" w:space="0" w:color="auto"/>
            </w:tcBorders>
          </w:tcPr>
          <w:p w14:paraId="4BB20BB0" w14:textId="77777777" w:rsidR="00E64B1A" w:rsidRPr="008F1FC0" w:rsidRDefault="008D53CC" w:rsidP="00E64B1A">
            <w:pPr>
              <w:jc w:val="right"/>
              <w:rPr>
                <w:b/>
                <w:sz w:val="20"/>
                <w:szCs w:val="20"/>
              </w:rPr>
            </w:pPr>
            <w:r>
              <w:rPr>
                <w:b/>
                <w:sz w:val="20"/>
                <w:szCs w:val="20"/>
              </w:rPr>
              <w:t>987,641</w:t>
            </w:r>
          </w:p>
        </w:tc>
      </w:tr>
    </w:tbl>
    <w:p w14:paraId="5FE4064F" w14:textId="77777777" w:rsidR="000C2A54" w:rsidRDefault="000C2A54" w:rsidP="000C2A54">
      <w:pPr>
        <w:autoSpaceDE w:val="0"/>
        <w:autoSpaceDN w:val="0"/>
        <w:adjustRightInd w:val="0"/>
        <w:ind w:left="567"/>
      </w:pPr>
    </w:p>
    <w:p w14:paraId="49D2F4DE" w14:textId="77777777" w:rsidR="00417CAC" w:rsidRDefault="00417CAC">
      <w:pPr>
        <w:rPr>
          <w:b/>
        </w:rPr>
      </w:pPr>
    </w:p>
    <w:p w14:paraId="3D08BF44" w14:textId="77777777" w:rsidR="001B791D" w:rsidRDefault="001B791D">
      <w:pPr>
        <w:rPr>
          <w:b/>
        </w:rPr>
      </w:pPr>
      <w:r>
        <w:rPr>
          <w:b/>
        </w:rPr>
        <w:br w:type="page"/>
      </w:r>
    </w:p>
    <w:p w14:paraId="139E6CA5" w14:textId="77777777" w:rsidR="000C2A54" w:rsidRPr="00676064" w:rsidRDefault="000C2A54" w:rsidP="000C2A54">
      <w:pPr>
        <w:widowControl w:val="0"/>
        <w:tabs>
          <w:tab w:val="left" w:pos="567"/>
          <w:tab w:val="right" w:pos="7371"/>
          <w:tab w:val="right" w:pos="9356"/>
        </w:tabs>
        <w:autoSpaceDE w:val="0"/>
        <w:autoSpaceDN w:val="0"/>
        <w:adjustRightInd w:val="0"/>
        <w:rPr>
          <w:b/>
        </w:rPr>
      </w:pPr>
      <w:r w:rsidRPr="00676064">
        <w:rPr>
          <w:b/>
        </w:rPr>
        <w:t>4.</w:t>
      </w:r>
      <w:r w:rsidRPr="00676064">
        <w:rPr>
          <w:b/>
        </w:rPr>
        <w:tab/>
        <w:t>Other expenditure</w:t>
      </w:r>
      <w:r w:rsidR="00235025">
        <w:rPr>
          <w:b/>
        </w:rPr>
        <w:t xml:space="preserve"> </w:t>
      </w:r>
    </w:p>
    <w:p w14:paraId="3FBAC0B8" w14:textId="77777777" w:rsidR="000C2A54" w:rsidRPr="00676064" w:rsidRDefault="000C2A54" w:rsidP="000C2A54">
      <w:pPr>
        <w:widowControl w:val="0"/>
        <w:tabs>
          <w:tab w:val="left" w:pos="567"/>
          <w:tab w:val="right" w:pos="7371"/>
          <w:tab w:val="right" w:pos="9356"/>
        </w:tabs>
        <w:autoSpaceDE w:val="0"/>
        <w:autoSpaceDN w:val="0"/>
        <w:adjustRightInd w:val="0"/>
        <w:rPr>
          <w:b/>
        </w:rPr>
      </w:pPr>
    </w:p>
    <w:tbl>
      <w:tblPr>
        <w:tblW w:w="0" w:type="auto"/>
        <w:jc w:val="center"/>
        <w:tblLayout w:type="fixed"/>
        <w:tblLook w:val="01E0" w:firstRow="1" w:lastRow="1" w:firstColumn="1" w:lastColumn="1" w:noHBand="0" w:noVBand="0"/>
      </w:tblPr>
      <w:tblGrid>
        <w:gridCol w:w="5911"/>
        <w:gridCol w:w="1440"/>
        <w:gridCol w:w="417"/>
        <w:gridCol w:w="1245"/>
      </w:tblGrid>
      <w:tr w:rsidR="000C2A54" w:rsidRPr="00676064" w14:paraId="378AA8F8" w14:textId="77777777" w:rsidTr="000C2A54">
        <w:trPr>
          <w:jc w:val="center"/>
        </w:trPr>
        <w:tc>
          <w:tcPr>
            <w:tcW w:w="5911" w:type="dxa"/>
          </w:tcPr>
          <w:p w14:paraId="7A803752" w14:textId="77777777" w:rsidR="000C2A54" w:rsidRPr="00676064" w:rsidRDefault="000C2A54" w:rsidP="000C2A54">
            <w:pPr>
              <w:rPr>
                <w:b/>
              </w:rPr>
            </w:pPr>
          </w:p>
        </w:tc>
        <w:tc>
          <w:tcPr>
            <w:tcW w:w="1440" w:type="dxa"/>
          </w:tcPr>
          <w:p w14:paraId="23D734E2" w14:textId="77777777" w:rsidR="000C2A54" w:rsidRPr="003061F1" w:rsidRDefault="00BE5A39" w:rsidP="000C2A54">
            <w:pPr>
              <w:jc w:val="right"/>
              <w:rPr>
                <w:b/>
                <w:sz w:val="20"/>
                <w:szCs w:val="20"/>
              </w:rPr>
            </w:pPr>
            <w:r>
              <w:rPr>
                <w:b/>
                <w:sz w:val="20"/>
                <w:szCs w:val="20"/>
              </w:rPr>
              <w:t>2021-22</w:t>
            </w:r>
          </w:p>
        </w:tc>
        <w:tc>
          <w:tcPr>
            <w:tcW w:w="417" w:type="dxa"/>
          </w:tcPr>
          <w:p w14:paraId="121491C1" w14:textId="77777777" w:rsidR="000C2A54" w:rsidRPr="003061F1" w:rsidRDefault="000C2A54" w:rsidP="000C2A54">
            <w:pPr>
              <w:rPr>
                <w:b/>
                <w:sz w:val="20"/>
                <w:szCs w:val="20"/>
              </w:rPr>
            </w:pPr>
          </w:p>
        </w:tc>
        <w:tc>
          <w:tcPr>
            <w:tcW w:w="1245" w:type="dxa"/>
          </w:tcPr>
          <w:p w14:paraId="3A284FD0" w14:textId="77777777" w:rsidR="000C2A54" w:rsidRPr="003061F1" w:rsidRDefault="00BE5A39" w:rsidP="000C2A54">
            <w:pPr>
              <w:jc w:val="right"/>
              <w:rPr>
                <w:b/>
                <w:sz w:val="20"/>
                <w:szCs w:val="20"/>
              </w:rPr>
            </w:pPr>
            <w:r>
              <w:rPr>
                <w:b/>
                <w:sz w:val="20"/>
                <w:szCs w:val="20"/>
              </w:rPr>
              <w:t>2020-21</w:t>
            </w:r>
          </w:p>
        </w:tc>
      </w:tr>
      <w:tr w:rsidR="000C2A54" w:rsidRPr="00676064" w14:paraId="5BB8FDC6" w14:textId="77777777" w:rsidTr="000C2A54">
        <w:trPr>
          <w:jc w:val="center"/>
        </w:trPr>
        <w:tc>
          <w:tcPr>
            <w:tcW w:w="5911" w:type="dxa"/>
          </w:tcPr>
          <w:p w14:paraId="5D80F3BB" w14:textId="77777777" w:rsidR="000C2A54" w:rsidRPr="00676064" w:rsidRDefault="000C2A54" w:rsidP="000C2A54">
            <w:pPr>
              <w:rPr>
                <w:b/>
              </w:rPr>
            </w:pPr>
          </w:p>
        </w:tc>
        <w:tc>
          <w:tcPr>
            <w:tcW w:w="1440" w:type="dxa"/>
          </w:tcPr>
          <w:p w14:paraId="37132B45" w14:textId="77777777" w:rsidR="000C2A54" w:rsidRPr="003061F1" w:rsidRDefault="000C2A54" w:rsidP="000C2A54">
            <w:pPr>
              <w:rPr>
                <w:b/>
                <w:sz w:val="20"/>
                <w:szCs w:val="20"/>
              </w:rPr>
            </w:pPr>
          </w:p>
        </w:tc>
        <w:tc>
          <w:tcPr>
            <w:tcW w:w="1662" w:type="dxa"/>
            <w:gridSpan w:val="2"/>
          </w:tcPr>
          <w:p w14:paraId="756FC3D7" w14:textId="77777777" w:rsidR="000C2A54" w:rsidRPr="003061F1" w:rsidRDefault="000C2A54" w:rsidP="000C2A54">
            <w:pPr>
              <w:jc w:val="right"/>
              <w:rPr>
                <w:b/>
                <w:sz w:val="20"/>
                <w:szCs w:val="20"/>
              </w:rPr>
            </w:pPr>
          </w:p>
        </w:tc>
      </w:tr>
      <w:tr w:rsidR="000C2A54" w:rsidRPr="00676064" w14:paraId="7EC6D48D" w14:textId="77777777" w:rsidTr="000C2A54">
        <w:trPr>
          <w:jc w:val="center"/>
        </w:trPr>
        <w:tc>
          <w:tcPr>
            <w:tcW w:w="5911" w:type="dxa"/>
          </w:tcPr>
          <w:p w14:paraId="62EC79B5" w14:textId="77777777" w:rsidR="000C2A54" w:rsidRPr="00676064" w:rsidRDefault="000C2A54" w:rsidP="000C2A54">
            <w:pPr>
              <w:rPr>
                <w:b/>
              </w:rPr>
            </w:pPr>
          </w:p>
        </w:tc>
        <w:tc>
          <w:tcPr>
            <w:tcW w:w="1440" w:type="dxa"/>
          </w:tcPr>
          <w:p w14:paraId="2505FA5C" w14:textId="77777777" w:rsidR="000C2A54" w:rsidRPr="003061F1" w:rsidRDefault="00243E7B" w:rsidP="00243E7B">
            <w:pPr>
              <w:jc w:val="center"/>
              <w:rPr>
                <w:b/>
                <w:sz w:val="20"/>
                <w:szCs w:val="20"/>
              </w:rPr>
            </w:pPr>
            <w:r>
              <w:rPr>
                <w:b/>
                <w:sz w:val="20"/>
                <w:szCs w:val="20"/>
              </w:rPr>
              <w:t xml:space="preserve">         </w:t>
            </w:r>
            <w:r w:rsidR="000C2A54" w:rsidRPr="003061F1">
              <w:rPr>
                <w:b/>
                <w:sz w:val="20"/>
                <w:szCs w:val="20"/>
              </w:rPr>
              <w:t>£</w:t>
            </w:r>
          </w:p>
        </w:tc>
        <w:tc>
          <w:tcPr>
            <w:tcW w:w="417" w:type="dxa"/>
          </w:tcPr>
          <w:p w14:paraId="71625A95" w14:textId="77777777" w:rsidR="000C2A54" w:rsidRPr="003061F1" w:rsidRDefault="000C2A54" w:rsidP="000C2A54">
            <w:pPr>
              <w:rPr>
                <w:b/>
                <w:sz w:val="20"/>
                <w:szCs w:val="20"/>
              </w:rPr>
            </w:pPr>
          </w:p>
        </w:tc>
        <w:tc>
          <w:tcPr>
            <w:tcW w:w="1245" w:type="dxa"/>
          </w:tcPr>
          <w:p w14:paraId="653A0B0D" w14:textId="77777777" w:rsidR="000C2A54" w:rsidRPr="003061F1" w:rsidRDefault="000C2A54" w:rsidP="000C2A54">
            <w:pPr>
              <w:jc w:val="right"/>
              <w:rPr>
                <w:b/>
                <w:sz w:val="20"/>
                <w:szCs w:val="20"/>
              </w:rPr>
            </w:pPr>
            <w:r w:rsidRPr="003061F1">
              <w:rPr>
                <w:b/>
                <w:sz w:val="20"/>
                <w:szCs w:val="20"/>
              </w:rPr>
              <w:t>£</w:t>
            </w:r>
          </w:p>
        </w:tc>
      </w:tr>
      <w:tr w:rsidR="00E64B1A" w:rsidRPr="00676064" w14:paraId="1B4C2680" w14:textId="77777777" w:rsidTr="000C2A54">
        <w:trPr>
          <w:jc w:val="center"/>
        </w:trPr>
        <w:tc>
          <w:tcPr>
            <w:tcW w:w="5911" w:type="dxa"/>
          </w:tcPr>
          <w:p w14:paraId="2CD51577"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Advertising, publicity and publications</w:t>
            </w:r>
          </w:p>
        </w:tc>
        <w:tc>
          <w:tcPr>
            <w:tcW w:w="1440" w:type="dxa"/>
          </w:tcPr>
          <w:p w14:paraId="05A553F8" w14:textId="77777777" w:rsidR="00E64B1A" w:rsidRPr="003061F1" w:rsidRDefault="002B369A" w:rsidP="002B369A">
            <w:pPr>
              <w:jc w:val="right"/>
              <w:rPr>
                <w:sz w:val="20"/>
                <w:szCs w:val="20"/>
              </w:rPr>
            </w:pPr>
            <w:r>
              <w:rPr>
                <w:sz w:val="20"/>
                <w:szCs w:val="20"/>
              </w:rPr>
              <w:t>83,810</w:t>
            </w:r>
          </w:p>
        </w:tc>
        <w:tc>
          <w:tcPr>
            <w:tcW w:w="417" w:type="dxa"/>
          </w:tcPr>
          <w:p w14:paraId="32930D7D" w14:textId="77777777" w:rsidR="00E64B1A" w:rsidRPr="003061F1" w:rsidRDefault="00E64B1A" w:rsidP="00E64B1A">
            <w:pPr>
              <w:jc w:val="right"/>
              <w:rPr>
                <w:sz w:val="20"/>
                <w:szCs w:val="20"/>
              </w:rPr>
            </w:pPr>
          </w:p>
        </w:tc>
        <w:tc>
          <w:tcPr>
            <w:tcW w:w="1245" w:type="dxa"/>
          </w:tcPr>
          <w:p w14:paraId="4E793752" w14:textId="77777777" w:rsidR="00E64B1A" w:rsidRPr="003061F1" w:rsidRDefault="002B369A" w:rsidP="00E64B1A">
            <w:pPr>
              <w:jc w:val="right"/>
              <w:rPr>
                <w:sz w:val="20"/>
                <w:szCs w:val="20"/>
              </w:rPr>
            </w:pPr>
            <w:r>
              <w:rPr>
                <w:sz w:val="20"/>
                <w:szCs w:val="20"/>
              </w:rPr>
              <w:t>84,534</w:t>
            </w:r>
          </w:p>
        </w:tc>
      </w:tr>
      <w:tr w:rsidR="00E64B1A" w:rsidRPr="00676064" w14:paraId="6DB1FD3B" w14:textId="77777777" w:rsidTr="000C2A54">
        <w:trPr>
          <w:jc w:val="center"/>
        </w:trPr>
        <w:tc>
          <w:tcPr>
            <w:tcW w:w="5911" w:type="dxa"/>
          </w:tcPr>
          <w:p w14:paraId="536DAA94"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Auditor’s (NAO) remuneration</w:t>
            </w:r>
          </w:p>
        </w:tc>
        <w:tc>
          <w:tcPr>
            <w:tcW w:w="1440" w:type="dxa"/>
          </w:tcPr>
          <w:p w14:paraId="3135E4CE" w14:textId="77777777" w:rsidR="00E64B1A" w:rsidRPr="003061F1" w:rsidRDefault="002B369A" w:rsidP="002B369A">
            <w:pPr>
              <w:jc w:val="right"/>
              <w:rPr>
                <w:sz w:val="20"/>
                <w:szCs w:val="20"/>
              </w:rPr>
            </w:pPr>
            <w:r>
              <w:rPr>
                <w:sz w:val="20"/>
                <w:szCs w:val="20"/>
              </w:rPr>
              <w:t>17,500</w:t>
            </w:r>
          </w:p>
        </w:tc>
        <w:tc>
          <w:tcPr>
            <w:tcW w:w="417" w:type="dxa"/>
          </w:tcPr>
          <w:p w14:paraId="7B978208" w14:textId="77777777" w:rsidR="00E64B1A" w:rsidRPr="003061F1" w:rsidRDefault="00E64B1A" w:rsidP="00E64B1A">
            <w:pPr>
              <w:jc w:val="right"/>
              <w:rPr>
                <w:sz w:val="20"/>
                <w:szCs w:val="20"/>
              </w:rPr>
            </w:pPr>
          </w:p>
        </w:tc>
        <w:tc>
          <w:tcPr>
            <w:tcW w:w="1245" w:type="dxa"/>
          </w:tcPr>
          <w:p w14:paraId="7E646CE1" w14:textId="77777777" w:rsidR="00E64B1A" w:rsidRPr="003061F1" w:rsidRDefault="002B369A" w:rsidP="00E64B1A">
            <w:pPr>
              <w:jc w:val="right"/>
              <w:rPr>
                <w:sz w:val="20"/>
                <w:szCs w:val="20"/>
              </w:rPr>
            </w:pPr>
            <w:r>
              <w:rPr>
                <w:sz w:val="20"/>
                <w:szCs w:val="20"/>
              </w:rPr>
              <w:t>16,500</w:t>
            </w:r>
          </w:p>
        </w:tc>
      </w:tr>
      <w:tr w:rsidR="00E64B1A" w:rsidRPr="00676064" w14:paraId="348916D5" w14:textId="77777777" w:rsidTr="000C2A54">
        <w:trPr>
          <w:jc w:val="center"/>
        </w:trPr>
        <w:tc>
          <w:tcPr>
            <w:tcW w:w="5911" w:type="dxa"/>
          </w:tcPr>
          <w:p w14:paraId="604CA642"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Building maintenance and expenses</w:t>
            </w:r>
          </w:p>
        </w:tc>
        <w:tc>
          <w:tcPr>
            <w:tcW w:w="1440" w:type="dxa"/>
          </w:tcPr>
          <w:p w14:paraId="77932C7B" w14:textId="77777777" w:rsidR="00E64B1A" w:rsidRPr="003061F1" w:rsidRDefault="002B369A" w:rsidP="002B369A">
            <w:pPr>
              <w:jc w:val="right"/>
              <w:rPr>
                <w:sz w:val="20"/>
                <w:szCs w:val="20"/>
              </w:rPr>
            </w:pPr>
            <w:r>
              <w:rPr>
                <w:sz w:val="20"/>
                <w:szCs w:val="20"/>
              </w:rPr>
              <w:t>71,364</w:t>
            </w:r>
          </w:p>
        </w:tc>
        <w:tc>
          <w:tcPr>
            <w:tcW w:w="417" w:type="dxa"/>
          </w:tcPr>
          <w:p w14:paraId="641E6A36" w14:textId="77777777" w:rsidR="00E64B1A" w:rsidRPr="003061F1" w:rsidRDefault="00E64B1A" w:rsidP="00E64B1A">
            <w:pPr>
              <w:jc w:val="right"/>
              <w:rPr>
                <w:sz w:val="20"/>
                <w:szCs w:val="20"/>
              </w:rPr>
            </w:pPr>
          </w:p>
        </w:tc>
        <w:tc>
          <w:tcPr>
            <w:tcW w:w="1245" w:type="dxa"/>
          </w:tcPr>
          <w:p w14:paraId="7DDD7972" w14:textId="77777777" w:rsidR="00E64B1A" w:rsidRPr="003061F1" w:rsidRDefault="002B369A" w:rsidP="00E64B1A">
            <w:pPr>
              <w:jc w:val="right"/>
              <w:rPr>
                <w:sz w:val="20"/>
                <w:szCs w:val="20"/>
              </w:rPr>
            </w:pPr>
            <w:r>
              <w:rPr>
                <w:sz w:val="20"/>
                <w:szCs w:val="20"/>
              </w:rPr>
              <w:t>57,485</w:t>
            </w:r>
          </w:p>
        </w:tc>
      </w:tr>
      <w:tr w:rsidR="00E64B1A" w:rsidRPr="00676064" w14:paraId="1FCBF9A4" w14:textId="77777777" w:rsidTr="000C2A54">
        <w:trPr>
          <w:jc w:val="center"/>
        </w:trPr>
        <w:tc>
          <w:tcPr>
            <w:tcW w:w="5911" w:type="dxa"/>
          </w:tcPr>
          <w:p w14:paraId="0A3DAC25"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Conferences and seminars</w:t>
            </w:r>
          </w:p>
        </w:tc>
        <w:tc>
          <w:tcPr>
            <w:tcW w:w="1440" w:type="dxa"/>
          </w:tcPr>
          <w:p w14:paraId="7B01B4D8" w14:textId="77777777" w:rsidR="00E64B1A" w:rsidRPr="003061F1" w:rsidRDefault="002B369A" w:rsidP="002B369A">
            <w:pPr>
              <w:jc w:val="right"/>
              <w:rPr>
                <w:sz w:val="20"/>
                <w:szCs w:val="20"/>
              </w:rPr>
            </w:pPr>
            <w:r>
              <w:rPr>
                <w:sz w:val="20"/>
                <w:szCs w:val="20"/>
              </w:rPr>
              <w:t>18,835</w:t>
            </w:r>
          </w:p>
        </w:tc>
        <w:tc>
          <w:tcPr>
            <w:tcW w:w="417" w:type="dxa"/>
          </w:tcPr>
          <w:p w14:paraId="0B83C586" w14:textId="77777777" w:rsidR="00E64B1A" w:rsidRPr="003061F1" w:rsidRDefault="00E64B1A" w:rsidP="00E64B1A">
            <w:pPr>
              <w:jc w:val="right"/>
              <w:rPr>
                <w:sz w:val="20"/>
                <w:szCs w:val="20"/>
              </w:rPr>
            </w:pPr>
          </w:p>
        </w:tc>
        <w:tc>
          <w:tcPr>
            <w:tcW w:w="1245" w:type="dxa"/>
          </w:tcPr>
          <w:p w14:paraId="593D4D51" w14:textId="77777777" w:rsidR="00E64B1A" w:rsidRPr="003061F1" w:rsidRDefault="002B369A" w:rsidP="00E64B1A">
            <w:pPr>
              <w:jc w:val="right"/>
              <w:rPr>
                <w:sz w:val="20"/>
                <w:szCs w:val="20"/>
              </w:rPr>
            </w:pPr>
            <w:r>
              <w:rPr>
                <w:sz w:val="20"/>
                <w:szCs w:val="20"/>
              </w:rPr>
              <w:t>5,693</w:t>
            </w:r>
          </w:p>
        </w:tc>
      </w:tr>
      <w:tr w:rsidR="00E64B1A" w:rsidRPr="00676064" w14:paraId="52C77887" w14:textId="77777777" w:rsidTr="000C2A54">
        <w:trPr>
          <w:jc w:val="center"/>
        </w:trPr>
        <w:tc>
          <w:tcPr>
            <w:tcW w:w="5911" w:type="dxa"/>
          </w:tcPr>
          <w:p w14:paraId="6F34BA8E"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Insurance</w:t>
            </w:r>
          </w:p>
        </w:tc>
        <w:tc>
          <w:tcPr>
            <w:tcW w:w="1440" w:type="dxa"/>
          </w:tcPr>
          <w:p w14:paraId="54E5B958" w14:textId="77777777" w:rsidR="00E64B1A" w:rsidRPr="003061F1" w:rsidRDefault="002B369A" w:rsidP="002B369A">
            <w:pPr>
              <w:jc w:val="right"/>
              <w:rPr>
                <w:sz w:val="20"/>
                <w:szCs w:val="20"/>
              </w:rPr>
            </w:pPr>
            <w:r>
              <w:rPr>
                <w:sz w:val="20"/>
                <w:szCs w:val="20"/>
              </w:rPr>
              <w:t>8,135</w:t>
            </w:r>
          </w:p>
        </w:tc>
        <w:tc>
          <w:tcPr>
            <w:tcW w:w="417" w:type="dxa"/>
          </w:tcPr>
          <w:p w14:paraId="0C044435" w14:textId="77777777" w:rsidR="00E64B1A" w:rsidRPr="003061F1" w:rsidRDefault="00E64B1A" w:rsidP="00E64B1A">
            <w:pPr>
              <w:jc w:val="right"/>
              <w:rPr>
                <w:sz w:val="20"/>
                <w:szCs w:val="20"/>
              </w:rPr>
            </w:pPr>
          </w:p>
        </w:tc>
        <w:tc>
          <w:tcPr>
            <w:tcW w:w="1245" w:type="dxa"/>
          </w:tcPr>
          <w:p w14:paraId="1AB95390" w14:textId="77777777" w:rsidR="00E64B1A" w:rsidRPr="003061F1" w:rsidRDefault="002B369A" w:rsidP="00E64B1A">
            <w:pPr>
              <w:jc w:val="right"/>
              <w:rPr>
                <w:sz w:val="20"/>
                <w:szCs w:val="20"/>
              </w:rPr>
            </w:pPr>
            <w:r>
              <w:rPr>
                <w:sz w:val="20"/>
                <w:szCs w:val="20"/>
              </w:rPr>
              <w:t>7,399</w:t>
            </w:r>
          </w:p>
        </w:tc>
      </w:tr>
      <w:tr w:rsidR="00E64B1A" w:rsidRPr="00676064" w14:paraId="5093D7D9" w14:textId="77777777" w:rsidTr="000C2A54">
        <w:trPr>
          <w:jc w:val="center"/>
        </w:trPr>
        <w:tc>
          <w:tcPr>
            <w:tcW w:w="5911" w:type="dxa"/>
          </w:tcPr>
          <w:p w14:paraId="4967BC3E"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Internal audit</w:t>
            </w:r>
          </w:p>
        </w:tc>
        <w:tc>
          <w:tcPr>
            <w:tcW w:w="1440" w:type="dxa"/>
          </w:tcPr>
          <w:p w14:paraId="2BAD7143" w14:textId="77777777" w:rsidR="00E64B1A" w:rsidRPr="003061F1" w:rsidRDefault="002B369A" w:rsidP="002B369A">
            <w:pPr>
              <w:jc w:val="right"/>
              <w:rPr>
                <w:sz w:val="20"/>
                <w:szCs w:val="20"/>
              </w:rPr>
            </w:pPr>
            <w:r>
              <w:rPr>
                <w:sz w:val="20"/>
                <w:szCs w:val="20"/>
              </w:rPr>
              <w:t>9,828</w:t>
            </w:r>
          </w:p>
        </w:tc>
        <w:tc>
          <w:tcPr>
            <w:tcW w:w="417" w:type="dxa"/>
          </w:tcPr>
          <w:p w14:paraId="37DEEFE8" w14:textId="77777777" w:rsidR="00E64B1A" w:rsidRPr="003061F1" w:rsidRDefault="00E64B1A" w:rsidP="00E64B1A">
            <w:pPr>
              <w:jc w:val="right"/>
              <w:rPr>
                <w:sz w:val="20"/>
                <w:szCs w:val="20"/>
              </w:rPr>
            </w:pPr>
          </w:p>
        </w:tc>
        <w:tc>
          <w:tcPr>
            <w:tcW w:w="1245" w:type="dxa"/>
          </w:tcPr>
          <w:p w14:paraId="7EA66594" w14:textId="77777777" w:rsidR="00E64B1A" w:rsidRPr="003061F1" w:rsidRDefault="002B369A" w:rsidP="00E64B1A">
            <w:pPr>
              <w:jc w:val="right"/>
              <w:rPr>
                <w:sz w:val="20"/>
                <w:szCs w:val="20"/>
              </w:rPr>
            </w:pPr>
            <w:r>
              <w:rPr>
                <w:sz w:val="20"/>
                <w:szCs w:val="20"/>
              </w:rPr>
              <w:t>2,162</w:t>
            </w:r>
          </w:p>
        </w:tc>
      </w:tr>
      <w:tr w:rsidR="00E64B1A" w:rsidRPr="00676064" w14:paraId="349CAC7D" w14:textId="77777777" w:rsidTr="000C2A54">
        <w:trPr>
          <w:jc w:val="center"/>
        </w:trPr>
        <w:tc>
          <w:tcPr>
            <w:tcW w:w="5911" w:type="dxa"/>
          </w:tcPr>
          <w:p w14:paraId="52CC8E0D"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Investigations</w:t>
            </w:r>
            <w:r w:rsidR="001C734F">
              <w:rPr>
                <w:rFonts w:cs="Arial"/>
                <w:sz w:val="20"/>
                <w:szCs w:val="20"/>
              </w:rPr>
              <w:t xml:space="preserve"> &amp; Research</w:t>
            </w:r>
          </w:p>
        </w:tc>
        <w:tc>
          <w:tcPr>
            <w:tcW w:w="1440" w:type="dxa"/>
          </w:tcPr>
          <w:p w14:paraId="0C7269FC" w14:textId="77777777" w:rsidR="00E64B1A" w:rsidRPr="003061F1" w:rsidRDefault="002B369A" w:rsidP="002B369A">
            <w:pPr>
              <w:jc w:val="right"/>
              <w:rPr>
                <w:sz w:val="20"/>
                <w:szCs w:val="20"/>
              </w:rPr>
            </w:pPr>
            <w:r>
              <w:rPr>
                <w:sz w:val="20"/>
                <w:szCs w:val="20"/>
              </w:rPr>
              <w:t>77,483</w:t>
            </w:r>
          </w:p>
        </w:tc>
        <w:tc>
          <w:tcPr>
            <w:tcW w:w="417" w:type="dxa"/>
          </w:tcPr>
          <w:p w14:paraId="1C58932F" w14:textId="77777777" w:rsidR="00E64B1A" w:rsidRPr="003061F1" w:rsidRDefault="00E64B1A" w:rsidP="00E64B1A">
            <w:pPr>
              <w:jc w:val="right"/>
              <w:rPr>
                <w:sz w:val="20"/>
                <w:szCs w:val="20"/>
              </w:rPr>
            </w:pPr>
          </w:p>
        </w:tc>
        <w:tc>
          <w:tcPr>
            <w:tcW w:w="1245" w:type="dxa"/>
          </w:tcPr>
          <w:p w14:paraId="0D13331E" w14:textId="77777777" w:rsidR="00E64B1A" w:rsidRPr="003061F1" w:rsidRDefault="002B369A" w:rsidP="00E64B1A">
            <w:pPr>
              <w:jc w:val="right"/>
              <w:rPr>
                <w:sz w:val="20"/>
                <w:szCs w:val="20"/>
              </w:rPr>
            </w:pPr>
            <w:r>
              <w:rPr>
                <w:sz w:val="20"/>
                <w:szCs w:val="20"/>
              </w:rPr>
              <w:t>1,000</w:t>
            </w:r>
          </w:p>
        </w:tc>
      </w:tr>
      <w:tr w:rsidR="00E64B1A" w:rsidRPr="00676064" w14:paraId="536A68BB" w14:textId="77777777" w:rsidTr="000C2A54">
        <w:trPr>
          <w:jc w:val="center"/>
        </w:trPr>
        <w:tc>
          <w:tcPr>
            <w:tcW w:w="5911" w:type="dxa"/>
          </w:tcPr>
          <w:p w14:paraId="7991FFCA"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IT</w:t>
            </w:r>
          </w:p>
        </w:tc>
        <w:tc>
          <w:tcPr>
            <w:tcW w:w="1440" w:type="dxa"/>
          </w:tcPr>
          <w:p w14:paraId="710ED40D" w14:textId="77777777" w:rsidR="00E64B1A" w:rsidRPr="003061F1" w:rsidRDefault="002B369A" w:rsidP="002B369A">
            <w:pPr>
              <w:jc w:val="right"/>
              <w:rPr>
                <w:sz w:val="20"/>
                <w:szCs w:val="20"/>
              </w:rPr>
            </w:pPr>
            <w:r>
              <w:rPr>
                <w:sz w:val="20"/>
                <w:szCs w:val="20"/>
              </w:rPr>
              <w:t>51,513</w:t>
            </w:r>
          </w:p>
        </w:tc>
        <w:tc>
          <w:tcPr>
            <w:tcW w:w="417" w:type="dxa"/>
          </w:tcPr>
          <w:p w14:paraId="60E9F7AC" w14:textId="77777777" w:rsidR="00E64B1A" w:rsidRPr="003061F1" w:rsidRDefault="00E64B1A" w:rsidP="00E64B1A">
            <w:pPr>
              <w:jc w:val="right"/>
              <w:rPr>
                <w:sz w:val="20"/>
                <w:szCs w:val="20"/>
              </w:rPr>
            </w:pPr>
          </w:p>
        </w:tc>
        <w:tc>
          <w:tcPr>
            <w:tcW w:w="1245" w:type="dxa"/>
          </w:tcPr>
          <w:p w14:paraId="0ACF728E" w14:textId="77777777" w:rsidR="00E64B1A" w:rsidRPr="003061F1" w:rsidRDefault="002B369A" w:rsidP="00E64B1A">
            <w:pPr>
              <w:jc w:val="right"/>
              <w:rPr>
                <w:sz w:val="20"/>
                <w:szCs w:val="20"/>
              </w:rPr>
            </w:pPr>
            <w:r>
              <w:rPr>
                <w:sz w:val="20"/>
                <w:szCs w:val="20"/>
              </w:rPr>
              <w:t>74,892</w:t>
            </w:r>
          </w:p>
        </w:tc>
      </w:tr>
      <w:tr w:rsidR="00E64B1A" w:rsidRPr="00676064" w14:paraId="5586133B" w14:textId="77777777" w:rsidTr="000C2A54">
        <w:trPr>
          <w:jc w:val="center"/>
        </w:trPr>
        <w:tc>
          <w:tcPr>
            <w:tcW w:w="5911" w:type="dxa"/>
          </w:tcPr>
          <w:p w14:paraId="3440C226" w14:textId="77777777" w:rsidR="00E64B1A" w:rsidRPr="003061F1" w:rsidRDefault="00E64B1A" w:rsidP="00E64B1A">
            <w:pPr>
              <w:rPr>
                <w:sz w:val="20"/>
                <w:szCs w:val="20"/>
              </w:rPr>
            </w:pPr>
            <w:r w:rsidRPr="003061F1">
              <w:rPr>
                <w:rFonts w:cs="Arial"/>
                <w:sz w:val="20"/>
                <w:szCs w:val="20"/>
              </w:rPr>
              <w:t>Legal casework (non–recoverable)</w:t>
            </w:r>
          </w:p>
        </w:tc>
        <w:tc>
          <w:tcPr>
            <w:tcW w:w="1440" w:type="dxa"/>
          </w:tcPr>
          <w:p w14:paraId="3364FB14" w14:textId="2D5FFAEA" w:rsidR="00E64B1A" w:rsidRPr="003061F1" w:rsidRDefault="006321A7" w:rsidP="002B369A">
            <w:pPr>
              <w:jc w:val="right"/>
              <w:rPr>
                <w:sz w:val="20"/>
                <w:szCs w:val="20"/>
              </w:rPr>
            </w:pPr>
            <w:r>
              <w:rPr>
                <w:sz w:val="20"/>
                <w:szCs w:val="20"/>
              </w:rPr>
              <w:t>86,412</w:t>
            </w:r>
          </w:p>
        </w:tc>
        <w:tc>
          <w:tcPr>
            <w:tcW w:w="417" w:type="dxa"/>
          </w:tcPr>
          <w:p w14:paraId="44010ED9" w14:textId="77777777" w:rsidR="00E64B1A" w:rsidRPr="003061F1" w:rsidRDefault="00E64B1A" w:rsidP="00E64B1A">
            <w:pPr>
              <w:jc w:val="right"/>
              <w:rPr>
                <w:sz w:val="20"/>
                <w:szCs w:val="20"/>
              </w:rPr>
            </w:pPr>
          </w:p>
        </w:tc>
        <w:tc>
          <w:tcPr>
            <w:tcW w:w="1245" w:type="dxa"/>
          </w:tcPr>
          <w:p w14:paraId="77A379D7" w14:textId="77777777" w:rsidR="00E64B1A" w:rsidRPr="003061F1" w:rsidRDefault="002B369A" w:rsidP="00E64B1A">
            <w:pPr>
              <w:jc w:val="right"/>
              <w:rPr>
                <w:sz w:val="20"/>
                <w:szCs w:val="20"/>
              </w:rPr>
            </w:pPr>
            <w:r>
              <w:rPr>
                <w:sz w:val="20"/>
                <w:szCs w:val="20"/>
              </w:rPr>
              <w:t>50,874</w:t>
            </w:r>
          </w:p>
        </w:tc>
      </w:tr>
      <w:tr w:rsidR="00E64B1A" w:rsidRPr="00676064" w14:paraId="0A2CAEF1" w14:textId="77777777" w:rsidTr="000C2A54">
        <w:trPr>
          <w:jc w:val="center"/>
        </w:trPr>
        <w:tc>
          <w:tcPr>
            <w:tcW w:w="5911" w:type="dxa"/>
          </w:tcPr>
          <w:p w14:paraId="139CAE74" w14:textId="77777777" w:rsidR="00E64B1A" w:rsidRPr="003061F1" w:rsidRDefault="00E64B1A" w:rsidP="00E64B1A">
            <w:pPr>
              <w:rPr>
                <w:sz w:val="20"/>
                <w:szCs w:val="20"/>
              </w:rPr>
            </w:pPr>
            <w:r w:rsidRPr="003061F1">
              <w:rPr>
                <w:rFonts w:cs="Arial"/>
                <w:sz w:val="20"/>
                <w:szCs w:val="20"/>
              </w:rPr>
              <w:t>Light and heat</w:t>
            </w:r>
          </w:p>
        </w:tc>
        <w:tc>
          <w:tcPr>
            <w:tcW w:w="1440" w:type="dxa"/>
          </w:tcPr>
          <w:p w14:paraId="7CDD60D1" w14:textId="77777777" w:rsidR="00E64B1A" w:rsidRPr="003061F1" w:rsidRDefault="002B369A" w:rsidP="002B369A">
            <w:pPr>
              <w:jc w:val="right"/>
              <w:rPr>
                <w:sz w:val="20"/>
                <w:szCs w:val="20"/>
              </w:rPr>
            </w:pPr>
            <w:r>
              <w:rPr>
                <w:sz w:val="20"/>
                <w:szCs w:val="20"/>
              </w:rPr>
              <w:t>15,055</w:t>
            </w:r>
          </w:p>
        </w:tc>
        <w:tc>
          <w:tcPr>
            <w:tcW w:w="417" w:type="dxa"/>
          </w:tcPr>
          <w:p w14:paraId="53D83978" w14:textId="77777777" w:rsidR="00E64B1A" w:rsidRPr="003061F1" w:rsidRDefault="00E64B1A" w:rsidP="00E64B1A">
            <w:pPr>
              <w:jc w:val="right"/>
              <w:rPr>
                <w:sz w:val="20"/>
                <w:szCs w:val="20"/>
              </w:rPr>
            </w:pPr>
          </w:p>
        </w:tc>
        <w:tc>
          <w:tcPr>
            <w:tcW w:w="1245" w:type="dxa"/>
          </w:tcPr>
          <w:p w14:paraId="2921A110" w14:textId="77777777" w:rsidR="00E64B1A" w:rsidRPr="003061F1" w:rsidRDefault="002B369A" w:rsidP="00E64B1A">
            <w:pPr>
              <w:jc w:val="right"/>
              <w:rPr>
                <w:sz w:val="20"/>
                <w:szCs w:val="20"/>
              </w:rPr>
            </w:pPr>
            <w:r>
              <w:rPr>
                <w:sz w:val="20"/>
                <w:szCs w:val="20"/>
              </w:rPr>
              <w:t>8,266</w:t>
            </w:r>
          </w:p>
        </w:tc>
      </w:tr>
      <w:tr w:rsidR="00E64B1A" w:rsidRPr="00676064" w14:paraId="5F463FA9" w14:textId="77777777" w:rsidTr="000C2A54">
        <w:trPr>
          <w:jc w:val="center"/>
        </w:trPr>
        <w:tc>
          <w:tcPr>
            <w:tcW w:w="5911" w:type="dxa"/>
          </w:tcPr>
          <w:p w14:paraId="6F401C01"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Other expenses</w:t>
            </w:r>
          </w:p>
        </w:tc>
        <w:tc>
          <w:tcPr>
            <w:tcW w:w="1440" w:type="dxa"/>
          </w:tcPr>
          <w:p w14:paraId="097F4502" w14:textId="77777777" w:rsidR="00E64B1A" w:rsidRPr="003061F1" w:rsidRDefault="002B369A" w:rsidP="002B369A">
            <w:pPr>
              <w:jc w:val="right"/>
              <w:rPr>
                <w:sz w:val="20"/>
                <w:szCs w:val="20"/>
              </w:rPr>
            </w:pPr>
            <w:r>
              <w:rPr>
                <w:sz w:val="20"/>
                <w:szCs w:val="20"/>
              </w:rPr>
              <w:t>556</w:t>
            </w:r>
          </w:p>
        </w:tc>
        <w:tc>
          <w:tcPr>
            <w:tcW w:w="417" w:type="dxa"/>
          </w:tcPr>
          <w:p w14:paraId="72870DE7" w14:textId="77777777" w:rsidR="00E64B1A" w:rsidRPr="003061F1" w:rsidRDefault="00E64B1A" w:rsidP="00E64B1A">
            <w:pPr>
              <w:jc w:val="right"/>
              <w:rPr>
                <w:sz w:val="20"/>
                <w:szCs w:val="20"/>
              </w:rPr>
            </w:pPr>
          </w:p>
        </w:tc>
        <w:tc>
          <w:tcPr>
            <w:tcW w:w="1245" w:type="dxa"/>
          </w:tcPr>
          <w:p w14:paraId="422D4F41" w14:textId="77777777" w:rsidR="00E64B1A" w:rsidRPr="003061F1" w:rsidRDefault="002B369A" w:rsidP="00E64B1A">
            <w:pPr>
              <w:jc w:val="right"/>
              <w:rPr>
                <w:sz w:val="20"/>
                <w:szCs w:val="20"/>
              </w:rPr>
            </w:pPr>
            <w:r>
              <w:rPr>
                <w:sz w:val="20"/>
                <w:szCs w:val="20"/>
              </w:rPr>
              <w:t>(1,114)</w:t>
            </w:r>
          </w:p>
        </w:tc>
      </w:tr>
      <w:tr w:rsidR="00E64B1A" w:rsidRPr="00676064" w14:paraId="056E6FDF" w14:textId="77777777" w:rsidTr="000C2A54">
        <w:trPr>
          <w:jc w:val="center"/>
        </w:trPr>
        <w:tc>
          <w:tcPr>
            <w:tcW w:w="5911" w:type="dxa"/>
          </w:tcPr>
          <w:p w14:paraId="25052870"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Printing, postage and stationery</w:t>
            </w:r>
          </w:p>
        </w:tc>
        <w:tc>
          <w:tcPr>
            <w:tcW w:w="1440" w:type="dxa"/>
          </w:tcPr>
          <w:p w14:paraId="51ED15B2" w14:textId="77777777" w:rsidR="00E64B1A" w:rsidRPr="003061F1" w:rsidRDefault="002B369A" w:rsidP="002B369A">
            <w:pPr>
              <w:jc w:val="right"/>
              <w:rPr>
                <w:sz w:val="20"/>
                <w:szCs w:val="20"/>
              </w:rPr>
            </w:pPr>
            <w:r>
              <w:rPr>
                <w:sz w:val="20"/>
                <w:szCs w:val="20"/>
              </w:rPr>
              <w:t>7,907</w:t>
            </w:r>
          </w:p>
        </w:tc>
        <w:tc>
          <w:tcPr>
            <w:tcW w:w="417" w:type="dxa"/>
          </w:tcPr>
          <w:p w14:paraId="0F6632AC" w14:textId="77777777" w:rsidR="00E64B1A" w:rsidRPr="003061F1" w:rsidRDefault="00E64B1A" w:rsidP="00E64B1A">
            <w:pPr>
              <w:jc w:val="right"/>
              <w:rPr>
                <w:sz w:val="20"/>
                <w:szCs w:val="20"/>
              </w:rPr>
            </w:pPr>
          </w:p>
        </w:tc>
        <w:tc>
          <w:tcPr>
            <w:tcW w:w="1245" w:type="dxa"/>
          </w:tcPr>
          <w:p w14:paraId="5EB29E44" w14:textId="77777777" w:rsidR="00E64B1A" w:rsidRPr="003061F1" w:rsidRDefault="002B369A" w:rsidP="00E64B1A">
            <w:pPr>
              <w:jc w:val="right"/>
              <w:rPr>
                <w:sz w:val="20"/>
                <w:szCs w:val="20"/>
              </w:rPr>
            </w:pPr>
            <w:r>
              <w:rPr>
                <w:sz w:val="20"/>
                <w:szCs w:val="20"/>
              </w:rPr>
              <w:t>4,531</w:t>
            </w:r>
          </w:p>
        </w:tc>
      </w:tr>
      <w:tr w:rsidR="00E64B1A" w:rsidRPr="00676064" w14:paraId="3D24BF67" w14:textId="77777777" w:rsidTr="000C2A54">
        <w:trPr>
          <w:jc w:val="center"/>
        </w:trPr>
        <w:tc>
          <w:tcPr>
            <w:tcW w:w="5911" w:type="dxa"/>
          </w:tcPr>
          <w:p w14:paraId="78C67754" w14:textId="77777777" w:rsidR="00E64B1A" w:rsidRPr="003061F1" w:rsidRDefault="00E64B1A" w:rsidP="00E64B1A">
            <w:pPr>
              <w:rPr>
                <w:sz w:val="20"/>
                <w:szCs w:val="20"/>
              </w:rPr>
            </w:pPr>
            <w:r w:rsidRPr="003061F1">
              <w:rPr>
                <w:rFonts w:cs="Arial"/>
                <w:sz w:val="20"/>
                <w:szCs w:val="20"/>
              </w:rPr>
              <w:t>Professional fees</w:t>
            </w:r>
          </w:p>
        </w:tc>
        <w:tc>
          <w:tcPr>
            <w:tcW w:w="1440" w:type="dxa"/>
          </w:tcPr>
          <w:p w14:paraId="70DCCFFE" w14:textId="77777777" w:rsidR="00E64B1A" w:rsidRPr="003061F1" w:rsidRDefault="002B369A" w:rsidP="002B369A">
            <w:pPr>
              <w:jc w:val="right"/>
              <w:rPr>
                <w:sz w:val="20"/>
                <w:szCs w:val="20"/>
              </w:rPr>
            </w:pPr>
            <w:r>
              <w:rPr>
                <w:sz w:val="20"/>
                <w:szCs w:val="20"/>
              </w:rPr>
              <w:t>55,286</w:t>
            </w:r>
          </w:p>
        </w:tc>
        <w:tc>
          <w:tcPr>
            <w:tcW w:w="417" w:type="dxa"/>
          </w:tcPr>
          <w:p w14:paraId="6224347D" w14:textId="77777777" w:rsidR="00E64B1A" w:rsidRPr="003061F1" w:rsidRDefault="00E64B1A" w:rsidP="00E64B1A">
            <w:pPr>
              <w:jc w:val="right"/>
              <w:rPr>
                <w:sz w:val="20"/>
                <w:szCs w:val="20"/>
              </w:rPr>
            </w:pPr>
          </w:p>
        </w:tc>
        <w:tc>
          <w:tcPr>
            <w:tcW w:w="1245" w:type="dxa"/>
          </w:tcPr>
          <w:p w14:paraId="21FE8AEF" w14:textId="77777777" w:rsidR="00E64B1A" w:rsidRPr="003061F1" w:rsidRDefault="002B369A" w:rsidP="00E64B1A">
            <w:pPr>
              <w:jc w:val="right"/>
              <w:rPr>
                <w:sz w:val="20"/>
                <w:szCs w:val="20"/>
              </w:rPr>
            </w:pPr>
            <w:r>
              <w:rPr>
                <w:sz w:val="20"/>
                <w:szCs w:val="20"/>
              </w:rPr>
              <w:t>134,074</w:t>
            </w:r>
          </w:p>
        </w:tc>
      </w:tr>
      <w:tr w:rsidR="00E64B1A" w:rsidRPr="00676064" w14:paraId="359203F3" w14:textId="77777777" w:rsidTr="000C2A54">
        <w:trPr>
          <w:jc w:val="center"/>
        </w:trPr>
        <w:tc>
          <w:tcPr>
            <w:tcW w:w="5911" w:type="dxa"/>
          </w:tcPr>
          <w:p w14:paraId="45CF9E52" w14:textId="46D2B0AE"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Rates</w:t>
            </w:r>
            <w:r w:rsidRPr="003061F1">
              <w:rPr>
                <w:rFonts w:cs="Arial"/>
                <w:sz w:val="20"/>
                <w:szCs w:val="20"/>
              </w:rPr>
              <w:tab/>
            </w:r>
          </w:p>
        </w:tc>
        <w:tc>
          <w:tcPr>
            <w:tcW w:w="1440" w:type="dxa"/>
          </w:tcPr>
          <w:p w14:paraId="48F989B4" w14:textId="77777777" w:rsidR="00E64B1A" w:rsidRPr="003061F1" w:rsidRDefault="002B369A" w:rsidP="002B369A">
            <w:pPr>
              <w:jc w:val="right"/>
              <w:rPr>
                <w:sz w:val="20"/>
                <w:szCs w:val="20"/>
              </w:rPr>
            </w:pPr>
            <w:r>
              <w:rPr>
                <w:sz w:val="20"/>
                <w:szCs w:val="20"/>
              </w:rPr>
              <w:t>1,595</w:t>
            </w:r>
          </w:p>
        </w:tc>
        <w:tc>
          <w:tcPr>
            <w:tcW w:w="417" w:type="dxa"/>
          </w:tcPr>
          <w:p w14:paraId="28249708" w14:textId="77777777" w:rsidR="00E64B1A" w:rsidRPr="003061F1" w:rsidRDefault="00E64B1A" w:rsidP="00E64B1A">
            <w:pPr>
              <w:jc w:val="right"/>
              <w:rPr>
                <w:sz w:val="20"/>
                <w:szCs w:val="20"/>
              </w:rPr>
            </w:pPr>
          </w:p>
        </w:tc>
        <w:tc>
          <w:tcPr>
            <w:tcW w:w="1245" w:type="dxa"/>
          </w:tcPr>
          <w:p w14:paraId="1EC2E32D" w14:textId="77777777" w:rsidR="00E64B1A" w:rsidRPr="003061F1" w:rsidRDefault="002B369A" w:rsidP="00E64B1A">
            <w:pPr>
              <w:jc w:val="right"/>
              <w:rPr>
                <w:sz w:val="20"/>
                <w:szCs w:val="20"/>
              </w:rPr>
            </w:pPr>
            <w:r>
              <w:rPr>
                <w:sz w:val="20"/>
                <w:szCs w:val="20"/>
              </w:rPr>
              <w:t>26,672</w:t>
            </w:r>
          </w:p>
        </w:tc>
      </w:tr>
      <w:tr w:rsidR="00E64B1A" w:rsidRPr="00676064" w14:paraId="2CF82BF0" w14:textId="77777777" w:rsidTr="000C2A54">
        <w:trPr>
          <w:jc w:val="center"/>
        </w:trPr>
        <w:tc>
          <w:tcPr>
            <w:tcW w:w="5911" w:type="dxa"/>
          </w:tcPr>
          <w:p w14:paraId="3DAE4982"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Rentals under operating leases</w:t>
            </w:r>
          </w:p>
          <w:p w14:paraId="6246DDF6"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Rental for car park</w:t>
            </w:r>
          </w:p>
        </w:tc>
        <w:tc>
          <w:tcPr>
            <w:tcW w:w="1440" w:type="dxa"/>
          </w:tcPr>
          <w:p w14:paraId="53BE091F" w14:textId="77777777" w:rsidR="00DD02ED" w:rsidRDefault="00243E7B" w:rsidP="002B369A">
            <w:pPr>
              <w:jc w:val="right"/>
              <w:rPr>
                <w:sz w:val="20"/>
                <w:szCs w:val="20"/>
              </w:rPr>
            </w:pPr>
            <w:r>
              <w:rPr>
                <w:sz w:val="20"/>
                <w:szCs w:val="20"/>
              </w:rPr>
              <w:t xml:space="preserve">  </w:t>
            </w:r>
            <w:r w:rsidR="002B369A">
              <w:rPr>
                <w:sz w:val="20"/>
                <w:szCs w:val="20"/>
              </w:rPr>
              <w:t>94,522</w:t>
            </w:r>
          </w:p>
          <w:p w14:paraId="3C70D389" w14:textId="77777777" w:rsidR="00BD77E6" w:rsidRPr="003061F1" w:rsidRDefault="00243E7B" w:rsidP="002B369A">
            <w:pPr>
              <w:jc w:val="right"/>
              <w:rPr>
                <w:sz w:val="20"/>
                <w:szCs w:val="20"/>
              </w:rPr>
            </w:pPr>
            <w:r>
              <w:rPr>
                <w:sz w:val="20"/>
                <w:szCs w:val="20"/>
              </w:rPr>
              <w:t xml:space="preserve">      </w:t>
            </w:r>
            <w:r w:rsidR="008328EC">
              <w:rPr>
                <w:sz w:val="20"/>
                <w:szCs w:val="20"/>
              </w:rPr>
              <w:t xml:space="preserve"> </w:t>
            </w:r>
            <w:r w:rsidR="002B369A">
              <w:rPr>
                <w:sz w:val="20"/>
                <w:szCs w:val="20"/>
              </w:rPr>
              <w:t>4,763</w:t>
            </w:r>
          </w:p>
        </w:tc>
        <w:tc>
          <w:tcPr>
            <w:tcW w:w="417" w:type="dxa"/>
          </w:tcPr>
          <w:p w14:paraId="4F70107A" w14:textId="77777777" w:rsidR="00E64B1A" w:rsidRPr="003061F1" w:rsidRDefault="00E64B1A" w:rsidP="00E64B1A">
            <w:pPr>
              <w:jc w:val="right"/>
              <w:rPr>
                <w:sz w:val="20"/>
                <w:szCs w:val="20"/>
              </w:rPr>
            </w:pPr>
          </w:p>
        </w:tc>
        <w:tc>
          <w:tcPr>
            <w:tcW w:w="1245" w:type="dxa"/>
          </w:tcPr>
          <w:p w14:paraId="1934ECC4" w14:textId="77777777" w:rsidR="00E64B1A" w:rsidRPr="003061F1" w:rsidRDefault="002B369A" w:rsidP="00E64B1A">
            <w:pPr>
              <w:jc w:val="right"/>
              <w:rPr>
                <w:sz w:val="20"/>
                <w:szCs w:val="20"/>
              </w:rPr>
            </w:pPr>
            <w:r>
              <w:rPr>
                <w:sz w:val="20"/>
                <w:szCs w:val="20"/>
              </w:rPr>
              <w:t>57,467</w:t>
            </w:r>
          </w:p>
          <w:p w14:paraId="1E6BE9E1" w14:textId="77777777" w:rsidR="00E64B1A" w:rsidRPr="003061F1" w:rsidRDefault="002B369A" w:rsidP="00E64B1A">
            <w:pPr>
              <w:jc w:val="right"/>
              <w:rPr>
                <w:sz w:val="20"/>
                <w:szCs w:val="20"/>
              </w:rPr>
            </w:pPr>
            <w:r>
              <w:rPr>
                <w:sz w:val="20"/>
                <w:szCs w:val="20"/>
              </w:rPr>
              <w:t>255</w:t>
            </w:r>
          </w:p>
        </w:tc>
      </w:tr>
      <w:tr w:rsidR="00E64B1A" w:rsidRPr="00676064" w14:paraId="4B1A0F4E" w14:textId="77777777" w:rsidTr="000C2A54">
        <w:trPr>
          <w:jc w:val="center"/>
        </w:trPr>
        <w:tc>
          <w:tcPr>
            <w:tcW w:w="5911" w:type="dxa"/>
          </w:tcPr>
          <w:p w14:paraId="47BA6FCD" w14:textId="77777777" w:rsidR="00E64B1A" w:rsidRPr="003061F1" w:rsidRDefault="00E64B1A" w:rsidP="00E64B1A">
            <w:pPr>
              <w:rPr>
                <w:sz w:val="20"/>
                <w:szCs w:val="20"/>
              </w:rPr>
            </w:pPr>
            <w:r w:rsidRPr="003061F1">
              <w:rPr>
                <w:rFonts w:cs="Arial"/>
                <w:sz w:val="20"/>
                <w:szCs w:val="20"/>
              </w:rPr>
              <w:t>Staff training and recruitment</w:t>
            </w:r>
          </w:p>
        </w:tc>
        <w:tc>
          <w:tcPr>
            <w:tcW w:w="1440" w:type="dxa"/>
          </w:tcPr>
          <w:p w14:paraId="565FEE9A" w14:textId="77777777" w:rsidR="00E64B1A" w:rsidRPr="003061F1" w:rsidRDefault="002B369A" w:rsidP="002B369A">
            <w:pPr>
              <w:jc w:val="right"/>
              <w:rPr>
                <w:sz w:val="20"/>
                <w:szCs w:val="20"/>
              </w:rPr>
            </w:pPr>
            <w:r>
              <w:rPr>
                <w:sz w:val="20"/>
                <w:szCs w:val="20"/>
              </w:rPr>
              <w:t>33,145</w:t>
            </w:r>
          </w:p>
        </w:tc>
        <w:tc>
          <w:tcPr>
            <w:tcW w:w="417" w:type="dxa"/>
          </w:tcPr>
          <w:p w14:paraId="39516FB3" w14:textId="77777777" w:rsidR="00E64B1A" w:rsidRPr="003061F1" w:rsidRDefault="00E64B1A" w:rsidP="00E64B1A">
            <w:pPr>
              <w:jc w:val="right"/>
              <w:rPr>
                <w:sz w:val="20"/>
                <w:szCs w:val="20"/>
              </w:rPr>
            </w:pPr>
          </w:p>
        </w:tc>
        <w:tc>
          <w:tcPr>
            <w:tcW w:w="1245" w:type="dxa"/>
          </w:tcPr>
          <w:p w14:paraId="0436F322" w14:textId="77777777" w:rsidR="00E64B1A" w:rsidRPr="003061F1" w:rsidRDefault="002B369A" w:rsidP="00E64B1A">
            <w:pPr>
              <w:jc w:val="right"/>
              <w:rPr>
                <w:sz w:val="20"/>
                <w:szCs w:val="20"/>
              </w:rPr>
            </w:pPr>
            <w:r>
              <w:rPr>
                <w:sz w:val="20"/>
                <w:szCs w:val="20"/>
              </w:rPr>
              <w:t>12,989</w:t>
            </w:r>
          </w:p>
        </w:tc>
      </w:tr>
      <w:tr w:rsidR="00E64B1A" w:rsidRPr="00676064" w14:paraId="5FA7AA89" w14:textId="77777777" w:rsidTr="000C2A54">
        <w:trPr>
          <w:jc w:val="center"/>
        </w:trPr>
        <w:tc>
          <w:tcPr>
            <w:tcW w:w="5911" w:type="dxa"/>
          </w:tcPr>
          <w:p w14:paraId="41CA06C4"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Telephone</w:t>
            </w:r>
          </w:p>
        </w:tc>
        <w:tc>
          <w:tcPr>
            <w:tcW w:w="1440" w:type="dxa"/>
          </w:tcPr>
          <w:p w14:paraId="7E726876" w14:textId="77777777" w:rsidR="00E64B1A" w:rsidRPr="003061F1" w:rsidRDefault="002B369A" w:rsidP="002B369A">
            <w:pPr>
              <w:jc w:val="right"/>
              <w:rPr>
                <w:sz w:val="20"/>
                <w:szCs w:val="20"/>
              </w:rPr>
            </w:pPr>
            <w:r>
              <w:rPr>
                <w:sz w:val="20"/>
                <w:szCs w:val="20"/>
              </w:rPr>
              <w:t>17,439</w:t>
            </w:r>
          </w:p>
        </w:tc>
        <w:tc>
          <w:tcPr>
            <w:tcW w:w="417" w:type="dxa"/>
          </w:tcPr>
          <w:p w14:paraId="061E8037" w14:textId="77777777" w:rsidR="00E64B1A" w:rsidRPr="003061F1" w:rsidRDefault="00E64B1A" w:rsidP="00E64B1A">
            <w:pPr>
              <w:jc w:val="right"/>
              <w:rPr>
                <w:sz w:val="20"/>
                <w:szCs w:val="20"/>
              </w:rPr>
            </w:pPr>
          </w:p>
        </w:tc>
        <w:tc>
          <w:tcPr>
            <w:tcW w:w="1245" w:type="dxa"/>
          </w:tcPr>
          <w:p w14:paraId="5B296F82" w14:textId="77777777" w:rsidR="00E64B1A" w:rsidRPr="003061F1" w:rsidRDefault="002B369A" w:rsidP="00E64B1A">
            <w:pPr>
              <w:jc w:val="right"/>
              <w:rPr>
                <w:sz w:val="20"/>
                <w:szCs w:val="20"/>
              </w:rPr>
            </w:pPr>
            <w:r>
              <w:rPr>
                <w:sz w:val="20"/>
                <w:szCs w:val="20"/>
              </w:rPr>
              <w:t>14,294</w:t>
            </w:r>
          </w:p>
        </w:tc>
      </w:tr>
      <w:tr w:rsidR="00E64B1A" w:rsidRPr="00676064" w14:paraId="6CBBA8A7" w14:textId="77777777" w:rsidTr="000C2A54">
        <w:trPr>
          <w:jc w:val="center"/>
        </w:trPr>
        <w:tc>
          <w:tcPr>
            <w:tcW w:w="5911" w:type="dxa"/>
          </w:tcPr>
          <w:p w14:paraId="3E464195" w14:textId="77777777" w:rsidR="00E64B1A" w:rsidRPr="003061F1" w:rsidRDefault="00E64B1A" w:rsidP="00E64B1A">
            <w:pPr>
              <w:rPr>
                <w:sz w:val="20"/>
                <w:szCs w:val="20"/>
              </w:rPr>
            </w:pPr>
            <w:r w:rsidRPr="003061F1">
              <w:rPr>
                <w:rFonts w:cs="Arial"/>
                <w:sz w:val="20"/>
                <w:szCs w:val="20"/>
              </w:rPr>
              <w:t>Travel, subsistence and hospitality</w:t>
            </w:r>
          </w:p>
        </w:tc>
        <w:tc>
          <w:tcPr>
            <w:tcW w:w="1440" w:type="dxa"/>
          </w:tcPr>
          <w:p w14:paraId="284EB59D" w14:textId="77777777" w:rsidR="00E64B1A" w:rsidRPr="003061F1" w:rsidRDefault="002B369A" w:rsidP="002B369A">
            <w:pPr>
              <w:jc w:val="right"/>
              <w:rPr>
                <w:sz w:val="20"/>
                <w:szCs w:val="20"/>
              </w:rPr>
            </w:pPr>
            <w:r>
              <w:rPr>
                <w:sz w:val="20"/>
                <w:szCs w:val="20"/>
              </w:rPr>
              <w:t>14,171</w:t>
            </w:r>
          </w:p>
        </w:tc>
        <w:tc>
          <w:tcPr>
            <w:tcW w:w="417" w:type="dxa"/>
          </w:tcPr>
          <w:p w14:paraId="6E9A229F" w14:textId="77777777" w:rsidR="00E64B1A" w:rsidRPr="003061F1" w:rsidRDefault="00E64B1A" w:rsidP="00E64B1A">
            <w:pPr>
              <w:jc w:val="right"/>
              <w:rPr>
                <w:sz w:val="20"/>
                <w:szCs w:val="20"/>
              </w:rPr>
            </w:pPr>
          </w:p>
        </w:tc>
        <w:tc>
          <w:tcPr>
            <w:tcW w:w="1245" w:type="dxa"/>
          </w:tcPr>
          <w:p w14:paraId="2A2F1EC1" w14:textId="77777777" w:rsidR="00E64B1A" w:rsidRPr="003061F1" w:rsidRDefault="002B369A" w:rsidP="00E64B1A">
            <w:pPr>
              <w:jc w:val="right"/>
              <w:rPr>
                <w:sz w:val="20"/>
                <w:szCs w:val="20"/>
              </w:rPr>
            </w:pPr>
            <w:r>
              <w:rPr>
                <w:sz w:val="20"/>
                <w:szCs w:val="20"/>
              </w:rPr>
              <w:t>6,205</w:t>
            </w:r>
          </w:p>
        </w:tc>
      </w:tr>
      <w:tr w:rsidR="00E64B1A" w:rsidRPr="00676064" w14:paraId="3084E04F" w14:textId="77777777" w:rsidTr="000C2A54">
        <w:trPr>
          <w:trHeight w:val="397"/>
          <w:jc w:val="center"/>
        </w:trPr>
        <w:tc>
          <w:tcPr>
            <w:tcW w:w="5911" w:type="dxa"/>
            <w:vAlign w:val="center"/>
          </w:tcPr>
          <w:p w14:paraId="76420700" w14:textId="77777777" w:rsidR="00E64B1A" w:rsidRPr="003061F1" w:rsidRDefault="00E64B1A" w:rsidP="00E64B1A">
            <w:pPr>
              <w:rPr>
                <w:rFonts w:cs="Arial"/>
                <w:sz w:val="20"/>
                <w:szCs w:val="20"/>
              </w:rPr>
            </w:pPr>
          </w:p>
        </w:tc>
        <w:tc>
          <w:tcPr>
            <w:tcW w:w="1440" w:type="dxa"/>
            <w:tcBorders>
              <w:top w:val="single" w:sz="4" w:space="0" w:color="auto"/>
            </w:tcBorders>
            <w:vAlign w:val="center"/>
          </w:tcPr>
          <w:p w14:paraId="5E138069" w14:textId="56299F8D" w:rsidR="00E64B1A" w:rsidRPr="003061F1" w:rsidRDefault="006321A7" w:rsidP="00E64B1A">
            <w:pPr>
              <w:jc w:val="right"/>
              <w:rPr>
                <w:rFonts w:cs="Arial"/>
                <w:sz w:val="20"/>
                <w:szCs w:val="20"/>
              </w:rPr>
            </w:pPr>
            <w:r>
              <w:rPr>
                <w:rFonts w:cs="Arial"/>
                <w:sz w:val="20"/>
                <w:szCs w:val="20"/>
              </w:rPr>
              <w:t>669,319</w:t>
            </w:r>
          </w:p>
        </w:tc>
        <w:tc>
          <w:tcPr>
            <w:tcW w:w="417" w:type="dxa"/>
            <w:vAlign w:val="center"/>
          </w:tcPr>
          <w:p w14:paraId="2D322E43" w14:textId="77777777" w:rsidR="00E64B1A" w:rsidRPr="003061F1" w:rsidRDefault="00E64B1A" w:rsidP="00E64B1A">
            <w:pPr>
              <w:jc w:val="right"/>
              <w:rPr>
                <w:sz w:val="20"/>
                <w:szCs w:val="20"/>
              </w:rPr>
            </w:pPr>
          </w:p>
        </w:tc>
        <w:tc>
          <w:tcPr>
            <w:tcW w:w="1245" w:type="dxa"/>
            <w:tcBorders>
              <w:top w:val="single" w:sz="4" w:space="0" w:color="auto"/>
            </w:tcBorders>
            <w:vAlign w:val="center"/>
          </w:tcPr>
          <w:p w14:paraId="79258C50" w14:textId="253CDBA4" w:rsidR="00E64B1A" w:rsidRPr="003061F1" w:rsidRDefault="002B369A" w:rsidP="00E64B1A">
            <w:pPr>
              <w:jc w:val="right"/>
              <w:rPr>
                <w:rFonts w:cs="Arial"/>
                <w:sz w:val="20"/>
                <w:szCs w:val="20"/>
              </w:rPr>
            </w:pPr>
            <w:r>
              <w:rPr>
                <w:rFonts w:cs="Arial"/>
                <w:sz w:val="20"/>
                <w:szCs w:val="20"/>
              </w:rPr>
              <w:t>564,178</w:t>
            </w:r>
          </w:p>
        </w:tc>
      </w:tr>
      <w:tr w:rsidR="00E64B1A" w:rsidRPr="00676064" w14:paraId="644F517A" w14:textId="77777777" w:rsidTr="000C2A54">
        <w:trPr>
          <w:jc w:val="center"/>
        </w:trPr>
        <w:tc>
          <w:tcPr>
            <w:tcW w:w="5911" w:type="dxa"/>
          </w:tcPr>
          <w:p w14:paraId="749E0B4A" w14:textId="77777777" w:rsidR="00E64B1A" w:rsidRPr="003061F1" w:rsidRDefault="00E64B1A" w:rsidP="00E64B1A">
            <w:pPr>
              <w:rPr>
                <w:rFonts w:cs="Arial"/>
                <w:sz w:val="20"/>
                <w:szCs w:val="20"/>
              </w:rPr>
            </w:pPr>
          </w:p>
        </w:tc>
        <w:tc>
          <w:tcPr>
            <w:tcW w:w="1440" w:type="dxa"/>
          </w:tcPr>
          <w:p w14:paraId="6E2418DB" w14:textId="77777777" w:rsidR="00E64B1A" w:rsidRPr="003061F1" w:rsidRDefault="00E64B1A" w:rsidP="00E64B1A">
            <w:pPr>
              <w:jc w:val="right"/>
              <w:rPr>
                <w:rFonts w:cs="Arial"/>
                <w:sz w:val="20"/>
                <w:szCs w:val="20"/>
              </w:rPr>
            </w:pPr>
          </w:p>
        </w:tc>
        <w:tc>
          <w:tcPr>
            <w:tcW w:w="417" w:type="dxa"/>
          </w:tcPr>
          <w:p w14:paraId="79DA76E0" w14:textId="77777777" w:rsidR="00E64B1A" w:rsidRPr="003061F1" w:rsidRDefault="00E64B1A" w:rsidP="00E64B1A">
            <w:pPr>
              <w:jc w:val="right"/>
              <w:rPr>
                <w:sz w:val="20"/>
                <w:szCs w:val="20"/>
              </w:rPr>
            </w:pPr>
          </w:p>
        </w:tc>
        <w:tc>
          <w:tcPr>
            <w:tcW w:w="1245" w:type="dxa"/>
          </w:tcPr>
          <w:p w14:paraId="4D0F702D" w14:textId="77777777" w:rsidR="00E64B1A" w:rsidRPr="003061F1" w:rsidRDefault="00E64B1A" w:rsidP="00E64B1A">
            <w:pPr>
              <w:jc w:val="right"/>
              <w:rPr>
                <w:rFonts w:cs="Arial"/>
                <w:sz w:val="20"/>
                <w:szCs w:val="20"/>
              </w:rPr>
            </w:pPr>
          </w:p>
        </w:tc>
      </w:tr>
      <w:tr w:rsidR="00E64B1A" w:rsidRPr="00676064" w14:paraId="45ED71D7" w14:textId="77777777" w:rsidTr="000C2A54">
        <w:trPr>
          <w:jc w:val="center"/>
        </w:trPr>
        <w:tc>
          <w:tcPr>
            <w:tcW w:w="5911" w:type="dxa"/>
          </w:tcPr>
          <w:p w14:paraId="51F59B12"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b/>
                <w:sz w:val="20"/>
                <w:szCs w:val="20"/>
              </w:rPr>
              <w:t>Non–Cash Items:</w:t>
            </w:r>
          </w:p>
        </w:tc>
        <w:tc>
          <w:tcPr>
            <w:tcW w:w="1440" w:type="dxa"/>
          </w:tcPr>
          <w:p w14:paraId="564AF501" w14:textId="77777777" w:rsidR="00E64B1A" w:rsidRPr="003061F1" w:rsidRDefault="00E64B1A" w:rsidP="00E64B1A">
            <w:pPr>
              <w:jc w:val="right"/>
              <w:rPr>
                <w:rFonts w:cs="Arial"/>
                <w:sz w:val="20"/>
                <w:szCs w:val="20"/>
              </w:rPr>
            </w:pPr>
          </w:p>
        </w:tc>
        <w:tc>
          <w:tcPr>
            <w:tcW w:w="417" w:type="dxa"/>
          </w:tcPr>
          <w:p w14:paraId="14A5FDAF" w14:textId="77777777" w:rsidR="00E64B1A" w:rsidRPr="003061F1" w:rsidRDefault="00E64B1A" w:rsidP="00E64B1A">
            <w:pPr>
              <w:jc w:val="right"/>
              <w:rPr>
                <w:sz w:val="20"/>
                <w:szCs w:val="20"/>
              </w:rPr>
            </w:pPr>
          </w:p>
        </w:tc>
        <w:tc>
          <w:tcPr>
            <w:tcW w:w="1245" w:type="dxa"/>
          </w:tcPr>
          <w:p w14:paraId="3F01DFA4" w14:textId="77777777" w:rsidR="00E64B1A" w:rsidRPr="003061F1" w:rsidRDefault="00E64B1A" w:rsidP="00E64B1A">
            <w:pPr>
              <w:jc w:val="right"/>
              <w:rPr>
                <w:rFonts w:cs="Arial"/>
                <w:sz w:val="20"/>
                <w:szCs w:val="20"/>
              </w:rPr>
            </w:pPr>
          </w:p>
        </w:tc>
      </w:tr>
      <w:tr w:rsidR="00E64B1A" w:rsidRPr="00676064" w14:paraId="13F51CD9" w14:textId="77777777" w:rsidTr="000C2A54">
        <w:trPr>
          <w:jc w:val="center"/>
        </w:trPr>
        <w:tc>
          <w:tcPr>
            <w:tcW w:w="5911" w:type="dxa"/>
          </w:tcPr>
          <w:p w14:paraId="2F4FABCF" w14:textId="02614D02" w:rsidR="002B369A" w:rsidRDefault="00E64B1A" w:rsidP="001C734F">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Depreciation, Amortisation and Impairment</w:t>
            </w:r>
          </w:p>
          <w:p w14:paraId="1E7EF98B" w14:textId="77777777" w:rsidR="006F289C" w:rsidRPr="003061F1" w:rsidRDefault="006F289C" w:rsidP="001C734F">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Pr>
                <w:rFonts w:cs="Arial"/>
                <w:sz w:val="20"/>
                <w:szCs w:val="20"/>
              </w:rPr>
              <w:t>Loss on disposal of asset</w:t>
            </w:r>
          </w:p>
        </w:tc>
        <w:tc>
          <w:tcPr>
            <w:tcW w:w="1440" w:type="dxa"/>
          </w:tcPr>
          <w:p w14:paraId="08381F11" w14:textId="77777777" w:rsidR="006F289C" w:rsidRDefault="00243E7B" w:rsidP="002B369A">
            <w:pPr>
              <w:jc w:val="right"/>
              <w:rPr>
                <w:rFonts w:cs="Arial"/>
                <w:sz w:val="20"/>
                <w:szCs w:val="20"/>
              </w:rPr>
            </w:pPr>
            <w:r>
              <w:rPr>
                <w:rFonts w:cs="Arial"/>
                <w:sz w:val="20"/>
                <w:szCs w:val="20"/>
              </w:rPr>
              <w:t xml:space="preserve">   </w:t>
            </w:r>
            <w:r w:rsidR="002B369A">
              <w:rPr>
                <w:rFonts w:cs="Arial"/>
                <w:sz w:val="20"/>
                <w:szCs w:val="20"/>
              </w:rPr>
              <w:t>91,241</w:t>
            </w:r>
          </w:p>
          <w:p w14:paraId="397B35A1" w14:textId="77777777" w:rsidR="00BD77E6" w:rsidRPr="003061F1" w:rsidRDefault="00243E7B" w:rsidP="002B369A">
            <w:pPr>
              <w:jc w:val="right"/>
              <w:rPr>
                <w:rFonts w:cs="Arial"/>
                <w:sz w:val="20"/>
                <w:szCs w:val="20"/>
              </w:rPr>
            </w:pPr>
            <w:r>
              <w:rPr>
                <w:rFonts w:cs="Arial"/>
                <w:sz w:val="20"/>
                <w:szCs w:val="20"/>
              </w:rPr>
              <w:t xml:space="preserve">     </w:t>
            </w:r>
            <w:r w:rsidR="002B369A">
              <w:rPr>
                <w:rFonts w:cs="Arial"/>
                <w:sz w:val="20"/>
                <w:szCs w:val="20"/>
              </w:rPr>
              <w:t>0</w:t>
            </w:r>
          </w:p>
        </w:tc>
        <w:tc>
          <w:tcPr>
            <w:tcW w:w="417" w:type="dxa"/>
          </w:tcPr>
          <w:p w14:paraId="46C540B9" w14:textId="77777777" w:rsidR="00E64B1A" w:rsidRPr="003061F1" w:rsidRDefault="00E64B1A" w:rsidP="00E64B1A">
            <w:pPr>
              <w:jc w:val="right"/>
              <w:rPr>
                <w:sz w:val="20"/>
                <w:szCs w:val="20"/>
              </w:rPr>
            </w:pPr>
          </w:p>
        </w:tc>
        <w:tc>
          <w:tcPr>
            <w:tcW w:w="1245" w:type="dxa"/>
          </w:tcPr>
          <w:p w14:paraId="1850CDE1" w14:textId="77777777" w:rsidR="007F3B4C" w:rsidRDefault="002B369A" w:rsidP="002B369A">
            <w:pPr>
              <w:jc w:val="right"/>
              <w:rPr>
                <w:rFonts w:cs="Arial"/>
                <w:sz w:val="20"/>
                <w:szCs w:val="20"/>
              </w:rPr>
            </w:pPr>
            <w:r>
              <w:rPr>
                <w:rFonts w:cs="Arial"/>
                <w:sz w:val="20"/>
                <w:szCs w:val="20"/>
              </w:rPr>
              <w:t>81,835</w:t>
            </w:r>
          </w:p>
          <w:p w14:paraId="121392D8" w14:textId="77777777" w:rsidR="002B369A" w:rsidRPr="003061F1" w:rsidRDefault="002B369A" w:rsidP="002B369A">
            <w:pPr>
              <w:jc w:val="right"/>
              <w:rPr>
                <w:rFonts w:cs="Arial"/>
                <w:sz w:val="20"/>
                <w:szCs w:val="20"/>
              </w:rPr>
            </w:pPr>
            <w:r>
              <w:rPr>
                <w:rFonts w:cs="Arial"/>
                <w:sz w:val="20"/>
                <w:szCs w:val="20"/>
              </w:rPr>
              <w:t>2,183</w:t>
            </w:r>
          </w:p>
        </w:tc>
      </w:tr>
      <w:tr w:rsidR="00E64B1A" w:rsidRPr="00676064" w14:paraId="2D13AEEC" w14:textId="77777777" w:rsidTr="008B52DD">
        <w:trPr>
          <w:trHeight w:val="397"/>
          <w:jc w:val="center"/>
        </w:trPr>
        <w:tc>
          <w:tcPr>
            <w:tcW w:w="5911" w:type="dxa"/>
            <w:vAlign w:val="center"/>
          </w:tcPr>
          <w:p w14:paraId="3D606309" w14:textId="77777777" w:rsidR="00E64B1A" w:rsidRPr="00676064" w:rsidRDefault="00E64B1A" w:rsidP="00E64B1A">
            <w:pPr>
              <w:rPr>
                <w:rFonts w:cs="Arial"/>
              </w:rPr>
            </w:pPr>
          </w:p>
        </w:tc>
        <w:tc>
          <w:tcPr>
            <w:tcW w:w="1440" w:type="dxa"/>
            <w:tcBorders>
              <w:top w:val="single" w:sz="4" w:space="0" w:color="auto"/>
              <w:bottom w:val="single" w:sz="4" w:space="0" w:color="auto"/>
            </w:tcBorders>
            <w:vAlign w:val="center"/>
          </w:tcPr>
          <w:p w14:paraId="35C41E92" w14:textId="28FD0C7C" w:rsidR="00E64B1A" w:rsidRPr="003061F1" w:rsidRDefault="00D018F5" w:rsidP="002B369A">
            <w:pPr>
              <w:jc w:val="right"/>
              <w:rPr>
                <w:rFonts w:cs="Arial"/>
                <w:sz w:val="20"/>
                <w:szCs w:val="20"/>
              </w:rPr>
            </w:pPr>
            <w:r>
              <w:rPr>
                <w:rFonts w:cs="Arial"/>
                <w:sz w:val="20"/>
                <w:szCs w:val="20"/>
              </w:rPr>
              <w:t>760,560</w:t>
            </w:r>
          </w:p>
        </w:tc>
        <w:tc>
          <w:tcPr>
            <w:tcW w:w="417" w:type="dxa"/>
            <w:vAlign w:val="center"/>
          </w:tcPr>
          <w:p w14:paraId="3FD599C3" w14:textId="77777777" w:rsidR="00E64B1A" w:rsidRPr="003061F1" w:rsidRDefault="00E64B1A" w:rsidP="00E64B1A">
            <w:pPr>
              <w:jc w:val="right"/>
              <w:rPr>
                <w:sz w:val="20"/>
                <w:szCs w:val="20"/>
              </w:rPr>
            </w:pPr>
          </w:p>
        </w:tc>
        <w:tc>
          <w:tcPr>
            <w:tcW w:w="1245" w:type="dxa"/>
            <w:tcBorders>
              <w:top w:val="single" w:sz="4" w:space="0" w:color="auto"/>
              <w:bottom w:val="single" w:sz="4" w:space="0" w:color="auto"/>
            </w:tcBorders>
            <w:vAlign w:val="center"/>
          </w:tcPr>
          <w:p w14:paraId="007895B3" w14:textId="77777777" w:rsidR="002B369A" w:rsidRPr="003061F1" w:rsidRDefault="002B369A" w:rsidP="002B369A">
            <w:pPr>
              <w:jc w:val="right"/>
              <w:rPr>
                <w:rFonts w:cs="Arial"/>
                <w:sz w:val="20"/>
                <w:szCs w:val="20"/>
              </w:rPr>
            </w:pPr>
            <w:r>
              <w:rPr>
                <w:rFonts w:cs="Arial"/>
                <w:sz w:val="20"/>
                <w:szCs w:val="20"/>
              </w:rPr>
              <w:t>6</w:t>
            </w:r>
            <w:r w:rsidR="00255020">
              <w:rPr>
                <w:rFonts w:cs="Arial"/>
                <w:sz w:val="20"/>
                <w:szCs w:val="20"/>
              </w:rPr>
              <w:t>48,196</w:t>
            </w:r>
          </w:p>
        </w:tc>
      </w:tr>
      <w:tr w:rsidR="008B52DD" w:rsidRPr="00676064" w14:paraId="2DB05E0C" w14:textId="77777777" w:rsidTr="00C02C30">
        <w:trPr>
          <w:trHeight w:val="397"/>
          <w:jc w:val="center"/>
        </w:trPr>
        <w:tc>
          <w:tcPr>
            <w:tcW w:w="9013" w:type="dxa"/>
            <w:gridSpan w:val="4"/>
            <w:vAlign w:val="center"/>
          </w:tcPr>
          <w:p w14:paraId="672A64BB" w14:textId="77777777" w:rsidR="008B52DD" w:rsidRDefault="008B52DD" w:rsidP="008B52DD">
            <w:pPr>
              <w:rPr>
                <w:rFonts w:cs="Arial"/>
              </w:rPr>
            </w:pPr>
          </w:p>
          <w:p w14:paraId="60674CD6" w14:textId="77777777" w:rsidR="008B52DD" w:rsidRDefault="008B52DD" w:rsidP="008B52DD">
            <w:pPr>
              <w:rPr>
                <w:rFonts w:cs="Arial"/>
              </w:rPr>
            </w:pPr>
          </w:p>
          <w:p w14:paraId="75FB894D" w14:textId="77777777" w:rsidR="008B52DD" w:rsidRDefault="008B52DD" w:rsidP="008B52DD">
            <w:pPr>
              <w:rPr>
                <w:rFonts w:cs="Arial"/>
              </w:rPr>
            </w:pPr>
            <w:r>
              <w:rPr>
                <w:rFonts w:cs="Arial"/>
              </w:rPr>
              <w:t>There were no payments made to the auditors during the year for non-</w:t>
            </w:r>
            <w:r w:rsidR="001C734F">
              <w:rPr>
                <w:rFonts w:cs="Arial"/>
              </w:rPr>
              <w:t>audit services (2020</w:t>
            </w:r>
            <w:r w:rsidR="002B369A">
              <w:rPr>
                <w:rFonts w:cs="Arial"/>
              </w:rPr>
              <w:t>-21</w:t>
            </w:r>
            <w:r>
              <w:rPr>
                <w:rFonts w:cs="Arial"/>
              </w:rPr>
              <w:t>: £nil)</w:t>
            </w:r>
            <w:r w:rsidR="008328EC">
              <w:rPr>
                <w:rFonts w:cs="Arial"/>
              </w:rPr>
              <w:t>.</w:t>
            </w:r>
          </w:p>
          <w:p w14:paraId="4DCF4DD3" w14:textId="77777777" w:rsidR="008328EC" w:rsidRDefault="008328EC" w:rsidP="008B52DD">
            <w:pPr>
              <w:rPr>
                <w:rFonts w:cs="Arial"/>
              </w:rPr>
            </w:pPr>
          </w:p>
          <w:p w14:paraId="24E9856D" w14:textId="77777777" w:rsidR="008328EC" w:rsidRDefault="008328EC" w:rsidP="008B52DD">
            <w:pPr>
              <w:rPr>
                <w:rFonts w:cs="Arial"/>
                <w:sz w:val="20"/>
                <w:szCs w:val="20"/>
              </w:rPr>
            </w:pPr>
          </w:p>
        </w:tc>
      </w:tr>
    </w:tbl>
    <w:p w14:paraId="6214B5B8" w14:textId="77777777" w:rsidR="001B791D" w:rsidRDefault="001B791D" w:rsidP="00386F56">
      <w:pPr>
        <w:rPr>
          <w:b/>
        </w:rPr>
      </w:pPr>
    </w:p>
    <w:p w14:paraId="4F8C38FF" w14:textId="77777777" w:rsidR="001B791D" w:rsidRDefault="001B791D">
      <w:pPr>
        <w:rPr>
          <w:b/>
        </w:rPr>
      </w:pPr>
      <w:r>
        <w:rPr>
          <w:b/>
        </w:rPr>
        <w:br w:type="page"/>
      </w:r>
    </w:p>
    <w:p w14:paraId="517370B8" w14:textId="77777777" w:rsidR="000C2A54" w:rsidRPr="00676064" w:rsidRDefault="000C2A54" w:rsidP="00386F56">
      <w:pPr>
        <w:rPr>
          <w:b/>
        </w:rPr>
      </w:pPr>
      <w:r w:rsidRPr="00676064">
        <w:rPr>
          <w:b/>
        </w:rPr>
        <w:t>5.</w:t>
      </w:r>
      <w:r w:rsidRPr="00676064">
        <w:rPr>
          <w:b/>
        </w:rPr>
        <w:tab/>
        <w:t>Income</w:t>
      </w:r>
    </w:p>
    <w:p w14:paraId="54B813C4" w14:textId="77777777" w:rsidR="000C2A54" w:rsidRPr="00676064" w:rsidRDefault="000C2A54" w:rsidP="000C2A54">
      <w:pPr>
        <w:widowControl w:val="0"/>
        <w:tabs>
          <w:tab w:val="left" w:pos="567"/>
          <w:tab w:val="right" w:pos="4140"/>
          <w:tab w:val="right" w:pos="6480"/>
          <w:tab w:val="right" w:pos="8820"/>
        </w:tabs>
        <w:autoSpaceDE w:val="0"/>
        <w:autoSpaceDN w:val="0"/>
        <w:adjustRightInd w:val="0"/>
      </w:pPr>
    </w:p>
    <w:p w14:paraId="34DB26A3" w14:textId="77777777" w:rsidR="000C2A54" w:rsidRPr="003061F1" w:rsidRDefault="000C2A54" w:rsidP="002B369A">
      <w:pPr>
        <w:widowControl w:val="0"/>
        <w:tabs>
          <w:tab w:val="left" w:pos="567"/>
          <w:tab w:val="right" w:pos="4140"/>
          <w:tab w:val="right" w:pos="6480"/>
          <w:tab w:val="right" w:pos="8820"/>
        </w:tabs>
        <w:autoSpaceDE w:val="0"/>
        <w:autoSpaceDN w:val="0"/>
        <w:adjustRightInd w:val="0"/>
        <w:rPr>
          <w:sz w:val="20"/>
          <w:szCs w:val="20"/>
        </w:rPr>
      </w:pPr>
      <w:r w:rsidRPr="00676064">
        <w:t xml:space="preserve">The Commission </w:t>
      </w:r>
      <w:r w:rsidR="001C734F">
        <w:t xml:space="preserve">had no </w:t>
      </w:r>
      <w:r w:rsidRPr="00676064">
        <w:t xml:space="preserve">recognised income from other sources </w:t>
      </w:r>
      <w:r w:rsidR="001C734F">
        <w:t xml:space="preserve">in </w:t>
      </w:r>
      <w:r w:rsidR="002B369A">
        <w:t>2021-22 (</w:t>
      </w:r>
      <w:r w:rsidR="001C734F">
        <w:t>2020-21</w:t>
      </w:r>
      <w:r w:rsidR="002B369A">
        <w:t>: £nil)</w:t>
      </w:r>
      <w:r w:rsidR="001C734F">
        <w:t xml:space="preserve">.  </w:t>
      </w:r>
    </w:p>
    <w:p w14:paraId="23F23AE4" w14:textId="77777777" w:rsidR="006E4551" w:rsidRDefault="006E4551"/>
    <w:p w14:paraId="1ECA05A9" w14:textId="77777777" w:rsidR="000C2A54" w:rsidRDefault="000C2A54" w:rsidP="003C598E">
      <w:pPr>
        <w:rPr>
          <w:b/>
        </w:rPr>
      </w:pPr>
      <w:r w:rsidRPr="00676064">
        <w:rPr>
          <w:b/>
        </w:rPr>
        <w:t>6.</w:t>
      </w:r>
      <w:r w:rsidRPr="00676064">
        <w:rPr>
          <w:b/>
        </w:rPr>
        <w:tab/>
        <w:t>Property, plant and equipment</w:t>
      </w:r>
    </w:p>
    <w:p w14:paraId="4747ED26" w14:textId="77777777" w:rsidR="00D651FB" w:rsidRDefault="00D651FB" w:rsidP="003C598E">
      <w:pPr>
        <w:rPr>
          <w:b/>
        </w:rPr>
      </w:pPr>
    </w:p>
    <w:tbl>
      <w:tblPr>
        <w:tblW w:w="8506" w:type="dxa"/>
        <w:tblLayout w:type="fixed"/>
        <w:tblLook w:val="01E0" w:firstRow="1" w:lastRow="1" w:firstColumn="1" w:lastColumn="1" w:noHBand="0" w:noVBand="0"/>
      </w:tblPr>
      <w:tblGrid>
        <w:gridCol w:w="2801"/>
        <w:gridCol w:w="1701"/>
        <w:gridCol w:w="1417"/>
        <w:gridCol w:w="1133"/>
        <w:gridCol w:w="1454"/>
      </w:tblGrid>
      <w:tr w:rsidR="00054872" w:rsidRPr="00863EC6" w14:paraId="74F39E40" w14:textId="77777777" w:rsidTr="00054872">
        <w:tc>
          <w:tcPr>
            <w:tcW w:w="2801" w:type="dxa"/>
          </w:tcPr>
          <w:p w14:paraId="2D61B2F5" w14:textId="77777777" w:rsidR="00054872" w:rsidRPr="00D35926" w:rsidRDefault="00054872" w:rsidP="00D651FB">
            <w:pPr>
              <w:rPr>
                <w:b/>
                <w:sz w:val="22"/>
                <w:szCs w:val="22"/>
              </w:rPr>
            </w:pPr>
            <w:r>
              <w:rPr>
                <w:b/>
                <w:sz w:val="22"/>
                <w:szCs w:val="22"/>
              </w:rPr>
              <w:t>2021-22</w:t>
            </w:r>
          </w:p>
        </w:tc>
        <w:tc>
          <w:tcPr>
            <w:tcW w:w="1701" w:type="dxa"/>
          </w:tcPr>
          <w:p w14:paraId="181B26EA" w14:textId="77777777" w:rsidR="00054872" w:rsidRPr="00F267CA" w:rsidRDefault="00054872" w:rsidP="00D651FB">
            <w:pPr>
              <w:ind w:right="-171"/>
              <w:rPr>
                <w:rFonts w:cs="Arial"/>
                <w:b/>
                <w:sz w:val="16"/>
                <w:szCs w:val="16"/>
              </w:rPr>
            </w:pPr>
            <w:r w:rsidRPr="00F267CA">
              <w:rPr>
                <w:rFonts w:cs="Arial"/>
                <w:b/>
                <w:sz w:val="16"/>
                <w:szCs w:val="16"/>
              </w:rPr>
              <w:t>Leasehold Improvements</w:t>
            </w:r>
          </w:p>
        </w:tc>
        <w:tc>
          <w:tcPr>
            <w:tcW w:w="1417" w:type="dxa"/>
          </w:tcPr>
          <w:p w14:paraId="64B0A48A" w14:textId="77777777" w:rsidR="00054872" w:rsidRPr="00F267CA" w:rsidRDefault="00054872" w:rsidP="00D651FB">
            <w:pPr>
              <w:rPr>
                <w:b/>
                <w:sz w:val="16"/>
                <w:szCs w:val="16"/>
              </w:rPr>
            </w:pPr>
            <w:r w:rsidRPr="00F267CA">
              <w:rPr>
                <w:b/>
                <w:sz w:val="16"/>
                <w:szCs w:val="16"/>
              </w:rPr>
              <w:t>Information technology</w:t>
            </w:r>
          </w:p>
        </w:tc>
        <w:tc>
          <w:tcPr>
            <w:tcW w:w="1133" w:type="dxa"/>
          </w:tcPr>
          <w:p w14:paraId="67A5318D" w14:textId="77777777" w:rsidR="00054872" w:rsidRPr="00F267CA" w:rsidRDefault="00054872" w:rsidP="00D651FB">
            <w:pPr>
              <w:rPr>
                <w:b/>
                <w:sz w:val="16"/>
                <w:szCs w:val="16"/>
              </w:rPr>
            </w:pPr>
            <w:r w:rsidRPr="00F267CA">
              <w:rPr>
                <w:b/>
                <w:sz w:val="16"/>
                <w:szCs w:val="16"/>
              </w:rPr>
              <w:t>Furniture &amp; fittings</w:t>
            </w:r>
          </w:p>
        </w:tc>
        <w:tc>
          <w:tcPr>
            <w:tcW w:w="1454" w:type="dxa"/>
          </w:tcPr>
          <w:p w14:paraId="671C78E3" w14:textId="77777777" w:rsidR="00054872" w:rsidRPr="00F267CA" w:rsidRDefault="00054872" w:rsidP="00D651FB">
            <w:pPr>
              <w:jc w:val="right"/>
              <w:rPr>
                <w:b/>
                <w:sz w:val="16"/>
                <w:szCs w:val="16"/>
              </w:rPr>
            </w:pPr>
            <w:r w:rsidRPr="00F267CA">
              <w:rPr>
                <w:b/>
                <w:sz w:val="16"/>
                <w:szCs w:val="16"/>
              </w:rPr>
              <w:t>Total</w:t>
            </w:r>
          </w:p>
          <w:p w14:paraId="4A5689DC" w14:textId="77777777" w:rsidR="00054872" w:rsidRPr="00F267CA" w:rsidRDefault="00054872" w:rsidP="00D651FB">
            <w:pPr>
              <w:rPr>
                <w:b/>
                <w:sz w:val="16"/>
                <w:szCs w:val="16"/>
              </w:rPr>
            </w:pPr>
          </w:p>
        </w:tc>
      </w:tr>
      <w:tr w:rsidR="00054872" w:rsidRPr="00863EC6" w14:paraId="1CDDCA87" w14:textId="77777777" w:rsidTr="00054872">
        <w:tc>
          <w:tcPr>
            <w:tcW w:w="2801" w:type="dxa"/>
          </w:tcPr>
          <w:p w14:paraId="410AFB94" w14:textId="77777777" w:rsidR="00054872" w:rsidRPr="00863EC6" w:rsidRDefault="00054872" w:rsidP="00D651FB">
            <w:pPr>
              <w:rPr>
                <w:b/>
                <w:sz w:val="20"/>
                <w:szCs w:val="20"/>
              </w:rPr>
            </w:pPr>
            <w:r w:rsidRPr="00863EC6">
              <w:rPr>
                <w:b/>
                <w:sz w:val="20"/>
                <w:szCs w:val="20"/>
              </w:rPr>
              <w:t xml:space="preserve">Cost or valuation </w:t>
            </w:r>
          </w:p>
        </w:tc>
        <w:tc>
          <w:tcPr>
            <w:tcW w:w="1701" w:type="dxa"/>
          </w:tcPr>
          <w:p w14:paraId="5D624032" w14:textId="77777777" w:rsidR="00054872" w:rsidRPr="00863EC6" w:rsidRDefault="00054872" w:rsidP="00D651FB">
            <w:pPr>
              <w:jc w:val="right"/>
              <w:rPr>
                <w:b/>
                <w:sz w:val="20"/>
                <w:szCs w:val="20"/>
              </w:rPr>
            </w:pPr>
            <w:r w:rsidRPr="00863EC6">
              <w:rPr>
                <w:b/>
                <w:sz w:val="20"/>
                <w:szCs w:val="20"/>
              </w:rPr>
              <w:t>£</w:t>
            </w:r>
          </w:p>
        </w:tc>
        <w:tc>
          <w:tcPr>
            <w:tcW w:w="1417" w:type="dxa"/>
          </w:tcPr>
          <w:p w14:paraId="1D45996E" w14:textId="77777777" w:rsidR="00054872" w:rsidRPr="00863EC6" w:rsidRDefault="00054872" w:rsidP="00D651FB">
            <w:pPr>
              <w:jc w:val="right"/>
              <w:rPr>
                <w:b/>
                <w:sz w:val="20"/>
                <w:szCs w:val="20"/>
              </w:rPr>
            </w:pPr>
            <w:r w:rsidRPr="00863EC6">
              <w:rPr>
                <w:b/>
                <w:sz w:val="20"/>
                <w:szCs w:val="20"/>
              </w:rPr>
              <w:t>£</w:t>
            </w:r>
          </w:p>
        </w:tc>
        <w:tc>
          <w:tcPr>
            <w:tcW w:w="1133" w:type="dxa"/>
          </w:tcPr>
          <w:p w14:paraId="121BCD95" w14:textId="77777777" w:rsidR="00054872" w:rsidRPr="00863EC6" w:rsidRDefault="00054872" w:rsidP="00D651FB">
            <w:pPr>
              <w:jc w:val="right"/>
              <w:rPr>
                <w:b/>
                <w:sz w:val="20"/>
                <w:szCs w:val="20"/>
              </w:rPr>
            </w:pPr>
            <w:r w:rsidRPr="00863EC6">
              <w:rPr>
                <w:b/>
                <w:sz w:val="20"/>
                <w:szCs w:val="20"/>
              </w:rPr>
              <w:t>£</w:t>
            </w:r>
          </w:p>
        </w:tc>
        <w:tc>
          <w:tcPr>
            <w:tcW w:w="1454" w:type="dxa"/>
          </w:tcPr>
          <w:p w14:paraId="5AC6EF79" w14:textId="77777777" w:rsidR="00054872" w:rsidRPr="00863EC6" w:rsidRDefault="00054872" w:rsidP="00D651FB">
            <w:pPr>
              <w:jc w:val="right"/>
              <w:rPr>
                <w:b/>
                <w:sz w:val="20"/>
                <w:szCs w:val="20"/>
              </w:rPr>
            </w:pPr>
            <w:r w:rsidRPr="00863EC6">
              <w:rPr>
                <w:b/>
                <w:sz w:val="20"/>
                <w:szCs w:val="20"/>
              </w:rPr>
              <w:t>£</w:t>
            </w:r>
          </w:p>
        </w:tc>
      </w:tr>
      <w:tr w:rsidR="00054872" w:rsidRPr="00863EC6" w14:paraId="7808519D" w14:textId="77777777" w:rsidTr="00054872">
        <w:tc>
          <w:tcPr>
            <w:tcW w:w="2801" w:type="dxa"/>
          </w:tcPr>
          <w:p w14:paraId="03AF6128" w14:textId="77777777" w:rsidR="00054872" w:rsidRPr="00863EC6" w:rsidRDefault="00054872" w:rsidP="00D651FB">
            <w:pPr>
              <w:rPr>
                <w:sz w:val="20"/>
                <w:szCs w:val="20"/>
              </w:rPr>
            </w:pPr>
            <w:r w:rsidRPr="00863EC6">
              <w:rPr>
                <w:sz w:val="20"/>
                <w:szCs w:val="20"/>
              </w:rPr>
              <w:t>At 1 April 20</w:t>
            </w:r>
            <w:r>
              <w:rPr>
                <w:sz w:val="20"/>
                <w:szCs w:val="20"/>
              </w:rPr>
              <w:t>21</w:t>
            </w:r>
          </w:p>
        </w:tc>
        <w:tc>
          <w:tcPr>
            <w:tcW w:w="1701" w:type="dxa"/>
          </w:tcPr>
          <w:p w14:paraId="7A2EF346" w14:textId="77777777" w:rsidR="00054872" w:rsidRPr="00863EC6" w:rsidRDefault="00054872" w:rsidP="00D651FB">
            <w:pPr>
              <w:jc w:val="right"/>
              <w:rPr>
                <w:sz w:val="20"/>
                <w:szCs w:val="20"/>
              </w:rPr>
            </w:pPr>
            <w:r>
              <w:rPr>
                <w:sz w:val="20"/>
                <w:szCs w:val="20"/>
              </w:rPr>
              <w:t>550,034</w:t>
            </w:r>
          </w:p>
        </w:tc>
        <w:tc>
          <w:tcPr>
            <w:tcW w:w="1417" w:type="dxa"/>
          </w:tcPr>
          <w:p w14:paraId="7637CA06" w14:textId="77777777" w:rsidR="00054872" w:rsidRPr="00863EC6" w:rsidRDefault="00054872" w:rsidP="00D651FB">
            <w:pPr>
              <w:jc w:val="right"/>
              <w:rPr>
                <w:sz w:val="20"/>
                <w:szCs w:val="20"/>
              </w:rPr>
            </w:pPr>
            <w:r>
              <w:rPr>
                <w:sz w:val="20"/>
                <w:szCs w:val="20"/>
              </w:rPr>
              <w:t>80,521</w:t>
            </w:r>
          </w:p>
        </w:tc>
        <w:tc>
          <w:tcPr>
            <w:tcW w:w="1133" w:type="dxa"/>
          </w:tcPr>
          <w:p w14:paraId="554E4349" w14:textId="77777777" w:rsidR="00054872" w:rsidRPr="00863EC6" w:rsidRDefault="00054872" w:rsidP="00D651FB">
            <w:pPr>
              <w:jc w:val="right"/>
              <w:rPr>
                <w:sz w:val="20"/>
                <w:szCs w:val="20"/>
              </w:rPr>
            </w:pPr>
            <w:r>
              <w:rPr>
                <w:sz w:val="20"/>
                <w:szCs w:val="20"/>
              </w:rPr>
              <w:t>93,393</w:t>
            </w:r>
          </w:p>
        </w:tc>
        <w:tc>
          <w:tcPr>
            <w:tcW w:w="1454" w:type="dxa"/>
          </w:tcPr>
          <w:p w14:paraId="3C287B20" w14:textId="77777777" w:rsidR="00054872" w:rsidRPr="00863EC6" w:rsidRDefault="00054872" w:rsidP="00D651FB">
            <w:pPr>
              <w:jc w:val="right"/>
              <w:rPr>
                <w:sz w:val="20"/>
                <w:szCs w:val="20"/>
              </w:rPr>
            </w:pPr>
            <w:r>
              <w:rPr>
                <w:sz w:val="20"/>
                <w:szCs w:val="20"/>
              </w:rPr>
              <w:t>723,948</w:t>
            </w:r>
          </w:p>
        </w:tc>
      </w:tr>
      <w:tr w:rsidR="00054872" w:rsidRPr="00863EC6" w14:paraId="717FE054" w14:textId="77777777" w:rsidTr="00054872">
        <w:tc>
          <w:tcPr>
            <w:tcW w:w="2801" w:type="dxa"/>
          </w:tcPr>
          <w:p w14:paraId="722FEFD0" w14:textId="77777777" w:rsidR="00054872" w:rsidRPr="00863EC6" w:rsidRDefault="00054872" w:rsidP="00D651FB">
            <w:pPr>
              <w:rPr>
                <w:sz w:val="20"/>
                <w:szCs w:val="20"/>
              </w:rPr>
            </w:pPr>
            <w:r w:rsidRPr="00863EC6">
              <w:rPr>
                <w:sz w:val="20"/>
                <w:szCs w:val="20"/>
              </w:rPr>
              <w:t>Additions</w:t>
            </w:r>
          </w:p>
        </w:tc>
        <w:tc>
          <w:tcPr>
            <w:tcW w:w="1701" w:type="dxa"/>
          </w:tcPr>
          <w:p w14:paraId="34100177" w14:textId="77777777" w:rsidR="00054872" w:rsidRPr="00863EC6" w:rsidRDefault="00054872" w:rsidP="00D651FB">
            <w:pPr>
              <w:jc w:val="right"/>
              <w:rPr>
                <w:sz w:val="20"/>
                <w:szCs w:val="20"/>
              </w:rPr>
            </w:pPr>
            <w:r>
              <w:rPr>
                <w:sz w:val="20"/>
                <w:szCs w:val="20"/>
              </w:rPr>
              <w:t>0</w:t>
            </w:r>
          </w:p>
        </w:tc>
        <w:tc>
          <w:tcPr>
            <w:tcW w:w="1417" w:type="dxa"/>
          </w:tcPr>
          <w:p w14:paraId="6514F24B" w14:textId="77777777" w:rsidR="00054872" w:rsidRPr="00863EC6" w:rsidRDefault="00054872" w:rsidP="00D651FB">
            <w:pPr>
              <w:jc w:val="right"/>
              <w:rPr>
                <w:sz w:val="20"/>
                <w:szCs w:val="20"/>
              </w:rPr>
            </w:pPr>
            <w:r>
              <w:rPr>
                <w:sz w:val="20"/>
                <w:szCs w:val="20"/>
              </w:rPr>
              <w:t>10,972</w:t>
            </w:r>
          </w:p>
        </w:tc>
        <w:tc>
          <w:tcPr>
            <w:tcW w:w="1133" w:type="dxa"/>
          </w:tcPr>
          <w:p w14:paraId="6FA00CB2" w14:textId="77777777" w:rsidR="00054872" w:rsidRPr="00863EC6" w:rsidRDefault="00054872" w:rsidP="00D651FB">
            <w:pPr>
              <w:jc w:val="right"/>
              <w:rPr>
                <w:sz w:val="20"/>
                <w:szCs w:val="20"/>
              </w:rPr>
            </w:pPr>
            <w:r>
              <w:rPr>
                <w:sz w:val="20"/>
                <w:szCs w:val="20"/>
              </w:rPr>
              <w:t>0</w:t>
            </w:r>
          </w:p>
        </w:tc>
        <w:tc>
          <w:tcPr>
            <w:tcW w:w="1454" w:type="dxa"/>
          </w:tcPr>
          <w:p w14:paraId="1D4EC247" w14:textId="77777777" w:rsidR="00054872" w:rsidRPr="00863EC6" w:rsidRDefault="00054872" w:rsidP="00D651FB">
            <w:pPr>
              <w:jc w:val="right"/>
              <w:rPr>
                <w:sz w:val="20"/>
                <w:szCs w:val="20"/>
              </w:rPr>
            </w:pPr>
            <w:r>
              <w:rPr>
                <w:sz w:val="20"/>
                <w:szCs w:val="20"/>
              </w:rPr>
              <w:t>10,972</w:t>
            </w:r>
          </w:p>
        </w:tc>
      </w:tr>
      <w:tr w:rsidR="00054872" w:rsidRPr="00863EC6" w14:paraId="0235AB98" w14:textId="77777777" w:rsidTr="00054872">
        <w:tc>
          <w:tcPr>
            <w:tcW w:w="2801" w:type="dxa"/>
          </w:tcPr>
          <w:p w14:paraId="51CDDBBE" w14:textId="77777777" w:rsidR="00054872" w:rsidRDefault="00054872" w:rsidP="00D651FB">
            <w:pPr>
              <w:rPr>
                <w:sz w:val="20"/>
                <w:szCs w:val="20"/>
              </w:rPr>
            </w:pPr>
            <w:r>
              <w:rPr>
                <w:sz w:val="20"/>
                <w:szCs w:val="20"/>
              </w:rPr>
              <w:t>Revaluation</w:t>
            </w:r>
          </w:p>
        </w:tc>
        <w:tc>
          <w:tcPr>
            <w:tcW w:w="1701" w:type="dxa"/>
          </w:tcPr>
          <w:p w14:paraId="6173F125" w14:textId="77777777" w:rsidR="00054872" w:rsidRDefault="00054872" w:rsidP="00D651FB">
            <w:pPr>
              <w:jc w:val="right"/>
              <w:rPr>
                <w:sz w:val="20"/>
                <w:szCs w:val="20"/>
              </w:rPr>
            </w:pPr>
            <w:r>
              <w:rPr>
                <w:sz w:val="20"/>
                <w:szCs w:val="20"/>
              </w:rPr>
              <w:t>29,800</w:t>
            </w:r>
          </w:p>
        </w:tc>
        <w:tc>
          <w:tcPr>
            <w:tcW w:w="1417" w:type="dxa"/>
          </w:tcPr>
          <w:p w14:paraId="37F71293" w14:textId="77777777" w:rsidR="00054872" w:rsidRDefault="00054872" w:rsidP="00D651FB">
            <w:pPr>
              <w:jc w:val="right"/>
              <w:rPr>
                <w:sz w:val="20"/>
                <w:szCs w:val="20"/>
              </w:rPr>
            </w:pPr>
            <w:r>
              <w:rPr>
                <w:sz w:val="20"/>
                <w:szCs w:val="20"/>
              </w:rPr>
              <w:t>0</w:t>
            </w:r>
          </w:p>
        </w:tc>
        <w:tc>
          <w:tcPr>
            <w:tcW w:w="1133" w:type="dxa"/>
          </w:tcPr>
          <w:p w14:paraId="1C906E17" w14:textId="77777777" w:rsidR="00054872" w:rsidRDefault="00054872" w:rsidP="00D651FB">
            <w:pPr>
              <w:jc w:val="right"/>
              <w:rPr>
                <w:sz w:val="20"/>
                <w:szCs w:val="20"/>
              </w:rPr>
            </w:pPr>
            <w:r>
              <w:rPr>
                <w:sz w:val="20"/>
                <w:szCs w:val="20"/>
              </w:rPr>
              <w:t>0</w:t>
            </w:r>
          </w:p>
        </w:tc>
        <w:tc>
          <w:tcPr>
            <w:tcW w:w="1454" w:type="dxa"/>
          </w:tcPr>
          <w:p w14:paraId="7A1B3E65" w14:textId="77777777" w:rsidR="00054872" w:rsidRDefault="00054872" w:rsidP="00D651FB">
            <w:pPr>
              <w:jc w:val="right"/>
              <w:rPr>
                <w:sz w:val="20"/>
                <w:szCs w:val="20"/>
              </w:rPr>
            </w:pPr>
            <w:r>
              <w:rPr>
                <w:sz w:val="20"/>
                <w:szCs w:val="20"/>
              </w:rPr>
              <w:t>29,800</w:t>
            </w:r>
          </w:p>
        </w:tc>
      </w:tr>
      <w:tr w:rsidR="00054872" w:rsidRPr="00863EC6" w14:paraId="3321165D" w14:textId="77777777" w:rsidTr="00054872">
        <w:tc>
          <w:tcPr>
            <w:tcW w:w="2801" w:type="dxa"/>
          </w:tcPr>
          <w:p w14:paraId="6004A648" w14:textId="77777777" w:rsidR="00054872" w:rsidRPr="00863EC6" w:rsidRDefault="00054872" w:rsidP="00D651FB">
            <w:pPr>
              <w:rPr>
                <w:sz w:val="20"/>
                <w:szCs w:val="20"/>
              </w:rPr>
            </w:pPr>
            <w:r w:rsidRPr="00863EC6">
              <w:rPr>
                <w:sz w:val="20"/>
                <w:szCs w:val="20"/>
              </w:rPr>
              <w:t xml:space="preserve">At </w:t>
            </w:r>
            <w:r>
              <w:rPr>
                <w:sz w:val="20"/>
                <w:szCs w:val="20"/>
              </w:rPr>
              <w:t>31 March 2022</w:t>
            </w:r>
          </w:p>
        </w:tc>
        <w:tc>
          <w:tcPr>
            <w:tcW w:w="1701" w:type="dxa"/>
            <w:tcBorders>
              <w:top w:val="single" w:sz="4" w:space="0" w:color="auto"/>
              <w:bottom w:val="single" w:sz="4" w:space="0" w:color="auto"/>
            </w:tcBorders>
          </w:tcPr>
          <w:p w14:paraId="2D6BFD9D" w14:textId="77777777" w:rsidR="00054872" w:rsidRPr="00863EC6" w:rsidRDefault="00054872" w:rsidP="00D651FB">
            <w:pPr>
              <w:jc w:val="right"/>
              <w:rPr>
                <w:sz w:val="20"/>
                <w:szCs w:val="20"/>
              </w:rPr>
            </w:pPr>
            <w:r>
              <w:rPr>
                <w:sz w:val="20"/>
                <w:szCs w:val="20"/>
              </w:rPr>
              <w:t>579,834</w:t>
            </w:r>
          </w:p>
        </w:tc>
        <w:tc>
          <w:tcPr>
            <w:tcW w:w="1417" w:type="dxa"/>
            <w:tcBorders>
              <w:top w:val="single" w:sz="4" w:space="0" w:color="auto"/>
              <w:bottom w:val="single" w:sz="4" w:space="0" w:color="auto"/>
            </w:tcBorders>
          </w:tcPr>
          <w:p w14:paraId="22ED3845" w14:textId="77777777" w:rsidR="00054872" w:rsidRPr="00863EC6" w:rsidRDefault="00054872" w:rsidP="00D651FB">
            <w:pPr>
              <w:jc w:val="right"/>
              <w:rPr>
                <w:sz w:val="20"/>
                <w:szCs w:val="20"/>
              </w:rPr>
            </w:pPr>
            <w:r>
              <w:rPr>
                <w:sz w:val="20"/>
                <w:szCs w:val="20"/>
              </w:rPr>
              <w:t>91,493</w:t>
            </w:r>
          </w:p>
        </w:tc>
        <w:tc>
          <w:tcPr>
            <w:tcW w:w="1133" w:type="dxa"/>
            <w:tcBorders>
              <w:top w:val="single" w:sz="4" w:space="0" w:color="auto"/>
              <w:bottom w:val="single" w:sz="4" w:space="0" w:color="auto"/>
            </w:tcBorders>
          </w:tcPr>
          <w:p w14:paraId="01946671" w14:textId="77777777" w:rsidR="00054872" w:rsidRPr="00863EC6" w:rsidRDefault="00054872" w:rsidP="00D651FB">
            <w:pPr>
              <w:jc w:val="right"/>
              <w:rPr>
                <w:sz w:val="20"/>
                <w:szCs w:val="20"/>
              </w:rPr>
            </w:pPr>
            <w:r>
              <w:rPr>
                <w:sz w:val="20"/>
                <w:szCs w:val="20"/>
              </w:rPr>
              <w:t>93,393</w:t>
            </w:r>
          </w:p>
        </w:tc>
        <w:tc>
          <w:tcPr>
            <w:tcW w:w="1454" w:type="dxa"/>
            <w:tcBorders>
              <w:top w:val="single" w:sz="4" w:space="0" w:color="auto"/>
              <w:bottom w:val="single" w:sz="4" w:space="0" w:color="auto"/>
            </w:tcBorders>
          </w:tcPr>
          <w:p w14:paraId="43190D54" w14:textId="77777777" w:rsidR="00054872" w:rsidRPr="00863EC6" w:rsidRDefault="00054872" w:rsidP="00D651FB">
            <w:pPr>
              <w:jc w:val="right"/>
              <w:rPr>
                <w:sz w:val="20"/>
                <w:szCs w:val="20"/>
              </w:rPr>
            </w:pPr>
            <w:r>
              <w:rPr>
                <w:sz w:val="20"/>
                <w:szCs w:val="20"/>
              </w:rPr>
              <w:t>764,720</w:t>
            </w:r>
          </w:p>
        </w:tc>
      </w:tr>
      <w:tr w:rsidR="00054872" w:rsidRPr="00863EC6" w14:paraId="365B8ACA" w14:textId="77777777" w:rsidTr="00054872">
        <w:tc>
          <w:tcPr>
            <w:tcW w:w="2801" w:type="dxa"/>
          </w:tcPr>
          <w:p w14:paraId="1763AA7B" w14:textId="77777777" w:rsidR="00054872" w:rsidRPr="00863EC6" w:rsidRDefault="00054872" w:rsidP="00D651FB">
            <w:pPr>
              <w:rPr>
                <w:b/>
                <w:sz w:val="20"/>
                <w:szCs w:val="20"/>
              </w:rPr>
            </w:pPr>
            <w:r w:rsidRPr="00863EC6">
              <w:rPr>
                <w:b/>
                <w:sz w:val="20"/>
                <w:szCs w:val="20"/>
              </w:rPr>
              <w:t>Depreciation</w:t>
            </w:r>
          </w:p>
        </w:tc>
        <w:tc>
          <w:tcPr>
            <w:tcW w:w="1701" w:type="dxa"/>
          </w:tcPr>
          <w:p w14:paraId="658FE91A" w14:textId="77777777" w:rsidR="00054872" w:rsidRPr="00863EC6" w:rsidRDefault="00054872" w:rsidP="00D651FB">
            <w:pPr>
              <w:jc w:val="right"/>
              <w:rPr>
                <w:sz w:val="20"/>
                <w:szCs w:val="20"/>
              </w:rPr>
            </w:pPr>
          </w:p>
        </w:tc>
        <w:tc>
          <w:tcPr>
            <w:tcW w:w="1417" w:type="dxa"/>
          </w:tcPr>
          <w:p w14:paraId="5CEE8208" w14:textId="77777777" w:rsidR="00054872" w:rsidRPr="00863EC6" w:rsidRDefault="00054872" w:rsidP="00D651FB">
            <w:pPr>
              <w:jc w:val="right"/>
              <w:rPr>
                <w:sz w:val="20"/>
                <w:szCs w:val="20"/>
              </w:rPr>
            </w:pPr>
          </w:p>
        </w:tc>
        <w:tc>
          <w:tcPr>
            <w:tcW w:w="1133" w:type="dxa"/>
          </w:tcPr>
          <w:p w14:paraId="44FF42D9" w14:textId="77777777" w:rsidR="00054872" w:rsidRPr="00863EC6" w:rsidRDefault="00054872" w:rsidP="00D651FB">
            <w:pPr>
              <w:jc w:val="right"/>
              <w:rPr>
                <w:sz w:val="20"/>
                <w:szCs w:val="20"/>
              </w:rPr>
            </w:pPr>
          </w:p>
        </w:tc>
        <w:tc>
          <w:tcPr>
            <w:tcW w:w="1454" w:type="dxa"/>
          </w:tcPr>
          <w:p w14:paraId="16B19987" w14:textId="77777777" w:rsidR="00054872" w:rsidRPr="00863EC6" w:rsidRDefault="00054872" w:rsidP="00D651FB">
            <w:pPr>
              <w:jc w:val="right"/>
              <w:rPr>
                <w:sz w:val="20"/>
                <w:szCs w:val="20"/>
              </w:rPr>
            </w:pPr>
          </w:p>
        </w:tc>
      </w:tr>
      <w:tr w:rsidR="00054872" w:rsidRPr="00863EC6" w14:paraId="1ABA4210" w14:textId="77777777" w:rsidTr="00054872">
        <w:tc>
          <w:tcPr>
            <w:tcW w:w="2801" w:type="dxa"/>
          </w:tcPr>
          <w:p w14:paraId="70E82A71" w14:textId="77777777" w:rsidR="00054872" w:rsidRPr="00863EC6" w:rsidRDefault="00054872" w:rsidP="00D651FB">
            <w:pPr>
              <w:rPr>
                <w:sz w:val="20"/>
                <w:szCs w:val="20"/>
              </w:rPr>
            </w:pPr>
            <w:r w:rsidRPr="00863EC6">
              <w:rPr>
                <w:sz w:val="20"/>
                <w:szCs w:val="20"/>
              </w:rPr>
              <w:t>At 1 April 20</w:t>
            </w:r>
            <w:r>
              <w:rPr>
                <w:sz w:val="20"/>
                <w:szCs w:val="20"/>
              </w:rPr>
              <w:t>21</w:t>
            </w:r>
          </w:p>
        </w:tc>
        <w:tc>
          <w:tcPr>
            <w:tcW w:w="1701" w:type="dxa"/>
          </w:tcPr>
          <w:p w14:paraId="15B120B2" w14:textId="77777777" w:rsidR="00054872" w:rsidRPr="00863EC6" w:rsidRDefault="00054872" w:rsidP="00D651FB">
            <w:pPr>
              <w:jc w:val="right"/>
              <w:rPr>
                <w:sz w:val="20"/>
                <w:szCs w:val="20"/>
              </w:rPr>
            </w:pPr>
            <w:r>
              <w:rPr>
                <w:sz w:val="20"/>
                <w:szCs w:val="20"/>
              </w:rPr>
              <w:t>59,959</w:t>
            </w:r>
          </w:p>
        </w:tc>
        <w:tc>
          <w:tcPr>
            <w:tcW w:w="1417" w:type="dxa"/>
          </w:tcPr>
          <w:p w14:paraId="47401904" w14:textId="77777777" w:rsidR="00054872" w:rsidRPr="00863EC6" w:rsidRDefault="00054872" w:rsidP="00D651FB">
            <w:pPr>
              <w:jc w:val="right"/>
              <w:rPr>
                <w:sz w:val="20"/>
                <w:szCs w:val="20"/>
              </w:rPr>
            </w:pPr>
            <w:r>
              <w:rPr>
                <w:sz w:val="20"/>
                <w:szCs w:val="20"/>
              </w:rPr>
              <w:t>68,862</w:t>
            </w:r>
          </w:p>
        </w:tc>
        <w:tc>
          <w:tcPr>
            <w:tcW w:w="1133" w:type="dxa"/>
          </w:tcPr>
          <w:p w14:paraId="010C8BD1" w14:textId="77777777" w:rsidR="00054872" w:rsidRPr="00863EC6" w:rsidRDefault="00054872" w:rsidP="00D651FB">
            <w:pPr>
              <w:jc w:val="right"/>
              <w:rPr>
                <w:sz w:val="20"/>
                <w:szCs w:val="20"/>
              </w:rPr>
            </w:pPr>
            <w:r>
              <w:rPr>
                <w:sz w:val="20"/>
                <w:szCs w:val="20"/>
              </w:rPr>
              <w:t>11,430</w:t>
            </w:r>
          </w:p>
        </w:tc>
        <w:tc>
          <w:tcPr>
            <w:tcW w:w="1454" w:type="dxa"/>
          </w:tcPr>
          <w:p w14:paraId="4F2D5F9F" w14:textId="77777777" w:rsidR="00054872" w:rsidRPr="00863EC6" w:rsidRDefault="00054872" w:rsidP="00D651FB">
            <w:pPr>
              <w:jc w:val="right"/>
              <w:rPr>
                <w:sz w:val="20"/>
                <w:szCs w:val="20"/>
              </w:rPr>
            </w:pPr>
            <w:r>
              <w:rPr>
                <w:sz w:val="20"/>
                <w:szCs w:val="20"/>
              </w:rPr>
              <w:t>140,251</w:t>
            </w:r>
          </w:p>
        </w:tc>
      </w:tr>
      <w:tr w:rsidR="00054872" w:rsidRPr="00863EC6" w14:paraId="59081210" w14:textId="77777777" w:rsidTr="00054872">
        <w:tc>
          <w:tcPr>
            <w:tcW w:w="2801" w:type="dxa"/>
          </w:tcPr>
          <w:p w14:paraId="7685177B" w14:textId="77777777" w:rsidR="00054872" w:rsidRPr="00863EC6" w:rsidRDefault="00054872" w:rsidP="00D651FB">
            <w:pPr>
              <w:rPr>
                <w:sz w:val="20"/>
                <w:szCs w:val="20"/>
              </w:rPr>
            </w:pPr>
            <w:r w:rsidRPr="00863EC6">
              <w:rPr>
                <w:sz w:val="20"/>
                <w:szCs w:val="20"/>
              </w:rPr>
              <w:t>Charged in year</w:t>
            </w:r>
          </w:p>
        </w:tc>
        <w:tc>
          <w:tcPr>
            <w:tcW w:w="1701" w:type="dxa"/>
          </w:tcPr>
          <w:p w14:paraId="6AE2C84F" w14:textId="0ED4C558" w:rsidR="00054872" w:rsidRPr="00863EC6" w:rsidRDefault="00211CB4" w:rsidP="00D651FB">
            <w:pPr>
              <w:jc w:val="right"/>
              <w:rPr>
                <w:sz w:val="20"/>
                <w:szCs w:val="20"/>
              </w:rPr>
            </w:pPr>
            <w:r>
              <w:rPr>
                <w:sz w:val="20"/>
                <w:szCs w:val="20"/>
              </w:rPr>
              <w:t>65,244</w:t>
            </w:r>
          </w:p>
        </w:tc>
        <w:tc>
          <w:tcPr>
            <w:tcW w:w="1417" w:type="dxa"/>
          </w:tcPr>
          <w:p w14:paraId="192B7E01" w14:textId="77777777" w:rsidR="00054872" w:rsidRPr="00863EC6" w:rsidRDefault="00054872" w:rsidP="00D651FB">
            <w:pPr>
              <w:jc w:val="right"/>
              <w:rPr>
                <w:sz w:val="20"/>
                <w:szCs w:val="20"/>
              </w:rPr>
            </w:pPr>
            <w:r>
              <w:rPr>
                <w:sz w:val="20"/>
                <w:szCs w:val="20"/>
              </w:rPr>
              <w:t>4,987</w:t>
            </w:r>
          </w:p>
        </w:tc>
        <w:tc>
          <w:tcPr>
            <w:tcW w:w="1133" w:type="dxa"/>
          </w:tcPr>
          <w:p w14:paraId="348DB738" w14:textId="13A381B6" w:rsidR="00054872" w:rsidRPr="00863EC6" w:rsidRDefault="0076474C" w:rsidP="00D651FB">
            <w:pPr>
              <w:jc w:val="right"/>
              <w:rPr>
                <w:sz w:val="20"/>
                <w:szCs w:val="20"/>
              </w:rPr>
            </w:pPr>
            <w:r>
              <w:rPr>
                <w:sz w:val="20"/>
                <w:szCs w:val="20"/>
              </w:rPr>
              <w:t>16,926</w:t>
            </w:r>
          </w:p>
        </w:tc>
        <w:tc>
          <w:tcPr>
            <w:tcW w:w="1454" w:type="dxa"/>
          </w:tcPr>
          <w:p w14:paraId="0242D593" w14:textId="02B3D433" w:rsidR="00054872" w:rsidRPr="00863EC6" w:rsidRDefault="005A6C4D" w:rsidP="00D651FB">
            <w:pPr>
              <w:jc w:val="right"/>
              <w:rPr>
                <w:sz w:val="20"/>
                <w:szCs w:val="20"/>
              </w:rPr>
            </w:pPr>
            <w:r>
              <w:rPr>
                <w:sz w:val="20"/>
                <w:szCs w:val="20"/>
              </w:rPr>
              <w:t>87,157</w:t>
            </w:r>
          </w:p>
        </w:tc>
      </w:tr>
      <w:tr w:rsidR="00054872" w:rsidRPr="00863EC6" w14:paraId="0B5764F5" w14:textId="77777777" w:rsidTr="00054872">
        <w:tc>
          <w:tcPr>
            <w:tcW w:w="2801" w:type="dxa"/>
          </w:tcPr>
          <w:p w14:paraId="25A9C95B" w14:textId="47E05B07" w:rsidR="00054872" w:rsidRPr="00863EC6" w:rsidRDefault="00054872" w:rsidP="00D651FB">
            <w:pPr>
              <w:rPr>
                <w:sz w:val="20"/>
                <w:szCs w:val="20"/>
              </w:rPr>
            </w:pPr>
          </w:p>
        </w:tc>
        <w:tc>
          <w:tcPr>
            <w:tcW w:w="1701" w:type="dxa"/>
          </w:tcPr>
          <w:p w14:paraId="7D9E74DB" w14:textId="051105B9" w:rsidR="00054872" w:rsidRDefault="00054872" w:rsidP="00D651FB">
            <w:pPr>
              <w:jc w:val="right"/>
              <w:rPr>
                <w:sz w:val="20"/>
                <w:szCs w:val="20"/>
              </w:rPr>
            </w:pPr>
          </w:p>
        </w:tc>
        <w:tc>
          <w:tcPr>
            <w:tcW w:w="1417" w:type="dxa"/>
          </w:tcPr>
          <w:p w14:paraId="42F5FCBB" w14:textId="79153D15" w:rsidR="00054872" w:rsidRDefault="00054872" w:rsidP="00D651FB">
            <w:pPr>
              <w:jc w:val="right"/>
              <w:rPr>
                <w:sz w:val="20"/>
                <w:szCs w:val="20"/>
              </w:rPr>
            </w:pPr>
          </w:p>
        </w:tc>
        <w:tc>
          <w:tcPr>
            <w:tcW w:w="1133" w:type="dxa"/>
          </w:tcPr>
          <w:p w14:paraId="71ED5F7B" w14:textId="3ED53548" w:rsidR="00054872" w:rsidRDefault="00054872" w:rsidP="00D651FB">
            <w:pPr>
              <w:jc w:val="right"/>
              <w:rPr>
                <w:sz w:val="20"/>
                <w:szCs w:val="20"/>
              </w:rPr>
            </w:pPr>
          </w:p>
        </w:tc>
        <w:tc>
          <w:tcPr>
            <w:tcW w:w="1454" w:type="dxa"/>
          </w:tcPr>
          <w:p w14:paraId="336D836B" w14:textId="1469DF4E" w:rsidR="00054872" w:rsidRDefault="00054872" w:rsidP="00D651FB">
            <w:pPr>
              <w:jc w:val="right"/>
              <w:rPr>
                <w:sz w:val="20"/>
                <w:szCs w:val="20"/>
              </w:rPr>
            </w:pPr>
          </w:p>
        </w:tc>
      </w:tr>
      <w:tr w:rsidR="00054872" w:rsidRPr="00863EC6" w14:paraId="0FB637A4" w14:textId="77777777" w:rsidTr="00054872">
        <w:tc>
          <w:tcPr>
            <w:tcW w:w="2801" w:type="dxa"/>
          </w:tcPr>
          <w:p w14:paraId="32C8D09D" w14:textId="77777777" w:rsidR="00054872" w:rsidRPr="00863EC6" w:rsidRDefault="00054872" w:rsidP="00D651FB">
            <w:pPr>
              <w:rPr>
                <w:sz w:val="20"/>
                <w:szCs w:val="20"/>
              </w:rPr>
            </w:pPr>
            <w:r>
              <w:rPr>
                <w:sz w:val="20"/>
                <w:szCs w:val="20"/>
              </w:rPr>
              <w:t>Revaluation</w:t>
            </w:r>
          </w:p>
        </w:tc>
        <w:tc>
          <w:tcPr>
            <w:tcW w:w="1701" w:type="dxa"/>
          </w:tcPr>
          <w:p w14:paraId="5CF7E70F" w14:textId="77777777" w:rsidR="00054872" w:rsidRDefault="00054872" w:rsidP="00D651FB">
            <w:pPr>
              <w:jc w:val="right"/>
              <w:rPr>
                <w:sz w:val="20"/>
                <w:szCs w:val="20"/>
              </w:rPr>
            </w:pPr>
            <w:r>
              <w:rPr>
                <w:sz w:val="20"/>
                <w:szCs w:val="20"/>
              </w:rPr>
              <w:t>396</w:t>
            </w:r>
          </w:p>
        </w:tc>
        <w:tc>
          <w:tcPr>
            <w:tcW w:w="1417" w:type="dxa"/>
          </w:tcPr>
          <w:p w14:paraId="2D6803FD" w14:textId="77777777" w:rsidR="00054872" w:rsidRDefault="00054872" w:rsidP="00D651FB">
            <w:pPr>
              <w:jc w:val="right"/>
              <w:rPr>
                <w:sz w:val="20"/>
                <w:szCs w:val="20"/>
              </w:rPr>
            </w:pPr>
            <w:r>
              <w:rPr>
                <w:sz w:val="20"/>
                <w:szCs w:val="20"/>
              </w:rPr>
              <w:t>0</w:t>
            </w:r>
          </w:p>
        </w:tc>
        <w:tc>
          <w:tcPr>
            <w:tcW w:w="1133" w:type="dxa"/>
          </w:tcPr>
          <w:p w14:paraId="0A6DDD13" w14:textId="77777777" w:rsidR="00054872" w:rsidRDefault="00054872" w:rsidP="00D651FB">
            <w:pPr>
              <w:jc w:val="right"/>
              <w:rPr>
                <w:sz w:val="20"/>
                <w:szCs w:val="20"/>
              </w:rPr>
            </w:pPr>
            <w:r>
              <w:rPr>
                <w:sz w:val="20"/>
                <w:szCs w:val="20"/>
              </w:rPr>
              <w:t>0</w:t>
            </w:r>
          </w:p>
        </w:tc>
        <w:tc>
          <w:tcPr>
            <w:tcW w:w="1454" w:type="dxa"/>
          </w:tcPr>
          <w:p w14:paraId="705BE03B" w14:textId="77777777" w:rsidR="00054872" w:rsidRDefault="00054872" w:rsidP="00D651FB">
            <w:pPr>
              <w:jc w:val="right"/>
              <w:rPr>
                <w:sz w:val="20"/>
                <w:szCs w:val="20"/>
              </w:rPr>
            </w:pPr>
            <w:r>
              <w:rPr>
                <w:sz w:val="20"/>
                <w:szCs w:val="20"/>
              </w:rPr>
              <w:t>396</w:t>
            </w:r>
          </w:p>
        </w:tc>
      </w:tr>
      <w:tr w:rsidR="00054872" w:rsidRPr="00F82840" w14:paraId="46A2CB15" w14:textId="77777777" w:rsidTr="00054872">
        <w:tc>
          <w:tcPr>
            <w:tcW w:w="2801" w:type="dxa"/>
          </w:tcPr>
          <w:p w14:paraId="5C8139F6" w14:textId="77777777" w:rsidR="00054872" w:rsidRPr="00F82840" w:rsidRDefault="00054872" w:rsidP="00D651FB">
            <w:pPr>
              <w:rPr>
                <w:sz w:val="20"/>
                <w:szCs w:val="20"/>
              </w:rPr>
            </w:pPr>
            <w:r w:rsidRPr="00F82840">
              <w:rPr>
                <w:sz w:val="20"/>
                <w:szCs w:val="20"/>
              </w:rPr>
              <w:t xml:space="preserve">At </w:t>
            </w:r>
            <w:r>
              <w:rPr>
                <w:sz w:val="20"/>
                <w:szCs w:val="20"/>
              </w:rPr>
              <w:t>31 March 2022</w:t>
            </w:r>
          </w:p>
        </w:tc>
        <w:tc>
          <w:tcPr>
            <w:tcW w:w="1701" w:type="dxa"/>
            <w:tcBorders>
              <w:top w:val="single" w:sz="4" w:space="0" w:color="auto"/>
              <w:bottom w:val="single" w:sz="4" w:space="0" w:color="auto"/>
            </w:tcBorders>
          </w:tcPr>
          <w:p w14:paraId="649972B9" w14:textId="77777777" w:rsidR="00054872" w:rsidRPr="00F82840" w:rsidRDefault="00054872" w:rsidP="00D651FB">
            <w:pPr>
              <w:jc w:val="right"/>
              <w:rPr>
                <w:sz w:val="20"/>
                <w:szCs w:val="20"/>
              </w:rPr>
            </w:pPr>
            <w:r>
              <w:rPr>
                <w:sz w:val="20"/>
                <w:szCs w:val="20"/>
              </w:rPr>
              <w:t>125,599</w:t>
            </w:r>
          </w:p>
        </w:tc>
        <w:tc>
          <w:tcPr>
            <w:tcW w:w="1417" w:type="dxa"/>
            <w:tcBorders>
              <w:top w:val="single" w:sz="4" w:space="0" w:color="auto"/>
              <w:bottom w:val="single" w:sz="4" w:space="0" w:color="auto"/>
            </w:tcBorders>
          </w:tcPr>
          <w:p w14:paraId="6DD313AC" w14:textId="77777777" w:rsidR="00054872" w:rsidRPr="00F82840" w:rsidRDefault="00054872" w:rsidP="00D651FB">
            <w:pPr>
              <w:jc w:val="right"/>
              <w:rPr>
                <w:sz w:val="20"/>
                <w:szCs w:val="20"/>
              </w:rPr>
            </w:pPr>
            <w:r>
              <w:rPr>
                <w:sz w:val="20"/>
                <w:szCs w:val="20"/>
              </w:rPr>
              <w:t>73,849</w:t>
            </w:r>
          </w:p>
        </w:tc>
        <w:tc>
          <w:tcPr>
            <w:tcW w:w="1133" w:type="dxa"/>
            <w:tcBorders>
              <w:top w:val="single" w:sz="4" w:space="0" w:color="auto"/>
              <w:bottom w:val="single" w:sz="4" w:space="0" w:color="auto"/>
            </w:tcBorders>
          </w:tcPr>
          <w:p w14:paraId="55A69FF9" w14:textId="77777777" w:rsidR="00054872" w:rsidRPr="00F82840" w:rsidRDefault="00054872" w:rsidP="00D651FB">
            <w:pPr>
              <w:jc w:val="right"/>
              <w:rPr>
                <w:sz w:val="20"/>
                <w:szCs w:val="20"/>
              </w:rPr>
            </w:pPr>
            <w:r>
              <w:rPr>
                <w:sz w:val="20"/>
                <w:szCs w:val="20"/>
              </w:rPr>
              <w:t>28,356</w:t>
            </w:r>
          </w:p>
        </w:tc>
        <w:tc>
          <w:tcPr>
            <w:tcW w:w="1454" w:type="dxa"/>
            <w:tcBorders>
              <w:top w:val="single" w:sz="4" w:space="0" w:color="auto"/>
              <w:bottom w:val="single" w:sz="4" w:space="0" w:color="auto"/>
            </w:tcBorders>
          </w:tcPr>
          <w:p w14:paraId="55E82A12" w14:textId="77777777" w:rsidR="00054872" w:rsidRPr="00F82840" w:rsidRDefault="00054872" w:rsidP="00D651FB">
            <w:pPr>
              <w:jc w:val="right"/>
              <w:rPr>
                <w:sz w:val="20"/>
                <w:szCs w:val="20"/>
              </w:rPr>
            </w:pPr>
            <w:r>
              <w:rPr>
                <w:sz w:val="20"/>
                <w:szCs w:val="20"/>
              </w:rPr>
              <w:t>227,804</w:t>
            </w:r>
          </w:p>
        </w:tc>
      </w:tr>
      <w:tr w:rsidR="00054872" w:rsidRPr="00F82840" w14:paraId="627C23D6" w14:textId="77777777" w:rsidTr="00054872">
        <w:tc>
          <w:tcPr>
            <w:tcW w:w="2801" w:type="dxa"/>
          </w:tcPr>
          <w:p w14:paraId="6E55B699" w14:textId="77777777" w:rsidR="00054872" w:rsidRPr="00F82840" w:rsidRDefault="00054872" w:rsidP="00D651FB">
            <w:pPr>
              <w:rPr>
                <w:sz w:val="20"/>
                <w:szCs w:val="20"/>
              </w:rPr>
            </w:pPr>
          </w:p>
          <w:p w14:paraId="694B00D8" w14:textId="77777777" w:rsidR="00054872" w:rsidRPr="00F82840" w:rsidRDefault="00054872" w:rsidP="00D651FB">
            <w:pPr>
              <w:rPr>
                <w:sz w:val="20"/>
                <w:szCs w:val="20"/>
              </w:rPr>
            </w:pPr>
            <w:r w:rsidRPr="00F82840">
              <w:rPr>
                <w:sz w:val="20"/>
                <w:szCs w:val="20"/>
              </w:rPr>
              <w:t xml:space="preserve">Net book value at </w:t>
            </w:r>
            <w:r>
              <w:rPr>
                <w:sz w:val="20"/>
                <w:szCs w:val="20"/>
              </w:rPr>
              <w:t>31 March 2022</w:t>
            </w:r>
          </w:p>
        </w:tc>
        <w:tc>
          <w:tcPr>
            <w:tcW w:w="1701" w:type="dxa"/>
            <w:tcBorders>
              <w:top w:val="single" w:sz="4" w:space="0" w:color="auto"/>
              <w:bottom w:val="single" w:sz="4" w:space="0" w:color="auto"/>
            </w:tcBorders>
          </w:tcPr>
          <w:p w14:paraId="7D6C42A5" w14:textId="77777777" w:rsidR="00054872" w:rsidRDefault="00054872" w:rsidP="00D651FB">
            <w:pPr>
              <w:jc w:val="right"/>
              <w:rPr>
                <w:sz w:val="20"/>
                <w:szCs w:val="20"/>
              </w:rPr>
            </w:pPr>
          </w:p>
          <w:p w14:paraId="3D45AE86" w14:textId="77777777" w:rsidR="00054872" w:rsidRDefault="00054872" w:rsidP="00D651FB">
            <w:pPr>
              <w:jc w:val="right"/>
              <w:rPr>
                <w:sz w:val="20"/>
                <w:szCs w:val="20"/>
              </w:rPr>
            </w:pPr>
          </w:p>
          <w:p w14:paraId="35452AD0" w14:textId="77777777" w:rsidR="00054872" w:rsidRPr="00F82840" w:rsidRDefault="00054872" w:rsidP="00D651FB">
            <w:pPr>
              <w:jc w:val="right"/>
              <w:rPr>
                <w:sz w:val="20"/>
                <w:szCs w:val="20"/>
              </w:rPr>
            </w:pPr>
            <w:r>
              <w:rPr>
                <w:sz w:val="20"/>
                <w:szCs w:val="20"/>
              </w:rPr>
              <w:t>454,235</w:t>
            </w:r>
          </w:p>
        </w:tc>
        <w:tc>
          <w:tcPr>
            <w:tcW w:w="1417" w:type="dxa"/>
            <w:tcBorders>
              <w:top w:val="single" w:sz="4" w:space="0" w:color="auto"/>
              <w:bottom w:val="single" w:sz="4" w:space="0" w:color="auto"/>
            </w:tcBorders>
          </w:tcPr>
          <w:p w14:paraId="39884920" w14:textId="77777777" w:rsidR="00054872" w:rsidRDefault="00054872" w:rsidP="00D651FB">
            <w:pPr>
              <w:jc w:val="right"/>
              <w:rPr>
                <w:sz w:val="20"/>
                <w:szCs w:val="20"/>
              </w:rPr>
            </w:pPr>
          </w:p>
          <w:p w14:paraId="3C6A291E" w14:textId="77777777" w:rsidR="00054872" w:rsidRDefault="00054872" w:rsidP="00D651FB">
            <w:pPr>
              <w:jc w:val="right"/>
              <w:rPr>
                <w:sz w:val="20"/>
                <w:szCs w:val="20"/>
              </w:rPr>
            </w:pPr>
          </w:p>
          <w:p w14:paraId="4FB82B3B" w14:textId="77777777" w:rsidR="00054872" w:rsidRPr="00F82840" w:rsidRDefault="00054872" w:rsidP="00D651FB">
            <w:pPr>
              <w:jc w:val="right"/>
              <w:rPr>
                <w:sz w:val="20"/>
                <w:szCs w:val="20"/>
              </w:rPr>
            </w:pPr>
            <w:r>
              <w:rPr>
                <w:sz w:val="20"/>
                <w:szCs w:val="20"/>
              </w:rPr>
              <w:t>17,644</w:t>
            </w:r>
          </w:p>
        </w:tc>
        <w:tc>
          <w:tcPr>
            <w:tcW w:w="1133" w:type="dxa"/>
            <w:tcBorders>
              <w:top w:val="single" w:sz="4" w:space="0" w:color="auto"/>
              <w:bottom w:val="single" w:sz="4" w:space="0" w:color="auto"/>
            </w:tcBorders>
          </w:tcPr>
          <w:p w14:paraId="675F4D46" w14:textId="77777777" w:rsidR="00054872" w:rsidRDefault="00054872" w:rsidP="00D651FB">
            <w:pPr>
              <w:jc w:val="right"/>
              <w:rPr>
                <w:sz w:val="20"/>
                <w:szCs w:val="20"/>
              </w:rPr>
            </w:pPr>
          </w:p>
          <w:p w14:paraId="4E246446" w14:textId="77777777" w:rsidR="00054872" w:rsidRDefault="00054872" w:rsidP="00D651FB">
            <w:pPr>
              <w:jc w:val="right"/>
              <w:rPr>
                <w:sz w:val="20"/>
                <w:szCs w:val="20"/>
              </w:rPr>
            </w:pPr>
          </w:p>
          <w:p w14:paraId="6527B635" w14:textId="77777777" w:rsidR="00054872" w:rsidRPr="00F82840" w:rsidRDefault="00054872" w:rsidP="00D651FB">
            <w:pPr>
              <w:jc w:val="right"/>
              <w:rPr>
                <w:sz w:val="20"/>
                <w:szCs w:val="20"/>
              </w:rPr>
            </w:pPr>
            <w:r>
              <w:rPr>
                <w:sz w:val="20"/>
                <w:szCs w:val="20"/>
              </w:rPr>
              <w:t>65,037</w:t>
            </w:r>
          </w:p>
        </w:tc>
        <w:tc>
          <w:tcPr>
            <w:tcW w:w="1454" w:type="dxa"/>
            <w:tcBorders>
              <w:top w:val="single" w:sz="4" w:space="0" w:color="auto"/>
              <w:bottom w:val="single" w:sz="4" w:space="0" w:color="auto"/>
            </w:tcBorders>
          </w:tcPr>
          <w:p w14:paraId="767AB8E6" w14:textId="77777777" w:rsidR="00054872" w:rsidRDefault="00054872" w:rsidP="00D651FB">
            <w:pPr>
              <w:jc w:val="right"/>
              <w:rPr>
                <w:sz w:val="20"/>
                <w:szCs w:val="20"/>
              </w:rPr>
            </w:pPr>
          </w:p>
          <w:p w14:paraId="5D145839" w14:textId="77777777" w:rsidR="00054872" w:rsidRDefault="00054872" w:rsidP="00D651FB">
            <w:pPr>
              <w:jc w:val="right"/>
              <w:rPr>
                <w:sz w:val="20"/>
                <w:szCs w:val="20"/>
              </w:rPr>
            </w:pPr>
          </w:p>
          <w:p w14:paraId="70896888" w14:textId="77777777" w:rsidR="00054872" w:rsidRPr="00F82840" w:rsidRDefault="00054872" w:rsidP="00D651FB">
            <w:pPr>
              <w:jc w:val="right"/>
              <w:rPr>
                <w:sz w:val="20"/>
                <w:szCs w:val="20"/>
              </w:rPr>
            </w:pPr>
            <w:r>
              <w:rPr>
                <w:sz w:val="20"/>
                <w:szCs w:val="20"/>
              </w:rPr>
              <w:t>536,916</w:t>
            </w:r>
          </w:p>
        </w:tc>
      </w:tr>
      <w:tr w:rsidR="00054872" w:rsidRPr="00F82840" w14:paraId="1A510AB7" w14:textId="77777777" w:rsidTr="00054872">
        <w:tc>
          <w:tcPr>
            <w:tcW w:w="2801" w:type="dxa"/>
          </w:tcPr>
          <w:p w14:paraId="4F77C173" w14:textId="77777777" w:rsidR="00054872" w:rsidRPr="00F82840" w:rsidRDefault="00054872" w:rsidP="00D651FB">
            <w:pPr>
              <w:rPr>
                <w:sz w:val="20"/>
                <w:szCs w:val="20"/>
              </w:rPr>
            </w:pPr>
          </w:p>
          <w:p w14:paraId="40454A85" w14:textId="77777777" w:rsidR="00054872" w:rsidRPr="00F82840" w:rsidRDefault="00054872" w:rsidP="00D651FB">
            <w:pPr>
              <w:rPr>
                <w:sz w:val="20"/>
                <w:szCs w:val="20"/>
              </w:rPr>
            </w:pPr>
            <w:r>
              <w:rPr>
                <w:sz w:val="20"/>
                <w:szCs w:val="20"/>
              </w:rPr>
              <w:t>Net book value at 31 March 2021</w:t>
            </w:r>
          </w:p>
        </w:tc>
        <w:tc>
          <w:tcPr>
            <w:tcW w:w="1701" w:type="dxa"/>
            <w:tcBorders>
              <w:top w:val="single" w:sz="4" w:space="0" w:color="auto"/>
              <w:bottom w:val="single" w:sz="4" w:space="0" w:color="auto"/>
            </w:tcBorders>
          </w:tcPr>
          <w:p w14:paraId="3D489FD1" w14:textId="77777777" w:rsidR="00054872" w:rsidRDefault="00054872" w:rsidP="00D651FB">
            <w:pPr>
              <w:jc w:val="right"/>
              <w:rPr>
                <w:sz w:val="20"/>
                <w:szCs w:val="20"/>
              </w:rPr>
            </w:pPr>
          </w:p>
          <w:p w14:paraId="2627E40D" w14:textId="77777777" w:rsidR="00054872" w:rsidRDefault="00054872" w:rsidP="00D651FB">
            <w:pPr>
              <w:jc w:val="right"/>
              <w:rPr>
                <w:sz w:val="20"/>
                <w:szCs w:val="20"/>
              </w:rPr>
            </w:pPr>
          </w:p>
          <w:p w14:paraId="6364995E" w14:textId="31643773" w:rsidR="00054872" w:rsidRPr="00F82840" w:rsidRDefault="00054872" w:rsidP="00D651FB">
            <w:pPr>
              <w:jc w:val="right"/>
              <w:rPr>
                <w:sz w:val="20"/>
                <w:szCs w:val="20"/>
              </w:rPr>
            </w:pPr>
            <w:r>
              <w:rPr>
                <w:sz w:val="20"/>
                <w:szCs w:val="20"/>
              </w:rPr>
              <w:t>490,07</w:t>
            </w:r>
            <w:r w:rsidR="006E28A2">
              <w:rPr>
                <w:sz w:val="20"/>
                <w:szCs w:val="20"/>
              </w:rPr>
              <w:t>6</w:t>
            </w:r>
          </w:p>
        </w:tc>
        <w:tc>
          <w:tcPr>
            <w:tcW w:w="1417" w:type="dxa"/>
            <w:tcBorders>
              <w:top w:val="single" w:sz="4" w:space="0" w:color="auto"/>
              <w:bottom w:val="single" w:sz="4" w:space="0" w:color="auto"/>
            </w:tcBorders>
          </w:tcPr>
          <w:p w14:paraId="255C9267" w14:textId="77777777" w:rsidR="00054872" w:rsidRDefault="00054872" w:rsidP="00D651FB">
            <w:pPr>
              <w:jc w:val="right"/>
              <w:rPr>
                <w:sz w:val="20"/>
                <w:szCs w:val="20"/>
              </w:rPr>
            </w:pPr>
          </w:p>
          <w:p w14:paraId="6B69386E" w14:textId="77777777" w:rsidR="00054872" w:rsidRDefault="00054872" w:rsidP="00D651FB">
            <w:pPr>
              <w:jc w:val="right"/>
              <w:rPr>
                <w:sz w:val="20"/>
                <w:szCs w:val="20"/>
              </w:rPr>
            </w:pPr>
          </w:p>
          <w:p w14:paraId="3EA6CAF3" w14:textId="77777777" w:rsidR="00054872" w:rsidRPr="00F82840" w:rsidRDefault="00054872" w:rsidP="00D651FB">
            <w:pPr>
              <w:jc w:val="right"/>
              <w:rPr>
                <w:sz w:val="20"/>
                <w:szCs w:val="20"/>
              </w:rPr>
            </w:pPr>
            <w:r>
              <w:rPr>
                <w:sz w:val="20"/>
                <w:szCs w:val="20"/>
              </w:rPr>
              <w:t>11,659</w:t>
            </w:r>
          </w:p>
        </w:tc>
        <w:tc>
          <w:tcPr>
            <w:tcW w:w="1133" w:type="dxa"/>
            <w:tcBorders>
              <w:top w:val="single" w:sz="4" w:space="0" w:color="auto"/>
              <w:bottom w:val="single" w:sz="4" w:space="0" w:color="auto"/>
            </w:tcBorders>
          </w:tcPr>
          <w:p w14:paraId="1FC490D7" w14:textId="77777777" w:rsidR="00054872" w:rsidRDefault="00054872" w:rsidP="00D651FB">
            <w:pPr>
              <w:jc w:val="right"/>
              <w:rPr>
                <w:sz w:val="20"/>
                <w:szCs w:val="20"/>
              </w:rPr>
            </w:pPr>
          </w:p>
          <w:p w14:paraId="52F5434C" w14:textId="77777777" w:rsidR="00054872" w:rsidRDefault="00054872" w:rsidP="00D651FB">
            <w:pPr>
              <w:jc w:val="right"/>
              <w:rPr>
                <w:sz w:val="20"/>
                <w:szCs w:val="20"/>
              </w:rPr>
            </w:pPr>
          </w:p>
          <w:p w14:paraId="2623A77B" w14:textId="77777777" w:rsidR="00054872" w:rsidRPr="00F82840" w:rsidRDefault="00054872" w:rsidP="00D651FB">
            <w:pPr>
              <w:jc w:val="right"/>
              <w:rPr>
                <w:sz w:val="20"/>
                <w:szCs w:val="20"/>
              </w:rPr>
            </w:pPr>
            <w:r>
              <w:rPr>
                <w:sz w:val="20"/>
                <w:szCs w:val="20"/>
              </w:rPr>
              <w:t>81,963</w:t>
            </w:r>
          </w:p>
        </w:tc>
        <w:tc>
          <w:tcPr>
            <w:tcW w:w="1454" w:type="dxa"/>
            <w:tcBorders>
              <w:top w:val="single" w:sz="4" w:space="0" w:color="auto"/>
              <w:bottom w:val="single" w:sz="4" w:space="0" w:color="auto"/>
            </w:tcBorders>
          </w:tcPr>
          <w:p w14:paraId="37907576" w14:textId="77777777" w:rsidR="00054872" w:rsidRDefault="00054872" w:rsidP="00D651FB">
            <w:pPr>
              <w:jc w:val="right"/>
              <w:rPr>
                <w:sz w:val="20"/>
                <w:szCs w:val="20"/>
              </w:rPr>
            </w:pPr>
          </w:p>
          <w:p w14:paraId="3BF6F973" w14:textId="77777777" w:rsidR="00054872" w:rsidRDefault="00054872" w:rsidP="00D651FB">
            <w:pPr>
              <w:jc w:val="right"/>
              <w:rPr>
                <w:sz w:val="20"/>
                <w:szCs w:val="20"/>
              </w:rPr>
            </w:pPr>
          </w:p>
          <w:p w14:paraId="0CCC727E" w14:textId="369D500D" w:rsidR="00054872" w:rsidRPr="00F82840" w:rsidRDefault="00054872" w:rsidP="00D651FB">
            <w:pPr>
              <w:jc w:val="right"/>
              <w:rPr>
                <w:sz w:val="20"/>
                <w:szCs w:val="20"/>
              </w:rPr>
            </w:pPr>
            <w:r>
              <w:rPr>
                <w:sz w:val="20"/>
                <w:szCs w:val="20"/>
              </w:rPr>
              <w:t>583,69</w:t>
            </w:r>
            <w:r w:rsidR="006E28A2">
              <w:rPr>
                <w:sz w:val="20"/>
                <w:szCs w:val="20"/>
              </w:rPr>
              <w:t>8</w:t>
            </w:r>
          </w:p>
        </w:tc>
      </w:tr>
      <w:tr w:rsidR="00054872" w:rsidRPr="00F82840" w14:paraId="3DB836E4" w14:textId="77777777" w:rsidTr="00054872">
        <w:tc>
          <w:tcPr>
            <w:tcW w:w="2801" w:type="dxa"/>
          </w:tcPr>
          <w:p w14:paraId="3214D823" w14:textId="77777777" w:rsidR="00054872" w:rsidRPr="00F82840" w:rsidRDefault="00054872" w:rsidP="00D651FB">
            <w:pPr>
              <w:rPr>
                <w:sz w:val="20"/>
                <w:szCs w:val="20"/>
              </w:rPr>
            </w:pPr>
          </w:p>
        </w:tc>
        <w:tc>
          <w:tcPr>
            <w:tcW w:w="1701" w:type="dxa"/>
            <w:tcBorders>
              <w:top w:val="single" w:sz="4" w:space="0" w:color="auto"/>
            </w:tcBorders>
          </w:tcPr>
          <w:p w14:paraId="64B47F65" w14:textId="77777777" w:rsidR="00054872" w:rsidRPr="00F82840" w:rsidRDefault="00054872" w:rsidP="00D651FB">
            <w:pPr>
              <w:jc w:val="right"/>
              <w:rPr>
                <w:sz w:val="20"/>
                <w:szCs w:val="20"/>
              </w:rPr>
            </w:pPr>
          </w:p>
        </w:tc>
        <w:tc>
          <w:tcPr>
            <w:tcW w:w="1417" w:type="dxa"/>
            <w:tcBorders>
              <w:top w:val="single" w:sz="4" w:space="0" w:color="auto"/>
            </w:tcBorders>
          </w:tcPr>
          <w:p w14:paraId="7B8826DF" w14:textId="77777777" w:rsidR="00054872" w:rsidRPr="00F82840" w:rsidRDefault="00054872" w:rsidP="00D651FB">
            <w:pPr>
              <w:jc w:val="right"/>
              <w:rPr>
                <w:sz w:val="20"/>
                <w:szCs w:val="20"/>
              </w:rPr>
            </w:pPr>
          </w:p>
        </w:tc>
        <w:tc>
          <w:tcPr>
            <w:tcW w:w="1133" w:type="dxa"/>
            <w:tcBorders>
              <w:top w:val="single" w:sz="4" w:space="0" w:color="auto"/>
            </w:tcBorders>
          </w:tcPr>
          <w:p w14:paraId="31482968" w14:textId="77777777" w:rsidR="00054872" w:rsidRPr="00F82840" w:rsidRDefault="00054872" w:rsidP="00D651FB">
            <w:pPr>
              <w:jc w:val="right"/>
              <w:rPr>
                <w:sz w:val="20"/>
                <w:szCs w:val="20"/>
              </w:rPr>
            </w:pPr>
          </w:p>
        </w:tc>
        <w:tc>
          <w:tcPr>
            <w:tcW w:w="1454" w:type="dxa"/>
            <w:tcBorders>
              <w:top w:val="single" w:sz="4" w:space="0" w:color="auto"/>
            </w:tcBorders>
          </w:tcPr>
          <w:p w14:paraId="38C6CD21" w14:textId="77777777" w:rsidR="00054872" w:rsidRPr="00F82840" w:rsidRDefault="00054872" w:rsidP="00D651FB">
            <w:pPr>
              <w:jc w:val="right"/>
              <w:rPr>
                <w:sz w:val="20"/>
                <w:szCs w:val="20"/>
              </w:rPr>
            </w:pPr>
          </w:p>
        </w:tc>
      </w:tr>
      <w:tr w:rsidR="00054872" w:rsidRPr="00F82840" w14:paraId="1BE79B1A" w14:textId="77777777" w:rsidTr="00054872">
        <w:tc>
          <w:tcPr>
            <w:tcW w:w="2801" w:type="dxa"/>
          </w:tcPr>
          <w:p w14:paraId="5F1EA2BE" w14:textId="77777777" w:rsidR="00054872" w:rsidRPr="00F82840" w:rsidRDefault="00054872" w:rsidP="00D651FB">
            <w:pPr>
              <w:rPr>
                <w:sz w:val="20"/>
                <w:szCs w:val="20"/>
              </w:rPr>
            </w:pPr>
            <w:r w:rsidRPr="00F82840">
              <w:rPr>
                <w:sz w:val="20"/>
                <w:szCs w:val="20"/>
              </w:rPr>
              <w:t>Asset financing:</w:t>
            </w:r>
          </w:p>
        </w:tc>
        <w:tc>
          <w:tcPr>
            <w:tcW w:w="1701" w:type="dxa"/>
          </w:tcPr>
          <w:p w14:paraId="35562BAA" w14:textId="77777777" w:rsidR="00054872" w:rsidRPr="00F82840" w:rsidRDefault="00054872" w:rsidP="00D651FB">
            <w:pPr>
              <w:jc w:val="right"/>
              <w:rPr>
                <w:sz w:val="20"/>
                <w:szCs w:val="20"/>
              </w:rPr>
            </w:pPr>
          </w:p>
        </w:tc>
        <w:tc>
          <w:tcPr>
            <w:tcW w:w="1417" w:type="dxa"/>
          </w:tcPr>
          <w:p w14:paraId="45D5EE07" w14:textId="77777777" w:rsidR="00054872" w:rsidRPr="00F82840" w:rsidRDefault="00054872" w:rsidP="00D651FB">
            <w:pPr>
              <w:jc w:val="right"/>
              <w:rPr>
                <w:sz w:val="20"/>
                <w:szCs w:val="20"/>
              </w:rPr>
            </w:pPr>
          </w:p>
        </w:tc>
        <w:tc>
          <w:tcPr>
            <w:tcW w:w="1133" w:type="dxa"/>
          </w:tcPr>
          <w:p w14:paraId="3B195125" w14:textId="77777777" w:rsidR="00054872" w:rsidRPr="00F82840" w:rsidRDefault="00054872" w:rsidP="00D651FB">
            <w:pPr>
              <w:jc w:val="right"/>
              <w:rPr>
                <w:sz w:val="20"/>
                <w:szCs w:val="20"/>
              </w:rPr>
            </w:pPr>
          </w:p>
        </w:tc>
        <w:tc>
          <w:tcPr>
            <w:tcW w:w="1454" w:type="dxa"/>
          </w:tcPr>
          <w:p w14:paraId="2FCE6439" w14:textId="77777777" w:rsidR="00054872" w:rsidRPr="00F82840" w:rsidRDefault="00054872" w:rsidP="00D651FB">
            <w:pPr>
              <w:jc w:val="right"/>
              <w:rPr>
                <w:sz w:val="20"/>
                <w:szCs w:val="20"/>
              </w:rPr>
            </w:pPr>
          </w:p>
        </w:tc>
      </w:tr>
      <w:tr w:rsidR="00054872" w:rsidRPr="00F82840" w14:paraId="20271E0F" w14:textId="77777777" w:rsidTr="00054872">
        <w:tc>
          <w:tcPr>
            <w:tcW w:w="2801" w:type="dxa"/>
          </w:tcPr>
          <w:p w14:paraId="1F35F75C" w14:textId="77777777" w:rsidR="00054872" w:rsidRPr="00F82840" w:rsidRDefault="00054872" w:rsidP="00D651FB">
            <w:pPr>
              <w:rPr>
                <w:sz w:val="20"/>
                <w:szCs w:val="20"/>
              </w:rPr>
            </w:pPr>
            <w:r w:rsidRPr="00F82840">
              <w:rPr>
                <w:sz w:val="20"/>
                <w:szCs w:val="20"/>
              </w:rPr>
              <w:t>Owned</w:t>
            </w:r>
          </w:p>
        </w:tc>
        <w:tc>
          <w:tcPr>
            <w:tcW w:w="1701" w:type="dxa"/>
          </w:tcPr>
          <w:p w14:paraId="745F3FC3" w14:textId="77777777" w:rsidR="00054872" w:rsidRPr="00F82840" w:rsidRDefault="00054872" w:rsidP="00D651FB">
            <w:pPr>
              <w:jc w:val="right"/>
              <w:rPr>
                <w:sz w:val="20"/>
                <w:szCs w:val="20"/>
              </w:rPr>
            </w:pPr>
            <w:r>
              <w:rPr>
                <w:sz w:val="20"/>
                <w:szCs w:val="20"/>
              </w:rPr>
              <w:t>454,235</w:t>
            </w:r>
          </w:p>
        </w:tc>
        <w:tc>
          <w:tcPr>
            <w:tcW w:w="1417" w:type="dxa"/>
          </w:tcPr>
          <w:p w14:paraId="051E16A7" w14:textId="77777777" w:rsidR="00054872" w:rsidRPr="00F82840" w:rsidRDefault="00054872" w:rsidP="00D651FB">
            <w:pPr>
              <w:jc w:val="right"/>
              <w:rPr>
                <w:sz w:val="20"/>
                <w:szCs w:val="20"/>
              </w:rPr>
            </w:pPr>
            <w:r>
              <w:rPr>
                <w:sz w:val="20"/>
                <w:szCs w:val="20"/>
              </w:rPr>
              <w:t>17,644</w:t>
            </w:r>
          </w:p>
        </w:tc>
        <w:tc>
          <w:tcPr>
            <w:tcW w:w="1133" w:type="dxa"/>
          </w:tcPr>
          <w:p w14:paraId="6E57AD0D" w14:textId="77777777" w:rsidR="00054872" w:rsidRPr="00F82840" w:rsidRDefault="00054872" w:rsidP="00D651FB">
            <w:pPr>
              <w:jc w:val="right"/>
              <w:rPr>
                <w:sz w:val="20"/>
                <w:szCs w:val="20"/>
              </w:rPr>
            </w:pPr>
            <w:r>
              <w:rPr>
                <w:sz w:val="20"/>
                <w:szCs w:val="20"/>
              </w:rPr>
              <w:t>65,037</w:t>
            </w:r>
          </w:p>
        </w:tc>
        <w:tc>
          <w:tcPr>
            <w:tcW w:w="1454" w:type="dxa"/>
          </w:tcPr>
          <w:p w14:paraId="178D3B42" w14:textId="77777777" w:rsidR="00054872" w:rsidRPr="00F82840" w:rsidRDefault="00054872" w:rsidP="00D651FB">
            <w:pPr>
              <w:jc w:val="right"/>
              <w:rPr>
                <w:sz w:val="20"/>
                <w:szCs w:val="20"/>
              </w:rPr>
            </w:pPr>
            <w:r>
              <w:rPr>
                <w:sz w:val="20"/>
                <w:szCs w:val="20"/>
              </w:rPr>
              <w:t>536,916</w:t>
            </w:r>
          </w:p>
        </w:tc>
      </w:tr>
      <w:tr w:rsidR="00054872" w:rsidRPr="00F82840" w14:paraId="326B47B3" w14:textId="77777777" w:rsidTr="00054872">
        <w:tc>
          <w:tcPr>
            <w:tcW w:w="2801" w:type="dxa"/>
          </w:tcPr>
          <w:p w14:paraId="17B8D914" w14:textId="77777777" w:rsidR="00054872" w:rsidRPr="00F82840" w:rsidRDefault="00054872" w:rsidP="00D651FB">
            <w:pPr>
              <w:rPr>
                <w:sz w:val="20"/>
                <w:szCs w:val="20"/>
              </w:rPr>
            </w:pPr>
            <w:r w:rsidRPr="00F82840">
              <w:rPr>
                <w:sz w:val="20"/>
                <w:szCs w:val="20"/>
              </w:rPr>
              <w:t>Finance leased</w:t>
            </w:r>
          </w:p>
        </w:tc>
        <w:tc>
          <w:tcPr>
            <w:tcW w:w="1701" w:type="dxa"/>
          </w:tcPr>
          <w:p w14:paraId="296C8D83" w14:textId="7C05D43C" w:rsidR="00054872" w:rsidRPr="00F82840" w:rsidRDefault="00054872" w:rsidP="00D651FB">
            <w:pPr>
              <w:jc w:val="right"/>
              <w:rPr>
                <w:sz w:val="20"/>
                <w:szCs w:val="20"/>
              </w:rPr>
            </w:pPr>
            <w:r>
              <w:rPr>
                <w:sz w:val="20"/>
                <w:szCs w:val="20"/>
              </w:rPr>
              <w:t>0</w:t>
            </w:r>
          </w:p>
        </w:tc>
        <w:tc>
          <w:tcPr>
            <w:tcW w:w="1417" w:type="dxa"/>
          </w:tcPr>
          <w:p w14:paraId="447DABBD" w14:textId="06AC0EE4" w:rsidR="00054872" w:rsidRPr="00F82840" w:rsidRDefault="00054872" w:rsidP="00D651FB">
            <w:pPr>
              <w:jc w:val="right"/>
              <w:rPr>
                <w:sz w:val="20"/>
                <w:szCs w:val="20"/>
              </w:rPr>
            </w:pPr>
            <w:r>
              <w:rPr>
                <w:sz w:val="20"/>
                <w:szCs w:val="20"/>
              </w:rPr>
              <w:t>0</w:t>
            </w:r>
          </w:p>
        </w:tc>
        <w:tc>
          <w:tcPr>
            <w:tcW w:w="1133" w:type="dxa"/>
          </w:tcPr>
          <w:p w14:paraId="243240A3" w14:textId="11C3F582" w:rsidR="00054872" w:rsidRPr="00F82840" w:rsidRDefault="00054872" w:rsidP="00D651FB">
            <w:pPr>
              <w:jc w:val="right"/>
              <w:rPr>
                <w:sz w:val="20"/>
                <w:szCs w:val="20"/>
              </w:rPr>
            </w:pPr>
            <w:r>
              <w:rPr>
                <w:sz w:val="20"/>
                <w:szCs w:val="20"/>
              </w:rPr>
              <w:t>0</w:t>
            </w:r>
          </w:p>
        </w:tc>
        <w:tc>
          <w:tcPr>
            <w:tcW w:w="1454" w:type="dxa"/>
          </w:tcPr>
          <w:p w14:paraId="41AD5A3A" w14:textId="25AE23F1" w:rsidR="00054872" w:rsidRPr="00F82840" w:rsidRDefault="00054872" w:rsidP="00D651FB">
            <w:pPr>
              <w:jc w:val="right"/>
              <w:rPr>
                <w:sz w:val="20"/>
                <w:szCs w:val="20"/>
              </w:rPr>
            </w:pPr>
            <w:r>
              <w:rPr>
                <w:sz w:val="20"/>
                <w:szCs w:val="20"/>
              </w:rPr>
              <w:t>0</w:t>
            </w:r>
          </w:p>
        </w:tc>
      </w:tr>
      <w:tr w:rsidR="00054872" w:rsidRPr="00F82840" w14:paraId="16C84A3D" w14:textId="77777777" w:rsidTr="00054872">
        <w:tc>
          <w:tcPr>
            <w:tcW w:w="2801" w:type="dxa"/>
          </w:tcPr>
          <w:p w14:paraId="58AA75B1" w14:textId="77777777" w:rsidR="00054872" w:rsidRPr="00F82840" w:rsidRDefault="00054872" w:rsidP="00D651FB">
            <w:pPr>
              <w:rPr>
                <w:sz w:val="20"/>
                <w:szCs w:val="20"/>
              </w:rPr>
            </w:pPr>
            <w:r w:rsidRPr="00F82840">
              <w:rPr>
                <w:sz w:val="20"/>
                <w:szCs w:val="20"/>
              </w:rPr>
              <w:t xml:space="preserve">Net book value at </w:t>
            </w:r>
            <w:r>
              <w:rPr>
                <w:sz w:val="20"/>
                <w:szCs w:val="20"/>
              </w:rPr>
              <w:t>31 March 2022</w:t>
            </w:r>
          </w:p>
        </w:tc>
        <w:tc>
          <w:tcPr>
            <w:tcW w:w="1701" w:type="dxa"/>
            <w:tcBorders>
              <w:top w:val="single" w:sz="4" w:space="0" w:color="auto"/>
              <w:bottom w:val="single" w:sz="4" w:space="0" w:color="auto"/>
            </w:tcBorders>
          </w:tcPr>
          <w:p w14:paraId="1E71F513" w14:textId="77777777" w:rsidR="00054872" w:rsidRDefault="00054872" w:rsidP="00D651FB">
            <w:pPr>
              <w:jc w:val="right"/>
              <w:rPr>
                <w:sz w:val="20"/>
                <w:szCs w:val="20"/>
              </w:rPr>
            </w:pPr>
          </w:p>
          <w:p w14:paraId="14D3915A" w14:textId="77777777" w:rsidR="00054872" w:rsidRPr="00F82840" w:rsidRDefault="00054872" w:rsidP="00D651FB">
            <w:pPr>
              <w:jc w:val="right"/>
              <w:rPr>
                <w:sz w:val="20"/>
                <w:szCs w:val="20"/>
              </w:rPr>
            </w:pPr>
            <w:r>
              <w:rPr>
                <w:sz w:val="20"/>
                <w:szCs w:val="20"/>
              </w:rPr>
              <w:t>454,235</w:t>
            </w:r>
          </w:p>
        </w:tc>
        <w:tc>
          <w:tcPr>
            <w:tcW w:w="1417" w:type="dxa"/>
            <w:tcBorders>
              <w:top w:val="single" w:sz="4" w:space="0" w:color="auto"/>
              <w:bottom w:val="single" w:sz="4" w:space="0" w:color="auto"/>
            </w:tcBorders>
          </w:tcPr>
          <w:p w14:paraId="137BED0F" w14:textId="77777777" w:rsidR="00054872" w:rsidRDefault="00054872" w:rsidP="00D651FB">
            <w:pPr>
              <w:jc w:val="right"/>
              <w:rPr>
                <w:sz w:val="20"/>
                <w:szCs w:val="20"/>
              </w:rPr>
            </w:pPr>
          </w:p>
          <w:p w14:paraId="1442173E" w14:textId="77777777" w:rsidR="00054872" w:rsidRPr="00F82840" w:rsidRDefault="00054872" w:rsidP="00D651FB">
            <w:pPr>
              <w:jc w:val="right"/>
              <w:rPr>
                <w:sz w:val="20"/>
                <w:szCs w:val="20"/>
              </w:rPr>
            </w:pPr>
            <w:r>
              <w:rPr>
                <w:sz w:val="20"/>
                <w:szCs w:val="20"/>
              </w:rPr>
              <w:t>17,644</w:t>
            </w:r>
          </w:p>
        </w:tc>
        <w:tc>
          <w:tcPr>
            <w:tcW w:w="1133" w:type="dxa"/>
            <w:tcBorders>
              <w:top w:val="single" w:sz="4" w:space="0" w:color="auto"/>
              <w:bottom w:val="single" w:sz="4" w:space="0" w:color="auto"/>
            </w:tcBorders>
          </w:tcPr>
          <w:p w14:paraId="4682613E" w14:textId="77777777" w:rsidR="00054872" w:rsidRDefault="00054872" w:rsidP="00D651FB">
            <w:pPr>
              <w:jc w:val="right"/>
              <w:rPr>
                <w:sz w:val="20"/>
                <w:szCs w:val="20"/>
              </w:rPr>
            </w:pPr>
          </w:p>
          <w:p w14:paraId="12D95873" w14:textId="77777777" w:rsidR="00054872" w:rsidRPr="00F82840" w:rsidRDefault="00054872" w:rsidP="00D651FB">
            <w:pPr>
              <w:jc w:val="right"/>
              <w:rPr>
                <w:sz w:val="20"/>
                <w:szCs w:val="20"/>
              </w:rPr>
            </w:pPr>
            <w:r>
              <w:rPr>
                <w:sz w:val="20"/>
                <w:szCs w:val="20"/>
              </w:rPr>
              <w:t>65,037</w:t>
            </w:r>
          </w:p>
        </w:tc>
        <w:tc>
          <w:tcPr>
            <w:tcW w:w="1454" w:type="dxa"/>
            <w:tcBorders>
              <w:top w:val="single" w:sz="4" w:space="0" w:color="auto"/>
              <w:bottom w:val="single" w:sz="4" w:space="0" w:color="auto"/>
            </w:tcBorders>
          </w:tcPr>
          <w:p w14:paraId="1BAA824A" w14:textId="77777777" w:rsidR="00054872" w:rsidRDefault="00054872" w:rsidP="00D651FB">
            <w:pPr>
              <w:jc w:val="right"/>
              <w:rPr>
                <w:sz w:val="20"/>
                <w:szCs w:val="20"/>
              </w:rPr>
            </w:pPr>
          </w:p>
          <w:p w14:paraId="775519B6" w14:textId="77777777" w:rsidR="00054872" w:rsidRPr="00F82840" w:rsidRDefault="00054872" w:rsidP="00D651FB">
            <w:pPr>
              <w:jc w:val="right"/>
              <w:rPr>
                <w:sz w:val="20"/>
                <w:szCs w:val="20"/>
              </w:rPr>
            </w:pPr>
            <w:r>
              <w:rPr>
                <w:sz w:val="20"/>
                <w:szCs w:val="20"/>
              </w:rPr>
              <w:t>536,916</w:t>
            </w:r>
          </w:p>
        </w:tc>
      </w:tr>
    </w:tbl>
    <w:p w14:paraId="1CD4C806" w14:textId="77777777" w:rsidR="00D651FB" w:rsidRDefault="00D651FB" w:rsidP="003C598E">
      <w:pPr>
        <w:rPr>
          <w:b/>
        </w:rPr>
      </w:pPr>
    </w:p>
    <w:p w14:paraId="2A0A5B0F" w14:textId="77777777" w:rsidR="00A73CBF" w:rsidRDefault="00A73CBF" w:rsidP="003C598E">
      <w:pPr>
        <w:rPr>
          <w:b/>
        </w:rPr>
      </w:pPr>
    </w:p>
    <w:p w14:paraId="133B0584" w14:textId="77777777" w:rsidR="00250101" w:rsidRDefault="00250101">
      <w:pPr>
        <w:rPr>
          <w:b/>
        </w:rPr>
      </w:pPr>
      <w:r>
        <w:rPr>
          <w:b/>
        </w:rPr>
        <w:br w:type="page"/>
      </w:r>
    </w:p>
    <w:p w14:paraId="435D145A" w14:textId="5607F92A" w:rsidR="00250101" w:rsidRDefault="00250101" w:rsidP="00250101">
      <w:pPr>
        <w:rPr>
          <w:b/>
        </w:rPr>
      </w:pPr>
      <w:r w:rsidRPr="00676064">
        <w:rPr>
          <w:b/>
        </w:rPr>
        <w:t>6.</w:t>
      </w:r>
      <w:r w:rsidRPr="00676064">
        <w:rPr>
          <w:b/>
        </w:rPr>
        <w:tab/>
        <w:t>Property, plant and equipment</w:t>
      </w:r>
      <w:r>
        <w:rPr>
          <w:b/>
        </w:rPr>
        <w:t xml:space="preserve"> continued</w:t>
      </w:r>
    </w:p>
    <w:p w14:paraId="0AEE9EAC" w14:textId="77777777" w:rsidR="00250101" w:rsidRDefault="00250101" w:rsidP="00250101">
      <w:pPr>
        <w:rPr>
          <w:b/>
        </w:rPr>
      </w:pPr>
    </w:p>
    <w:tbl>
      <w:tblPr>
        <w:tblW w:w="10100" w:type="dxa"/>
        <w:tblLayout w:type="fixed"/>
        <w:tblLook w:val="01E0" w:firstRow="1" w:lastRow="1" w:firstColumn="1" w:lastColumn="1" w:noHBand="0" w:noVBand="0"/>
      </w:tblPr>
      <w:tblGrid>
        <w:gridCol w:w="2801"/>
        <w:gridCol w:w="1701"/>
        <w:gridCol w:w="1417"/>
        <w:gridCol w:w="1452"/>
        <w:gridCol w:w="1275"/>
        <w:gridCol w:w="1454"/>
      </w:tblGrid>
      <w:tr w:rsidR="008328EC" w:rsidRPr="00F267CA" w14:paraId="4063E8DF" w14:textId="77777777" w:rsidTr="00065202">
        <w:tc>
          <w:tcPr>
            <w:tcW w:w="2801" w:type="dxa"/>
          </w:tcPr>
          <w:p w14:paraId="6A540FDC" w14:textId="5A4F6514" w:rsidR="008328EC" w:rsidRPr="00D35926" w:rsidRDefault="00250101" w:rsidP="001B27EA">
            <w:pPr>
              <w:rPr>
                <w:b/>
                <w:sz w:val="22"/>
                <w:szCs w:val="22"/>
              </w:rPr>
            </w:pPr>
            <w:r>
              <w:br w:type="page"/>
            </w:r>
            <w:r w:rsidR="008328EC">
              <w:rPr>
                <w:b/>
                <w:sz w:val="22"/>
                <w:szCs w:val="22"/>
              </w:rPr>
              <w:t>2020-21</w:t>
            </w:r>
          </w:p>
        </w:tc>
        <w:tc>
          <w:tcPr>
            <w:tcW w:w="1701" w:type="dxa"/>
          </w:tcPr>
          <w:p w14:paraId="35F15AB7" w14:textId="77777777" w:rsidR="008328EC" w:rsidRPr="00F267CA" w:rsidRDefault="008328EC" w:rsidP="001B27EA">
            <w:pPr>
              <w:ind w:right="-171"/>
              <w:rPr>
                <w:rFonts w:cs="Arial"/>
                <w:b/>
                <w:sz w:val="16"/>
                <w:szCs w:val="16"/>
              </w:rPr>
            </w:pPr>
            <w:r w:rsidRPr="00F267CA">
              <w:rPr>
                <w:rFonts w:cs="Arial"/>
                <w:b/>
                <w:sz w:val="16"/>
                <w:szCs w:val="16"/>
              </w:rPr>
              <w:t>Leasehold Improvements</w:t>
            </w:r>
          </w:p>
        </w:tc>
        <w:tc>
          <w:tcPr>
            <w:tcW w:w="1417" w:type="dxa"/>
          </w:tcPr>
          <w:p w14:paraId="0731F89F" w14:textId="77777777" w:rsidR="008328EC" w:rsidRPr="00F267CA" w:rsidRDefault="008328EC" w:rsidP="001B27EA">
            <w:pPr>
              <w:rPr>
                <w:b/>
                <w:sz w:val="16"/>
                <w:szCs w:val="16"/>
              </w:rPr>
            </w:pPr>
            <w:r w:rsidRPr="00F267CA">
              <w:rPr>
                <w:b/>
                <w:sz w:val="16"/>
                <w:szCs w:val="16"/>
              </w:rPr>
              <w:t>Information technology</w:t>
            </w:r>
          </w:p>
        </w:tc>
        <w:tc>
          <w:tcPr>
            <w:tcW w:w="1452" w:type="dxa"/>
          </w:tcPr>
          <w:p w14:paraId="231BB2F2" w14:textId="77777777" w:rsidR="008328EC" w:rsidRDefault="008328EC" w:rsidP="00ED3445">
            <w:pPr>
              <w:ind w:right="-284"/>
              <w:rPr>
                <w:b/>
                <w:sz w:val="16"/>
                <w:szCs w:val="16"/>
              </w:rPr>
            </w:pPr>
            <w:r w:rsidRPr="00F267CA">
              <w:rPr>
                <w:b/>
                <w:sz w:val="16"/>
                <w:szCs w:val="16"/>
              </w:rPr>
              <w:t xml:space="preserve">Furniture </w:t>
            </w:r>
          </w:p>
          <w:p w14:paraId="78ACB6D1" w14:textId="77777777" w:rsidR="008328EC" w:rsidRPr="00F267CA" w:rsidRDefault="008328EC" w:rsidP="00ED3445">
            <w:pPr>
              <w:ind w:right="-426"/>
              <w:rPr>
                <w:b/>
                <w:sz w:val="16"/>
                <w:szCs w:val="16"/>
              </w:rPr>
            </w:pPr>
            <w:r w:rsidRPr="00F267CA">
              <w:rPr>
                <w:b/>
                <w:sz w:val="16"/>
                <w:szCs w:val="16"/>
              </w:rPr>
              <w:t>&amp; fittings</w:t>
            </w:r>
          </w:p>
        </w:tc>
        <w:tc>
          <w:tcPr>
            <w:tcW w:w="1275" w:type="dxa"/>
          </w:tcPr>
          <w:p w14:paraId="14EE6604" w14:textId="77777777" w:rsidR="008328EC" w:rsidRPr="006E4551" w:rsidRDefault="008328EC" w:rsidP="00BF0DCC">
            <w:pPr>
              <w:rPr>
                <w:b/>
                <w:sz w:val="14"/>
                <w:szCs w:val="14"/>
              </w:rPr>
            </w:pPr>
            <w:r w:rsidRPr="006E4551">
              <w:rPr>
                <w:b/>
                <w:sz w:val="14"/>
                <w:szCs w:val="14"/>
              </w:rPr>
              <w:t>Assets under construction</w:t>
            </w:r>
          </w:p>
        </w:tc>
        <w:tc>
          <w:tcPr>
            <w:tcW w:w="1454" w:type="dxa"/>
          </w:tcPr>
          <w:p w14:paraId="18CC651F" w14:textId="77777777" w:rsidR="008328EC" w:rsidRPr="00F267CA" w:rsidRDefault="008328EC" w:rsidP="001B27EA">
            <w:pPr>
              <w:jc w:val="right"/>
              <w:rPr>
                <w:b/>
                <w:sz w:val="16"/>
                <w:szCs w:val="16"/>
              </w:rPr>
            </w:pPr>
            <w:r w:rsidRPr="00F267CA">
              <w:rPr>
                <w:b/>
                <w:sz w:val="16"/>
                <w:szCs w:val="16"/>
              </w:rPr>
              <w:t>Total</w:t>
            </w:r>
          </w:p>
          <w:p w14:paraId="74501C8B" w14:textId="77777777" w:rsidR="008328EC" w:rsidRPr="00F267CA" w:rsidRDefault="008328EC" w:rsidP="001B27EA">
            <w:pPr>
              <w:rPr>
                <w:b/>
                <w:sz w:val="16"/>
                <w:szCs w:val="16"/>
              </w:rPr>
            </w:pPr>
          </w:p>
        </w:tc>
      </w:tr>
      <w:tr w:rsidR="008328EC" w:rsidRPr="00863EC6" w14:paraId="407A4BA5" w14:textId="77777777" w:rsidTr="00065202">
        <w:tc>
          <w:tcPr>
            <w:tcW w:w="2801" w:type="dxa"/>
          </w:tcPr>
          <w:p w14:paraId="53E98DE6" w14:textId="77777777" w:rsidR="008328EC" w:rsidRPr="00863EC6" w:rsidRDefault="008328EC" w:rsidP="001B27EA">
            <w:pPr>
              <w:rPr>
                <w:b/>
                <w:sz w:val="20"/>
                <w:szCs w:val="20"/>
              </w:rPr>
            </w:pPr>
            <w:r w:rsidRPr="00863EC6">
              <w:rPr>
                <w:b/>
                <w:sz w:val="20"/>
                <w:szCs w:val="20"/>
              </w:rPr>
              <w:t xml:space="preserve">Cost or valuation </w:t>
            </w:r>
          </w:p>
        </w:tc>
        <w:tc>
          <w:tcPr>
            <w:tcW w:w="1701" w:type="dxa"/>
          </w:tcPr>
          <w:p w14:paraId="41F5970F" w14:textId="77777777" w:rsidR="008328EC" w:rsidRPr="00863EC6" w:rsidRDefault="008328EC" w:rsidP="001B27EA">
            <w:pPr>
              <w:jc w:val="right"/>
              <w:rPr>
                <w:b/>
                <w:sz w:val="20"/>
                <w:szCs w:val="20"/>
              </w:rPr>
            </w:pPr>
            <w:r w:rsidRPr="00863EC6">
              <w:rPr>
                <w:b/>
                <w:sz w:val="20"/>
                <w:szCs w:val="20"/>
              </w:rPr>
              <w:t>£</w:t>
            </w:r>
          </w:p>
        </w:tc>
        <w:tc>
          <w:tcPr>
            <w:tcW w:w="1417" w:type="dxa"/>
          </w:tcPr>
          <w:p w14:paraId="05B0E083" w14:textId="77777777" w:rsidR="008328EC" w:rsidRPr="00863EC6" w:rsidRDefault="008328EC" w:rsidP="001B27EA">
            <w:pPr>
              <w:jc w:val="right"/>
              <w:rPr>
                <w:b/>
                <w:sz w:val="20"/>
                <w:szCs w:val="20"/>
              </w:rPr>
            </w:pPr>
            <w:r w:rsidRPr="00863EC6">
              <w:rPr>
                <w:b/>
                <w:sz w:val="20"/>
                <w:szCs w:val="20"/>
              </w:rPr>
              <w:t>£</w:t>
            </w:r>
          </w:p>
        </w:tc>
        <w:tc>
          <w:tcPr>
            <w:tcW w:w="1452" w:type="dxa"/>
          </w:tcPr>
          <w:p w14:paraId="6DA1AEB2" w14:textId="77777777" w:rsidR="008328EC" w:rsidRPr="00863EC6" w:rsidRDefault="008328EC" w:rsidP="001B27EA">
            <w:pPr>
              <w:jc w:val="right"/>
              <w:rPr>
                <w:b/>
                <w:sz w:val="20"/>
                <w:szCs w:val="20"/>
              </w:rPr>
            </w:pPr>
            <w:r w:rsidRPr="00863EC6">
              <w:rPr>
                <w:b/>
                <w:sz w:val="20"/>
                <w:szCs w:val="20"/>
              </w:rPr>
              <w:t>£</w:t>
            </w:r>
          </w:p>
        </w:tc>
        <w:tc>
          <w:tcPr>
            <w:tcW w:w="1275" w:type="dxa"/>
          </w:tcPr>
          <w:p w14:paraId="6EB7C9D6" w14:textId="77777777" w:rsidR="008328EC" w:rsidRPr="00863EC6" w:rsidRDefault="008328EC" w:rsidP="001B27EA">
            <w:pPr>
              <w:jc w:val="right"/>
              <w:rPr>
                <w:b/>
                <w:sz w:val="20"/>
                <w:szCs w:val="20"/>
              </w:rPr>
            </w:pPr>
            <w:r>
              <w:rPr>
                <w:b/>
                <w:sz w:val="20"/>
                <w:szCs w:val="20"/>
              </w:rPr>
              <w:t>£</w:t>
            </w:r>
          </w:p>
        </w:tc>
        <w:tc>
          <w:tcPr>
            <w:tcW w:w="1454" w:type="dxa"/>
          </w:tcPr>
          <w:p w14:paraId="1BC71B98" w14:textId="77777777" w:rsidR="008328EC" w:rsidRPr="00863EC6" w:rsidRDefault="008328EC" w:rsidP="001B27EA">
            <w:pPr>
              <w:jc w:val="right"/>
              <w:rPr>
                <w:b/>
                <w:sz w:val="20"/>
                <w:szCs w:val="20"/>
              </w:rPr>
            </w:pPr>
            <w:r w:rsidRPr="00863EC6">
              <w:rPr>
                <w:b/>
                <w:sz w:val="20"/>
                <w:szCs w:val="20"/>
              </w:rPr>
              <w:t>£</w:t>
            </w:r>
          </w:p>
        </w:tc>
      </w:tr>
      <w:tr w:rsidR="008328EC" w:rsidRPr="00863EC6" w14:paraId="5B4DB702" w14:textId="77777777" w:rsidTr="00065202">
        <w:tc>
          <w:tcPr>
            <w:tcW w:w="2801" w:type="dxa"/>
          </w:tcPr>
          <w:p w14:paraId="2EB4BFFA" w14:textId="77777777" w:rsidR="008328EC" w:rsidRPr="00863EC6" w:rsidRDefault="008328EC" w:rsidP="001B27EA">
            <w:pPr>
              <w:rPr>
                <w:sz w:val="20"/>
                <w:szCs w:val="20"/>
              </w:rPr>
            </w:pPr>
            <w:r w:rsidRPr="00863EC6">
              <w:rPr>
                <w:sz w:val="20"/>
                <w:szCs w:val="20"/>
              </w:rPr>
              <w:t>At 1 April 20</w:t>
            </w:r>
            <w:r>
              <w:rPr>
                <w:sz w:val="20"/>
                <w:szCs w:val="20"/>
              </w:rPr>
              <w:t>20</w:t>
            </w:r>
          </w:p>
        </w:tc>
        <w:tc>
          <w:tcPr>
            <w:tcW w:w="1701" w:type="dxa"/>
          </w:tcPr>
          <w:p w14:paraId="673594C9" w14:textId="77777777" w:rsidR="008328EC" w:rsidRPr="00863EC6" w:rsidRDefault="00065202" w:rsidP="00065202">
            <w:pPr>
              <w:jc w:val="center"/>
              <w:rPr>
                <w:sz w:val="20"/>
                <w:szCs w:val="20"/>
              </w:rPr>
            </w:pPr>
            <w:r>
              <w:rPr>
                <w:sz w:val="20"/>
                <w:szCs w:val="20"/>
              </w:rPr>
              <w:t xml:space="preserve">      </w:t>
            </w:r>
            <w:r w:rsidR="008328EC">
              <w:rPr>
                <w:sz w:val="20"/>
                <w:szCs w:val="20"/>
              </w:rPr>
              <w:t>194,323</w:t>
            </w:r>
          </w:p>
        </w:tc>
        <w:tc>
          <w:tcPr>
            <w:tcW w:w="1417" w:type="dxa"/>
          </w:tcPr>
          <w:p w14:paraId="0D99E15A" w14:textId="77777777" w:rsidR="008328EC" w:rsidRPr="00863EC6" w:rsidRDefault="008328EC" w:rsidP="001B27EA">
            <w:pPr>
              <w:jc w:val="right"/>
              <w:rPr>
                <w:sz w:val="20"/>
                <w:szCs w:val="20"/>
              </w:rPr>
            </w:pPr>
            <w:r>
              <w:rPr>
                <w:sz w:val="20"/>
                <w:szCs w:val="20"/>
              </w:rPr>
              <w:t>75,949</w:t>
            </w:r>
          </w:p>
        </w:tc>
        <w:tc>
          <w:tcPr>
            <w:tcW w:w="1452" w:type="dxa"/>
          </w:tcPr>
          <w:p w14:paraId="6366F69C" w14:textId="77777777" w:rsidR="008328EC" w:rsidRPr="00863EC6" w:rsidRDefault="00065202" w:rsidP="00065202">
            <w:pPr>
              <w:rPr>
                <w:sz w:val="20"/>
                <w:szCs w:val="20"/>
              </w:rPr>
            </w:pPr>
            <w:r>
              <w:rPr>
                <w:sz w:val="20"/>
                <w:szCs w:val="20"/>
              </w:rPr>
              <w:t xml:space="preserve">   </w:t>
            </w:r>
            <w:r w:rsidR="008328EC">
              <w:rPr>
                <w:sz w:val="20"/>
                <w:szCs w:val="20"/>
              </w:rPr>
              <w:t>168,916</w:t>
            </w:r>
          </w:p>
        </w:tc>
        <w:tc>
          <w:tcPr>
            <w:tcW w:w="1275" w:type="dxa"/>
          </w:tcPr>
          <w:p w14:paraId="000FB25E" w14:textId="77777777" w:rsidR="008328EC" w:rsidRPr="00863EC6" w:rsidRDefault="008328EC" w:rsidP="001B27EA">
            <w:pPr>
              <w:jc w:val="right"/>
              <w:rPr>
                <w:sz w:val="20"/>
                <w:szCs w:val="20"/>
              </w:rPr>
            </w:pPr>
            <w:r>
              <w:rPr>
                <w:sz w:val="20"/>
                <w:szCs w:val="20"/>
              </w:rPr>
              <w:t>35,648</w:t>
            </w:r>
          </w:p>
        </w:tc>
        <w:tc>
          <w:tcPr>
            <w:tcW w:w="1454" w:type="dxa"/>
          </w:tcPr>
          <w:p w14:paraId="753A5EA4" w14:textId="77777777" w:rsidR="008328EC" w:rsidRPr="00863EC6" w:rsidRDefault="00065202" w:rsidP="00065202">
            <w:pPr>
              <w:jc w:val="center"/>
              <w:rPr>
                <w:sz w:val="20"/>
                <w:szCs w:val="20"/>
              </w:rPr>
            </w:pPr>
            <w:r>
              <w:rPr>
                <w:sz w:val="20"/>
                <w:szCs w:val="20"/>
              </w:rPr>
              <w:t xml:space="preserve">    </w:t>
            </w:r>
            <w:r w:rsidR="008328EC">
              <w:rPr>
                <w:sz w:val="20"/>
                <w:szCs w:val="20"/>
              </w:rPr>
              <w:t>474,836</w:t>
            </w:r>
          </w:p>
        </w:tc>
      </w:tr>
      <w:tr w:rsidR="008328EC" w:rsidRPr="00863EC6" w14:paraId="60979147" w14:textId="77777777" w:rsidTr="00065202">
        <w:tc>
          <w:tcPr>
            <w:tcW w:w="2801" w:type="dxa"/>
          </w:tcPr>
          <w:p w14:paraId="4F72B1E6" w14:textId="77777777" w:rsidR="008328EC" w:rsidRPr="00863EC6" w:rsidRDefault="008328EC" w:rsidP="001B27EA">
            <w:pPr>
              <w:rPr>
                <w:sz w:val="20"/>
                <w:szCs w:val="20"/>
              </w:rPr>
            </w:pPr>
            <w:r w:rsidRPr="00863EC6">
              <w:rPr>
                <w:sz w:val="20"/>
                <w:szCs w:val="20"/>
              </w:rPr>
              <w:t>Additions</w:t>
            </w:r>
          </w:p>
        </w:tc>
        <w:tc>
          <w:tcPr>
            <w:tcW w:w="1701" w:type="dxa"/>
          </w:tcPr>
          <w:p w14:paraId="7E1FAD27" w14:textId="77777777" w:rsidR="008328EC" w:rsidRPr="00863EC6" w:rsidRDefault="00065202" w:rsidP="00065202">
            <w:pPr>
              <w:jc w:val="center"/>
              <w:rPr>
                <w:sz w:val="20"/>
                <w:szCs w:val="20"/>
              </w:rPr>
            </w:pPr>
            <w:r>
              <w:rPr>
                <w:sz w:val="20"/>
                <w:szCs w:val="20"/>
              </w:rPr>
              <w:t xml:space="preserve">       </w:t>
            </w:r>
            <w:r w:rsidR="008328EC">
              <w:rPr>
                <w:sz w:val="20"/>
                <w:szCs w:val="20"/>
              </w:rPr>
              <w:t>51</w:t>
            </w:r>
            <w:r w:rsidR="007B1A0B">
              <w:rPr>
                <w:sz w:val="20"/>
                <w:szCs w:val="20"/>
              </w:rPr>
              <w:t>4</w:t>
            </w:r>
            <w:r w:rsidR="008328EC">
              <w:rPr>
                <w:sz w:val="20"/>
                <w:szCs w:val="20"/>
              </w:rPr>
              <w:t>,387</w:t>
            </w:r>
          </w:p>
        </w:tc>
        <w:tc>
          <w:tcPr>
            <w:tcW w:w="1417" w:type="dxa"/>
          </w:tcPr>
          <w:p w14:paraId="2042A0E3" w14:textId="77777777" w:rsidR="008328EC" w:rsidRPr="00863EC6" w:rsidRDefault="008328EC" w:rsidP="001B27EA">
            <w:pPr>
              <w:jc w:val="right"/>
              <w:rPr>
                <w:sz w:val="20"/>
                <w:szCs w:val="20"/>
              </w:rPr>
            </w:pPr>
            <w:r>
              <w:rPr>
                <w:sz w:val="20"/>
                <w:szCs w:val="20"/>
              </w:rPr>
              <w:t>4,572</w:t>
            </w:r>
          </w:p>
        </w:tc>
        <w:tc>
          <w:tcPr>
            <w:tcW w:w="1452" w:type="dxa"/>
          </w:tcPr>
          <w:p w14:paraId="3722F7B6" w14:textId="77777777" w:rsidR="008328EC" w:rsidRPr="00863EC6" w:rsidRDefault="00065202" w:rsidP="001B27EA">
            <w:pPr>
              <w:jc w:val="right"/>
              <w:rPr>
                <w:sz w:val="20"/>
                <w:szCs w:val="20"/>
              </w:rPr>
            </w:pPr>
            <w:r>
              <w:rPr>
                <w:sz w:val="20"/>
                <w:szCs w:val="20"/>
              </w:rPr>
              <w:t xml:space="preserve">   </w:t>
            </w:r>
            <w:r w:rsidR="008328EC">
              <w:rPr>
                <w:sz w:val="20"/>
                <w:szCs w:val="20"/>
              </w:rPr>
              <w:t>87,036</w:t>
            </w:r>
            <w:r w:rsidR="008328EC">
              <w:rPr>
                <w:rStyle w:val="FootnoteReference"/>
                <w:sz w:val="20"/>
                <w:szCs w:val="20"/>
              </w:rPr>
              <w:footnoteReference w:id="18"/>
            </w:r>
          </w:p>
        </w:tc>
        <w:tc>
          <w:tcPr>
            <w:tcW w:w="1275" w:type="dxa"/>
          </w:tcPr>
          <w:p w14:paraId="5385D363" w14:textId="77777777" w:rsidR="008328EC" w:rsidRPr="00863EC6" w:rsidRDefault="008328EC" w:rsidP="001B27EA">
            <w:pPr>
              <w:jc w:val="right"/>
              <w:rPr>
                <w:sz w:val="20"/>
                <w:szCs w:val="20"/>
              </w:rPr>
            </w:pPr>
            <w:r>
              <w:rPr>
                <w:sz w:val="20"/>
                <w:szCs w:val="20"/>
              </w:rPr>
              <w:t>0</w:t>
            </w:r>
          </w:p>
        </w:tc>
        <w:tc>
          <w:tcPr>
            <w:tcW w:w="1454" w:type="dxa"/>
          </w:tcPr>
          <w:p w14:paraId="500B67BD" w14:textId="77777777" w:rsidR="008328EC" w:rsidRPr="00863EC6" w:rsidRDefault="00065202" w:rsidP="00065202">
            <w:pPr>
              <w:jc w:val="center"/>
              <w:rPr>
                <w:sz w:val="20"/>
                <w:szCs w:val="20"/>
              </w:rPr>
            </w:pPr>
            <w:r>
              <w:rPr>
                <w:sz w:val="20"/>
                <w:szCs w:val="20"/>
              </w:rPr>
              <w:t xml:space="preserve">    </w:t>
            </w:r>
            <w:r w:rsidR="007B1A0B">
              <w:rPr>
                <w:sz w:val="20"/>
                <w:szCs w:val="20"/>
              </w:rPr>
              <w:t>605,995</w:t>
            </w:r>
          </w:p>
        </w:tc>
      </w:tr>
      <w:tr w:rsidR="008328EC" w14:paraId="780B0A49" w14:textId="77777777" w:rsidTr="00065202">
        <w:tc>
          <w:tcPr>
            <w:tcW w:w="2801" w:type="dxa"/>
          </w:tcPr>
          <w:p w14:paraId="31AD45E8" w14:textId="77777777" w:rsidR="008328EC" w:rsidRDefault="008328EC" w:rsidP="001B27EA">
            <w:pPr>
              <w:rPr>
                <w:sz w:val="20"/>
                <w:szCs w:val="20"/>
              </w:rPr>
            </w:pPr>
            <w:r>
              <w:rPr>
                <w:sz w:val="20"/>
                <w:szCs w:val="20"/>
              </w:rPr>
              <w:t>Disposals</w:t>
            </w:r>
          </w:p>
        </w:tc>
        <w:tc>
          <w:tcPr>
            <w:tcW w:w="1701" w:type="dxa"/>
          </w:tcPr>
          <w:p w14:paraId="5F5FAB72" w14:textId="77777777" w:rsidR="008328EC" w:rsidRDefault="00065202" w:rsidP="001B27EA">
            <w:pPr>
              <w:jc w:val="right"/>
              <w:rPr>
                <w:sz w:val="20"/>
                <w:szCs w:val="20"/>
              </w:rPr>
            </w:pPr>
            <w:r>
              <w:rPr>
                <w:sz w:val="20"/>
                <w:szCs w:val="20"/>
              </w:rPr>
              <w:t xml:space="preserve">   </w:t>
            </w:r>
            <w:r w:rsidR="008328EC">
              <w:rPr>
                <w:sz w:val="20"/>
                <w:szCs w:val="20"/>
              </w:rPr>
              <w:t>(194,323)</w:t>
            </w:r>
          </w:p>
        </w:tc>
        <w:tc>
          <w:tcPr>
            <w:tcW w:w="1417" w:type="dxa"/>
          </w:tcPr>
          <w:p w14:paraId="74413045" w14:textId="77777777" w:rsidR="008328EC" w:rsidRDefault="008328EC" w:rsidP="001B27EA">
            <w:pPr>
              <w:jc w:val="right"/>
              <w:rPr>
                <w:sz w:val="20"/>
                <w:szCs w:val="20"/>
              </w:rPr>
            </w:pPr>
            <w:r>
              <w:rPr>
                <w:sz w:val="20"/>
                <w:szCs w:val="20"/>
              </w:rPr>
              <w:t>0</w:t>
            </w:r>
          </w:p>
        </w:tc>
        <w:tc>
          <w:tcPr>
            <w:tcW w:w="1452" w:type="dxa"/>
          </w:tcPr>
          <w:p w14:paraId="03E5AA93" w14:textId="77777777" w:rsidR="008328EC" w:rsidRDefault="00065202" w:rsidP="00065202">
            <w:pPr>
              <w:jc w:val="center"/>
              <w:rPr>
                <w:sz w:val="20"/>
                <w:szCs w:val="20"/>
              </w:rPr>
            </w:pPr>
            <w:r>
              <w:rPr>
                <w:sz w:val="20"/>
                <w:szCs w:val="20"/>
              </w:rPr>
              <w:t xml:space="preserve"> </w:t>
            </w:r>
            <w:r w:rsidR="008328EC">
              <w:rPr>
                <w:sz w:val="20"/>
                <w:szCs w:val="20"/>
              </w:rPr>
              <w:t>(162,559)</w:t>
            </w:r>
          </w:p>
        </w:tc>
        <w:tc>
          <w:tcPr>
            <w:tcW w:w="1275" w:type="dxa"/>
          </w:tcPr>
          <w:p w14:paraId="1CCD8546" w14:textId="77777777" w:rsidR="008328EC" w:rsidRDefault="008328EC" w:rsidP="001B27EA">
            <w:pPr>
              <w:jc w:val="right"/>
              <w:rPr>
                <w:sz w:val="20"/>
                <w:szCs w:val="20"/>
              </w:rPr>
            </w:pPr>
            <w:r>
              <w:rPr>
                <w:sz w:val="20"/>
                <w:szCs w:val="20"/>
              </w:rPr>
              <w:t>0</w:t>
            </w:r>
          </w:p>
        </w:tc>
        <w:tc>
          <w:tcPr>
            <w:tcW w:w="1454" w:type="dxa"/>
          </w:tcPr>
          <w:p w14:paraId="137E86EE" w14:textId="77777777" w:rsidR="008328EC" w:rsidRDefault="008328EC" w:rsidP="001B27EA">
            <w:pPr>
              <w:jc w:val="right"/>
              <w:rPr>
                <w:sz w:val="20"/>
                <w:szCs w:val="20"/>
              </w:rPr>
            </w:pPr>
            <w:r>
              <w:rPr>
                <w:sz w:val="20"/>
                <w:szCs w:val="20"/>
              </w:rPr>
              <w:t>(356,882)</w:t>
            </w:r>
          </w:p>
        </w:tc>
      </w:tr>
      <w:tr w:rsidR="008328EC" w14:paraId="102E5BDD" w14:textId="77777777" w:rsidTr="00065202">
        <w:tc>
          <w:tcPr>
            <w:tcW w:w="2801" w:type="dxa"/>
          </w:tcPr>
          <w:p w14:paraId="5A968AB4" w14:textId="77777777" w:rsidR="008328EC" w:rsidRDefault="008328EC" w:rsidP="001B27EA">
            <w:pPr>
              <w:rPr>
                <w:sz w:val="20"/>
                <w:szCs w:val="20"/>
              </w:rPr>
            </w:pPr>
            <w:r>
              <w:rPr>
                <w:sz w:val="20"/>
                <w:szCs w:val="20"/>
              </w:rPr>
              <w:t>Transfers</w:t>
            </w:r>
          </w:p>
        </w:tc>
        <w:tc>
          <w:tcPr>
            <w:tcW w:w="1701" w:type="dxa"/>
          </w:tcPr>
          <w:p w14:paraId="5C5402B7" w14:textId="77777777" w:rsidR="008328EC" w:rsidRDefault="00065202" w:rsidP="00065202">
            <w:pPr>
              <w:jc w:val="center"/>
              <w:rPr>
                <w:sz w:val="20"/>
                <w:szCs w:val="20"/>
              </w:rPr>
            </w:pPr>
            <w:r>
              <w:rPr>
                <w:sz w:val="20"/>
                <w:szCs w:val="20"/>
              </w:rPr>
              <w:t xml:space="preserve">        </w:t>
            </w:r>
            <w:r w:rsidR="008328EC">
              <w:rPr>
                <w:sz w:val="20"/>
                <w:szCs w:val="20"/>
              </w:rPr>
              <w:t>35,648</w:t>
            </w:r>
          </w:p>
        </w:tc>
        <w:tc>
          <w:tcPr>
            <w:tcW w:w="1417" w:type="dxa"/>
          </w:tcPr>
          <w:p w14:paraId="1DF912D4" w14:textId="77777777" w:rsidR="008328EC" w:rsidRDefault="008328EC" w:rsidP="001B27EA">
            <w:pPr>
              <w:jc w:val="right"/>
              <w:rPr>
                <w:sz w:val="20"/>
                <w:szCs w:val="20"/>
              </w:rPr>
            </w:pPr>
            <w:r>
              <w:rPr>
                <w:sz w:val="20"/>
                <w:szCs w:val="20"/>
              </w:rPr>
              <w:t>0</w:t>
            </w:r>
          </w:p>
        </w:tc>
        <w:tc>
          <w:tcPr>
            <w:tcW w:w="1452" w:type="dxa"/>
          </w:tcPr>
          <w:p w14:paraId="77541B84" w14:textId="77777777" w:rsidR="008328EC" w:rsidRDefault="00065202" w:rsidP="00065202">
            <w:pPr>
              <w:jc w:val="center"/>
              <w:rPr>
                <w:sz w:val="20"/>
                <w:szCs w:val="20"/>
              </w:rPr>
            </w:pPr>
            <w:r>
              <w:rPr>
                <w:sz w:val="20"/>
                <w:szCs w:val="20"/>
              </w:rPr>
              <w:t xml:space="preserve">           </w:t>
            </w:r>
            <w:r w:rsidR="008328EC">
              <w:rPr>
                <w:sz w:val="20"/>
                <w:szCs w:val="20"/>
              </w:rPr>
              <w:t>0</w:t>
            </w:r>
          </w:p>
        </w:tc>
        <w:tc>
          <w:tcPr>
            <w:tcW w:w="1275" w:type="dxa"/>
          </w:tcPr>
          <w:p w14:paraId="70B0823F" w14:textId="77777777" w:rsidR="008328EC" w:rsidRDefault="008328EC" w:rsidP="001B27EA">
            <w:pPr>
              <w:jc w:val="right"/>
              <w:rPr>
                <w:sz w:val="20"/>
                <w:szCs w:val="20"/>
              </w:rPr>
            </w:pPr>
            <w:r>
              <w:rPr>
                <w:sz w:val="20"/>
                <w:szCs w:val="20"/>
              </w:rPr>
              <w:t>(35,648)</w:t>
            </w:r>
          </w:p>
        </w:tc>
        <w:tc>
          <w:tcPr>
            <w:tcW w:w="1454" w:type="dxa"/>
          </w:tcPr>
          <w:p w14:paraId="3E81AF49" w14:textId="77777777" w:rsidR="008328EC" w:rsidRDefault="00065202" w:rsidP="00065202">
            <w:pPr>
              <w:jc w:val="center"/>
              <w:rPr>
                <w:sz w:val="20"/>
                <w:szCs w:val="20"/>
              </w:rPr>
            </w:pPr>
            <w:r>
              <w:rPr>
                <w:sz w:val="20"/>
                <w:szCs w:val="20"/>
              </w:rPr>
              <w:t xml:space="preserve">             </w:t>
            </w:r>
            <w:r w:rsidR="007B1A0B">
              <w:rPr>
                <w:sz w:val="20"/>
                <w:szCs w:val="20"/>
              </w:rPr>
              <w:t>0</w:t>
            </w:r>
          </w:p>
        </w:tc>
      </w:tr>
      <w:tr w:rsidR="008328EC" w:rsidRPr="00863EC6" w14:paraId="0959773C" w14:textId="77777777" w:rsidTr="00065202">
        <w:tc>
          <w:tcPr>
            <w:tcW w:w="2801" w:type="dxa"/>
          </w:tcPr>
          <w:p w14:paraId="5D86E6AE" w14:textId="77777777" w:rsidR="008328EC" w:rsidRPr="00863EC6" w:rsidRDefault="008328EC" w:rsidP="001B27EA">
            <w:pPr>
              <w:rPr>
                <w:sz w:val="20"/>
                <w:szCs w:val="20"/>
              </w:rPr>
            </w:pPr>
            <w:r w:rsidRPr="00863EC6">
              <w:rPr>
                <w:sz w:val="20"/>
                <w:szCs w:val="20"/>
              </w:rPr>
              <w:t xml:space="preserve">At </w:t>
            </w:r>
            <w:r>
              <w:rPr>
                <w:sz w:val="20"/>
                <w:szCs w:val="20"/>
              </w:rPr>
              <w:t>31 March 2021</w:t>
            </w:r>
          </w:p>
        </w:tc>
        <w:tc>
          <w:tcPr>
            <w:tcW w:w="1701" w:type="dxa"/>
            <w:tcBorders>
              <w:top w:val="single" w:sz="4" w:space="0" w:color="auto"/>
              <w:bottom w:val="single" w:sz="4" w:space="0" w:color="auto"/>
            </w:tcBorders>
          </w:tcPr>
          <w:p w14:paraId="1B4C804C" w14:textId="77777777" w:rsidR="008328EC" w:rsidRPr="00863EC6" w:rsidRDefault="00065202" w:rsidP="00065202">
            <w:pPr>
              <w:jc w:val="center"/>
              <w:rPr>
                <w:sz w:val="20"/>
                <w:szCs w:val="20"/>
              </w:rPr>
            </w:pPr>
            <w:r>
              <w:rPr>
                <w:sz w:val="20"/>
                <w:szCs w:val="20"/>
              </w:rPr>
              <w:t xml:space="preserve">      </w:t>
            </w:r>
            <w:r w:rsidR="008328EC">
              <w:rPr>
                <w:sz w:val="20"/>
                <w:szCs w:val="20"/>
              </w:rPr>
              <w:t>550,035</w:t>
            </w:r>
          </w:p>
        </w:tc>
        <w:tc>
          <w:tcPr>
            <w:tcW w:w="1417" w:type="dxa"/>
            <w:tcBorders>
              <w:top w:val="single" w:sz="4" w:space="0" w:color="auto"/>
              <w:bottom w:val="single" w:sz="4" w:space="0" w:color="auto"/>
            </w:tcBorders>
          </w:tcPr>
          <w:p w14:paraId="60E2AA57" w14:textId="77777777" w:rsidR="008328EC" w:rsidRPr="00863EC6" w:rsidRDefault="008328EC" w:rsidP="001B27EA">
            <w:pPr>
              <w:jc w:val="right"/>
              <w:rPr>
                <w:sz w:val="20"/>
                <w:szCs w:val="20"/>
              </w:rPr>
            </w:pPr>
            <w:r>
              <w:rPr>
                <w:sz w:val="20"/>
                <w:szCs w:val="20"/>
              </w:rPr>
              <w:t>80,521</w:t>
            </w:r>
          </w:p>
        </w:tc>
        <w:tc>
          <w:tcPr>
            <w:tcW w:w="1452" w:type="dxa"/>
            <w:tcBorders>
              <w:top w:val="single" w:sz="4" w:space="0" w:color="auto"/>
              <w:bottom w:val="single" w:sz="4" w:space="0" w:color="auto"/>
            </w:tcBorders>
          </w:tcPr>
          <w:p w14:paraId="72ADB76D" w14:textId="77777777" w:rsidR="008328EC" w:rsidRPr="00863EC6" w:rsidRDefault="00065202" w:rsidP="00065202">
            <w:pPr>
              <w:jc w:val="center"/>
              <w:rPr>
                <w:sz w:val="20"/>
                <w:szCs w:val="20"/>
              </w:rPr>
            </w:pPr>
            <w:r>
              <w:rPr>
                <w:sz w:val="20"/>
                <w:szCs w:val="20"/>
              </w:rPr>
              <w:t xml:space="preserve">   </w:t>
            </w:r>
            <w:r w:rsidR="007B1A0B">
              <w:rPr>
                <w:sz w:val="20"/>
                <w:szCs w:val="20"/>
              </w:rPr>
              <w:t>93,393</w:t>
            </w:r>
          </w:p>
        </w:tc>
        <w:tc>
          <w:tcPr>
            <w:tcW w:w="1275" w:type="dxa"/>
            <w:tcBorders>
              <w:top w:val="single" w:sz="4" w:space="0" w:color="auto"/>
              <w:bottom w:val="single" w:sz="4" w:space="0" w:color="auto"/>
            </w:tcBorders>
          </w:tcPr>
          <w:p w14:paraId="0D62B90D" w14:textId="77777777" w:rsidR="008328EC" w:rsidRPr="00863EC6" w:rsidRDefault="008328EC" w:rsidP="001B27EA">
            <w:pPr>
              <w:jc w:val="right"/>
              <w:rPr>
                <w:sz w:val="20"/>
                <w:szCs w:val="20"/>
              </w:rPr>
            </w:pPr>
            <w:r>
              <w:rPr>
                <w:sz w:val="20"/>
                <w:szCs w:val="20"/>
              </w:rPr>
              <w:t>0</w:t>
            </w:r>
          </w:p>
        </w:tc>
        <w:tc>
          <w:tcPr>
            <w:tcW w:w="1454" w:type="dxa"/>
            <w:tcBorders>
              <w:top w:val="single" w:sz="4" w:space="0" w:color="auto"/>
              <w:bottom w:val="single" w:sz="4" w:space="0" w:color="auto"/>
            </w:tcBorders>
          </w:tcPr>
          <w:p w14:paraId="1F61E34B" w14:textId="77777777" w:rsidR="008328EC" w:rsidRPr="00863EC6" w:rsidRDefault="00065202" w:rsidP="00065202">
            <w:pPr>
              <w:jc w:val="center"/>
              <w:rPr>
                <w:sz w:val="20"/>
                <w:szCs w:val="20"/>
              </w:rPr>
            </w:pPr>
            <w:r>
              <w:rPr>
                <w:sz w:val="20"/>
                <w:szCs w:val="20"/>
              </w:rPr>
              <w:t xml:space="preserve">    </w:t>
            </w:r>
            <w:r w:rsidR="007B1A0B">
              <w:rPr>
                <w:sz w:val="20"/>
                <w:szCs w:val="20"/>
              </w:rPr>
              <w:t>723,949</w:t>
            </w:r>
          </w:p>
        </w:tc>
      </w:tr>
      <w:tr w:rsidR="008328EC" w:rsidRPr="00863EC6" w14:paraId="647499A9" w14:textId="77777777" w:rsidTr="00065202">
        <w:tc>
          <w:tcPr>
            <w:tcW w:w="2801" w:type="dxa"/>
          </w:tcPr>
          <w:p w14:paraId="483FFB1C" w14:textId="77777777" w:rsidR="008328EC" w:rsidRPr="00863EC6" w:rsidRDefault="008328EC" w:rsidP="001B27EA">
            <w:pPr>
              <w:rPr>
                <w:b/>
                <w:sz w:val="20"/>
                <w:szCs w:val="20"/>
              </w:rPr>
            </w:pPr>
            <w:r w:rsidRPr="00863EC6">
              <w:rPr>
                <w:b/>
                <w:sz w:val="20"/>
                <w:szCs w:val="20"/>
              </w:rPr>
              <w:t>Depreciation</w:t>
            </w:r>
          </w:p>
        </w:tc>
        <w:tc>
          <w:tcPr>
            <w:tcW w:w="1701" w:type="dxa"/>
          </w:tcPr>
          <w:p w14:paraId="5991317E" w14:textId="77777777" w:rsidR="008328EC" w:rsidRPr="00863EC6" w:rsidRDefault="008328EC" w:rsidP="001B27EA">
            <w:pPr>
              <w:jc w:val="right"/>
              <w:rPr>
                <w:sz w:val="20"/>
                <w:szCs w:val="20"/>
              </w:rPr>
            </w:pPr>
          </w:p>
        </w:tc>
        <w:tc>
          <w:tcPr>
            <w:tcW w:w="1417" w:type="dxa"/>
          </w:tcPr>
          <w:p w14:paraId="3224A430" w14:textId="77777777" w:rsidR="008328EC" w:rsidRPr="00863EC6" w:rsidRDefault="008328EC" w:rsidP="001B27EA">
            <w:pPr>
              <w:jc w:val="right"/>
              <w:rPr>
                <w:sz w:val="20"/>
                <w:szCs w:val="20"/>
              </w:rPr>
            </w:pPr>
          </w:p>
        </w:tc>
        <w:tc>
          <w:tcPr>
            <w:tcW w:w="1452" w:type="dxa"/>
          </w:tcPr>
          <w:p w14:paraId="42BB911E" w14:textId="77777777" w:rsidR="008328EC" w:rsidRPr="00863EC6" w:rsidRDefault="008328EC" w:rsidP="001B27EA">
            <w:pPr>
              <w:jc w:val="right"/>
              <w:rPr>
                <w:sz w:val="20"/>
                <w:szCs w:val="20"/>
              </w:rPr>
            </w:pPr>
          </w:p>
        </w:tc>
        <w:tc>
          <w:tcPr>
            <w:tcW w:w="1275" w:type="dxa"/>
          </w:tcPr>
          <w:p w14:paraId="30BAF0E9" w14:textId="77777777" w:rsidR="008328EC" w:rsidRPr="00863EC6" w:rsidRDefault="008328EC" w:rsidP="001B27EA">
            <w:pPr>
              <w:jc w:val="right"/>
              <w:rPr>
                <w:sz w:val="20"/>
                <w:szCs w:val="20"/>
              </w:rPr>
            </w:pPr>
          </w:p>
        </w:tc>
        <w:tc>
          <w:tcPr>
            <w:tcW w:w="1454" w:type="dxa"/>
          </w:tcPr>
          <w:p w14:paraId="0EB8D94A" w14:textId="77777777" w:rsidR="008328EC" w:rsidRPr="00863EC6" w:rsidRDefault="008328EC" w:rsidP="001B27EA">
            <w:pPr>
              <w:jc w:val="right"/>
              <w:rPr>
                <w:sz w:val="20"/>
                <w:szCs w:val="20"/>
              </w:rPr>
            </w:pPr>
          </w:p>
        </w:tc>
      </w:tr>
      <w:tr w:rsidR="008328EC" w:rsidRPr="00863EC6" w14:paraId="36074DCC" w14:textId="77777777" w:rsidTr="00065202">
        <w:tc>
          <w:tcPr>
            <w:tcW w:w="2801" w:type="dxa"/>
          </w:tcPr>
          <w:p w14:paraId="6837E7EC" w14:textId="77777777" w:rsidR="008328EC" w:rsidRPr="00863EC6" w:rsidRDefault="008328EC" w:rsidP="001B27EA">
            <w:pPr>
              <w:rPr>
                <w:sz w:val="20"/>
                <w:szCs w:val="20"/>
              </w:rPr>
            </w:pPr>
            <w:r w:rsidRPr="00863EC6">
              <w:rPr>
                <w:sz w:val="20"/>
                <w:szCs w:val="20"/>
              </w:rPr>
              <w:t>At 1 April 20</w:t>
            </w:r>
            <w:r>
              <w:rPr>
                <w:sz w:val="20"/>
                <w:szCs w:val="20"/>
              </w:rPr>
              <w:t>20</w:t>
            </w:r>
          </w:p>
        </w:tc>
        <w:tc>
          <w:tcPr>
            <w:tcW w:w="1701" w:type="dxa"/>
          </w:tcPr>
          <w:p w14:paraId="43C9286B" w14:textId="77777777" w:rsidR="008328EC" w:rsidRPr="00863EC6" w:rsidRDefault="00065202" w:rsidP="00065202">
            <w:pPr>
              <w:jc w:val="center"/>
              <w:rPr>
                <w:sz w:val="20"/>
                <w:szCs w:val="20"/>
              </w:rPr>
            </w:pPr>
            <w:r>
              <w:rPr>
                <w:sz w:val="20"/>
                <w:szCs w:val="20"/>
              </w:rPr>
              <w:t xml:space="preserve">       </w:t>
            </w:r>
            <w:r w:rsidR="008328EC">
              <w:rPr>
                <w:sz w:val="20"/>
                <w:szCs w:val="20"/>
              </w:rPr>
              <w:t>193,104</w:t>
            </w:r>
          </w:p>
        </w:tc>
        <w:tc>
          <w:tcPr>
            <w:tcW w:w="1417" w:type="dxa"/>
          </w:tcPr>
          <w:p w14:paraId="172068FD" w14:textId="77777777" w:rsidR="008328EC" w:rsidRPr="00863EC6" w:rsidRDefault="008328EC" w:rsidP="001B27EA">
            <w:pPr>
              <w:jc w:val="right"/>
              <w:rPr>
                <w:sz w:val="20"/>
                <w:szCs w:val="20"/>
              </w:rPr>
            </w:pPr>
            <w:r>
              <w:rPr>
                <w:sz w:val="20"/>
                <w:szCs w:val="20"/>
              </w:rPr>
              <w:t>65,085</w:t>
            </w:r>
          </w:p>
        </w:tc>
        <w:tc>
          <w:tcPr>
            <w:tcW w:w="1452" w:type="dxa"/>
          </w:tcPr>
          <w:p w14:paraId="51687CC3" w14:textId="77777777" w:rsidR="008328EC" w:rsidRPr="00863EC6" w:rsidRDefault="00065202" w:rsidP="00065202">
            <w:pPr>
              <w:jc w:val="center"/>
              <w:rPr>
                <w:sz w:val="20"/>
                <w:szCs w:val="20"/>
              </w:rPr>
            </w:pPr>
            <w:r>
              <w:rPr>
                <w:sz w:val="20"/>
                <w:szCs w:val="20"/>
              </w:rPr>
              <w:t xml:space="preserve">  </w:t>
            </w:r>
            <w:r w:rsidR="008328EC">
              <w:rPr>
                <w:sz w:val="20"/>
                <w:szCs w:val="20"/>
              </w:rPr>
              <w:t>162,850</w:t>
            </w:r>
          </w:p>
        </w:tc>
        <w:tc>
          <w:tcPr>
            <w:tcW w:w="1275" w:type="dxa"/>
          </w:tcPr>
          <w:p w14:paraId="3087304A" w14:textId="77777777" w:rsidR="008328EC" w:rsidRPr="00863EC6" w:rsidRDefault="008328EC" w:rsidP="001B27EA">
            <w:pPr>
              <w:jc w:val="right"/>
              <w:rPr>
                <w:sz w:val="20"/>
                <w:szCs w:val="20"/>
              </w:rPr>
            </w:pPr>
            <w:r>
              <w:rPr>
                <w:sz w:val="20"/>
                <w:szCs w:val="20"/>
              </w:rPr>
              <w:t>0</w:t>
            </w:r>
          </w:p>
        </w:tc>
        <w:tc>
          <w:tcPr>
            <w:tcW w:w="1454" w:type="dxa"/>
          </w:tcPr>
          <w:p w14:paraId="4D544C7E" w14:textId="77777777" w:rsidR="008328EC" w:rsidRPr="00863EC6" w:rsidRDefault="00065202" w:rsidP="00065202">
            <w:pPr>
              <w:jc w:val="center"/>
              <w:rPr>
                <w:sz w:val="20"/>
                <w:szCs w:val="20"/>
              </w:rPr>
            </w:pPr>
            <w:r>
              <w:rPr>
                <w:sz w:val="20"/>
                <w:szCs w:val="20"/>
              </w:rPr>
              <w:t xml:space="preserve">    </w:t>
            </w:r>
            <w:r w:rsidR="008328EC">
              <w:rPr>
                <w:sz w:val="20"/>
                <w:szCs w:val="20"/>
              </w:rPr>
              <w:t>421,039</w:t>
            </w:r>
          </w:p>
        </w:tc>
      </w:tr>
      <w:tr w:rsidR="008328EC" w:rsidRPr="00863EC6" w14:paraId="1A80CBA8" w14:textId="77777777" w:rsidTr="00065202">
        <w:tc>
          <w:tcPr>
            <w:tcW w:w="2801" w:type="dxa"/>
          </w:tcPr>
          <w:p w14:paraId="514064A6" w14:textId="77777777" w:rsidR="008328EC" w:rsidRPr="00863EC6" w:rsidRDefault="008328EC" w:rsidP="001B27EA">
            <w:pPr>
              <w:rPr>
                <w:sz w:val="20"/>
                <w:szCs w:val="20"/>
              </w:rPr>
            </w:pPr>
            <w:r w:rsidRPr="00863EC6">
              <w:rPr>
                <w:sz w:val="20"/>
                <w:szCs w:val="20"/>
              </w:rPr>
              <w:t>Charged in year</w:t>
            </w:r>
          </w:p>
        </w:tc>
        <w:tc>
          <w:tcPr>
            <w:tcW w:w="1701" w:type="dxa"/>
          </w:tcPr>
          <w:p w14:paraId="2E621078" w14:textId="77777777" w:rsidR="008328EC" w:rsidRPr="00863EC6" w:rsidRDefault="00065202" w:rsidP="00065202">
            <w:pPr>
              <w:jc w:val="center"/>
              <w:rPr>
                <w:sz w:val="20"/>
                <w:szCs w:val="20"/>
              </w:rPr>
            </w:pPr>
            <w:r>
              <w:rPr>
                <w:sz w:val="20"/>
                <w:szCs w:val="20"/>
              </w:rPr>
              <w:t xml:space="preserve">         </w:t>
            </w:r>
            <w:r w:rsidR="007B1A0B">
              <w:rPr>
                <w:sz w:val="20"/>
                <w:szCs w:val="20"/>
              </w:rPr>
              <w:t>61,178</w:t>
            </w:r>
          </w:p>
        </w:tc>
        <w:tc>
          <w:tcPr>
            <w:tcW w:w="1417" w:type="dxa"/>
          </w:tcPr>
          <w:p w14:paraId="031E8F1C" w14:textId="77777777" w:rsidR="008328EC" w:rsidRPr="00863EC6" w:rsidRDefault="008328EC" w:rsidP="001B27EA">
            <w:pPr>
              <w:jc w:val="right"/>
              <w:rPr>
                <w:sz w:val="20"/>
                <w:szCs w:val="20"/>
              </w:rPr>
            </w:pPr>
            <w:r>
              <w:rPr>
                <w:sz w:val="20"/>
                <w:szCs w:val="20"/>
              </w:rPr>
              <w:t>3,777</w:t>
            </w:r>
          </w:p>
        </w:tc>
        <w:tc>
          <w:tcPr>
            <w:tcW w:w="1452" w:type="dxa"/>
          </w:tcPr>
          <w:p w14:paraId="4664CB89" w14:textId="77777777" w:rsidR="008328EC" w:rsidRPr="00863EC6" w:rsidRDefault="00065202" w:rsidP="00065202">
            <w:pPr>
              <w:jc w:val="center"/>
              <w:rPr>
                <w:sz w:val="20"/>
                <w:szCs w:val="20"/>
              </w:rPr>
            </w:pPr>
            <w:r>
              <w:rPr>
                <w:sz w:val="20"/>
                <w:szCs w:val="20"/>
              </w:rPr>
              <w:t xml:space="preserve">      </w:t>
            </w:r>
            <w:r w:rsidR="008328EC">
              <w:rPr>
                <w:sz w:val="20"/>
                <w:szCs w:val="20"/>
              </w:rPr>
              <w:t>8,956</w:t>
            </w:r>
          </w:p>
        </w:tc>
        <w:tc>
          <w:tcPr>
            <w:tcW w:w="1275" w:type="dxa"/>
          </w:tcPr>
          <w:p w14:paraId="23E1209D" w14:textId="77777777" w:rsidR="008328EC" w:rsidRPr="00863EC6" w:rsidRDefault="008328EC" w:rsidP="001B27EA">
            <w:pPr>
              <w:jc w:val="right"/>
              <w:rPr>
                <w:sz w:val="20"/>
                <w:szCs w:val="20"/>
              </w:rPr>
            </w:pPr>
            <w:r>
              <w:rPr>
                <w:sz w:val="20"/>
                <w:szCs w:val="20"/>
              </w:rPr>
              <w:t>0</w:t>
            </w:r>
          </w:p>
        </w:tc>
        <w:tc>
          <w:tcPr>
            <w:tcW w:w="1454" w:type="dxa"/>
          </w:tcPr>
          <w:p w14:paraId="0EACE95A" w14:textId="77777777" w:rsidR="008328EC" w:rsidRPr="00863EC6" w:rsidRDefault="00065202" w:rsidP="00065202">
            <w:pPr>
              <w:jc w:val="center"/>
              <w:rPr>
                <w:sz w:val="20"/>
                <w:szCs w:val="20"/>
              </w:rPr>
            </w:pPr>
            <w:r>
              <w:rPr>
                <w:sz w:val="20"/>
                <w:szCs w:val="20"/>
              </w:rPr>
              <w:t xml:space="preserve">      </w:t>
            </w:r>
            <w:r w:rsidR="007B1A0B">
              <w:rPr>
                <w:sz w:val="20"/>
                <w:szCs w:val="20"/>
              </w:rPr>
              <w:t>73,911</w:t>
            </w:r>
          </w:p>
        </w:tc>
      </w:tr>
      <w:tr w:rsidR="008328EC" w14:paraId="30CFC4FC" w14:textId="77777777" w:rsidTr="00065202">
        <w:tc>
          <w:tcPr>
            <w:tcW w:w="2801" w:type="dxa"/>
          </w:tcPr>
          <w:p w14:paraId="5A11BB14" w14:textId="77777777" w:rsidR="008328EC" w:rsidRPr="00F82840" w:rsidRDefault="008328EC" w:rsidP="001B27EA">
            <w:pPr>
              <w:rPr>
                <w:sz w:val="20"/>
                <w:szCs w:val="20"/>
              </w:rPr>
            </w:pPr>
            <w:r>
              <w:rPr>
                <w:sz w:val="20"/>
                <w:szCs w:val="20"/>
              </w:rPr>
              <w:t>Disposals</w:t>
            </w:r>
          </w:p>
        </w:tc>
        <w:tc>
          <w:tcPr>
            <w:tcW w:w="1701" w:type="dxa"/>
          </w:tcPr>
          <w:p w14:paraId="7542E04E" w14:textId="77777777" w:rsidR="008328EC" w:rsidRDefault="008328EC" w:rsidP="001B27EA">
            <w:pPr>
              <w:jc w:val="right"/>
              <w:rPr>
                <w:sz w:val="20"/>
                <w:szCs w:val="20"/>
              </w:rPr>
            </w:pPr>
            <w:r>
              <w:rPr>
                <w:sz w:val="20"/>
                <w:szCs w:val="20"/>
              </w:rPr>
              <w:t>(194,323)</w:t>
            </w:r>
          </w:p>
        </w:tc>
        <w:tc>
          <w:tcPr>
            <w:tcW w:w="1417" w:type="dxa"/>
          </w:tcPr>
          <w:p w14:paraId="21A3FBB6" w14:textId="77777777" w:rsidR="008328EC" w:rsidRPr="00F82840" w:rsidRDefault="008328EC" w:rsidP="001B27EA">
            <w:pPr>
              <w:jc w:val="right"/>
              <w:rPr>
                <w:sz w:val="20"/>
                <w:szCs w:val="20"/>
              </w:rPr>
            </w:pPr>
            <w:r>
              <w:rPr>
                <w:sz w:val="20"/>
                <w:szCs w:val="20"/>
              </w:rPr>
              <w:t>0</w:t>
            </w:r>
          </w:p>
        </w:tc>
        <w:tc>
          <w:tcPr>
            <w:tcW w:w="1452" w:type="dxa"/>
          </w:tcPr>
          <w:p w14:paraId="2AFC33D5" w14:textId="77777777" w:rsidR="008328EC" w:rsidRPr="00F82840" w:rsidRDefault="00065202" w:rsidP="00065202">
            <w:pPr>
              <w:jc w:val="center"/>
              <w:rPr>
                <w:sz w:val="20"/>
                <w:szCs w:val="20"/>
              </w:rPr>
            </w:pPr>
            <w:r>
              <w:rPr>
                <w:sz w:val="20"/>
                <w:szCs w:val="20"/>
              </w:rPr>
              <w:t xml:space="preserve">  </w:t>
            </w:r>
            <w:r w:rsidR="008328EC">
              <w:rPr>
                <w:sz w:val="20"/>
                <w:szCs w:val="20"/>
              </w:rPr>
              <w:t>(160,376)</w:t>
            </w:r>
          </w:p>
        </w:tc>
        <w:tc>
          <w:tcPr>
            <w:tcW w:w="1275" w:type="dxa"/>
          </w:tcPr>
          <w:p w14:paraId="285D4D7E" w14:textId="77777777" w:rsidR="008328EC" w:rsidRDefault="008328EC" w:rsidP="001B27EA">
            <w:pPr>
              <w:jc w:val="right"/>
              <w:rPr>
                <w:sz w:val="20"/>
                <w:szCs w:val="20"/>
              </w:rPr>
            </w:pPr>
            <w:r>
              <w:rPr>
                <w:sz w:val="20"/>
                <w:szCs w:val="20"/>
              </w:rPr>
              <w:t>0</w:t>
            </w:r>
          </w:p>
        </w:tc>
        <w:tc>
          <w:tcPr>
            <w:tcW w:w="1454" w:type="dxa"/>
          </w:tcPr>
          <w:p w14:paraId="1E72AFD2" w14:textId="77777777" w:rsidR="008328EC" w:rsidRDefault="008328EC" w:rsidP="001B27EA">
            <w:pPr>
              <w:jc w:val="right"/>
              <w:rPr>
                <w:sz w:val="20"/>
                <w:szCs w:val="20"/>
              </w:rPr>
            </w:pPr>
            <w:r>
              <w:rPr>
                <w:sz w:val="20"/>
                <w:szCs w:val="20"/>
              </w:rPr>
              <w:t>(354,699)</w:t>
            </w:r>
          </w:p>
        </w:tc>
      </w:tr>
      <w:tr w:rsidR="008328EC" w14:paraId="163AB04F" w14:textId="77777777" w:rsidTr="00065202">
        <w:tc>
          <w:tcPr>
            <w:tcW w:w="2801" w:type="dxa"/>
          </w:tcPr>
          <w:p w14:paraId="2DC4CC24" w14:textId="77777777" w:rsidR="008328EC" w:rsidRPr="00F82840" w:rsidRDefault="008328EC" w:rsidP="00F130A1">
            <w:pPr>
              <w:rPr>
                <w:sz w:val="20"/>
                <w:szCs w:val="20"/>
              </w:rPr>
            </w:pPr>
          </w:p>
        </w:tc>
        <w:tc>
          <w:tcPr>
            <w:tcW w:w="1701" w:type="dxa"/>
          </w:tcPr>
          <w:p w14:paraId="71D85DB0" w14:textId="77777777" w:rsidR="008328EC" w:rsidRDefault="008328EC" w:rsidP="00ED3445">
            <w:pPr>
              <w:rPr>
                <w:sz w:val="20"/>
                <w:szCs w:val="20"/>
              </w:rPr>
            </w:pPr>
          </w:p>
        </w:tc>
        <w:tc>
          <w:tcPr>
            <w:tcW w:w="1417" w:type="dxa"/>
          </w:tcPr>
          <w:p w14:paraId="148F1643" w14:textId="77777777" w:rsidR="008328EC" w:rsidRDefault="008328EC" w:rsidP="00ED3445">
            <w:pPr>
              <w:rPr>
                <w:sz w:val="20"/>
                <w:szCs w:val="20"/>
              </w:rPr>
            </w:pPr>
          </w:p>
        </w:tc>
        <w:tc>
          <w:tcPr>
            <w:tcW w:w="1452" w:type="dxa"/>
          </w:tcPr>
          <w:p w14:paraId="5055BC6A" w14:textId="77777777" w:rsidR="008328EC" w:rsidRDefault="008328EC" w:rsidP="00ED3445">
            <w:pPr>
              <w:rPr>
                <w:sz w:val="20"/>
                <w:szCs w:val="20"/>
              </w:rPr>
            </w:pPr>
          </w:p>
        </w:tc>
        <w:tc>
          <w:tcPr>
            <w:tcW w:w="1275" w:type="dxa"/>
          </w:tcPr>
          <w:p w14:paraId="042A1191" w14:textId="77777777" w:rsidR="008328EC" w:rsidRDefault="008328EC" w:rsidP="00ED3445">
            <w:pPr>
              <w:rPr>
                <w:sz w:val="20"/>
                <w:szCs w:val="20"/>
              </w:rPr>
            </w:pPr>
          </w:p>
        </w:tc>
        <w:tc>
          <w:tcPr>
            <w:tcW w:w="1454" w:type="dxa"/>
          </w:tcPr>
          <w:p w14:paraId="5CF0A018" w14:textId="77777777" w:rsidR="008328EC" w:rsidRDefault="008328EC" w:rsidP="00ED3445">
            <w:pPr>
              <w:rPr>
                <w:sz w:val="20"/>
                <w:szCs w:val="20"/>
              </w:rPr>
            </w:pPr>
          </w:p>
        </w:tc>
      </w:tr>
      <w:tr w:rsidR="008328EC" w:rsidRPr="00F82840" w14:paraId="55C77E9B" w14:textId="77777777" w:rsidTr="00065202">
        <w:tc>
          <w:tcPr>
            <w:tcW w:w="2801" w:type="dxa"/>
          </w:tcPr>
          <w:p w14:paraId="648A7647" w14:textId="77777777" w:rsidR="008328EC" w:rsidRPr="00F82840" w:rsidRDefault="008328EC" w:rsidP="001B27EA">
            <w:pPr>
              <w:rPr>
                <w:sz w:val="20"/>
                <w:szCs w:val="20"/>
              </w:rPr>
            </w:pPr>
            <w:r w:rsidRPr="00F82840">
              <w:rPr>
                <w:sz w:val="20"/>
                <w:szCs w:val="20"/>
              </w:rPr>
              <w:t xml:space="preserve">At </w:t>
            </w:r>
            <w:r>
              <w:rPr>
                <w:sz w:val="20"/>
                <w:szCs w:val="20"/>
              </w:rPr>
              <w:t>31 March 2021</w:t>
            </w:r>
          </w:p>
        </w:tc>
        <w:tc>
          <w:tcPr>
            <w:tcW w:w="1701" w:type="dxa"/>
            <w:tcBorders>
              <w:top w:val="single" w:sz="4" w:space="0" w:color="auto"/>
              <w:bottom w:val="single" w:sz="4" w:space="0" w:color="auto"/>
            </w:tcBorders>
          </w:tcPr>
          <w:p w14:paraId="2EE868BF" w14:textId="77777777" w:rsidR="008328EC" w:rsidRPr="00F82840" w:rsidRDefault="00065202" w:rsidP="00065202">
            <w:pPr>
              <w:jc w:val="center"/>
              <w:rPr>
                <w:sz w:val="20"/>
                <w:szCs w:val="20"/>
              </w:rPr>
            </w:pPr>
            <w:r>
              <w:rPr>
                <w:sz w:val="20"/>
                <w:szCs w:val="20"/>
              </w:rPr>
              <w:t xml:space="preserve">        </w:t>
            </w:r>
            <w:r w:rsidR="007B1A0B">
              <w:rPr>
                <w:sz w:val="20"/>
                <w:szCs w:val="20"/>
              </w:rPr>
              <w:t>59,959</w:t>
            </w:r>
          </w:p>
        </w:tc>
        <w:tc>
          <w:tcPr>
            <w:tcW w:w="1417" w:type="dxa"/>
            <w:tcBorders>
              <w:top w:val="single" w:sz="4" w:space="0" w:color="auto"/>
              <w:bottom w:val="single" w:sz="4" w:space="0" w:color="auto"/>
            </w:tcBorders>
          </w:tcPr>
          <w:p w14:paraId="250730E5" w14:textId="77777777" w:rsidR="008328EC" w:rsidRPr="00F82840" w:rsidRDefault="008328EC" w:rsidP="001B27EA">
            <w:pPr>
              <w:jc w:val="right"/>
              <w:rPr>
                <w:sz w:val="20"/>
                <w:szCs w:val="20"/>
              </w:rPr>
            </w:pPr>
            <w:r>
              <w:rPr>
                <w:sz w:val="20"/>
                <w:szCs w:val="20"/>
              </w:rPr>
              <w:t>68,862</w:t>
            </w:r>
          </w:p>
        </w:tc>
        <w:tc>
          <w:tcPr>
            <w:tcW w:w="1452" w:type="dxa"/>
            <w:tcBorders>
              <w:top w:val="single" w:sz="4" w:space="0" w:color="auto"/>
              <w:bottom w:val="single" w:sz="4" w:space="0" w:color="auto"/>
            </w:tcBorders>
          </w:tcPr>
          <w:p w14:paraId="1FEB7BF0" w14:textId="77777777" w:rsidR="008328EC" w:rsidRPr="00F82840" w:rsidRDefault="00065202" w:rsidP="00065202">
            <w:pPr>
              <w:jc w:val="center"/>
              <w:rPr>
                <w:sz w:val="20"/>
                <w:szCs w:val="20"/>
              </w:rPr>
            </w:pPr>
            <w:r>
              <w:rPr>
                <w:sz w:val="20"/>
                <w:szCs w:val="20"/>
              </w:rPr>
              <w:t xml:space="preserve">    </w:t>
            </w:r>
            <w:r w:rsidR="008328EC">
              <w:rPr>
                <w:sz w:val="20"/>
                <w:szCs w:val="20"/>
              </w:rPr>
              <w:t>11,430</w:t>
            </w:r>
          </w:p>
        </w:tc>
        <w:tc>
          <w:tcPr>
            <w:tcW w:w="1275" w:type="dxa"/>
            <w:tcBorders>
              <w:top w:val="single" w:sz="4" w:space="0" w:color="auto"/>
              <w:bottom w:val="single" w:sz="4" w:space="0" w:color="auto"/>
            </w:tcBorders>
          </w:tcPr>
          <w:p w14:paraId="27FE6940" w14:textId="77777777" w:rsidR="008328EC" w:rsidRPr="00F82840" w:rsidRDefault="008328EC" w:rsidP="001B27EA">
            <w:pPr>
              <w:jc w:val="right"/>
              <w:rPr>
                <w:sz w:val="20"/>
                <w:szCs w:val="20"/>
              </w:rPr>
            </w:pPr>
            <w:r>
              <w:rPr>
                <w:sz w:val="20"/>
                <w:szCs w:val="20"/>
              </w:rPr>
              <w:t>0</w:t>
            </w:r>
          </w:p>
        </w:tc>
        <w:tc>
          <w:tcPr>
            <w:tcW w:w="1454" w:type="dxa"/>
            <w:tcBorders>
              <w:top w:val="single" w:sz="4" w:space="0" w:color="auto"/>
              <w:bottom w:val="single" w:sz="4" w:space="0" w:color="auto"/>
            </w:tcBorders>
          </w:tcPr>
          <w:p w14:paraId="66188587" w14:textId="77777777" w:rsidR="008328EC" w:rsidRPr="00F82840" w:rsidRDefault="00065202" w:rsidP="00065202">
            <w:pPr>
              <w:jc w:val="center"/>
              <w:rPr>
                <w:sz w:val="20"/>
                <w:szCs w:val="20"/>
              </w:rPr>
            </w:pPr>
            <w:r>
              <w:rPr>
                <w:sz w:val="20"/>
                <w:szCs w:val="20"/>
              </w:rPr>
              <w:t xml:space="preserve">    </w:t>
            </w:r>
            <w:r w:rsidR="007B1A0B">
              <w:rPr>
                <w:sz w:val="20"/>
                <w:szCs w:val="20"/>
              </w:rPr>
              <w:t>140,251</w:t>
            </w:r>
          </w:p>
        </w:tc>
      </w:tr>
      <w:tr w:rsidR="008328EC" w:rsidRPr="00F82840" w14:paraId="2611D8B6" w14:textId="77777777" w:rsidTr="00065202">
        <w:tc>
          <w:tcPr>
            <w:tcW w:w="2801" w:type="dxa"/>
          </w:tcPr>
          <w:p w14:paraId="6150F618" w14:textId="77777777" w:rsidR="008328EC" w:rsidRPr="00F82840" w:rsidRDefault="008328EC" w:rsidP="001B27EA">
            <w:pPr>
              <w:rPr>
                <w:sz w:val="20"/>
                <w:szCs w:val="20"/>
              </w:rPr>
            </w:pPr>
          </w:p>
          <w:p w14:paraId="79FDE53C" w14:textId="77777777" w:rsidR="008328EC" w:rsidRPr="00F82840" w:rsidRDefault="008328EC" w:rsidP="001B27EA">
            <w:pPr>
              <w:rPr>
                <w:sz w:val="20"/>
                <w:szCs w:val="20"/>
              </w:rPr>
            </w:pPr>
            <w:r w:rsidRPr="00F82840">
              <w:rPr>
                <w:sz w:val="20"/>
                <w:szCs w:val="20"/>
              </w:rPr>
              <w:t xml:space="preserve">Net book value at </w:t>
            </w:r>
            <w:r>
              <w:rPr>
                <w:sz w:val="20"/>
                <w:szCs w:val="20"/>
              </w:rPr>
              <w:t>31 March 2021</w:t>
            </w:r>
          </w:p>
        </w:tc>
        <w:tc>
          <w:tcPr>
            <w:tcW w:w="1701" w:type="dxa"/>
            <w:tcBorders>
              <w:top w:val="single" w:sz="4" w:space="0" w:color="auto"/>
              <w:bottom w:val="single" w:sz="4" w:space="0" w:color="auto"/>
            </w:tcBorders>
          </w:tcPr>
          <w:p w14:paraId="1C502BEE" w14:textId="77777777" w:rsidR="008328EC" w:rsidRDefault="008328EC" w:rsidP="001B27EA">
            <w:pPr>
              <w:jc w:val="right"/>
              <w:rPr>
                <w:sz w:val="20"/>
                <w:szCs w:val="20"/>
              </w:rPr>
            </w:pPr>
          </w:p>
          <w:p w14:paraId="4AB20A20" w14:textId="77777777" w:rsidR="008328EC" w:rsidRDefault="008328EC" w:rsidP="001B27EA">
            <w:pPr>
              <w:jc w:val="right"/>
              <w:rPr>
                <w:sz w:val="20"/>
                <w:szCs w:val="20"/>
              </w:rPr>
            </w:pPr>
          </w:p>
          <w:p w14:paraId="2B3B3E19" w14:textId="77777777" w:rsidR="008328EC" w:rsidRPr="00F82840" w:rsidRDefault="00065202" w:rsidP="00065202">
            <w:pPr>
              <w:jc w:val="center"/>
              <w:rPr>
                <w:sz w:val="20"/>
                <w:szCs w:val="20"/>
              </w:rPr>
            </w:pPr>
            <w:r>
              <w:rPr>
                <w:sz w:val="20"/>
                <w:szCs w:val="20"/>
              </w:rPr>
              <w:t xml:space="preserve">       </w:t>
            </w:r>
            <w:r w:rsidR="007B1A0B">
              <w:rPr>
                <w:sz w:val="20"/>
                <w:szCs w:val="20"/>
              </w:rPr>
              <w:t>490,076</w:t>
            </w:r>
          </w:p>
        </w:tc>
        <w:tc>
          <w:tcPr>
            <w:tcW w:w="1417" w:type="dxa"/>
            <w:tcBorders>
              <w:top w:val="single" w:sz="4" w:space="0" w:color="auto"/>
              <w:bottom w:val="single" w:sz="4" w:space="0" w:color="auto"/>
            </w:tcBorders>
          </w:tcPr>
          <w:p w14:paraId="1ACA2212" w14:textId="77777777" w:rsidR="008328EC" w:rsidRDefault="008328EC" w:rsidP="001B27EA">
            <w:pPr>
              <w:jc w:val="right"/>
              <w:rPr>
                <w:sz w:val="20"/>
                <w:szCs w:val="20"/>
              </w:rPr>
            </w:pPr>
          </w:p>
          <w:p w14:paraId="5789CFF9" w14:textId="77777777" w:rsidR="008328EC" w:rsidRDefault="008328EC" w:rsidP="001B27EA">
            <w:pPr>
              <w:jc w:val="right"/>
              <w:rPr>
                <w:sz w:val="20"/>
                <w:szCs w:val="20"/>
              </w:rPr>
            </w:pPr>
          </w:p>
          <w:p w14:paraId="5CFC6F94" w14:textId="77777777" w:rsidR="008328EC" w:rsidRPr="00F82840" w:rsidRDefault="008328EC" w:rsidP="00963912">
            <w:pPr>
              <w:jc w:val="right"/>
              <w:rPr>
                <w:sz w:val="20"/>
                <w:szCs w:val="20"/>
              </w:rPr>
            </w:pPr>
            <w:r>
              <w:rPr>
                <w:sz w:val="20"/>
                <w:szCs w:val="20"/>
              </w:rPr>
              <w:t>11,659</w:t>
            </w:r>
          </w:p>
        </w:tc>
        <w:tc>
          <w:tcPr>
            <w:tcW w:w="1452" w:type="dxa"/>
            <w:tcBorders>
              <w:top w:val="single" w:sz="4" w:space="0" w:color="auto"/>
              <w:bottom w:val="single" w:sz="4" w:space="0" w:color="auto"/>
            </w:tcBorders>
          </w:tcPr>
          <w:p w14:paraId="5B515EB9" w14:textId="77777777" w:rsidR="008328EC" w:rsidRDefault="008328EC" w:rsidP="001B27EA">
            <w:pPr>
              <w:jc w:val="right"/>
              <w:rPr>
                <w:sz w:val="20"/>
                <w:szCs w:val="20"/>
              </w:rPr>
            </w:pPr>
          </w:p>
          <w:p w14:paraId="5BABD6DE" w14:textId="77777777" w:rsidR="008328EC" w:rsidRDefault="008328EC" w:rsidP="001B27EA">
            <w:pPr>
              <w:jc w:val="right"/>
              <w:rPr>
                <w:sz w:val="20"/>
                <w:szCs w:val="20"/>
              </w:rPr>
            </w:pPr>
          </w:p>
          <w:p w14:paraId="6A5EDF8F" w14:textId="77777777" w:rsidR="008328EC" w:rsidRPr="00F82840" w:rsidRDefault="00065202" w:rsidP="00065202">
            <w:pPr>
              <w:jc w:val="center"/>
              <w:rPr>
                <w:sz w:val="20"/>
                <w:szCs w:val="20"/>
              </w:rPr>
            </w:pPr>
            <w:r>
              <w:rPr>
                <w:sz w:val="20"/>
                <w:szCs w:val="20"/>
              </w:rPr>
              <w:t xml:space="preserve">    </w:t>
            </w:r>
            <w:r w:rsidR="008328EC">
              <w:rPr>
                <w:sz w:val="20"/>
                <w:szCs w:val="20"/>
              </w:rPr>
              <w:t>81,963</w:t>
            </w:r>
          </w:p>
        </w:tc>
        <w:tc>
          <w:tcPr>
            <w:tcW w:w="1275" w:type="dxa"/>
            <w:tcBorders>
              <w:top w:val="single" w:sz="4" w:space="0" w:color="auto"/>
              <w:bottom w:val="single" w:sz="4" w:space="0" w:color="auto"/>
            </w:tcBorders>
          </w:tcPr>
          <w:p w14:paraId="54B353C7" w14:textId="77777777" w:rsidR="008328EC" w:rsidRDefault="008328EC" w:rsidP="001B27EA">
            <w:pPr>
              <w:jc w:val="right"/>
              <w:rPr>
                <w:sz w:val="20"/>
                <w:szCs w:val="20"/>
              </w:rPr>
            </w:pPr>
          </w:p>
          <w:p w14:paraId="7EA1E988" w14:textId="77777777" w:rsidR="008328EC" w:rsidRDefault="008328EC" w:rsidP="001B27EA">
            <w:pPr>
              <w:jc w:val="right"/>
              <w:rPr>
                <w:sz w:val="20"/>
                <w:szCs w:val="20"/>
              </w:rPr>
            </w:pPr>
          </w:p>
          <w:p w14:paraId="24890A5B" w14:textId="77777777" w:rsidR="008328EC" w:rsidRPr="00F82840" w:rsidRDefault="008328EC" w:rsidP="001B27EA">
            <w:pPr>
              <w:jc w:val="right"/>
              <w:rPr>
                <w:sz w:val="20"/>
                <w:szCs w:val="20"/>
              </w:rPr>
            </w:pPr>
            <w:r>
              <w:rPr>
                <w:sz w:val="20"/>
                <w:szCs w:val="20"/>
              </w:rPr>
              <w:t>0</w:t>
            </w:r>
          </w:p>
        </w:tc>
        <w:tc>
          <w:tcPr>
            <w:tcW w:w="1454" w:type="dxa"/>
            <w:tcBorders>
              <w:top w:val="single" w:sz="4" w:space="0" w:color="auto"/>
              <w:bottom w:val="single" w:sz="4" w:space="0" w:color="auto"/>
            </w:tcBorders>
          </w:tcPr>
          <w:p w14:paraId="385F19F4" w14:textId="77777777" w:rsidR="008328EC" w:rsidRDefault="008328EC" w:rsidP="001B27EA">
            <w:pPr>
              <w:jc w:val="right"/>
              <w:rPr>
                <w:sz w:val="20"/>
                <w:szCs w:val="20"/>
              </w:rPr>
            </w:pPr>
          </w:p>
          <w:p w14:paraId="337377C3" w14:textId="77777777" w:rsidR="008328EC" w:rsidRDefault="008328EC" w:rsidP="001B27EA">
            <w:pPr>
              <w:jc w:val="right"/>
              <w:rPr>
                <w:sz w:val="20"/>
                <w:szCs w:val="20"/>
              </w:rPr>
            </w:pPr>
          </w:p>
          <w:p w14:paraId="6FC650AC" w14:textId="77777777" w:rsidR="008328EC" w:rsidRPr="00F82840" w:rsidRDefault="00065202" w:rsidP="007B1A0B">
            <w:pPr>
              <w:jc w:val="center"/>
              <w:rPr>
                <w:sz w:val="20"/>
                <w:szCs w:val="20"/>
              </w:rPr>
            </w:pPr>
            <w:r>
              <w:rPr>
                <w:sz w:val="20"/>
                <w:szCs w:val="20"/>
              </w:rPr>
              <w:t xml:space="preserve">     </w:t>
            </w:r>
            <w:r w:rsidR="007B1A0B">
              <w:rPr>
                <w:sz w:val="20"/>
                <w:szCs w:val="20"/>
              </w:rPr>
              <w:t>583,698</w:t>
            </w:r>
          </w:p>
        </w:tc>
      </w:tr>
      <w:tr w:rsidR="008328EC" w:rsidRPr="00F82840" w14:paraId="2A2E53D1" w14:textId="77777777" w:rsidTr="00065202">
        <w:tc>
          <w:tcPr>
            <w:tcW w:w="2801" w:type="dxa"/>
          </w:tcPr>
          <w:p w14:paraId="15B38C45" w14:textId="77777777" w:rsidR="008328EC" w:rsidRPr="00F82840" w:rsidRDefault="008328EC" w:rsidP="001B27EA">
            <w:pPr>
              <w:rPr>
                <w:sz w:val="20"/>
                <w:szCs w:val="20"/>
              </w:rPr>
            </w:pPr>
          </w:p>
          <w:p w14:paraId="2418F7DA" w14:textId="77777777" w:rsidR="008328EC" w:rsidRPr="00F82840" w:rsidRDefault="008328EC" w:rsidP="001B27EA">
            <w:pPr>
              <w:rPr>
                <w:sz w:val="20"/>
                <w:szCs w:val="20"/>
              </w:rPr>
            </w:pPr>
            <w:r>
              <w:rPr>
                <w:sz w:val="20"/>
                <w:szCs w:val="20"/>
              </w:rPr>
              <w:t>Net book value at 31 March 2020</w:t>
            </w:r>
          </w:p>
        </w:tc>
        <w:tc>
          <w:tcPr>
            <w:tcW w:w="1701" w:type="dxa"/>
            <w:tcBorders>
              <w:top w:val="single" w:sz="4" w:space="0" w:color="auto"/>
              <w:bottom w:val="single" w:sz="4" w:space="0" w:color="auto"/>
            </w:tcBorders>
          </w:tcPr>
          <w:p w14:paraId="6CE9364B" w14:textId="77777777" w:rsidR="008328EC" w:rsidRDefault="008328EC" w:rsidP="001B27EA">
            <w:pPr>
              <w:jc w:val="right"/>
              <w:rPr>
                <w:sz w:val="20"/>
                <w:szCs w:val="20"/>
              </w:rPr>
            </w:pPr>
          </w:p>
          <w:p w14:paraId="49D4BBC1" w14:textId="77777777" w:rsidR="008328EC" w:rsidRDefault="008328EC" w:rsidP="001B27EA">
            <w:pPr>
              <w:jc w:val="right"/>
              <w:rPr>
                <w:sz w:val="20"/>
                <w:szCs w:val="20"/>
              </w:rPr>
            </w:pPr>
          </w:p>
          <w:p w14:paraId="0133B328" w14:textId="77777777" w:rsidR="008328EC" w:rsidRPr="00F82840" w:rsidRDefault="00065202" w:rsidP="00065202">
            <w:pPr>
              <w:jc w:val="center"/>
              <w:rPr>
                <w:sz w:val="20"/>
                <w:szCs w:val="20"/>
              </w:rPr>
            </w:pPr>
            <w:r>
              <w:rPr>
                <w:sz w:val="20"/>
                <w:szCs w:val="20"/>
              </w:rPr>
              <w:t xml:space="preserve">          </w:t>
            </w:r>
            <w:r w:rsidR="008328EC">
              <w:rPr>
                <w:sz w:val="20"/>
                <w:szCs w:val="20"/>
              </w:rPr>
              <w:t>1,219</w:t>
            </w:r>
          </w:p>
        </w:tc>
        <w:tc>
          <w:tcPr>
            <w:tcW w:w="1417" w:type="dxa"/>
            <w:tcBorders>
              <w:top w:val="single" w:sz="4" w:space="0" w:color="auto"/>
              <w:bottom w:val="single" w:sz="4" w:space="0" w:color="auto"/>
            </w:tcBorders>
          </w:tcPr>
          <w:p w14:paraId="376CC96B" w14:textId="77777777" w:rsidR="008328EC" w:rsidRDefault="008328EC" w:rsidP="001B27EA">
            <w:pPr>
              <w:jc w:val="right"/>
              <w:rPr>
                <w:sz w:val="20"/>
                <w:szCs w:val="20"/>
              </w:rPr>
            </w:pPr>
          </w:p>
          <w:p w14:paraId="6377D713" w14:textId="77777777" w:rsidR="008328EC" w:rsidRDefault="008328EC" w:rsidP="001B27EA">
            <w:pPr>
              <w:jc w:val="right"/>
              <w:rPr>
                <w:sz w:val="20"/>
                <w:szCs w:val="20"/>
              </w:rPr>
            </w:pPr>
          </w:p>
          <w:p w14:paraId="0782EAF8" w14:textId="77777777" w:rsidR="008328EC" w:rsidRPr="00F82840" w:rsidRDefault="008328EC" w:rsidP="001B27EA">
            <w:pPr>
              <w:jc w:val="right"/>
              <w:rPr>
                <w:sz w:val="20"/>
                <w:szCs w:val="20"/>
              </w:rPr>
            </w:pPr>
            <w:r>
              <w:rPr>
                <w:sz w:val="20"/>
                <w:szCs w:val="20"/>
              </w:rPr>
              <w:t>10,864</w:t>
            </w:r>
          </w:p>
        </w:tc>
        <w:tc>
          <w:tcPr>
            <w:tcW w:w="1452" w:type="dxa"/>
            <w:tcBorders>
              <w:top w:val="single" w:sz="4" w:space="0" w:color="auto"/>
              <w:bottom w:val="single" w:sz="4" w:space="0" w:color="auto"/>
            </w:tcBorders>
          </w:tcPr>
          <w:p w14:paraId="447CD142" w14:textId="77777777" w:rsidR="008328EC" w:rsidRDefault="008328EC" w:rsidP="001B27EA">
            <w:pPr>
              <w:jc w:val="right"/>
              <w:rPr>
                <w:sz w:val="20"/>
                <w:szCs w:val="20"/>
              </w:rPr>
            </w:pPr>
          </w:p>
          <w:p w14:paraId="0374AE6B" w14:textId="77777777" w:rsidR="008328EC" w:rsidRDefault="008328EC" w:rsidP="001B27EA">
            <w:pPr>
              <w:jc w:val="right"/>
              <w:rPr>
                <w:sz w:val="20"/>
                <w:szCs w:val="20"/>
              </w:rPr>
            </w:pPr>
          </w:p>
          <w:p w14:paraId="2E53DF64" w14:textId="77777777" w:rsidR="008328EC" w:rsidRPr="00F82840" w:rsidRDefault="00065202" w:rsidP="00065202">
            <w:pPr>
              <w:jc w:val="center"/>
              <w:rPr>
                <w:sz w:val="20"/>
                <w:szCs w:val="20"/>
              </w:rPr>
            </w:pPr>
            <w:r>
              <w:rPr>
                <w:sz w:val="20"/>
                <w:szCs w:val="20"/>
              </w:rPr>
              <w:t xml:space="preserve">     </w:t>
            </w:r>
            <w:r w:rsidR="008328EC">
              <w:rPr>
                <w:sz w:val="20"/>
                <w:szCs w:val="20"/>
              </w:rPr>
              <w:t>6,066</w:t>
            </w:r>
          </w:p>
        </w:tc>
        <w:tc>
          <w:tcPr>
            <w:tcW w:w="1275" w:type="dxa"/>
            <w:tcBorders>
              <w:top w:val="single" w:sz="4" w:space="0" w:color="auto"/>
              <w:bottom w:val="single" w:sz="4" w:space="0" w:color="auto"/>
            </w:tcBorders>
          </w:tcPr>
          <w:p w14:paraId="62ADD2B9" w14:textId="77777777" w:rsidR="008328EC" w:rsidRDefault="008328EC" w:rsidP="001B27EA">
            <w:pPr>
              <w:jc w:val="right"/>
              <w:rPr>
                <w:sz w:val="20"/>
                <w:szCs w:val="20"/>
              </w:rPr>
            </w:pPr>
          </w:p>
          <w:p w14:paraId="4179E36A" w14:textId="77777777" w:rsidR="008328EC" w:rsidRDefault="008328EC" w:rsidP="001B27EA">
            <w:pPr>
              <w:jc w:val="right"/>
              <w:rPr>
                <w:sz w:val="20"/>
                <w:szCs w:val="20"/>
              </w:rPr>
            </w:pPr>
          </w:p>
          <w:p w14:paraId="7C163C09" w14:textId="77777777" w:rsidR="008328EC" w:rsidRPr="00F82840" w:rsidRDefault="008328EC" w:rsidP="001B27EA">
            <w:pPr>
              <w:jc w:val="right"/>
              <w:rPr>
                <w:sz w:val="20"/>
                <w:szCs w:val="20"/>
              </w:rPr>
            </w:pPr>
            <w:r>
              <w:rPr>
                <w:sz w:val="20"/>
                <w:szCs w:val="20"/>
              </w:rPr>
              <w:t>35,648</w:t>
            </w:r>
          </w:p>
        </w:tc>
        <w:tc>
          <w:tcPr>
            <w:tcW w:w="1454" w:type="dxa"/>
            <w:tcBorders>
              <w:top w:val="single" w:sz="4" w:space="0" w:color="auto"/>
              <w:bottom w:val="single" w:sz="4" w:space="0" w:color="auto"/>
            </w:tcBorders>
          </w:tcPr>
          <w:p w14:paraId="7C0A2000" w14:textId="77777777" w:rsidR="008328EC" w:rsidRDefault="008328EC" w:rsidP="001B27EA">
            <w:pPr>
              <w:jc w:val="right"/>
              <w:rPr>
                <w:sz w:val="20"/>
                <w:szCs w:val="20"/>
              </w:rPr>
            </w:pPr>
          </w:p>
          <w:p w14:paraId="2B7A8E39" w14:textId="77777777" w:rsidR="008328EC" w:rsidRDefault="008328EC" w:rsidP="001B27EA">
            <w:pPr>
              <w:jc w:val="right"/>
              <w:rPr>
                <w:sz w:val="20"/>
                <w:szCs w:val="20"/>
              </w:rPr>
            </w:pPr>
          </w:p>
          <w:p w14:paraId="17AEDBAE" w14:textId="77777777" w:rsidR="008328EC" w:rsidRPr="00F82840" w:rsidRDefault="00065202" w:rsidP="00065202">
            <w:pPr>
              <w:jc w:val="center"/>
              <w:rPr>
                <w:sz w:val="20"/>
                <w:szCs w:val="20"/>
              </w:rPr>
            </w:pPr>
            <w:r>
              <w:rPr>
                <w:sz w:val="20"/>
                <w:szCs w:val="20"/>
              </w:rPr>
              <w:t xml:space="preserve">      </w:t>
            </w:r>
            <w:r w:rsidR="008328EC">
              <w:rPr>
                <w:sz w:val="20"/>
                <w:szCs w:val="20"/>
              </w:rPr>
              <w:t>53,797</w:t>
            </w:r>
          </w:p>
        </w:tc>
      </w:tr>
      <w:tr w:rsidR="008328EC" w:rsidRPr="00F82840" w14:paraId="4FA6A1C4" w14:textId="77777777" w:rsidTr="00065202">
        <w:tc>
          <w:tcPr>
            <w:tcW w:w="2801" w:type="dxa"/>
          </w:tcPr>
          <w:p w14:paraId="4E5235D8" w14:textId="77777777" w:rsidR="008328EC" w:rsidRPr="00F82840" w:rsidRDefault="008328EC" w:rsidP="001B27EA">
            <w:pPr>
              <w:rPr>
                <w:sz w:val="20"/>
                <w:szCs w:val="20"/>
              </w:rPr>
            </w:pPr>
          </w:p>
        </w:tc>
        <w:tc>
          <w:tcPr>
            <w:tcW w:w="1701" w:type="dxa"/>
            <w:tcBorders>
              <w:top w:val="single" w:sz="4" w:space="0" w:color="auto"/>
            </w:tcBorders>
          </w:tcPr>
          <w:p w14:paraId="42E86CCB" w14:textId="77777777" w:rsidR="008328EC" w:rsidRPr="00F82840" w:rsidRDefault="008328EC" w:rsidP="001B27EA">
            <w:pPr>
              <w:jc w:val="right"/>
              <w:rPr>
                <w:sz w:val="20"/>
                <w:szCs w:val="20"/>
              </w:rPr>
            </w:pPr>
          </w:p>
        </w:tc>
        <w:tc>
          <w:tcPr>
            <w:tcW w:w="1417" w:type="dxa"/>
            <w:tcBorders>
              <w:top w:val="single" w:sz="4" w:space="0" w:color="auto"/>
            </w:tcBorders>
          </w:tcPr>
          <w:p w14:paraId="69A292F7" w14:textId="77777777" w:rsidR="008328EC" w:rsidRPr="00F82840" w:rsidRDefault="008328EC" w:rsidP="001B27EA">
            <w:pPr>
              <w:jc w:val="right"/>
              <w:rPr>
                <w:sz w:val="20"/>
                <w:szCs w:val="20"/>
              </w:rPr>
            </w:pPr>
          </w:p>
        </w:tc>
        <w:tc>
          <w:tcPr>
            <w:tcW w:w="1452" w:type="dxa"/>
            <w:tcBorders>
              <w:top w:val="single" w:sz="4" w:space="0" w:color="auto"/>
            </w:tcBorders>
          </w:tcPr>
          <w:p w14:paraId="1CED0B2A" w14:textId="77777777" w:rsidR="008328EC" w:rsidRPr="00F82840" w:rsidRDefault="008328EC" w:rsidP="001B27EA">
            <w:pPr>
              <w:jc w:val="right"/>
              <w:rPr>
                <w:sz w:val="20"/>
                <w:szCs w:val="20"/>
              </w:rPr>
            </w:pPr>
          </w:p>
        </w:tc>
        <w:tc>
          <w:tcPr>
            <w:tcW w:w="1275" w:type="dxa"/>
            <w:tcBorders>
              <w:top w:val="single" w:sz="4" w:space="0" w:color="auto"/>
            </w:tcBorders>
          </w:tcPr>
          <w:p w14:paraId="4CD20048" w14:textId="77777777" w:rsidR="008328EC" w:rsidRPr="00F82840" w:rsidRDefault="008328EC" w:rsidP="001B27EA">
            <w:pPr>
              <w:jc w:val="right"/>
              <w:rPr>
                <w:sz w:val="20"/>
                <w:szCs w:val="20"/>
              </w:rPr>
            </w:pPr>
          </w:p>
        </w:tc>
        <w:tc>
          <w:tcPr>
            <w:tcW w:w="1454" w:type="dxa"/>
            <w:tcBorders>
              <w:top w:val="single" w:sz="4" w:space="0" w:color="auto"/>
            </w:tcBorders>
          </w:tcPr>
          <w:p w14:paraId="2F61A293" w14:textId="77777777" w:rsidR="008328EC" w:rsidRPr="00F82840" w:rsidRDefault="008328EC" w:rsidP="001B27EA">
            <w:pPr>
              <w:jc w:val="right"/>
              <w:rPr>
                <w:sz w:val="20"/>
                <w:szCs w:val="20"/>
              </w:rPr>
            </w:pPr>
          </w:p>
        </w:tc>
      </w:tr>
      <w:tr w:rsidR="008328EC" w:rsidRPr="00F82840" w14:paraId="344BCDDA" w14:textId="77777777" w:rsidTr="00065202">
        <w:tc>
          <w:tcPr>
            <w:tcW w:w="2801" w:type="dxa"/>
          </w:tcPr>
          <w:p w14:paraId="4698B72A" w14:textId="77777777" w:rsidR="008328EC" w:rsidRPr="00F82840" w:rsidRDefault="008328EC" w:rsidP="001B27EA">
            <w:pPr>
              <w:rPr>
                <w:sz w:val="20"/>
                <w:szCs w:val="20"/>
              </w:rPr>
            </w:pPr>
            <w:r w:rsidRPr="00F82840">
              <w:rPr>
                <w:sz w:val="20"/>
                <w:szCs w:val="20"/>
              </w:rPr>
              <w:t>Asset financing:</w:t>
            </w:r>
          </w:p>
        </w:tc>
        <w:tc>
          <w:tcPr>
            <w:tcW w:w="1701" w:type="dxa"/>
          </w:tcPr>
          <w:p w14:paraId="6BB7B3BA" w14:textId="77777777" w:rsidR="008328EC" w:rsidRPr="00F82840" w:rsidRDefault="008328EC" w:rsidP="001B27EA">
            <w:pPr>
              <w:jc w:val="right"/>
              <w:rPr>
                <w:sz w:val="20"/>
                <w:szCs w:val="20"/>
              </w:rPr>
            </w:pPr>
          </w:p>
        </w:tc>
        <w:tc>
          <w:tcPr>
            <w:tcW w:w="1417" w:type="dxa"/>
          </w:tcPr>
          <w:p w14:paraId="0176CEE0" w14:textId="77777777" w:rsidR="008328EC" w:rsidRPr="00F82840" w:rsidRDefault="008328EC" w:rsidP="001B27EA">
            <w:pPr>
              <w:jc w:val="right"/>
              <w:rPr>
                <w:sz w:val="20"/>
                <w:szCs w:val="20"/>
              </w:rPr>
            </w:pPr>
          </w:p>
        </w:tc>
        <w:tc>
          <w:tcPr>
            <w:tcW w:w="1452" w:type="dxa"/>
          </w:tcPr>
          <w:p w14:paraId="45EB14DB" w14:textId="77777777" w:rsidR="008328EC" w:rsidRPr="00F82840" w:rsidRDefault="008328EC" w:rsidP="001B27EA">
            <w:pPr>
              <w:jc w:val="right"/>
              <w:rPr>
                <w:sz w:val="20"/>
                <w:szCs w:val="20"/>
              </w:rPr>
            </w:pPr>
          </w:p>
        </w:tc>
        <w:tc>
          <w:tcPr>
            <w:tcW w:w="1275" w:type="dxa"/>
          </w:tcPr>
          <w:p w14:paraId="668BF936" w14:textId="77777777" w:rsidR="008328EC" w:rsidRPr="00F82840" w:rsidRDefault="008328EC" w:rsidP="001B27EA">
            <w:pPr>
              <w:jc w:val="right"/>
              <w:rPr>
                <w:sz w:val="20"/>
                <w:szCs w:val="20"/>
              </w:rPr>
            </w:pPr>
          </w:p>
        </w:tc>
        <w:tc>
          <w:tcPr>
            <w:tcW w:w="1454" w:type="dxa"/>
          </w:tcPr>
          <w:p w14:paraId="22E48840" w14:textId="77777777" w:rsidR="008328EC" w:rsidRPr="00F82840" w:rsidRDefault="008328EC" w:rsidP="001B27EA">
            <w:pPr>
              <w:jc w:val="right"/>
              <w:rPr>
                <w:sz w:val="20"/>
                <w:szCs w:val="20"/>
              </w:rPr>
            </w:pPr>
          </w:p>
        </w:tc>
      </w:tr>
      <w:tr w:rsidR="008328EC" w:rsidRPr="00F82840" w14:paraId="4B77C2E7" w14:textId="77777777" w:rsidTr="00065202">
        <w:tc>
          <w:tcPr>
            <w:tcW w:w="2801" w:type="dxa"/>
          </w:tcPr>
          <w:p w14:paraId="5B24EC6D" w14:textId="77777777" w:rsidR="008328EC" w:rsidRPr="00F82840" w:rsidRDefault="008328EC" w:rsidP="001B27EA">
            <w:pPr>
              <w:rPr>
                <w:sz w:val="20"/>
                <w:szCs w:val="20"/>
              </w:rPr>
            </w:pPr>
            <w:r w:rsidRPr="00F82840">
              <w:rPr>
                <w:sz w:val="20"/>
                <w:szCs w:val="20"/>
              </w:rPr>
              <w:t>Owned</w:t>
            </w:r>
          </w:p>
        </w:tc>
        <w:tc>
          <w:tcPr>
            <w:tcW w:w="1701" w:type="dxa"/>
          </w:tcPr>
          <w:p w14:paraId="328EEF56" w14:textId="77777777" w:rsidR="008328EC" w:rsidRPr="00F82840" w:rsidRDefault="00065202" w:rsidP="00065202">
            <w:pPr>
              <w:jc w:val="center"/>
              <w:rPr>
                <w:sz w:val="20"/>
                <w:szCs w:val="20"/>
              </w:rPr>
            </w:pPr>
            <w:r>
              <w:rPr>
                <w:sz w:val="20"/>
                <w:szCs w:val="20"/>
              </w:rPr>
              <w:t xml:space="preserve">       </w:t>
            </w:r>
            <w:r w:rsidR="007B1A0B">
              <w:rPr>
                <w:sz w:val="20"/>
                <w:szCs w:val="20"/>
              </w:rPr>
              <w:t>490,076</w:t>
            </w:r>
          </w:p>
        </w:tc>
        <w:tc>
          <w:tcPr>
            <w:tcW w:w="1417" w:type="dxa"/>
          </w:tcPr>
          <w:p w14:paraId="308072A3" w14:textId="77777777" w:rsidR="008328EC" w:rsidRPr="00F82840" w:rsidRDefault="008328EC" w:rsidP="001B27EA">
            <w:pPr>
              <w:jc w:val="right"/>
              <w:rPr>
                <w:sz w:val="20"/>
                <w:szCs w:val="20"/>
              </w:rPr>
            </w:pPr>
            <w:r>
              <w:rPr>
                <w:sz w:val="20"/>
                <w:szCs w:val="20"/>
              </w:rPr>
              <w:t>11,659</w:t>
            </w:r>
          </w:p>
        </w:tc>
        <w:tc>
          <w:tcPr>
            <w:tcW w:w="1452" w:type="dxa"/>
          </w:tcPr>
          <w:p w14:paraId="4ABA9A20" w14:textId="77777777" w:rsidR="008328EC" w:rsidRPr="00F82840" w:rsidRDefault="00065202" w:rsidP="00065202">
            <w:pPr>
              <w:jc w:val="center"/>
              <w:rPr>
                <w:sz w:val="20"/>
                <w:szCs w:val="20"/>
              </w:rPr>
            </w:pPr>
            <w:r>
              <w:rPr>
                <w:sz w:val="20"/>
                <w:szCs w:val="20"/>
              </w:rPr>
              <w:t xml:space="preserve">    </w:t>
            </w:r>
            <w:r w:rsidR="008328EC">
              <w:rPr>
                <w:sz w:val="20"/>
                <w:szCs w:val="20"/>
              </w:rPr>
              <w:t>81,963</w:t>
            </w:r>
          </w:p>
        </w:tc>
        <w:tc>
          <w:tcPr>
            <w:tcW w:w="1275" w:type="dxa"/>
          </w:tcPr>
          <w:p w14:paraId="73B79F54" w14:textId="77777777" w:rsidR="008328EC" w:rsidRPr="00F82840" w:rsidRDefault="008328EC" w:rsidP="001B27EA">
            <w:pPr>
              <w:jc w:val="right"/>
              <w:rPr>
                <w:sz w:val="20"/>
                <w:szCs w:val="20"/>
              </w:rPr>
            </w:pPr>
            <w:r>
              <w:rPr>
                <w:sz w:val="20"/>
                <w:szCs w:val="20"/>
              </w:rPr>
              <w:t>0</w:t>
            </w:r>
          </w:p>
        </w:tc>
        <w:tc>
          <w:tcPr>
            <w:tcW w:w="1454" w:type="dxa"/>
          </w:tcPr>
          <w:p w14:paraId="66685452" w14:textId="77777777" w:rsidR="008328EC" w:rsidRPr="00F82840" w:rsidRDefault="00065202" w:rsidP="00065202">
            <w:pPr>
              <w:jc w:val="center"/>
              <w:rPr>
                <w:sz w:val="20"/>
                <w:szCs w:val="20"/>
              </w:rPr>
            </w:pPr>
            <w:r>
              <w:rPr>
                <w:sz w:val="20"/>
                <w:szCs w:val="20"/>
              </w:rPr>
              <w:t xml:space="preserve">    </w:t>
            </w:r>
            <w:r w:rsidR="007B1A0B">
              <w:rPr>
                <w:sz w:val="20"/>
                <w:szCs w:val="20"/>
              </w:rPr>
              <w:t>583,698</w:t>
            </w:r>
          </w:p>
        </w:tc>
      </w:tr>
      <w:tr w:rsidR="008328EC" w:rsidRPr="00F82840" w14:paraId="4B457C9F" w14:textId="77777777" w:rsidTr="00065202">
        <w:tc>
          <w:tcPr>
            <w:tcW w:w="2801" w:type="dxa"/>
          </w:tcPr>
          <w:p w14:paraId="4C7CEE16" w14:textId="77777777" w:rsidR="008328EC" w:rsidRPr="00F82840" w:rsidRDefault="008328EC" w:rsidP="001B27EA">
            <w:pPr>
              <w:rPr>
                <w:sz w:val="20"/>
                <w:szCs w:val="20"/>
              </w:rPr>
            </w:pPr>
            <w:r w:rsidRPr="00F82840">
              <w:rPr>
                <w:sz w:val="20"/>
                <w:szCs w:val="20"/>
              </w:rPr>
              <w:t>Finance leased</w:t>
            </w:r>
          </w:p>
        </w:tc>
        <w:tc>
          <w:tcPr>
            <w:tcW w:w="1701" w:type="dxa"/>
          </w:tcPr>
          <w:p w14:paraId="6FC6977C" w14:textId="24A5925E" w:rsidR="008328EC" w:rsidRPr="00F82840" w:rsidRDefault="00065202" w:rsidP="00065202">
            <w:pPr>
              <w:jc w:val="center"/>
              <w:rPr>
                <w:sz w:val="20"/>
                <w:szCs w:val="20"/>
              </w:rPr>
            </w:pPr>
            <w:r>
              <w:rPr>
                <w:sz w:val="20"/>
                <w:szCs w:val="20"/>
              </w:rPr>
              <w:t xml:space="preserve">                 </w:t>
            </w:r>
            <w:r w:rsidR="00054872">
              <w:rPr>
                <w:sz w:val="20"/>
                <w:szCs w:val="20"/>
              </w:rPr>
              <w:t>0</w:t>
            </w:r>
          </w:p>
        </w:tc>
        <w:tc>
          <w:tcPr>
            <w:tcW w:w="1417" w:type="dxa"/>
          </w:tcPr>
          <w:p w14:paraId="30AE538E" w14:textId="7EECF45D" w:rsidR="008328EC" w:rsidRPr="00F82840" w:rsidRDefault="00054872" w:rsidP="001B27EA">
            <w:pPr>
              <w:jc w:val="right"/>
              <w:rPr>
                <w:sz w:val="20"/>
                <w:szCs w:val="20"/>
              </w:rPr>
            </w:pPr>
            <w:r>
              <w:rPr>
                <w:sz w:val="20"/>
                <w:szCs w:val="20"/>
              </w:rPr>
              <w:t>0</w:t>
            </w:r>
          </w:p>
        </w:tc>
        <w:tc>
          <w:tcPr>
            <w:tcW w:w="1452" w:type="dxa"/>
          </w:tcPr>
          <w:p w14:paraId="2AC82A75" w14:textId="189697CC" w:rsidR="008328EC" w:rsidRPr="00F82840" w:rsidRDefault="00054872" w:rsidP="00065202">
            <w:pPr>
              <w:jc w:val="center"/>
              <w:rPr>
                <w:sz w:val="20"/>
                <w:szCs w:val="20"/>
              </w:rPr>
            </w:pPr>
            <w:r>
              <w:rPr>
                <w:sz w:val="20"/>
                <w:szCs w:val="20"/>
              </w:rPr>
              <w:t>0</w:t>
            </w:r>
          </w:p>
        </w:tc>
        <w:tc>
          <w:tcPr>
            <w:tcW w:w="1275" w:type="dxa"/>
          </w:tcPr>
          <w:p w14:paraId="5C118300" w14:textId="644A2634" w:rsidR="008328EC" w:rsidRPr="00F82840" w:rsidRDefault="00054872" w:rsidP="001B27EA">
            <w:pPr>
              <w:jc w:val="right"/>
              <w:rPr>
                <w:sz w:val="20"/>
                <w:szCs w:val="20"/>
              </w:rPr>
            </w:pPr>
            <w:r>
              <w:rPr>
                <w:sz w:val="20"/>
                <w:szCs w:val="20"/>
              </w:rPr>
              <w:t>0</w:t>
            </w:r>
          </w:p>
        </w:tc>
        <w:tc>
          <w:tcPr>
            <w:tcW w:w="1454" w:type="dxa"/>
          </w:tcPr>
          <w:p w14:paraId="26DB6F31" w14:textId="5AA1E672" w:rsidR="008328EC" w:rsidRPr="00F82840" w:rsidRDefault="00054872" w:rsidP="00065202">
            <w:pPr>
              <w:jc w:val="center"/>
              <w:rPr>
                <w:sz w:val="20"/>
                <w:szCs w:val="20"/>
              </w:rPr>
            </w:pPr>
            <w:r>
              <w:rPr>
                <w:sz w:val="20"/>
                <w:szCs w:val="20"/>
              </w:rPr>
              <w:t>0</w:t>
            </w:r>
          </w:p>
        </w:tc>
      </w:tr>
      <w:tr w:rsidR="008328EC" w:rsidRPr="00F82840" w14:paraId="7C95C7B3" w14:textId="77777777" w:rsidTr="00065202">
        <w:tc>
          <w:tcPr>
            <w:tcW w:w="2801" w:type="dxa"/>
          </w:tcPr>
          <w:p w14:paraId="43CAC717" w14:textId="77777777" w:rsidR="008328EC" w:rsidRPr="00F82840" w:rsidRDefault="008328EC" w:rsidP="001B27EA">
            <w:pPr>
              <w:rPr>
                <w:sz w:val="20"/>
                <w:szCs w:val="20"/>
              </w:rPr>
            </w:pPr>
          </w:p>
          <w:p w14:paraId="55448356" w14:textId="77777777" w:rsidR="008328EC" w:rsidRPr="00F82840" w:rsidRDefault="008328EC" w:rsidP="001B27EA">
            <w:pPr>
              <w:rPr>
                <w:sz w:val="20"/>
                <w:szCs w:val="20"/>
              </w:rPr>
            </w:pPr>
            <w:r w:rsidRPr="00F82840">
              <w:rPr>
                <w:sz w:val="20"/>
                <w:szCs w:val="20"/>
              </w:rPr>
              <w:t xml:space="preserve">Net book value at </w:t>
            </w:r>
            <w:r>
              <w:rPr>
                <w:sz w:val="20"/>
                <w:szCs w:val="20"/>
              </w:rPr>
              <w:t>31 March 2021</w:t>
            </w:r>
          </w:p>
        </w:tc>
        <w:tc>
          <w:tcPr>
            <w:tcW w:w="1701" w:type="dxa"/>
            <w:tcBorders>
              <w:top w:val="single" w:sz="4" w:space="0" w:color="auto"/>
              <w:bottom w:val="single" w:sz="4" w:space="0" w:color="auto"/>
            </w:tcBorders>
          </w:tcPr>
          <w:p w14:paraId="406F6D1C" w14:textId="77777777" w:rsidR="008328EC" w:rsidRDefault="008328EC" w:rsidP="001B27EA">
            <w:pPr>
              <w:jc w:val="right"/>
              <w:rPr>
                <w:sz w:val="20"/>
                <w:szCs w:val="20"/>
              </w:rPr>
            </w:pPr>
          </w:p>
          <w:p w14:paraId="0DB9901C" w14:textId="77777777" w:rsidR="008328EC" w:rsidRDefault="008328EC" w:rsidP="001B27EA">
            <w:pPr>
              <w:jc w:val="right"/>
              <w:rPr>
                <w:sz w:val="20"/>
                <w:szCs w:val="20"/>
              </w:rPr>
            </w:pPr>
          </w:p>
          <w:p w14:paraId="22DA39D9" w14:textId="77777777" w:rsidR="008328EC" w:rsidRPr="00F82840" w:rsidRDefault="00065202" w:rsidP="00065202">
            <w:pPr>
              <w:jc w:val="center"/>
              <w:rPr>
                <w:sz w:val="20"/>
                <w:szCs w:val="20"/>
              </w:rPr>
            </w:pPr>
            <w:r>
              <w:rPr>
                <w:sz w:val="20"/>
                <w:szCs w:val="20"/>
              </w:rPr>
              <w:t xml:space="preserve">       </w:t>
            </w:r>
            <w:r w:rsidR="007B1A0B">
              <w:rPr>
                <w:sz w:val="20"/>
                <w:szCs w:val="20"/>
              </w:rPr>
              <w:t>490,076</w:t>
            </w:r>
          </w:p>
        </w:tc>
        <w:tc>
          <w:tcPr>
            <w:tcW w:w="1417" w:type="dxa"/>
            <w:tcBorders>
              <w:top w:val="single" w:sz="4" w:space="0" w:color="auto"/>
              <w:bottom w:val="single" w:sz="4" w:space="0" w:color="auto"/>
            </w:tcBorders>
          </w:tcPr>
          <w:p w14:paraId="28E9EBBC" w14:textId="77777777" w:rsidR="008328EC" w:rsidRDefault="008328EC" w:rsidP="001B27EA">
            <w:pPr>
              <w:jc w:val="right"/>
              <w:rPr>
                <w:sz w:val="20"/>
                <w:szCs w:val="20"/>
              </w:rPr>
            </w:pPr>
          </w:p>
          <w:p w14:paraId="31056417" w14:textId="77777777" w:rsidR="008328EC" w:rsidRDefault="008328EC" w:rsidP="001B27EA">
            <w:pPr>
              <w:jc w:val="right"/>
              <w:rPr>
                <w:sz w:val="20"/>
                <w:szCs w:val="20"/>
              </w:rPr>
            </w:pPr>
          </w:p>
          <w:p w14:paraId="36DD8333" w14:textId="77777777" w:rsidR="008328EC" w:rsidRPr="00F82840" w:rsidRDefault="008328EC" w:rsidP="001B27EA">
            <w:pPr>
              <w:jc w:val="right"/>
              <w:rPr>
                <w:sz w:val="20"/>
                <w:szCs w:val="20"/>
              </w:rPr>
            </w:pPr>
            <w:r>
              <w:rPr>
                <w:sz w:val="20"/>
                <w:szCs w:val="20"/>
              </w:rPr>
              <w:t>11,659</w:t>
            </w:r>
          </w:p>
        </w:tc>
        <w:tc>
          <w:tcPr>
            <w:tcW w:w="1452" w:type="dxa"/>
            <w:tcBorders>
              <w:top w:val="single" w:sz="4" w:space="0" w:color="auto"/>
              <w:bottom w:val="single" w:sz="4" w:space="0" w:color="auto"/>
            </w:tcBorders>
          </w:tcPr>
          <w:p w14:paraId="6AFF01E2" w14:textId="77777777" w:rsidR="008328EC" w:rsidRDefault="008328EC" w:rsidP="001B27EA">
            <w:pPr>
              <w:jc w:val="right"/>
              <w:rPr>
                <w:sz w:val="20"/>
                <w:szCs w:val="20"/>
              </w:rPr>
            </w:pPr>
          </w:p>
          <w:p w14:paraId="53F82A72" w14:textId="77777777" w:rsidR="008328EC" w:rsidRDefault="008328EC" w:rsidP="001B27EA">
            <w:pPr>
              <w:jc w:val="right"/>
              <w:rPr>
                <w:sz w:val="20"/>
                <w:szCs w:val="20"/>
              </w:rPr>
            </w:pPr>
          </w:p>
          <w:p w14:paraId="72812E41" w14:textId="77777777" w:rsidR="008328EC" w:rsidRPr="00F82840" w:rsidRDefault="00065202" w:rsidP="00065202">
            <w:pPr>
              <w:jc w:val="center"/>
              <w:rPr>
                <w:sz w:val="20"/>
                <w:szCs w:val="20"/>
              </w:rPr>
            </w:pPr>
            <w:r>
              <w:rPr>
                <w:sz w:val="20"/>
                <w:szCs w:val="20"/>
              </w:rPr>
              <w:t xml:space="preserve">     </w:t>
            </w:r>
            <w:r w:rsidR="008328EC">
              <w:rPr>
                <w:sz w:val="20"/>
                <w:szCs w:val="20"/>
              </w:rPr>
              <w:t>81,963</w:t>
            </w:r>
          </w:p>
        </w:tc>
        <w:tc>
          <w:tcPr>
            <w:tcW w:w="1275" w:type="dxa"/>
            <w:tcBorders>
              <w:top w:val="single" w:sz="4" w:space="0" w:color="auto"/>
              <w:bottom w:val="single" w:sz="4" w:space="0" w:color="auto"/>
            </w:tcBorders>
          </w:tcPr>
          <w:p w14:paraId="60D86175" w14:textId="77777777" w:rsidR="008328EC" w:rsidRDefault="008328EC" w:rsidP="001B27EA">
            <w:pPr>
              <w:jc w:val="right"/>
              <w:rPr>
                <w:sz w:val="20"/>
                <w:szCs w:val="20"/>
              </w:rPr>
            </w:pPr>
          </w:p>
          <w:p w14:paraId="681FAA6E" w14:textId="77777777" w:rsidR="008328EC" w:rsidRDefault="008328EC" w:rsidP="001B27EA">
            <w:pPr>
              <w:jc w:val="right"/>
              <w:rPr>
                <w:sz w:val="20"/>
                <w:szCs w:val="20"/>
              </w:rPr>
            </w:pPr>
          </w:p>
          <w:p w14:paraId="21DA3181" w14:textId="77777777" w:rsidR="008328EC" w:rsidRPr="00F82840" w:rsidRDefault="008328EC" w:rsidP="001B27EA">
            <w:pPr>
              <w:jc w:val="right"/>
              <w:rPr>
                <w:sz w:val="20"/>
                <w:szCs w:val="20"/>
              </w:rPr>
            </w:pPr>
            <w:r>
              <w:rPr>
                <w:sz w:val="20"/>
                <w:szCs w:val="20"/>
              </w:rPr>
              <w:t>0</w:t>
            </w:r>
          </w:p>
        </w:tc>
        <w:tc>
          <w:tcPr>
            <w:tcW w:w="1454" w:type="dxa"/>
            <w:tcBorders>
              <w:top w:val="single" w:sz="4" w:space="0" w:color="auto"/>
              <w:bottom w:val="single" w:sz="4" w:space="0" w:color="auto"/>
            </w:tcBorders>
          </w:tcPr>
          <w:p w14:paraId="4AA9D8C9" w14:textId="77777777" w:rsidR="008328EC" w:rsidRDefault="008328EC" w:rsidP="001B27EA">
            <w:pPr>
              <w:jc w:val="right"/>
              <w:rPr>
                <w:sz w:val="20"/>
                <w:szCs w:val="20"/>
              </w:rPr>
            </w:pPr>
          </w:p>
          <w:p w14:paraId="70EE7653" w14:textId="77777777" w:rsidR="008328EC" w:rsidRDefault="008328EC" w:rsidP="001B27EA">
            <w:pPr>
              <w:jc w:val="right"/>
              <w:rPr>
                <w:sz w:val="20"/>
                <w:szCs w:val="20"/>
              </w:rPr>
            </w:pPr>
          </w:p>
          <w:p w14:paraId="073E5028" w14:textId="77777777" w:rsidR="008328EC" w:rsidRPr="00F82840" w:rsidRDefault="00065202" w:rsidP="00065202">
            <w:pPr>
              <w:jc w:val="center"/>
              <w:rPr>
                <w:sz w:val="20"/>
                <w:szCs w:val="20"/>
              </w:rPr>
            </w:pPr>
            <w:r>
              <w:rPr>
                <w:sz w:val="20"/>
                <w:szCs w:val="20"/>
              </w:rPr>
              <w:t xml:space="preserve">     </w:t>
            </w:r>
            <w:r w:rsidR="007B1A0B">
              <w:rPr>
                <w:sz w:val="20"/>
                <w:szCs w:val="20"/>
              </w:rPr>
              <w:t>583,698</w:t>
            </w:r>
          </w:p>
        </w:tc>
      </w:tr>
    </w:tbl>
    <w:p w14:paraId="3EFF24CB" w14:textId="77777777" w:rsidR="00343734" w:rsidRDefault="00343734"/>
    <w:p w14:paraId="5D334427" w14:textId="77777777" w:rsidR="000C2A54" w:rsidRPr="00676064" w:rsidRDefault="000C2A54" w:rsidP="00567379">
      <w:pPr>
        <w:rPr>
          <w:rFonts w:cs="Arial"/>
          <w:b/>
          <w:bCs/>
        </w:rPr>
      </w:pPr>
      <w:r w:rsidRPr="00676064">
        <w:rPr>
          <w:rFonts w:cs="Arial"/>
          <w:b/>
          <w:bCs/>
        </w:rPr>
        <w:t>7.</w:t>
      </w:r>
      <w:r w:rsidRPr="00676064">
        <w:rPr>
          <w:rFonts w:cs="Arial"/>
          <w:b/>
          <w:bCs/>
        </w:rPr>
        <w:tab/>
        <w:t>Intangible Assets</w:t>
      </w:r>
    </w:p>
    <w:p w14:paraId="12CA8628" w14:textId="77777777" w:rsidR="000C2A54" w:rsidRPr="00676064" w:rsidRDefault="000C2A54" w:rsidP="000C2A54">
      <w:pPr>
        <w:widowControl w:val="0"/>
        <w:autoSpaceDE w:val="0"/>
        <w:autoSpaceDN w:val="0"/>
        <w:adjustRightInd w:val="0"/>
        <w:ind w:left="567" w:hanging="567"/>
        <w:rPr>
          <w:rFonts w:cs="Arial"/>
          <w:b/>
          <w:bCs/>
        </w:rPr>
      </w:pPr>
    </w:p>
    <w:tbl>
      <w:tblPr>
        <w:tblStyle w:val="TableGrid"/>
        <w:tblW w:w="850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1820"/>
        <w:gridCol w:w="2055"/>
      </w:tblGrid>
      <w:tr w:rsidR="00A73CBF" w:rsidRPr="00676064" w14:paraId="4227AB26" w14:textId="77777777" w:rsidTr="00A73CBF">
        <w:tc>
          <w:tcPr>
            <w:tcW w:w="4629" w:type="dxa"/>
          </w:tcPr>
          <w:p w14:paraId="7E8954EA" w14:textId="77777777" w:rsidR="00A73CBF" w:rsidRPr="00676064" w:rsidRDefault="00A73CBF" w:rsidP="00A73CBF">
            <w:pPr>
              <w:widowControl w:val="0"/>
              <w:autoSpaceDE w:val="0"/>
              <w:autoSpaceDN w:val="0"/>
              <w:adjustRightInd w:val="0"/>
              <w:rPr>
                <w:rFonts w:cs="Arial"/>
                <w:b/>
                <w:bCs/>
              </w:rPr>
            </w:pPr>
          </w:p>
        </w:tc>
        <w:tc>
          <w:tcPr>
            <w:tcW w:w="1820" w:type="dxa"/>
          </w:tcPr>
          <w:p w14:paraId="758B9189"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Software &amp; Licences</w:t>
            </w:r>
          </w:p>
          <w:p w14:paraId="065B30C8" w14:textId="77777777" w:rsidR="00A73CBF" w:rsidRPr="003061F1" w:rsidRDefault="00567379" w:rsidP="00A73CBF">
            <w:pPr>
              <w:widowControl w:val="0"/>
              <w:autoSpaceDE w:val="0"/>
              <w:autoSpaceDN w:val="0"/>
              <w:adjustRightInd w:val="0"/>
              <w:jc w:val="right"/>
              <w:rPr>
                <w:rFonts w:cs="Arial"/>
                <w:b/>
                <w:bCs/>
                <w:sz w:val="20"/>
                <w:szCs w:val="20"/>
              </w:rPr>
            </w:pPr>
            <w:r>
              <w:rPr>
                <w:rFonts w:cs="Arial"/>
                <w:b/>
                <w:bCs/>
                <w:sz w:val="20"/>
                <w:szCs w:val="20"/>
              </w:rPr>
              <w:t>2021-22</w:t>
            </w:r>
          </w:p>
        </w:tc>
        <w:tc>
          <w:tcPr>
            <w:tcW w:w="2055" w:type="dxa"/>
          </w:tcPr>
          <w:p w14:paraId="736B0D71"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Software &amp; Licences</w:t>
            </w:r>
          </w:p>
          <w:p w14:paraId="6CEFAF5E" w14:textId="77777777" w:rsidR="00A73CBF" w:rsidRPr="003061F1" w:rsidRDefault="00567379" w:rsidP="00A73CBF">
            <w:pPr>
              <w:widowControl w:val="0"/>
              <w:autoSpaceDE w:val="0"/>
              <w:autoSpaceDN w:val="0"/>
              <w:adjustRightInd w:val="0"/>
              <w:jc w:val="right"/>
              <w:rPr>
                <w:rFonts w:cs="Arial"/>
                <w:b/>
                <w:bCs/>
                <w:sz w:val="20"/>
                <w:szCs w:val="20"/>
              </w:rPr>
            </w:pPr>
            <w:r>
              <w:rPr>
                <w:rFonts w:cs="Arial"/>
                <w:b/>
                <w:bCs/>
                <w:sz w:val="20"/>
                <w:szCs w:val="20"/>
              </w:rPr>
              <w:t>2020-21</w:t>
            </w:r>
          </w:p>
        </w:tc>
      </w:tr>
      <w:tr w:rsidR="00A73CBF" w:rsidRPr="00676064" w14:paraId="0279483D" w14:textId="77777777" w:rsidTr="00A73CBF">
        <w:tc>
          <w:tcPr>
            <w:tcW w:w="4629" w:type="dxa"/>
          </w:tcPr>
          <w:p w14:paraId="06DDB058" w14:textId="77777777" w:rsidR="00A73CBF" w:rsidRPr="003061F1" w:rsidRDefault="00A73CBF" w:rsidP="00A73CBF">
            <w:pPr>
              <w:widowControl w:val="0"/>
              <w:autoSpaceDE w:val="0"/>
              <w:autoSpaceDN w:val="0"/>
              <w:adjustRightInd w:val="0"/>
              <w:rPr>
                <w:rFonts w:cs="Arial"/>
                <w:b/>
                <w:bCs/>
                <w:sz w:val="20"/>
                <w:szCs w:val="20"/>
              </w:rPr>
            </w:pPr>
            <w:r w:rsidRPr="003061F1">
              <w:rPr>
                <w:rFonts w:cs="Arial"/>
                <w:b/>
                <w:bCs/>
                <w:sz w:val="20"/>
                <w:szCs w:val="20"/>
              </w:rPr>
              <w:t>Cost or valuation</w:t>
            </w:r>
          </w:p>
        </w:tc>
        <w:tc>
          <w:tcPr>
            <w:tcW w:w="1820" w:type="dxa"/>
          </w:tcPr>
          <w:p w14:paraId="01C2C3CA"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w:t>
            </w:r>
          </w:p>
        </w:tc>
        <w:tc>
          <w:tcPr>
            <w:tcW w:w="2055" w:type="dxa"/>
          </w:tcPr>
          <w:p w14:paraId="27DDC91E"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w:t>
            </w:r>
          </w:p>
        </w:tc>
      </w:tr>
      <w:tr w:rsidR="00A73CBF" w:rsidRPr="00676064" w14:paraId="51E5E6A3" w14:textId="77777777" w:rsidTr="00A73CBF">
        <w:tc>
          <w:tcPr>
            <w:tcW w:w="4629" w:type="dxa"/>
          </w:tcPr>
          <w:p w14:paraId="01D50975" w14:textId="7777777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at 1 April</w:t>
            </w:r>
          </w:p>
        </w:tc>
        <w:tc>
          <w:tcPr>
            <w:tcW w:w="1820" w:type="dxa"/>
          </w:tcPr>
          <w:p w14:paraId="64D870F2" w14:textId="77777777" w:rsidR="00DD02ED" w:rsidRPr="003061F1" w:rsidRDefault="00144D0C" w:rsidP="007B1A0B">
            <w:pPr>
              <w:widowControl w:val="0"/>
              <w:autoSpaceDE w:val="0"/>
              <w:autoSpaceDN w:val="0"/>
              <w:adjustRightInd w:val="0"/>
              <w:jc w:val="right"/>
              <w:rPr>
                <w:rFonts w:cs="Arial"/>
                <w:bCs/>
                <w:sz w:val="20"/>
                <w:szCs w:val="20"/>
              </w:rPr>
            </w:pPr>
            <w:r>
              <w:rPr>
                <w:rFonts w:cs="Arial"/>
                <w:bCs/>
                <w:sz w:val="20"/>
                <w:szCs w:val="20"/>
              </w:rPr>
              <w:t xml:space="preserve">        </w:t>
            </w:r>
            <w:r w:rsidR="00963912">
              <w:rPr>
                <w:rFonts w:cs="Arial"/>
                <w:bCs/>
                <w:sz w:val="20"/>
                <w:szCs w:val="20"/>
              </w:rPr>
              <w:t>44,103</w:t>
            </w:r>
            <w:r>
              <w:rPr>
                <w:rFonts w:cs="Arial"/>
                <w:bCs/>
                <w:sz w:val="20"/>
                <w:szCs w:val="20"/>
              </w:rPr>
              <w:t xml:space="preserve"> </w:t>
            </w:r>
          </w:p>
        </w:tc>
        <w:tc>
          <w:tcPr>
            <w:tcW w:w="2055" w:type="dxa"/>
          </w:tcPr>
          <w:p w14:paraId="5E71E187" w14:textId="77777777" w:rsidR="00A73CBF" w:rsidRPr="003061F1" w:rsidRDefault="00567379" w:rsidP="00A73CBF">
            <w:pPr>
              <w:widowControl w:val="0"/>
              <w:autoSpaceDE w:val="0"/>
              <w:autoSpaceDN w:val="0"/>
              <w:adjustRightInd w:val="0"/>
              <w:jc w:val="right"/>
              <w:rPr>
                <w:rFonts w:cs="Arial"/>
                <w:bCs/>
                <w:sz w:val="20"/>
                <w:szCs w:val="20"/>
              </w:rPr>
            </w:pPr>
            <w:r>
              <w:rPr>
                <w:rFonts w:cs="Arial"/>
                <w:bCs/>
                <w:sz w:val="20"/>
                <w:szCs w:val="20"/>
              </w:rPr>
              <w:t>44103</w:t>
            </w:r>
          </w:p>
        </w:tc>
      </w:tr>
      <w:tr w:rsidR="00A73CBF" w:rsidRPr="00676064" w14:paraId="7DB55F28" w14:textId="77777777" w:rsidTr="00A73CBF">
        <w:tc>
          <w:tcPr>
            <w:tcW w:w="4629" w:type="dxa"/>
          </w:tcPr>
          <w:p w14:paraId="7BCDD8F2" w14:textId="7777777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Additions</w:t>
            </w:r>
          </w:p>
        </w:tc>
        <w:tc>
          <w:tcPr>
            <w:tcW w:w="1820" w:type="dxa"/>
          </w:tcPr>
          <w:p w14:paraId="2308C509" w14:textId="77777777" w:rsidR="00A73CBF" w:rsidRPr="003061F1" w:rsidRDefault="007B1A0B" w:rsidP="00A73CBF">
            <w:pPr>
              <w:widowControl w:val="0"/>
              <w:autoSpaceDE w:val="0"/>
              <w:autoSpaceDN w:val="0"/>
              <w:adjustRightInd w:val="0"/>
              <w:jc w:val="right"/>
              <w:rPr>
                <w:rFonts w:cs="Arial"/>
                <w:bCs/>
                <w:sz w:val="20"/>
                <w:szCs w:val="20"/>
              </w:rPr>
            </w:pPr>
            <w:r>
              <w:rPr>
                <w:rFonts w:cs="Arial"/>
                <w:bCs/>
                <w:sz w:val="20"/>
                <w:szCs w:val="20"/>
              </w:rPr>
              <w:t>0</w:t>
            </w:r>
          </w:p>
        </w:tc>
        <w:tc>
          <w:tcPr>
            <w:tcW w:w="2055" w:type="dxa"/>
          </w:tcPr>
          <w:p w14:paraId="227BAD55" w14:textId="77777777" w:rsidR="00A73CBF" w:rsidRPr="003061F1" w:rsidRDefault="00567379" w:rsidP="00A73CBF">
            <w:pPr>
              <w:widowControl w:val="0"/>
              <w:autoSpaceDE w:val="0"/>
              <w:autoSpaceDN w:val="0"/>
              <w:adjustRightInd w:val="0"/>
              <w:jc w:val="right"/>
              <w:rPr>
                <w:rFonts w:cs="Arial"/>
                <w:bCs/>
                <w:sz w:val="20"/>
                <w:szCs w:val="20"/>
              </w:rPr>
            </w:pPr>
            <w:r>
              <w:rPr>
                <w:rFonts w:cs="Arial"/>
                <w:bCs/>
                <w:sz w:val="20"/>
                <w:szCs w:val="20"/>
              </w:rPr>
              <w:t>0</w:t>
            </w:r>
          </w:p>
        </w:tc>
      </w:tr>
      <w:tr w:rsidR="00A73CBF" w:rsidRPr="00676064" w14:paraId="09D40943" w14:textId="77777777" w:rsidTr="00A73CBF">
        <w:tc>
          <w:tcPr>
            <w:tcW w:w="4629" w:type="dxa"/>
          </w:tcPr>
          <w:p w14:paraId="32107419" w14:textId="7777777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 xml:space="preserve">at 31 March </w:t>
            </w:r>
          </w:p>
        </w:tc>
        <w:tc>
          <w:tcPr>
            <w:tcW w:w="1820" w:type="dxa"/>
            <w:tcBorders>
              <w:top w:val="single" w:sz="4" w:space="0" w:color="auto"/>
              <w:bottom w:val="single" w:sz="4" w:space="0" w:color="auto"/>
            </w:tcBorders>
          </w:tcPr>
          <w:p w14:paraId="3C42B295" w14:textId="77777777" w:rsidR="00BF0DCC" w:rsidRPr="003061F1" w:rsidRDefault="007B1A0B" w:rsidP="007B1A0B">
            <w:pPr>
              <w:widowControl w:val="0"/>
              <w:autoSpaceDE w:val="0"/>
              <w:autoSpaceDN w:val="0"/>
              <w:adjustRightInd w:val="0"/>
              <w:jc w:val="right"/>
              <w:rPr>
                <w:rFonts w:cs="Arial"/>
                <w:bCs/>
                <w:sz w:val="20"/>
                <w:szCs w:val="20"/>
              </w:rPr>
            </w:pPr>
            <w:r>
              <w:rPr>
                <w:rFonts w:cs="Arial"/>
                <w:bCs/>
                <w:sz w:val="20"/>
                <w:szCs w:val="20"/>
              </w:rPr>
              <w:t>44,103</w:t>
            </w:r>
          </w:p>
        </w:tc>
        <w:tc>
          <w:tcPr>
            <w:tcW w:w="2055" w:type="dxa"/>
            <w:tcBorders>
              <w:top w:val="single" w:sz="4" w:space="0" w:color="auto"/>
              <w:bottom w:val="single" w:sz="4" w:space="0" w:color="auto"/>
            </w:tcBorders>
          </w:tcPr>
          <w:p w14:paraId="65C9CD40" w14:textId="77777777" w:rsidR="00A73CBF" w:rsidRPr="003061F1" w:rsidRDefault="00642BF8" w:rsidP="00A73CBF">
            <w:pPr>
              <w:widowControl w:val="0"/>
              <w:autoSpaceDE w:val="0"/>
              <w:autoSpaceDN w:val="0"/>
              <w:adjustRightInd w:val="0"/>
              <w:jc w:val="right"/>
              <w:rPr>
                <w:rFonts w:cs="Arial"/>
                <w:bCs/>
                <w:sz w:val="20"/>
                <w:szCs w:val="20"/>
              </w:rPr>
            </w:pPr>
            <w:r>
              <w:rPr>
                <w:rFonts w:cs="Arial"/>
                <w:bCs/>
                <w:sz w:val="20"/>
                <w:szCs w:val="20"/>
              </w:rPr>
              <w:t>44,103</w:t>
            </w:r>
          </w:p>
        </w:tc>
      </w:tr>
      <w:tr w:rsidR="00A73CBF" w:rsidRPr="00676064" w14:paraId="2543A5FB" w14:textId="77777777" w:rsidTr="00A73CBF">
        <w:tc>
          <w:tcPr>
            <w:tcW w:w="4629" w:type="dxa"/>
          </w:tcPr>
          <w:p w14:paraId="2674103B" w14:textId="77777777" w:rsidR="00A73CBF" w:rsidRPr="003061F1" w:rsidRDefault="00A73CBF" w:rsidP="00A73CBF">
            <w:pPr>
              <w:widowControl w:val="0"/>
              <w:autoSpaceDE w:val="0"/>
              <w:autoSpaceDN w:val="0"/>
              <w:adjustRightInd w:val="0"/>
              <w:rPr>
                <w:rFonts w:cs="Arial"/>
                <w:bCs/>
                <w:sz w:val="20"/>
                <w:szCs w:val="20"/>
              </w:rPr>
            </w:pPr>
          </w:p>
        </w:tc>
        <w:tc>
          <w:tcPr>
            <w:tcW w:w="1820" w:type="dxa"/>
            <w:tcBorders>
              <w:top w:val="single" w:sz="4" w:space="0" w:color="auto"/>
            </w:tcBorders>
          </w:tcPr>
          <w:p w14:paraId="4D9F6673" w14:textId="77777777" w:rsidR="00A73CBF" w:rsidRPr="003061F1" w:rsidRDefault="00A73CBF" w:rsidP="00A73CBF">
            <w:pPr>
              <w:widowControl w:val="0"/>
              <w:autoSpaceDE w:val="0"/>
              <w:autoSpaceDN w:val="0"/>
              <w:adjustRightInd w:val="0"/>
              <w:jc w:val="right"/>
              <w:rPr>
                <w:rFonts w:cs="Arial"/>
                <w:bCs/>
                <w:sz w:val="20"/>
                <w:szCs w:val="20"/>
              </w:rPr>
            </w:pPr>
          </w:p>
        </w:tc>
        <w:tc>
          <w:tcPr>
            <w:tcW w:w="2055" w:type="dxa"/>
            <w:tcBorders>
              <w:top w:val="single" w:sz="4" w:space="0" w:color="auto"/>
            </w:tcBorders>
          </w:tcPr>
          <w:p w14:paraId="772A1A66" w14:textId="77777777" w:rsidR="00A73CBF" w:rsidRPr="003061F1" w:rsidRDefault="00A73CBF" w:rsidP="00A73CBF">
            <w:pPr>
              <w:widowControl w:val="0"/>
              <w:autoSpaceDE w:val="0"/>
              <w:autoSpaceDN w:val="0"/>
              <w:adjustRightInd w:val="0"/>
              <w:jc w:val="right"/>
              <w:rPr>
                <w:rFonts w:cs="Arial"/>
                <w:bCs/>
                <w:sz w:val="20"/>
                <w:szCs w:val="20"/>
              </w:rPr>
            </w:pPr>
          </w:p>
        </w:tc>
      </w:tr>
      <w:tr w:rsidR="00A73CBF" w:rsidRPr="00676064" w14:paraId="2F1520FD" w14:textId="77777777" w:rsidTr="00A73CBF">
        <w:tc>
          <w:tcPr>
            <w:tcW w:w="4629" w:type="dxa"/>
          </w:tcPr>
          <w:p w14:paraId="2F434974" w14:textId="77777777" w:rsidR="00A73CBF" w:rsidRPr="003061F1" w:rsidRDefault="00A73CBF" w:rsidP="00A73CBF">
            <w:pPr>
              <w:widowControl w:val="0"/>
              <w:autoSpaceDE w:val="0"/>
              <w:autoSpaceDN w:val="0"/>
              <w:adjustRightInd w:val="0"/>
              <w:rPr>
                <w:rFonts w:cs="Arial"/>
                <w:b/>
                <w:bCs/>
                <w:sz w:val="20"/>
                <w:szCs w:val="20"/>
              </w:rPr>
            </w:pPr>
            <w:r w:rsidRPr="003061F1">
              <w:rPr>
                <w:rFonts w:cs="Arial"/>
                <w:b/>
                <w:bCs/>
                <w:sz w:val="20"/>
                <w:szCs w:val="20"/>
              </w:rPr>
              <w:t>Amortisation</w:t>
            </w:r>
          </w:p>
        </w:tc>
        <w:tc>
          <w:tcPr>
            <w:tcW w:w="1820" w:type="dxa"/>
          </w:tcPr>
          <w:p w14:paraId="4365B49E" w14:textId="77777777" w:rsidR="00A73CBF" w:rsidRPr="003061F1" w:rsidRDefault="00A73CBF" w:rsidP="00A73CBF">
            <w:pPr>
              <w:widowControl w:val="0"/>
              <w:autoSpaceDE w:val="0"/>
              <w:autoSpaceDN w:val="0"/>
              <w:adjustRightInd w:val="0"/>
              <w:jc w:val="right"/>
              <w:rPr>
                <w:rFonts w:cs="Arial"/>
                <w:b/>
                <w:bCs/>
                <w:sz w:val="20"/>
                <w:szCs w:val="20"/>
              </w:rPr>
            </w:pPr>
          </w:p>
        </w:tc>
        <w:tc>
          <w:tcPr>
            <w:tcW w:w="2055" w:type="dxa"/>
          </w:tcPr>
          <w:p w14:paraId="2FCEE432" w14:textId="77777777" w:rsidR="00A73CBF" w:rsidRPr="003061F1" w:rsidRDefault="00A73CBF" w:rsidP="00A73CBF">
            <w:pPr>
              <w:widowControl w:val="0"/>
              <w:autoSpaceDE w:val="0"/>
              <w:autoSpaceDN w:val="0"/>
              <w:adjustRightInd w:val="0"/>
              <w:jc w:val="right"/>
              <w:rPr>
                <w:rFonts w:cs="Arial"/>
                <w:bCs/>
                <w:sz w:val="20"/>
                <w:szCs w:val="20"/>
              </w:rPr>
            </w:pPr>
          </w:p>
        </w:tc>
      </w:tr>
      <w:tr w:rsidR="00A73CBF" w:rsidRPr="00676064" w14:paraId="5F95F758" w14:textId="77777777" w:rsidTr="00A73CBF">
        <w:tc>
          <w:tcPr>
            <w:tcW w:w="4629" w:type="dxa"/>
          </w:tcPr>
          <w:p w14:paraId="589F670B" w14:textId="7777777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at 1 April</w:t>
            </w:r>
          </w:p>
        </w:tc>
        <w:tc>
          <w:tcPr>
            <w:tcW w:w="1820" w:type="dxa"/>
          </w:tcPr>
          <w:p w14:paraId="764108BA" w14:textId="77777777" w:rsidR="00A73CBF" w:rsidRPr="003061F1" w:rsidRDefault="00567379" w:rsidP="007B1A0B">
            <w:pPr>
              <w:widowControl w:val="0"/>
              <w:autoSpaceDE w:val="0"/>
              <w:autoSpaceDN w:val="0"/>
              <w:adjustRightInd w:val="0"/>
              <w:jc w:val="right"/>
              <w:rPr>
                <w:rFonts w:cs="Arial"/>
                <w:bCs/>
                <w:sz w:val="20"/>
                <w:szCs w:val="20"/>
              </w:rPr>
            </w:pPr>
            <w:r>
              <w:rPr>
                <w:rFonts w:cs="Arial"/>
                <w:bCs/>
                <w:sz w:val="20"/>
                <w:szCs w:val="20"/>
              </w:rPr>
              <w:t>36,798</w:t>
            </w:r>
          </w:p>
        </w:tc>
        <w:tc>
          <w:tcPr>
            <w:tcW w:w="2055" w:type="dxa"/>
          </w:tcPr>
          <w:p w14:paraId="37F8D1D0" w14:textId="77777777" w:rsidR="00A73CBF" w:rsidRPr="003061F1" w:rsidRDefault="00567379" w:rsidP="00A73CBF">
            <w:pPr>
              <w:widowControl w:val="0"/>
              <w:autoSpaceDE w:val="0"/>
              <w:autoSpaceDN w:val="0"/>
              <w:adjustRightInd w:val="0"/>
              <w:jc w:val="right"/>
              <w:rPr>
                <w:rFonts w:cs="Arial"/>
                <w:bCs/>
                <w:sz w:val="20"/>
                <w:szCs w:val="20"/>
              </w:rPr>
            </w:pPr>
            <w:r>
              <w:rPr>
                <w:rFonts w:cs="Arial"/>
                <w:bCs/>
                <w:sz w:val="20"/>
                <w:szCs w:val="20"/>
              </w:rPr>
              <w:t>28,874</w:t>
            </w:r>
          </w:p>
        </w:tc>
      </w:tr>
      <w:tr w:rsidR="00A73CBF" w:rsidRPr="00676064" w14:paraId="5C1E2C24" w14:textId="77777777" w:rsidTr="00A73CBF">
        <w:tc>
          <w:tcPr>
            <w:tcW w:w="4629" w:type="dxa"/>
          </w:tcPr>
          <w:p w14:paraId="173EE28F" w14:textId="7777777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Charged in year</w:t>
            </w:r>
          </w:p>
        </w:tc>
        <w:tc>
          <w:tcPr>
            <w:tcW w:w="1820" w:type="dxa"/>
          </w:tcPr>
          <w:p w14:paraId="62863787" w14:textId="77777777" w:rsidR="00A73CBF" w:rsidRPr="003061F1" w:rsidRDefault="00567379" w:rsidP="007B1A0B">
            <w:pPr>
              <w:widowControl w:val="0"/>
              <w:autoSpaceDE w:val="0"/>
              <w:autoSpaceDN w:val="0"/>
              <w:adjustRightInd w:val="0"/>
              <w:jc w:val="right"/>
              <w:rPr>
                <w:rFonts w:cs="Arial"/>
                <w:bCs/>
                <w:sz w:val="20"/>
                <w:szCs w:val="20"/>
              </w:rPr>
            </w:pPr>
            <w:r>
              <w:rPr>
                <w:rFonts w:cs="Arial"/>
                <w:bCs/>
                <w:sz w:val="20"/>
                <w:szCs w:val="20"/>
              </w:rPr>
              <w:t>4,083</w:t>
            </w:r>
          </w:p>
        </w:tc>
        <w:tc>
          <w:tcPr>
            <w:tcW w:w="2055" w:type="dxa"/>
          </w:tcPr>
          <w:p w14:paraId="520D1CFE" w14:textId="77777777" w:rsidR="00A73CBF" w:rsidRPr="003061F1" w:rsidRDefault="00567379" w:rsidP="00A73CBF">
            <w:pPr>
              <w:widowControl w:val="0"/>
              <w:autoSpaceDE w:val="0"/>
              <w:autoSpaceDN w:val="0"/>
              <w:adjustRightInd w:val="0"/>
              <w:jc w:val="right"/>
              <w:rPr>
                <w:rFonts w:cs="Arial"/>
                <w:bCs/>
                <w:sz w:val="20"/>
                <w:szCs w:val="20"/>
              </w:rPr>
            </w:pPr>
            <w:r>
              <w:rPr>
                <w:rFonts w:cs="Arial"/>
                <w:bCs/>
                <w:sz w:val="20"/>
                <w:szCs w:val="20"/>
              </w:rPr>
              <w:t>7,924</w:t>
            </w:r>
          </w:p>
        </w:tc>
      </w:tr>
      <w:tr w:rsidR="00A73CBF" w:rsidRPr="00676064" w14:paraId="16A15DDC" w14:textId="77777777" w:rsidTr="00A73CBF">
        <w:tc>
          <w:tcPr>
            <w:tcW w:w="4629" w:type="dxa"/>
          </w:tcPr>
          <w:p w14:paraId="0C904230" w14:textId="7777777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at 31 March</w:t>
            </w:r>
          </w:p>
        </w:tc>
        <w:tc>
          <w:tcPr>
            <w:tcW w:w="1820" w:type="dxa"/>
            <w:tcBorders>
              <w:top w:val="single" w:sz="4" w:space="0" w:color="auto"/>
              <w:bottom w:val="single" w:sz="4" w:space="0" w:color="auto"/>
            </w:tcBorders>
          </w:tcPr>
          <w:p w14:paraId="1547EE80" w14:textId="77777777" w:rsidR="00A73CBF" w:rsidRPr="003061F1" w:rsidRDefault="00567379" w:rsidP="007B1A0B">
            <w:pPr>
              <w:widowControl w:val="0"/>
              <w:autoSpaceDE w:val="0"/>
              <w:autoSpaceDN w:val="0"/>
              <w:adjustRightInd w:val="0"/>
              <w:jc w:val="right"/>
              <w:rPr>
                <w:rFonts w:cs="Arial"/>
                <w:bCs/>
                <w:sz w:val="20"/>
                <w:szCs w:val="20"/>
              </w:rPr>
            </w:pPr>
            <w:r>
              <w:rPr>
                <w:rFonts w:cs="Arial"/>
                <w:bCs/>
                <w:sz w:val="20"/>
                <w:szCs w:val="20"/>
              </w:rPr>
              <w:t>40,881</w:t>
            </w:r>
          </w:p>
        </w:tc>
        <w:tc>
          <w:tcPr>
            <w:tcW w:w="2055" w:type="dxa"/>
            <w:tcBorders>
              <w:top w:val="single" w:sz="4" w:space="0" w:color="auto"/>
              <w:bottom w:val="single" w:sz="4" w:space="0" w:color="auto"/>
            </w:tcBorders>
          </w:tcPr>
          <w:p w14:paraId="03956DC9" w14:textId="77777777" w:rsidR="00A73CBF" w:rsidRPr="003061F1" w:rsidRDefault="00567379" w:rsidP="00A73CBF">
            <w:pPr>
              <w:widowControl w:val="0"/>
              <w:autoSpaceDE w:val="0"/>
              <w:autoSpaceDN w:val="0"/>
              <w:adjustRightInd w:val="0"/>
              <w:jc w:val="right"/>
              <w:rPr>
                <w:rFonts w:cs="Arial"/>
                <w:bCs/>
                <w:sz w:val="20"/>
                <w:szCs w:val="20"/>
              </w:rPr>
            </w:pPr>
            <w:r>
              <w:rPr>
                <w:rFonts w:cs="Arial"/>
                <w:bCs/>
                <w:sz w:val="20"/>
                <w:szCs w:val="20"/>
              </w:rPr>
              <w:t>36,798</w:t>
            </w:r>
          </w:p>
        </w:tc>
      </w:tr>
      <w:tr w:rsidR="00A73CBF" w:rsidRPr="00676064" w14:paraId="6D640D39" w14:textId="77777777" w:rsidTr="00A73CBF">
        <w:tc>
          <w:tcPr>
            <w:tcW w:w="4629" w:type="dxa"/>
          </w:tcPr>
          <w:p w14:paraId="479A9059" w14:textId="77777777" w:rsidR="00A73CBF" w:rsidRPr="003061F1" w:rsidRDefault="00A73CBF" w:rsidP="00A73CBF">
            <w:pPr>
              <w:widowControl w:val="0"/>
              <w:autoSpaceDE w:val="0"/>
              <w:autoSpaceDN w:val="0"/>
              <w:adjustRightInd w:val="0"/>
              <w:rPr>
                <w:rFonts w:cs="Arial"/>
                <w:bCs/>
                <w:sz w:val="20"/>
                <w:szCs w:val="20"/>
              </w:rPr>
            </w:pPr>
          </w:p>
        </w:tc>
        <w:tc>
          <w:tcPr>
            <w:tcW w:w="1820" w:type="dxa"/>
            <w:tcBorders>
              <w:top w:val="single" w:sz="4" w:space="0" w:color="auto"/>
              <w:bottom w:val="single" w:sz="4" w:space="0" w:color="auto"/>
            </w:tcBorders>
          </w:tcPr>
          <w:p w14:paraId="0FA06E7E" w14:textId="77777777" w:rsidR="00A73CBF" w:rsidRPr="003061F1" w:rsidRDefault="00A73CBF" w:rsidP="00A73CBF">
            <w:pPr>
              <w:widowControl w:val="0"/>
              <w:autoSpaceDE w:val="0"/>
              <w:autoSpaceDN w:val="0"/>
              <w:adjustRightInd w:val="0"/>
              <w:jc w:val="right"/>
              <w:rPr>
                <w:rFonts w:cs="Arial"/>
                <w:bCs/>
                <w:sz w:val="20"/>
                <w:szCs w:val="20"/>
              </w:rPr>
            </w:pPr>
          </w:p>
        </w:tc>
        <w:tc>
          <w:tcPr>
            <w:tcW w:w="2055" w:type="dxa"/>
            <w:tcBorders>
              <w:top w:val="single" w:sz="4" w:space="0" w:color="auto"/>
              <w:bottom w:val="single" w:sz="4" w:space="0" w:color="auto"/>
            </w:tcBorders>
          </w:tcPr>
          <w:p w14:paraId="18BB882E" w14:textId="77777777" w:rsidR="00A73CBF" w:rsidRPr="003061F1" w:rsidRDefault="00A73CBF" w:rsidP="00A73CBF">
            <w:pPr>
              <w:widowControl w:val="0"/>
              <w:autoSpaceDE w:val="0"/>
              <w:autoSpaceDN w:val="0"/>
              <w:adjustRightInd w:val="0"/>
              <w:jc w:val="right"/>
              <w:rPr>
                <w:rFonts w:cs="Arial"/>
                <w:bCs/>
                <w:sz w:val="20"/>
                <w:szCs w:val="20"/>
              </w:rPr>
            </w:pPr>
          </w:p>
        </w:tc>
      </w:tr>
      <w:tr w:rsidR="00A73CBF" w:rsidRPr="00676064" w14:paraId="4A5E2817" w14:textId="77777777" w:rsidTr="00A73CBF">
        <w:tc>
          <w:tcPr>
            <w:tcW w:w="4629" w:type="dxa"/>
          </w:tcPr>
          <w:p w14:paraId="325C2C9C" w14:textId="7777777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Net book value at 31 March</w:t>
            </w:r>
          </w:p>
        </w:tc>
        <w:tc>
          <w:tcPr>
            <w:tcW w:w="1820" w:type="dxa"/>
            <w:tcBorders>
              <w:top w:val="single" w:sz="4" w:space="0" w:color="auto"/>
              <w:bottom w:val="single" w:sz="4" w:space="0" w:color="auto"/>
            </w:tcBorders>
          </w:tcPr>
          <w:p w14:paraId="15281B8A" w14:textId="77777777" w:rsidR="00A73CBF" w:rsidRPr="003061F1" w:rsidRDefault="00567379" w:rsidP="007B1A0B">
            <w:pPr>
              <w:widowControl w:val="0"/>
              <w:autoSpaceDE w:val="0"/>
              <w:autoSpaceDN w:val="0"/>
              <w:adjustRightInd w:val="0"/>
              <w:jc w:val="right"/>
              <w:rPr>
                <w:rFonts w:cs="Arial"/>
                <w:bCs/>
                <w:sz w:val="20"/>
                <w:szCs w:val="20"/>
              </w:rPr>
            </w:pPr>
            <w:r>
              <w:rPr>
                <w:rFonts w:cs="Arial"/>
                <w:bCs/>
                <w:sz w:val="20"/>
                <w:szCs w:val="20"/>
              </w:rPr>
              <w:t>3,222</w:t>
            </w:r>
          </w:p>
        </w:tc>
        <w:tc>
          <w:tcPr>
            <w:tcW w:w="2055" w:type="dxa"/>
            <w:tcBorders>
              <w:top w:val="single" w:sz="4" w:space="0" w:color="auto"/>
              <w:bottom w:val="single" w:sz="4" w:space="0" w:color="auto"/>
            </w:tcBorders>
          </w:tcPr>
          <w:p w14:paraId="3EB53FD2" w14:textId="77777777" w:rsidR="00A73CBF" w:rsidRPr="003061F1" w:rsidRDefault="00567379" w:rsidP="00A73CBF">
            <w:pPr>
              <w:widowControl w:val="0"/>
              <w:autoSpaceDE w:val="0"/>
              <w:autoSpaceDN w:val="0"/>
              <w:adjustRightInd w:val="0"/>
              <w:jc w:val="right"/>
              <w:rPr>
                <w:rFonts w:cs="Arial"/>
                <w:bCs/>
                <w:sz w:val="20"/>
                <w:szCs w:val="20"/>
              </w:rPr>
            </w:pPr>
            <w:r>
              <w:rPr>
                <w:rFonts w:cs="Arial"/>
                <w:bCs/>
                <w:sz w:val="20"/>
                <w:szCs w:val="20"/>
              </w:rPr>
              <w:t>7,305</w:t>
            </w:r>
          </w:p>
        </w:tc>
      </w:tr>
    </w:tbl>
    <w:p w14:paraId="1BC8A7D0" w14:textId="77777777" w:rsidR="000C2A54" w:rsidRDefault="000C2A54" w:rsidP="000C2A54">
      <w:pPr>
        <w:widowControl w:val="0"/>
        <w:autoSpaceDE w:val="0"/>
        <w:autoSpaceDN w:val="0"/>
        <w:adjustRightInd w:val="0"/>
        <w:rPr>
          <w:rFonts w:cs="Arial"/>
          <w:b/>
          <w:bCs/>
        </w:rPr>
      </w:pPr>
    </w:p>
    <w:p w14:paraId="7BDA89F6" w14:textId="77777777" w:rsidR="000C2A54" w:rsidRPr="00676064" w:rsidRDefault="000C2A54" w:rsidP="000C2A54">
      <w:pPr>
        <w:widowControl w:val="0"/>
        <w:tabs>
          <w:tab w:val="left" w:pos="567"/>
        </w:tabs>
        <w:autoSpaceDE w:val="0"/>
        <w:autoSpaceDN w:val="0"/>
        <w:adjustRightInd w:val="0"/>
        <w:rPr>
          <w:rFonts w:cs="Arial"/>
          <w:b/>
          <w:bCs/>
        </w:rPr>
      </w:pPr>
      <w:r>
        <w:rPr>
          <w:rFonts w:cs="Arial"/>
          <w:b/>
          <w:bCs/>
        </w:rPr>
        <w:t>8.</w:t>
      </w:r>
      <w:r>
        <w:rPr>
          <w:rFonts w:cs="Arial"/>
          <w:b/>
          <w:bCs/>
        </w:rPr>
        <w:tab/>
      </w:r>
      <w:r w:rsidRPr="00676064">
        <w:rPr>
          <w:rFonts w:cs="Arial"/>
          <w:b/>
          <w:bCs/>
        </w:rPr>
        <w:t>Financial instruments</w:t>
      </w:r>
    </w:p>
    <w:p w14:paraId="09EB9370" w14:textId="77777777" w:rsidR="000C2A54" w:rsidRPr="00676064" w:rsidRDefault="000C2A54" w:rsidP="000C2A54">
      <w:pPr>
        <w:widowControl w:val="0"/>
        <w:autoSpaceDE w:val="0"/>
        <w:autoSpaceDN w:val="0"/>
        <w:adjustRightInd w:val="0"/>
      </w:pPr>
    </w:p>
    <w:p w14:paraId="2D83E6E9" w14:textId="77777777" w:rsidR="000C2A54" w:rsidRPr="00676064" w:rsidRDefault="000C2A54" w:rsidP="000C2A54">
      <w:pPr>
        <w:pStyle w:val="BodyTextIndent"/>
        <w:spacing w:after="0"/>
        <w:ind w:left="567"/>
        <w:rPr>
          <w:rFonts w:cs="Arial"/>
          <w:bCs/>
        </w:rPr>
      </w:pPr>
      <w:r w:rsidRPr="00676064">
        <w:rPr>
          <w:rFonts w:cs="Arial"/>
          <w:bCs/>
        </w:rPr>
        <w:t xml:space="preserve">As the cash requirements of the Commission are met through </w:t>
      </w:r>
    </w:p>
    <w:p w14:paraId="383E4D77" w14:textId="77777777" w:rsidR="000C2A54" w:rsidRPr="00676064" w:rsidRDefault="000C2A54" w:rsidP="000C2A54">
      <w:pPr>
        <w:pStyle w:val="BodyTextIndent"/>
        <w:spacing w:after="0"/>
        <w:ind w:left="567"/>
        <w:rPr>
          <w:rFonts w:cs="Arial"/>
          <w:bCs/>
        </w:rPr>
      </w:pPr>
      <w:r w:rsidRPr="00676064">
        <w:rPr>
          <w:rFonts w:cs="Arial"/>
          <w:bCs/>
        </w:rPr>
        <w:t xml:space="preserve">grant-in-aid provided by </w:t>
      </w:r>
      <w:r w:rsidRPr="00676064">
        <w:rPr>
          <w:lang w:val="en-US"/>
        </w:rPr>
        <w:t>the Northern Ireland Office</w:t>
      </w:r>
      <w:r w:rsidRPr="00676064">
        <w:rPr>
          <w:rFonts w:cs="Arial"/>
          <w:bCs/>
        </w:rPr>
        <w:t>, financial instruments play a more limited role in creating and managing risk than would apply to a non-public sector body.  The majority of financial instruments relate to contracts to buy non</w:t>
      </w:r>
      <w:r w:rsidRPr="00676064">
        <w:t>-</w:t>
      </w:r>
      <w:r w:rsidRPr="00676064">
        <w:rPr>
          <w:rFonts w:cs="Arial"/>
          <w:bCs/>
        </w:rPr>
        <w:t xml:space="preserve">financial items in line with the </w:t>
      </w:r>
      <w:r w:rsidRPr="00676064">
        <w:t>Commission’s</w:t>
      </w:r>
      <w:r w:rsidRPr="00676064">
        <w:rPr>
          <w:rFonts w:cs="Arial"/>
          <w:bCs/>
        </w:rPr>
        <w:t xml:space="preserve"> expected purchase and usage requirements and the </w:t>
      </w:r>
      <w:r w:rsidRPr="00676064">
        <w:t>Commission</w:t>
      </w:r>
      <w:r w:rsidRPr="00676064">
        <w:rPr>
          <w:rFonts w:cs="Arial"/>
          <w:bCs/>
        </w:rPr>
        <w:t xml:space="preserve"> is therefore exposed to little credit, liquidity or market risk. </w:t>
      </w:r>
    </w:p>
    <w:p w14:paraId="1BBF2590" w14:textId="77777777" w:rsidR="003061F1" w:rsidRPr="00676064" w:rsidRDefault="003061F1" w:rsidP="000C2A54">
      <w:pPr>
        <w:pStyle w:val="BodyTextIndent"/>
        <w:spacing w:after="0"/>
        <w:ind w:left="0"/>
      </w:pPr>
    </w:p>
    <w:p w14:paraId="0F10BA71" w14:textId="77777777" w:rsidR="000C2A54" w:rsidRPr="00676064" w:rsidRDefault="000C2A54" w:rsidP="000C2A54">
      <w:pPr>
        <w:tabs>
          <w:tab w:val="left" w:pos="567"/>
        </w:tabs>
        <w:rPr>
          <w:rFonts w:cs="Arial"/>
          <w:b/>
          <w:bCs/>
        </w:rPr>
      </w:pPr>
      <w:r w:rsidRPr="00676064">
        <w:rPr>
          <w:rFonts w:cs="Arial"/>
          <w:b/>
          <w:bCs/>
        </w:rPr>
        <w:t>9.</w:t>
      </w:r>
      <w:r>
        <w:rPr>
          <w:rFonts w:cs="Arial"/>
          <w:b/>
          <w:bCs/>
        </w:rPr>
        <w:tab/>
      </w:r>
      <w:r w:rsidRPr="00676064">
        <w:rPr>
          <w:rFonts w:cs="Arial"/>
          <w:b/>
          <w:bCs/>
        </w:rPr>
        <w:t>Trade receivables and other current assets</w:t>
      </w:r>
    </w:p>
    <w:p w14:paraId="0FCD2C36"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bl>
      <w:tblPr>
        <w:tblW w:w="8527" w:type="dxa"/>
        <w:jc w:val="right"/>
        <w:tblLook w:val="01E0" w:firstRow="1" w:lastRow="1" w:firstColumn="1" w:lastColumn="1" w:noHBand="0" w:noVBand="0"/>
      </w:tblPr>
      <w:tblGrid>
        <w:gridCol w:w="5760"/>
        <w:gridCol w:w="1440"/>
        <w:gridCol w:w="1327"/>
      </w:tblGrid>
      <w:tr w:rsidR="000C2A54" w:rsidRPr="00676064" w14:paraId="33A11FF5" w14:textId="77777777" w:rsidTr="009264D8">
        <w:trPr>
          <w:jc w:val="right"/>
        </w:trPr>
        <w:tc>
          <w:tcPr>
            <w:tcW w:w="5760" w:type="dxa"/>
          </w:tcPr>
          <w:p w14:paraId="4D25DF12" w14:textId="77777777" w:rsidR="000C2A54" w:rsidRPr="00676064" w:rsidRDefault="000C2A54" w:rsidP="000C2A54">
            <w:pPr>
              <w:widowControl w:val="0"/>
              <w:tabs>
                <w:tab w:val="left" w:pos="567"/>
                <w:tab w:val="right" w:pos="7371"/>
                <w:tab w:val="right" w:pos="9356"/>
              </w:tabs>
              <w:autoSpaceDE w:val="0"/>
              <w:autoSpaceDN w:val="0"/>
              <w:adjustRightInd w:val="0"/>
              <w:jc w:val="right"/>
              <w:rPr>
                <w:rFonts w:cs="Arial"/>
                <w:b/>
                <w:bCs/>
              </w:rPr>
            </w:pPr>
          </w:p>
        </w:tc>
        <w:tc>
          <w:tcPr>
            <w:tcW w:w="1440" w:type="dxa"/>
          </w:tcPr>
          <w:p w14:paraId="40EB8C02"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2021-22</w:t>
            </w:r>
          </w:p>
        </w:tc>
        <w:tc>
          <w:tcPr>
            <w:tcW w:w="1327" w:type="dxa"/>
          </w:tcPr>
          <w:p w14:paraId="2766F3BB"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2020-21</w:t>
            </w:r>
          </w:p>
        </w:tc>
      </w:tr>
      <w:tr w:rsidR="000C2A54" w:rsidRPr="00676064" w14:paraId="0E1211D9" w14:textId="77777777" w:rsidTr="009264D8">
        <w:trPr>
          <w:jc w:val="right"/>
        </w:trPr>
        <w:tc>
          <w:tcPr>
            <w:tcW w:w="5760" w:type="dxa"/>
          </w:tcPr>
          <w:p w14:paraId="4753B75F"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c>
        <w:tc>
          <w:tcPr>
            <w:tcW w:w="1440" w:type="dxa"/>
          </w:tcPr>
          <w:p w14:paraId="71AE8848"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c>
          <w:tcPr>
            <w:tcW w:w="1327" w:type="dxa"/>
          </w:tcPr>
          <w:p w14:paraId="4FAF2B04"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r>
      <w:tr w:rsidR="000C2A54" w:rsidRPr="00676064" w14:paraId="318C5EB7" w14:textId="77777777" w:rsidTr="009264D8">
        <w:trPr>
          <w:jc w:val="right"/>
        </w:trPr>
        <w:tc>
          <w:tcPr>
            <w:tcW w:w="5760" w:type="dxa"/>
          </w:tcPr>
          <w:p w14:paraId="664359B1"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Amounts falling due within one year:</w:t>
            </w:r>
          </w:p>
        </w:tc>
        <w:tc>
          <w:tcPr>
            <w:tcW w:w="1440" w:type="dxa"/>
          </w:tcPr>
          <w:p w14:paraId="40D4CD6B"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c>
          <w:tcPr>
            <w:tcW w:w="1327" w:type="dxa"/>
          </w:tcPr>
          <w:p w14:paraId="3ED94DD9"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r>
      <w:tr w:rsidR="000C2A54" w:rsidRPr="00676064" w14:paraId="65C00AAD" w14:textId="77777777" w:rsidTr="009264D8">
        <w:trPr>
          <w:jc w:val="right"/>
        </w:trPr>
        <w:tc>
          <w:tcPr>
            <w:tcW w:w="5760" w:type="dxa"/>
          </w:tcPr>
          <w:p w14:paraId="711A66FF"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Trade Receivables</w:t>
            </w:r>
          </w:p>
        </w:tc>
        <w:tc>
          <w:tcPr>
            <w:tcW w:w="1440" w:type="dxa"/>
          </w:tcPr>
          <w:p w14:paraId="1CEE40A5" w14:textId="77777777" w:rsidR="000C2A54" w:rsidRPr="003061F1" w:rsidRDefault="00642BF8"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774</w:t>
            </w:r>
          </w:p>
        </w:tc>
        <w:tc>
          <w:tcPr>
            <w:tcW w:w="1327" w:type="dxa"/>
          </w:tcPr>
          <w:p w14:paraId="7B32C517"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774</w:t>
            </w:r>
          </w:p>
        </w:tc>
      </w:tr>
      <w:tr w:rsidR="000C2A54" w:rsidRPr="00676064" w14:paraId="112E4BE8" w14:textId="77777777" w:rsidTr="009264D8">
        <w:trPr>
          <w:jc w:val="right"/>
        </w:trPr>
        <w:tc>
          <w:tcPr>
            <w:tcW w:w="5760" w:type="dxa"/>
          </w:tcPr>
          <w:p w14:paraId="13666A7D"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Prepayments and accrued income</w:t>
            </w:r>
          </w:p>
        </w:tc>
        <w:tc>
          <w:tcPr>
            <w:tcW w:w="1440" w:type="dxa"/>
          </w:tcPr>
          <w:p w14:paraId="5B0FF681"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60,733</w:t>
            </w:r>
          </w:p>
        </w:tc>
        <w:tc>
          <w:tcPr>
            <w:tcW w:w="1327" w:type="dxa"/>
          </w:tcPr>
          <w:p w14:paraId="0E709C71"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46,635</w:t>
            </w:r>
          </w:p>
        </w:tc>
      </w:tr>
      <w:tr w:rsidR="000C2A54" w:rsidRPr="00676064" w14:paraId="05731E07" w14:textId="77777777" w:rsidTr="009264D8">
        <w:trPr>
          <w:jc w:val="right"/>
        </w:trPr>
        <w:tc>
          <w:tcPr>
            <w:tcW w:w="5760" w:type="dxa"/>
          </w:tcPr>
          <w:p w14:paraId="3822C73E"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c>
        <w:tc>
          <w:tcPr>
            <w:tcW w:w="1440" w:type="dxa"/>
            <w:tcBorders>
              <w:top w:val="single" w:sz="4" w:space="0" w:color="auto"/>
              <w:bottom w:val="single" w:sz="4" w:space="0" w:color="auto"/>
            </w:tcBorders>
          </w:tcPr>
          <w:p w14:paraId="294265B3"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73444523" w14:textId="77777777" w:rsidR="00567379"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61,507</w:t>
            </w:r>
          </w:p>
        </w:tc>
        <w:tc>
          <w:tcPr>
            <w:tcW w:w="1327" w:type="dxa"/>
            <w:tcBorders>
              <w:top w:val="single" w:sz="4" w:space="0" w:color="auto"/>
              <w:bottom w:val="single" w:sz="4" w:space="0" w:color="auto"/>
            </w:tcBorders>
          </w:tcPr>
          <w:p w14:paraId="1D1D4A00" w14:textId="77777777" w:rsidR="00642BF8" w:rsidRDefault="00642BF8" w:rsidP="00642BF8">
            <w:pPr>
              <w:widowControl w:val="0"/>
              <w:tabs>
                <w:tab w:val="left" w:pos="567"/>
                <w:tab w:val="right" w:pos="7371"/>
                <w:tab w:val="right" w:pos="9356"/>
              </w:tabs>
              <w:autoSpaceDE w:val="0"/>
              <w:autoSpaceDN w:val="0"/>
              <w:adjustRightInd w:val="0"/>
              <w:jc w:val="right"/>
              <w:rPr>
                <w:rFonts w:cs="Arial"/>
                <w:b/>
                <w:bCs/>
                <w:sz w:val="20"/>
                <w:szCs w:val="20"/>
              </w:rPr>
            </w:pPr>
          </w:p>
          <w:p w14:paraId="07ACA643" w14:textId="77777777" w:rsidR="00567379" w:rsidRPr="003061F1" w:rsidRDefault="00567379" w:rsidP="00642BF8">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47,409</w:t>
            </w:r>
          </w:p>
        </w:tc>
      </w:tr>
    </w:tbl>
    <w:p w14:paraId="1FA7A468" w14:textId="77777777" w:rsidR="003061F1" w:rsidRPr="00676064" w:rsidRDefault="003061F1" w:rsidP="000C2A54">
      <w:pPr>
        <w:widowControl w:val="0"/>
        <w:tabs>
          <w:tab w:val="left" w:pos="567"/>
          <w:tab w:val="right" w:pos="7371"/>
          <w:tab w:val="right" w:pos="9356"/>
        </w:tabs>
        <w:autoSpaceDE w:val="0"/>
        <w:autoSpaceDN w:val="0"/>
        <w:adjustRightInd w:val="0"/>
        <w:rPr>
          <w:rFonts w:cs="Arial"/>
          <w:b/>
          <w:bCs/>
        </w:rPr>
      </w:pPr>
    </w:p>
    <w:p w14:paraId="7D5ADFF3" w14:textId="0B8BF5FC" w:rsidR="000C2A54" w:rsidRPr="00612DE1" w:rsidRDefault="000C2A54" w:rsidP="00612DE1">
      <w:pPr>
        <w:pStyle w:val="ListParagraph"/>
        <w:numPr>
          <w:ilvl w:val="0"/>
          <w:numId w:val="14"/>
        </w:numPr>
        <w:rPr>
          <w:rFonts w:cs="Arial"/>
          <w:b/>
          <w:bCs/>
        </w:rPr>
      </w:pPr>
      <w:r w:rsidRPr="00612DE1">
        <w:rPr>
          <w:rFonts w:cs="Arial"/>
          <w:b/>
          <w:bCs/>
        </w:rPr>
        <w:t>Cash and cash equivalents</w:t>
      </w:r>
    </w:p>
    <w:p w14:paraId="224E79FF" w14:textId="77777777" w:rsidR="000C2A54" w:rsidRPr="00676064" w:rsidRDefault="000C2A54" w:rsidP="000C2A54">
      <w:pPr>
        <w:widowControl w:val="0"/>
        <w:tabs>
          <w:tab w:val="left" w:pos="567"/>
        </w:tabs>
        <w:autoSpaceDE w:val="0"/>
        <w:autoSpaceDN w:val="0"/>
        <w:adjustRightInd w:val="0"/>
        <w:rPr>
          <w:rFonts w:cs="Arial"/>
          <w:b/>
          <w:bCs/>
        </w:rPr>
      </w:pPr>
    </w:p>
    <w:tbl>
      <w:tblPr>
        <w:tblW w:w="8639" w:type="dxa"/>
        <w:jc w:val="right"/>
        <w:tblLook w:val="01E0" w:firstRow="1" w:lastRow="1" w:firstColumn="1" w:lastColumn="1" w:noHBand="0" w:noVBand="0"/>
      </w:tblPr>
      <w:tblGrid>
        <w:gridCol w:w="5760"/>
        <w:gridCol w:w="1440"/>
        <w:gridCol w:w="1439"/>
      </w:tblGrid>
      <w:tr w:rsidR="000C2A54" w:rsidRPr="00676064" w14:paraId="7ECD4C24" w14:textId="77777777" w:rsidTr="000C2A54">
        <w:trPr>
          <w:jc w:val="right"/>
        </w:trPr>
        <w:tc>
          <w:tcPr>
            <w:tcW w:w="5760" w:type="dxa"/>
          </w:tcPr>
          <w:p w14:paraId="37AAE3E9"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c>
        <w:tc>
          <w:tcPr>
            <w:tcW w:w="1440" w:type="dxa"/>
          </w:tcPr>
          <w:p w14:paraId="31F624EE"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w:t>
            </w:r>
            <w:r w:rsidR="00642BF8">
              <w:rPr>
                <w:rFonts w:cs="Arial"/>
                <w:b/>
                <w:bCs/>
                <w:sz w:val="20"/>
                <w:szCs w:val="20"/>
              </w:rPr>
              <w:t>21</w:t>
            </w:r>
            <w:r>
              <w:rPr>
                <w:rFonts w:cs="Arial"/>
                <w:b/>
                <w:bCs/>
                <w:sz w:val="20"/>
                <w:szCs w:val="20"/>
              </w:rPr>
              <w:t>-22</w:t>
            </w:r>
          </w:p>
        </w:tc>
        <w:tc>
          <w:tcPr>
            <w:tcW w:w="1439" w:type="dxa"/>
          </w:tcPr>
          <w:p w14:paraId="4AF39CA5"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202</w:t>
            </w:r>
            <w:r w:rsidR="00642BF8">
              <w:rPr>
                <w:rFonts w:cs="Arial"/>
                <w:b/>
                <w:bCs/>
                <w:sz w:val="20"/>
                <w:szCs w:val="20"/>
              </w:rPr>
              <w:t>0</w:t>
            </w:r>
            <w:r>
              <w:rPr>
                <w:rFonts w:cs="Arial"/>
                <w:b/>
                <w:bCs/>
                <w:sz w:val="20"/>
                <w:szCs w:val="20"/>
              </w:rPr>
              <w:t>-21</w:t>
            </w:r>
          </w:p>
        </w:tc>
      </w:tr>
      <w:tr w:rsidR="000C2A54" w:rsidRPr="00676064" w14:paraId="0B8012E8" w14:textId="77777777" w:rsidTr="000C2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5760" w:type="dxa"/>
            <w:tcBorders>
              <w:top w:val="nil"/>
              <w:left w:val="nil"/>
              <w:bottom w:val="nil"/>
              <w:right w:val="nil"/>
            </w:tcBorders>
          </w:tcPr>
          <w:p w14:paraId="24EEF7FE" w14:textId="77777777" w:rsidR="000C2A54" w:rsidRPr="00676064" w:rsidRDefault="000C2A54" w:rsidP="000C2A54">
            <w:pPr>
              <w:widowControl w:val="0"/>
              <w:tabs>
                <w:tab w:val="left" w:pos="567"/>
                <w:tab w:val="right" w:pos="7371"/>
                <w:tab w:val="right" w:pos="9356"/>
              </w:tabs>
              <w:autoSpaceDE w:val="0"/>
              <w:autoSpaceDN w:val="0"/>
              <w:adjustRightInd w:val="0"/>
              <w:rPr>
                <w:rFonts w:cs="Arial"/>
                <w:bCs/>
              </w:rPr>
            </w:pPr>
          </w:p>
        </w:tc>
        <w:tc>
          <w:tcPr>
            <w:tcW w:w="1440" w:type="dxa"/>
            <w:tcBorders>
              <w:top w:val="nil"/>
              <w:left w:val="nil"/>
              <w:bottom w:val="nil"/>
              <w:right w:val="nil"/>
            </w:tcBorders>
          </w:tcPr>
          <w:p w14:paraId="7EAC88F0"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c>
          <w:tcPr>
            <w:tcW w:w="1439" w:type="dxa"/>
            <w:tcBorders>
              <w:top w:val="nil"/>
              <w:left w:val="nil"/>
              <w:bottom w:val="nil"/>
              <w:right w:val="nil"/>
            </w:tcBorders>
          </w:tcPr>
          <w:p w14:paraId="3C0E4BD6"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r>
      <w:tr w:rsidR="000C2A54" w:rsidRPr="00676064" w14:paraId="7BAF2CBD" w14:textId="77777777" w:rsidTr="000C2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5760" w:type="dxa"/>
            <w:tcBorders>
              <w:top w:val="nil"/>
              <w:left w:val="nil"/>
              <w:bottom w:val="nil"/>
              <w:right w:val="nil"/>
            </w:tcBorders>
          </w:tcPr>
          <w:p w14:paraId="4B6210AB"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Balance at 1</w:t>
            </w:r>
            <w:r w:rsidRPr="003061F1">
              <w:rPr>
                <w:rFonts w:cs="Arial"/>
                <w:b/>
                <w:bCs/>
                <w:sz w:val="20"/>
                <w:szCs w:val="20"/>
                <w:vertAlign w:val="superscript"/>
              </w:rPr>
              <w:t xml:space="preserve"> </w:t>
            </w:r>
            <w:r w:rsidRPr="003061F1">
              <w:rPr>
                <w:rFonts w:cs="Arial"/>
                <w:b/>
                <w:bCs/>
                <w:sz w:val="20"/>
                <w:szCs w:val="20"/>
              </w:rPr>
              <w:t>April</w:t>
            </w:r>
          </w:p>
        </w:tc>
        <w:tc>
          <w:tcPr>
            <w:tcW w:w="1440" w:type="dxa"/>
            <w:tcBorders>
              <w:top w:val="nil"/>
              <w:left w:val="nil"/>
              <w:bottom w:val="nil"/>
              <w:right w:val="nil"/>
            </w:tcBorders>
          </w:tcPr>
          <w:p w14:paraId="0C26476B"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340,338</w:t>
            </w:r>
          </w:p>
        </w:tc>
        <w:tc>
          <w:tcPr>
            <w:tcW w:w="1439" w:type="dxa"/>
            <w:tcBorders>
              <w:top w:val="nil"/>
              <w:left w:val="nil"/>
              <w:bottom w:val="nil"/>
              <w:right w:val="nil"/>
            </w:tcBorders>
          </w:tcPr>
          <w:p w14:paraId="338E7870"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611,905</w:t>
            </w:r>
          </w:p>
        </w:tc>
      </w:tr>
      <w:tr w:rsidR="000C2A54" w:rsidRPr="00676064" w14:paraId="70416FCC" w14:textId="77777777" w:rsidTr="000C2A54">
        <w:trPr>
          <w:jc w:val="right"/>
        </w:trPr>
        <w:tc>
          <w:tcPr>
            <w:tcW w:w="5760" w:type="dxa"/>
          </w:tcPr>
          <w:p w14:paraId="0A543684"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Net change in cash and cash equivalent balances</w:t>
            </w:r>
          </w:p>
        </w:tc>
        <w:tc>
          <w:tcPr>
            <w:tcW w:w="1440" w:type="dxa"/>
            <w:tcBorders>
              <w:bottom w:val="single" w:sz="4" w:space="0" w:color="auto"/>
            </w:tcBorders>
          </w:tcPr>
          <w:p w14:paraId="5BBC1023"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201,400</w:t>
            </w:r>
          </w:p>
        </w:tc>
        <w:tc>
          <w:tcPr>
            <w:tcW w:w="1439" w:type="dxa"/>
            <w:tcBorders>
              <w:bottom w:val="single" w:sz="4" w:space="0" w:color="auto"/>
            </w:tcBorders>
          </w:tcPr>
          <w:p w14:paraId="58C3F2AB"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(271,567)</w:t>
            </w:r>
          </w:p>
        </w:tc>
      </w:tr>
      <w:tr w:rsidR="000C2A54" w:rsidRPr="00676064" w14:paraId="71D3046F" w14:textId="77777777" w:rsidTr="000C2A54">
        <w:trPr>
          <w:jc w:val="right"/>
        </w:trPr>
        <w:tc>
          <w:tcPr>
            <w:tcW w:w="5760" w:type="dxa"/>
          </w:tcPr>
          <w:p w14:paraId="196AD19C"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p w14:paraId="31F801C0"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Balance at 31 March</w:t>
            </w:r>
          </w:p>
        </w:tc>
        <w:tc>
          <w:tcPr>
            <w:tcW w:w="1440" w:type="dxa"/>
            <w:tcBorders>
              <w:top w:val="single" w:sz="4" w:space="0" w:color="auto"/>
              <w:bottom w:val="single" w:sz="4" w:space="0" w:color="auto"/>
            </w:tcBorders>
          </w:tcPr>
          <w:p w14:paraId="1267DF72" w14:textId="77777777" w:rsidR="00642BF8" w:rsidRDefault="00642BF8" w:rsidP="00642BF8">
            <w:pPr>
              <w:widowControl w:val="0"/>
              <w:tabs>
                <w:tab w:val="left" w:pos="567"/>
                <w:tab w:val="right" w:pos="7371"/>
                <w:tab w:val="right" w:pos="9356"/>
              </w:tabs>
              <w:autoSpaceDE w:val="0"/>
              <w:autoSpaceDN w:val="0"/>
              <w:adjustRightInd w:val="0"/>
              <w:jc w:val="right"/>
              <w:rPr>
                <w:rFonts w:cs="Arial"/>
                <w:b/>
                <w:bCs/>
                <w:sz w:val="20"/>
                <w:szCs w:val="20"/>
              </w:rPr>
            </w:pPr>
          </w:p>
          <w:p w14:paraId="35F3D0D6" w14:textId="77777777" w:rsidR="00567379" w:rsidRPr="003061F1" w:rsidRDefault="00567379" w:rsidP="00642BF8">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541,738</w:t>
            </w:r>
          </w:p>
        </w:tc>
        <w:tc>
          <w:tcPr>
            <w:tcW w:w="1439" w:type="dxa"/>
            <w:tcBorders>
              <w:top w:val="single" w:sz="4" w:space="0" w:color="auto"/>
              <w:bottom w:val="single" w:sz="4" w:space="0" w:color="auto"/>
            </w:tcBorders>
          </w:tcPr>
          <w:p w14:paraId="659F72F6"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310A43AD" w14:textId="77777777" w:rsidR="00567379"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340,338</w:t>
            </w:r>
          </w:p>
        </w:tc>
      </w:tr>
      <w:tr w:rsidR="000C2A54" w:rsidRPr="00676064" w14:paraId="412C41ED" w14:textId="77777777" w:rsidTr="000C2A54">
        <w:trPr>
          <w:jc w:val="right"/>
        </w:trPr>
        <w:tc>
          <w:tcPr>
            <w:tcW w:w="5760" w:type="dxa"/>
          </w:tcPr>
          <w:p w14:paraId="475E0631" w14:textId="77777777" w:rsidR="000C2A54" w:rsidRPr="00676064" w:rsidRDefault="000C2A54" w:rsidP="000C2A54">
            <w:pPr>
              <w:widowControl w:val="0"/>
              <w:tabs>
                <w:tab w:val="left" w:pos="567"/>
                <w:tab w:val="right" w:pos="7371"/>
                <w:tab w:val="right" w:pos="9356"/>
              </w:tabs>
              <w:autoSpaceDE w:val="0"/>
              <w:autoSpaceDN w:val="0"/>
              <w:adjustRightInd w:val="0"/>
              <w:rPr>
                <w:rFonts w:cs="Arial"/>
                <w:bCs/>
              </w:rPr>
            </w:pPr>
          </w:p>
        </w:tc>
        <w:tc>
          <w:tcPr>
            <w:tcW w:w="1440" w:type="dxa"/>
            <w:tcBorders>
              <w:top w:val="single" w:sz="4" w:space="0" w:color="auto"/>
            </w:tcBorders>
          </w:tcPr>
          <w:p w14:paraId="7D2066FB" w14:textId="77777777" w:rsidR="000C2A54" w:rsidRPr="00676064" w:rsidRDefault="000C2A54" w:rsidP="000C2A54">
            <w:pPr>
              <w:widowControl w:val="0"/>
              <w:tabs>
                <w:tab w:val="left" w:pos="567"/>
                <w:tab w:val="right" w:pos="7371"/>
                <w:tab w:val="right" w:pos="9356"/>
              </w:tabs>
              <w:autoSpaceDE w:val="0"/>
              <w:autoSpaceDN w:val="0"/>
              <w:adjustRightInd w:val="0"/>
              <w:jc w:val="right"/>
              <w:rPr>
                <w:rFonts w:cs="Arial"/>
                <w:bCs/>
              </w:rPr>
            </w:pPr>
          </w:p>
        </w:tc>
        <w:tc>
          <w:tcPr>
            <w:tcW w:w="1439" w:type="dxa"/>
            <w:tcBorders>
              <w:top w:val="single" w:sz="4" w:space="0" w:color="auto"/>
            </w:tcBorders>
          </w:tcPr>
          <w:p w14:paraId="5F1B9B93" w14:textId="77777777" w:rsidR="000C2A54" w:rsidRPr="00676064" w:rsidRDefault="000C2A54" w:rsidP="000C2A54">
            <w:pPr>
              <w:widowControl w:val="0"/>
              <w:tabs>
                <w:tab w:val="left" w:pos="567"/>
                <w:tab w:val="right" w:pos="7371"/>
                <w:tab w:val="right" w:pos="9356"/>
              </w:tabs>
              <w:autoSpaceDE w:val="0"/>
              <w:autoSpaceDN w:val="0"/>
              <w:adjustRightInd w:val="0"/>
              <w:jc w:val="right"/>
              <w:rPr>
                <w:rFonts w:cs="Arial"/>
                <w:bCs/>
              </w:rPr>
            </w:pPr>
          </w:p>
        </w:tc>
      </w:tr>
      <w:tr w:rsidR="000C2A54" w:rsidRPr="003061F1" w14:paraId="2FD72E66" w14:textId="77777777" w:rsidTr="000C2A54">
        <w:trPr>
          <w:jc w:val="right"/>
        </w:trPr>
        <w:tc>
          <w:tcPr>
            <w:tcW w:w="5760" w:type="dxa"/>
          </w:tcPr>
          <w:p w14:paraId="59E9EDAC"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The following balances at 31 March were held at:</w:t>
            </w:r>
          </w:p>
        </w:tc>
        <w:tc>
          <w:tcPr>
            <w:tcW w:w="1440" w:type="dxa"/>
          </w:tcPr>
          <w:p w14:paraId="7E4FD1BF"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Cs/>
                <w:sz w:val="20"/>
                <w:szCs w:val="20"/>
              </w:rPr>
            </w:pPr>
          </w:p>
        </w:tc>
        <w:tc>
          <w:tcPr>
            <w:tcW w:w="1439" w:type="dxa"/>
          </w:tcPr>
          <w:p w14:paraId="572E8CAA"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Cs/>
                <w:sz w:val="20"/>
                <w:szCs w:val="20"/>
              </w:rPr>
            </w:pPr>
          </w:p>
        </w:tc>
      </w:tr>
      <w:tr w:rsidR="000C2A54" w:rsidRPr="003061F1" w14:paraId="70BE2392" w14:textId="77777777" w:rsidTr="000C2A54">
        <w:trPr>
          <w:jc w:val="right"/>
        </w:trPr>
        <w:tc>
          <w:tcPr>
            <w:tcW w:w="5760" w:type="dxa"/>
          </w:tcPr>
          <w:p w14:paraId="6D1BD452"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Commercial banks and cash in hand</w:t>
            </w:r>
          </w:p>
        </w:tc>
        <w:tc>
          <w:tcPr>
            <w:tcW w:w="1440" w:type="dxa"/>
          </w:tcPr>
          <w:p w14:paraId="5FAD42C0"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541,738</w:t>
            </w:r>
          </w:p>
        </w:tc>
        <w:tc>
          <w:tcPr>
            <w:tcW w:w="1439" w:type="dxa"/>
          </w:tcPr>
          <w:p w14:paraId="14E6AE6C"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340,338</w:t>
            </w:r>
          </w:p>
        </w:tc>
      </w:tr>
      <w:tr w:rsidR="000C2A54" w:rsidRPr="003061F1" w14:paraId="106F9318" w14:textId="77777777" w:rsidTr="000C2A54">
        <w:trPr>
          <w:jc w:val="right"/>
        </w:trPr>
        <w:tc>
          <w:tcPr>
            <w:tcW w:w="5760" w:type="dxa"/>
          </w:tcPr>
          <w:p w14:paraId="49679D09"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p w14:paraId="27004BFF"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Balance at 31 March</w:t>
            </w:r>
          </w:p>
        </w:tc>
        <w:tc>
          <w:tcPr>
            <w:tcW w:w="1440" w:type="dxa"/>
            <w:tcBorders>
              <w:top w:val="single" w:sz="4" w:space="0" w:color="auto"/>
              <w:bottom w:val="single" w:sz="4" w:space="0" w:color="auto"/>
            </w:tcBorders>
          </w:tcPr>
          <w:p w14:paraId="5170346D"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58981BAD" w14:textId="77777777" w:rsidR="00567379"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541,738</w:t>
            </w:r>
          </w:p>
        </w:tc>
        <w:tc>
          <w:tcPr>
            <w:tcW w:w="1439" w:type="dxa"/>
            <w:tcBorders>
              <w:top w:val="single" w:sz="4" w:space="0" w:color="auto"/>
              <w:bottom w:val="single" w:sz="4" w:space="0" w:color="auto"/>
            </w:tcBorders>
          </w:tcPr>
          <w:p w14:paraId="5E6AB322"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3E66FFC9" w14:textId="77777777" w:rsidR="00567379"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340,338</w:t>
            </w:r>
          </w:p>
        </w:tc>
      </w:tr>
    </w:tbl>
    <w:p w14:paraId="236AC7BA" w14:textId="77777777" w:rsidR="000C2A54" w:rsidRDefault="000C2A54" w:rsidP="000C2A54">
      <w:pPr>
        <w:widowControl w:val="0"/>
        <w:autoSpaceDE w:val="0"/>
        <w:autoSpaceDN w:val="0"/>
        <w:adjustRightInd w:val="0"/>
        <w:ind w:left="567" w:hanging="567"/>
        <w:rPr>
          <w:rFonts w:cs="Arial"/>
          <w:b/>
          <w:bCs/>
        </w:rPr>
      </w:pPr>
    </w:p>
    <w:p w14:paraId="1E927F2D" w14:textId="77777777" w:rsidR="003061F1" w:rsidRPr="00676064" w:rsidRDefault="003061F1" w:rsidP="000C2A54">
      <w:pPr>
        <w:widowControl w:val="0"/>
        <w:autoSpaceDE w:val="0"/>
        <w:autoSpaceDN w:val="0"/>
        <w:adjustRightInd w:val="0"/>
        <w:ind w:left="567" w:hanging="567"/>
        <w:rPr>
          <w:rFonts w:cs="Arial"/>
          <w:b/>
          <w:bCs/>
        </w:rPr>
      </w:pPr>
    </w:p>
    <w:p w14:paraId="7525A322" w14:textId="77777777" w:rsidR="000C2A54" w:rsidRPr="00676064" w:rsidRDefault="000C2A54" w:rsidP="000C2A54">
      <w:pPr>
        <w:widowControl w:val="0"/>
        <w:autoSpaceDE w:val="0"/>
        <w:autoSpaceDN w:val="0"/>
        <w:adjustRightInd w:val="0"/>
        <w:ind w:left="567" w:hanging="567"/>
        <w:rPr>
          <w:rFonts w:cs="Arial"/>
          <w:b/>
          <w:bCs/>
        </w:rPr>
      </w:pPr>
      <w:r w:rsidRPr="00676064">
        <w:rPr>
          <w:rFonts w:cs="Arial"/>
          <w:b/>
          <w:bCs/>
        </w:rPr>
        <w:t>11.</w:t>
      </w:r>
      <w:r w:rsidRPr="00676064">
        <w:rPr>
          <w:rFonts w:cs="Arial"/>
          <w:b/>
          <w:bCs/>
        </w:rPr>
        <w:tab/>
        <w:t xml:space="preserve">Trade payables and other current liabilities </w:t>
      </w:r>
    </w:p>
    <w:p w14:paraId="3FF03BA0" w14:textId="77777777" w:rsidR="000C2A54" w:rsidRPr="00676064" w:rsidRDefault="000C2A54" w:rsidP="000C2A54">
      <w:pPr>
        <w:widowControl w:val="0"/>
        <w:tabs>
          <w:tab w:val="left" w:pos="567"/>
          <w:tab w:val="right" w:pos="7371"/>
          <w:tab w:val="right" w:pos="8976"/>
        </w:tabs>
        <w:autoSpaceDE w:val="0"/>
        <w:autoSpaceDN w:val="0"/>
        <w:adjustRightInd w:val="0"/>
        <w:rPr>
          <w:rFonts w:cs="Arial"/>
          <w:b/>
          <w:bCs/>
        </w:rPr>
      </w:pPr>
    </w:p>
    <w:tbl>
      <w:tblPr>
        <w:tblW w:w="8640" w:type="dxa"/>
        <w:jc w:val="right"/>
        <w:tblLook w:val="01E0" w:firstRow="1" w:lastRow="1" w:firstColumn="1" w:lastColumn="1" w:noHBand="0" w:noVBand="0"/>
      </w:tblPr>
      <w:tblGrid>
        <w:gridCol w:w="5761"/>
        <w:gridCol w:w="1440"/>
        <w:gridCol w:w="1439"/>
      </w:tblGrid>
      <w:tr w:rsidR="000C2A54" w:rsidRPr="00676064" w14:paraId="2C73EBAE" w14:textId="77777777" w:rsidTr="000C2A54">
        <w:trPr>
          <w:jc w:val="right"/>
        </w:trPr>
        <w:tc>
          <w:tcPr>
            <w:tcW w:w="5761" w:type="dxa"/>
          </w:tcPr>
          <w:p w14:paraId="7E2C2EBB"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tc>
        <w:tc>
          <w:tcPr>
            <w:tcW w:w="1440" w:type="dxa"/>
          </w:tcPr>
          <w:p w14:paraId="0009B253"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w:t>
            </w:r>
            <w:r w:rsidR="00642BF8">
              <w:rPr>
                <w:rFonts w:cs="Arial"/>
                <w:b/>
                <w:bCs/>
                <w:sz w:val="20"/>
                <w:szCs w:val="20"/>
              </w:rPr>
              <w:t>21</w:t>
            </w:r>
            <w:r>
              <w:rPr>
                <w:rFonts w:cs="Arial"/>
                <w:b/>
                <w:bCs/>
                <w:sz w:val="20"/>
                <w:szCs w:val="20"/>
              </w:rPr>
              <w:t>-22</w:t>
            </w:r>
          </w:p>
        </w:tc>
        <w:tc>
          <w:tcPr>
            <w:tcW w:w="1439" w:type="dxa"/>
          </w:tcPr>
          <w:p w14:paraId="0F0ACD55"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w:t>
            </w:r>
            <w:r w:rsidR="00642BF8">
              <w:rPr>
                <w:rFonts w:cs="Arial"/>
                <w:b/>
                <w:bCs/>
                <w:sz w:val="20"/>
                <w:szCs w:val="20"/>
              </w:rPr>
              <w:t>20</w:t>
            </w:r>
            <w:r>
              <w:rPr>
                <w:rFonts w:cs="Arial"/>
                <w:b/>
                <w:bCs/>
                <w:sz w:val="20"/>
                <w:szCs w:val="20"/>
              </w:rPr>
              <w:t>-21</w:t>
            </w:r>
          </w:p>
        </w:tc>
      </w:tr>
      <w:tr w:rsidR="000C2A54" w:rsidRPr="00676064" w14:paraId="19B8E1C9" w14:textId="77777777" w:rsidTr="000C2A54">
        <w:trPr>
          <w:jc w:val="right"/>
        </w:trPr>
        <w:tc>
          <w:tcPr>
            <w:tcW w:w="5761" w:type="dxa"/>
          </w:tcPr>
          <w:p w14:paraId="76254360"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tc>
        <w:tc>
          <w:tcPr>
            <w:tcW w:w="1440" w:type="dxa"/>
          </w:tcPr>
          <w:p w14:paraId="0E96A759"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c>
          <w:tcPr>
            <w:tcW w:w="1439" w:type="dxa"/>
          </w:tcPr>
          <w:p w14:paraId="449EC358"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r>
      <w:tr w:rsidR="000C2A54" w:rsidRPr="00676064" w14:paraId="4242107E" w14:textId="77777777" w:rsidTr="000C2A54">
        <w:trPr>
          <w:jc w:val="right"/>
        </w:trPr>
        <w:tc>
          <w:tcPr>
            <w:tcW w:w="5761" w:type="dxa"/>
          </w:tcPr>
          <w:p w14:paraId="64BA9530"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Amounts falling due within one year:</w:t>
            </w:r>
          </w:p>
        </w:tc>
        <w:tc>
          <w:tcPr>
            <w:tcW w:w="1440" w:type="dxa"/>
          </w:tcPr>
          <w:p w14:paraId="64FA42FA"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c>
          <w:tcPr>
            <w:tcW w:w="1439" w:type="dxa"/>
          </w:tcPr>
          <w:p w14:paraId="6FE86A47"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r>
      <w:tr w:rsidR="002B6EF7" w:rsidRPr="00676064" w14:paraId="0EB339B9" w14:textId="77777777" w:rsidTr="000C2A54">
        <w:trPr>
          <w:jc w:val="right"/>
        </w:trPr>
        <w:tc>
          <w:tcPr>
            <w:tcW w:w="5761" w:type="dxa"/>
          </w:tcPr>
          <w:p w14:paraId="7B7F7E6C" w14:textId="77777777" w:rsidR="002B6EF7" w:rsidRPr="003061F1" w:rsidRDefault="002B6EF7" w:rsidP="002B6EF7">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Taxation and social security</w:t>
            </w:r>
          </w:p>
        </w:tc>
        <w:tc>
          <w:tcPr>
            <w:tcW w:w="1440" w:type="dxa"/>
          </w:tcPr>
          <w:p w14:paraId="6521EE77" w14:textId="77777777" w:rsidR="002B6EF7" w:rsidRPr="003061F1" w:rsidRDefault="0056737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35,058</w:t>
            </w:r>
          </w:p>
        </w:tc>
        <w:tc>
          <w:tcPr>
            <w:tcW w:w="1439" w:type="dxa"/>
          </w:tcPr>
          <w:p w14:paraId="61C64789" w14:textId="77777777" w:rsidR="002B6EF7" w:rsidRPr="003061F1" w:rsidRDefault="0056737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24,310</w:t>
            </w:r>
          </w:p>
        </w:tc>
      </w:tr>
      <w:tr w:rsidR="002B6EF7" w:rsidRPr="00676064" w14:paraId="4101B7A2" w14:textId="77777777" w:rsidTr="000C2A54">
        <w:trPr>
          <w:jc w:val="right"/>
        </w:trPr>
        <w:tc>
          <w:tcPr>
            <w:tcW w:w="5761" w:type="dxa"/>
          </w:tcPr>
          <w:p w14:paraId="0CBA37B7" w14:textId="77777777" w:rsidR="002B6EF7" w:rsidRPr="003061F1" w:rsidRDefault="002B6EF7" w:rsidP="007B2D55">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Trade</w:t>
            </w:r>
            <w:r w:rsidR="00256432">
              <w:rPr>
                <w:rFonts w:cs="Arial"/>
                <w:bCs/>
                <w:sz w:val="20"/>
                <w:szCs w:val="20"/>
              </w:rPr>
              <w:t xml:space="preserve"> </w:t>
            </w:r>
            <w:r w:rsidRPr="003061F1">
              <w:rPr>
                <w:rFonts w:cs="Arial"/>
                <w:bCs/>
                <w:sz w:val="20"/>
                <w:szCs w:val="20"/>
              </w:rPr>
              <w:t>payables</w:t>
            </w:r>
          </w:p>
        </w:tc>
        <w:tc>
          <w:tcPr>
            <w:tcW w:w="1440" w:type="dxa"/>
          </w:tcPr>
          <w:p w14:paraId="5EF82239" w14:textId="77777777" w:rsidR="002B6EF7" w:rsidRPr="003061F1" w:rsidRDefault="0056737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948</w:t>
            </w:r>
          </w:p>
        </w:tc>
        <w:tc>
          <w:tcPr>
            <w:tcW w:w="1439" w:type="dxa"/>
          </w:tcPr>
          <w:p w14:paraId="7045CE21" w14:textId="77777777" w:rsidR="002B6EF7" w:rsidRPr="003061F1" w:rsidRDefault="0056737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8,613</w:t>
            </w:r>
          </w:p>
        </w:tc>
      </w:tr>
      <w:tr w:rsidR="002B6EF7" w:rsidRPr="00676064" w14:paraId="6EB8E94C" w14:textId="77777777" w:rsidTr="000C2A54">
        <w:trPr>
          <w:jc w:val="right"/>
        </w:trPr>
        <w:tc>
          <w:tcPr>
            <w:tcW w:w="5761" w:type="dxa"/>
          </w:tcPr>
          <w:p w14:paraId="79EE8E33" w14:textId="77777777" w:rsidR="002B6EF7" w:rsidRPr="003061F1" w:rsidRDefault="002B6EF7" w:rsidP="002B6EF7">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Other payables</w:t>
            </w:r>
          </w:p>
        </w:tc>
        <w:tc>
          <w:tcPr>
            <w:tcW w:w="1440" w:type="dxa"/>
          </w:tcPr>
          <w:p w14:paraId="4FD23E40" w14:textId="77777777" w:rsidR="002B6EF7" w:rsidRPr="003061F1" w:rsidRDefault="0056737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1,158</w:t>
            </w:r>
          </w:p>
        </w:tc>
        <w:tc>
          <w:tcPr>
            <w:tcW w:w="1439" w:type="dxa"/>
          </w:tcPr>
          <w:p w14:paraId="4FAB03AD" w14:textId="77777777" w:rsidR="002B6EF7" w:rsidRPr="003061F1" w:rsidRDefault="0056737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2,552</w:t>
            </w:r>
          </w:p>
        </w:tc>
      </w:tr>
      <w:tr w:rsidR="002B6EF7" w:rsidRPr="00676064" w14:paraId="661BEB78" w14:textId="77777777" w:rsidTr="000C2A54">
        <w:trPr>
          <w:jc w:val="right"/>
        </w:trPr>
        <w:tc>
          <w:tcPr>
            <w:tcW w:w="5761" w:type="dxa"/>
          </w:tcPr>
          <w:p w14:paraId="46DB0690" w14:textId="77777777" w:rsidR="002B6EF7" w:rsidRPr="003061F1" w:rsidRDefault="002B6EF7" w:rsidP="002B6EF7">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Accruals</w:t>
            </w:r>
          </w:p>
        </w:tc>
        <w:tc>
          <w:tcPr>
            <w:tcW w:w="1440" w:type="dxa"/>
          </w:tcPr>
          <w:p w14:paraId="5B97A930" w14:textId="3CA86623" w:rsidR="002B6EF7" w:rsidRPr="003061F1" w:rsidRDefault="00027716"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182,166</w:t>
            </w:r>
          </w:p>
        </w:tc>
        <w:tc>
          <w:tcPr>
            <w:tcW w:w="1439" w:type="dxa"/>
          </w:tcPr>
          <w:p w14:paraId="64427F56" w14:textId="77777777" w:rsidR="002B6EF7" w:rsidRPr="003061F1" w:rsidRDefault="00567379"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242,940</w:t>
            </w:r>
          </w:p>
        </w:tc>
      </w:tr>
      <w:tr w:rsidR="002B6EF7" w:rsidRPr="00676064" w14:paraId="4D2EB684" w14:textId="77777777" w:rsidTr="000C2A54">
        <w:trPr>
          <w:jc w:val="right"/>
        </w:trPr>
        <w:tc>
          <w:tcPr>
            <w:tcW w:w="5761" w:type="dxa"/>
          </w:tcPr>
          <w:p w14:paraId="582543A4" w14:textId="77777777" w:rsidR="002B6EF7" w:rsidRPr="003061F1" w:rsidRDefault="002B6EF7" w:rsidP="002B6EF7">
            <w:pPr>
              <w:widowControl w:val="0"/>
              <w:tabs>
                <w:tab w:val="left" w:pos="567"/>
                <w:tab w:val="right" w:pos="7371"/>
                <w:tab w:val="right" w:pos="9356"/>
              </w:tabs>
              <w:autoSpaceDE w:val="0"/>
              <w:autoSpaceDN w:val="0"/>
              <w:adjustRightInd w:val="0"/>
              <w:rPr>
                <w:rFonts w:cs="Arial"/>
                <w:b/>
                <w:bCs/>
                <w:sz w:val="20"/>
                <w:szCs w:val="20"/>
              </w:rPr>
            </w:pPr>
          </w:p>
          <w:p w14:paraId="28A0DDBF" w14:textId="77777777" w:rsidR="002B6EF7" w:rsidRPr="003061F1" w:rsidRDefault="002B6EF7" w:rsidP="002B6EF7">
            <w:pPr>
              <w:widowControl w:val="0"/>
              <w:tabs>
                <w:tab w:val="left" w:pos="567"/>
                <w:tab w:val="right" w:pos="7371"/>
                <w:tab w:val="right" w:pos="9356"/>
              </w:tabs>
              <w:autoSpaceDE w:val="0"/>
              <w:autoSpaceDN w:val="0"/>
              <w:adjustRightInd w:val="0"/>
              <w:rPr>
                <w:rFonts w:cs="Arial"/>
                <w:b/>
                <w:bCs/>
                <w:sz w:val="20"/>
                <w:szCs w:val="20"/>
              </w:rPr>
            </w:pPr>
          </w:p>
        </w:tc>
        <w:tc>
          <w:tcPr>
            <w:tcW w:w="1440" w:type="dxa"/>
            <w:tcBorders>
              <w:top w:val="single" w:sz="4" w:space="0" w:color="auto"/>
              <w:bottom w:val="single" w:sz="4" w:space="0" w:color="auto"/>
            </w:tcBorders>
          </w:tcPr>
          <w:p w14:paraId="3E67A2D5" w14:textId="77777777" w:rsidR="00BF0DCC" w:rsidRDefault="00BF0DCC" w:rsidP="002B6EF7">
            <w:pPr>
              <w:widowControl w:val="0"/>
              <w:tabs>
                <w:tab w:val="left" w:pos="567"/>
                <w:tab w:val="right" w:pos="7371"/>
                <w:tab w:val="right" w:pos="9356"/>
              </w:tabs>
              <w:autoSpaceDE w:val="0"/>
              <w:autoSpaceDN w:val="0"/>
              <w:adjustRightInd w:val="0"/>
              <w:jc w:val="right"/>
              <w:rPr>
                <w:rFonts w:cs="Arial"/>
                <w:b/>
                <w:bCs/>
                <w:sz w:val="20"/>
                <w:szCs w:val="20"/>
              </w:rPr>
            </w:pPr>
          </w:p>
          <w:p w14:paraId="28DE92EE" w14:textId="23632C66" w:rsidR="00567379" w:rsidRPr="003061F1" w:rsidRDefault="00027716" w:rsidP="002B6EF7">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219,330</w:t>
            </w:r>
          </w:p>
        </w:tc>
        <w:tc>
          <w:tcPr>
            <w:tcW w:w="1439" w:type="dxa"/>
            <w:tcBorders>
              <w:top w:val="single" w:sz="4" w:space="0" w:color="auto"/>
              <w:bottom w:val="single" w:sz="4" w:space="0" w:color="auto"/>
            </w:tcBorders>
          </w:tcPr>
          <w:p w14:paraId="7DB78E39" w14:textId="77777777" w:rsidR="00642BF8" w:rsidRDefault="00642BF8" w:rsidP="002B6EF7">
            <w:pPr>
              <w:widowControl w:val="0"/>
              <w:tabs>
                <w:tab w:val="left" w:pos="567"/>
                <w:tab w:val="right" w:pos="7371"/>
                <w:tab w:val="right" w:pos="9356"/>
              </w:tabs>
              <w:autoSpaceDE w:val="0"/>
              <w:autoSpaceDN w:val="0"/>
              <w:adjustRightInd w:val="0"/>
              <w:jc w:val="right"/>
              <w:rPr>
                <w:rFonts w:cs="Arial"/>
                <w:b/>
                <w:bCs/>
                <w:sz w:val="20"/>
                <w:szCs w:val="20"/>
              </w:rPr>
            </w:pPr>
          </w:p>
          <w:p w14:paraId="05D811C7" w14:textId="77777777" w:rsidR="00567379" w:rsidRPr="003061F1" w:rsidRDefault="00567379" w:rsidP="002B6EF7">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278,415</w:t>
            </w:r>
          </w:p>
        </w:tc>
      </w:tr>
    </w:tbl>
    <w:p w14:paraId="141CBAC6" w14:textId="77777777" w:rsidR="00E45DC6" w:rsidRDefault="00E45DC6" w:rsidP="000C2A54">
      <w:pPr>
        <w:rPr>
          <w:b/>
          <w:sz w:val="22"/>
          <w:szCs w:val="22"/>
        </w:rPr>
      </w:pPr>
    </w:p>
    <w:p w14:paraId="0D074B97" w14:textId="77777777" w:rsidR="009A5BEC" w:rsidRDefault="009A5BEC" w:rsidP="000C2A54">
      <w:pPr>
        <w:rPr>
          <w:b/>
          <w:sz w:val="22"/>
          <w:szCs w:val="22"/>
        </w:rPr>
      </w:pPr>
    </w:p>
    <w:p w14:paraId="4F5E3AD5" w14:textId="77777777" w:rsidR="00250101" w:rsidRDefault="00250101">
      <w:pPr>
        <w:rPr>
          <w:b/>
          <w:sz w:val="22"/>
          <w:szCs w:val="22"/>
        </w:rPr>
      </w:pPr>
      <w:r>
        <w:rPr>
          <w:b/>
          <w:sz w:val="22"/>
          <w:szCs w:val="22"/>
        </w:rPr>
        <w:br w:type="page"/>
      </w:r>
    </w:p>
    <w:p w14:paraId="6BEB94FA" w14:textId="7F49DADD" w:rsidR="000C2A54" w:rsidRPr="00EB5423" w:rsidRDefault="000C2A54" w:rsidP="000C2A54">
      <w:pPr>
        <w:rPr>
          <w:b/>
          <w:sz w:val="22"/>
          <w:szCs w:val="22"/>
        </w:rPr>
      </w:pPr>
      <w:r w:rsidRPr="00EB5423">
        <w:rPr>
          <w:b/>
          <w:sz w:val="22"/>
          <w:szCs w:val="22"/>
        </w:rPr>
        <w:t xml:space="preserve">12. </w:t>
      </w:r>
      <w:r w:rsidRPr="002E138D">
        <w:rPr>
          <w:b/>
        </w:rPr>
        <w:t>Provisions for liabilities and charges</w:t>
      </w:r>
    </w:p>
    <w:p w14:paraId="47BF32B5" w14:textId="77777777" w:rsidR="000C2A54" w:rsidRPr="00EB5423" w:rsidRDefault="000C2A54" w:rsidP="000C2A54">
      <w:pPr>
        <w:pStyle w:val="BodyTextIndent2"/>
        <w:spacing w:after="0" w:line="240" w:lineRule="auto"/>
        <w:ind w:left="567" w:hanging="567"/>
        <w:rPr>
          <w:rFonts w:ascii="Verdana" w:hAnsi="Verdana"/>
          <w:b/>
          <w:sz w:val="22"/>
          <w:szCs w:val="22"/>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906"/>
        <w:gridCol w:w="1559"/>
        <w:gridCol w:w="1559"/>
        <w:gridCol w:w="1214"/>
      </w:tblGrid>
      <w:tr w:rsidR="007E1108" w14:paraId="21935AB0" w14:textId="77777777" w:rsidTr="007E1108">
        <w:tc>
          <w:tcPr>
            <w:tcW w:w="1501" w:type="dxa"/>
          </w:tcPr>
          <w:p w14:paraId="0D091536" w14:textId="77777777" w:rsidR="007E1108" w:rsidRPr="00EA0107" w:rsidRDefault="007E1108" w:rsidP="000C2A54">
            <w:pPr>
              <w:pStyle w:val="BodyTextIndent2"/>
              <w:spacing w:after="0" w:line="240" w:lineRule="auto"/>
              <w:ind w:left="0"/>
              <w:rPr>
                <w:rFonts w:ascii="Verdana" w:hAnsi="Verdana"/>
                <w:b/>
                <w:sz w:val="20"/>
                <w:szCs w:val="20"/>
              </w:rPr>
            </w:pPr>
          </w:p>
        </w:tc>
        <w:tc>
          <w:tcPr>
            <w:tcW w:w="1906" w:type="dxa"/>
          </w:tcPr>
          <w:p w14:paraId="307F68B9" w14:textId="77777777" w:rsidR="007E1108" w:rsidRPr="00EA0107" w:rsidRDefault="007E1108" w:rsidP="00EA0107">
            <w:pPr>
              <w:pStyle w:val="BodyTextIndent2"/>
              <w:spacing w:after="0" w:line="240" w:lineRule="auto"/>
              <w:ind w:left="0"/>
              <w:jc w:val="center"/>
              <w:rPr>
                <w:rFonts w:ascii="Verdana" w:hAnsi="Verdana"/>
                <w:b/>
                <w:sz w:val="20"/>
                <w:szCs w:val="20"/>
              </w:rPr>
            </w:pPr>
            <w:r>
              <w:rPr>
                <w:rFonts w:ascii="Verdana" w:hAnsi="Verdana"/>
                <w:b/>
                <w:sz w:val="20"/>
                <w:szCs w:val="20"/>
              </w:rPr>
              <w:t>20</w:t>
            </w:r>
            <w:r w:rsidR="00567379">
              <w:rPr>
                <w:rFonts w:ascii="Verdana" w:hAnsi="Verdana"/>
                <w:b/>
                <w:sz w:val="20"/>
                <w:szCs w:val="20"/>
              </w:rPr>
              <w:t>21-22</w:t>
            </w:r>
          </w:p>
        </w:tc>
        <w:tc>
          <w:tcPr>
            <w:tcW w:w="1559" w:type="dxa"/>
          </w:tcPr>
          <w:p w14:paraId="22E14C36" w14:textId="77777777" w:rsidR="007E1108" w:rsidRPr="00EA0107" w:rsidRDefault="007E1108" w:rsidP="00EA0107">
            <w:pPr>
              <w:pStyle w:val="BodyTextIndent2"/>
              <w:spacing w:after="0" w:line="240" w:lineRule="auto"/>
              <w:ind w:left="0"/>
              <w:jc w:val="center"/>
              <w:rPr>
                <w:rFonts w:ascii="Verdana" w:hAnsi="Verdana"/>
                <w:b/>
                <w:sz w:val="20"/>
                <w:szCs w:val="20"/>
              </w:rPr>
            </w:pPr>
            <w:r>
              <w:rPr>
                <w:rFonts w:ascii="Verdana" w:hAnsi="Verdana"/>
                <w:b/>
                <w:sz w:val="20"/>
                <w:szCs w:val="20"/>
              </w:rPr>
              <w:t>20</w:t>
            </w:r>
            <w:r w:rsidR="00567379">
              <w:rPr>
                <w:rFonts w:ascii="Verdana" w:hAnsi="Verdana"/>
                <w:b/>
                <w:sz w:val="20"/>
                <w:szCs w:val="20"/>
              </w:rPr>
              <w:t>21-22</w:t>
            </w:r>
          </w:p>
        </w:tc>
        <w:tc>
          <w:tcPr>
            <w:tcW w:w="1559" w:type="dxa"/>
          </w:tcPr>
          <w:p w14:paraId="383586A3" w14:textId="77777777" w:rsidR="007E1108" w:rsidRPr="00EA0107" w:rsidRDefault="007E1108" w:rsidP="00EA0107">
            <w:pPr>
              <w:pStyle w:val="BodyTextIndent2"/>
              <w:spacing w:after="0" w:line="240" w:lineRule="auto"/>
              <w:ind w:left="0"/>
              <w:jc w:val="center"/>
              <w:rPr>
                <w:rFonts w:ascii="Verdana" w:hAnsi="Verdana"/>
                <w:b/>
                <w:sz w:val="20"/>
                <w:szCs w:val="20"/>
              </w:rPr>
            </w:pPr>
            <w:r>
              <w:rPr>
                <w:rFonts w:ascii="Verdana" w:hAnsi="Verdana"/>
                <w:b/>
                <w:sz w:val="20"/>
                <w:szCs w:val="20"/>
              </w:rPr>
              <w:t>20</w:t>
            </w:r>
            <w:r w:rsidR="00567379">
              <w:rPr>
                <w:rFonts w:ascii="Verdana" w:hAnsi="Verdana"/>
                <w:b/>
                <w:sz w:val="20"/>
                <w:szCs w:val="20"/>
              </w:rPr>
              <w:t>20-21</w:t>
            </w:r>
          </w:p>
        </w:tc>
        <w:tc>
          <w:tcPr>
            <w:tcW w:w="1214" w:type="dxa"/>
          </w:tcPr>
          <w:p w14:paraId="787AFEF1" w14:textId="77777777" w:rsidR="007E1108" w:rsidRPr="00EA0107" w:rsidRDefault="007E1108" w:rsidP="007E1108">
            <w:pPr>
              <w:pStyle w:val="BodyTextIndent2"/>
              <w:spacing w:after="0" w:line="240" w:lineRule="auto"/>
              <w:ind w:left="92" w:hanging="92"/>
              <w:jc w:val="center"/>
              <w:rPr>
                <w:rFonts w:ascii="Verdana" w:hAnsi="Verdana"/>
                <w:b/>
                <w:sz w:val="20"/>
                <w:szCs w:val="20"/>
              </w:rPr>
            </w:pPr>
            <w:r>
              <w:rPr>
                <w:rFonts w:ascii="Verdana" w:hAnsi="Verdana"/>
                <w:b/>
                <w:sz w:val="20"/>
                <w:szCs w:val="20"/>
              </w:rPr>
              <w:t>20</w:t>
            </w:r>
            <w:r w:rsidR="00567379">
              <w:rPr>
                <w:rFonts w:ascii="Verdana" w:hAnsi="Verdana"/>
                <w:b/>
                <w:sz w:val="20"/>
                <w:szCs w:val="20"/>
              </w:rPr>
              <w:t>20-21</w:t>
            </w:r>
          </w:p>
        </w:tc>
      </w:tr>
      <w:tr w:rsidR="007E1108" w14:paraId="37874938" w14:textId="77777777" w:rsidTr="007E1108">
        <w:tc>
          <w:tcPr>
            <w:tcW w:w="1501" w:type="dxa"/>
          </w:tcPr>
          <w:p w14:paraId="2D0AE496" w14:textId="77777777" w:rsidR="007E1108" w:rsidRPr="00EA0107" w:rsidRDefault="007E1108" w:rsidP="000C2A54">
            <w:pPr>
              <w:pStyle w:val="BodyTextIndent2"/>
              <w:spacing w:after="0" w:line="240" w:lineRule="auto"/>
              <w:ind w:left="0"/>
              <w:rPr>
                <w:rFonts w:ascii="Verdana" w:hAnsi="Verdana"/>
                <w:b/>
                <w:sz w:val="20"/>
                <w:szCs w:val="20"/>
              </w:rPr>
            </w:pPr>
          </w:p>
        </w:tc>
        <w:tc>
          <w:tcPr>
            <w:tcW w:w="1906" w:type="dxa"/>
          </w:tcPr>
          <w:p w14:paraId="15F00F62" w14:textId="77777777" w:rsidR="007E1108" w:rsidRPr="00EA0107" w:rsidRDefault="007E1108"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Other</w:t>
            </w:r>
          </w:p>
        </w:tc>
        <w:tc>
          <w:tcPr>
            <w:tcW w:w="1559" w:type="dxa"/>
          </w:tcPr>
          <w:p w14:paraId="358AE19E" w14:textId="77777777" w:rsidR="007E1108" w:rsidRPr="00EA0107" w:rsidRDefault="007E1108"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Total</w:t>
            </w:r>
          </w:p>
        </w:tc>
        <w:tc>
          <w:tcPr>
            <w:tcW w:w="1559" w:type="dxa"/>
          </w:tcPr>
          <w:p w14:paraId="2BFE3B06" w14:textId="77777777" w:rsidR="007E1108" w:rsidRPr="00EA0107" w:rsidRDefault="007E1108"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Other</w:t>
            </w:r>
          </w:p>
        </w:tc>
        <w:tc>
          <w:tcPr>
            <w:tcW w:w="1214" w:type="dxa"/>
          </w:tcPr>
          <w:p w14:paraId="532B19BD" w14:textId="77777777" w:rsidR="007E1108" w:rsidRPr="00EA0107" w:rsidRDefault="007E1108"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Total</w:t>
            </w:r>
          </w:p>
        </w:tc>
      </w:tr>
      <w:tr w:rsidR="007E1108" w14:paraId="0A19BDBC" w14:textId="77777777" w:rsidTr="007E1108">
        <w:tc>
          <w:tcPr>
            <w:tcW w:w="1501" w:type="dxa"/>
          </w:tcPr>
          <w:p w14:paraId="5C10AFDA" w14:textId="77777777" w:rsidR="007E1108" w:rsidRPr="00EA0107" w:rsidRDefault="007E1108" w:rsidP="000C2A54">
            <w:pPr>
              <w:pStyle w:val="BodyTextIndent2"/>
              <w:spacing w:after="0" w:line="240" w:lineRule="auto"/>
              <w:ind w:left="0"/>
              <w:rPr>
                <w:rFonts w:ascii="Verdana" w:hAnsi="Verdana"/>
                <w:b/>
                <w:sz w:val="20"/>
                <w:szCs w:val="20"/>
              </w:rPr>
            </w:pPr>
          </w:p>
        </w:tc>
        <w:tc>
          <w:tcPr>
            <w:tcW w:w="1906" w:type="dxa"/>
          </w:tcPr>
          <w:p w14:paraId="0737151E" w14:textId="77777777" w:rsidR="007E1108" w:rsidRPr="00EA0107" w:rsidRDefault="007E1108"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w:t>
            </w:r>
          </w:p>
        </w:tc>
        <w:tc>
          <w:tcPr>
            <w:tcW w:w="1559" w:type="dxa"/>
          </w:tcPr>
          <w:p w14:paraId="6731C7FC" w14:textId="77777777" w:rsidR="007E1108" w:rsidRPr="00EA0107" w:rsidRDefault="007E1108"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w:t>
            </w:r>
          </w:p>
        </w:tc>
        <w:tc>
          <w:tcPr>
            <w:tcW w:w="1559" w:type="dxa"/>
          </w:tcPr>
          <w:p w14:paraId="7BD1EF33" w14:textId="77777777" w:rsidR="007E1108" w:rsidRPr="00EA0107" w:rsidRDefault="007E1108"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w:t>
            </w:r>
          </w:p>
        </w:tc>
        <w:tc>
          <w:tcPr>
            <w:tcW w:w="1214" w:type="dxa"/>
          </w:tcPr>
          <w:p w14:paraId="3FD283DE" w14:textId="77777777" w:rsidR="007E1108" w:rsidRPr="00EA0107" w:rsidRDefault="007E1108"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w:t>
            </w:r>
          </w:p>
        </w:tc>
      </w:tr>
      <w:tr w:rsidR="007E1108" w14:paraId="1C4C6400" w14:textId="77777777" w:rsidTr="007E1108">
        <w:tc>
          <w:tcPr>
            <w:tcW w:w="1501" w:type="dxa"/>
          </w:tcPr>
          <w:p w14:paraId="18907FDC" w14:textId="77777777" w:rsidR="007E1108" w:rsidRPr="00EA0107" w:rsidRDefault="007E1108" w:rsidP="000C2A54">
            <w:pPr>
              <w:pStyle w:val="BodyTextIndent2"/>
              <w:spacing w:after="0" w:line="240" w:lineRule="auto"/>
              <w:ind w:left="0"/>
              <w:rPr>
                <w:rFonts w:ascii="Verdana" w:hAnsi="Verdana"/>
                <w:b/>
                <w:sz w:val="20"/>
                <w:szCs w:val="20"/>
              </w:rPr>
            </w:pPr>
            <w:r w:rsidRPr="00EA0107">
              <w:rPr>
                <w:rFonts w:ascii="Verdana" w:hAnsi="Verdana"/>
                <w:b/>
                <w:sz w:val="20"/>
                <w:szCs w:val="20"/>
              </w:rPr>
              <w:t>Balance at 1 April</w:t>
            </w:r>
          </w:p>
        </w:tc>
        <w:tc>
          <w:tcPr>
            <w:tcW w:w="1906" w:type="dxa"/>
          </w:tcPr>
          <w:p w14:paraId="7A85D4FD" w14:textId="77777777" w:rsidR="007E1108" w:rsidRDefault="007E1108" w:rsidP="00CA7A3B">
            <w:pPr>
              <w:pStyle w:val="BodyTextIndent2"/>
              <w:spacing w:after="0" w:line="240" w:lineRule="auto"/>
              <w:ind w:left="0"/>
              <w:jc w:val="right"/>
              <w:rPr>
                <w:rFonts w:ascii="Verdana" w:hAnsi="Verdana"/>
                <w:sz w:val="20"/>
                <w:szCs w:val="20"/>
              </w:rPr>
            </w:pPr>
          </w:p>
          <w:p w14:paraId="7B48E558" w14:textId="77777777" w:rsidR="007E1108" w:rsidRPr="00EA0107" w:rsidRDefault="00567379" w:rsidP="00CA7A3B">
            <w:pPr>
              <w:pStyle w:val="BodyTextIndent2"/>
              <w:spacing w:after="0" w:line="240" w:lineRule="auto"/>
              <w:ind w:left="0"/>
              <w:jc w:val="right"/>
              <w:rPr>
                <w:rFonts w:ascii="Verdana" w:hAnsi="Verdana"/>
                <w:sz w:val="20"/>
                <w:szCs w:val="20"/>
              </w:rPr>
            </w:pPr>
            <w:r>
              <w:rPr>
                <w:rFonts w:ascii="Verdana" w:hAnsi="Verdana"/>
                <w:sz w:val="20"/>
                <w:szCs w:val="20"/>
              </w:rPr>
              <w:t>75,000</w:t>
            </w:r>
          </w:p>
        </w:tc>
        <w:tc>
          <w:tcPr>
            <w:tcW w:w="1559" w:type="dxa"/>
          </w:tcPr>
          <w:p w14:paraId="36934F7D" w14:textId="77777777" w:rsidR="007E1108" w:rsidRDefault="007E1108" w:rsidP="00CA7A3B">
            <w:pPr>
              <w:pStyle w:val="BodyTextIndent2"/>
              <w:spacing w:after="0" w:line="240" w:lineRule="auto"/>
              <w:ind w:left="0"/>
              <w:jc w:val="right"/>
              <w:rPr>
                <w:rFonts w:ascii="Verdana" w:hAnsi="Verdana"/>
                <w:sz w:val="20"/>
                <w:szCs w:val="20"/>
              </w:rPr>
            </w:pPr>
          </w:p>
          <w:p w14:paraId="4C5D4540" w14:textId="77777777" w:rsidR="00567379" w:rsidRPr="00EA0107" w:rsidRDefault="00567379" w:rsidP="00CA7A3B">
            <w:pPr>
              <w:pStyle w:val="BodyTextIndent2"/>
              <w:spacing w:after="0" w:line="240" w:lineRule="auto"/>
              <w:ind w:left="0"/>
              <w:jc w:val="right"/>
              <w:rPr>
                <w:rFonts w:ascii="Verdana" w:hAnsi="Verdana"/>
                <w:sz w:val="20"/>
                <w:szCs w:val="20"/>
              </w:rPr>
            </w:pPr>
            <w:r>
              <w:rPr>
                <w:rFonts w:ascii="Verdana" w:hAnsi="Verdana"/>
                <w:sz w:val="20"/>
                <w:szCs w:val="20"/>
              </w:rPr>
              <w:t>75,000</w:t>
            </w:r>
          </w:p>
        </w:tc>
        <w:tc>
          <w:tcPr>
            <w:tcW w:w="1559" w:type="dxa"/>
          </w:tcPr>
          <w:p w14:paraId="31369619" w14:textId="77777777" w:rsidR="007E1108" w:rsidRDefault="007E1108" w:rsidP="00CA7A3B">
            <w:pPr>
              <w:pStyle w:val="BodyTextIndent2"/>
              <w:spacing w:after="0" w:line="240" w:lineRule="auto"/>
              <w:ind w:left="0"/>
              <w:jc w:val="right"/>
              <w:rPr>
                <w:rFonts w:ascii="Verdana" w:hAnsi="Verdana"/>
                <w:sz w:val="20"/>
                <w:szCs w:val="20"/>
              </w:rPr>
            </w:pPr>
          </w:p>
          <w:p w14:paraId="1628FB80" w14:textId="77777777" w:rsidR="007E1108" w:rsidRPr="00EA0107" w:rsidRDefault="007E1108"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c>
          <w:tcPr>
            <w:tcW w:w="1214" w:type="dxa"/>
          </w:tcPr>
          <w:p w14:paraId="3D451CBD" w14:textId="77777777" w:rsidR="007E1108" w:rsidRDefault="007E1108" w:rsidP="00CA7A3B">
            <w:pPr>
              <w:pStyle w:val="BodyTextIndent2"/>
              <w:spacing w:after="0" w:line="240" w:lineRule="auto"/>
              <w:ind w:left="0"/>
              <w:jc w:val="right"/>
              <w:rPr>
                <w:rFonts w:ascii="Verdana" w:hAnsi="Verdana"/>
                <w:sz w:val="20"/>
                <w:szCs w:val="20"/>
              </w:rPr>
            </w:pPr>
          </w:p>
          <w:p w14:paraId="1F6C6431" w14:textId="77777777" w:rsidR="007E1108" w:rsidRPr="00EA0107" w:rsidRDefault="007E1108"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r>
      <w:tr w:rsidR="007E1108" w14:paraId="1D1BB746" w14:textId="77777777" w:rsidTr="007E1108">
        <w:tc>
          <w:tcPr>
            <w:tcW w:w="1501" w:type="dxa"/>
          </w:tcPr>
          <w:p w14:paraId="39A51051" w14:textId="77777777" w:rsidR="007E1108" w:rsidRDefault="007E1108" w:rsidP="000C2A54">
            <w:pPr>
              <w:pStyle w:val="BodyTextIndent2"/>
              <w:spacing w:after="0" w:line="240" w:lineRule="auto"/>
              <w:ind w:left="0"/>
              <w:rPr>
                <w:rFonts w:ascii="Verdana" w:hAnsi="Verdana"/>
                <w:sz w:val="20"/>
                <w:szCs w:val="20"/>
              </w:rPr>
            </w:pPr>
          </w:p>
          <w:p w14:paraId="0C6FD5BC" w14:textId="77777777" w:rsidR="007E1108" w:rsidRPr="00EA0107" w:rsidRDefault="007E1108" w:rsidP="000C2A54">
            <w:pPr>
              <w:pStyle w:val="BodyTextIndent2"/>
              <w:spacing w:after="0" w:line="240" w:lineRule="auto"/>
              <w:ind w:left="0"/>
              <w:rPr>
                <w:rFonts w:ascii="Verdana" w:hAnsi="Verdana"/>
                <w:sz w:val="20"/>
                <w:szCs w:val="20"/>
              </w:rPr>
            </w:pPr>
            <w:r w:rsidRPr="00EA0107">
              <w:rPr>
                <w:rFonts w:ascii="Verdana" w:hAnsi="Verdana"/>
                <w:sz w:val="20"/>
                <w:szCs w:val="20"/>
              </w:rPr>
              <w:t>Provided in-year</w:t>
            </w:r>
          </w:p>
        </w:tc>
        <w:tc>
          <w:tcPr>
            <w:tcW w:w="1906" w:type="dxa"/>
          </w:tcPr>
          <w:p w14:paraId="39674CC3" w14:textId="77777777" w:rsidR="007E1108" w:rsidRDefault="007E1108" w:rsidP="00CA7A3B">
            <w:pPr>
              <w:pStyle w:val="BodyTextIndent2"/>
              <w:spacing w:after="0" w:line="240" w:lineRule="auto"/>
              <w:ind w:left="0"/>
              <w:jc w:val="right"/>
              <w:rPr>
                <w:rFonts w:ascii="Verdana" w:hAnsi="Verdana"/>
                <w:sz w:val="20"/>
                <w:szCs w:val="20"/>
              </w:rPr>
            </w:pPr>
          </w:p>
          <w:p w14:paraId="4AF8A8E9" w14:textId="77777777" w:rsidR="00567379" w:rsidRDefault="00567379" w:rsidP="00CA7A3B">
            <w:pPr>
              <w:pStyle w:val="BodyTextIndent2"/>
              <w:spacing w:after="0" w:line="240" w:lineRule="auto"/>
              <w:ind w:left="0"/>
              <w:jc w:val="right"/>
              <w:rPr>
                <w:rFonts w:ascii="Verdana" w:hAnsi="Verdana"/>
                <w:sz w:val="20"/>
                <w:szCs w:val="20"/>
              </w:rPr>
            </w:pPr>
          </w:p>
          <w:p w14:paraId="4074C4D7" w14:textId="77777777" w:rsidR="00567379" w:rsidRPr="00EA0107" w:rsidRDefault="00567379"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c>
          <w:tcPr>
            <w:tcW w:w="1559" w:type="dxa"/>
          </w:tcPr>
          <w:p w14:paraId="5AB04FE9" w14:textId="77777777" w:rsidR="007E1108" w:rsidRDefault="007E1108" w:rsidP="00CA7A3B">
            <w:pPr>
              <w:pStyle w:val="BodyTextIndent2"/>
              <w:spacing w:after="0" w:line="240" w:lineRule="auto"/>
              <w:ind w:left="0"/>
              <w:jc w:val="right"/>
              <w:rPr>
                <w:rFonts w:ascii="Verdana" w:hAnsi="Verdana"/>
                <w:sz w:val="20"/>
                <w:szCs w:val="20"/>
              </w:rPr>
            </w:pPr>
          </w:p>
          <w:p w14:paraId="38F67563" w14:textId="77777777" w:rsidR="00567379" w:rsidRDefault="00567379" w:rsidP="00CA7A3B">
            <w:pPr>
              <w:pStyle w:val="BodyTextIndent2"/>
              <w:spacing w:after="0" w:line="240" w:lineRule="auto"/>
              <w:ind w:left="0"/>
              <w:jc w:val="right"/>
              <w:rPr>
                <w:rFonts w:ascii="Verdana" w:hAnsi="Verdana"/>
                <w:sz w:val="20"/>
                <w:szCs w:val="20"/>
              </w:rPr>
            </w:pPr>
          </w:p>
          <w:p w14:paraId="62022557" w14:textId="77777777" w:rsidR="00567379" w:rsidRPr="00EA0107" w:rsidRDefault="00567379"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c>
          <w:tcPr>
            <w:tcW w:w="1559" w:type="dxa"/>
          </w:tcPr>
          <w:p w14:paraId="075F544C" w14:textId="77777777" w:rsidR="007E1108" w:rsidRDefault="007E1108" w:rsidP="00CA7A3B">
            <w:pPr>
              <w:pStyle w:val="BodyTextIndent2"/>
              <w:spacing w:after="0" w:line="240" w:lineRule="auto"/>
              <w:ind w:left="0"/>
              <w:jc w:val="right"/>
              <w:rPr>
                <w:rFonts w:ascii="Verdana" w:hAnsi="Verdana"/>
                <w:sz w:val="20"/>
                <w:szCs w:val="20"/>
              </w:rPr>
            </w:pPr>
          </w:p>
          <w:p w14:paraId="6F31AB58" w14:textId="77777777" w:rsidR="00567379" w:rsidRDefault="00567379" w:rsidP="00CA7A3B">
            <w:pPr>
              <w:pStyle w:val="BodyTextIndent2"/>
              <w:spacing w:after="0" w:line="240" w:lineRule="auto"/>
              <w:ind w:left="0"/>
              <w:jc w:val="right"/>
              <w:rPr>
                <w:rFonts w:ascii="Verdana" w:hAnsi="Verdana"/>
                <w:sz w:val="20"/>
                <w:szCs w:val="20"/>
              </w:rPr>
            </w:pPr>
          </w:p>
          <w:p w14:paraId="5F873099" w14:textId="77777777" w:rsidR="00567379" w:rsidRPr="00EA0107" w:rsidRDefault="00567379" w:rsidP="00CA7A3B">
            <w:pPr>
              <w:pStyle w:val="BodyTextIndent2"/>
              <w:spacing w:after="0" w:line="240" w:lineRule="auto"/>
              <w:ind w:left="0"/>
              <w:jc w:val="right"/>
              <w:rPr>
                <w:rFonts w:ascii="Verdana" w:hAnsi="Verdana"/>
                <w:sz w:val="20"/>
                <w:szCs w:val="20"/>
              </w:rPr>
            </w:pPr>
            <w:r>
              <w:rPr>
                <w:rFonts w:ascii="Verdana" w:hAnsi="Verdana"/>
                <w:sz w:val="20"/>
                <w:szCs w:val="20"/>
              </w:rPr>
              <w:t>75,000</w:t>
            </w:r>
          </w:p>
        </w:tc>
        <w:tc>
          <w:tcPr>
            <w:tcW w:w="1214" w:type="dxa"/>
          </w:tcPr>
          <w:p w14:paraId="6060517F" w14:textId="77777777" w:rsidR="007E1108" w:rsidRDefault="007E1108" w:rsidP="00CA7A3B">
            <w:pPr>
              <w:pStyle w:val="BodyTextIndent2"/>
              <w:spacing w:after="0" w:line="240" w:lineRule="auto"/>
              <w:ind w:left="0"/>
              <w:jc w:val="right"/>
              <w:rPr>
                <w:rFonts w:ascii="Verdana" w:hAnsi="Verdana"/>
                <w:sz w:val="20"/>
                <w:szCs w:val="20"/>
              </w:rPr>
            </w:pPr>
          </w:p>
          <w:p w14:paraId="6A234EE6" w14:textId="77777777" w:rsidR="00567379" w:rsidRDefault="00567379" w:rsidP="00CA7A3B">
            <w:pPr>
              <w:pStyle w:val="BodyTextIndent2"/>
              <w:spacing w:after="0" w:line="240" w:lineRule="auto"/>
              <w:ind w:left="0"/>
              <w:jc w:val="right"/>
              <w:rPr>
                <w:rFonts w:ascii="Verdana" w:hAnsi="Verdana"/>
                <w:sz w:val="20"/>
                <w:szCs w:val="20"/>
              </w:rPr>
            </w:pPr>
          </w:p>
          <w:p w14:paraId="6796BE9F" w14:textId="77777777" w:rsidR="00567379" w:rsidRPr="00EA0107" w:rsidRDefault="00567379" w:rsidP="00CA7A3B">
            <w:pPr>
              <w:pStyle w:val="BodyTextIndent2"/>
              <w:spacing w:after="0" w:line="240" w:lineRule="auto"/>
              <w:ind w:left="0"/>
              <w:jc w:val="right"/>
              <w:rPr>
                <w:rFonts w:ascii="Verdana" w:hAnsi="Verdana"/>
                <w:sz w:val="20"/>
                <w:szCs w:val="20"/>
              </w:rPr>
            </w:pPr>
            <w:r>
              <w:rPr>
                <w:rFonts w:ascii="Verdana" w:hAnsi="Verdana"/>
                <w:sz w:val="20"/>
                <w:szCs w:val="20"/>
              </w:rPr>
              <w:t>75,000</w:t>
            </w:r>
          </w:p>
        </w:tc>
      </w:tr>
      <w:tr w:rsidR="007E1108" w14:paraId="0CC42D64" w14:textId="77777777" w:rsidTr="007E1108">
        <w:tc>
          <w:tcPr>
            <w:tcW w:w="1501" w:type="dxa"/>
          </w:tcPr>
          <w:p w14:paraId="4B52C648" w14:textId="77777777" w:rsidR="007E1108" w:rsidRDefault="007E1108" w:rsidP="000C2A54">
            <w:pPr>
              <w:pStyle w:val="BodyTextIndent2"/>
              <w:spacing w:after="0" w:line="240" w:lineRule="auto"/>
              <w:ind w:left="0"/>
              <w:rPr>
                <w:rFonts w:ascii="Verdana" w:hAnsi="Verdana"/>
                <w:sz w:val="20"/>
                <w:szCs w:val="20"/>
              </w:rPr>
            </w:pPr>
          </w:p>
          <w:p w14:paraId="418D876E" w14:textId="77777777" w:rsidR="007E1108" w:rsidRPr="00EA0107" w:rsidRDefault="007E1108" w:rsidP="000C2A54">
            <w:pPr>
              <w:pStyle w:val="BodyTextIndent2"/>
              <w:spacing w:after="0" w:line="240" w:lineRule="auto"/>
              <w:ind w:left="0"/>
              <w:rPr>
                <w:rFonts w:ascii="Verdana" w:hAnsi="Verdana"/>
                <w:sz w:val="20"/>
                <w:szCs w:val="20"/>
              </w:rPr>
            </w:pPr>
            <w:r w:rsidRPr="00EA0107">
              <w:rPr>
                <w:rFonts w:ascii="Verdana" w:hAnsi="Verdana"/>
                <w:sz w:val="20"/>
                <w:szCs w:val="20"/>
              </w:rPr>
              <w:t>Provisions written off in-year</w:t>
            </w:r>
          </w:p>
        </w:tc>
        <w:tc>
          <w:tcPr>
            <w:tcW w:w="1906" w:type="dxa"/>
            <w:tcBorders>
              <w:bottom w:val="single" w:sz="4" w:space="0" w:color="auto"/>
            </w:tcBorders>
          </w:tcPr>
          <w:p w14:paraId="6D91678B" w14:textId="77777777" w:rsidR="007E1108" w:rsidRDefault="007E1108" w:rsidP="00CA7A3B">
            <w:pPr>
              <w:pStyle w:val="BodyTextIndent2"/>
              <w:spacing w:after="0" w:line="240" w:lineRule="auto"/>
              <w:ind w:left="0"/>
              <w:jc w:val="right"/>
              <w:rPr>
                <w:rFonts w:ascii="Verdana" w:hAnsi="Verdana"/>
                <w:sz w:val="20"/>
                <w:szCs w:val="20"/>
              </w:rPr>
            </w:pPr>
          </w:p>
          <w:p w14:paraId="7E3E1E80" w14:textId="77777777" w:rsidR="007E1108" w:rsidRDefault="007E1108" w:rsidP="00CA7A3B">
            <w:pPr>
              <w:pStyle w:val="BodyTextIndent2"/>
              <w:spacing w:after="0" w:line="240" w:lineRule="auto"/>
              <w:ind w:left="0"/>
              <w:jc w:val="right"/>
              <w:rPr>
                <w:rFonts w:ascii="Verdana" w:hAnsi="Verdana"/>
                <w:sz w:val="20"/>
                <w:szCs w:val="20"/>
              </w:rPr>
            </w:pPr>
          </w:p>
          <w:p w14:paraId="302520FE" w14:textId="77777777" w:rsidR="007E1108" w:rsidRPr="00EA0107" w:rsidRDefault="007E1108"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c>
          <w:tcPr>
            <w:tcW w:w="1559" w:type="dxa"/>
            <w:tcBorders>
              <w:bottom w:val="single" w:sz="4" w:space="0" w:color="auto"/>
            </w:tcBorders>
          </w:tcPr>
          <w:p w14:paraId="1B6F79EE" w14:textId="77777777" w:rsidR="007E1108" w:rsidRDefault="007E1108" w:rsidP="00CA7A3B">
            <w:pPr>
              <w:pStyle w:val="BodyTextIndent2"/>
              <w:spacing w:after="0" w:line="240" w:lineRule="auto"/>
              <w:ind w:left="0"/>
              <w:jc w:val="right"/>
              <w:rPr>
                <w:rFonts w:ascii="Verdana" w:hAnsi="Verdana"/>
                <w:sz w:val="20"/>
                <w:szCs w:val="20"/>
              </w:rPr>
            </w:pPr>
          </w:p>
          <w:p w14:paraId="1EA56825" w14:textId="77777777" w:rsidR="007E1108" w:rsidRDefault="007E1108" w:rsidP="00CA7A3B">
            <w:pPr>
              <w:pStyle w:val="BodyTextIndent2"/>
              <w:spacing w:after="0" w:line="240" w:lineRule="auto"/>
              <w:ind w:left="0"/>
              <w:jc w:val="right"/>
              <w:rPr>
                <w:rFonts w:ascii="Verdana" w:hAnsi="Verdana"/>
                <w:sz w:val="20"/>
                <w:szCs w:val="20"/>
              </w:rPr>
            </w:pPr>
          </w:p>
          <w:p w14:paraId="4A990E43" w14:textId="77777777" w:rsidR="007E1108" w:rsidRPr="00EA0107" w:rsidRDefault="007E1108"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c>
          <w:tcPr>
            <w:tcW w:w="1559" w:type="dxa"/>
            <w:tcBorders>
              <w:bottom w:val="single" w:sz="4" w:space="0" w:color="auto"/>
            </w:tcBorders>
          </w:tcPr>
          <w:p w14:paraId="6CC4EA5E" w14:textId="77777777" w:rsidR="007E1108" w:rsidRDefault="007E1108" w:rsidP="00CA7A3B">
            <w:pPr>
              <w:pStyle w:val="BodyTextIndent2"/>
              <w:spacing w:after="0" w:line="240" w:lineRule="auto"/>
              <w:ind w:left="0"/>
              <w:jc w:val="right"/>
              <w:rPr>
                <w:rFonts w:ascii="Verdana" w:hAnsi="Verdana"/>
                <w:sz w:val="20"/>
                <w:szCs w:val="20"/>
              </w:rPr>
            </w:pPr>
          </w:p>
          <w:p w14:paraId="596003AB" w14:textId="77777777" w:rsidR="007E1108" w:rsidRDefault="007E1108" w:rsidP="00CA7A3B">
            <w:pPr>
              <w:pStyle w:val="BodyTextIndent2"/>
              <w:spacing w:after="0" w:line="240" w:lineRule="auto"/>
              <w:ind w:left="0"/>
              <w:jc w:val="right"/>
              <w:rPr>
                <w:rFonts w:ascii="Verdana" w:hAnsi="Verdana"/>
                <w:sz w:val="20"/>
                <w:szCs w:val="20"/>
              </w:rPr>
            </w:pPr>
          </w:p>
          <w:p w14:paraId="5379AA23" w14:textId="77777777" w:rsidR="007E1108" w:rsidRPr="00EA0107" w:rsidRDefault="007E1108"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c>
          <w:tcPr>
            <w:tcW w:w="1214" w:type="dxa"/>
            <w:tcBorders>
              <w:bottom w:val="single" w:sz="4" w:space="0" w:color="auto"/>
            </w:tcBorders>
          </w:tcPr>
          <w:p w14:paraId="7D80D395" w14:textId="77777777" w:rsidR="007E1108" w:rsidRDefault="007E1108" w:rsidP="00CA7A3B">
            <w:pPr>
              <w:pStyle w:val="BodyTextIndent2"/>
              <w:spacing w:after="0" w:line="240" w:lineRule="auto"/>
              <w:ind w:left="0"/>
              <w:jc w:val="right"/>
              <w:rPr>
                <w:rFonts w:ascii="Verdana" w:hAnsi="Verdana"/>
                <w:sz w:val="20"/>
                <w:szCs w:val="20"/>
              </w:rPr>
            </w:pPr>
          </w:p>
          <w:p w14:paraId="5241F749" w14:textId="77777777" w:rsidR="007E1108" w:rsidRDefault="007E1108" w:rsidP="00CA7A3B">
            <w:pPr>
              <w:pStyle w:val="BodyTextIndent2"/>
              <w:spacing w:after="0" w:line="240" w:lineRule="auto"/>
              <w:ind w:left="0"/>
              <w:jc w:val="right"/>
              <w:rPr>
                <w:rFonts w:ascii="Verdana" w:hAnsi="Verdana"/>
                <w:sz w:val="20"/>
                <w:szCs w:val="20"/>
              </w:rPr>
            </w:pPr>
          </w:p>
          <w:p w14:paraId="47B8849C" w14:textId="77777777" w:rsidR="007E1108" w:rsidRPr="00EA0107" w:rsidRDefault="007E1108"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r>
      <w:tr w:rsidR="007E1108" w14:paraId="0E84FE93" w14:textId="77777777" w:rsidTr="007E1108">
        <w:tc>
          <w:tcPr>
            <w:tcW w:w="1501" w:type="dxa"/>
          </w:tcPr>
          <w:p w14:paraId="5D0E0B33" w14:textId="77777777" w:rsidR="007E1108" w:rsidRDefault="007E1108" w:rsidP="000C2A54">
            <w:pPr>
              <w:pStyle w:val="BodyTextIndent2"/>
              <w:spacing w:after="0" w:line="240" w:lineRule="auto"/>
              <w:ind w:left="0"/>
              <w:rPr>
                <w:rFonts w:ascii="Verdana" w:hAnsi="Verdana"/>
                <w:b/>
                <w:sz w:val="20"/>
                <w:szCs w:val="20"/>
              </w:rPr>
            </w:pPr>
          </w:p>
          <w:p w14:paraId="7ED0945E" w14:textId="77777777" w:rsidR="007E1108" w:rsidRPr="00EA0107" w:rsidRDefault="007E1108" w:rsidP="000C2A54">
            <w:pPr>
              <w:pStyle w:val="BodyTextIndent2"/>
              <w:spacing w:after="0" w:line="240" w:lineRule="auto"/>
              <w:ind w:left="0"/>
              <w:rPr>
                <w:rFonts w:ascii="Verdana" w:hAnsi="Verdana"/>
                <w:b/>
                <w:sz w:val="20"/>
                <w:szCs w:val="20"/>
              </w:rPr>
            </w:pPr>
            <w:r w:rsidRPr="00EA0107">
              <w:rPr>
                <w:rFonts w:ascii="Verdana" w:hAnsi="Verdana"/>
                <w:b/>
                <w:sz w:val="20"/>
                <w:szCs w:val="20"/>
              </w:rPr>
              <w:t>Balance at 31 March</w:t>
            </w:r>
          </w:p>
        </w:tc>
        <w:tc>
          <w:tcPr>
            <w:tcW w:w="1906" w:type="dxa"/>
            <w:tcBorders>
              <w:top w:val="single" w:sz="4" w:space="0" w:color="auto"/>
              <w:bottom w:val="single" w:sz="4" w:space="0" w:color="auto"/>
            </w:tcBorders>
          </w:tcPr>
          <w:p w14:paraId="22D8C91F" w14:textId="77777777" w:rsidR="007E1108" w:rsidRDefault="007E1108" w:rsidP="00CA7A3B">
            <w:pPr>
              <w:pStyle w:val="BodyTextIndent2"/>
              <w:spacing w:after="0" w:line="240" w:lineRule="auto"/>
              <w:ind w:left="0"/>
              <w:jc w:val="right"/>
              <w:rPr>
                <w:rFonts w:ascii="Verdana" w:hAnsi="Verdana"/>
                <w:b/>
                <w:sz w:val="20"/>
                <w:szCs w:val="20"/>
              </w:rPr>
            </w:pPr>
          </w:p>
          <w:p w14:paraId="71A85E2F" w14:textId="77777777" w:rsidR="007E1108" w:rsidRDefault="007E1108" w:rsidP="00CA7A3B">
            <w:pPr>
              <w:pStyle w:val="BodyTextIndent2"/>
              <w:spacing w:after="0" w:line="240" w:lineRule="auto"/>
              <w:ind w:left="0"/>
              <w:jc w:val="right"/>
              <w:rPr>
                <w:rFonts w:ascii="Verdana" w:hAnsi="Verdana"/>
                <w:b/>
                <w:sz w:val="20"/>
                <w:szCs w:val="20"/>
              </w:rPr>
            </w:pPr>
          </w:p>
          <w:p w14:paraId="63322C8E" w14:textId="77777777" w:rsidR="007E1108" w:rsidRPr="00EA0107" w:rsidRDefault="007E1108" w:rsidP="00CA7A3B">
            <w:pPr>
              <w:pStyle w:val="BodyTextIndent2"/>
              <w:spacing w:after="0" w:line="240" w:lineRule="auto"/>
              <w:ind w:left="0"/>
              <w:jc w:val="right"/>
              <w:rPr>
                <w:rFonts w:ascii="Verdana" w:hAnsi="Verdana"/>
                <w:b/>
                <w:sz w:val="20"/>
                <w:szCs w:val="20"/>
              </w:rPr>
            </w:pPr>
            <w:r>
              <w:rPr>
                <w:rFonts w:ascii="Verdana" w:hAnsi="Verdana"/>
                <w:b/>
                <w:sz w:val="20"/>
                <w:szCs w:val="20"/>
              </w:rPr>
              <w:t>75,000</w:t>
            </w:r>
          </w:p>
        </w:tc>
        <w:tc>
          <w:tcPr>
            <w:tcW w:w="1559" w:type="dxa"/>
            <w:tcBorders>
              <w:top w:val="single" w:sz="4" w:space="0" w:color="auto"/>
              <w:bottom w:val="single" w:sz="4" w:space="0" w:color="auto"/>
            </w:tcBorders>
          </w:tcPr>
          <w:p w14:paraId="16E42A9D" w14:textId="77777777" w:rsidR="007E1108" w:rsidRDefault="007E1108" w:rsidP="00CA7A3B">
            <w:pPr>
              <w:pStyle w:val="BodyTextIndent2"/>
              <w:spacing w:after="0" w:line="240" w:lineRule="auto"/>
              <w:ind w:left="0"/>
              <w:jc w:val="right"/>
              <w:rPr>
                <w:rFonts w:ascii="Verdana" w:hAnsi="Verdana"/>
                <w:b/>
                <w:sz w:val="20"/>
                <w:szCs w:val="20"/>
              </w:rPr>
            </w:pPr>
          </w:p>
          <w:p w14:paraId="4A439982" w14:textId="77777777" w:rsidR="007E1108" w:rsidRDefault="007E1108" w:rsidP="00CA7A3B">
            <w:pPr>
              <w:pStyle w:val="BodyTextIndent2"/>
              <w:spacing w:after="0" w:line="240" w:lineRule="auto"/>
              <w:ind w:left="0"/>
              <w:jc w:val="right"/>
              <w:rPr>
                <w:rFonts w:ascii="Verdana" w:hAnsi="Verdana"/>
                <w:b/>
                <w:sz w:val="20"/>
                <w:szCs w:val="20"/>
              </w:rPr>
            </w:pPr>
          </w:p>
          <w:p w14:paraId="1E64ED37" w14:textId="77777777" w:rsidR="007E1108" w:rsidRPr="00EA0107" w:rsidRDefault="007E1108" w:rsidP="00CA7A3B">
            <w:pPr>
              <w:pStyle w:val="BodyTextIndent2"/>
              <w:spacing w:after="0" w:line="240" w:lineRule="auto"/>
              <w:ind w:left="0"/>
              <w:jc w:val="right"/>
              <w:rPr>
                <w:rFonts w:ascii="Verdana" w:hAnsi="Verdana"/>
                <w:b/>
                <w:sz w:val="20"/>
                <w:szCs w:val="20"/>
              </w:rPr>
            </w:pPr>
            <w:r>
              <w:rPr>
                <w:rFonts w:ascii="Verdana" w:hAnsi="Verdana"/>
                <w:b/>
                <w:sz w:val="20"/>
                <w:szCs w:val="20"/>
              </w:rPr>
              <w:t>75,000</w:t>
            </w:r>
          </w:p>
        </w:tc>
        <w:tc>
          <w:tcPr>
            <w:tcW w:w="1559" w:type="dxa"/>
            <w:tcBorders>
              <w:top w:val="single" w:sz="4" w:space="0" w:color="auto"/>
              <w:bottom w:val="single" w:sz="4" w:space="0" w:color="auto"/>
            </w:tcBorders>
          </w:tcPr>
          <w:p w14:paraId="20ED1A6B" w14:textId="77777777" w:rsidR="007E1108" w:rsidRDefault="007E1108" w:rsidP="00CA7A3B">
            <w:pPr>
              <w:pStyle w:val="BodyTextIndent2"/>
              <w:spacing w:after="0" w:line="240" w:lineRule="auto"/>
              <w:ind w:left="0"/>
              <w:jc w:val="right"/>
              <w:rPr>
                <w:rFonts w:ascii="Verdana" w:hAnsi="Verdana"/>
                <w:b/>
                <w:sz w:val="20"/>
                <w:szCs w:val="20"/>
              </w:rPr>
            </w:pPr>
          </w:p>
          <w:p w14:paraId="431B40A1" w14:textId="77777777" w:rsidR="00567379" w:rsidRDefault="00567379" w:rsidP="00CA7A3B">
            <w:pPr>
              <w:pStyle w:val="BodyTextIndent2"/>
              <w:spacing w:after="0" w:line="240" w:lineRule="auto"/>
              <w:ind w:left="0"/>
              <w:jc w:val="right"/>
              <w:rPr>
                <w:rFonts w:ascii="Verdana" w:hAnsi="Verdana"/>
                <w:b/>
                <w:sz w:val="20"/>
                <w:szCs w:val="20"/>
              </w:rPr>
            </w:pPr>
          </w:p>
          <w:p w14:paraId="078B3E74" w14:textId="77777777" w:rsidR="00567379" w:rsidRPr="00EA0107" w:rsidRDefault="00567379" w:rsidP="00CA7A3B">
            <w:pPr>
              <w:pStyle w:val="BodyTextIndent2"/>
              <w:spacing w:after="0" w:line="240" w:lineRule="auto"/>
              <w:ind w:left="0"/>
              <w:jc w:val="right"/>
              <w:rPr>
                <w:rFonts w:ascii="Verdana" w:hAnsi="Verdana"/>
                <w:b/>
                <w:sz w:val="20"/>
                <w:szCs w:val="20"/>
              </w:rPr>
            </w:pPr>
            <w:r>
              <w:rPr>
                <w:rFonts w:ascii="Verdana" w:hAnsi="Verdana"/>
                <w:b/>
                <w:sz w:val="20"/>
                <w:szCs w:val="20"/>
              </w:rPr>
              <w:t>75,000</w:t>
            </w:r>
          </w:p>
        </w:tc>
        <w:tc>
          <w:tcPr>
            <w:tcW w:w="1214" w:type="dxa"/>
            <w:tcBorders>
              <w:top w:val="single" w:sz="4" w:space="0" w:color="auto"/>
              <w:bottom w:val="single" w:sz="4" w:space="0" w:color="auto"/>
            </w:tcBorders>
          </w:tcPr>
          <w:p w14:paraId="03E79314" w14:textId="77777777" w:rsidR="007E1108" w:rsidRDefault="007E1108" w:rsidP="00642BF8">
            <w:pPr>
              <w:pStyle w:val="BodyTextIndent2"/>
              <w:spacing w:after="0" w:line="240" w:lineRule="auto"/>
              <w:ind w:left="0"/>
              <w:jc w:val="right"/>
              <w:rPr>
                <w:rFonts w:ascii="Verdana" w:hAnsi="Verdana"/>
                <w:b/>
                <w:sz w:val="20"/>
                <w:szCs w:val="20"/>
              </w:rPr>
            </w:pPr>
          </w:p>
          <w:p w14:paraId="66021CD0" w14:textId="77777777" w:rsidR="00567379" w:rsidRDefault="00567379" w:rsidP="00642BF8">
            <w:pPr>
              <w:pStyle w:val="BodyTextIndent2"/>
              <w:spacing w:after="0" w:line="240" w:lineRule="auto"/>
              <w:ind w:left="0"/>
              <w:jc w:val="right"/>
              <w:rPr>
                <w:rFonts w:ascii="Verdana" w:hAnsi="Verdana"/>
                <w:b/>
                <w:sz w:val="20"/>
                <w:szCs w:val="20"/>
              </w:rPr>
            </w:pPr>
          </w:p>
          <w:p w14:paraId="7A183A64" w14:textId="77777777" w:rsidR="00567379" w:rsidRPr="00EA0107" w:rsidRDefault="00567379" w:rsidP="00642BF8">
            <w:pPr>
              <w:pStyle w:val="BodyTextIndent2"/>
              <w:spacing w:after="0" w:line="240" w:lineRule="auto"/>
              <w:ind w:left="0"/>
              <w:jc w:val="right"/>
              <w:rPr>
                <w:rFonts w:ascii="Verdana" w:hAnsi="Verdana"/>
                <w:b/>
                <w:sz w:val="20"/>
                <w:szCs w:val="20"/>
              </w:rPr>
            </w:pPr>
            <w:r>
              <w:rPr>
                <w:rFonts w:ascii="Verdana" w:hAnsi="Verdana"/>
                <w:b/>
                <w:sz w:val="20"/>
                <w:szCs w:val="20"/>
              </w:rPr>
              <w:t>75,000</w:t>
            </w:r>
          </w:p>
        </w:tc>
      </w:tr>
    </w:tbl>
    <w:p w14:paraId="1F2704C7" w14:textId="77777777" w:rsidR="00CA7A3B" w:rsidRDefault="00CA7A3B" w:rsidP="000C2A54">
      <w:pPr>
        <w:pStyle w:val="BodyTextIndent2"/>
        <w:spacing w:after="0" w:line="240" w:lineRule="auto"/>
        <w:ind w:left="567" w:hanging="567"/>
        <w:rPr>
          <w:rFonts w:ascii="Verdana" w:hAnsi="Verdana"/>
          <w:b/>
          <w:sz w:val="22"/>
          <w:szCs w:val="22"/>
        </w:rPr>
      </w:pPr>
    </w:p>
    <w:p w14:paraId="36EF02B0" w14:textId="77777777" w:rsidR="000C2A54" w:rsidRPr="00EB5423" w:rsidRDefault="000C2A54" w:rsidP="000C2A54">
      <w:pPr>
        <w:pStyle w:val="BodyTextIndent2"/>
        <w:spacing w:after="0" w:line="240" w:lineRule="auto"/>
        <w:ind w:left="567" w:hanging="567"/>
        <w:rPr>
          <w:rFonts w:ascii="Verdana" w:hAnsi="Verdana"/>
          <w:b/>
          <w:sz w:val="22"/>
          <w:szCs w:val="22"/>
        </w:rPr>
      </w:pPr>
      <w:r w:rsidRPr="00EB5423">
        <w:rPr>
          <w:rFonts w:ascii="Verdana" w:hAnsi="Verdana"/>
          <w:b/>
          <w:sz w:val="22"/>
          <w:szCs w:val="22"/>
        </w:rPr>
        <w:tab/>
      </w:r>
      <w:r w:rsidRPr="00EB5423">
        <w:rPr>
          <w:rFonts w:ascii="Verdana" w:hAnsi="Verdana"/>
          <w:b/>
          <w:sz w:val="22"/>
          <w:szCs w:val="22"/>
        </w:rPr>
        <w:tab/>
      </w:r>
      <w:r w:rsidRPr="00EB5423">
        <w:rPr>
          <w:rFonts w:ascii="Verdana" w:hAnsi="Verdana"/>
          <w:b/>
          <w:sz w:val="22"/>
          <w:szCs w:val="22"/>
        </w:rPr>
        <w:tab/>
      </w:r>
      <w:r w:rsidRPr="00EB5423">
        <w:rPr>
          <w:rFonts w:ascii="Verdana" w:hAnsi="Verdana"/>
          <w:b/>
          <w:sz w:val="22"/>
          <w:szCs w:val="22"/>
        </w:rPr>
        <w:tab/>
      </w:r>
    </w:p>
    <w:p w14:paraId="0A46DCDA" w14:textId="6F5E56A3" w:rsidR="000C2A54" w:rsidRDefault="00642BF8" w:rsidP="000C2A54">
      <w:r>
        <w:t>The amount of £75</w:t>
      </w:r>
      <w:r w:rsidR="00634673">
        <w:t xml:space="preserve">,000 provided for in </w:t>
      </w:r>
      <w:r>
        <w:t>2020-21 is a</w:t>
      </w:r>
      <w:r w:rsidR="00634673">
        <w:t xml:space="preserve"> provision </w:t>
      </w:r>
      <w:r w:rsidR="00D33D70">
        <w:t xml:space="preserve">made </w:t>
      </w:r>
      <w:r w:rsidR="00AB5D96">
        <w:t>for</w:t>
      </w:r>
      <w:r>
        <w:t xml:space="preserve"> the estimated</w:t>
      </w:r>
      <w:r w:rsidR="00AB5D96">
        <w:t xml:space="preserve"> </w:t>
      </w:r>
      <w:r>
        <w:t>dilapidation costs at the end of the Commission’s ten year lease for its premises in Alfred Street, Belfast.</w:t>
      </w:r>
      <w:r w:rsidR="008D3513">
        <w:t xml:space="preserve">  The Commission’s lease allows for a 5 year break clause which</w:t>
      </w:r>
      <w:r w:rsidR="005E340A">
        <w:t>, at present, the Commission does not plan to exercise.</w:t>
      </w:r>
    </w:p>
    <w:p w14:paraId="47D09871" w14:textId="77777777" w:rsidR="00567379" w:rsidRDefault="00567379" w:rsidP="003C598E">
      <w:pPr>
        <w:rPr>
          <w:b/>
        </w:rPr>
      </w:pPr>
    </w:p>
    <w:p w14:paraId="2874F640" w14:textId="77777777" w:rsidR="000C2A54" w:rsidRPr="003C598E" w:rsidRDefault="000C2A54" w:rsidP="003C598E">
      <w:pPr>
        <w:rPr>
          <w:b/>
        </w:rPr>
      </w:pPr>
      <w:r w:rsidRPr="003C598E">
        <w:rPr>
          <w:b/>
        </w:rPr>
        <w:t>13.</w:t>
      </w:r>
      <w:r w:rsidRPr="003C598E">
        <w:rPr>
          <w:b/>
        </w:rPr>
        <w:tab/>
        <w:t>Commitments under leases</w:t>
      </w:r>
    </w:p>
    <w:p w14:paraId="2A17CEDE" w14:textId="77777777" w:rsidR="000C2A54" w:rsidRPr="003F2009" w:rsidRDefault="000C2A54" w:rsidP="000C2A54">
      <w:pPr>
        <w:ind w:left="567" w:hanging="567"/>
        <w:rPr>
          <w:b/>
        </w:rPr>
      </w:pPr>
    </w:p>
    <w:p w14:paraId="6E67D76A" w14:textId="77777777" w:rsidR="000C2A54" w:rsidRPr="003F2009" w:rsidRDefault="000C2A54" w:rsidP="000C2A54">
      <w:pPr>
        <w:ind w:left="1418" w:hanging="851"/>
        <w:rPr>
          <w:b/>
        </w:rPr>
      </w:pPr>
      <w:r w:rsidRPr="003F2009">
        <w:rPr>
          <w:b/>
        </w:rPr>
        <w:t>13.1</w:t>
      </w:r>
      <w:r w:rsidRPr="003F2009">
        <w:rPr>
          <w:b/>
        </w:rPr>
        <w:tab/>
        <w:t>Operating leases</w:t>
      </w:r>
    </w:p>
    <w:p w14:paraId="20BFE343" w14:textId="77777777" w:rsidR="000C2A54" w:rsidRPr="003F2009" w:rsidRDefault="000C2A54" w:rsidP="000C2A54">
      <w:pPr>
        <w:ind w:left="567"/>
      </w:pPr>
    </w:p>
    <w:p w14:paraId="7C7E4E96" w14:textId="77777777" w:rsidR="000C2A54" w:rsidRPr="003F2009" w:rsidRDefault="000C2A54" w:rsidP="000C2A54">
      <w:pPr>
        <w:ind w:left="1418"/>
      </w:pPr>
      <w:r w:rsidRPr="003F2009">
        <w:t>Total future minimum lease payments under operating leases are given in the table below for each of the following periods.</w:t>
      </w:r>
    </w:p>
    <w:p w14:paraId="1499DB1D" w14:textId="77777777" w:rsidR="000C2A54" w:rsidRPr="003F2009" w:rsidRDefault="000C2A54" w:rsidP="000C2A54">
      <w:pPr>
        <w:rPr>
          <w:b/>
        </w:rPr>
      </w:pPr>
    </w:p>
    <w:tbl>
      <w:tblPr>
        <w:tblW w:w="8639" w:type="dxa"/>
        <w:jc w:val="right"/>
        <w:tblLayout w:type="fixed"/>
        <w:tblLook w:val="01E0" w:firstRow="1" w:lastRow="1" w:firstColumn="1" w:lastColumn="1" w:noHBand="0" w:noVBand="0"/>
      </w:tblPr>
      <w:tblGrid>
        <w:gridCol w:w="5760"/>
        <w:gridCol w:w="1440"/>
        <w:gridCol w:w="1439"/>
      </w:tblGrid>
      <w:tr w:rsidR="000C2A54" w:rsidRPr="003F2009" w14:paraId="14129E75" w14:textId="77777777" w:rsidTr="000C2A54">
        <w:trPr>
          <w:jc w:val="right"/>
        </w:trPr>
        <w:tc>
          <w:tcPr>
            <w:tcW w:w="5760" w:type="dxa"/>
          </w:tcPr>
          <w:p w14:paraId="6D779C82"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p>
        </w:tc>
        <w:tc>
          <w:tcPr>
            <w:tcW w:w="1440" w:type="dxa"/>
          </w:tcPr>
          <w:p w14:paraId="20BC112D"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w:t>
            </w:r>
            <w:r w:rsidR="00642BF8">
              <w:rPr>
                <w:rFonts w:cs="Arial"/>
                <w:b/>
                <w:bCs/>
                <w:sz w:val="20"/>
                <w:szCs w:val="20"/>
              </w:rPr>
              <w:t>21</w:t>
            </w:r>
            <w:r>
              <w:rPr>
                <w:rFonts w:cs="Arial"/>
                <w:b/>
                <w:bCs/>
                <w:sz w:val="20"/>
                <w:szCs w:val="20"/>
              </w:rPr>
              <w:t>-22</w:t>
            </w:r>
          </w:p>
        </w:tc>
        <w:tc>
          <w:tcPr>
            <w:tcW w:w="1439" w:type="dxa"/>
          </w:tcPr>
          <w:p w14:paraId="69EBBF31"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w:t>
            </w:r>
            <w:r w:rsidR="00642BF8">
              <w:rPr>
                <w:rFonts w:cs="Arial"/>
                <w:b/>
                <w:bCs/>
                <w:sz w:val="20"/>
                <w:szCs w:val="20"/>
              </w:rPr>
              <w:t>20</w:t>
            </w:r>
            <w:r>
              <w:rPr>
                <w:rFonts w:cs="Arial"/>
                <w:b/>
                <w:bCs/>
                <w:sz w:val="20"/>
                <w:szCs w:val="20"/>
              </w:rPr>
              <w:t>-21</w:t>
            </w:r>
          </w:p>
        </w:tc>
      </w:tr>
      <w:tr w:rsidR="000C2A54" w:rsidRPr="003F2009" w14:paraId="281BD9EE" w14:textId="77777777" w:rsidTr="000C2A54">
        <w:trPr>
          <w:jc w:val="right"/>
        </w:trPr>
        <w:tc>
          <w:tcPr>
            <w:tcW w:w="5760" w:type="dxa"/>
          </w:tcPr>
          <w:p w14:paraId="2955B84F"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Buildings</w:t>
            </w:r>
          </w:p>
        </w:tc>
        <w:tc>
          <w:tcPr>
            <w:tcW w:w="1440" w:type="dxa"/>
          </w:tcPr>
          <w:p w14:paraId="588C8551"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c>
          <w:tcPr>
            <w:tcW w:w="1439" w:type="dxa"/>
          </w:tcPr>
          <w:p w14:paraId="21E34D5E"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r>
      <w:tr w:rsidR="000C2A54" w:rsidRPr="003F2009" w14:paraId="3BB23715" w14:textId="77777777" w:rsidTr="000C2A54">
        <w:trPr>
          <w:jc w:val="right"/>
        </w:trPr>
        <w:tc>
          <w:tcPr>
            <w:tcW w:w="5760" w:type="dxa"/>
          </w:tcPr>
          <w:p w14:paraId="4F843D93"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Not later than one year</w:t>
            </w:r>
          </w:p>
        </w:tc>
        <w:tc>
          <w:tcPr>
            <w:tcW w:w="1440" w:type="dxa"/>
          </w:tcPr>
          <w:p w14:paraId="1F3B207F"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94,522</w:t>
            </w:r>
          </w:p>
        </w:tc>
        <w:tc>
          <w:tcPr>
            <w:tcW w:w="1439" w:type="dxa"/>
          </w:tcPr>
          <w:p w14:paraId="3A5A77C9"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47,261</w:t>
            </w:r>
          </w:p>
        </w:tc>
      </w:tr>
      <w:tr w:rsidR="000C2A54" w:rsidRPr="003F2009" w14:paraId="3632562D" w14:textId="77777777" w:rsidTr="000C2A54">
        <w:trPr>
          <w:jc w:val="right"/>
        </w:trPr>
        <w:tc>
          <w:tcPr>
            <w:tcW w:w="5760" w:type="dxa"/>
          </w:tcPr>
          <w:p w14:paraId="3EF7EB08"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Later than one year and not later than five years</w:t>
            </w:r>
          </w:p>
        </w:tc>
        <w:tc>
          <w:tcPr>
            <w:tcW w:w="1440" w:type="dxa"/>
          </w:tcPr>
          <w:p w14:paraId="480079E8"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472,608</w:t>
            </w:r>
          </w:p>
        </w:tc>
        <w:tc>
          <w:tcPr>
            <w:tcW w:w="1439" w:type="dxa"/>
          </w:tcPr>
          <w:p w14:paraId="5551979D"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472,608</w:t>
            </w:r>
          </w:p>
        </w:tc>
      </w:tr>
      <w:tr w:rsidR="000C2A54" w:rsidRPr="003F2009" w14:paraId="17F59B18" w14:textId="77777777" w:rsidTr="000C2A54">
        <w:trPr>
          <w:jc w:val="right"/>
        </w:trPr>
        <w:tc>
          <w:tcPr>
            <w:tcW w:w="5760" w:type="dxa"/>
          </w:tcPr>
          <w:p w14:paraId="4420C4A7"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Later than five years</w:t>
            </w:r>
          </w:p>
        </w:tc>
        <w:tc>
          <w:tcPr>
            <w:tcW w:w="1440" w:type="dxa"/>
            <w:tcBorders>
              <w:bottom w:val="single" w:sz="4" w:space="0" w:color="auto"/>
            </w:tcBorders>
          </w:tcPr>
          <w:p w14:paraId="38251F5F"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283,565</w:t>
            </w:r>
          </w:p>
        </w:tc>
        <w:tc>
          <w:tcPr>
            <w:tcW w:w="1439" w:type="dxa"/>
            <w:tcBorders>
              <w:bottom w:val="single" w:sz="4" w:space="0" w:color="auto"/>
            </w:tcBorders>
          </w:tcPr>
          <w:p w14:paraId="03315E26"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378,086</w:t>
            </w:r>
          </w:p>
        </w:tc>
      </w:tr>
      <w:tr w:rsidR="000C2A54" w:rsidRPr="003F2009" w14:paraId="7CD77BC4" w14:textId="77777777" w:rsidTr="000C2A54">
        <w:trPr>
          <w:jc w:val="right"/>
        </w:trPr>
        <w:tc>
          <w:tcPr>
            <w:tcW w:w="5760" w:type="dxa"/>
          </w:tcPr>
          <w:p w14:paraId="444B9F8B"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p>
        </w:tc>
        <w:tc>
          <w:tcPr>
            <w:tcW w:w="1440" w:type="dxa"/>
            <w:tcBorders>
              <w:top w:val="single" w:sz="4" w:space="0" w:color="auto"/>
              <w:bottom w:val="single" w:sz="4" w:space="0" w:color="auto"/>
            </w:tcBorders>
          </w:tcPr>
          <w:p w14:paraId="24346E57"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850,695</w:t>
            </w:r>
          </w:p>
        </w:tc>
        <w:tc>
          <w:tcPr>
            <w:tcW w:w="1439" w:type="dxa"/>
            <w:tcBorders>
              <w:top w:val="single" w:sz="4" w:space="0" w:color="auto"/>
              <w:bottom w:val="single" w:sz="4" w:space="0" w:color="auto"/>
            </w:tcBorders>
          </w:tcPr>
          <w:p w14:paraId="0A79C717" w14:textId="77777777" w:rsidR="000C2A54" w:rsidRPr="003061F1" w:rsidRDefault="00567379"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897,955</w:t>
            </w:r>
          </w:p>
        </w:tc>
      </w:tr>
    </w:tbl>
    <w:p w14:paraId="71B41A2B" w14:textId="77777777" w:rsidR="00E45DC6" w:rsidRDefault="00E45DC6" w:rsidP="000C2A54">
      <w:pPr>
        <w:ind w:firstLine="720"/>
        <w:rPr>
          <w:b/>
        </w:rPr>
      </w:pPr>
    </w:p>
    <w:p w14:paraId="255CC927" w14:textId="77777777" w:rsidR="006A1A6F" w:rsidRDefault="00345285" w:rsidP="006A1A6F">
      <w:pPr>
        <w:ind w:left="1440" w:hanging="720"/>
      </w:pPr>
      <w:r>
        <w:rPr>
          <w:b/>
        </w:rPr>
        <w:tab/>
      </w:r>
      <w:r w:rsidR="006A1A6F">
        <w:t xml:space="preserve">The Commission </w:t>
      </w:r>
      <w:r w:rsidR="007E1108">
        <w:t xml:space="preserve">was </w:t>
      </w:r>
      <w:r w:rsidR="00642BF8">
        <w:t xml:space="preserve">due to move to its </w:t>
      </w:r>
      <w:r w:rsidR="006A1A6F">
        <w:t xml:space="preserve">new premises at Alfred Street, Belfast in </w:t>
      </w:r>
      <w:r w:rsidR="00AB5D96">
        <w:t>August</w:t>
      </w:r>
      <w:r w:rsidR="006A1A6F">
        <w:t xml:space="preserve"> 2020.</w:t>
      </w:r>
      <w:r w:rsidR="0084227A">
        <w:t xml:space="preserve">  </w:t>
      </w:r>
      <w:r w:rsidR="00642BF8">
        <w:t xml:space="preserve">Due to the Covid pandemic this </w:t>
      </w:r>
      <w:r w:rsidR="00A670FC">
        <w:t xml:space="preserve">was delayed and Commission staff returned to the office on a hybrid approach from August 2021.  </w:t>
      </w:r>
      <w:r w:rsidR="0084227A">
        <w:t>The lease for the Alfred Street premises ends in March 2030 with a five-year break clause.</w:t>
      </w:r>
    </w:p>
    <w:p w14:paraId="739D9570" w14:textId="77777777" w:rsidR="00345285" w:rsidRPr="00345285" w:rsidRDefault="00345285" w:rsidP="000C2A54">
      <w:pPr>
        <w:ind w:firstLine="720"/>
      </w:pPr>
    </w:p>
    <w:p w14:paraId="7F7AD355" w14:textId="77777777" w:rsidR="000C2A54" w:rsidRPr="003F2009" w:rsidRDefault="000C2A54" w:rsidP="000C2A54">
      <w:pPr>
        <w:ind w:firstLine="720"/>
        <w:rPr>
          <w:b/>
        </w:rPr>
      </w:pPr>
      <w:r w:rsidRPr="003F2009">
        <w:rPr>
          <w:b/>
        </w:rPr>
        <w:t>13.2</w:t>
      </w:r>
      <w:r w:rsidRPr="003F2009">
        <w:rPr>
          <w:b/>
        </w:rPr>
        <w:tab/>
        <w:t>Finance leases</w:t>
      </w:r>
    </w:p>
    <w:p w14:paraId="260A6894" w14:textId="77777777" w:rsidR="000C2A54" w:rsidRPr="003F2009" w:rsidRDefault="000C2A54" w:rsidP="000C2A54">
      <w:pPr>
        <w:ind w:left="567"/>
      </w:pPr>
    </w:p>
    <w:p w14:paraId="785AC39D" w14:textId="77777777" w:rsidR="000C2A54" w:rsidRPr="003F2009" w:rsidRDefault="000C2A54" w:rsidP="000C2A54">
      <w:pPr>
        <w:ind w:left="1418"/>
        <w:rPr>
          <w:lang w:val="en-US"/>
        </w:rPr>
      </w:pPr>
      <w:r w:rsidRPr="003F2009">
        <w:rPr>
          <w:lang w:val="en-US"/>
        </w:rPr>
        <w:t>The Commission does not have any finance leases.</w:t>
      </w:r>
    </w:p>
    <w:p w14:paraId="6009CE37" w14:textId="77777777" w:rsidR="003061F1" w:rsidRDefault="003061F1" w:rsidP="000C2A54">
      <w:pPr>
        <w:rPr>
          <w:b/>
        </w:rPr>
      </w:pPr>
    </w:p>
    <w:p w14:paraId="010EEE03" w14:textId="77777777" w:rsidR="004A60FF" w:rsidRDefault="004A60FF" w:rsidP="000C2A54">
      <w:pPr>
        <w:ind w:left="567" w:hanging="567"/>
        <w:rPr>
          <w:b/>
        </w:rPr>
      </w:pPr>
    </w:p>
    <w:p w14:paraId="4EE25983" w14:textId="77777777" w:rsidR="004A60FF" w:rsidRDefault="004A60FF" w:rsidP="000C2A54">
      <w:pPr>
        <w:ind w:left="567" w:hanging="567"/>
        <w:rPr>
          <w:b/>
        </w:rPr>
      </w:pPr>
    </w:p>
    <w:p w14:paraId="733900EC" w14:textId="34CD9BE4" w:rsidR="000C2A54" w:rsidRPr="001B78C1" w:rsidRDefault="000C2A54" w:rsidP="000C2A54">
      <w:pPr>
        <w:ind w:left="567" w:hanging="567"/>
        <w:rPr>
          <w:b/>
          <w:color w:val="FF0000"/>
        </w:rPr>
      </w:pPr>
      <w:r w:rsidRPr="003F2009">
        <w:rPr>
          <w:b/>
        </w:rPr>
        <w:t>14.</w:t>
      </w:r>
      <w:r w:rsidRPr="003F2009">
        <w:rPr>
          <w:b/>
        </w:rPr>
        <w:tab/>
        <w:t>Contingent liabilities disclosed under IAS 37</w:t>
      </w:r>
      <w:r w:rsidR="001B78C1">
        <w:rPr>
          <w:b/>
        </w:rPr>
        <w:t xml:space="preserve"> </w:t>
      </w:r>
    </w:p>
    <w:p w14:paraId="6CE561FB" w14:textId="77777777" w:rsidR="000C2A54" w:rsidRPr="003F2009" w:rsidRDefault="000C2A54" w:rsidP="000C2A54"/>
    <w:p w14:paraId="36ECCAF4" w14:textId="77777777" w:rsidR="00E45DC6" w:rsidRDefault="000C2A54" w:rsidP="00065202">
      <w:pPr>
        <w:widowControl w:val="0"/>
        <w:tabs>
          <w:tab w:val="left" w:pos="567"/>
        </w:tabs>
        <w:autoSpaceDE w:val="0"/>
        <w:autoSpaceDN w:val="0"/>
        <w:adjustRightInd w:val="0"/>
        <w:ind w:left="567" w:hanging="567"/>
      </w:pPr>
      <w:r w:rsidRPr="003F2009">
        <w:tab/>
        <w:t>The Commission</w:t>
      </w:r>
      <w:r w:rsidR="00507D74">
        <w:t xml:space="preserve"> has no contingent liabilities for </w:t>
      </w:r>
      <w:r w:rsidR="00A670FC">
        <w:t>2021-22 (</w:t>
      </w:r>
      <w:r w:rsidR="00507D74">
        <w:t>2020-21</w:t>
      </w:r>
      <w:r w:rsidR="00A670FC">
        <w:t>: £nil).</w:t>
      </w:r>
    </w:p>
    <w:p w14:paraId="753DC5FF" w14:textId="77777777" w:rsidR="00634673" w:rsidRDefault="00634673" w:rsidP="000C2A54">
      <w:pPr>
        <w:rPr>
          <w:b/>
        </w:rPr>
      </w:pPr>
    </w:p>
    <w:p w14:paraId="5DE1B7A7" w14:textId="77777777" w:rsidR="000C2A54" w:rsidRPr="003F2009" w:rsidRDefault="000C2A54" w:rsidP="000C2A54">
      <w:pPr>
        <w:rPr>
          <w:b/>
        </w:rPr>
      </w:pPr>
      <w:r w:rsidRPr="003F2009">
        <w:rPr>
          <w:b/>
        </w:rPr>
        <w:t>15.  Capital Commitments</w:t>
      </w:r>
    </w:p>
    <w:p w14:paraId="374F70CA" w14:textId="77777777" w:rsidR="000C2A54" w:rsidRPr="003F2009" w:rsidRDefault="000C2A54" w:rsidP="000C2A54">
      <w:pPr>
        <w:pStyle w:val="BodyTextIndent"/>
        <w:spacing w:after="0"/>
        <w:ind w:left="0"/>
      </w:pPr>
    </w:p>
    <w:p w14:paraId="17068ECD" w14:textId="49193D5C" w:rsidR="003C598E" w:rsidRDefault="000C2A54" w:rsidP="00250101">
      <w:pPr>
        <w:pStyle w:val="BodyTextIndent"/>
        <w:spacing w:after="0"/>
        <w:ind w:left="567"/>
      </w:pPr>
      <w:r w:rsidRPr="003F2009">
        <w:t xml:space="preserve">The Commission </w:t>
      </w:r>
      <w:r w:rsidR="008E3972">
        <w:t xml:space="preserve">has </w:t>
      </w:r>
      <w:r w:rsidR="00507D74">
        <w:t xml:space="preserve">no </w:t>
      </w:r>
      <w:r w:rsidR="008E3972">
        <w:t>capital commitments</w:t>
      </w:r>
      <w:r w:rsidR="00507D74">
        <w:t xml:space="preserve"> for </w:t>
      </w:r>
      <w:r w:rsidR="00A670FC">
        <w:t>2021-22 (</w:t>
      </w:r>
      <w:r w:rsidR="007E1108">
        <w:t>2020-21</w:t>
      </w:r>
      <w:r w:rsidR="00A670FC">
        <w:t>: £nil).</w:t>
      </w:r>
      <w:r w:rsidR="008E3972">
        <w:t xml:space="preserve">  </w:t>
      </w:r>
    </w:p>
    <w:p w14:paraId="6853BF5F" w14:textId="77777777" w:rsidR="00250101" w:rsidRPr="00250101" w:rsidRDefault="00250101" w:rsidP="00250101">
      <w:pPr>
        <w:pStyle w:val="BodyTextIndent"/>
        <w:spacing w:after="0"/>
        <w:ind w:left="567"/>
      </w:pPr>
    </w:p>
    <w:p w14:paraId="71A11E91" w14:textId="77777777" w:rsidR="000C2A54" w:rsidRPr="003F2009" w:rsidRDefault="000C2A54" w:rsidP="000C2A54">
      <w:pPr>
        <w:ind w:left="567" w:hanging="567"/>
        <w:rPr>
          <w:b/>
        </w:rPr>
      </w:pPr>
      <w:r w:rsidRPr="003F2009">
        <w:rPr>
          <w:b/>
        </w:rPr>
        <w:t>16.</w:t>
      </w:r>
      <w:r w:rsidRPr="003F2009">
        <w:rPr>
          <w:b/>
        </w:rPr>
        <w:tab/>
        <w:t>Related-party transactions</w:t>
      </w:r>
    </w:p>
    <w:p w14:paraId="4D1EA78C" w14:textId="77777777" w:rsidR="000C2A54" w:rsidRPr="003F2009" w:rsidRDefault="000C2A54" w:rsidP="000C2A54">
      <w:pPr>
        <w:pStyle w:val="BodyTextIndent"/>
        <w:spacing w:after="0"/>
        <w:ind w:left="539"/>
      </w:pPr>
    </w:p>
    <w:p w14:paraId="2C0E7DE7" w14:textId="77777777" w:rsidR="000C2A54" w:rsidRPr="003F2009" w:rsidRDefault="000C2A54" w:rsidP="000C2A54">
      <w:pPr>
        <w:pStyle w:val="BodyTextIndent"/>
        <w:spacing w:after="0"/>
        <w:ind w:left="539"/>
      </w:pPr>
      <w:r w:rsidRPr="003F2009">
        <w:t>The Commission is a non</w:t>
      </w:r>
      <w:r w:rsidRPr="003F2009">
        <w:rPr>
          <w:rFonts w:cs="Arial"/>
        </w:rPr>
        <w:t>-</w:t>
      </w:r>
      <w:r w:rsidRPr="003F2009">
        <w:t xml:space="preserve">departmental public body sponsored by the Northern Ireland Office (NIO).  </w:t>
      </w:r>
    </w:p>
    <w:p w14:paraId="4300CACE" w14:textId="77777777" w:rsidR="000C2A54" w:rsidRPr="003F2009" w:rsidRDefault="000C2A54" w:rsidP="000C2A54">
      <w:pPr>
        <w:pStyle w:val="BodyTextIndent"/>
        <w:spacing w:after="0"/>
        <w:ind w:left="539"/>
      </w:pPr>
    </w:p>
    <w:p w14:paraId="10710A0B" w14:textId="77777777" w:rsidR="000C2A54" w:rsidRPr="003F2009" w:rsidRDefault="000C2A54" w:rsidP="000C2A54">
      <w:pPr>
        <w:pStyle w:val="BodyTextIndent"/>
        <w:spacing w:after="0"/>
        <w:ind w:left="539"/>
      </w:pPr>
      <w:r w:rsidRPr="003F2009">
        <w:t xml:space="preserve">The NIO is regarded as a related party. During the </w:t>
      </w:r>
      <w:r w:rsidR="00176472" w:rsidRPr="003F2009">
        <w:t>year,</w:t>
      </w:r>
      <w:r w:rsidRPr="003F2009">
        <w:t xml:space="preserve"> the Commission had various transactions with NIO, associated with the receipt of grant</w:t>
      </w:r>
      <w:r w:rsidRPr="003F2009">
        <w:rPr>
          <w:rFonts w:cs="Arial"/>
        </w:rPr>
        <w:t>-</w:t>
      </w:r>
      <w:r w:rsidRPr="003F2009">
        <w:t>in</w:t>
      </w:r>
      <w:r w:rsidRPr="003F2009">
        <w:rPr>
          <w:rFonts w:cs="Arial"/>
        </w:rPr>
        <w:t>-</w:t>
      </w:r>
      <w:r w:rsidRPr="003F2009">
        <w:t xml:space="preserve">aid.  </w:t>
      </w:r>
    </w:p>
    <w:p w14:paraId="5B9B0D3A" w14:textId="77777777" w:rsidR="000C2A54" w:rsidRPr="003F2009" w:rsidRDefault="000C2A54" w:rsidP="000C2A54">
      <w:pPr>
        <w:pStyle w:val="BodyTextIndent"/>
        <w:spacing w:after="0"/>
        <w:ind w:left="539"/>
      </w:pPr>
    </w:p>
    <w:p w14:paraId="665763FA" w14:textId="77777777" w:rsidR="000C2A54" w:rsidRPr="003F2009" w:rsidRDefault="000C2A54" w:rsidP="000C2A54">
      <w:pPr>
        <w:pStyle w:val="BodyTextIndent"/>
        <w:spacing w:after="0"/>
        <w:ind w:left="539"/>
      </w:pPr>
      <w:r w:rsidRPr="003F2009">
        <w:t xml:space="preserve">In </w:t>
      </w:r>
      <w:r w:rsidR="00176472" w:rsidRPr="003F2009">
        <w:t>addition,</w:t>
      </w:r>
      <w:r w:rsidRPr="003F2009">
        <w:t xml:space="preserve"> the Commission has had various transactions with other Government departments.</w:t>
      </w:r>
    </w:p>
    <w:p w14:paraId="41A35BF7" w14:textId="77777777" w:rsidR="000C2A54" w:rsidRPr="003F2009" w:rsidRDefault="000C2A54" w:rsidP="000C2A54">
      <w:pPr>
        <w:pStyle w:val="BodyTextIndent"/>
        <w:spacing w:after="0"/>
        <w:ind w:left="539"/>
      </w:pPr>
    </w:p>
    <w:p w14:paraId="330BED05" w14:textId="77777777" w:rsidR="000C2A54" w:rsidRPr="003F2009" w:rsidRDefault="000C2A54" w:rsidP="000C2A54">
      <w:pPr>
        <w:pStyle w:val="BodyTextIndent"/>
        <w:spacing w:after="0"/>
        <w:ind w:left="539"/>
      </w:pPr>
      <w:r w:rsidRPr="003F2009">
        <w:t>None of the Commissioners, Management Team or other related parties has undertaken any material transactions with the Commission during the year.</w:t>
      </w:r>
    </w:p>
    <w:p w14:paraId="286D90DA" w14:textId="77777777" w:rsidR="00746D2B" w:rsidRDefault="00746D2B" w:rsidP="000C2A54">
      <w:pPr>
        <w:widowControl w:val="0"/>
        <w:tabs>
          <w:tab w:val="left" w:pos="567"/>
        </w:tabs>
        <w:autoSpaceDE w:val="0"/>
        <w:autoSpaceDN w:val="0"/>
        <w:adjustRightInd w:val="0"/>
        <w:rPr>
          <w:b/>
        </w:rPr>
      </w:pPr>
    </w:p>
    <w:p w14:paraId="0E5ACBBF" w14:textId="77777777" w:rsidR="000C2A54" w:rsidRPr="003F2009" w:rsidRDefault="000C2A54" w:rsidP="000C2A54">
      <w:pPr>
        <w:widowControl w:val="0"/>
        <w:tabs>
          <w:tab w:val="left" w:pos="567"/>
        </w:tabs>
        <w:autoSpaceDE w:val="0"/>
        <w:autoSpaceDN w:val="0"/>
        <w:adjustRightInd w:val="0"/>
        <w:rPr>
          <w:b/>
        </w:rPr>
      </w:pPr>
      <w:r>
        <w:rPr>
          <w:b/>
        </w:rPr>
        <w:t>17</w:t>
      </w:r>
      <w:r w:rsidRPr="003F2009">
        <w:rPr>
          <w:b/>
        </w:rPr>
        <w:t>.</w:t>
      </w:r>
      <w:r w:rsidRPr="003F2009">
        <w:rPr>
          <w:b/>
        </w:rPr>
        <w:tab/>
        <w:t>Events after the reporting period</w:t>
      </w:r>
    </w:p>
    <w:p w14:paraId="4C471BFA" w14:textId="77777777" w:rsidR="00937BB4" w:rsidRDefault="00937BB4" w:rsidP="000B3B3C">
      <w:pPr>
        <w:autoSpaceDE w:val="0"/>
        <w:autoSpaceDN w:val="0"/>
        <w:adjustRightInd w:val="0"/>
        <w:rPr>
          <w:lang w:val="en-US"/>
        </w:rPr>
      </w:pPr>
    </w:p>
    <w:p w14:paraId="5F092B7F" w14:textId="5ACA1D1F" w:rsidR="00094BB4" w:rsidRDefault="000C2A54" w:rsidP="00B61C59">
      <w:pPr>
        <w:autoSpaceDE w:val="0"/>
        <w:autoSpaceDN w:val="0"/>
        <w:adjustRightInd w:val="0"/>
        <w:ind w:left="567"/>
        <w:rPr>
          <w:lang w:val="en-US"/>
        </w:rPr>
      </w:pPr>
      <w:r w:rsidRPr="003F2009">
        <w:rPr>
          <w:lang w:val="en-US"/>
        </w:rPr>
        <w:t>The Annual Report and Accounts are authorised for issue on the same date as the Comptroller and Auditor General signed the audit certificate.</w:t>
      </w:r>
    </w:p>
    <w:p w14:paraId="16CC2241" w14:textId="304AD1FC" w:rsidR="00925C6F" w:rsidRDefault="00925C6F" w:rsidP="00B61C59">
      <w:pPr>
        <w:autoSpaceDE w:val="0"/>
        <w:autoSpaceDN w:val="0"/>
        <w:adjustRightInd w:val="0"/>
        <w:ind w:left="567"/>
        <w:rPr>
          <w:lang w:val="en-US"/>
        </w:rPr>
      </w:pPr>
    </w:p>
    <w:p w14:paraId="2E40C0B4" w14:textId="77777777" w:rsidR="00952E25" w:rsidRDefault="00925C6F" w:rsidP="00953497">
      <w:pPr>
        <w:autoSpaceDE w:val="0"/>
        <w:autoSpaceDN w:val="0"/>
        <w:adjustRightInd w:val="0"/>
        <w:ind w:left="567"/>
        <w:rPr>
          <w:lang w:val="en-US"/>
        </w:rPr>
        <w:sectPr w:rsidR="00952E25" w:rsidSect="00210451">
          <w:footerReference w:type="default" r:id="rId33"/>
          <w:pgSz w:w="11907" w:h="16840" w:code="9"/>
          <w:pgMar w:top="1418" w:right="1418" w:bottom="851" w:left="1418" w:header="709" w:footer="709" w:gutter="0"/>
          <w:cols w:space="708"/>
          <w:docGrid w:linePitch="360"/>
        </w:sectPr>
      </w:pPr>
      <w:r>
        <w:rPr>
          <w:lang w:val="en-US"/>
        </w:rPr>
        <w:t>There were no significant events after the reporting date.</w:t>
      </w:r>
    </w:p>
    <w:p w14:paraId="54857CEF" w14:textId="77777777" w:rsidR="00952E25" w:rsidRDefault="00952E25" w:rsidP="00953497">
      <w:pPr>
        <w:autoSpaceDE w:val="0"/>
        <w:autoSpaceDN w:val="0"/>
        <w:adjustRightInd w:val="0"/>
        <w:ind w:left="567"/>
        <w:rPr>
          <w:lang w:val="en-US"/>
        </w:rPr>
        <w:sectPr w:rsidR="00952E25" w:rsidSect="00210451">
          <w:footerReference w:type="default" r:id="rId34"/>
          <w:pgSz w:w="11907" w:h="16840" w:code="9"/>
          <w:pgMar w:top="1418" w:right="1418" w:bottom="851" w:left="1418" w:header="709" w:footer="709" w:gutter="0"/>
          <w:cols w:space="708"/>
          <w:docGrid w:linePitch="360"/>
        </w:sectPr>
      </w:pPr>
    </w:p>
    <w:p w14:paraId="4F347545" w14:textId="0033F684" w:rsidR="00094BB4" w:rsidRDefault="00094BB4" w:rsidP="00953497">
      <w:pPr>
        <w:autoSpaceDE w:val="0"/>
        <w:autoSpaceDN w:val="0"/>
        <w:adjustRightInd w:val="0"/>
        <w:ind w:left="567"/>
      </w:pPr>
    </w:p>
    <w:p w14:paraId="2A83C64A" w14:textId="77777777" w:rsidR="00094BB4" w:rsidRDefault="00094BB4" w:rsidP="00094BB4">
      <w:pPr>
        <w:jc w:val="right"/>
      </w:pPr>
    </w:p>
    <w:p w14:paraId="1C5ABFC7" w14:textId="77777777" w:rsidR="00094BB4" w:rsidRDefault="00094BB4" w:rsidP="00094BB4">
      <w:pPr>
        <w:jc w:val="right"/>
      </w:pPr>
    </w:p>
    <w:p w14:paraId="607C064A" w14:textId="77777777" w:rsidR="00094BB4" w:rsidRDefault="00094BB4" w:rsidP="00094BB4">
      <w:pPr>
        <w:jc w:val="right"/>
      </w:pPr>
    </w:p>
    <w:p w14:paraId="110A2C49" w14:textId="77777777" w:rsidR="00094BB4" w:rsidRDefault="00094BB4" w:rsidP="00094BB4">
      <w:pPr>
        <w:jc w:val="right"/>
      </w:pPr>
    </w:p>
    <w:p w14:paraId="4E51B978" w14:textId="77777777" w:rsidR="00094BB4" w:rsidRDefault="00094BB4" w:rsidP="00094BB4">
      <w:pPr>
        <w:jc w:val="right"/>
      </w:pPr>
    </w:p>
    <w:p w14:paraId="30451F57" w14:textId="77777777" w:rsidR="00094BB4" w:rsidRDefault="00094BB4" w:rsidP="00094BB4">
      <w:pPr>
        <w:jc w:val="right"/>
      </w:pPr>
    </w:p>
    <w:p w14:paraId="66D011E9" w14:textId="77777777" w:rsidR="00094BB4" w:rsidRDefault="00094BB4" w:rsidP="00094BB4">
      <w:pPr>
        <w:jc w:val="right"/>
      </w:pPr>
    </w:p>
    <w:p w14:paraId="574C1885" w14:textId="77777777" w:rsidR="00094BB4" w:rsidRDefault="00094BB4" w:rsidP="00094BB4">
      <w:pPr>
        <w:jc w:val="right"/>
      </w:pPr>
    </w:p>
    <w:p w14:paraId="1D559058" w14:textId="77777777" w:rsidR="00094BB4" w:rsidRDefault="00094BB4" w:rsidP="00094BB4">
      <w:pPr>
        <w:jc w:val="right"/>
      </w:pPr>
    </w:p>
    <w:p w14:paraId="768F3444" w14:textId="77777777" w:rsidR="00094BB4" w:rsidRDefault="00094BB4" w:rsidP="00094BB4">
      <w:pPr>
        <w:jc w:val="right"/>
      </w:pPr>
    </w:p>
    <w:p w14:paraId="6ED50CA9" w14:textId="77777777" w:rsidR="00094BB4" w:rsidRDefault="00094BB4" w:rsidP="00094BB4">
      <w:pPr>
        <w:jc w:val="right"/>
      </w:pPr>
    </w:p>
    <w:p w14:paraId="7E53A840" w14:textId="77777777" w:rsidR="00094BB4" w:rsidRDefault="00094BB4" w:rsidP="00094BB4">
      <w:pPr>
        <w:jc w:val="right"/>
      </w:pPr>
    </w:p>
    <w:p w14:paraId="6A6A9F00" w14:textId="77777777" w:rsidR="00094BB4" w:rsidRDefault="00094BB4" w:rsidP="00094BB4">
      <w:pPr>
        <w:jc w:val="right"/>
      </w:pPr>
    </w:p>
    <w:p w14:paraId="1762B7AB" w14:textId="77777777" w:rsidR="00094BB4" w:rsidRDefault="00094BB4" w:rsidP="00094BB4">
      <w:pPr>
        <w:jc w:val="right"/>
      </w:pPr>
    </w:p>
    <w:p w14:paraId="412CC77B" w14:textId="77777777" w:rsidR="00094BB4" w:rsidRDefault="00094BB4" w:rsidP="00094BB4">
      <w:pPr>
        <w:jc w:val="right"/>
      </w:pPr>
    </w:p>
    <w:p w14:paraId="6DED818A" w14:textId="77777777" w:rsidR="00094BB4" w:rsidRDefault="00094BB4" w:rsidP="00094BB4">
      <w:pPr>
        <w:jc w:val="right"/>
      </w:pPr>
    </w:p>
    <w:p w14:paraId="4B8F6C64" w14:textId="77777777" w:rsidR="00094BB4" w:rsidRDefault="00094BB4" w:rsidP="00094BB4">
      <w:pPr>
        <w:jc w:val="right"/>
      </w:pPr>
    </w:p>
    <w:p w14:paraId="583E0979" w14:textId="77777777" w:rsidR="00094BB4" w:rsidRDefault="00094BB4" w:rsidP="00094BB4">
      <w:pPr>
        <w:jc w:val="right"/>
      </w:pPr>
    </w:p>
    <w:p w14:paraId="5EFE5C4B" w14:textId="77777777" w:rsidR="00094BB4" w:rsidRDefault="00094BB4" w:rsidP="00094BB4">
      <w:pPr>
        <w:jc w:val="right"/>
      </w:pPr>
    </w:p>
    <w:p w14:paraId="5F279451" w14:textId="77777777" w:rsidR="00094BB4" w:rsidRDefault="00094BB4" w:rsidP="00094BB4">
      <w:pPr>
        <w:jc w:val="right"/>
      </w:pPr>
    </w:p>
    <w:p w14:paraId="0C71D6EC" w14:textId="77777777" w:rsidR="00094BB4" w:rsidRDefault="00094BB4" w:rsidP="00094BB4">
      <w:pPr>
        <w:jc w:val="right"/>
      </w:pPr>
    </w:p>
    <w:p w14:paraId="064EDA01" w14:textId="77777777" w:rsidR="00094BB4" w:rsidRDefault="00094BB4" w:rsidP="00094BB4">
      <w:pPr>
        <w:jc w:val="right"/>
      </w:pPr>
    </w:p>
    <w:p w14:paraId="6F408E5F" w14:textId="77777777" w:rsidR="00953497" w:rsidRDefault="00953497" w:rsidP="00094BB4">
      <w:pPr>
        <w:jc w:val="right"/>
      </w:pPr>
    </w:p>
    <w:p w14:paraId="73F062D9" w14:textId="77777777" w:rsidR="00953497" w:rsidRDefault="00953497" w:rsidP="00094BB4">
      <w:pPr>
        <w:jc w:val="right"/>
      </w:pPr>
    </w:p>
    <w:p w14:paraId="580829A3" w14:textId="77777777" w:rsidR="00953497" w:rsidRDefault="00953497" w:rsidP="00094BB4">
      <w:pPr>
        <w:jc w:val="right"/>
      </w:pPr>
    </w:p>
    <w:p w14:paraId="3D26F75E" w14:textId="77777777" w:rsidR="00953497" w:rsidRDefault="00953497" w:rsidP="00094BB4">
      <w:pPr>
        <w:jc w:val="right"/>
      </w:pPr>
    </w:p>
    <w:p w14:paraId="05965002" w14:textId="77777777" w:rsidR="00953497" w:rsidRDefault="00953497" w:rsidP="00094BB4">
      <w:pPr>
        <w:jc w:val="right"/>
      </w:pPr>
    </w:p>
    <w:p w14:paraId="67361FD4" w14:textId="77777777" w:rsidR="00953497" w:rsidRDefault="00953497" w:rsidP="00094BB4">
      <w:pPr>
        <w:jc w:val="right"/>
      </w:pPr>
    </w:p>
    <w:p w14:paraId="3EF25E46" w14:textId="77777777" w:rsidR="00953497" w:rsidRDefault="00953497" w:rsidP="00094BB4">
      <w:pPr>
        <w:jc w:val="right"/>
      </w:pPr>
    </w:p>
    <w:p w14:paraId="68588449" w14:textId="77777777" w:rsidR="00953497" w:rsidRDefault="00953497" w:rsidP="00094BB4">
      <w:pPr>
        <w:jc w:val="right"/>
      </w:pPr>
    </w:p>
    <w:p w14:paraId="4265EAC7" w14:textId="77777777" w:rsidR="00953497" w:rsidRDefault="00953497" w:rsidP="00094BB4">
      <w:pPr>
        <w:jc w:val="right"/>
      </w:pPr>
    </w:p>
    <w:p w14:paraId="4423688F" w14:textId="77777777" w:rsidR="00953497" w:rsidRDefault="00953497" w:rsidP="00094BB4">
      <w:pPr>
        <w:jc w:val="right"/>
      </w:pPr>
    </w:p>
    <w:p w14:paraId="493084E2" w14:textId="77777777" w:rsidR="00953497" w:rsidRDefault="00953497" w:rsidP="00094BB4">
      <w:pPr>
        <w:jc w:val="right"/>
      </w:pPr>
    </w:p>
    <w:p w14:paraId="2D18E2A8" w14:textId="77777777" w:rsidR="00953497" w:rsidRDefault="00953497" w:rsidP="00094BB4">
      <w:pPr>
        <w:jc w:val="right"/>
      </w:pPr>
    </w:p>
    <w:p w14:paraId="020C5F46" w14:textId="77777777" w:rsidR="00953497" w:rsidRDefault="00953497" w:rsidP="00094BB4">
      <w:pPr>
        <w:jc w:val="right"/>
      </w:pPr>
    </w:p>
    <w:p w14:paraId="035ED3E8" w14:textId="77777777" w:rsidR="00953497" w:rsidRDefault="00953497" w:rsidP="00094BB4">
      <w:pPr>
        <w:jc w:val="right"/>
      </w:pPr>
    </w:p>
    <w:p w14:paraId="1BB165A0" w14:textId="77777777" w:rsidR="00953497" w:rsidRDefault="00953497" w:rsidP="00094BB4">
      <w:pPr>
        <w:jc w:val="right"/>
      </w:pPr>
    </w:p>
    <w:p w14:paraId="7B4E5C7C" w14:textId="77777777" w:rsidR="00953497" w:rsidRDefault="00953497" w:rsidP="00094BB4">
      <w:pPr>
        <w:jc w:val="right"/>
      </w:pPr>
    </w:p>
    <w:p w14:paraId="70CCEC46" w14:textId="77777777" w:rsidR="00953497" w:rsidRDefault="00953497" w:rsidP="00094BB4">
      <w:pPr>
        <w:jc w:val="right"/>
      </w:pPr>
    </w:p>
    <w:p w14:paraId="5E2BEFDF" w14:textId="77777777" w:rsidR="00953497" w:rsidRDefault="00953497" w:rsidP="00094BB4">
      <w:pPr>
        <w:jc w:val="right"/>
      </w:pPr>
    </w:p>
    <w:p w14:paraId="0B0B7791" w14:textId="77777777" w:rsidR="00953497" w:rsidRDefault="00953497" w:rsidP="00094BB4">
      <w:pPr>
        <w:jc w:val="right"/>
      </w:pPr>
    </w:p>
    <w:p w14:paraId="7EC9CE94" w14:textId="77777777" w:rsidR="00953497" w:rsidRDefault="00953497" w:rsidP="00094BB4">
      <w:pPr>
        <w:jc w:val="right"/>
      </w:pPr>
    </w:p>
    <w:p w14:paraId="69E2A1D7" w14:textId="77777777" w:rsidR="00953497" w:rsidRDefault="00953497" w:rsidP="00094BB4">
      <w:pPr>
        <w:jc w:val="right"/>
      </w:pPr>
    </w:p>
    <w:p w14:paraId="608BC382" w14:textId="77777777" w:rsidR="00DA5E04" w:rsidRDefault="001C49E3" w:rsidP="001C49E3">
      <w:pPr>
        <w:jc w:val="right"/>
      </w:pPr>
      <w:r>
        <w:t>E-</w:t>
      </w:r>
      <w:r w:rsidR="00DA5E04">
        <w:t>02795674</w:t>
      </w:r>
      <w:r w:rsidR="005B1FA8">
        <w:t xml:space="preserve">     </w:t>
      </w:r>
    </w:p>
    <w:p w14:paraId="340894DB" w14:textId="427847E2" w:rsidR="00C22A18" w:rsidRPr="00952E25" w:rsidRDefault="00DA5E04" w:rsidP="001C49E3">
      <w:pPr>
        <w:jc w:val="right"/>
        <w:rPr>
          <w:b/>
          <w:bCs/>
        </w:rPr>
      </w:pPr>
      <w:r>
        <w:t>978-1-5286-3682-7</w:t>
      </w:r>
      <w:r w:rsidR="005B1FA8">
        <w:t xml:space="preserve">            </w:t>
      </w:r>
    </w:p>
    <w:sectPr w:rsidR="00C22A18" w:rsidRPr="00952E25" w:rsidSect="00952E25">
      <w:type w:val="continuous"/>
      <w:pgSz w:w="11907" w:h="16840"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DB0EE" w14:textId="77777777" w:rsidR="003E6A09" w:rsidRDefault="003E6A09">
      <w:r>
        <w:separator/>
      </w:r>
    </w:p>
  </w:endnote>
  <w:endnote w:type="continuationSeparator" w:id="0">
    <w:p w14:paraId="3D050FA0" w14:textId="77777777" w:rsidR="003E6A09" w:rsidRDefault="003E6A09">
      <w:r>
        <w:continuationSeparator/>
      </w:r>
    </w:p>
  </w:endnote>
  <w:endnote w:type="continuationNotice" w:id="1">
    <w:p w14:paraId="44076DE1" w14:textId="77777777" w:rsidR="003E6A09" w:rsidRDefault="003E6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Md BT">
    <w:altName w:val="Century Gothic"/>
    <w:charset w:val="00"/>
    <w:family w:val="swiss"/>
    <w:pitch w:val="variable"/>
    <w:sig w:usb0="800000AF" w:usb1="1000204A" w:usb2="00000000" w:usb3="00000000" w:csb0="00000011" w:csb1="00000000"/>
  </w:font>
  <w:font w:name="Futura Bk BT">
    <w:altName w:val="Century Gothic"/>
    <w:charset w:val="00"/>
    <w:family w:val="swiss"/>
    <w:pitch w:val="variable"/>
    <w:sig w:usb0="800000AF"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ZurichBT-LightCondensed">
    <w:panose1 w:val="00000000000000000000"/>
    <w:charset w:val="00"/>
    <w:family w:val="swiss"/>
    <w:notTrueType/>
    <w:pitch w:val="default"/>
    <w:sig w:usb0="00000003" w:usb1="00000000" w:usb2="00000000" w:usb3="00000000" w:csb0="00000001" w:csb1="00000000"/>
  </w:font>
  <w:font w:name="ZurichBT-BoldCondensed">
    <w:panose1 w:val="00000000000000000000"/>
    <w:charset w:val="00"/>
    <w:family w:val="swiss"/>
    <w:notTrueType/>
    <w:pitch w:val="default"/>
    <w:sig w:usb0="00000003" w:usb1="00000000" w:usb2="00000000" w:usb3="00000000" w:csb0="00000001" w:csb1="00000000"/>
  </w:font>
  <w:font w:name="VGOJM V+ Zurich BT">
    <w:altName w:val="Zurich"/>
    <w:panose1 w:val="00000000000000000000"/>
    <w:charset w:val="00"/>
    <w:family w:val="swiss"/>
    <w:notTrueType/>
    <w:pitch w:val="default"/>
    <w:sig w:usb0="00000003" w:usb1="00000000" w:usb2="00000000" w:usb3="00000000" w:csb0="00000001" w:csb1="00000000"/>
  </w:font>
  <w:font w:name="TT150t00">
    <w:panose1 w:val="00000000000000000000"/>
    <w:charset w:val="00"/>
    <w:family w:val="auto"/>
    <w:notTrueType/>
    <w:pitch w:val="default"/>
    <w:sig w:usb0="00000003" w:usb1="00000000" w:usb2="00000000" w:usb3="00000000" w:csb0="00000001" w:csb1="00000000"/>
  </w:font>
  <w:font w:name="MetaPlusNormal-Roman">
    <w:panose1 w:val="00000000000000000000"/>
    <w:charset w:val="00"/>
    <w:family w:val="auto"/>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Univers-Bold">
    <w:panose1 w:val="00000000000000000000"/>
    <w:charset w:val="00"/>
    <w:family w:val="auto"/>
    <w:notTrueType/>
    <w:pitch w:val="default"/>
    <w:sig w:usb0="00000003" w:usb1="00000000" w:usb2="00000000" w:usb3="00000000" w:csb0="00000001" w:csb1="00000000"/>
  </w:font>
  <w:font w:name="Univers-Light">
    <w:altName w:val="MS Gothic"/>
    <w:panose1 w:val="00000000000000000000"/>
    <w:charset w:val="80"/>
    <w:family w:val="swiss"/>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E32C7" w14:textId="77777777" w:rsidR="00B208B5" w:rsidRDefault="00B208B5" w:rsidP="009D1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14:paraId="0B6EDCE1" w14:textId="77777777" w:rsidR="00B208B5" w:rsidRDefault="00B208B5" w:rsidP="00F244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101BA" w14:textId="77777777" w:rsidR="00B208B5" w:rsidRDefault="00B208B5" w:rsidP="00F244A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9C98F" w14:textId="77777777" w:rsidR="00B208B5" w:rsidRDefault="00B208B5" w:rsidP="00F244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14:paraId="7AE63FD3" w14:textId="77777777" w:rsidR="00B208B5" w:rsidRDefault="00B208B5" w:rsidP="00F244A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6A78" w14:textId="0B7529A2" w:rsidR="00B208B5" w:rsidRDefault="00B208B5" w:rsidP="00F244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2ACA">
      <w:rPr>
        <w:rStyle w:val="PageNumber"/>
        <w:noProof/>
      </w:rPr>
      <w:t>34</w:t>
    </w:r>
    <w:r>
      <w:rPr>
        <w:rStyle w:val="PageNumber"/>
      </w:rPr>
      <w:fldChar w:fldCharType="end"/>
    </w:r>
  </w:p>
  <w:p w14:paraId="3099386A" w14:textId="77777777" w:rsidR="00B208B5" w:rsidRDefault="00B208B5" w:rsidP="00F244A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63705"/>
      <w:docPartObj>
        <w:docPartGallery w:val="Page Numbers (Bottom of Page)"/>
        <w:docPartUnique/>
      </w:docPartObj>
    </w:sdtPr>
    <w:sdtEndPr>
      <w:rPr>
        <w:noProof/>
      </w:rPr>
    </w:sdtEndPr>
    <w:sdtContent>
      <w:p w14:paraId="238E1C2E" w14:textId="3469A48B" w:rsidR="00C87C4B" w:rsidRDefault="00C87C4B">
        <w:pPr>
          <w:pStyle w:val="Footer"/>
          <w:jc w:val="right"/>
        </w:pPr>
        <w:r>
          <w:fldChar w:fldCharType="begin"/>
        </w:r>
        <w:r>
          <w:instrText xml:space="preserve"> PAGE   \* MERGEFORMAT </w:instrText>
        </w:r>
        <w:r>
          <w:fldChar w:fldCharType="separate"/>
        </w:r>
        <w:r w:rsidR="00CD2ACA">
          <w:rPr>
            <w:noProof/>
          </w:rPr>
          <w:t>58</w:t>
        </w:r>
        <w:r>
          <w:rPr>
            <w:noProof/>
          </w:rPr>
          <w:fldChar w:fldCharType="end"/>
        </w:r>
      </w:p>
    </w:sdtContent>
  </w:sdt>
  <w:p w14:paraId="6872480D" w14:textId="77777777" w:rsidR="00B208B5" w:rsidRDefault="00B208B5" w:rsidP="00F244A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EC51" w14:textId="77777777" w:rsidR="00952E25" w:rsidRDefault="00952E25" w:rsidP="00F244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BCDE7" w14:textId="77777777" w:rsidR="003E6A09" w:rsidRDefault="003E6A09">
      <w:r>
        <w:separator/>
      </w:r>
    </w:p>
  </w:footnote>
  <w:footnote w:type="continuationSeparator" w:id="0">
    <w:p w14:paraId="4A9343CC" w14:textId="77777777" w:rsidR="003E6A09" w:rsidRDefault="003E6A09">
      <w:r>
        <w:continuationSeparator/>
      </w:r>
    </w:p>
  </w:footnote>
  <w:footnote w:type="continuationNotice" w:id="1">
    <w:p w14:paraId="2EDB96DB" w14:textId="77777777" w:rsidR="003E6A09" w:rsidRDefault="003E6A09"/>
  </w:footnote>
  <w:footnote w:id="2">
    <w:p w14:paraId="0A72E2F3" w14:textId="476D3C03" w:rsidR="00B208B5" w:rsidRPr="00B208B5" w:rsidRDefault="00B208B5">
      <w:pPr>
        <w:pStyle w:val="FootnoteText"/>
        <w:rPr>
          <w:rFonts w:ascii="Verdana" w:hAnsi="Verdana"/>
          <w:color w:val="7030A0"/>
          <w:sz w:val="16"/>
          <w:szCs w:val="16"/>
        </w:rPr>
      </w:pPr>
      <w:r w:rsidRPr="00B208B5">
        <w:rPr>
          <w:rStyle w:val="FootnoteReference"/>
          <w:rFonts w:ascii="Verdana" w:hAnsi="Verdana"/>
          <w:color w:val="7030A0"/>
          <w:sz w:val="16"/>
          <w:szCs w:val="16"/>
        </w:rPr>
        <w:footnoteRef/>
      </w:r>
      <w:r w:rsidRPr="00B208B5">
        <w:rPr>
          <w:rFonts w:ascii="Verdana" w:hAnsi="Verdana"/>
          <w:color w:val="7030A0"/>
          <w:sz w:val="16"/>
          <w:szCs w:val="16"/>
        </w:rPr>
        <w:t xml:space="preserve"> </w:t>
      </w:r>
      <w:hyperlink r:id="rId1" w:history="1">
        <w:r w:rsidRPr="00B208B5">
          <w:rPr>
            <w:rStyle w:val="Hyperlink"/>
            <w:rFonts w:ascii="Verdana" w:hAnsi="Verdana"/>
            <w:color w:val="7030A0"/>
            <w:sz w:val="16"/>
            <w:szCs w:val="16"/>
          </w:rPr>
          <w:t>Publication - Annual Statement 2021 | Northern Ireland Human Rights Commission (nihrc.org)</w:t>
        </w:r>
      </w:hyperlink>
    </w:p>
  </w:footnote>
  <w:footnote w:id="3">
    <w:p w14:paraId="1EB635A4" w14:textId="77777777" w:rsidR="00B208B5" w:rsidRPr="00B208B5" w:rsidRDefault="00B208B5" w:rsidP="00627E1D">
      <w:pPr>
        <w:pStyle w:val="FootnoteText"/>
        <w:rPr>
          <w:rFonts w:ascii="Verdana" w:hAnsi="Verdana"/>
          <w:color w:val="7030A0"/>
          <w:sz w:val="16"/>
          <w:szCs w:val="16"/>
        </w:rPr>
      </w:pPr>
      <w:r w:rsidRPr="00B208B5">
        <w:rPr>
          <w:rStyle w:val="FootnoteReference"/>
          <w:rFonts w:ascii="Verdana" w:hAnsi="Verdana"/>
          <w:color w:val="7030A0"/>
          <w:sz w:val="16"/>
          <w:szCs w:val="16"/>
        </w:rPr>
        <w:footnoteRef/>
      </w:r>
      <w:r w:rsidRPr="00B208B5">
        <w:rPr>
          <w:rFonts w:ascii="Verdana" w:hAnsi="Verdana"/>
          <w:color w:val="7030A0"/>
          <w:sz w:val="16"/>
          <w:szCs w:val="16"/>
        </w:rPr>
        <w:t xml:space="preserve"> NI Human Rights Commission and Equality Commission NI, ‘Joint Submission to House of Lords on the Nationality and Borders Bill, (NIHRC and ECNI, 2022);  NI Human Rights Commission, ‘Response to Call for Evidence by the Joint Committee on Human Rights on the Nationality and Borders Bill’, (NIHRC, 2021); </w:t>
      </w:r>
      <w:r w:rsidRPr="00B208B5">
        <w:rPr>
          <w:rFonts w:ascii="Verdana" w:hAnsi="Verdana" w:cs="Calibri"/>
          <w:color w:val="7030A0"/>
          <w:sz w:val="16"/>
          <w:szCs w:val="16"/>
        </w:rPr>
        <w:t>Letter from the NI Human Rights Commission to the Secretary of State for the Home Department, 20 December 2021.</w:t>
      </w:r>
    </w:p>
  </w:footnote>
  <w:footnote w:id="4">
    <w:p w14:paraId="4F349CBC" w14:textId="77777777" w:rsidR="00B208B5" w:rsidRPr="00B208B5" w:rsidRDefault="00B208B5" w:rsidP="00627E1D">
      <w:pPr>
        <w:pStyle w:val="FootnoteText"/>
        <w:rPr>
          <w:rFonts w:ascii="Verdana" w:hAnsi="Verdana"/>
          <w:color w:val="7030A0"/>
          <w:sz w:val="16"/>
          <w:szCs w:val="16"/>
        </w:rPr>
      </w:pPr>
      <w:r w:rsidRPr="00B208B5">
        <w:rPr>
          <w:rStyle w:val="FootnoteReference"/>
          <w:rFonts w:ascii="Verdana" w:hAnsi="Verdana"/>
          <w:color w:val="7030A0"/>
          <w:sz w:val="16"/>
          <w:szCs w:val="16"/>
        </w:rPr>
        <w:footnoteRef/>
      </w:r>
      <w:r w:rsidRPr="00B208B5">
        <w:rPr>
          <w:rFonts w:ascii="Verdana" w:hAnsi="Verdana"/>
          <w:color w:val="7030A0"/>
          <w:sz w:val="16"/>
          <w:szCs w:val="16"/>
        </w:rPr>
        <w:t xml:space="preserve"> </w:t>
      </w:r>
      <w:r w:rsidRPr="00B208B5">
        <w:rPr>
          <w:rFonts w:ascii="Verdana" w:hAnsi="Verdana" w:cs="Calibri"/>
          <w:color w:val="7030A0"/>
          <w:sz w:val="16"/>
          <w:szCs w:val="16"/>
        </w:rPr>
        <w:t>Letter from the NI Human Rights Commission and the Equality Commission for NI to the Public Bill Committee on the Elections Bill, 20 October 2021</w:t>
      </w:r>
    </w:p>
  </w:footnote>
  <w:footnote w:id="5">
    <w:p w14:paraId="306DAF11" w14:textId="77777777" w:rsidR="00B208B5" w:rsidRPr="0056637D" w:rsidRDefault="00B208B5">
      <w:pPr>
        <w:pStyle w:val="FootnoteText"/>
        <w:rPr>
          <w:rFonts w:ascii="Verdana" w:hAnsi="Verdana"/>
          <w:color w:val="7030A0"/>
          <w:sz w:val="16"/>
          <w:szCs w:val="16"/>
        </w:rPr>
      </w:pPr>
      <w:r w:rsidRPr="0056637D">
        <w:rPr>
          <w:rStyle w:val="FootnoteReference"/>
          <w:rFonts w:ascii="Verdana" w:hAnsi="Verdana"/>
          <w:color w:val="7030A0"/>
          <w:sz w:val="16"/>
          <w:szCs w:val="16"/>
        </w:rPr>
        <w:footnoteRef/>
      </w:r>
      <w:r w:rsidRPr="0056637D">
        <w:rPr>
          <w:rFonts w:ascii="Verdana" w:hAnsi="Verdana"/>
          <w:color w:val="7030A0"/>
          <w:sz w:val="16"/>
          <w:szCs w:val="16"/>
        </w:rPr>
        <w:t xml:space="preserve"> The value of pension benefits accrued during the year is calculated as (the real increase in</w:t>
      </w:r>
      <w:r>
        <w:rPr>
          <w:rFonts w:ascii="Verdana" w:hAnsi="Verdana"/>
          <w:color w:val="7030A0"/>
          <w:sz w:val="16"/>
          <w:szCs w:val="16"/>
        </w:rPr>
        <w:t xml:space="preserve"> pension multiplied by 20) plus the real increase in any lump sum, </w:t>
      </w:r>
      <w:r w:rsidRPr="0056637D">
        <w:rPr>
          <w:rFonts w:ascii="Verdana" w:hAnsi="Verdana"/>
          <w:color w:val="7030A0"/>
          <w:sz w:val="16"/>
          <w:szCs w:val="16"/>
        </w:rPr>
        <w:t xml:space="preserve">less (the contributions made by the </w:t>
      </w:r>
      <w:r>
        <w:rPr>
          <w:rFonts w:ascii="Verdana" w:hAnsi="Verdana"/>
          <w:color w:val="7030A0"/>
          <w:sz w:val="16"/>
          <w:szCs w:val="16"/>
        </w:rPr>
        <w:t>individual).  The real increases</w:t>
      </w:r>
      <w:r w:rsidRPr="0056637D">
        <w:rPr>
          <w:rFonts w:ascii="Verdana" w:hAnsi="Verdana"/>
          <w:color w:val="7030A0"/>
          <w:sz w:val="16"/>
          <w:szCs w:val="16"/>
        </w:rPr>
        <w:t xml:space="preserve"> exclude</w:t>
      </w:r>
      <w:r>
        <w:rPr>
          <w:rFonts w:ascii="Verdana" w:hAnsi="Verdana"/>
          <w:color w:val="7030A0"/>
          <w:sz w:val="16"/>
          <w:szCs w:val="16"/>
        </w:rPr>
        <w:t>s</w:t>
      </w:r>
      <w:r w:rsidRPr="0056637D">
        <w:rPr>
          <w:rFonts w:ascii="Verdana" w:hAnsi="Verdana"/>
          <w:color w:val="7030A0"/>
          <w:sz w:val="16"/>
          <w:szCs w:val="16"/>
        </w:rPr>
        <w:t xml:space="preserve"> increases due to inflation or any increase or decrease due to a transfer of pension rights.</w:t>
      </w:r>
    </w:p>
  </w:footnote>
  <w:footnote w:id="6">
    <w:p w14:paraId="7AE1DFB0" w14:textId="77777777" w:rsidR="00B208B5" w:rsidRPr="00F0587C" w:rsidRDefault="00B208B5">
      <w:pPr>
        <w:pStyle w:val="FootnoteText"/>
        <w:rPr>
          <w:rFonts w:ascii="Verdana" w:hAnsi="Verdana"/>
          <w:color w:val="7030A0"/>
          <w:sz w:val="16"/>
          <w:szCs w:val="16"/>
          <w:lang w:val="en-US"/>
        </w:rPr>
      </w:pPr>
      <w:r w:rsidRPr="007E1610">
        <w:rPr>
          <w:rStyle w:val="FootnoteReference"/>
          <w:color w:val="7030A0"/>
        </w:rPr>
        <w:footnoteRef/>
      </w:r>
      <w:r w:rsidRPr="007E1610">
        <w:rPr>
          <w:color w:val="7030A0"/>
        </w:rPr>
        <w:t xml:space="preserve"> </w:t>
      </w:r>
      <w:r w:rsidRPr="00F0587C">
        <w:rPr>
          <w:rFonts w:ascii="Verdana" w:hAnsi="Verdana"/>
          <w:color w:val="7030A0"/>
          <w:sz w:val="16"/>
          <w:szCs w:val="16"/>
          <w:lang w:val="en-US"/>
        </w:rPr>
        <w:t>The figure quoted is for the period 1 April 2021 to 31 August 2021.  The full year equivalent is £80-£85k.</w:t>
      </w:r>
    </w:p>
  </w:footnote>
  <w:footnote w:id="7">
    <w:p w14:paraId="6B1D35F8" w14:textId="77777777" w:rsidR="00B208B5" w:rsidRPr="00F0587C" w:rsidRDefault="00B208B5">
      <w:pPr>
        <w:pStyle w:val="FootnoteText"/>
        <w:rPr>
          <w:rFonts w:ascii="Verdana" w:hAnsi="Verdana"/>
          <w:color w:val="7030A0"/>
          <w:sz w:val="16"/>
          <w:szCs w:val="16"/>
          <w:lang w:val="en-US"/>
        </w:rPr>
      </w:pPr>
      <w:r w:rsidRPr="00F0587C">
        <w:rPr>
          <w:rStyle w:val="FootnoteReference"/>
          <w:rFonts w:ascii="Verdana" w:hAnsi="Verdana"/>
          <w:color w:val="7030A0"/>
          <w:sz w:val="16"/>
          <w:szCs w:val="16"/>
        </w:rPr>
        <w:footnoteRef/>
      </w:r>
      <w:r w:rsidRPr="00F0587C">
        <w:rPr>
          <w:rFonts w:ascii="Verdana" w:hAnsi="Verdana"/>
          <w:color w:val="7030A0"/>
          <w:sz w:val="16"/>
          <w:szCs w:val="16"/>
        </w:rPr>
        <w:t xml:space="preserve"> </w:t>
      </w:r>
      <w:r w:rsidRPr="00F0587C">
        <w:rPr>
          <w:rFonts w:ascii="Verdana" w:hAnsi="Verdana"/>
          <w:color w:val="7030A0"/>
          <w:sz w:val="16"/>
          <w:szCs w:val="16"/>
          <w:lang w:val="en-US"/>
        </w:rPr>
        <w:t>The figure quoted is for the period 1 September 2021 to 31 March 2022.  The full year equivalent is £70-£75k.</w:t>
      </w:r>
    </w:p>
  </w:footnote>
  <w:footnote w:id="8">
    <w:p w14:paraId="2024DC65" w14:textId="77777777" w:rsidR="00B208B5" w:rsidRPr="00F61A65" w:rsidRDefault="00B208B5" w:rsidP="00EA4AB9">
      <w:pPr>
        <w:pStyle w:val="FootnoteText"/>
        <w:rPr>
          <w:rFonts w:ascii="Verdana" w:hAnsi="Verdana"/>
          <w:color w:val="7030A0"/>
          <w:sz w:val="16"/>
          <w:szCs w:val="16"/>
          <w:lang w:val="en-US"/>
        </w:rPr>
      </w:pPr>
      <w:r w:rsidRPr="00F0587C">
        <w:rPr>
          <w:rStyle w:val="FootnoteReference"/>
          <w:rFonts w:ascii="Verdana" w:hAnsi="Verdana"/>
          <w:color w:val="7030A0"/>
          <w:sz w:val="16"/>
          <w:szCs w:val="16"/>
        </w:rPr>
        <w:footnoteRef/>
      </w:r>
      <w:r w:rsidRPr="00F0587C">
        <w:rPr>
          <w:rFonts w:ascii="Verdana" w:hAnsi="Verdana"/>
          <w:color w:val="7030A0"/>
          <w:sz w:val="16"/>
          <w:szCs w:val="16"/>
        </w:rPr>
        <w:t xml:space="preserve"> </w:t>
      </w:r>
      <w:r w:rsidRPr="00F0587C">
        <w:rPr>
          <w:rFonts w:ascii="Verdana" w:hAnsi="Verdana"/>
          <w:color w:val="7030A0"/>
          <w:sz w:val="16"/>
          <w:szCs w:val="16"/>
          <w:lang w:val="en-US"/>
        </w:rPr>
        <w:t>The figure quoted is for the period 1 September 2020 to 31 March 2021.  The full year equivalent is £5-10k.</w:t>
      </w:r>
    </w:p>
  </w:footnote>
  <w:footnote w:id="9">
    <w:p w14:paraId="4127D713" w14:textId="77777777" w:rsidR="00B208B5" w:rsidRPr="00F0587C" w:rsidRDefault="00B208B5">
      <w:pPr>
        <w:pStyle w:val="FootnoteText"/>
        <w:rPr>
          <w:rFonts w:ascii="Verdana" w:hAnsi="Verdana"/>
          <w:color w:val="7030A0"/>
          <w:sz w:val="16"/>
          <w:szCs w:val="16"/>
          <w:lang w:val="en-US"/>
        </w:rPr>
      </w:pPr>
      <w:r w:rsidRPr="00F0587C">
        <w:rPr>
          <w:rStyle w:val="FootnoteReference"/>
          <w:rFonts w:ascii="Verdana" w:hAnsi="Verdana"/>
          <w:color w:val="7030A0"/>
          <w:sz w:val="16"/>
          <w:szCs w:val="16"/>
        </w:rPr>
        <w:footnoteRef/>
      </w:r>
      <w:r w:rsidRPr="00F0587C">
        <w:rPr>
          <w:rFonts w:ascii="Verdana" w:hAnsi="Verdana"/>
          <w:color w:val="7030A0"/>
          <w:sz w:val="16"/>
          <w:szCs w:val="16"/>
        </w:rPr>
        <w:t xml:space="preserve"> </w:t>
      </w:r>
      <w:r w:rsidRPr="00F0587C">
        <w:rPr>
          <w:rFonts w:ascii="Verdana" w:hAnsi="Verdana"/>
          <w:color w:val="7030A0"/>
          <w:sz w:val="16"/>
          <w:szCs w:val="16"/>
          <w:lang w:val="en-US"/>
        </w:rPr>
        <w:t>The figure quoted is for the period 1 April 2021 to 31 August 2021.  The full year equivalent is £5-£10k.</w:t>
      </w:r>
    </w:p>
  </w:footnote>
  <w:footnote w:id="10">
    <w:p w14:paraId="3072B936" w14:textId="77777777" w:rsidR="00B208B5" w:rsidRPr="003851F7" w:rsidRDefault="00B208B5">
      <w:pPr>
        <w:pStyle w:val="FootnoteText"/>
        <w:rPr>
          <w:rFonts w:ascii="Verdana" w:hAnsi="Verdana"/>
          <w:sz w:val="16"/>
          <w:szCs w:val="16"/>
          <w:lang w:val="en-US"/>
        </w:rPr>
      </w:pPr>
      <w:r w:rsidRPr="00F61A65">
        <w:rPr>
          <w:rStyle w:val="FootnoteReference"/>
          <w:rFonts w:ascii="Verdana" w:hAnsi="Verdana"/>
          <w:color w:val="7030A0"/>
          <w:sz w:val="16"/>
          <w:szCs w:val="16"/>
        </w:rPr>
        <w:footnoteRef/>
      </w:r>
      <w:r w:rsidRPr="00F61A65">
        <w:rPr>
          <w:rFonts w:ascii="Verdana" w:hAnsi="Verdana"/>
          <w:color w:val="7030A0"/>
          <w:sz w:val="16"/>
          <w:szCs w:val="16"/>
        </w:rPr>
        <w:t xml:space="preserve"> </w:t>
      </w:r>
      <w:r w:rsidRPr="00F61A65">
        <w:rPr>
          <w:rFonts w:ascii="Verdana" w:hAnsi="Verdana"/>
          <w:color w:val="7030A0"/>
          <w:sz w:val="16"/>
          <w:szCs w:val="16"/>
          <w:lang w:val="en-US"/>
        </w:rPr>
        <w:t>The figures quoted is for the period 1 April 2020 to 31 August 2020.  The full year equivalent is £5-10k.</w:t>
      </w:r>
    </w:p>
  </w:footnote>
  <w:footnote w:id="11">
    <w:p w14:paraId="3C382722" w14:textId="77777777" w:rsidR="00B208B5" w:rsidRPr="0016090D" w:rsidRDefault="00B208B5">
      <w:pPr>
        <w:pStyle w:val="FootnoteText"/>
        <w:rPr>
          <w:rFonts w:ascii="Verdana" w:hAnsi="Verdana"/>
          <w:color w:val="7030A0"/>
          <w:sz w:val="16"/>
          <w:szCs w:val="16"/>
        </w:rPr>
      </w:pPr>
      <w:r w:rsidRPr="0016090D">
        <w:rPr>
          <w:rStyle w:val="FootnoteReference"/>
          <w:rFonts w:ascii="Verdana" w:hAnsi="Verdana"/>
          <w:color w:val="7030A0"/>
          <w:sz w:val="16"/>
          <w:szCs w:val="16"/>
        </w:rPr>
        <w:footnoteRef/>
      </w:r>
      <w:r w:rsidRPr="0016090D">
        <w:rPr>
          <w:rFonts w:ascii="Verdana" w:hAnsi="Verdana"/>
          <w:color w:val="7030A0"/>
          <w:sz w:val="16"/>
          <w:szCs w:val="16"/>
        </w:rPr>
        <w:t xml:space="preserve"> Charges a fee, which is processed through the Commission’s payroll.</w:t>
      </w:r>
    </w:p>
  </w:footnote>
  <w:footnote w:id="12">
    <w:p w14:paraId="51420703" w14:textId="77777777" w:rsidR="00B208B5" w:rsidRPr="003867FD" w:rsidRDefault="00B208B5">
      <w:pPr>
        <w:pStyle w:val="FootnoteText"/>
        <w:rPr>
          <w:rFonts w:ascii="Verdana" w:hAnsi="Verdana"/>
          <w:sz w:val="16"/>
          <w:szCs w:val="16"/>
          <w:lang w:val="en-US"/>
        </w:rPr>
      </w:pPr>
      <w:r w:rsidRPr="003867FD">
        <w:rPr>
          <w:rStyle w:val="FootnoteReference"/>
          <w:rFonts w:ascii="Verdana" w:hAnsi="Verdana"/>
          <w:color w:val="7030A0"/>
          <w:sz w:val="16"/>
          <w:szCs w:val="16"/>
        </w:rPr>
        <w:footnoteRef/>
      </w:r>
      <w:r w:rsidRPr="003867FD">
        <w:rPr>
          <w:rFonts w:ascii="Verdana" w:hAnsi="Verdana"/>
          <w:color w:val="7030A0"/>
          <w:sz w:val="16"/>
          <w:szCs w:val="16"/>
        </w:rPr>
        <w:t xml:space="preserve"> </w:t>
      </w:r>
      <w:r w:rsidRPr="003867FD">
        <w:rPr>
          <w:rFonts w:ascii="Verdana" w:hAnsi="Verdana"/>
          <w:color w:val="7030A0"/>
          <w:sz w:val="16"/>
          <w:szCs w:val="16"/>
          <w:lang w:val="en-US"/>
        </w:rPr>
        <w:t>The figure quoted is for the period 2 February 2021 to 31 March 2021 – date of appointment.  The full year equivalent is £60-£65k</w:t>
      </w:r>
    </w:p>
  </w:footnote>
  <w:footnote w:id="13">
    <w:p w14:paraId="2D6F35B6" w14:textId="77777777" w:rsidR="00B208B5" w:rsidRPr="007953D7" w:rsidRDefault="00B208B5" w:rsidP="007953D7">
      <w:pPr>
        <w:pStyle w:val="FootnoteText"/>
        <w:rPr>
          <w:rFonts w:ascii="Verdana" w:hAnsi="Verdana"/>
          <w:color w:val="7030A0"/>
          <w:sz w:val="16"/>
          <w:szCs w:val="16"/>
          <w:lang w:val="en-US"/>
        </w:rPr>
      </w:pPr>
      <w:r w:rsidRPr="00F61A65">
        <w:rPr>
          <w:rStyle w:val="FootnoteReference"/>
          <w:color w:val="7030A0"/>
        </w:rPr>
        <w:footnoteRef/>
      </w:r>
      <w:r w:rsidRPr="00F61A65">
        <w:rPr>
          <w:color w:val="7030A0"/>
        </w:rPr>
        <w:t xml:space="preserve"> </w:t>
      </w:r>
      <w:r w:rsidRPr="00F61A65">
        <w:rPr>
          <w:rFonts w:ascii="Verdana" w:hAnsi="Verdana"/>
          <w:color w:val="7030A0"/>
          <w:sz w:val="16"/>
          <w:szCs w:val="16"/>
          <w:lang w:val="en-US"/>
        </w:rPr>
        <w:t>The figure quoted is for the period 1 April 2020 to 4 November 2020.  The full year equivalent is £55-60k</w:t>
      </w:r>
    </w:p>
  </w:footnote>
  <w:footnote w:id="14">
    <w:p w14:paraId="3DB6B55A" w14:textId="77777777" w:rsidR="00B208B5" w:rsidRPr="00A415F6" w:rsidRDefault="00B208B5">
      <w:pPr>
        <w:pStyle w:val="FootnoteText"/>
        <w:rPr>
          <w:lang w:val="en-US"/>
        </w:rPr>
      </w:pPr>
      <w:r w:rsidRPr="008215DC">
        <w:rPr>
          <w:rStyle w:val="FootnoteReference"/>
          <w:color w:val="7030A0"/>
        </w:rPr>
        <w:footnoteRef/>
      </w:r>
      <w:r w:rsidRPr="008215DC">
        <w:rPr>
          <w:color w:val="7030A0"/>
        </w:rPr>
        <w:t xml:space="preserve"> Includes staff costs for Dedicated Mechanism staff of £461,833</w:t>
      </w:r>
    </w:p>
  </w:footnote>
  <w:footnote w:id="15">
    <w:p w14:paraId="255804F4" w14:textId="77777777" w:rsidR="00B208B5" w:rsidRPr="008215DC" w:rsidRDefault="00B208B5">
      <w:pPr>
        <w:pStyle w:val="FootnoteText"/>
        <w:rPr>
          <w:lang w:val="en-US"/>
        </w:rPr>
      </w:pPr>
      <w:r w:rsidRPr="008215DC">
        <w:rPr>
          <w:rStyle w:val="FootnoteReference"/>
          <w:color w:val="7030A0"/>
        </w:rPr>
        <w:footnoteRef/>
      </w:r>
      <w:r w:rsidRPr="008215DC">
        <w:rPr>
          <w:color w:val="7030A0"/>
        </w:rPr>
        <w:t xml:space="preserve"> </w:t>
      </w:r>
      <w:r w:rsidRPr="008215DC">
        <w:rPr>
          <w:color w:val="7030A0"/>
          <w:lang w:val="en-US"/>
        </w:rPr>
        <w:t>Includes pension costs for Dedicated Mechanism staff of £91,813</w:t>
      </w:r>
    </w:p>
  </w:footnote>
  <w:footnote w:id="16">
    <w:p w14:paraId="3CC2D484" w14:textId="1FF974FE" w:rsidR="00B208B5" w:rsidRPr="009824E9" w:rsidRDefault="00B208B5">
      <w:pPr>
        <w:pStyle w:val="FootnoteText"/>
        <w:rPr>
          <w:rFonts w:ascii="Verdana" w:hAnsi="Verdana"/>
          <w:color w:val="7030A0"/>
          <w:sz w:val="16"/>
          <w:szCs w:val="16"/>
        </w:rPr>
      </w:pPr>
      <w:r w:rsidRPr="009824E9">
        <w:rPr>
          <w:rStyle w:val="FootnoteReference"/>
          <w:rFonts w:ascii="Verdana" w:hAnsi="Verdana"/>
          <w:color w:val="7030A0"/>
          <w:sz w:val="16"/>
          <w:szCs w:val="16"/>
        </w:rPr>
        <w:footnoteRef/>
      </w:r>
      <w:r w:rsidRPr="009824E9">
        <w:rPr>
          <w:rFonts w:ascii="Verdana" w:hAnsi="Verdana"/>
          <w:color w:val="7030A0"/>
          <w:sz w:val="16"/>
          <w:szCs w:val="16"/>
        </w:rPr>
        <w:t xml:space="preserve"> Average number of persons employed can be found in the staff report on page </w:t>
      </w:r>
      <w:r w:rsidR="00C95126">
        <w:rPr>
          <w:rFonts w:ascii="Verdana" w:hAnsi="Verdana"/>
          <w:color w:val="7030A0"/>
          <w:sz w:val="16"/>
          <w:szCs w:val="16"/>
        </w:rPr>
        <w:t>45</w:t>
      </w:r>
      <w:r>
        <w:rPr>
          <w:rFonts w:ascii="Verdana" w:hAnsi="Verdana"/>
          <w:color w:val="7030A0"/>
          <w:sz w:val="16"/>
          <w:szCs w:val="16"/>
        </w:rPr>
        <w:t>.</w:t>
      </w:r>
    </w:p>
  </w:footnote>
  <w:footnote w:id="17">
    <w:p w14:paraId="195F978F" w14:textId="77777777" w:rsidR="00B208B5" w:rsidRPr="00225BE2" w:rsidRDefault="00B208B5">
      <w:pPr>
        <w:pStyle w:val="FootnoteText"/>
        <w:rPr>
          <w:rFonts w:ascii="Verdana" w:hAnsi="Verdana"/>
          <w:sz w:val="16"/>
          <w:szCs w:val="16"/>
        </w:rPr>
      </w:pPr>
      <w:r w:rsidRPr="00225BE2">
        <w:rPr>
          <w:rStyle w:val="FootnoteReference"/>
          <w:rFonts w:ascii="Verdana" w:hAnsi="Verdana"/>
          <w:color w:val="7030A0"/>
          <w:sz w:val="16"/>
          <w:szCs w:val="16"/>
        </w:rPr>
        <w:footnoteRef/>
      </w:r>
      <w:r w:rsidRPr="00225BE2">
        <w:rPr>
          <w:rFonts w:ascii="Verdana" w:hAnsi="Verdana"/>
          <w:color w:val="7030A0"/>
          <w:sz w:val="16"/>
          <w:szCs w:val="16"/>
        </w:rPr>
        <w:t xml:space="preserve"> Includes staff costs for Dedicated Mechanism of £461,833</w:t>
      </w:r>
    </w:p>
  </w:footnote>
  <w:footnote w:id="18">
    <w:p w14:paraId="463F8A0B" w14:textId="77777777" w:rsidR="00B208B5" w:rsidRPr="00144D0C" w:rsidRDefault="00B208B5">
      <w:pPr>
        <w:pStyle w:val="FootnoteText"/>
        <w:rPr>
          <w:rFonts w:ascii="Verdana" w:hAnsi="Verdana"/>
          <w:sz w:val="16"/>
          <w:szCs w:val="16"/>
          <w:lang w:val="en-US"/>
        </w:rPr>
      </w:pPr>
      <w:r w:rsidRPr="00144D0C">
        <w:rPr>
          <w:rStyle w:val="FootnoteReference"/>
          <w:rFonts w:ascii="Verdana" w:hAnsi="Verdana"/>
          <w:color w:val="7030A0"/>
          <w:sz w:val="16"/>
          <w:szCs w:val="16"/>
        </w:rPr>
        <w:footnoteRef/>
      </w:r>
      <w:r w:rsidRPr="00144D0C">
        <w:rPr>
          <w:rFonts w:ascii="Verdana" w:hAnsi="Verdana"/>
          <w:color w:val="7030A0"/>
          <w:sz w:val="16"/>
          <w:szCs w:val="16"/>
        </w:rPr>
        <w:t xml:space="preserve"> </w:t>
      </w:r>
      <w:r>
        <w:rPr>
          <w:rFonts w:ascii="Verdana" w:hAnsi="Verdana"/>
          <w:color w:val="7030A0"/>
          <w:sz w:val="16"/>
          <w:szCs w:val="16"/>
        </w:rPr>
        <w:t>Includes costs for Dedicated Mechanism of £6,645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932E0" w14:textId="77777777" w:rsidR="00B208B5" w:rsidRDefault="00B208B5" w:rsidP="00CA76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85AA" w14:textId="77777777" w:rsidR="00B208B5" w:rsidRDefault="00B20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71F77" w14:textId="77777777" w:rsidR="00B208B5" w:rsidRPr="006278CA" w:rsidRDefault="00B208B5" w:rsidP="00A83BA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E74B" w14:textId="77777777" w:rsidR="00B208B5" w:rsidRDefault="00B20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762"/>
    <w:multiLevelType w:val="hybridMultilevel"/>
    <w:tmpl w:val="23C82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51F00"/>
    <w:multiLevelType w:val="hybridMultilevel"/>
    <w:tmpl w:val="FF2CE9F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126446C9"/>
    <w:multiLevelType w:val="hybridMultilevel"/>
    <w:tmpl w:val="9C0C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07DB3"/>
    <w:multiLevelType w:val="hybridMultilevel"/>
    <w:tmpl w:val="215AEBA6"/>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4" w15:restartNumberingAfterBreak="0">
    <w:nsid w:val="22A00AB5"/>
    <w:multiLevelType w:val="hybridMultilevel"/>
    <w:tmpl w:val="FEBAEAF8"/>
    <w:lvl w:ilvl="0" w:tplc="08090001">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A4D06"/>
    <w:multiLevelType w:val="hybridMultilevel"/>
    <w:tmpl w:val="3F9A58E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2661137D"/>
    <w:multiLevelType w:val="hybridMultilevel"/>
    <w:tmpl w:val="BFD62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C5AD9"/>
    <w:multiLevelType w:val="hybridMultilevel"/>
    <w:tmpl w:val="6B9EE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154B2"/>
    <w:multiLevelType w:val="hybridMultilevel"/>
    <w:tmpl w:val="F5265D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5B29D4"/>
    <w:multiLevelType w:val="hybridMultilevel"/>
    <w:tmpl w:val="EC02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E159D"/>
    <w:multiLevelType w:val="hybridMultilevel"/>
    <w:tmpl w:val="BF50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2A21CF"/>
    <w:multiLevelType w:val="hybridMultilevel"/>
    <w:tmpl w:val="8C16C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C30D4"/>
    <w:multiLevelType w:val="hybridMultilevel"/>
    <w:tmpl w:val="CF28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C832DC"/>
    <w:multiLevelType w:val="hybridMultilevel"/>
    <w:tmpl w:val="BBDEA8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67F5A"/>
    <w:multiLevelType w:val="hybridMultilevel"/>
    <w:tmpl w:val="E2E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2496F"/>
    <w:multiLevelType w:val="hybridMultilevel"/>
    <w:tmpl w:val="EFBE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E45319"/>
    <w:multiLevelType w:val="multilevel"/>
    <w:tmpl w:val="69BCE3B6"/>
    <w:name w:val="OBRChapters"/>
    <w:styleLink w:val="OBRChapterNumbers"/>
    <w:lvl w:ilvl="0">
      <w:start w:val="1"/>
      <w:numFmt w:val="decimal"/>
      <w:lvlText w:val="%1"/>
      <w:lvlJc w:val="left"/>
      <w:pPr>
        <w:tabs>
          <w:tab w:val="num" w:pos="794"/>
        </w:tabs>
        <w:ind w:left="794" w:hanging="794"/>
      </w:pPr>
      <w:rPr>
        <w:rFonts w:ascii="Futura Md BT" w:hAnsi="Futura Md BT" w:hint="default"/>
        <w:b/>
        <w:i w:val="0"/>
        <w:color w:val="4F81BD" w:themeColor="accent1"/>
        <w:sz w:val="48"/>
      </w:rPr>
    </w:lvl>
    <w:lvl w:ilvl="1">
      <w:start w:val="1"/>
      <w:numFmt w:val="decimal"/>
      <w:lvlText w:val="%1.%2"/>
      <w:lvlJc w:val="left"/>
      <w:pPr>
        <w:tabs>
          <w:tab w:val="num" w:pos="794"/>
        </w:tabs>
        <w:ind w:left="794" w:hanging="794"/>
      </w:pPr>
      <w:rPr>
        <w:rFonts w:ascii="Futura Bk BT" w:hAnsi="Futura Bk BT" w:hint="default"/>
        <w:b w:val="0"/>
        <w:i w:val="0"/>
        <w:color w:val="4F81BD" w:themeColor="accent1"/>
        <w:sz w:val="22"/>
      </w:rPr>
    </w:lvl>
    <w:lvl w:ilvl="2">
      <w:start w:val="1"/>
      <w:numFmt w:val="decimal"/>
      <w:lvlRestart w:val="1"/>
      <w:suff w:val="space"/>
      <w:lvlText w:val="Chart %1.%3:"/>
      <w:lvlJc w:val="left"/>
      <w:pPr>
        <w:ind w:left="0" w:firstLine="0"/>
      </w:pPr>
      <w:rPr>
        <w:rFonts w:ascii="Futura Bk BT" w:hAnsi="Futura Bk BT" w:hint="default"/>
        <w:b w:val="0"/>
        <w:i w:val="0"/>
        <w:color w:val="4F81BD" w:themeColor="accent1"/>
        <w:sz w:val="26"/>
      </w:rPr>
    </w:lvl>
    <w:lvl w:ilvl="3">
      <w:start w:val="1"/>
      <w:numFmt w:val="decimal"/>
      <w:lvlRestart w:val="1"/>
      <w:suff w:val="space"/>
      <w:lvlText w:val="Table %1.%4:"/>
      <w:lvlJc w:val="left"/>
      <w:pPr>
        <w:ind w:left="0" w:firstLine="0"/>
      </w:pPr>
      <w:rPr>
        <w:rFonts w:ascii="Futura Bk BT" w:hAnsi="Futura Bk BT" w:hint="default"/>
        <w:b w:val="0"/>
        <w:i w:val="0"/>
        <w:color w:val="4F81BD" w:themeColor="accent1"/>
        <w:sz w:val="26"/>
      </w:rPr>
    </w:lvl>
    <w:lvl w:ilvl="4">
      <w:start w:val="1"/>
      <w:numFmt w:val="decimal"/>
      <w:lvlRestart w:val="1"/>
      <w:suff w:val="space"/>
      <w:lvlText w:val="Box %1.%5:"/>
      <w:lvlJc w:val="left"/>
      <w:pPr>
        <w:ind w:left="0" w:firstLine="0"/>
      </w:pPr>
      <w:rPr>
        <w:rFonts w:ascii="Futura Bk BT" w:hAnsi="Futura Bk BT" w:hint="default"/>
        <w:b w:val="0"/>
        <w:i w:val="0"/>
        <w:color w:val="4F81BD" w:themeColor="accent1"/>
        <w:sz w:val="26"/>
      </w:rPr>
    </w:lvl>
    <w:lvl w:ilvl="5">
      <w:start w:val="1"/>
      <w:numFmt w:val="decimal"/>
      <w:lvlRestart w:val="1"/>
      <w:suff w:val="space"/>
      <w:lvlText w:val="Figure %1.%6:"/>
      <w:lvlJc w:val="left"/>
      <w:pPr>
        <w:ind w:left="0" w:firstLine="0"/>
      </w:pPr>
      <w:rPr>
        <w:rFonts w:ascii="Futura Bk BT" w:hAnsi="Futura Bk BT" w:hint="default"/>
        <w:b w:val="0"/>
        <w:i w:val="0"/>
        <w:color w:val="4F81BD" w:themeColor="accent1"/>
        <w:sz w:val="26"/>
      </w:rPr>
    </w:lvl>
    <w:lvl w:ilvl="6">
      <w:start w:val="1"/>
      <w:numFmt w:val="none"/>
      <w:lvlRestart w:val="1"/>
      <w:suff w:val="space"/>
      <w:lvlText w:val=""/>
      <w:lvlJc w:val="left"/>
      <w:pPr>
        <w:ind w:left="0" w:firstLine="0"/>
      </w:pPr>
      <w:rPr>
        <w:rFonts w:ascii="Futura Bk BT" w:hAnsi="Futura Bk BT" w:hint="default"/>
        <w:b w:val="0"/>
        <w:i w:val="0"/>
        <w:color w:val="4F81BD" w:themeColor="accent1"/>
        <w:sz w:val="2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AF40F29"/>
    <w:multiLevelType w:val="hybridMultilevel"/>
    <w:tmpl w:val="B344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43072"/>
    <w:multiLevelType w:val="hybridMultilevel"/>
    <w:tmpl w:val="D7E056DE"/>
    <w:lvl w:ilvl="0" w:tplc="08090001">
      <w:start w:val="1"/>
      <w:numFmt w:val="bullet"/>
      <w:lvlText w:val=""/>
      <w:lvlJc w:val="left"/>
      <w:pPr>
        <w:ind w:left="3763"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44322"/>
    <w:multiLevelType w:val="hybridMultilevel"/>
    <w:tmpl w:val="6504B848"/>
    <w:lvl w:ilvl="0" w:tplc="A186FDB6">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423D13"/>
    <w:multiLevelType w:val="hybridMultilevel"/>
    <w:tmpl w:val="7E5621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2E0278"/>
    <w:multiLevelType w:val="hybridMultilevel"/>
    <w:tmpl w:val="BB8EAD0C"/>
    <w:lvl w:ilvl="0" w:tplc="1372406E">
      <w:start w:val="1"/>
      <w:numFmt w:val="lowerLetter"/>
      <w:pStyle w:val="a"/>
      <w:lvlText w:val="%1)"/>
      <w:lvlJc w:val="left"/>
      <w:pPr>
        <w:tabs>
          <w:tab w:val="num" w:pos="2094"/>
        </w:tabs>
        <w:ind w:left="2094" w:hanging="698"/>
      </w:pPr>
      <w:rPr>
        <w:rFonts w:ascii="Times New Roman" w:hAnsi="Times New Roman" w:hint="default"/>
        <w:b w:val="0"/>
        <w:i w:val="0"/>
        <w:sz w:val="22"/>
      </w:rPr>
    </w:lvl>
    <w:lvl w:ilvl="1" w:tplc="04090019" w:tentative="1">
      <w:start w:val="1"/>
      <w:numFmt w:val="lowerLetter"/>
      <w:lvlText w:val="%2."/>
      <w:lvlJc w:val="left"/>
      <w:pPr>
        <w:tabs>
          <w:tab w:val="num" w:pos="1756"/>
        </w:tabs>
        <w:ind w:left="1756" w:hanging="360"/>
      </w:pPr>
    </w:lvl>
    <w:lvl w:ilvl="2" w:tplc="0409001B" w:tentative="1">
      <w:start w:val="1"/>
      <w:numFmt w:val="lowerRoman"/>
      <w:lvlText w:val="%3."/>
      <w:lvlJc w:val="right"/>
      <w:pPr>
        <w:tabs>
          <w:tab w:val="num" w:pos="2476"/>
        </w:tabs>
        <w:ind w:left="2476" w:hanging="180"/>
      </w:pPr>
    </w:lvl>
    <w:lvl w:ilvl="3" w:tplc="0409000F" w:tentative="1">
      <w:start w:val="1"/>
      <w:numFmt w:val="decimal"/>
      <w:lvlText w:val="%4."/>
      <w:lvlJc w:val="left"/>
      <w:pPr>
        <w:tabs>
          <w:tab w:val="num" w:pos="3196"/>
        </w:tabs>
        <w:ind w:left="3196" w:hanging="360"/>
      </w:pPr>
    </w:lvl>
    <w:lvl w:ilvl="4" w:tplc="04090019" w:tentative="1">
      <w:start w:val="1"/>
      <w:numFmt w:val="lowerLetter"/>
      <w:lvlText w:val="%5."/>
      <w:lvlJc w:val="left"/>
      <w:pPr>
        <w:tabs>
          <w:tab w:val="num" w:pos="3916"/>
        </w:tabs>
        <w:ind w:left="3916" w:hanging="360"/>
      </w:pPr>
    </w:lvl>
    <w:lvl w:ilvl="5" w:tplc="0409001B" w:tentative="1">
      <w:start w:val="1"/>
      <w:numFmt w:val="lowerRoman"/>
      <w:lvlText w:val="%6."/>
      <w:lvlJc w:val="right"/>
      <w:pPr>
        <w:tabs>
          <w:tab w:val="num" w:pos="4636"/>
        </w:tabs>
        <w:ind w:left="4636" w:hanging="180"/>
      </w:pPr>
    </w:lvl>
    <w:lvl w:ilvl="6" w:tplc="0409000F" w:tentative="1">
      <w:start w:val="1"/>
      <w:numFmt w:val="decimal"/>
      <w:lvlText w:val="%7."/>
      <w:lvlJc w:val="left"/>
      <w:pPr>
        <w:tabs>
          <w:tab w:val="num" w:pos="5356"/>
        </w:tabs>
        <w:ind w:left="5356" w:hanging="360"/>
      </w:pPr>
    </w:lvl>
    <w:lvl w:ilvl="7" w:tplc="04090019" w:tentative="1">
      <w:start w:val="1"/>
      <w:numFmt w:val="lowerLetter"/>
      <w:lvlText w:val="%8."/>
      <w:lvlJc w:val="left"/>
      <w:pPr>
        <w:tabs>
          <w:tab w:val="num" w:pos="6076"/>
        </w:tabs>
        <w:ind w:left="6076" w:hanging="360"/>
      </w:pPr>
    </w:lvl>
    <w:lvl w:ilvl="8" w:tplc="0409001B" w:tentative="1">
      <w:start w:val="1"/>
      <w:numFmt w:val="lowerRoman"/>
      <w:lvlText w:val="%9."/>
      <w:lvlJc w:val="right"/>
      <w:pPr>
        <w:tabs>
          <w:tab w:val="num" w:pos="6796"/>
        </w:tabs>
        <w:ind w:left="6796" w:hanging="180"/>
      </w:pPr>
    </w:lvl>
  </w:abstractNum>
  <w:abstractNum w:abstractNumId="22" w15:restartNumberingAfterBreak="0">
    <w:nsid w:val="6FF12F47"/>
    <w:multiLevelType w:val="hybridMultilevel"/>
    <w:tmpl w:val="E39A4A02"/>
    <w:lvl w:ilvl="0" w:tplc="08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B4746C"/>
    <w:multiLevelType w:val="hybridMultilevel"/>
    <w:tmpl w:val="4E3C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AC19BD"/>
    <w:multiLevelType w:val="hybridMultilevel"/>
    <w:tmpl w:val="18D069B4"/>
    <w:lvl w:ilvl="0" w:tplc="BF443DF0">
      <w:start w:val="1"/>
      <w:numFmt w:val="decimal"/>
      <w:lvlText w:val="%1."/>
      <w:lvlJc w:val="left"/>
      <w:pPr>
        <w:ind w:left="720" w:hanging="360"/>
      </w:pPr>
    </w:lvl>
    <w:lvl w:ilvl="1" w:tplc="A88EBCAC">
      <w:start w:val="1"/>
      <w:numFmt w:val="lowerLetter"/>
      <w:lvlText w:val="%2."/>
      <w:lvlJc w:val="left"/>
      <w:pPr>
        <w:ind w:left="1440" w:hanging="360"/>
      </w:pPr>
    </w:lvl>
    <w:lvl w:ilvl="2" w:tplc="C6CCF6EC">
      <w:start w:val="1"/>
      <w:numFmt w:val="lowerRoman"/>
      <w:lvlText w:val="%3."/>
      <w:lvlJc w:val="right"/>
      <w:pPr>
        <w:ind w:left="2160" w:hanging="180"/>
      </w:pPr>
    </w:lvl>
    <w:lvl w:ilvl="3" w:tplc="61488EB2">
      <w:start w:val="1"/>
      <w:numFmt w:val="decimal"/>
      <w:lvlText w:val="%4."/>
      <w:lvlJc w:val="left"/>
      <w:pPr>
        <w:ind w:left="2880" w:hanging="360"/>
      </w:pPr>
    </w:lvl>
    <w:lvl w:ilvl="4" w:tplc="C240A238">
      <w:start w:val="1"/>
      <w:numFmt w:val="lowerLetter"/>
      <w:lvlText w:val="%5."/>
      <w:lvlJc w:val="left"/>
      <w:pPr>
        <w:ind w:left="3600" w:hanging="360"/>
      </w:pPr>
    </w:lvl>
    <w:lvl w:ilvl="5" w:tplc="E61C7CDA">
      <w:start w:val="1"/>
      <w:numFmt w:val="lowerRoman"/>
      <w:lvlText w:val="%6."/>
      <w:lvlJc w:val="right"/>
      <w:pPr>
        <w:ind w:left="4320" w:hanging="180"/>
      </w:pPr>
    </w:lvl>
    <w:lvl w:ilvl="6" w:tplc="5CE2AED0">
      <w:start w:val="1"/>
      <w:numFmt w:val="decimal"/>
      <w:lvlText w:val="%7."/>
      <w:lvlJc w:val="left"/>
      <w:pPr>
        <w:ind w:left="5040" w:hanging="360"/>
      </w:pPr>
    </w:lvl>
    <w:lvl w:ilvl="7" w:tplc="F1A883D4">
      <w:start w:val="1"/>
      <w:numFmt w:val="lowerLetter"/>
      <w:lvlText w:val="%8."/>
      <w:lvlJc w:val="left"/>
      <w:pPr>
        <w:ind w:left="5760" w:hanging="360"/>
      </w:pPr>
    </w:lvl>
    <w:lvl w:ilvl="8" w:tplc="F5DCB94E">
      <w:start w:val="1"/>
      <w:numFmt w:val="lowerRoman"/>
      <w:lvlText w:val="%9."/>
      <w:lvlJc w:val="right"/>
      <w:pPr>
        <w:ind w:left="6480" w:hanging="180"/>
      </w:pPr>
    </w:lvl>
  </w:abstractNum>
  <w:abstractNum w:abstractNumId="25" w15:restartNumberingAfterBreak="0">
    <w:nsid w:val="73C9360B"/>
    <w:multiLevelType w:val="hybridMultilevel"/>
    <w:tmpl w:val="E4B8F4EE"/>
    <w:lvl w:ilvl="0" w:tplc="E96457B4">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4FA5F7B"/>
    <w:multiLevelType w:val="multilevel"/>
    <w:tmpl w:val="8E4C94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24"/>
  </w:num>
  <w:num w:numId="2">
    <w:abstractNumId w:val="25"/>
  </w:num>
  <w:num w:numId="3">
    <w:abstractNumId w:val="21"/>
  </w:num>
  <w:num w:numId="4">
    <w:abstractNumId w:val="22"/>
  </w:num>
  <w:num w:numId="5">
    <w:abstractNumId w:val="13"/>
  </w:num>
  <w:num w:numId="6">
    <w:abstractNumId w:val="18"/>
  </w:num>
  <w:num w:numId="7">
    <w:abstractNumId w:val="5"/>
  </w:num>
  <w:num w:numId="8">
    <w:abstractNumId w:val="11"/>
  </w:num>
  <w:num w:numId="9">
    <w:abstractNumId w:val="7"/>
  </w:num>
  <w:num w:numId="10">
    <w:abstractNumId w:val="23"/>
  </w:num>
  <w:num w:numId="11">
    <w:abstractNumId w:val="0"/>
  </w:num>
  <w:num w:numId="12">
    <w:abstractNumId w:val="17"/>
  </w:num>
  <w:num w:numId="13">
    <w:abstractNumId w:val="16"/>
  </w:num>
  <w:num w:numId="14">
    <w:abstractNumId w:val="8"/>
  </w:num>
  <w:num w:numId="15">
    <w:abstractNumId w:val="1"/>
  </w:num>
  <w:num w:numId="16">
    <w:abstractNumId w:val="26"/>
  </w:num>
  <w:num w:numId="17">
    <w:abstractNumId w:val="2"/>
  </w:num>
  <w:num w:numId="18">
    <w:abstractNumId w:val="3"/>
  </w:num>
  <w:num w:numId="19">
    <w:abstractNumId w:val="19"/>
  </w:num>
  <w:num w:numId="20">
    <w:abstractNumId w:val="9"/>
  </w:num>
  <w:num w:numId="21">
    <w:abstractNumId w:val="15"/>
  </w:num>
  <w:num w:numId="22">
    <w:abstractNumId w:val="14"/>
  </w:num>
  <w:num w:numId="23">
    <w:abstractNumId w:val="12"/>
  </w:num>
  <w:num w:numId="24">
    <w:abstractNumId w:val="20"/>
  </w:num>
  <w:num w:numId="25">
    <w:abstractNumId w:val="4"/>
  </w:num>
  <w:num w:numId="26">
    <w:abstractNumId w:val="6"/>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A9"/>
    <w:rsid w:val="00000A37"/>
    <w:rsid w:val="00001C31"/>
    <w:rsid w:val="00002099"/>
    <w:rsid w:val="00002D0B"/>
    <w:rsid w:val="00003307"/>
    <w:rsid w:val="00003387"/>
    <w:rsid w:val="00003431"/>
    <w:rsid w:val="00004D67"/>
    <w:rsid w:val="00004E9E"/>
    <w:rsid w:val="00005237"/>
    <w:rsid w:val="00006A98"/>
    <w:rsid w:val="00006BE3"/>
    <w:rsid w:val="000101B6"/>
    <w:rsid w:val="00011A15"/>
    <w:rsid w:val="000143A4"/>
    <w:rsid w:val="000149F6"/>
    <w:rsid w:val="00014CBD"/>
    <w:rsid w:val="0001521D"/>
    <w:rsid w:val="00015433"/>
    <w:rsid w:val="00016EE9"/>
    <w:rsid w:val="0001768F"/>
    <w:rsid w:val="00020530"/>
    <w:rsid w:val="000211C5"/>
    <w:rsid w:val="00021832"/>
    <w:rsid w:val="00021CAC"/>
    <w:rsid w:val="00022385"/>
    <w:rsid w:val="00022ECA"/>
    <w:rsid w:val="00023AAA"/>
    <w:rsid w:val="00023B73"/>
    <w:rsid w:val="00024DBF"/>
    <w:rsid w:val="00024DC9"/>
    <w:rsid w:val="00025082"/>
    <w:rsid w:val="000255BE"/>
    <w:rsid w:val="0002645A"/>
    <w:rsid w:val="00026C65"/>
    <w:rsid w:val="000273B8"/>
    <w:rsid w:val="0002742C"/>
    <w:rsid w:val="00027716"/>
    <w:rsid w:val="00027FD7"/>
    <w:rsid w:val="00031CC5"/>
    <w:rsid w:val="00033356"/>
    <w:rsid w:val="00035826"/>
    <w:rsid w:val="000365E6"/>
    <w:rsid w:val="0003751E"/>
    <w:rsid w:val="00037E5B"/>
    <w:rsid w:val="000400FE"/>
    <w:rsid w:val="00040401"/>
    <w:rsid w:val="00040B95"/>
    <w:rsid w:val="00041E6B"/>
    <w:rsid w:val="000420C1"/>
    <w:rsid w:val="000421B0"/>
    <w:rsid w:val="00042210"/>
    <w:rsid w:val="00042BB0"/>
    <w:rsid w:val="00042F1B"/>
    <w:rsid w:val="00043C18"/>
    <w:rsid w:val="00043E33"/>
    <w:rsid w:val="00043FCE"/>
    <w:rsid w:val="0004464C"/>
    <w:rsid w:val="000457B1"/>
    <w:rsid w:val="00045A2B"/>
    <w:rsid w:val="00046023"/>
    <w:rsid w:val="000460E1"/>
    <w:rsid w:val="0004629C"/>
    <w:rsid w:val="00046D85"/>
    <w:rsid w:val="000474D6"/>
    <w:rsid w:val="00047867"/>
    <w:rsid w:val="00047ECA"/>
    <w:rsid w:val="000503DA"/>
    <w:rsid w:val="00051C2A"/>
    <w:rsid w:val="00051C92"/>
    <w:rsid w:val="000524D9"/>
    <w:rsid w:val="00052AEC"/>
    <w:rsid w:val="00053EF7"/>
    <w:rsid w:val="00053FAF"/>
    <w:rsid w:val="00054872"/>
    <w:rsid w:val="00054F53"/>
    <w:rsid w:val="00055338"/>
    <w:rsid w:val="00057B00"/>
    <w:rsid w:val="000606A1"/>
    <w:rsid w:val="00060F33"/>
    <w:rsid w:val="0006141F"/>
    <w:rsid w:val="000634E9"/>
    <w:rsid w:val="00064F7F"/>
    <w:rsid w:val="000651D3"/>
    <w:rsid w:val="00065202"/>
    <w:rsid w:val="00065486"/>
    <w:rsid w:val="00066ECE"/>
    <w:rsid w:val="00067076"/>
    <w:rsid w:val="00070D78"/>
    <w:rsid w:val="00070F2F"/>
    <w:rsid w:val="0007193B"/>
    <w:rsid w:val="000722C6"/>
    <w:rsid w:val="00073318"/>
    <w:rsid w:val="00074821"/>
    <w:rsid w:val="00074A7B"/>
    <w:rsid w:val="00075980"/>
    <w:rsid w:val="00075B38"/>
    <w:rsid w:val="00075FFD"/>
    <w:rsid w:val="00076A51"/>
    <w:rsid w:val="000771D2"/>
    <w:rsid w:val="00077B1D"/>
    <w:rsid w:val="00077C90"/>
    <w:rsid w:val="00077DF3"/>
    <w:rsid w:val="0008016D"/>
    <w:rsid w:val="0008061A"/>
    <w:rsid w:val="00080E2F"/>
    <w:rsid w:val="0008108C"/>
    <w:rsid w:val="00081D96"/>
    <w:rsid w:val="00082D64"/>
    <w:rsid w:val="0008457D"/>
    <w:rsid w:val="00084677"/>
    <w:rsid w:val="000862EE"/>
    <w:rsid w:val="000867EA"/>
    <w:rsid w:val="00086E89"/>
    <w:rsid w:val="00087A27"/>
    <w:rsid w:val="00091326"/>
    <w:rsid w:val="0009306C"/>
    <w:rsid w:val="00093D9E"/>
    <w:rsid w:val="00094275"/>
    <w:rsid w:val="0009486F"/>
    <w:rsid w:val="00094BB4"/>
    <w:rsid w:val="00095DA3"/>
    <w:rsid w:val="00096162"/>
    <w:rsid w:val="00096CE4"/>
    <w:rsid w:val="00097A0D"/>
    <w:rsid w:val="000A0042"/>
    <w:rsid w:val="000A0725"/>
    <w:rsid w:val="000A07D7"/>
    <w:rsid w:val="000A09CF"/>
    <w:rsid w:val="000A0B92"/>
    <w:rsid w:val="000A1018"/>
    <w:rsid w:val="000A1486"/>
    <w:rsid w:val="000A30FB"/>
    <w:rsid w:val="000A3201"/>
    <w:rsid w:val="000A3A02"/>
    <w:rsid w:val="000A3CAE"/>
    <w:rsid w:val="000A5CF1"/>
    <w:rsid w:val="000A6ADD"/>
    <w:rsid w:val="000A6B1E"/>
    <w:rsid w:val="000A6CF1"/>
    <w:rsid w:val="000A6F4A"/>
    <w:rsid w:val="000A7480"/>
    <w:rsid w:val="000A7486"/>
    <w:rsid w:val="000A78F4"/>
    <w:rsid w:val="000B1763"/>
    <w:rsid w:val="000B2111"/>
    <w:rsid w:val="000B24B6"/>
    <w:rsid w:val="000B300E"/>
    <w:rsid w:val="000B3433"/>
    <w:rsid w:val="000B3B3C"/>
    <w:rsid w:val="000B3BC2"/>
    <w:rsid w:val="000B41DD"/>
    <w:rsid w:val="000B4233"/>
    <w:rsid w:val="000B453A"/>
    <w:rsid w:val="000B4E0F"/>
    <w:rsid w:val="000B51C3"/>
    <w:rsid w:val="000B5399"/>
    <w:rsid w:val="000B5BFF"/>
    <w:rsid w:val="000B5FC3"/>
    <w:rsid w:val="000B63E5"/>
    <w:rsid w:val="000B68B7"/>
    <w:rsid w:val="000B6AEC"/>
    <w:rsid w:val="000B6DDD"/>
    <w:rsid w:val="000B7074"/>
    <w:rsid w:val="000B7B5E"/>
    <w:rsid w:val="000C09F5"/>
    <w:rsid w:val="000C15CF"/>
    <w:rsid w:val="000C1C84"/>
    <w:rsid w:val="000C2528"/>
    <w:rsid w:val="000C2A54"/>
    <w:rsid w:val="000C2D5A"/>
    <w:rsid w:val="000C352A"/>
    <w:rsid w:val="000C453B"/>
    <w:rsid w:val="000C4622"/>
    <w:rsid w:val="000C463C"/>
    <w:rsid w:val="000C587C"/>
    <w:rsid w:val="000C6C25"/>
    <w:rsid w:val="000C7A11"/>
    <w:rsid w:val="000C7C45"/>
    <w:rsid w:val="000D0CCB"/>
    <w:rsid w:val="000D1FD8"/>
    <w:rsid w:val="000D249C"/>
    <w:rsid w:val="000D2652"/>
    <w:rsid w:val="000D3A35"/>
    <w:rsid w:val="000D4052"/>
    <w:rsid w:val="000D4FD3"/>
    <w:rsid w:val="000D55E2"/>
    <w:rsid w:val="000D6F60"/>
    <w:rsid w:val="000D7C2C"/>
    <w:rsid w:val="000E0EB2"/>
    <w:rsid w:val="000E1653"/>
    <w:rsid w:val="000E1DB9"/>
    <w:rsid w:val="000E2A40"/>
    <w:rsid w:val="000E2D8B"/>
    <w:rsid w:val="000E3AC5"/>
    <w:rsid w:val="000E510E"/>
    <w:rsid w:val="000E57FE"/>
    <w:rsid w:val="000E659F"/>
    <w:rsid w:val="000E7172"/>
    <w:rsid w:val="000E7801"/>
    <w:rsid w:val="000F0C89"/>
    <w:rsid w:val="000F0E43"/>
    <w:rsid w:val="000F1C9A"/>
    <w:rsid w:val="000F2DC4"/>
    <w:rsid w:val="000F3455"/>
    <w:rsid w:val="000F3534"/>
    <w:rsid w:val="000F368D"/>
    <w:rsid w:val="000F3E64"/>
    <w:rsid w:val="000F5BB9"/>
    <w:rsid w:val="000F5E52"/>
    <w:rsid w:val="000F5ED9"/>
    <w:rsid w:val="000F6ABD"/>
    <w:rsid w:val="000F707B"/>
    <w:rsid w:val="00100336"/>
    <w:rsid w:val="001011E8"/>
    <w:rsid w:val="0010180A"/>
    <w:rsid w:val="001018E2"/>
    <w:rsid w:val="001022CA"/>
    <w:rsid w:val="0010435B"/>
    <w:rsid w:val="0010450B"/>
    <w:rsid w:val="00104D8B"/>
    <w:rsid w:val="00105E57"/>
    <w:rsid w:val="00106848"/>
    <w:rsid w:val="00110755"/>
    <w:rsid w:val="00111CE9"/>
    <w:rsid w:val="00111E68"/>
    <w:rsid w:val="001122B7"/>
    <w:rsid w:val="00112624"/>
    <w:rsid w:val="0011279B"/>
    <w:rsid w:val="00112AF2"/>
    <w:rsid w:val="001138DC"/>
    <w:rsid w:val="00115334"/>
    <w:rsid w:val="00115DB2"/>
    <w:rsid w:val="00116966"/>
    <w:rsid w:val="00117A9F"/>
    <w:rsid w:val="001203D3"/>
    <w:rsid w:val="00120F83"/>
    <w:rsid w:val="00122772"/>
    <w:rsid w:val="00122962"/>
    <w:rsid w:val="00123123"/>
    <w:rsid w:val="0012345F"/>
    <w:rsid w:val="001238D4"/>
    <w:rsid w:val="001241C8"/>
    <w:rsid w:val="00124F08"/>
    <w:rsid w:val="001251F4"/>
    <w:rsid w:val="001269B6"/>
    <w:rsid w:val="00126BDD"/>
    <w:rsid w:val="00127D7D"/>
    <w:rsid w:val="00127DA2"/>
    <w:rsid w:val="00127FEE"/>
    <w:rsid w:val="0013161B"/>
    <w:rsid w:val="001324BD"/>
    <w:rsid w:val="0013284B"/>
    <w:rsid w:val="00133CDD"/>
    <w:rsid w:val="00136BDD"/>
    <w:rsid w:val="00136C76"/>
    <w:rsid w:val="00136FE9"/>
    <w:rsid w:val="001402B3"/>
    <w:rsid w:val="00141799"/>
    <w:rsid w:val="001418F9"/>
    <w:rsid w:val="00141A0C"/>
    <w:rsid w:val="00141D9C"/>
    <w:rsid w:val="00142058"/>
    <w:rsid w:val="00142068"/>
    <w:rsid w:val="0014296C"/>
    <w:rsid w:val="00142B5E"/>
    <w:rsid w:val="00144D0C"/>
    <w:rsid w:val="00145346"/>
    <w:rsid w:val="001459AA"/>
    <w:rsid w:val="00146BCC"/>
    <w:rsid w:val="00147858"/>
    <w:rsid w:val="00147C9E"/>
    <w:rsid w:val="00147DA6"/>
    <w:rsid w:val="0015051C"/>
    <w:rsid w:val="00150E9A"/>
    <w:rsid w:val="00151DD4"/>
    <w:rsid w:val="00152443"/>
    <w:rsid w:val="00153A3C"/>
    <w:rsid w:val="00153D19"/>
    <w:rsid w:val="0015430A"/>
    <w:rsid w:val="00154981"/>
    <w:rsid w:val="00156E79"/>
    <w:rsid w:val="00157C6B"/>
    <w:rsid w:val="001600DF"/>
    <w:rsid w:val="001601E5"/>
    <w:rsid w:val="001606F0"/>
    <w:rsid w:val="0016090D"/>
    <w:rsid w:val="00160B5E"/>
    <w:rsid w:val="0016186F"/>
    <w:rsid w:val="00161E9E"/>
    <w:rsid w:val="001622E3"/>
    <w:rsid w:val="001630A9"/>
    <w:rsid w:val="0016456A"/>
    <w:rsid w:val="001647CC"/>
    <w:rsid w:val="00164967"/>
    <w:rsid w:val="00164B0C"/>
    <w:rsid w:val="00164D75"/>
    <w:rsid w:val="00164DE8"/>
    <w:rsid w:val="00165462"/>
    <w:rsid w:val="0016577F"/>
    <w:rsid w:val="00165BDD"/>
    <w:rsid w:val="00166C9A"/>
    <w:rsid w:val="0016728B"/>
    <w:rsid w:val="001677C3"/>
    <w:rsid w:val="00167CBD"/>
    <w:rsid w:val="00167DDE"/>
    <w:rsid w:val="00170965"/>
    <w:rsid w:val="001709F4"/>
    <w:rsid w:val="00171220"/>
    <w:rsid w:val="0017151A"/>
    <w:rsid w:val="00172050"/>
    <w:rsid w:val="001724DC"/>
    <w:rsid w:val="0017264A"/>
    <w:rsid w:val="00172696"/>
    <w:rsid w:val="00172D59"/>
    <w:rsid w:val="00172EEE"/>
    <w:rsid w:val="001730DC"/>
    <w:rsid w:val="001732BE"/>
    <w:rsid w:val="00173367"/>
    <w:rsid w:val="001733C1"/>
    <w:rsid w:val="001734F9"/>
    <w:rsid w:val="00173B8E"/>
    <w:rsid w:val="00174226"/>
    <w:rsid w:val="00174411"/>
    <w:rsid w:val="00174985"/>
    <w:rsid w:val="00175033"/>
    <w:rsid w:val="00176472"/>
    <w:rsid w:val="00177913"/>
    <w:rsid w:val="0018101C"/>
    <w:rsid w:val="00181537"/>
    <w:rsid w:val="00182B17"/>
    <w:rsid w:val="001830BE"/>
    <w:rsid w:val="00183C1A"/>
    <w:rsid w:val="001843D8"/>
    <w:rsid w:val="001848D3"/>
    <w:rsid w:val="00184BE8"/>
    <w:rsid w:val="00185E8C"/>
    <w:rsid w:val="001862EC"/>
    <w:rsid w:val="00187AC7"/>
    <w:rsid w:val="00191193"/>
    <w:rsid w:val="001927B0"/>
    <w:rsid w:val="00192E19"/>
    <w:rsid w:val="00193983"/>
    <w:rsid w:val="0019425A"/>
    <w:rsid w:val="00194788"/>
    <w:rsid w:val="00195176"/>
    <w:rsid w:val="00195884"/>
    <w:rsid w:val="001959CC"/>
    <w:rsid w:val="00196A5D"/>
    <w:rsid w:val="00196E42"/>
    <w:rsid w:val="00197037"/>
    <w:rsid w:val="00197746"/>
    <w:rsid w:val="00197D57"/>
    <w:rsid w:val="001A0836"/>
    <w:rsid w:val="001A0C19"/>
    <w:rsid w:val="001A1AAB"/>
    <w:rsid w:val="001A2FF2"/>
    <w:rsid w:val="001A3628"/>
    <w:rsid w:val="001A3E70"/>
    <w:rsid w:val="001A511A"/>
    <w:rsid w:val="001A5D5E"/>
    <w:rsid w:val="001A6055"/>
    <w:rsid w:val="001A613A"/>
    <w:rsid w:val="001A7032"/>
    <w:rsid w:val="001A7BA5"/>
    <w:rsid w:val="001A7FA4"/>
    <w:rsid w:val="001B0514"/>
    <w:rsid w:val="001B056E"/>
    <w:rsid w:val="001B180C"/>
    <w:rsid w:val="001B24E4"/>
    <w:rsid w:val="001B27EA"/>
    <w:rsid w:val="001B2F84"/>
    <w:rsid w:val="001B36EC"/>
    <w:rsid w:val="001B38FA"/>
    <w:rsid w:val="001B3D2D"/>
    <w:rsid w:val="001B40A5"/>
    <w:rsid w:val="001B4304"/>
    <w:rsid w:val="001B45CC"/>
    <w:rsid w:val="001B5F53"/>
    <w:rsid w:val="001B60C1"/>
    <w:rsid w:val="001B6F51"/>
    <w:rsid w:val="001B78C1"/>
    <w:rsid w:val="001B791D"/>
    <w:rsid w:val="001B7925"/>
    <w:rsid w:val="001B7D6F"/>
    <w:rsid w:val="001C00B7"/>
    <w:rsid w:val="001C06AC"/>
    <w:rsid w:val="001C0B54"/>
    <w:rsid w:val="001C2444"/>
    <w:rsid w:val="001C2FBB"/>
    <w:rsid w:val="001C3878"/>
    <w:rsid w:val="001C39A7"/>
    <w:rsid w:val="001C3FE5"/>
    <w:rsid w:val="001C40F0"/>
    <w:rsid w:val="001C49E3"/>
    <w:rsid w:val="001C4D92"/>
    <w:rsid w:val="001C4E0F"/>
    <w:rsid w:val="001C5FCA"/>
    <w:rsid w:val="001C6A09"/>
    <w:rsid w:val="001C734F"/>
    <w:rsid w:val="001C7925"/>
    <w:rsid w:val="001D020B"/>
    <w:rsid w:val="001D02E7"/>
    <w:rsid w:val="001D0DE7"/>
    <w:rsid w:val="001D111A"/>
    <w:rsid w:val="001D12C4"/>
    <w:rsid w:val="001D1E00"/>
    <w:rsid w:val="001D2D71"/>
    <w:rsid w:val="001D36E2"/>
    <w:rsid w:val="001D3707"/>
    <w:rsid w:val="001D3F77"/>
    <w:rsid w:val="001D4CFC"/>
    <w:rsid w:val="001D5398"/>
    <w:rsid w:val="001D5687"/>
    <w:rsid w:val="001D56D4"/>
    <w:rsid w:val="001D5F99"/>
    <w:rsid w:val="001D785A"/>
    <w:rsid w:val="001D7B5D"/>
    <w:rsid w:val="001D7B61"/>
    <w:rsid w:val="001E07EE"/>
    <w:rsid w:val="001E0AD9"/>
    <w:rsid w:val="001E0F20"/>
    <w:rsid w:val="001E1550"/>
    <w:rsid w:val="001E1BBD"/>
    <w:rsid w:val="001E24FD"/>
    <w:rsid w:val="001E2945"/>
    <w:rsid w:val="001E448A"/>
    <w:rsid w:val="001E4CF4"/>
    <w:rsid w:val="001E5219"/>
    <w:rsid w:val="001E5939"/>
    <w:rsid w:val="001E5A61"/>
    <w:rsid w:val="001E70AE"/>
    <w:rsid w:val="001F0440"/>
    <w:rsid w:val="001F0FFE"/>
    <w:rsid w:val="001F1A84"/>
    <w:rsid w:val="001F2533"/>
    <w:rsid w:val="001F337B"/>
    <w:rsid w:val="001F3FCA"/>
    <w:rsid w:val="001F4C32"/>
    <w:rsid w:val="001F5808"/>
    <w:rsid w:val="001F5E43"/>
    <w:rsid w:val="001F61FA"/>
    <w:rsid w:val="001F6483"/>
    <w:rsid w:val="001F66D9"/>
    <w:rsid w:val="001F685B"/>
    <w:rsid w:val="001F71B0"/>
    <w:rsid w:val="001F78AA"/>
    <w:rsid w:val="001F795E"/>
    <w:rsid w:val="001F7D24"/>
    <w:rsid w:val="00200F3F"/>
    <w:rsid w:val="00201E96"/>
    <w:rsid w:val="00201F9C"/>
    <w:rsid w:val="002029F0"/>
    <w:rsid w:val="00202A40"/>
    <w:rsid w:val="00202B29"/>
    <w:rsid w:val="00204A6B"/>
    <w:rsid w:val="00204DA2"/>
    <w:rsid w:val="002050C8"/>
    <w:rsid w:val="00206E90"/>
    <w:rsid w:val="00210451"/>
    <w:rsid w:val="00211CB4"/>
    <w:rsid w:val="002133C6"/>
    <w:rsid w:val="0021343C"/>
    <w:rsid w:val="002139E5"/>
    <w:rsid w:val="00213CA3"/>
    <w:rsid w:val="00214B6A"/>
    <w:rsid w:val="00215C42"/>
    <w:rsid w:val="00216086"/>
    <w:rsid w:val="002165A9"/>
    <w:rsid w:val="002167B4"/>
    <w:rsid w:val="0021697E"/>
    <w:rsid w:val="00216E67"/>
    <w:rsid w:val="0021726E"/>
    <w:rsid w:val="0022077D"/>
    <w:rsid w:val="00220967"/>
    <w:rsid w:val="00220BC8"/>
    <w:rsid w:val="00220EA3"/>
    <w:rsid w:val="002216A6"/>
    <w:rsid w:val="0022484D"/>
    <w:rsid w:val="00225239"/>
    <w:rsid w:val="00225BE2"/>
    <w:rsid w:val="0022609A"/>
    <w:rsid w:val="00226391"/>
    <w:rsid w:val="002265A4"/>
    <w:rsid w:val="00226F25"/>
    <w:rsid w:val="002279F0"/>
    <w:rsid w:val="00227D02"/>
    <w:rsid w:val="002301DE"/>
    <w:rsid w:val="002313AA"/>
    <w:rsid w:val="0023260E"/>
    <w:rsid w:val="002329F7"/>
    <w:rsid w:val="00232EB6"/>
    <w:rsid w:val="00233187"/>
    <w:rsid w:val="00233A70"/>
    <w:rsid w:val="00234EB0"/>
    <w:rsid w:val="00235025"/>
    <w:rsid w:val="0023535F"/>
    <w:rsid w:val="00235AC9"/>
    <w:rsid w:val="00236909"/>
    <w:rsid w:val="002369A4"/>
    <w:rsid w:val="00237BB1"/>
    <w:rsid w:val="00240C97"/>
    <w:rsid w:val="002412B8"/>
    <w:rsid w:val="0024187D"/>
    <w:rsid w:val="002422F9"/>
    <w:rsid w:val="00242B8A"/>
    <w:rsid w:val="00243C7E"/>
    <w:rsid w:val="00243E7B"/>
    <w:rsid w:val="00244ADF"/>
    <w:rsid w:val="00244BD7"/>
    <w:rsid w:val="00245858"/>
    <w:rsid w:val="00245907"/>
    <w:rsid w:val="00245DCE"/>
    <w:rsid w:val="00247310"/>
    <w:rsid w:val="002475ED"/>
    <w:rsid w:val="00247F9D"/>
    <w:rsid w:val="00250101"/>
    <w:rsid w:val="00251E9E"/>
    <w:rsid w:val="002520DB"/>
    <w:rsid w:val="002523EA"/>
    <w:rsid w:val="002525FD"/>
    <w:rsid w:val="00252AD3"/>
    <w:rsid w:val="00252BBA"/>
    <w:rsid w:val="00252DE0"/>
    <w:rsid w:val="002531F4"/>
    <w:rsid w:val="00253D2F"/>
    <w:rsid w:val="00254309"/>
    <w:rsid w:val="002543F5"/>
    <w:rsid w:val="00254515"/>
    <w:rsid w:val="00254655"/>
    <w:rsid w:val="00254DDB"/>
    <w:rsid w:val="00254DF3"/>
    <w:rsid w:val="00255020"/>
    <w:rsid w:val="00255670"/>
    <w:rsid w:val="0025578B"/>
    <w:rsid w:val="00256432"/>
    <w:rsid w:val="002578C2"/>
    <w:rsid w:val="002602B2"/>
    <w:rsid w:val="002603AF"/>
    <w:rsid w:val="00262E4A"/>
    <w:rsid w:val="0026436F"/>
    <w:rsid w:val="00264C3D"/>
    <w:rsid w:val="002651B5"/>
    <w:rsid w:val="00265406"/>
    <w:rsid w:val="00266428"/>
    <w:rsid w:val="00267FE4"/>
    <w:rsid w:val="002707A4"/>
    <w:rsid w:val="00270FC3"/>
    <w:rsid w:val="002711B5"/>
    <w:rsid w:val="00271BEB"/>
    <w:rsid w:val="00272565"/>
    <w:rsid w:val="00272693"/>
    <w:rsid w:val="0027305F"/>
    <w:rsid w:val="002748DB"/>
    <w:rsid w:val="002754CF"/>
    <w:rsid w:val="00275744"/>
    <w:rsid w:val="00276847"/>
    <w:rsid w:val="00277459"/>
    <w:rsid w:val="002774EB"/>
    <w:rsid w:val="00280EA2"/>
    <w:rsid w:val="00281F8F"/>
    <w:rsid w:val="0028264F"/>
    <w:rsid w:val="002828FC"/>
    <w:rsid w:val="00283726"/>
    <w:rsid w:val="00283CC4"/>
    <w:rsid w:val="002840FD"/>
    <w:rsid w:val="002843CE"/>
    <w:rsid w:val="0028543A"/>
    <w:rsid w:val="00285993"/>
    <w:rsid w:val="00286301"/>
    <w:rsid w:val="00286528"/>
    <w:rsid w:val="00286C52"/>
    <w:rsid w:val="00286CAD"/>
    <w:rsid w:val="002874DD"/>
    <w:rsid w:val="00287771"/>
    <w:rsid w:val="00287A60"/>
    <w:rsid w:val="00290387"/>
    <w:rsid w:val="002913DD"/>
    <w:rsid w:val="0029176F"/>
    <w:rsid w:val="00291806"/>
    <w:rsid w:val="00291C74"/>
    <w:rsid w:val="00293540"/>
    <w:rsid w:val="00293D76"/>
    <w:rsid w:val="00294C3D"/>
    <w:rsid w:val="00294FD3"/>
    <w:rsid w:val="0029565E"/>
    <w:rsid w:val="002962AB"/>
    <w:rsid w:val="0029665C"/>
    <w:rsid w:val="002977A1"/>
    <w:rsid w:val="002A0985"/>
    <w:rsid w:val="002A3B6B"/>
    <w:rsid w:val="002A4142"/>
    <w:rsid w:val="002A4EEF"/>
    <w:rsid w:val="002A501C"/>
    <w:rsid w:val="002A5182"/>
    <w:rsid w:val="002A524F"/>
    <w:rsid w:val="002A529C"/>
    <w:rsid w:val="002A58E0"/>
    <w:rsid w:val="002A615F"/>
    <w:rsid w:val="002A61FE"/>
    <w:rsid w:val="002A6ED0"/>
    <w:rsid w:val="002B01BC"/>
    <w:rsid w:val="002B1252"/>
    <w:rsid w:val="002B1B93"/>
    <w:rsid w:val="002B23D2"/>
    <w:rsid w:val="002B369A"/>
    <w:rsid w:val="002B406D"/>
    <w:rsid w:val="002B43F4"/>
    <w:rsid w:val="002B4406"/>
    <w:rsid w:val="002B4B94"/>
    <w:rsid w:val="002B4C5F"/>
    <w:rsid w:val="002B5963"/>
    <w:rsid w:val="002B5A1F"/>
    <w:rsid w:val="002B6000"/>
    <w:rsid w:val="002B6EF7"/>
    <w:rsid w:val="002B7829"/>
    <w:rsid w:val="002B787F"/>
    <w:rsid w:val="002B79C0"/>
    <w:rsid w:val="002C06EB"/>
    <w:rsid w:val="002C07AF"/>
    <w:rsid w:val="002C13B8"/>
    <w:rsid w:val="002C344A"/>
    <w:rsid w:val="002C43C6"/>
    <w:rsid w:val="002C487C"/>
    <w:rsid w:val="002C5071"/>
    <w:rsid w:val="002C5E7B"/>
    <w:rsid w:val="002C611D"/>
    <w:rsid w:val="002C647F"/>
    <w:rsid w:val="002C6510"/>
    <w:rsid w:val="002C6783"/>
    <w:rsid w:val="002C7407"/>
    <w:rsid w:val="002C7E46"/>
    <w:rsid w:val="002D0423"/>
    <w:rsid w:val="002D11DF"/>
    <w:rsid w:val="002D250B"/>
    <w:rsid w:val="002D3016"/>
    <w:rsid w:val="002D3EC3"/>
    <w:rsid w:val="002D52AC"/>
    <w:rsid w:val="002D58D7"/>
    <w:rsid w:val="002D6006"/>
    <w:rsid w:val="002D6300"/>
    <w:rsid w:val="002D6301"/>
    <w:rsid w:val="002D6423"/>
    <w:rsid w:val="002D707D"/>
    <w:rsid w:val="002D7758"/>
    <w:rsid w:val="002E000C"/>
    <w:rsid w:val="002E0981"/>
    <w:rsid w:val="002E09ED"/>
    <w:rsid w:val="002E138D"/>
    <w:rsid w:val="002E1C36"/>
    <w:rsid w:val="002E22FA"/>
    <w:rsid w:val="002E25C0"/>
    <w:rsid w:val="002E2D5B"/>
    <w:rsid w:val="002E3223"/>
    <w:rsid w:val="002E3343"/>
    <w:rsid w:val="002E33CF"/>
    <w:rsid w:val="002E4234"/>
    <w:rsid w:val="002E426A"/>
    <w:rsid w:val="002E453D"/>
    <w:rsid w:val="002E4C1A"/>
    <w:rsid w:val="002E54D6"/>
    <w:rsid w:val="002E6C1D"/>
    <w:rsid w:val="002E730C"/>
    <w:rsid w:val="002E736F"/>
    <w:rsid w:val="002E74FB"/>
    <w:rsid w:val="002E7843"/>
    <w:rsid w:val="002E789F"/>
    <w:rsid w:val="002F0651"/>
    <w:rsid w:val="002F2B65"/>
    <w:rsid w:val="002F3761"/>
    <w:rsid w:val="002F4E26"/>
    <w:rsid w:val="002F595E"/>
    <w:rsid w:val="002F59AD"/>
    <w:rsid w:val="002F59B3"/>
    <w:rsid w:val="002F5AD7"/>
    <w:rsid w:val="002F6BB9"/>
    <w:rsid w:val="00300B46"/>
    <w:rsid w:val="00301313"/>
    <w:rsid w:val="00301976"/>
    <w:rsid w:val="00302632"/>
    <w:rsid w:val="00303A38"/>
    <w:rsid w:val="0030411E"/>
    <w:rsid w:val="0030465B"/>
    <w:rsid w:val="00304A2F"/>
    <w:rsid w:val="00305334"/>
    <w:rsid w:val="003059B8"/>
    <w:rsid w:val="003061F1"/>
    <w:rsid w:val="00307A50"/>
    <w:rsid w:val="00310243"/>
    <w:rsid w:val="00310B14"/>
    <w:rsid w:val="00310B25"/>
    <w:rsid w:val="00311152"/>
    <w:rsid w:val="00313661"/>
    <w:rsid w:val="00314087"/>
    <w:rsid w:val="003145DE"/>
    <w:rsid w:val="00315EAB"/>
    <w:rsid w:val="00316D6D"/>
    <w:rsid w:val="003173D1"/>
    <w:rsid w:val="00317C56"/>
    <w:rsid w:val="0032051B"/>
    <w:rsid w:val="003208E2"/>
    <w:rsid w:val="0032117B"/>
    <w:rsid w:val="003212AA"/>
    <w:rsid w:val="00321D32"/>
    <w:rsid w:val="00323358"/>
    <w:rsid w:val="00325307"/>
    <w:rsid w:val="00325426"/>
    <w:rsid w:val="0032565A"/>
    <w:rsid w:val="00325E27"/>
    <w:rsid w:val="00325E3C"/>
    <w:rsid w:val="0032642A"/>
    <w:rsid w:val="00326824"/>
    <w:rsid w:val="00326ABE"/>
    <w:rsid w:val="00326BFF"/>
    <w:rsid w:val="00326CF0"/>
    <w:rsid w:val="00327694"/>
    <w:rsid w:val="00327B62"/>
    <w:rsid w:val="00330186"/>
    <w:rsid w:val="0033117C"/>
    <w:rsid w:val="00331495"/>
    <w:rsid w:val="0033200B"/>
    <w:rsid w:val="003325E2"/>
    <w:rsid w:val="003326AC"/>
    <w:rsid w:val="00332FA1"/>
    <w:rsid w:val="00333A7A"/>
    <w:rsid w:val="00336264"/>
    <w:rsid w:val="0033626E"/>
    <w:rsid w:val="003376F2"/>
    <w:rsid w:val="00337D6C"/>
    <w:rsid w:val="003404D0"/>
    <w:rsid w:val="00341494"/>
    <w:rsid w:val="00341659"/>
    <w:rsid w:val="0034208F"/>
    <w:rsid w:val="00343720"/>
    <w:rsid w:val="00343734"/>
    <w:rsid w:val="0034400C"/>
    <w:rsid w:val="003450A3"/>
    <w:rsid w:val="00345285"/>
    <w:rsid w:val="0034603D"/>
    <w:rsid w:val="003476A0"/>
    <w:rsid w:val="003501CD"/>
    <w:rsid w:val="0035154E"/>
    <w:rsid w:val="003526FA"/>
    <w:rsid w:val="00353872"/>
    <w:rsid w:val="00353BB7"/>
    <w:rsid w:val="0035490D"/>
    <w:rsid w:val="00354A84"/>
    <w:rsid w:val="00354D6A"/>
    <w:rsid w:val="00355EF8"/>
    <w:rsid w:val="00356738"/>
    <w:rsid w:val="00356F0A"/>
    <w:rsid w:val="00356F6D"/>
    <w:rsid w:val="003572E7"/>
    <w:rsid w:val="00360216"/>
    <w:rsid w:val="00360325"/>
    <w:rsid w:val="00360775"/>
    <w:rsid w:val="00361CB5"/>
    <w:rsid w:val="00362EF7"/>
    <w:rsid w:val="003633D6"/>
    <w:rsid w:val="00363D01"/>
    <w:rsid w:val="0036488B"/>
    <w:rsid w:val="00364ADF"/>
    <w:rsid w:val="0036576B"/>
    <w:rsid w:val="00366447"/>
    <w:rsid w:val="00370541"/>
    <w:rsid w:val="00370B59"/>
    <w:rsid w:val="003712A4"/>
    <w:rsid w:val="00371360"/>
    <w:rsid w:val="00372145"/>
    <w:rsid w:val="003721A2"/>
    <w:rsid w:val="003733E0"/>
    <w:rsid w:val="00374696"/>
    <w:rsid w:val="00375260"/>
    <w:rsid w:val="0037540C"/>
    <w:rsid w:val="00377CF3"/>
    <w:rsid w:val="00380C52"/>
    <w:rsid w:val="00382359"/>
    <w:rsid w:val="003826F9"/>
    <w:rsid w:val="0038392C"/>
    <w:rsid w:val="00383E3F"/>
    <w:rsid w:val="00383EDF"/>
    <w:rsid w:val="003850C6"/>
    <w:rsid w:val="003851F7"/>
    <w:rsid w:val="003867FD"/>
    <w:rsid w:val="00386F56"/>
    <w:rsid w:val="003874D6"/>
    <w:rsid w:val="003902AD"/>
    <w:rsid w:val="003904FA"/>
    <w:rsid w:val="00390542"/>
    <w:rsid w:val="00390A34"/>
    <w:rsid w:val="00390D70"/>
    <w:rsid w:val="00391274"/>
    <w:rsid w:val="00391358"/>
    <w:rsid w:val="003917E1"/>
    <w:rsid w:val="003918B1"/>
    <w:rsid w:val="00391B50"/>
    <w:rsid w:val="00391E17"/>
    <w:rsid w:val="00391EFD"/>
    <w:rsid w:val="0039280F"/>
    <w:rsid w:val="003931EC"/>
    <w:rsid w:val="00393E07"/>
    <w:rsid w:val="00394E8F"/>
    <w:rsid w:val="00394F82"/>
    <w:rsid w:val="003951B2"/>
    <w:rsid w:val="0039721C"/>
    <w:rsid w:val="00397C61"/>
    <w:rsid w:val="003A070F"/>
    <w:rsid w:val="003A0F0C"/>
    <w:rsid w:val="003A1392"/>
    <w:rsid w:val="003A3109"/>
    <w:rsid w:val="003A5566"/>
    <w:rsid w:val="003A68DF"/>
    <w:rsid w:val="003A70E7"/>
    <w:rsid w:val="003A7F30"/>
    <w:rsid w:val="003B1348"/>
    <w:rsid w:val="003B1D19"/>
    <w:rsid w:val="003B2440"/>
    <w:rsid w:val="003B276F"/>
    <w:rsid w:val="003B2CCE"/>
    <w:rsid w:val="003B308D"/>
    <w:rsid w:val="003B3E74"/>
    <w:rsid w:val="003B42D9"/>
    <w:rsid w:val="003B5970"/>
    <w:rsid w:val="003B5C76"/>
    <w:rsid w:val="003B5D45"/>
    <w:rsid w:val="003B67CB"/>
    <w:rsid w:val="003B78AB"/>
    <w:rsid w:val="003C0020"/>
    <w:rsid w:val="003C09E8"/>
    <w:rsid w:val="003C12F4"/>
    <w:rsid w:val="003C1759"/>
    <w:rsid w:val="003C1FD4"/>
    <w:rsid w:val="003C2788"/>
    <w:rsid w:val="003C29ED"/>
    <w:rsid w:val="003C425F"/>
    <w:rsid w:val="003C43BB"/>
    <w:rsid w:val="003C44FC"/>
    <w:rsid w:val="003C45FA"/>
    <w:rsid w:val="003C4C2D"/>
    <w:rsid w:val="003C55BB"/>
    <w:rsid w:val="003C598E"/>
    <w:rsid w:val="003C71E6"/>
    <w:rsid w:val="003C7A98"/>
    <w:rsid w:val="003D0DEB"/>
    <w:rsid w:val="003D1042"/>
    <w:rsid w:val="003D164C"/>
    <w:rsid w:val="003D5134"/>
    <w:rsid w:val="003D586E"/>
    <w:rsid w:val="003D5944"/>
    <w:rsid w:val="003D7099"/>
    <w:rsid w:val="003D75A7"/>
    <w:rsid w:val="003E11F7"/>
    <w:rsid w:val="003E2E29"/>
    <w:rsid w:val="003E37ED"/>
    <w:rsid w:val="003E54FA"/>
    <w:rsid w:val="003E59B1"/>
    <w:rsid w:val="003E6A09"/>
    <w:rsid w:val="003E6C8C"/>
    <w:rsid w:val="003F0604"/>
    <w:rsid w:val="003F0DB2"/>
    <w:rsid w:val="003F2009"/>
    <w:rsid w:val="003F24CD"/>
    <w:rsid w:val="003F2BBE"/>
    <w:rsid w:val="003F41F3"/>
    <w:rsid w:val="003F4E9A"/>
    <w:rsid w:val="003F51D1"/>
    <w:rsid w:val="003F5D74"/>
    <w:rsid w:val="003F5EDC"/>
    <w:rsid w:val="003F655A"/>
    <w:rsid w:val="003F76C3"/>
    <w:rsid w:val="003F76DD"/>
    <w:rsid w:val="003F7E43"/>
    <w:rsid w:val="003F7FE5"/>
    <w:rsid w:val="00400660"/>
    <w:rsid w:val="00400A2D"/>
    <w:rsid w:val="004016F8"/>
    <w:rsid w:val="004019B3"/>
    <w:rsid w:val="0040294B"/>
    <w:rsid w:val="00402B2E"/>
    <w:rsid w:val="00402F91"/>
    <w:rsid w:val="00403686"/>
    <w:rsid w:val="00403C79"/>
    <w:rsid w:val="00404E7D"/>
    <w:rsid w:val="00405502"/>
    <w:rsid w:val="00405DBD"/>
    <w:rsid w:val="0040697A"/>
    <w:rsid w:val="00406C03"/>
    <w:rsid w:val="00406CF9"/>
    <w:rsid w:val="00407731"/>
    <w:rsid w:val="00410972"/>
    <w:rsid w:val="0041109A"/>
    <w:rsid w:val="004113D9"/>
    <w:rsid w:val="00411669"/>
    <w:rsid w:val="00411A14"/>
    <w:rsid w:val="00412121"/>
    <w:rsid w:val="00412E35"/>
    <w:rsid w:val="004139C1"/>
    <w:rsid w:val="004146AA"/>
    <w:rsid w:val="004148F5"/>
    <w:rsid w:val="00416598"/>
    <w:rsid w:val="00416BBC"/>
    <w:rsid w:val="00416FA6"/>
    <w:rsid w:val="00417185"/>
    <w:rsid w:val="00417B43"/>
    <w:rsid w:val="00417CAC"/>
    <w:rsid w:val="00420566"/>
    <w:rsid w:val="00420C19"/>
    <w:rsid w:val="00422DD3"/>
    <w:rsid w:val="00422EEA"/>
    <w:rsid w:val="0042305D"/>
    <w:rsid w:val="00424706"/>
    <w:rsid w:val="00424C5A"/>
    <w:rsid w:val="00426FD8"/>
    <w:rsid w:val="0043012D"/>
    <w:rsid w:val="00432330"/>
    <w:rsid w:val="0043334D"/>
    <w:rsid w:val="00433999"/>
    <w:rsid w:val="00433CC3"/>
    <w:rsid w:val="00434941"/>
    <w:rsid w:val="0043501C"/>
    <w:rsid w:val="0043653E"/>
    <w:rsid w:val="004371CA"/>
    <w:rsid w:val="0044079C"/>
    <w:rsid w:val="00440BCB"/>
    <w:rsid w:val="0044103A"/>
    <w:rsid w:val="00441377"/>
    <w:rsid w:val="004413B9"/>
    <w:rsid w:val="00441A02"/>
    <w:rsid w:val="00441E93"/>
    <w:rsid w:val="00442012"/>
    <w:rsid w:val="00442458"/>
    <w:rsid w:val="00442EC5"/>
    <w:rsid w:val="004438D2"/>
    <w:rsid w:val="004440FF"/>
    <w:rsid w:val="00444E60"/>
    <w:rsid w:val="00446AB7"/>
    <w:rsid w:val="0044751C"/>
    <w:rsid w:val="00447A5D"/>
    <w:rsid w:val="0045027A"/>
    <w:rsid w:val="00450391"/>
    <w:rsid w:val="004509F0"/>
    <w:rsid w:val="00450CAE"/>
    <w:rsid w:val="00450D09"/>
    <w:rsid w:val="00451996"/>
    <w:rsid w:val="00453297"/>
    <w:rsid w:val="00456B39"/>
    <w:rsid w:val="004575AC"/>
    <w:rsid w:val="00457709"/>
    <w:rsid w:val="00460496"/>
    <w:rsid w:val="00460FDF"/>
    <w:rsid w:val="00461E9E"/>
    <w:rsid w:val="0046273A"/>
    <w:rsid w:val="00463B3B"/>
    <w:rsid w:val="00463EE5"/>
    <w:rsid w:val="004643C5"/>
    <w:rsid w:val="004662BD"/>
    <w:rsid w:val="00467038"/>
    <w:rsid w:val="00467207"/>
    <w:rsid w:val="00474422"/>
    <w:rsid w:val="00475BC8"/>
    <w:rsid w:val="00476EC0"/>
    <w:rsid w:val="004778FA"/>
    <w:rsid w:val="00477C6A"/>
    <w:rsid w:val="00480D9A"/>
    <w:rsid w:val="00481761"/>
    <w:rsid w:val="004828A5"/>
    <w:rsid w:val="00482DEE"/>
    <w:rsid w:val="0048363E"/>
    <w:rsid w:val="0048456B"/>
    <w:rsid w:val="00484906"/>
    <w:rsid w:val="0048494E"/>
    <w:rsid w:val="00485493"/>
    <w:rsid w:val="00485DEB"/>
    <w:rsid w:val="00490747"/>
    <w:rsid w:val="0049092B"/>
    <w:rsid w:val="00490EF8"/>
    <w:rsid w:val="004919F3"/>
    <w:rsid w:val="00491DF6"/>
    <w:rsid w:val="004936CC"/>
    <w:rsid w:val="00494BEF"/>
    <w:rsid w:val="0049664F"/>
    <w:rsid w:val="0049688D"/>
    <w:rsid w:val="0049691F"/>
    <w:rsid w:val="00496A2C"/>
    <w:rsid w:val="00497422"/>
    <w:rsid w:val="004976C4"/>
    <w:rsid w:val="004A0F58"/>
    <w:rsid w:val="004A2674"/>
    <w:rsid w:val="004A26A9"/>
    <w:rsid w:val="004A26CC"/>
    <w:rsid w:val="004A276C"/>
    <w:rsid w:val="004A2CEE"/>
    <w:rsid w:val="004A3087"/>
    <w:rsid w:val="004A4374"/>
    <w:rsid w:val="004A4706"/>
    <w:rsid w:val="004A4756"/>
    <w:rsid w:val="004A48CC"/>
    <w:rsid w:val="004A4B19"/>
    <w:rsid w:val="004A4CDD"/>
    <w:rsid w:val="004A60FF"/>
    <w:rsid w:val="004A68BF"/>
    <w:rsid w:val="004A6EB7"/>
    <w:rsid w:val="004A73A8"/>
    <w:rsid w:val="004B0428"/>
    <w:rsid w:val="004B0E4C"/>
    <w:rsid w:val="004B155C"/>
    <w:rsid w:val="004B3A39"/>
    <w:rsid w:val="004B5033"/>
    <w:rsid w:val="004B7569"/>
    <w:rsid w:val="004B75E6"/>
    <w:rsid w:val="004C0C95"/>
    <w:rsid w:val="004C0F46"/>
    <w:rsid w:val="004C14D6"/>
    <w:rsid w:val="004C1B56"/>
    <w:rsid w:val="004C1B5E"/>
    <w:rsid w:val="004C449C"/>
    <w:rsid w:val="004C4736"/>
    <w:rsid w:val="004C540F"/>
    <w:rsid w:val="004C5C9A"/>
    <w:rsid w:val="004C617F"/>
    <w:rsid w:val="004C65CF"/>
    <w:rsid w:val="004C6636"/>
    <w:rsid w:val="004D02D7"/>
    <w:rsid w:val="004D061F"/>
    <w:rsid w:val="004D1416"/>
    <w:rsid w:val="004D2028"/>
    <w:rsid w:val="004D2413"/>
    <w:rsid w:val="004D325C"/>
    <w:rsid w:val="004D4282"/>
    <w:rsid w:val="004D4F77"/>
    <w:rsid w:val="004D4FF1"/>
    <w:rsid w:val="004D57C1"/>
    <w:rsid w:val="004D708C"/>
    <w:rsid w:val="004D720B"/>
    <w:rsid w:val="004D7959"/>
    <w:rsid w:val="004E0B7E"/>
    <w:rsid w:val="004E147E"/>
    <w:rsid w:val="004E1EAB"/>
    <w:rsid w:val="004E20B2"/>
    <w:rsid w:val="004E26E9"/>
    <w:rsid w:val="004E2BAD"/>
    <w:rsid w:val="004E2BC1"/>
    <w:rsid w:val="004E2C73"/>
    <w:rsid w:val="004E3DEE"/>
    <w:rsid w:val="004E4A09"/>
    <w:rsid w:val="004E4A86"/>
    <w:rsid w:val="004E679F"/>
    <w:rsid w:val="004E6BF5"/>
    <w:rsid w:val="004E6F61"/>
    <w:rsid w:val="004F03E6"/>
    <w:rsid w:val="004F04CA"/>
    <w:rsid w:val="004F0B1F"/>
    <w:rsid w:val="004F0C79"/>
    <w:rsid w:val="004F116F"/>
    <w:rsid w:val="004F12AA"/>
    <w:rsid w:val="004F13AB"/>
    <w:rsid w:val="004F15B4"/>
    <w:rsid w:val="004F3328"/>
    <w:rsid w:val="004F33F5"/>
    <w:rsid w:val="004F35FC"/>
    <w:rsid w:val="004F36F4"/>
    <w:rsid w:val="004F3BCC"/>
    <w:rsid w:val="004F3F37"/>
    <w:rsid w:val="004F4E9F"/>
    <w:rsid w:val="004F50CD"/>
    <w:rsid w:val="004F71D4"/>
    <w:rsid w:val="00500BE2"/>
    <w:rsid w:val="00500D03"/>
    <w:rsid w:val="00500D76"/>
    <w:rsid w:val="005020AB"/>
    <w:rsid w:val="005027E7"/>
    <w:rsid w:val="00502A62"/>
    <w:rsid w:val="00502DAC"/>
    <w:rsid w:val="005035BB"/>
    <w:rsid w:val="00503D7F"/>
    <w:rsid w:val="00503EB5"/>
    <w:rsid w:val="00503F24"/>
    <w:rsid w:val="00504415"/>
    <w:rsid w:val="0050481D"/>
    <w:rsid w:val="00504954"/>
    <w:rsid w:val="005049F6"/>
    <w:rsid w:val="005059F8"/>
    <w:rsid w:val="00505FB8"/>
    <w:rsid w:val="00506034"/>
    <w:rsid w:val="00507630"/>
    <w:rsid w:val="00507975"/>
    <w:rsid w:val="00507D74"/>
    <w:rsid w:val="00510377"/>
    <w:rsid w:val="00510C15"/>
    <w:rsid w:val="00513046"/>
    <w:rsid w:val="00513661"/>
    <w:rsid w:val="00513A0D"/>
    <w:rsid w:val="00514144"/>
    <w:rsid w:val="005144AF"/>
    <w:rsid w:val="00514876"/>
    <w:rsid w:val="005148DE"/>
    <w:rsid w:val="00514944"/>
    <w:rsid w:val="00514B27"/>
    <w:rsid w:val="00514CD2"/>
    <w:rsid w:val="00516855"/>
    <w:rsid w:val="00517462"/>
    <w:rsid w:val="0051799C"/>
    <w:rsid w:val="00521220"/>
    <w:rsid w:val="00521B1A"/>
    <w:rsid w:val="00521F45"/>
    <w:rsid w:val="0052239C"/>
    <w:rsid w:val="00522714"/>
    <w:rsid w:val="00522A61"/>
    <w:rsid w:val="00522DCD"/>
    <w:rsid w:val="00523FCB"/>
    <w:rsid w:val="00524648"/>
    <w:rsid w:val="00525DAE"/>
    <w:rsid w:val="0052683A"/>
    <w:rsid w:val="00526860"/>
    <w:rsid w:val="00527502"/>
    <w:rsid w:val="00527708"/>
    <w:rsid w:val="00530316"/>
    <w:rsid w:val="0053063B"/>
    <w:rsid w:val="00530A87"/>
    <w:rsid w:val="00530B3A"/>
    <w:rsid w:val="00531E94"/>
    <w:rsid w:val="00533B5B"/>
    <w:rsid w:val="00533EDC"/>
    <w:rsid w:val="0053482D"/>
    <w:rsid w:val="00535340"/>
    <w:rsid w:val="005353A0"/>
    <w:rsid w:val="00536EB4"/>
    <w:rsid w:val="00537245"/>
    <w:rsid w:val="0054023F"/>
    <w:rsid w:val="00540433"/>
    <w:rsid w:val="00541437"/>
    <w:rsid w:val="00541F20"/>
    <w:rsid w:val="00542294"/>
    <w:rsid w:val="00542DDF"/>
    <w:rsid w:val="00542FB2"/>
    <w:rsid w:val="0054315F"/>
    <w:rsid w:val="005442B5"/>
    <w:rsid w:val="005468AD"/>
    <w:rsid w:val="00547269"/>
    <w:rsid w:val="005472EE"/>
    <w:rsid w:val="005478A4"/>
    <w:rsid w:val="005504D0"/>
    <w:rsid w:val="0055052E"/>
    <w:rsid w:val="00550726"/>
    <w:rsid w:val="00550AFB"/>
    <w:rsid w:val="00550EEF"/>
    <w:rsid w:val="005517B3"/>
    <w:rsid w:val="00551AD4"/>
    <w:rsid w:val="00552838"/>
    <w:rsid w:val="00554001"/>
    <w:rsid w:val="00554FF9"/>
    <w:rsid w:val="00556685"/>
    <w:rsid w:val="00556A20"/>
    <w:rsid w:val="005570B9"/>
    <w:rsid w:val="005607D8"/>
    <w:rsid w:val="005608E1"/>
    <w:rsid w:val="00561419"/>
    <w:rsid w:val="00561C55"/>
    <w:rsid w:val="00561EDB"/>
    <w:rsid w:val="005621A3"/>
    <w:rsid w:val="005623CB"/>
    <w:rsid w:val="00562768"/>
    <w:rsid w:val="005630C2"/>
    <w:rsid w:val="00563298"/>
    <w:rsid w:val="00563893"/>
    <w:rsid w:val="00563D4A"/>
    <w:rsid w:val="00563E73"/>
    <w:rsid w:val="0056483B"/>
    <w:rsid w:val="0056637D"/>
    <w:rsid w:val="00567379"/>
    <w:rsid w:val="005674C7"/>
    <w:rsid w:val="00570C54"/>
    <w:rsid w:val="00572615"/>
    <w:rsid w:val="00572F15"/>
    <w:rsid w:val="005731BA"/>
    <w:rsid w:val="005737EE"/>
    <w:rsid w:val="00574137"/>
    <w:rsid w:val="005749B9"/>
    <w:rsid w:val="00575975"/>
    <w:rsid w:val="0057710A"/>
    <w:rsid w:val="005806A9"/>
    <w:rsid w:val="00580B66"/>
    <w:rsid w:val="00582023"/>
    <w:rsid w:val="00582180"/>
    <w:rsid w:val="00582766"/>
    <w:rsid w:val="00582BA5"/>
    <w:rsid w:val="00582C59"/>
    <w:rsid w:val="00582EB9"/>
    <w:rsid w:val="00584E89"/>
    <w:rsid w:val="00586ECE"/>
    <w:rsid w:val="00587F0E"/>
    <w:rsid w:val="0059055F"/>
    <w:rsid w:val="005916C3"/>
    <w:rsid w:val="00591E25"/>
    <w:rsid w:val="00592635"/>
    <w:rsid w:val="00592667"/>
    <w:rsid w:val="00592C7B"/>
    <w:rsid w:val="005934E2"/>
    <w:rsid w:val="00594081"/>
    <w:rsid w:val="0059541E"/>
    <w:rsid w:val="00595973"/>
    <w:rsid w:val="00596135"/>
    <w:rsid w:val="00596158"/>
    <w:rsid w:val="005965F7"/>
    <w:rsid w:val="0059749A"/>
    <w:rsid w:val="00597D6B"/>
    <w:rsid w:val="00597DD2"/>
    <w:rsid w:val="005A1DA8"/>
    <w:rsid w:val="005A3BB2"/>
    <w:rsid w:val="005A4119"/>
    <w:rsid w:val="005A5173"/>
    <w:rsid w:val="005A53F8"/>
    <w:rsid w:val="005A5724"/>
    <w:rsid w:val="005A5B00"/>
    <w:rsid w:val="005A5B86"/>
    <w:rsid w:val="005A5F14"/>
    <w:rsid w:val="005A6C4D"/>
    <w:rsid w:val="005B007D"/>
    <w:rsid w:val="005B063F"/>
    <w:rsid w:val="005B1FA8"/>
    <w:rsid w:val="005B20B7"/>
    <w:rsid w:val="005B3306"/>
    <w:rsid w:val="005B3DFB"/>
    <w:rsid w:val="005B3FDD"/>
    <w:rsid w:val="005B43DE"/>
    <w:rsid w:val="005B5328"/>
    <w:rsid w:val="005B61D6"/>
    <w:rsid w:val="005B6801"/>
    <w:rsid w:val="005B6EE3"/>
    <w:rsid w:val="005B72C1"/>
    <w:rsid w:val="005C083D"/>
    <w:rsid w:val="005C2E30"/>
    <w:rsid w:val="005C39B8"/>
    <w:rsid w:val="005C416D"/>
    <w:rsid w:val="005C4310"/>
    <w:rsid w:val="005C45A2"/>
    <w:rsid w:val="005C4DD5"/>
    <w:rsid w:val="005C50F5"/>
    <w:rsid w:val="005C6D9D"/>
    <w:rsid w:val="005C6FEE"/>
    <w:rsid w:val="005C717D"/>
    <w:rsid w:val="005C741F"/>
    <w:rsid w:val="005C776C"/>
    <w:rsid w:val="005D0B55"/>
    <w:rsid w:val="005D0BE5"/>
    <w:rsid w:val="005D1FE1"/>
    <w:rsid w:val="005D25E3"/>
    <w:rsid w:val="005D2CD3"/>
    <w:rsid w:val="005D2E9D"/>
    <w:rsid w:val="005D3E6C"/>
    <w:rsid w:val="005D4033"/>
    <w:rsid w:val="005D4C69"/>
    <w:rsid w:val="005D4D1E"/>
    <w:rsid w:val="005D69D1"/>
    <w:rsid w:val="005D716D"/>
    <w:rsid w:val="005D7A47"/>
    <w:rsid w:val="005E01E7"/>
    <w:rsid w:val="005E0E32"/>
    <w:rsid w:val="005E206F"/>
    <w:rsid w:val="005E31A9"/>
    <w:rsid w:val="005E33F1"/>
    <w:rsid w:val="005E340A"/>
    <w:rsid w:val="005E37E6"/>
    <w:rsid w:val="005E38A3"/>
    <w:rsid w:val="005E436C"/>
    <w:rsid w:val="005E65EC"/>
    <w:rsid w:val="005E6C6D"/>
    <w:rsid w:val="005E7112"/>
    <w:rsid w:val="005E7B1D"/>
    <w:rsid w:val="005F17D7"/>
    <w:rsid w:val="005F1FEE"/>
    <w:rsid w:val="005F2189"/>
    <w:rsid w:val="005F2697"/>
    <w:rsid w:val="005F342F"/>
    <w:rsid w:val="005F3CA4"/>
    <w:rsid w:val="005F4126"/>
    <w:rsid w:val="005F4708"/>
    <w:rsid w:val="005F591B"/>
    <w:rsid w:val="005F5B3E"/>
    <w:rsid w:val="005F6328"/>
    <w:rsid w:val="005F6AC8"/>
    <w:rsid w:val="005F6CB4"/>
    <w:rsid w:val="0060020E"/>
    <w:rsid w:val="00600366"/>
    <w:rsid w:val="00600AD1"/>
    <w:rsid w:val="0060120F"/>
    <w:rsid w:val="006014B0"/>
    <w:rsid w:val="00601CD9"/>
    <w:rsid w:val="006024AD"/>
    <w:rsid w:val="006034AB"/>
    <w:rsid w:val="006041FB"/>
    <w:rsid w:val="006048AC"/>
    <w:rsid w:val="00604982"/>
    <w:rsid w:val="00604C51"/>
    <w:rsid w:val="0060595D"/>
    <w:rsid w:val="00607881"/>
    <w:rsid w:val="00607C0F"/>
    <w:rsid w:val="00612253"/>
    <w:rsid w:val="00612B90"/>
    <w:rsid w:val="00612DE1"/>
    <w:rsid w:val="00613E77"/>
    <w:rsid w:val="006145B5"/>
    <w:rsid w:val="00616A42"/>
    <w:rsid w:val="00616BDC"/>
    <w:rsid w:val="006174A3"/>
    <w:rsid w:val="006178F7"/>
    <w:rsid w:val="00617A1A"/>
    <w:rsid w:val="006202E0"/>
    <w:rsid w:val="0062054C"/>
    <w:rsid w:val="006214DF"/>
    <w:rsid w:val="006222C5"/>
    <w:rsid w:val="00622919"/>
    <w:rsid w:val="00623004"/>
    <w:rsid w:val="00623425"/>
    <w:rsid w:val="0062396D"/>
    <w:rsid w:val="00623C38"/>
    <w:rsid w:val="00624C8B"/>
    <w:rsid w:val="00624CF4"/>
    <w:rsid w:val="006251B0"/>
    <w:rsid w:val="006253C9"/>
    <w:rsid w:val="006269AD"/>
    <w:rsid w:val="00626BA8"/>
    <w:rsid w:val="006278CA"/>
    <w:rsid w:val="00627E1D"/>
    <w:rsid w:val="00630201"/>
    <w:rsid w:val="00630876"/>
    <w:rsid w:val="006315E2"/>
    <w:rsid w:val="00631ABB"/>
    <w:rsid w:val="00631B49"/>
    <w:rsid w:val="006321A7"/>
    <w:rsid w:val="00632319"/>
    <w:rsid w:val="0063323D"/>
    <w:rsid w:val="0063330A"/>
    <w:rsid w:val="00633DEF"/>
    <w:rsid w:val="00633E4C"/>
    <w:rsid w:val="00634673"/>
    <w:rsid w:val="006346EA"/>
    <w:rsid w:val="00635805"/>
    <w:rsid w:val="006358D4"/>
    <w:rsid w:val="00635A14"/>
    <w:rsid w:val="00636AA4"/>
    <w:rsid w:val="00637AD6"/>
    <w:rsid w:val="00640086"/>
    <w:rsid w:val="00640398"/>
    <w:rsid w:val="006407B8"/>
    <w:rsid w:val="00642111"/>
    <w:rsid w:val="00642832"/>
    <w:rsid w:val="00642BF8"/>
    <w:rsid w:val="00642C3F"/>
    <w:rsid w:val="006444A4"/>
    <w:rsid w:val="00645A1F"/>
    <w:rsid w:val="00645B20"/>
    <w:rsid w:val="00645C03"/>
    <w:rsid w:val="00646770"/>
    <w:rsid w:val="006476E7"/>
    <w:rsid w:val="00647C81"/>
    <w:rsid w:val="00650284"/>
    <w:rsid w:val="0065044A"/>
    <w:rsid w:val="006507A8"/>
    <w:rsid w:val="0065094E"/>
    <w:rsid w:val="006509E4"/>
    <w:rsid w:val="00650CF4"/>
    <w:rsid w:val="00652846"/>
    <w:rsid w:val="00653020"/>
    <w:rsid w:val="00653092"/>
    <w:rsid w:val="0065329E"/>
    <w:rsid w:val="006536C3"/>
    <w:rsid w:val="00654B06"/>
    <w:rsid w:val="00654D72"/>
    <w:rsid w:val="006556F6"/>
    <w:rsid w:val="0065578F"/>
    <w:rsid w:val="006559A9"/>
    <w:rsid w:val="00655F17"/>
    <w:rsid w:val="0065643E"/>
    <w:rsid w:val="00656698"/>
    <w:rsid w:val="00657C2D"/>
    <w:rsid w:val="00657F64"/>
    <w:rsid w:val="00660836"/>
    <w:rsid w:val="00660ACB"/>
    <w:rsid w:val="00660AE7"/>
    <w:rsid w:val="006620E6"/>
    <w:rsid w:val="006629E0"/>
    <w:rsid w:val="00662D26"/>
    <w:rsid w:val="006635E9"/>
    <w:rsid w:val="006637BC"/>
    <w:rsid w:val="006638EA"/>
    <w:rsid w:val="00663AFF"/>
    <w:rsid w:val="00664580"/>
    <w:rsid w:val="00664A13"/>
    <w:rsid w:val="00664F10"/>
    <w:rsid w:val="006655D2"/>
    <w:rsid w:val="006660F8"/>
    <w:rsid w:val="006672B1"/>
    <w:rsid w:val="00667443"/>
    <w:rsid w:val="006679BF"/>
    <w:rsid w:val="00671DA5"/>
    <w:rsid w:val="00673318"/>
    <w:rsid w:val="006737BA"/>
    <w:rsid w:val="00673894"/>
    <w:rsid w:val="006749C4"/>
    <w:rsid w:val="006750F9"/>
    <w:rsid w:val="006758E0"/>
    <w:rsid w:val="00676064"/>
    <w:rsid w:val="00680423"/>
    <w:rsid w:val="00681F37"/>
    <w:rsid w:val="006827B7"/>
    <w:rsid w:val="00683DAE"/>
    <w:rsid w:val="00684EA9"/>
    <w:rsid w:val="00684F41"/>
    <w:rsid w:val="00685F8B"/>
    <w:rsid w:val="0068665A"/>
    <w:rsid w:val="006867D6"/>
    <w:rsid w:val="00686C36"/>
    <w:rsid w:val="006876C4"/>
    <w:rsid w:val="00687839"/>
    <w:rsid w:val="00687A8C"/>
    <w:rsid w:val="00687E9C"/>
    <w:rsid w:val="00690B14"/>
    <w:rsid w:val="00690EAE"/>
    <w:rsid w:val="006920E7"/>
    <w:rsid w:val="00692D04"/>
    <w:rsid w:val="00694392"/>
    <w:rsid w:val="006952B5"/>
    <w:rsid w:val="006956D5"/>
    <w:rsid w:val="00696058"/>
    <w:rsid w:val="00696379"/>
    <w:rsid w:val="00696574"/>
    <w:rsid w:val="006965E5"/>
    <w:rsid w:val="00696CCE"/>
    <w:rsid w:val="00697F4C"/>
    <w:rsid w:val="006A0589"/>
    <w:rsid w:val="006A16F8"/>
    <w:rsid w:val="006A1A6F"/>
    <w:rsid w:val="006A2806"/>
    <w:rsid w:val="006A40A8"/>
    <w:rsid w:val="006A4C01"/>
    <w:rsid w:val="006A5F7E"/>
    <w:rsid w:val="006A611A"/>
    <w:rsid w:val="006A7136"/>
    <w:rsid w:val="006A739C"/>
    <w:rsid w:val="006A73B6"/>
    <w:rsid w:val="006A773D"/>
    <w:rsid w:val="006A7D9B"/>
    <w:rsid w:val="006B10B0"/>
    <w:rsid w:val="006B3FAF"/>
    <w:rsid w:val="006B4772"/>
    <w:rsid w:val="006B48F3"/>
    <w:rsid w:val="006B4C2D"/>
    <w:rsid w:val="006B5CDC"/>
    <w:rsid w:val="006B7931"/>
    <w:rsid w:val="006C0ADE"/>
    <w:rsid w:val="006C1168"/>
    <w:rsid w:val="006C1D83"/>
    <w:rsid w:val="006C2013"/>
    <w:rsid w:val="006C2813"/>
    <w:rsid w:val="006C2DD7"/>
    <w:rsid w:val="006C392B"/>
    <w:rsid w:val="006C3FFE"/>
    <w:rsid w:val="006C4A7B"/>
    <w:rsid w:val="006C5A02"/>
    <w:rsid w:val="006C5E92"/>
    <w:rsid w:val="006C693F"/>
    <w:rsid w:val="006C6D23"/>
    <w:rsid w:val="006C7E49"/>
    <w:rsid w:val="006D0900"/>
    <w:rsid w:val="006D13EB"/>
    <w:rsid w:val="006D1646"/>
    <w:rsid w:val="006D2D48"/>
    <w:rsid w:val="006D3343"/>
    <w:rsid w:val="006D4EB9"/>
    <w:rsid w:val="006D62F6"/>
    <w:rsid w:val="006D635B"/>
    <w:rsid w:val="006D6A42"/>
    <w:rsid w:val="006D75F8"/>
    <w:rsid w:val="006D76FA"/>
    <w:rsid w:val="006D7AFC"/>
    <w:rsid w:val="006D7C90"/>
    <w:rsid w:val="006E0C83"/>
    <w:rsid w:val="006E0D50"/>
    <w:rsid w:val="006E2211"/>
    <w:rsid w:val="006E2472"/>
    <w:rsid w:val="006E28A2"/>
    <w:rsid w:val="006E379C"/>
    <w:rsid w:val="006E4551"/>
    <w:rsid w:val="006E6A8E"/>
    <w:rsid w:val="006E6AE8"/>
    <w:rsid w:val="006E74BA"/>
    <w:rsid w:val="006E7851"/>
    <w:rsid w:val="006E7A59"/>
    <w:rsid w:val="006F08BB"/>
    <w:rsid w:val="006F1684"/>
    <w:rsid w:val="006F1756"/>
    <w:rsid w:val="006F18B0"/>
    <w:rsid w:val="006F26A2"/>
    <w:rsid w:val="006F289C"/>
    <w:rsid w:val="006F36A0"/>
    <w:rsid w:val="006F4123"/>
    <w:rsid w:val="006F4998"/>
    <w:rsid w:val="006F4BE9"/>
    <w:rsid w:val="006F6C2A"/>
    <w:rsid w:val="006F7092"/>
    <w:rsid w:val="007014FD"/>
    <w:rsid w:val="00701733"/>
    <w:rsid w:val="00701E5E"/>
    <w:rsid w:val="00701FED"/>
    <w:rsid w:val="007030D6"/>
    <w:rsid w:val="00703705"/>
    <w:rsid w:val="00704791"/>
    <w:rsid w:val="00704DAD"/>
    <w:rsid w:val="00706291"/>
    <w:rsid w:val="00706957"/>
    <w:rsid w:val="00707ADB"/>
    <w:rsid w:val="00710DA5"/>
    <w:rsid w:val="007117EA"/>
    <w:rsid w:val="0071322E"/>
    <w:rsid w:val="00713312"/>
    <w:rsid w:val="00713362"/>
    <w:rsid w:val="007145E2"/>
    <w:rsid w:val="00714B19"/>
    <w:rsid w:val="00714E27"/>
    <w:rsid w:val="00715F36"/>
    <w:rsid w:val="00716D78"/>
    <w:rsid w:val="00717345"/>
    <w:rsid w:val="00720626"/>
    <w:rsid w:val="007220CF"/>
    <w:rsid w:val="007225ED"/>
    <w:rsid w:val="00723588"/>
    <w:rsid w:val="007238D0"/>
    <w:rsid w:val="00723B1B"/>
    <w:rsid w:val="00724606"/>
    <w:rsid w:val="0072512F"/>
    <w:rsid w:val="0072523F"/>
    <w:rsid w:val="00726FBA"/>
    <w:rsid w:val="0072751B"/>
    <w:rsid w:val="0073049C"/>
    <w:rsid w:val="00730E98"/>
    <w:rsid w:val="00731545"/>
    <w:rsid w:val="00731FD6"/>
    <w:rsid w:val="007334AD"/>
    <w:rsid w:val="00733579"/>
    <w:rsid w:val="00733584"/>
    <w:rsid w:val="0073377C"/>
    <w:rsid w:val="00733EBA"/>
    <w:rsid w:val="0073456F"/>
    <w:rsid w:val="0073482A"/>
    <w:rsid w:val="0073509A"/>
    <w:rsid w:val="007360E1"/>
    <w:rsid w:val="007370B2"/>
    <w:rsid w:val="0073714C"/>
    <w:rsid w:val="007375E0"/>
    <w:rsid w:val="00737A8F"/>
    <w:rsid w:val="00737D30"/>
    <w:rsid w:val="00737DE3"/>
    <w:rsid w:val="007407FB"/>
    <w:rsid w:val="00740BB4"/>
    <w:rsid w:val="00743470"/>
    <w:rsid w:val="007437E4"/>
    <w:rsid w:val="00744858"/>
    <w:rsid w:val="0074586D"/>
    <w:rsid w:val="00745995"/>
    <w:rsid w:val="00745BC4"/>
    <w:rsid w:val="00745FEB"/>
    <w:rsid w:val="00746079"/>
    <w:rsid w:val="00746D2B"/>
    <w:rsid w:val="0074726A"/>
    <w:rsid w:val="00750293"/>
    <w:rsid w:val="007506BF"/>
    <w:rsid w:val="0075120C"/>
    <w:rsid w:val="00751567"/>
    <w:rsid w:val="00751592"/>
    <w:rsid w:val="0075174B"/>
    <w:rsid w:val="00751D02"/>
    <w:rsid w:val="007520FB"/>
    <w:rsid w:val="007521F2"/>
    <w:rsid w:val="00752CED"/>
    <w:rsid w:val="00752D3B"/>
    <w:rsid w:val="00753C31"/>
    <w:rsid w:val="007543BD"/>
    <w:rsid w:val="00754AC9"/>
    <w:rsid w:val="00754B64"/>
    <w:rsid w:val="00757767"/>
    <w:rsid w:val="0076068C"/>
    <w:rsid w:val="00761577"/>
    <w:rsid w:val="00761714"/>
    <w:rsid w:val="00761B90"/>
    <w:rsid w:val="00762019"/>
    <w:rsid w:val="007621F5"/>
    <w:rsid w:val="007625E9"/>
    <w:rsid w:val="0076474C"/>
    <w:rsid w:val="007649E7"/>
    <w:rsid w:val="007662C9"/>
    <w:rsid w:val="00767D3D"/>
    <w:rsid w:val="00770016"/>
    <w:rsid w:val="00770763"/>
    <w:rsid w:val="00770C41"/>
    <w:rsid w:val="00771155"/>
    <w:rsid w:val="007713F9"/>
    <w:rsid w:val="0077197B"/>
    <w:rsid w:val="007721B4"/>
    <w:rsid w:val="00772696"/>
    <w:rsid w:val="00772EE1"/>
    <w:rsid w:val="0077372E"/>
    <w:rsid w:val="00773D2D"/>
    <w:rsid w:val="007745D8"/>
    <w:rsid w:val="007757A2"/>
    <w:rsid w:val="00775C00"/>
    <w:rsid w:val="00775E9C"/>
    <w:rsid w:val="00776043"/>
    <w:rsid w:val="00777C29"/>
    <w:rsid w:val="00782084"/>
    <w:rsid w:val="00782744"/>
    <w:rsid w:val="0078279B"/>
    <w:rsid w:val="00782AA0"/>
    <w:rsid w:val="00782F24"/>
    <w:rsid w:val="007838BD"/>
    <w:rsid w:val="00783D98"/>
    <w:rsid w:val="007842F8"/>
    <w:rsid w:val="0078447A"/>
    <w:rsid w:val="00784957"/>
    <w:rsid w:val="00784C2B"/>
    <w:rsid w:val="00785676"/>
    <w:rsid w:val="00785A92"/>
    <w:rsid w:val="00785B8D"/>
    <w:rsid w:val="00787B71"/>
    <w:rsid w:val="00790117"/>
    <w:rsid w:val="00790773"/>
    <w:rsid w:val="00790F29"/>
    <w:rsid w:val="00792B80"/>
    <w:rsid w:val="00793CA4"/>
    <w:rsid w:val="00793D52"/>
    <w:rsid w:val="00794005"/>
    <w:rsid w:val="007943B0"/>
    <w:rsid w:val="007953D7"/>
    <w:rsid w:val="007954F0"/>
    <w:rsid w:val="00795BF8"/>
    <w:rsid w:val="00795ED0"/>
    <w:rsid w:val="00796323"/>
    <w:rsid w:val="007973AC"/>
    <w:rsid w:val="00797586"/>
    <w:rsid w:val="007A03A7"/>
    <w:rsid w:val="007A1018"/>
    <w:rsid w:val="007A1570"/>
    <w:rsid w:val="007A1AE4"/>
    <w:rsid w:val="007A23C9"/>
    <w:rsid w:val="007A282A"/>
    <w:rsid w:val="007A2C1A"/>
    <w:rsid w:val="007A2E1A"/>
    <w:rsid w:val="007A3D31"/>
    <w:rsid w:val="007A5111"/>
    <w:rsid w:val="007A5147"/>
    <w:rsid w:val="007A54CF"/>
    <w:rsid w:val="007A61D4"/>
    <w:rsid w:val="007A6566"/>
    <w:rsid w:val="007A768C"/>
    <w:rsid w:val="007B094E"/>
    <w:rsid w:val="007B19A0"/>
    <w:rsid w:val="007B1A0B"/>
    <w:rsid w:val="007B1DC4"/>
    <w:rsid w:val="007B28F0"/>
    <w:rsid w:val="007B2D55"/>
    <w:rsid w:val="007B2F66"/>
    <w:rsid w:val="007B36A4"/>
    <w:rsid w:val="007B4033"/>
    <w:rsid w:val="007B476B"/>
    <w:rsid w:val="007B48AC"/>
    <w:rsid w:val="007B4D04"/>
    <w:rsid w:val="007B50CB"/>
    <w:rsid w:val="007B5AC6"/>
    <w:rsid w:val="007B5DCD"/>
    <w:rsid w:val="007B646D"/>
    <w:rsid w:val="007B699D"/>
    <w:rsid w:val="007B7291"/>
    <w:rsid w:val="007B768A"/>
    <w:rsid w:val="007B7747"/>
    <w:rsid w:val="007C018D"/>
    <w:rsid w:val="007C1A7B"/>
    <w:rsid w:val="007C2FD9"/>
    <w:rsid w:val="007C3238"/>
    <w:rsid w:val="007C3498"/>
    <w:rsid w:val="007C3C91"/>
    <w:rsid w:val="007C3D0A"/>
    <w:rsid w:val="007C40C2"/>
    <w:rsid w:val="007C49DA"/>
    <w:rsid w:val="007C5C06"/>
    <w:rsid w:val="007C6B78"/>
    <w:rsid w:val="007C6CE3"/>
    <w:rsid w:val="007C6FA9"/>
    <w:rsid w:val="007C72AC"/>
    <w:rsid w:val="007C7313"/>
    <w:rsid w:val="007C74AA"/>
    <w:rsid w:val="007C752F"/>
    <w:rsid w:val="007C7F0A"/>
    <w:rsid w:val="007D0485"/>
    <w:rsid w:val="007D1892"/>
    <w:rsid w:val="007D1C3D"/>
    <w:rsid w:val="007D1D9C"/>
    <w:rsid w:val="007D21A4"/>
    <w:rsid w:val="007D22C8"/>
    <w:rsid w:val="007D2A26"/>
    <w:rsid w:val="007D2C64"/>
    <w:rsid w:val="007D2E2E"/>
    <w:rsid w:val="007D4327"/>
    <w:rsid w:val="007D4BD2"/>
    <w:rsid w:val="007D4E63"/>
    <w:rsid w:val="007D5128"/>
    <w:rsid w:val="007D5391"/>
    <w:rsid w:val="007D58EF"/>
    <w:rsid w:val="007D6AD0"/>
    <w:rsid w:val="007D7986"/>
    <w:rsid w:val="007D7FBE"/>
    <w:rsid w:val="007E0CB5"/>
    <w:rsid w:val="007E1108"/>
    <w:rsid w:val="007E14B0"/>
    <w:rsid w:val="007E1610"/>
    <w:rsid w:val="007E1C06"/>
    <w:rsid w:val="007E2369"/>
    <w:rsid w:val="007E395A"/>
    <w:rsid w:val="007E440A"/>
    <w:rsid w:val="007E48E7"/>
    <w:rsid w:val="007E6009"/>
    <w:rsid w:val="007E63FB"/>
    <w:rsid w:val="007E6992"/>
    <w:rsid w:val="007E6B7B"/>
    <w:rsid w:val="007E6F26"/>
    <w:rsid w:val="007E74FF"/>
    <w:rsid w:val="007EACD2"/>
    <w:rsid w:val="007F0AAB"/>
    <w:rsid w:val="007F16EA"/>
    <w:rsid w:val="007F291E"/>
    <w:rsid w:val="007F2A92"/>
    <w:rsid w:val="007F2DCD"/>
    <w:rsid w:val="007F35D2"/>
    <w:rsid w:val="007F3B4C"/>
    <w:rsid w:val="007F41AD"/>
    <w:rsid w:val="007F45A9"/>
    <w:rsid w:val="007F4D84"/>
    <w:rsid w:val="007F582C"/>
    <w:rsid w:val="007F5A2B"/>
    <w:rsid w:val="007F5E94"/>
    <w:rsid w:val="007F636E"/>
    <w:rsid w:val="007F6EFD"/>
    <w:rsid w:val="0080022C"/>
    <w:rsid w:val="00800E11"/>
    <w:rsid w:val="008015B0"/>
    <w:rsid w:val="0080205D"/>
    <w:rsid w:val="008026D2"/>
    <w:rsid w:val="00802ACD"/>
    <w:rsid w:val="00804A8F"/>
    <w:rsid w:val="00805AE3"/>
    <w:rsid w:val="00805D2B"/>
    <w:rsid w:val="00805DBF"/>
    <w:rsid w:val="00806377"/>
    <w:rsid w:val="00807CDA"/>
    <w:rsid w:val="00807E97"/>
    <w:rsid w:val="0081025D"/>
    <w:rsid w:val="00810A6C"/>
    <w:rsid w:val="00810B78"/>
    <w:rsid w:val="00812965"/>
    <w:rsid w:val="00812EA7"/>
    <w:rsid w:val="0081310F"/>
    <w:rsid w:val="0081317E"/>
    <w:rsid w:val="00814B3E"/>
    <w:rsid w:val="00814E66"/>
    <w:rsid w:val="0081586B"/>
    <w:rsid w:val="00817536"/>
    <w:rsid w:val="00817BBC"/>
    <w:rsid w:val="00820476"/>
    <w:rsid w:val="008204C6"/>
    <w:rsid w:val="00820F41"/>
    <w:rsid w:val="008210A5"/>
    <w:rsid w:val="008215DC"/>
    <w:rsid w:val="00821887"/>
    <w:rsid w:val="008230A4"/>
    <w:rsid w:val="00823BFD"/>
    <w:rsid w:val="008244B9"/>
    <w:rsid w:val="00824709"/>
    <w:rsid w:val="008254E0"/>
    <w:rsid w:val="00825746"/>
    <w:rsid w:val="008273B6"/>
    <w:rsid w:val="008278D7"/>
    <w:rsid w:val="00827A87"/>
    <w:rsid w:val="00827D54"/>
    <w:rsid w:val="00827D65"/>
    <w:rsid w:val="00827E4A"/>
    <w:rsid w:val="008328EC"/>
    <w:rsid w:val="008329AC"/>
    <w:rsid w:val="008336CE"/>
    <w:rsid w:val="008350BB"/>
    <w:rsid w:val="00835B2C"/>
    <w:rsid w:val="00835BD3"/>
    <w:rsid w:val="0083761C"/>
    <w:rsid w:val="00837A48"/>
    <w:rsid w:val="00837A67"/>
    <w:rsid w:val="00837BFC"/>
    <w:rsid w:val="008404EB"/>
    <w:rsid w:val="0084227A"/>
    <w:rsid w:val="008440C8"/>
    <w:rsid w:val="00844B36"/>
    <w:rsid w:val="00845A56"/>
    <w:rsid w:val="008462AB"/>
    <w:rsid w:val="0084632B"/>
    <w:rsid w:val="008474EF"/>
    <w:rsid w:val="0084752B"/>
    <w:rsid w:val="008479F2"/>
    <w:rsid w:val="00847EC4"/>
    <w:rsid w:val="0084B063"/>
    <w:rsid w:val="008505FA"/>
    <w:rsid w:val="00851138"/>
    <w:rsid w:val="00851781"/>
    <w:rsid w:val="00851A51"/>
    <w:rsid w:val="00851CBE"/>
    <w:rsid w:val="00851F0F"/>
    <w:rsid w:val="00852A8C"/>
    <w:rsid w:val="00852A98"/>
    <w:rsid w:val="0085445B"/>
    <w:rsid w:val="00855C80"/>
    <w:rsid w:val="00856545"/>
    <w:rsid w:val="00856C41"/>
    <w:rsid w:val="0085759E"/>
    <w:rsid w:val="00860D82"/>
    <w:rsid w:val="00861855"/>
    <w:rsid w:val="00862472"/>
    <w:rsid w:val="008626EA"/>
    <w:rsid w:val="00862A92"/>
    <w:rsid w:val="00862D6E"/>
    <w:rsid w:val="00863804"/>
    <w:rsid w:val="00863A80"/>
    <w:rsid w:val="00864C09"/>
    <w:rsid w:val="0086528F"/>
    <w:rsid w:val="0086670C"/>
    <w:rsid w:val="008667E1"/>
    <w:rsid w:val="008667F0"/>
    <w:rsid w:val="00866963"/>
    <w:rsid w:val="00866B98"/>
    <w:rsid w:val="00866CF5"/>
    <w:rsid w:val="00870281"/>
    <w:rsid w:val="00870615"/>
    <w:rsid w:val="008711E7"/>
    <w:rsid w:val="00871CD1"/>
    <w:rsid w:val="00871DB1"/>
    <w:rsid w:val="008726BC"/>
    <w:rsid w:val="0087285C"/>
    <w:rsid w:val="0087328E"/>
    <w:rsid w:val="00875734"/>
    <w:rsid w:val="008763A5"/>
    <w:rsid w:val="008765D5"/>
    <w:rsid w:val="00876793"/>
    <w:rsid w:val="00876BFE"/>
    <w:rsid w:val="00877E6E"/>
    <w:rsid w:val="0088046B"/>
    <w:rsid w:val="008804C8"/>
    <w:rsid w:val="008811D8"/>
    <w:rsid w:val="008812BB"/>
    <w:rsid w:val="00881325"/>
    <w:rsid w:val="00881D48"/>
    <w:rsid w:val="00881D49"/>
    <w:rsid w:val="00881F66"/>
    <w:rsid w:val="0088209B"/>
    <w:rsid w:val="00884DB7"/>
    <w:rsid w:val="00885293"/>
    <w:rsid w:val="0088552B"/>
    <w:rsid w:val="008855BA"/>
    <w:rsid w:val="00885625"/>
    <w:rsid w:val="00885ED5"/>
    <w:rsid w:val="008860A2"/>
    <w:rsid w:val="00886561"/>
    <w:rsid w:val="0088659A"/>
    <w:rsid w:val="0088665A"/>
    <w:rsid w:val="0088675A"/>
    <w:rsid w:val="0088685D"/>
    <w:rsid w:val="00886A01"/>
    <w:rsid w:val="008878A8"/>
    <w:rsid w:val="00893A77"/>
    <w:rsid w:val="00893C33"/>
    <w:rsid w:val="00893D41"/>
    <w:rsid w:val="00894C46"/>
    <w:rsid w:val="00894E50"/>
    <w:rsid w:val="00895BA6"/>
    <w:rsid w:val="00895CDC"/>
    <w:rsid w:val="008962EB"/>
    <w:rsid w:val="00896F28"/>
    <w:rsid w:val="00897156"/>
    <w:rsid w:val="00897C45"/>
    <w:rsid w:val="008A1C04"/>
    <w:rsid w:val="008A3034"/>
    <w:rsid w:val="008A3041"/>
    <w:rsid w:val="008A3E9B"/>
    <w:rsid w:val="008A495F"/>
    <w:rsid w:val="008A5CCF"/>
    <w:rsid w:val="008A5DB5"/>
    <w:rsid w:val="008A6DA9"/>
    <w:rsid w:val="008B0D21"/>
    <w:rsid w:val="008B2B4F"/>
    <w:rsid w:val="008B2DB2"/>
    <w:rsid w:val="008B4419"/>
    <w:rsid w:val="008B47FB"/>
    <w:rsid w:val="008B52DD"/>
    <w:rsid w:val="008B5533"/>
    <w:rsid w:val="008B56D2"/>
    <w:rsid w:val="008B592E"/>
    <w:rsid w:val="008B5989"/>
    <w:rsid w:val="008B5992"/>
    <w:rsid w:val="008B5D36"/>
    <w:rsid w:val="008B5E7F"/>
    <w:rsid w:val="008B62C9"/>
    <w:rsid w:val="008B715D"/>
    <w:rsid w:val="008B71A9"/>
    <w:rsid w:val="008B722F"/>
    <w:rsid w:val="008B7C99"/>
    <w:rsid w:val="008C0441"/>
    <w:rsid w:val="008C0A34"/>
    <w:rsid w:val="008C0EFC"/>
    <w:rsid w:val="008C13C1"/>
    <w:rsid w:val="008C15CF"/>
    <w:rsid w:val="008C2357"/>
    <w:rsid w:val="008C2B0C"/>
    <w:rsid w:val="008C3EC9"/>
    <w:rsid w:val="008C44F5"/>
    <w:rsid w:val="008C45E0"/>
    <w:rsid w:val="008C462E"/>
    <w:rsid w:val="008C4701"/>
    <w:rsid w:val="008C5393"/>
    <w:rsid w:val="008C55B5"/>
    <w:rsid w:val="008C5F22"/>
    <w:rsid w:val="008C5FAB"/>
    <w:rsid w:val="008C65C1"/>
    <w:rsid w:val="008C72A8"/>
    <w:rsid w:val="008C73A2"/>
    <w:rsid w:val="008D0988"/>
    <w:rsid w:val="008D0E8C"/>
    <w:rsid w:val="008D22DB"/>
    <w:rsid w:val="008D2B25"/>
    <w:rsid w:val="008D3513"/>
    <w:rsid w:val="008D363B"/>
    <w:rsid w:val="008D428E"/>
    <w:rsid w:val="008D4357"/>
    <w:rsid w:val="008D53CC"/>
    <w:rsid w:val="008D5600"/>
    <w:rsid w:val="008D6AAB"/>
    <w:rsid w:val="008D6E36"/>
    <w:rsid w:val="008D6E75"/>
    <w:rsid w:val="008D760E"/>
    <w:rsid w:val="008D7A27"/>
    <w:rsid w:val="008E052A"/>
    <w:rsid w:val="008E0FF4"/>
    <w:rsid w:val="008E1531"/>
    <w:rsid w:val="008E1A8B"/>
    <w:rsid w:val="008E3972"/>
    <w:rsid w:val="008E3A74"/>
    <w:rsid w:val="008E45D1"/>
    <w:rsid w:val="008E4808"/>
    <w:rsid w:val="008E564E"/>
    <w:rsid w:val="008E5A90"/>
    <w:rsid w:val="008E6942"/>
    <w:rsid w:val="008E6EB5"/>
    <w:rsid w:val="008E7394"/>
    <w:rsid w:val="008E7631"/>
    <w:rsid w:val="008E7EA2"/>
    <w:rsid w:val="008F0AE9"/>
    <w:rsid w:val="008F0B46"/>
    <w:rsid w:val="008F0E1C"/>
    <w:rsid w:val="008F11DD"/>
    <w:rsid w:val="008F13CC"/>
    <w:rsid w:val="008F287E"/>
    <w:rsid w:val="008F2BE0"/>
    <w:rsid w:val="008F2F88"/>
    <w:rsid w:val="008F3A4A"/>
    <w:rsid w:val="008F3D4F"/>
    <w:rsid w:val="008F4754"/>
    <w:rsid w:val="008F49BC"/>
    <w:rsid w:val="008F5195"/>
    <w:rsid w:val="008F6741"/>
    <w:rsid w:val="008F6773"/>
    <w:rsid w:val="008F677F"/>
    <w:rsid w:val="008F679D"/>
    <w:rsid w:val="008F7047"/>
    <w:rsid w:val="008F70B2"/>
    <w:rsid w:val="008F7192"/>
    <w:rsid w:val="008F7E47"/>
    <w:rsid w:val="009006D7"/>
    <w:rsid w:val="0090090E"/>
    <w:rsid w:val="00900EEE"/>
    <w:rsid w:val="00901996"/>
    <w:rsid w:val="00903034"/>
    <w:rsid w:val="0090316F"/>
    <w:rsid w:val="00903E11"/>
    <w:rsid w:val="009044F1"/>
    <w:rsid w:val="00904539"/>
    <w:rsid w:val="00905B19"/>
    <w:rsid w:val="00905F41"/>
    <w:rsid w:val="00906276"/>
    <w:rsid w:val="00906967"/>
    <w:rsid w:val="00906BBD"/>
    <w:rsid w:val="00907152"/>
    <w:rsid w:val="0090730A"/>
    <w:rsid w:val="00910E54"/>
    <w:rsid w:val="00912417"/>
    <w:rsid w:val="009124D2"/>
    <w:rsid w:val="00914095"/>
    <w:rsid w:val="0091473F"/>
    <w:rsid w:val="00915572"/>
    <w:rsid w:val="00915B65"/>
    <w:rsid w:val="00916382"/>
    <w:rsid w:val="009170AA"/>
    <w:rsid w:val="00917451"/>
    <w:rsid w:val="00917A08"/>
    <w:rsid w:val="00917AAE"/>
    <w:rsid w:val="00917EC4"/>
    <w:rsid w:val="009206B2"/>
    <w:rsid w:val="00920AEB"/>
    <w:rsid w:val="0092163E"/>
    <w:rsid w:val="00921704"/>
    <w:rsid w:val="0092177E"/>
    <w:rsid w:val="00921958"/>
    <w:rsid w:val="009219F0"/>
    <w:rsid w:val="009223BF"/>
    <w:rsid w:val="0092277B"/>
    <w:rsid w:val="009230DE"/>
    <w:rsid w:val="00923416"/>
    <w:rsid w:val="009237C0"/>
    <w:rsid w:val="009242B2"/>
    <w:rsid w:val="00924E0D"/>
    <w:rsid w:val="00925C6F"/>
    <w:rsid w:val="00925DD8"/>
    <w:rsid w:val="009260D0"/>
    <w:rsid w:val="009264D8"/>
    <w:rsid w:val="00926551"/>
    <w:rsid w:val="00926C8E"/>
    <w:rsid w:val="00930240"/>
    <w:rsid w:val="00931273"/>
    <w:rsid w:val="0093180D"/>
    <w:rsid w:val="00931E92"/>
    <w:rsid w:val="00933525"/>
    <w:rsid w:val="009336A9"/>
    <w:rsid w:val="0093632C"/>
    <w:rsid w:val="009367E9"/>
    <w:rsid w:val="00937BB4"/>
    <w:rsid w:val="00937CFD"/>
    <w:rsid w:val="00937D02"/>
    <w:rsid w:val="00937F90"/>
    <w:rsid w:val="009401A6"/>
    <w:rsid w:val="009405F9"/>
    <w:rsid w:val="00940C0A"/>
    <w:rsid w:val="00941020"/>
    <w:rsid w:val="00941C81"/>
    <w:rsid w:val="00942455"/>
    <w:rsid w:val="0094300F"/>
    <w:rsid w:val="0094314E"/>
    <w:rsid w:val="009436E0"/>
    <w:rsid w:val="00943BB6"/>
    <w:rsid w:val="009442A0"/>
    <w:rsid w:val="00944415"/>
    <w:rsid w:val="00945B13"/>
    <w:rsid w:val="00946390"/>
    <w:rsid w:val="009466B8"/>
    <w:rsid w:val="00947780"/>
    <w:rsid w:val="0094795E"/>
    <w:rsid w:val="00947BB5"/>
    <w:rsid w:val="00947FBD"/>
    <w:rsid w:val="00950FF1"/>
    <w:rsid w:val="0095226C"/>
    <w:rsid w:val="009527E9"/>
    <w:rsid w:val="00952D79"/>
    <w:rsid w:val="00952E25"/>
    <w:rsid w:val="00953497"/>
    <w:rsid w:val="0095473F"/>
    <w:rsid w:val="009556DF"/>
    <w:rsid w:val="00955A9A"/>
    <w:rsid w:val="009563C6"/>
    <w:rsid w:val="00956762"/>
    <w:rsid w:val="0095693F"/>
    <w:rsid w:val="00956D33"/>
    <w:rsid w:val="00957183"/>
    <w:rsid w:val="00957371"/>
    <w:rsid w:val="0095738C"/>
    <w:rsid w:val="00957489"/>
    <w:rsid w:val="0095785D"/>
    <w:rsid w:val="00960150"/>
    <w:rsid w:val="0096068C"/>
    <w:rsid w:val="009606A0"/>
    <w:rsid w:val="00963912"/>
    <w:rsid w:val="00965179"/>
    <w:rsid w:val="009659FB"/>
    <w:rsid w:val="00965B86"/>
    <w:rsid w:val="00965FBC"/>
    <w:rsid w:val="00965FE6"/>
    <w:rsid w:val="00966172"/>
    <w:rsid w:val="00967589"/>
    <w:rsid w:val="00967D51"/>
    <w:rsid w:val="009716E5"/>
    <w:rsid w:val="0097191B"/>
    <w:rsid w:val="00972469"/>
    <w:rsid w:val="009728C5"/>
    <w:rsid w:val="00973B90"/>
    <w:rsid w:val="00973DD3"/>
    <w:rsid w:val="00973F31"/>
    <w:rsid w:val="0097592D"/>
    <w:rsid w:val="00975B47"/>
    <w:rsid w:val="00975D2D"/>
    <w:rsid w:val="00977899"/>
    <w:rsid w:val="009813EE"/>
    <w:rsid w:val="00981773"/>
    <w:rsid w:val="009824E9"/>
    <w:rsid w:val="00982B50"/>
    <w:rsid w:val="00982EBF"/>
    <w:rsid w:val="0098347E"/>
    <w:rsid w:val="009837FE"/>
    <w:rsid w:val="00983F2E"/>
    <w:rsid w:val="00984089"/>
    <w:rsid w:val="009854B2"/>
    <w:rsid w:val="00985D55"/>
    <w:rsid w:val="00986510"/>
    <w:rsid w:val="00986707"/>
    <w:rsid w:val="00986C63"/>
    <w:rsid w:val="00987225"/>
    <w:rsid w:val="009873D3"/>
    <w:rsid w:val="00987AE2"/>
    <w:rsid w:val="00987EA7"/>
    <w:rsid w:val="00990688"/>
    <w:rsid w:val="00991139"/>
    <w:rsid w:val="00992457"/>
    <w:rsid w:val="009927EC"/>
    <w:rsid w:val="00993225"/>
    <w:rsid w:val="00993943"/>
    <w:rsid w:val="00993AB2"/>
    <w:rsid w:val="00993DB0"/>
    <w:rsid w:val="009945D1"/>
    <w:rsid w:val="00994B0A"/>
    <w:rsid w:val="00995052"/>
    <w:rsid w:val="009952F5"/>
    <w:rsid w:val="00995602"/>
    <w:rsid w:val="00995704"/>
    <w:rsid w:val="0099659C"/>
    <w:rsid w:val="00997949"/>
    <w:rsid w:val="00997B21"/>
    <w:rsid w:val="00997F8D"/>
    <w:rsid w:val="009A03EB"/>
    <w:rsid w:val="009A0633"/>
    <w:rsid w:val="009A093A"/>
    <w:rsid w:val="009A0DF8"/>
    <w:rsid w:val="009A18FA"/>
    <w:rsid w:val="009A1B85"/>
    <w:rsid w:val="009A1D00"/>
    <w:rsid w:val="009A1F31"/>
    <w:rsid w:val="009A269F"/>
    <w:rsid w:val="009A2C67"/>
    <w:rsid w:val="009A38E8"/>
    <w:rsid w:val="009A390F"/>
    <w:rsid w:val="009A4751"/>
    <w:rsid w:val="009A492E"/>
    <w:rsid w:val="009A4B3C"/>
    <w:rsid w:val="009A4DB9"/>
    <w:rsid w:val="009A5BEC"/>
    <w:rsid w:val="009A606D"/>
    <w:rsid w:val="009A6DE3"/>
    <w:rsid w:val="009B061D"/>
    <w:rsid w:val="009B1789"/>
    <w:rsid w:val="009B1DB4"/>
    <w:rsid w:val="009B23D5"/>
    <w:rsid w:val="009B2BC5"/>
    <w:rsid w:val="009B335C"/>
    <w:rsid w:val="009B3A95"/>
    <w:rsid w:val="009B3D31"/>
    <w:rsid w:val="009B4441"/>
    <w:rsid w:val="009B55BB"/>
    <w:rsid w:val="009B5FC8"/>
    <w:rsid w:val="009B6E93"/>
    <w:rsid w:val="009B78E1"/>
    <w:rsid w:val="009C0016"/>
    <w:rsid w:val="009C0129"/>
    <w:rsid w:val="009C066D"/>
    <w:rsid w:val="009C13EA"/>
    <w:rsid w:val="009C1DB8"/>
    <w:rsid w:val="009C214C"/>
    <w:rsid w:val="009C3348"/>
    <w:rsid w:val="009C335D"/>
    <w:rsid w:val="009C387D"/>
    <w:rsid w:val="009C3FBE"/>
    <w:rsid w:val="009C4003"/>
    <w:rsid w:val="009C4A6F"/>
    <w:rsid w:val="009C4DE4"/>
    <w:rsid w:val="009C6DB3"/>
    <w:rsid w:val="009C75DA"/>
    <w:rsid w:val="009C7823"/>
    <w:rsid w:val="009C7851"/>
    <w:rsid w:val="009C7EA6"/>
    <w:rsid w:val="009D001E"/>
    <w:rsid w:val="009D020C"/>
    <w:rsid w:val="009D08FD"/>
    <w:rsid w:val="009D1493"/>
    <w:rsid w:val="009D1710"/>
    <w:rsid w:val="009D2288"/>
    <w:rsid w:val="009D27D1"/>
    <w:rsid w:val="009D2AF3"/>
    <w:rsid w:val="009D2F63"/>
    <w:rsid w:val="009D375B"/>
    <w:rsid w:val="009D5136"/>
    <w:rsid w:val="009D540E"/>
    <w:rsid w:val="009D5775"/>
    <w:rsid w:val="009D5BE0"/>
    <w:rsid w:val="009D7D75"/>
    <w:rsid w:val="009D7E21"/>
    <w:rsid w:val="009E01AE"/>
    <w:rsid w:val="009E043E"/>
    <w:rsid w:val="009E0ACE"/>
    <w:rsid w:val="009E1CA1"/>
    <w:rsid w:val="009E2B5E"/>
    <w:rsid w:val="009E4A1D"/>
    <w:rsid w:val="009E5618"/>
    <w:rsid w:val="009E5947"/>
    <w:rsid w:val="009E5DDE"/>
    <w:rsid w:val="009E6173"/>
    <w:rsid w:val="009E7B03"/>
    <w:rsid w:val="009F0314"/>
    <w:rsid w:val="009F0840"/>
    <w:rsid w:val="009F1C78"/>
    <w:rsid w:val="009F42B5"/>
    <w:rsid w:val="009F6BF3"/>
    <w:rsid w:val="009F7092"/>
    <w:rsid w:val="009F7727"/>
    <w:rsid w:val="009F7936"/>
    <w:rsid w:val="009F7C68"/>
    <w:rsid w:val="00A00549"/>
    <w:rsid w:val="00A00E25"/>
    <w:rsid w:val="00A017EA"/>
    <w:rsid w:val="00A02529"/>
    <w:rsid w:val="00A0278E"/>
    <w:rsid w:val="00A03DC7"/>
    <w:rsid w:val="00A0402B"/>
    <w:rsid w:val="00A050F6"/>
    <w:rsid w:val="00A052F5"/>
    <w:rsid w:val="00A054D0"/>
    <w:rsid w:val="00A076E3"/>
    <w:rsid w:val="00A07A03"/>
    <w:rsid w:val="00A07DC9"/>
    <w:rsid w:val="00A10056"/>
    <w:rsid w:val="00A112C9"/>
    <w:rsid w:val="00A11DB7"/>
    <w:rsid w:val="00A125F5"/>
    <w:rsid w:val="00A12DC0"/>
    <w:rsid w:val="00A138D8"/>
    <w:rsid w:val="00A14CED"/>
    <w:rsid w:val="00A14E65"/>
    <w:rsid w:val="00A155F4"/>
    <w:rsid w:val="00A15BFF"/>
    <w:rsid w:val="00A17B5A"/>
    <w:rsid w:val="00A17E48"/>
    <w:rsid w:val="00A204DE"/>
    <w:rsid w:val="00A209A4"/>
    <w:rsid w:val="00A2109B"/>
    <w:rsid w:val="00A211FF"/>
    <w:rsid w:val="00A21AC0"/>
    <w:rsid w:val="00A21BFA"/>
    <w:rsid w:val="00A21F1C"/>
    <w:rsid w:val="00A2214E"/>
    <w:rsid w:val="00A22300"/>
    <w:rsid w:val="00A22929"/>
    <w:rsid w:val="00A23D70"/>
    <w:rsid w:val="00A23F5B"/>
    <w:rsid w:val="00A266D7"/>
    <w:rsid w:val="00A27606"/>
    <w:rsid w:val="00A27B21"/>
    <w:rsid w:val="00A311D4"/>
    <w:rsid w:val="00A313D3"/>
    <w:rsid w:val="00A31532"/>
    <w:rsid w:val="00A3201A"/>
    <w:rsid w:val="00A3209B"/>
    <w:rsid w:val="00A335AD"/>
    <w:rsid w:val="00A33E0A"/>
    <w:rsid w:val="00A34100"/>
    <w:rsid w:val="00A3420B"/>
    <w:rsid w:val="00A34E6A"/>
    <w:rsid w:val="00A34F3F"/>
    <w:rsid w:val="00A34FF6"/>
    <w:rsid w:val="00A36274"/>
    <w:rsid w:val="00A3699D"/>
    <w:rsid w:val="00A36DAB"/>
    <w:rsid w:val="00A40AEF"/>
    <w:rsid w:val="00A415F6"/>
    <w:rsid w:val="00A41DAD"/>
    <w:rsid w:val="00A429AF"/>
    <w:rsid w:val="00A433F6"/>
    <w:rsid w:val="00A43EE7"/>
    <w:rsid w:val="00A443E9"/>
    <w:rsid w:val="00A445C3"/>
    <w:rsid w:val="00A44DB0"/>
    <w:rsid w:val="00A4511E"/>
    <w:rsid w:val="00A4662A"/>
    <w:rsid w:val="00A46A0C"/>
    <w:rsid w:val="00A50DA8"/>
    <w:rsid w:val="00A523DE"/>
    <w:rsid w:val="00A52579"/>
    <w:rsid w:val="00A52A71"/>
    <w:rsid w:val="00A52C0E"/>
    <w:rsid w:val="00A557DF"/>
    <w:rsid w:val="00A56191"/>
    <w:rsid w:val="00A56459"/>
    <w:rsid w:val="00A56A8D"/>
    <w:rsid w:val="00A56D41"/>
    <w:rsid w:val="00A57A5C"/>
    <w:rsid w:val="00A57A71"/>
    <w:rsid w:val="00A57AEB"/>
    <w:rsid w:val="00A60CFE"/>
    <w:rsid w:val="00A6252D"/>
    <w:rsid w:val="00A628DA"/>
    <w:rsid w:val="00A6340E"/>
    <w:rsid w:val="00A63DA3"/>
    <w:rsid w:val="00A64226"/>
    <w:rsid w:val="00A64AEE"/>
    <w:rsid w:val="00A6574C"/>
    <w:rsid w:val="00A66CF2"/>
    <w:rsid w:val="00A67023"/>
    <w:rsid w:val="00A670FC"/>
    <w:rsid w:val="00A672F7"/>
    <w:rsid w:val="00A67DAE"/>
    <w:rsid w:val="00A67EAB"/>
    <w:rsid w:val="00A67F16"/>
    <w:rsid w:val="00A70F55"/>
    <w:rsid w:val="00A715D4"/>
    <w:rsid w:val="00A7191C"/>
    <w:rsid w:val="00A72A85"/>
    <w:rsid w:val="00A72BEF"/>
    <w:rsid w:val="00A730F4"/>
    <w:rsid w:val="00A73344"/>
    <w:rsid w:val="00A73CA1"/>
    <w:rsid w:val="00A73CBF"/>
    <w:rsid w:val="00A7412A"/>
    <w:rsid w:val="00A757CA"/>
    <w:rsid w:val="00A75C3E"/>
    <w:rsid w:val="00A76D17"/>
    <w:rsid w:val="00A7712C"/>
    <w:rsid w:val="00A77DAC"/>
    <w:rsid w:val="00A80575"/>
    <w:rsid w:val="00A8085C"/>
    <w:rsid w:val="00A808A9"/>
    <w:rsid w:val="00A80D37"/>
    <w:rsid w:val="00A80ED4"/>
    <w:rsid w:val="00A819A4"/>
    <w:rsid w:val="00A82149"/>
    <w:rsid w:val="00A82D95"/>
    <w:rsid w:val="00A83114"/>
    <w:rsid w:val="00A83539"/>
    <w:rsid w:val="00A8394C"/>
    <w:rsid w:val="00A839F5"/>
    <w:rsid w:val="00A83BAA"/>
    <w:rsid w:val="00A84887"/>
    <w:rsid w:val="00A84FB2"/>
    <w:rsid w:val="00A85145"/>
    <w:rsid w:val="00A852A7"/>
    <w:rsid w:val="00A852AA"/>
    <w:rsid w:val="00A85ADF"/>
    <w:rsid w:val="00A85DBC"/>
    <w:rsid w:val="00A865BD"/>
    <w:rsid w:val="00A90736"/>
    <w:rsid w:val="00A90C64"/>
    <w:rsid w:val="00A9176A"/>
    <w:rsid w:val="00A931BF"/>
    <w:rsid w:val="00A93CFC"/>
    <w:rsid w:val="00A94029"/>
    <w:rsid w:val="00A95808"/>
    <w:rsid w:val="00A959A1"/>
    <w:rsid w:val="00A96FDE"/>
    <w:rsid w:val="00A976D2"/>
    <w:rsid w:val="00AA0309"/>
    <w:rsid w:val="00AA256B"/>
    <w:rsid w:val="00AA2BC1"/>
    <w:rsid w:val="00AA3233"/>
    <w:rsid w:val="00AA33E8"/>
    <w:rsid w:val="00AA41C0"/>
    <w:rsid w:val="00AA44C7"/>
    <w:rsid w:val="00AA485F"/>
    <w:rsid w:val="00AA48E3"/>
    <w:rsid w:val="00AA4D9A"/>
    <w:rsid w:val="00AA5867"/>
    <w:rsid w:val="00AA6058"/>
    <w:rsid w:val="00AA6C59"/>
    <w:rsid w:val="00AA70A1"/>
    <w:rsid w:val="00AA7D2A"/>
    <w:rsid w:val="00AA7E91"/>
    <w:rsid w:val="00AB193C"/>
    <w:rsid w:val="00AB1DD4"/>
    <w:rsid w:val="00AB2759"/>
    <w:rsid w:val="00AB32FD"/>
    <w:rsid w:val="00AB4AD3"/>
    <w:rsid w:val="00AB5030"/>
    <w:rsid w:val="00AB550B"/>
    <w:rsid w:val="00AB5D96"/>
    <w:rsid w:val="00AB61E5"/>
    <w:rsid w:val="00AB66E1"/>
    <w:rsid w:val="00AB6B82"/>
    <w:rsid w:val="00AB76A7"/>
    <w:rsid w:val="00AB7BAE"/>
    <w:rsid w:val="00AB7D04"/>
    <w:rsid w:val="00AC1D5B"/>
    <w:rsid w:val="00AC1FD8"/>
    <w:rsid w:val="00AC2562"/>
    <w:rsid w:val="00AC33B8"/>
    <w:rsid w:val="00AC3F33"/>
    <w:rsid w:val="00AC47A9"/>
    <w:rsid w:val="00AC4DA8"/>
    <w:rsid w:val="00AC5030"/>
    <w:rsid w:val="00AC5DEE"/>
    <w:rsid w:val="00AC61EF"/>
    <w:rsid w:val="00AC7D91"/>
    <w:rsid w:val="00AD05DC"/>
    <w:rsid w:val="00AD0845"/>
    <w:rsid w:val="00AD18C7"/>
    <w:rsid w:val="00AD1BBB"/>
    <w:rsid w:val="00AD2236"/>
    <w:rsid w:val="00AD345D"/>
    <w:rsid w:val="00AD3FB4"/>
    <w:rsid w:val="00AD4834"/>
    <w:rsid w:val="00AD5A81"/>
    <w:rsid w:val="00AD5C79"/>
    <w:rsid w:val="00AD6388"/>
    <w:rsid w:val="00AD6A1E"/>
    <w:rsid w:val="00AD6C95"/>
    <w:rsid w:val="00AD6E28"/>
    <w:rsid w:val="00AD7293"/>
    <w:rsid w:val="00AD75D7"/>
    <w:rsid w:val="00AD77A5"/>
    <w:rsid w:val="00AD7870"/>
    <w:rsid w:val="00AE0574"/>
    <w:rsid w:val="00AE0E5D"/>
    <w:rsid w:val="00AE172B"/>
    <w:rsid w:val="00AE17FD"/>
    <w:rsid w:val="00AE2842"/>
    <w:rsid w:val="00AE2933"/>
    <w:rsid w:val="00AE2945"/>
    <w:rsid w:val="00AE2D90"/>
    <w:rsid w:val="00AE3711"/>
    <w:rsid w:val="00AE37A4"/>
    <w:rsid w:val="00AE5F84"/>
    <w:rsid w:val="00AE6223"/>
    <w:rsid w:val="00AE6280"/>
    <w:rsid w:val="00AE6CCC"/>
    <w:rsid w:val="00AF05AF"/>
    <w:rsid w:val="00AF0C66"/>
    <w:rsid w:val="00AF1B54"/>
    <w:rsid w:val="00AF2027"/>
    <w:rsid w:val="00AF2180"/>
    <w:rsid w:val="00AF287A"/>
    <w:rsid w:val="00AF2CF1"/>
    <w:rsid w:val="00AF2F4F"/>
    <w:rsid w:val="00AF3727"/>
    <w:rsid w:val="00AF4124"/>
    <w:rsid w:val="00AF461E"/>
    <w:rsid w:val="00AF5225"/>
    <w:rsid w:val="00AF5373"/>
    <w:rsid w:val="00AF53E2"/>
    <w:rsid w:val="00AF5776"/>
    <w:rsid w:val="00AF5CD5"/>
    <w:rsid w:val="00AF628D"/>
    <w:rsid w:val="00AF6376"/>
    <w:rsid w:val="00AF6F29"/>
    <w:rsid w:val="00AF7169"/>
    <w:rsid w:val="00AF7AC1"/>
    <w:rsid w:val="00AF7B8A"/>
    <w:rsid w:val="00B0042C"/>
    <w:rsid w:val="00B0068B"/>
    <w:rsid w:val="00B009A2"/>
    <w:rsid w:val="00B02913"/>
    <w:rsid w:val="00B029A8"/>
    <w:rsid w:val="00B02FB0"/>
    <w:rsid w:val="00B0408F"/>
    <w:rsid w:val="00B04B84"/>
    <w:rsid w:val="00B05076"/>
    <w:rsid w:val="00B052DC"/>
    <w:rsid w:val="00B05A0E"/>
    <w:rsid w:val="00B06A3D"/>
    <w:rsid w:val="00B07D1E"/>
    <w:rsid w:val="00B07E4A"/>
    <w:rsid w:val="00B10686"/>
    <w:rsid w:val="00B10DEF"/>
    <w:rsid w:val="00B1111F"/>
    <w:rsid w:val="00B11F9C"/>
    <w:rsid w:val="00B1288B"/>
    <w:rsid w:val="00B12D00"/>
    <w:rsid w:val="00B141F8"/>
    <w:rsid w:val="00B152E4"/>
    <w:rsid w:val="00B15450"/>
    <w:rsid w:val="00B16FC7"/>
    <w:rsid w:val="00B17227"/>
    <w:rsid w:val="00B17BAF"/>
    <w:rsid w:val="00B208B5"/>
    <w:rsid w:val="00B20E02"/>
    <w:rsid w:val="00B21211"/>
    <w:rsid w:val="00B21CDE"/>
    <w:rsid w:val="00B222DA"/>
    <w:rsid w:val="00B230F4"/>
    <w:rsid w:val="00B239DD"/>
    <w:rsid w:val="00B250C3"/>
    <w:rsid w:val="00B25207"/>
    <w:rsid w:val="00B25884"/>
    <w:rsid w:val="00B2730A"/>
    <w:rsid w:val="00B31792"/>
    <w:rsid w:val="00B3245E"/>
    <w:rsid w:val="00B32737"/>
    <w:rsid w:val="00B32BFC"/>
    <w:rsid w:val="00B3313F"/>
    <w:rsid w:val="00B333C0"/>
    <w:rsid w:val="00B3349F"/>
    <w:rsid w:val="00B33507"/>
    <w:rsid w:val="00B345D0"/>
    <w:rsid w:val="00B3581A"/>
    <w:rsid w:val="00B35ADC"/>
    <w:rsid w:val="00B35DC7"/>
    <w:rsid w:val="00B3623D"/>
    <w:rsid w:val="00B36A7C"/>
    <w:rsid w:val="00B36B86"/>
    <w:rsid w:val="00B37242"/>
    <w:rsid w:val="00B37350"/>
    <w:rsid w:val="00B37601"/>
    <w:rsid w:val="00B40839"/>
    <w:rsid w:val="00B40BF6"/>
    <w:rsid w:val="00B40C21"/>
    <w:rsid w:val="00B40CE8"/>
    <w:rsid w:val="00B40D26"/>
    <w:rsid w:val="00B41A94"/>
    <w:rsid w:val="00B41EA6"/>
    <w:rsid w:val="00B4218F"/>
    <w:rsid w:val="00B44726"/>
    <w:rsid w:val="00B44C0F"/>
    <w:rsid w:val="00B452C5"/>
    <w:rsid w:val="00B45AED"/>
    <w:rsid w:val="00B46DC5"/>
    <w:rsid w:val="00B47121"/>
    <w:rsid w:val="00B4759F"/>
    <w:rsid w:val="00B479EA"/>
    <w:rsid w:val="00B5234A"/>
    <w:rsid w:val="00B53A80"/>
    <w:rsid w:val="00B55299"/>
    <w:rsid w:val="00B55E87"/>
    <w:rsid w:val="00B561A3"/>
    <w:rsid w:val="00B561BA"/>
    <w:rsid w:val="00B56BAA"/>
    <w:rsid w:val="00B61140"/>
    <w:rsid w:val="00B61303"/>
    <w:rsid w:val="00B61325"/>
    <w:rsid w:val="00B61C59"/>
    <w:rsid w:val="00B621B2"/>
    <w:rsid w:val="00B62A8D"/>
    <w:rsid w:val="00B62B9E"/>
    <w:rsid w:val="00B6355E"/>
    <w:rsid w:val="00B63912"/>
    <w:rsid w:val="00B66472"/>
    <w:rsid w:val="00B664F9"/>
    <w:rsid w:val="00B66606"/>
    <w:rsid w:val="00B677D4"/>
    <w:rsid w:val="00B6785F"/>
    <w:rsid w:val="00B67BD8"/>
    <w:rsid w:val="00B71CBE"/>
    <w:rsid w:val="00B73E77"/>
    <w:rsid w:val="00B747DF"/>
    <w:rsid w:val="00B75560"/>
    <w:rsid w:val="00B757C0"/>
    <w:rsid w:val="00B760E8"/>
    <w:rsid w:val="00B77F26"/>
    <w:rsid w:val="00B80F07"/>
    <w:rsid w:val="00B814F8"/>
    <w:rsid w:val="00B82F24"/>
    <w:rsid w:val="00B8365B"/>
    <w:rsid w:val="00B83889"/>
    <w:rsid w:val="00B83AC4"/>
    <w:rsid w:val="00B83C4E"/>
    <w:rsid w:val="00B83DFB"/>
    <w:rsid w:val="00B84415"/>
    <w:rsid w:val="00B84732"/>
    <w:rsid w:val="00B84FC1"/>
    <w:rsid w:val="00B85D41"/>
    <w:rsid w:val="00B869E5"/>
    <w:rsid w:val="00B90432"/>
    <w:rsid w:val="00B90FC7"/>
    <w:rsid w:val="00B92277"/>
    <w:rsid w:val="00B923C1"/>
    <w:rsid w:val="00B923C2"/>
    <w:rsid w:val="00B93F92"/>
    <w:rsid w:val="00B94079"/>
    <w:rsid w:val="00B941BF"/>
    <w:rsid w:val="00B943E9"/>
    <w:rsid w:val="00B95102"/>
    <w:rsid w:val="00B953DD"/>
    <w:rsid w:val="00B95756"/>
    <w:rsid w:val="00B971A5"/>
    <w:rsid w:val="00B971EB"/>
    <w:rsid w:val="00B97B1A"/>
    <w:rsid w:val="00B97B1D"/>
    <w:rsid w:val="00BA00AD"/>
    <w:rsid w:val="00BA00C5"/>
    <w:rsid w:val="00BA034F"/>
    <w:rsid w:val="00BA036B"/>
    <w:rsid w:val="00BA05B1"/>
    <w:rsid w:val="00BA07F3"/>
    <w:rsid w:val="00BA089A"/>
    <w:rsid w:val="00BA1190"/>
    <w:rsid w:val="00BA205F"/>
    <w:rsid w:val="00BA2938"/>
    <w:rsid w:val="00BA350D"/>
    <w:rsid w:val="00BA35C0"/>
    <w:rsid w:val="00BA3A9C"/>
    <w:rsid w:val="00BA4315"/>
    <w:rsid w:val="00BA4EC9"/>
    <w:rsid w:val="00BA67BB"/>
    <w:rsid w:val="00BA6956"/>
    <w:rsid w:val="00BA6D56"/>
    <w:rsid w:val="00BA7642"/>
    <w:rsid w:val="00BA7A25"/>
    <w:rsid w:val="00BA7D49"/>
    <w:rsid w:val="00BB0077"/>
    <w:rsid w:val="00BB02F3"/>
    <w:rsid w:val="00BB03C9"/>
    <w:rsid w:val="00BB05E5"/>
    <w:rsid w:val="00BB13FE"/>
    <w:rsid w:val="00BB14FC"/>
    <w:rsid w:val="00BB1597"/>
    <w:rsid w:val="00BB260F"/>
    <w:rsid w:val="00BB271D"/>
    <w:rsid w:val="00BB31EB"/>
    <w:rsid w:val="00BB3442"/>
    <w:rsid w:val="00BB36D3"/>
    <w:rsid w:val="00BB4556"/>
    <w:rsid w:val="00BB58F7"/>
    <w:rsid w:val="00BB5F11"/>
    <w:rsid w:val="00BB62A8"/>
    <w:rsid w:val="00BB6645"/>
    <w:rsid w:val="00BB6934"/>
    <w:rsid w:val="00BB6DD5"/>
    <w:rsid w:val="00BC0150"/>
    <w:rsid w:val="00BC0C64"/>
    <w:rsid w:val="00BC25A4"/>
    <w:rsid w:val="00BC2A47"/>
    <w:rsid w:val="00BC2CE3"/>
    <w:rsid w:val="00BC2E47"/>
    <w:rsid w:val="00BC30C5"/>
    <w:rsid w:val="00BC5851"/>
    <w:rsid w:val="00BC5D03"/>
    <w:rsid w:val="00BC6FED"/>
    <w:rsid w:val="00BC7120"/>
    <w:rsid w:val="00BC7712"/>
    <w:rsid w:val="00BC7750"/>
    <w:rsid w:val="00BC79D7"/>
    <w:rsid w:val="00BD07D3"/>
    <w:rsid w:val="00BD0DB8"/>
    <w:rsid w:val="00BD0EFE"/>
    <w:rsid w:val="00BD1575"/>
    <w:rsid w:val="00BD1E76"/>
    <w:rsid w:val="00BD290C"/>
    <w:rsid w:val="00BD3218"/>
    <w:rsid w:val="00BD3266"/>
    <w:rsid w:val="00BD3EE8"/>
    <w:rsid w:val="00BD5CE2"/>
    <w:rsid w:val="00BD7394"/>
    <w:rsid w:val="00BD77E6"/>
    <w:rsid w:val="00BE0670"/>
    <w:rsid w:val="00BE088F"/>
    <w:rsid w:val="00BE169B"/>
    <w:rsid w:val="00BE16D9"/>
    <w:rsid w:val="00BE1714"/>
    <w:rsid w:val="00BE174F"/>
    <w:rsid w:val="00BE2258"/>
    <w:rsid w:val="00BE259E"/>
    <w:rsid w:val="00BE3AF8"/>
    <w:rsid w:val="00BE4A8A"/>
    <w:rsid w:val="00BE5140"/>
    <w:rsid w:val="00BE57BF"/>
    <w:rsid w:val="00BE5A39"/>
    <w:rsid w:val="00BE6357"/>
    <w:rsid w:val="00BE638E"/>
    <w:rsid w:val="00BE6974"/>
    <w:rsid w:val="00BE6A96"/>
    <w:rsid w:val="00BE7187"/>
    <w:rsid w:val="00BE7FEA"/>
    <w:rsid w:val="00BF0CC9"/>
    <w:rsid w:val="00BF0DCC"/>
    <w:rsid w:val="00BF172B"/>
    <w:rsid w:val="00BF268E"/>
    <w:rsid w:val="00BF2882"/>
    <w:rsid w:val="00BF407E"/>
    <w:rsid w:val="00BF4538"/>
    <w:rsid w:val="00BF460E"/>
    <w:rsid w:val="00BF4BBD"/>
    <w:rsid w:val="00BF5877"/>
    <w:rsid w:val="00BF62F1"/>
    <w:rsid w:val="00BF6BD2"/>
    <w:rsid w:val="00BF75CA"/>
    <w:rsid w:val="00BF760C"/>
    <w:rsid w:val="00BF77A2"/>
    <w:rsid w:val="00BF7AB1"/>
    <w:rsid w:val="00C01535"/>
    <w:rsid w:val="00C0192C"/>
    <w:rsid w:val="00C0209E"/>
    <w:rsid w:val="00C02487"/>
    <w:rsid w:val="00C02C30"/>
    <w:rsid w:val="00C02FA1"/>
    <w:rsid w:val="00C0377B"/>
    <w:rsid w:val="00C03D08"/>
    <w:rsid w:val="00C04967"/>
    <w:rsid w:val="00C05B40"/>
    <w:rsid w:val="00C0641A"/>
    <w:rsid w:val="00C0695B"/>
    <w:rsid w:val="00C06FB6"/>
    <w:rsid w:val="00C070D8"/>
    <w:rsid w:val="00C076B5"/>
    <w:rsid w:val="00C07F81"/>
    <w:rsid w:val="00C114C9"/>
    <w:rsid w:val="00C128FA"/>
    <w:rsid w:val="00C1313D"/>
    <w:rsid w:val="00C133B3"/>
    <w:rsid w:val="00C13D09"/>
    <w:rsid w:val="00C141C6"/>
    <w:rsid w:val="00C146CF"/>
    <w:rsid w:val="00C14DD8"/>
    <w:rsid w:val="00C150A7"/>
    <w:rsid w:val="00C16308"/>
    <w:rsid w:val="00C16A0B"/>
    <w:rsid w:val="00C170C1"/>
    <w:rsid w:val="00C174B5"/>
    <w:rsid w:val="00C17ABF"/>
    <w:rsid w:val="00C200AF"/>
    <w:rsid w:val="00C206C0"/>
    <w:rsid w:val="00C20F0F"/>
    <w:rsid w:val="00C21FB3"/>
    <w:rsid w:val="00C22993"/>
    <w:rsid w:val="00C22A18"/>
    <w:rsid w:val="00C22E5F"/>
    <w:rsid w:val="00C23A25"/>
    <w:rsid w:val="00C23DDA"/>
    <w:rsid w:val="00C248F3"/>
    <w:rsid w:val="00C25799"/>
    <w:rsid w:val="00C2687A"/>
    <w:rsid w:val="00C27BE8"/>
    <w:rsid w:val="00C303BF"/>
    <w:rsid w:val="00C30C08"/>
    <w:rsid w:val="00C30D95"/>
    <w:rsid w:val="00C31B72"/>
    <w:rsid w:val="00C31BA7"/>
    <w:rsid w:val="00C31C0E"/>
    <w:rsid w:val="00C31E49"/>
    <w:rsid w:val="00C328AC"/>
    <w:rsid w:val="00C32BF6"/>
    <w:rsid w:val="00C33FEB"/>
    <w:rsid w:val="00C34C15"/>
    <w:rsid w:val="00C3570F"/>
    <w:rsid w:val="00C36371"/>
    <w:rsid w:val="00C36A65"/>
    <w:rsid w:val="00C36B1E"/>
    <w:rsid w:val="00C37D7B"/>
    <w:rsid w:val="00C40256"/>
    <w:rsid w:val="00C40606"/>
    <w:rsid w:val="00C4078F"/>
    <w:rsid w:val="00C40EA6"/>
    <w:rsid w:val="00C415B1"/>
    <w:rsid w:val="00C418E7"/>
    <w:rsid w:val="00C425E0"/>
    <w:rsid w:val="00C428F4"/>
    <w:rsid w:val="00C43014"/>
    <w:rsid w:val="00C43516"/>
    <w:rsid w:val="00C44BCA"/>
    <w:rsid w:val="00C45544"/>
    <w:rsid w:val="00C45C8F"/>
    <w:rsid w:val="00C46528"/>
    <w:rsid w:val="00C46713"/>
    <w:rsid w:val="00C471BB"/>
    <w:rsid w:val="00C4735C"/>
    <w:rsid w:val="00C47E31"/>
    <w:rsid w:val="00C52307"/>
    <w:rsid w:val="00C529B8"/>
    <w:rsid w:val="00C52E19"/>
    <w:rsid w:val="00C5305F"/>
    <w:rsid w:val="00C53DAF"/>
    <w:rsid w:val="00C542AF"/>
    <w:rsid w:val="00C54DF1"/>
    <w:rsid w:val="00C55632"/>
    <w:rsid w:val="00C55978"/>
    <w:rsid w:val="00C56484"/>
    <w:rsid w:val="00C5648C"/>
    <w:rsid w:val="00C6005E"/>
    <w:rsid w:val="00C606DC"/>
    <w:rsid w:val="00C612B3"/>
    <w:rsid w:val="00C61642"/>
    <w:rsid w:val="00C620C3"/>
    <w:rsid w:val="00C6256C"/>
    <w:rsid w:val="00C62A5A"/>
    <w:rsid w:val="00C62B2D"/>
    <w:rsid w:val="00C64054"/>
    <w:rsid w:val="00C64196"/>
    <w:rsid w:val="00C7063B"/>
    <w:rsid w:val="00C7084D"/>
    <w:rsid w:val="00C724C3"/>
    <w:rsid w:val="00C73041"/>
    <w:rsid w:val="00C73173"/>
    <w:rsid w:val="00C73B00"/>
    <w:rsid w:val="00C7718A"/>
    <w:rsid w:val="00C77BC7"/>
    <w:rsid w:val="00C801FC"/>
    <w:rsid w:val="00C805C0"/>
    <w:rsid w:val="00C80BF8"/>
    <w:rsid w:val="00C81E83"/>
    <w:rsid w:val="00C824EF"/>
    <w:rsid w:val="00C8342E"/>
    <w:rsid w:val="00C837A2"/>
    <w:rsid w:val="00C83853"/>
    <w:rsid w:val="00C83FD1"/>
    <w:rsid w:val="00C84BD6"/>
    <w:rsid w:val="00C87C4B"/>
    <w:rsid w:val="00C90B41"/>
    <w:rsid w:val="00C9166E"/>
    <w:rsid w:val="00C943AE"/>
    <w:rsid w:val="00C94F03"/>
    <w:rsid w:val="00C95126"/>
    <w:rsid w:val="00C95FCE"/>
    <w:rsid w:val="00C9655B"/>
    <w:rsid w:val="00C96B9E"/>
    <w:rsid w:val="00C96BB3"/>
    <w:rsid w:val="00C97A1E"/>
    <w:rsid w:val="00C97C03"/>
    <w:rsid w:val="00C97E58"/>
    <w:rsid w:val="00CA0E4C"/>
    <w:rsid w:val="00CA0FBE"/>
    <w:rsid w:val="00CA11D4"/>
    <w:rsid w:val="00CA16D9"/>
    <w:rsid w:val="00CA2E74"/>
    <w:rsid w:val="00CA3328"/>
    <w:rsid w:val="00CA4F7A"/>
    <w:rsid w:val="00CA5077"/>
    <w:rsid w:val="00CA542F"/>
    <w:rsid w:val="00CA5ECC"/>
    <w:rsid w:val="00CA6B5D"/>
    <w:rsid w:val="00CA7026"/>
    <w:rsid w:val="00CA7689"/>
    <w:rsid w:val="00CA7741"/>
    <w:rsid w:val="00CA7A3B"/>
    <w:rsid w:val="00CA7A47"/>
    <w:rsid w:val="00CB0042"/>
    <w:rsid w:val="00CB0BC2"/>
    <w:rsid w:val="00CB0D04"/>
    <w:rsid w:val="00CB146B"/>
    <w:rsid w:val="00CB184E"/>
    <w:rsid w:val="00CB1B2D"/>
    <w:rsid w:val="00CB2FB2"/>
    <w:rsid w:val="00CB348C"/>
    <w:rsid w:val="00CB397C"/>
    <w:rsid w:val="00CB48B9"/>
    <w:rsid w:val="00CB5595"/>
    <w:rsid w:val="00CB6350"/>
    <w:rsid w:val="00CB654D"/>
    <w:rsid w:val="00CB6EC3"/>
    <w:rsid w:val="00CB712F"/>
    <w:rsid w:val="00CB74FC"/>
    <w:rsid w:val="00CC02A7"/>
    <w:rsid w:val="00CC0F28"/>
    <w:rsid w:val="00CC1435"/>
    <w:rsid w:val="00CC1DBD"/>
    <w:rsid w:val="00CC1DC6"/>
    <w:rsid w:val="00CC2580"/>
    <w:rsid w:val="00CC26DC"/>
    <w:rsid w:val="00CC3C0D"/>
    <w:rsid w:val="00CC41B2"/>
    <w:rsid w:val="00CC70A5"/>
    <w:rsid w:val="00CC7987"/>
    <w:rsid w:val="00CC7B53"/>
    <w:rsid w:val="00CD00BD"/>
    <w:rsid w:val="00CD05D9"/>
    <w:rsid w:val="00CD1841"/>
    <w:rsid w:val="00CD1B4B"/>
    <w:rsid w:val="00CD2ACA"/>
    <w:rsid w:val="00CD2C51"/>
    <w:rsid w:val="00CD2E70"/>
    <w:rsid w:val="00CD31F3"/>
    <w:rsid w:val="00CD3505"/>
    <w:rsid w:val="00CD3B4E"/>
    <w:rsid w:val="00CD49A3"/>
    <w:rsid w:val="00CD541B"/>
    <w:rsid w:val="00CD622D"/>
    <w:rsid w:val="00CD7239"/>
    <w:rsid w:val="00CD78D9"/>
    <w:rsid w:val="00CE28E1"/>
    <w:rsid w:val="00CE4DBD"/>
    <w:rsid w:val="00CE5422"/>
    <w:rsid w:val="00CE5B67"/>
    <w:rsid w:val="00CE75C1"/>
    <w:rsid w:val="00CE7805"/>
    <w:rsid w:val="00CF03F1"/>
    <w:rsid w:val="00CF28A0"/>
    <w:rsid w:val="00CF2FCF"/>
    <w:rsid w:val="00CF352C"/>
    <w:rsid w:val="00CF4433"/>
    <w:rsid w:val="00CF4DE6"/>
    <w:rsid w:val="00CF4E0B"/>
    <w:rsid w:val="00CF4E0F"/>
    <w:rsid w:val="00CF5076"/>
    <w:rsid w:val="00CF537C"/>
    <w:rsid w:val="00CF5740"/>
    <w:rsid w:val="00CF6387"/>
    <w:rsid w:val="00CF6522"/>
    <w:rsid w:val="00CF7957"/>
    <w:rsid w:val="00CF7EA1"/>
    <w:rsid w:val="00CF7F78"/>
    <w:rsid w:val="00D0009A"/>
    <w:rsid w:val="00D0167D"/>
    <w:rsid w:val="00D018F5"/>
    <w:rsid w:val="00D01A1A"/>
    <w:rsid w:val="00D03297"/>
    <w:rsid w:val="00D03903"/>
    <w:rsid w:val="00D03AEE"/>
    <w:rsid w:val="00D0421D"/>
    <w:rsid w:val="00D04316"/>
    <w:rsid w:val="00D049A2"/>
    <w:rsid w:val="00D04A60"/>
    <w:rsid w:val="00D04F50"/>
    <w:rsid w:val="00D0619F"/>
    <w:rsid w:val="00D0684B"/>
    <w:rsid w:val="00D06B60"/>
    <w:rsid w:val="00D06DAF"/>
    <w:rsid w:val="00D12271"/>
    <w:rsid w:val="00D127F0"/>
    <w:rsid w:val="00D128CE"/>
    <w:rsid w:val="00D12FB6"/>
    <w:rsid w:val="00D142A0"/>
    <w:rsid w:val="00D1439C"/>
    <w:rsid w:val="00D14957"/>
    <w:rsid w:val="00D14EA0"/>
    <w:rsid w:val="00D1552B"/>
    <w:rsid w:val="00D15D5F"/>
    <w:rsid w:val="00D16A29"/>
    <w:rsid w:val="00D16CE7"/>
    <w:rsid w:val="00D202DA"/>
    <w:rsid w:val="00D202E2"/>
    <w:rsid w:val="00D21661"/>
    <w:rsid w:val="00D21B15"/>
    <w:rsid w:val="00D222D8"/>
    <w:rsid w:val="00D223C0"/>
    <w:rsid w:val="00D237E2"/>
    <w:rsid w:val="00D23811"/>
    <w:rsid w:val="00D23890"/>
    <w:rsid w:val="00D2397D"/>
    <w:rsid w:val="00D23C76"/>
    <w:rsid w:val="00D25270"/>
    <w:rsid w:val="00D257FC"/>
    <w:rsid w:val="00D25860"/>
    <w:rsid w:val="00D25930"/>
    <w:rsid w:val="00D26752"/>
    <w:rsid w:val="00D2703A"/>
    <w:rsid w:val="00D27041"/>
    <w:rsid w:val="00D272B1"/>
    <w:rsid w:val="00D278E2"/>
    <w:rsid w:val="00D3064D"/>
    <w:rsid w:val="00D315BA"/>
    <w:rsid w:val="00D32375"/>
    <w:rsid w:val="00D32577"/>
    <w:rsid w:val="00D325F6"/>
    <w:rsid w:val="00D32B57"/>
    <w:rsid w:val="00D33C76"/>
    <w:rsid w:val="00D33D70"/>
    <w:rsid w:val="00D346AC"/>
    <w:rsid w:val="00D34ED2"/>
    <w:rsid w:val="00D355C6"/>
    <w:rsid w:val="00D359DB"/>
    <w:rsid w:val="00D3720D"/>
    <w:rsid w:val="00D37B0D"/>
    <w:rsid w:val="00D40275"/>
    <w:rsid w:val="00D40995"/>
    <w:rsid w:val="00D40A5E"/>
    <w:rsid w:val="00D414EE"/>
    <w:rsid w:val="00D41E2A"/>
    <w:rsid w:val="00D42F2B"/>
    <w:rsid w:val="00D44BE1"/>
    <w:rsid w:val="00D455AF"/>
    <w:rsid w:val="00D47146"/>
    <w:rsid w:val="00D475A2"/>
    <w:rsid w:val="00D479D1"/>
    <w:rsid w:val="00D5128A"/>
    <w:rsid w:val="00D51446"/>
    <w:rsid w:val="00D5192D"/>
    <w:rsid w:val="00D52735"/>
    <w:rsid w:val="00D53904"/>
    <w:rsid w:val="00D548E9"/>
    <w:rsid w:val="00D54AA5"/>
    <w:rsid w:val="00D5501A"/>
    <w:rsid w:val="00D56D0F"/>
    <w:rsid w:val="00D57001"/>
    <w:rsid w:val="00D577B0"/>
    <w:rsid w:val="00D60995"/>
    <w:rsid w:val="00D60A7D"/>
    <w:rsid w:val="00D60DB0"/>
    <w:rsid w:val="00D619EC"/>
    <w:rsid w:val="00D61B6D"/>
    <w:rsid w:val="00D61BC7"/>
    <w:rsid w:val="00D621A5"/>
    <w:rsid w:val="00D623A0"/>
    <w:rsid w:val="00D6302D"/>
    <w:rsid w:val="00D63523"/>
    <w:rsid w:val="00D63B6F"/>
    <w:rsid w:val="00D63FA3"/>
    <w:rsid w:val="00D64423"/>
    <w:rsid w:val="00D651FB"/>
    <w:rsid w:val="00D655FB"/>
    <w:rsid w:val="00D657CA"/>
    <w:rsid w:val="00D65A0A"/>
    <w:rsid w:val="00D65D83"/>
    <w:rsid w:val="00D66FF7"/>
    <w:rsid w:val="00D704AE"/>
    <w:rsid w:val="00D70FAE"/>
    <w:rsid w:val="00D71B2E"/>
    <w:rsid w:val="00D721E5"/>
    <w:rsid w:val="00D725AA"/>
    <w:rsid w:val="00D72820"/>
    <w:rsid w:val="00D73014"/>
    <w:rsid w:val="00D730A1"/>
    <w:rsid w:val="00D75ECC"/>
    <w:rsid w:val="00D76596"/>
    <w:rsid w:val="00D76B88"/>
    <w:rsid w:val="00D7755C"/>
    <w:rsid w:val="00D80497"/>
    <w:rsid w:val="00D80542"/>
    <w:rsid w:val="00D817BB"/>
    <w:rsid w:val="00D8281D"/>
    <w:rsid w:val="00D828B7"/>
    <w:rsid w:val="00D8443F"/>
    <w:rsid w:val="00D852C5"/>
    <w:rsid w:val="00D85C6B"/>
    <w:rsid w:val="00D85E8B"/>
    <w:rsid w:val="00D862E1"/>
    <w:rsid w:val="00D86F6F"/>
    <w:rsid w:val="00D86FF4"/>
    <w:rsid w:val="00D9025F"/>
    <w:rsid w:val="00D90CA8"/>
    <w:rsid w:val="00D90E1D"/>
    <w:rsid w:val="00D91131"/>
    <w:rsid w:val="00D911BB"/>
    <w:rsid w:val="00D916AD"/>
    <w:rsid w:val="00D919BF"/>
    <w:rsid w:val="00D92D7A"/>
    <w:rsid w:val="00D93841"/>
    <w:rsid w:val="00D93B21"/>
    <w:rsid w:val="00D94B03"/>
    <w:rsid w:val="00D96E2D"/>
    <w:rsid w:val="00D970E1"/>
    <w:rsid w:val="00D97CF7"/>
    <w:rsid w:val="00D97E2A"/>
    <w:rsid w:val="00DA0A68"/>
    <w:rsid w:val="00DA1919"/>
    <w:rsid w:val="00DA21EE"/>
    <w:rsid w:val="00DA24A9"/>
    <w:rsid w:val="00DA26C0"/>
    <w:rsid w:val="00DA3610"/>
    <w:rsid w:val="00DA3DDA"/>
    <w:rsid w:val="00DA51C0"/>
    <w:rsid w:val="00DA5517"/>
    <w:rsid w:val="00DA5569"/>
    <w:rsid w:val="00DA5E04"/>
    <w:rsid w:val="00DA60F4"/>
    <w:rsid w:val="00DA6966"/>
    <w:rsid w:val="00DB0B31"/>
    <w:rsid w:val="00DB1652"/>
    <w:rsid w:val="00DB1EF9"/>
    <w:rsid w:val="00DB1FF2"/>
    <w:rsid w:val="00DB22EE"/>
    <w:rsid w:val="00DB2304"/>
    <w:rsid w:val="00DB40F6"/>
    <w:rsid w:val="00DB4643"/>
    <w:rsid w:val="00DB4C79"/>
    <w:rsid w:val="00DB5605"/>
    <w:rsid w:val="00DB5737"/>
    <w:rsid w:val="00DB6115"/>
    <w:rsid w:val="00DB665B"/>
    <w:rsid w:val="00DB6D3F"/>
    <w:rsid w:val="00DC0886"/>
    <w:rsid w:val="00DC2685"/>
    <w:rsid w:val="00DC2DA5"/>
    <w:rsid w:val="00DC2E3E"/>
    <w:rsid w:val="00DC36FF"/>
    <w:rsid w:val="00DC44A2"/>
    <w:rsid w:val="00DC4C99"/>
    <w:rsid w:val="00DC4D95"/>
    <w:rsid w:val="00DC4E6A"/>
    <w:rsid w:val="00DC62B3"/>
    <w:rsid w:val="00DC69EF"/>
    <w:rsid w:val="00DC6F1D"/>
    <w:rsid w:val="00DC73A1"/>
    <w:rsid w:val="00DC7D63"/>
    <w:rsid w:val="00DC7D8F"/>
    <w:rsid w:val="00DD0097"/>
    <w:rsid w:val="00DD02ED"/>
    <w:rsid w:val="00DD0FB2"/>
    <w:rsid w:val="00DD1076"/>
    <w:rsid w:val="00DD2474"/>
    <w:rsid w:val="00DD3447"/>
    <w:rsid w:val="00DD38DD"/>
    <w:rsid w:val="00DD3DA4"/>
    <w:rsid w:val="00DD4087"/>
    <w:rsid w:val="00DD6605"/>
    <w:rsid w:val="00DD6D05"/>
    <w:rsid w:val="00DD765C"/>
    <w:rsid w:val="00DD7949"/>
    <w:rsid w:val="00DE0019"/>
    <w:rsid w:val="00DE05A8"/>
    <w:rsid w:val="00DE191B"/>
    <w:rsid w:val="00DE1D87"/>
    <w:rsid w:val="00DE2083"/>
    <w:rsid w:val="00DE2A4A"/>
    <w:rsid w:val="00DE3AEE"/>
    <w:rsid w:val="00DE4668"/>
    <w:rsid w:val="00DE51C8"/>
    <w:rsid w:val="00DE56B4"/>
    <w:rsid w:val="00DE5804"/>
    <w:rsid w:val="00DE6FE2"/>
    <w:rsid w:val="00DE7EBF"/>
    <w:rsid w:val="00DF0C20"/>
    <w:rsid w:val="00DF24A1"/>
    <w:rsid w:val="00DF2C8C"/>
    <w:rsid w:val="00DF2F11"/>
    <w:rsid w:val="00DF3D92"/>
    <w:rsid w:val="00DF566D"/>
    <w:rsid w:val="00E011F1"/>
    <w:rsid w:val="00E01AB0"/>
    <w:rsid w:val="00E021B4"/>
    <w:rsid w:val="00E029DB"/>
    <w:rsid w:val="00E029FF"/>
    <w:rsid w:val="00E032E3"/>
    <w:rsid w:val="00E03DDE"/>
    <w:rsid w:val="00E0403A"/>
    <w:rsid w:val="00E0427D"/>
    <w:rsid w:val="00E0477B"/>
    <w:rsid w:val="00E04BAE"/>
    <w:rsid w:val="00E05EF2"/>
    <w:rsid w:val="00E0602E"/>
    <w:rsid w:val="00E117B7"/>
    <w:rsid w:val="00E13F58"/>
    <w:rsid w:val="00E148DD"/>
    <w:rsid w:val="00E14AE5"/>
    <w:rsid w:val="00E14E6A"/>
    <w:rsid w:val="00E158AE"/>
    <w:rsid w:val="00E15EB5"/>
    <w:rsid w:val="00E163B7"/>
    <w:rsid w:val="00E1644F"/>
    <w:rsid w:val="00E16465"/>
    <w:rsid w:val="00E164FA"/>
    <w:rsid w:val="00E16AD5"/>
    <w:rsid w:val="00E17AC3"/>
    <w:rsid w:val="00E17E00"/>
    <w:rsid w:val="00E207E6"/>
    <w:rsid w:val="00E21A1A"/>
    <w:rsid w:val="00E21DEF"/>
    <w:rsid w:val="00E21EEC"/>
    <w:rsid w:val="00E2251C"/>
    <w:rsid w:val="00E23A5B"/>
    <w:rsid w:val="00E23D1F"/>
    <w:rsid w:val="00E23DC5"/>
    <w:rsid w:val="00E24158"/>
    <w:rsid w:val="00E24A36"/>
    <w:rsid w:val="00E24EBB"/>
    <w:rsid w:val="00E2517F"/>
    <w:rsid w:val="00E25CDD"/>
    <w:rsid w:val="00E26A16"/>
    <w:rsid w:val="00E26DC7"/>
    <w:rsid w:val="00E27D84"/>
    <w:rsid w:val="00E30627"/>
    <w:rsid w:val="00E319BB"/>
    <w:rsid w:val="00E33828"/>
    <w:rsid w:val="00E344AC"/>
    <w:rsid w:val="00E35206"/>
    <w:rsid w:val="00E36F3F"/>
    <w:rsid w:val="00E37132"/>
    <w:rsid w:val="00E409AD"/>
    <w:rsid w:val="00E416F6"/>
    <w:rsid w:val="00E41C2C"/>
    <w:rsid w:val="00E42BA7"/>
    <w:rsid w:val="00E42C5A"/>
    <w:rsid w:val="00E4361C"/>
    <w:rsid w:val="00E4437C"/>
    <w:rsid w:val="00E45DC6"/>
    <w:rsid w:val="00E4615D"/>
    <w:rsid w:val="00E46DAB"/>
    <w:rsid w:val="00E46E89"/>
    <w:rsid w:val="00E47729"/>
    <w:rsid w:val="00E47944"/>
    <w:rsid w:val="00E50254"/>
    <w:rsid w:val="00E502FE"/>
    <w:rsid w:val="00E50303"/>
    <w:rsid w:val="00E50C87"/>
    <w:rsid w:val="00E50EB8"/>
    <w:rsid w:val="00E50FFF"/>
    <w:rsid w:val="00E510C8"/>
    <w:rsid w:val="00E51366"/>
    <w:rsid w:val="00E51D1D"/>
    <w:rsid w:val="00E53041"/>
    <w:rsid w:val="00E5476D"/>
    <w:rsid w:val="00E5493E"/>
    <w:rsid w:val="00E54A2C"/>
    <w:rsid w:val="00E55529"/>
    <w:rsid w:val="00E5662A"/>
    <w:rsid w:val="00E5667A"/>
    <w:rsid w:val="00E6065B"/>
    <w:rsid w:val="00E6077D"/>
    <w:rsid w:val="00E6129B"/>
    <w:rsid w:val="00E6199C"/>
    <w:rsid w:val="00E62440"/>
    <w:rsid w:val="00E633B4"/>
    <w:rsid w:val="00E64B1A"/>
    <w:rsid w:val="00E65131"/>
    <w:rsid w:val="00E658CF"/>
    <w:rsid w:val="00E65F9E"/>
    <w:rsid w:val="00E65FAF"/>
    <w:rsid w:val="00E663F0"/>
    <w:rsid w:val="00E67426"/>
    <w:rsid w:val="00E675F1"/>
    <w:rsid w:val="00E70E33"/>
    <w:rsid w:val="00E71ABB"/>
    <w:rsid w:val="00E722C5"/>
    <w:rsid w:val="00E72C04"/>
    <w:rsid w:val="00E72F1C"/>
    <w:rsid w:val="00E734B7"/>
    <w:rsid w:val="00E73DC7"/>
    <w:rsid w:val="00E74144"/>
    <w:rsid w:val="00E751BC"/>
    <w:rsid w:val="00E751D1"/>
    <w:rsid w:val="00E76071"/>
    <w:rsid w:val="00E76408"/>
    <w:rsid w:val="00E80A5B"/>
    <w:rsid w:val="00E82515"/>
    <w:rsid w:val="00E826AB"/>
    <w:rsid w:val="00E82962"/>
    <w:rsid w:val="00E83944"/>
    <w:rsid w:val="00E83BB0"/>
    <w:rsid w:val="00E8460C"/>
    <w:rsid w:val="00E84709"/>
    <w:rsid w:val="00E857C1"/>
    <w:rsid w:val="00E85F5E"/>
    <w:rsid w:val="00E863E7"/>
    <w:rsid w:val="00E86464"/>
    <w:rsid w:val="00E865B2"/>
    <w:rsid w:val="00E86FBB"/>
    <w:rsid w:val="00E871A0"/>
    <w:rsid w:val="00E9007F"/>
    <w:rsid w:val="00E904AF"/>
    <w:rsid w:val="00E906BA"/>
    <w:rsid w:val="00E915F3"/>
    <w:rsid w:val="00E916F9"/>
    <w:rsid w:val="00E91CC0"/>
    <w:rsid w:val="00E91FDB"/>
    <w:rsid w:val="00E92819"/>
    <w:rsid w:val="00E933D8"/>
    <w:rsid w:val="00E95526"/>
    <w:rsid w:val="00E95BAD"/>
    <w:rsid w:val="00E95E32"/>
    <w:rsid w:val="00E96CE4"/>
    <w:rsid w:val="00E97839"/>
    <w:rsid w:val="00EA0107"/>
    <w:rsid w:val="00EA0DAE"/>
    <w:rsid w:val="00EA1478"/>
    <w:rsid w:val="00EA279C"/>
    <w:rsid w:val="00EA2B58"/>
    <w:rsid w:val="00EA3032"/>
    <w:rsid w:val="00EA3F53"/>
    <w:rsid w:val="00EA4232"/>
    <w:rsid w:val="00EA4AB9"/>
    <w:rsid w:val="00EA4CEC"/>
    <w:rsid w:val="00EA536B"/>
    <w:rsid w:val="00EA6AD1"/>
    <w:rsid w:val="00EA6EB8"/>
    <w:rsid w:val="00EA7691"/>
    <w:rsid w:val="00EB0A08"/>
    <w:rsid w:val="00EB3E1A"/>
    <w:rsid w:val="00EB530B"/>
    <w:rsid w:val="00EB5423"/>
    <w:rsid w:val="00EB61EB"/>
    <w:rsid w:val="00EB624B"/>
    <w:rsid w:val="00EB6D74"/>
    <w:rsid w:val="00EB7EA1"/>
    <w:rsid w:val="00EC080A"/>
    <w:rsid w:val="00EC2157"/>
    <w:rsid w:val="00EC3355"/>
    <w:rsid w:val="00EC3646"/>
    <w:rsid w:val="00EC46E3"/>
    <w:rsid w:val="00EC4F2C"/>
    <w:rsid w:val="00EC5B27"/>
    <w:rsid w:val="00EC617D"/>
    <w:rsid w:val="00EC7CA7"/>
    <w:rsid w:val="00ED06BA"/>
    <w:rsid w:val="00ED10E0"/>
    <w:rsid w:val="00ED1D96"/>
    <w:rsid w:val="00ED22EE"/>
    <w:rsid w:val="00ED25A0"/>
    <w:rsid w:val="00ED27FA"/>
    <w:rsid w:val="00ED28BB"/>
    <w:rsid w:val="00ED2D55"/>
    <w:rsid w:val="00ED3445"/>
    <w:rsid w:val="00ED356B"/>
    <w:rsid w:val="00ED406F"/>
    <w:rsid w:val="00ED455B"/>
    <w:rsid w:val="00ED4622"/>
    <w:rsid w:val="00ED4985"/>
    <w:rsid w:val="00ED4A1B"/>
    <w:rsid w:val="00ED4C99"/>
    <w:rsid w:val="00ED62A9"/>
    <w:rsid w:val="00ED684D"/>
    <w:rsid w:val="00ED7763"/>
    <w:rsid w:val="00EE01AD"/>
    <w:rsid w:val="00EE05BF"/>
    <w:rsid w:val="00EE05CB"/>
    <w:rsid w:val="00EE1A45"/>
    <w:rsid w:val="00EE1BBE"/>
    <w:rsid w:val="00EE24BE"/>
    <w:rsid w:val="00EE2737"/>
    <w:rsid w:val="00EE4CD7"/>
    <w:rsid w:val="00EE6759"/>
    <w:rsid w:val="00EE6761"/>
    <w:rsid w:val="00EE7090"/>
    <w:rsid w:val="00EF03EB"/>
    <w:rsid w:val="00EF1270"/>
    <w:rsid w:val="00EF147A"/>
    <w:rsid w:val="00EF22BB"/>
    <w:rsid w:val="00EF2360"/>
    <w:rsid w:val="00EF2640"/>
    <w:rsid w:val="00EF28AA"/>
    <w:rsid w:val="00EF42BE"/>
    <w:rsid w:val="00EF448D"/>
    <w:rsid w:val="00EF4DE1"/>
    <w:rsid w:val="00EF55EA"/>
    <w:rsid w:val="00EF5FBA"/>
    <w:rsid w:val="00EF670D"/>
    <w:rsid w:val="00EF74DE"/>
    <w:rsid w:val="00F00549"/>
    <w:rsid w:val="00F0089C"/>
    <w:rsid w:val="00F01719"/>
    <w:rsid w:val="00F01EB8"/>
    <w:rsid w:val="00F027C1"/>
    <w:rsid w:val="00F02F7A"/>
    <w:rsid w:val="00F037DE"/>
    <w:rsid w:val="00F03C8A"/>
    <w:rsid w:val="00F0587C"/>
    <w:rsid w:val="00F078F3"/>
    <w:rsid w:val="00F10A2B"/>
    <w:rsid w:val="00F11966"/>
    <w:rsid w:val="00F11FD5"/>
    <w:rsid w:val="00F1204D"/>
    <w:rsid w:val="00F120A0"/>
    <w:rsid w:val="00F125BE"/>
    <w:rsid w:val="00F130A1"/>
    <w:rsid w:val="00F13E08"/>
    <w:rsid w:val="00F14308"/>
    <w:rsid w:val="00F14643"/>
    <w:rsid w:val="00F14C18"/>
    <w:rsid w:val="00F14DE7"/>
    <w:rsid w:val="00F14FA6"/>
    <w:rsid w:val="00F15080"/>
    <w:rsid w:val="00F15F5C"/>
    <w:rsid w:val="00F16B51"/>
    <w:rsid w:val="00F16B54"/>
    <w:rsid w:val="00F171D8"/>
    <w:rsid w:val="00F1789B"/>
    <w:rsid w:val="00F17CC2"/>
    <w:rsid w:val="00F20251"/>
    <w:rsid w:val="00F22378"/>
    <w:rsid w:val="00F235B1"/>
    <w:rsid w:val="00F242AA"/>
    <w:rsid w:val="00F244A1"/>
    <w:rsid w:val="00F245B1"/>
    <w:rsid w:val="00F24A34"/>
    <w:rsid w:val="00F24F90"/>
    <w:rsid w:val="00F26063"/>
    <w:rsid w:val="00F26196"/>
    <w:rsid w:val="00F267CA"/>
    <w:rsid w:val="00F26A00"/>
    <w:rsid w:val="00F26AEF"/>
    <w:rsid w:val="00F27F88"/>
    <w:rsid w:val="00F3097F"/>
    <w:rsid w:val="00F315E4"/>
    <w:rsid w:val="00F31800"/>
    <w:rsid w:val="00F31F82"/>
    <w:rsid w:val="00F321D2"/>
    <w:rsid w:val="00F32586"/>
    <w:rsid w:val="00F33416"/>
    <w:rsid w:val="00F33466"/>
    <w:rsid w:val="00F33A38"/>
    <w:rsid w:val="00F348B2"/>
    <w:rsid w:val="00F36566"/>
    <w:rsid w:val="00F402E1"/>
    <w:rsid w:val="00F422D6"/>
    <w:rsid w:val="00F42555"/>
    <w:rsid w:val="00F430F4"/>
    <w:rsid w:val="00F43371"/>
    <w:rsid w:val="00F435A2"/>
    <w:rsid w:val="00F43768"/>
    <w:rsid w:val="00F43809"/>
    <w:rsid w:val="00F43E51"/>
    <w:rsid w:val="00F4445C"/>
    <w:rsid w:val="00F44F50"/>
    <w:rsid w:val="00F46752"/>
    <w:rsid w:val="00F46F69"/>
    <w:rsid w:val="00F4768D"/>
    <w:rsid w:val="00F50D6F"/>
    <w:rsid w:val="00F528E6"/>
    <w:rsid w:val="00F54347"/>
    <w:rsid w:val="00F5464A"/>
    <w:rsid w:val="00F54867"/>
    <w:rsid w:val="00F561D0"/>
    <w:rsid w:val="00F56F97"/>
    <w:rsid w:val="00F60144"/>
    <w:rsid w:val="00F61316"/>
    <w:rsid w:val="00F618FC"/>
    <w:rsid w:val="00F61A65"/>
    <w:rsid w:val="00F62301"/>
    <w:rsid w:val="00F6272A"/>
    <w:rsid w:val="00F63803"/>
    <w:rsid w:val="00F643C2"/>
    <w:rsid w:val="00F64785"/>
    <w:rsid w:val="00F64B78"/>
    <w:rsid w:val="00F65E80"/>
    <w:rsid w:val="00F674E9"/>
    <w:rsid w:val="00F72045"/>
    <w:rsid w:val="00F731D5"/>
    <w:rsid w:val="00F76370"/>
    <w:rsid w:val="00F7715B"/>
    <w:rsid w:val="00F7740D"/>
    <w:rsid w:val="00F7774C"/>
    <w:rsid w:val="00F800AF"/>
    <w:rsid w:val="00F808FD"/>
    <w:rsid w:val="00F80CA3"/>
    <w:rsid w:val="00F80E2F"/>
    <w:rsid w:val="00F822EF"/>
    <w:rsid w:val="00F824B3"/>
    <w:rsid w:val="00F82840"/>
    <w:rsid w:val="00F82A9E"/>
    <w:rsid w:val="00F82F1F"/>
    <w:rsid w:val="00F83195"/>
    <w:rsid w:val="00F83F64"/>
    <w:rsid w:val="00F85A73"/>
    <w:rsid w:val="00F85CCA"/>
    <w:rsid w:val="00F85EC7"/>
    <w:rsid w:val="00F86CAB"/>
    <w:rsid w:val="00F8711D"/>
    <w:rsid w:val="00F879D2"/>
    <w:rsid w:val="00F87A48"/>
    <w:rsid w:val="00F87EFB"/>
    <w:rsid w:val="00F9170B"/>
    <w:rsid w:val="00F91AD3"/>
    <w:rsid w:val="00F920F4"/>
    <w:rsid w:val="00F92B3B"/>
    <w:rsid w:val="00F931C1"/>
    <w:rsid w:val="00F940DC"/>
    <w:rsid w:val="00F94157"/>
    <w:rsid w:val="00F94922"/>
    <w:rsid w:val="00F94F9F"/>
    <w:rsid w:val="00F95078"/>
    <w:rsid w:val="00F95576"/>
    <w:rsid w:val="00F9565C"/>
    <w:rsid w:val="00F968CF"/>
    <w:rsid w:val="00F96B1B"/>
    <w:rsid w:val="00F970EF"/>
    <w:rsid w:val="00F9743C"/>
    <w:rsid w:val="00F9768B"/>
    <w:rsid w:val="00F97B80"/>
    <w:rsid w:val="00F97BF9"/>
    <w:rsid w:val="00F97E5F"/>
    <w:rsid w:val="00FA0C1C"/>
    <w:rsid w:val="00FA0F19"/>
    <w:rsid w:val="00FA0FFC"/>
    <w:rsid w:val="00FA209E"/>
    <w:rsid w:val="00FA2D5B"/>
    <w:rsid w:val="00FA395A"/>
    <w:rsid w:val="00FA3EF6"/>
    <w:rsid w:val="00FA4572"/>
    <w:rsid w:val="00FA510F"/>
    <w:rsid w:val="00FA5801"/>
    <w:rsid w:val="00FB0BBB"/>
    <w:rsid w:val="00FB0EA8"/>
    <w:rsid w:val="00FB120A"/>
    <w:rsid w:val="00FB137F"/>
    <w:rsid w:val="00FB15E6"/>
    <w:rsid w:val="00FB1913"/>
    <w:rsid w:val="00FB222D"/>
    <w:rsid w:val="00FB35F1"/>
    <w:rsid w:val="00FB39F8"/>
    <w:rsid w:val="00FB45B3"/>
    <w:rsid w:val="00FB4F67"/>
    <w:rsid w:val="00FB55D7"/>
    <w:rsid w:val="00FB5897"/>
    <w:rsid w:val="00FB6166"/>
    <w:rsid w:val="00FB62E1"/>
    <w:rsid w:val="00FB6B61"/>
    <w:rsid w:val="00FB7E3A"/>
    <w:rsid w:val="00FC0DB3"/>
    <w:rsid w:val="00FC0F2D"/>
    <w:rsid w:val="00FC1AFF"/>
    <w:rsid w:val="00FC3429"/>
    <w:rsid w:val="00FC40CF"/>
    <w:rsid w:val="00FC4FC4"/>
    <w:rsid w:val="00FC5374"/>
    <w:rsid w:val="00FC564B"/>
    <w:rsid w:val="00FC58A9"/>
    <w:rsid w:val="00FC6914"/>
    <w:rsid w:val="00FC7090"/>
    <w:rsid w:val="00FD1F44"/>
    <w:rsid w:val="00FD23A7"/>
    <w:rsid w:val="00FD275F"/>
    <w:rsid w:val="00FD31C6"/>
    <w:rsid w:val="00FD3534"/>
    <w:rsid w:val="00FD3F75"/>
    <w:rsid w:val="00FD51D3"/>
    <w:rsid w:val="00FD6DD8"/>
    <w:rsid w:val="00FD745C"/>
    <w:rsid w:val="00FD7E0C"/>
    <w:rsid w:val="00FD7FE0"/>
    <w:rsid w:val="00FE07EA"/>
    <w:rsid w:val="00FE0EEA"/>
    <w:rsid w:val="00FE1577"/>
    <w:rsid w:val="00FE24F7"/>
    <w:rsid w:val="00FE28A8"/>
    <w:rsid w:val="00FE4219"/>
    <w:rsid w:val="00FE45E0"/>
    <w:rsid w:val="00FE573B"/>
    <w:rsid w:val="00FE7DD9"/>
    <w:rsid w:val="00FF0F4D"/>
    <w:rsid w:val="00FF15BF"/>
    <w:rsid w:val="00FF189F"/>
    <w:rsid w:val="00FF1C2B"/>
    <w:rsid w:val="00FF1ED7"/>
    <w:rsid w:val="00FF1FA8"/>
    <w:rsid w:val="00FF2421"/>
    <w:rsid w:val="00FF29E7"/>
    <w:rsid w:val="00FF2D5E"/>
    <w:rsid w:val="00FF2E4A"/>
    <w:rsid w:val="00FF4DAD"/>
    <w:rsid w:val="00FF5576"/>
    <w:rsid w:val="00FF5BFA"/>
    <w:rsid w:val="00FF5FD5"/>
    <w:rsid w:val="00FF62D9"/>
    <w:rsid w:val="00FF695A"/>
    <w:rsid w:val="00FF7504"/>
    <w:rsid w:val="0143C086"/>
    <w:rsid w:val="01614E3D"/>
    <w:rsid w:val="01C15119"/>
    <w:rsid w:val="0253BE20"/>
    <w:rsid w:val="027716A4"/>
    <w:rsid w:val="02FD1E9E"/>
    <w:rsid w:val="03039C95"/>
    <w:rsid w:val="030A6506"/>
    <w:rsid w:val="0341A1C9"/>
    <w:rsid w:val="03A2DD16"/>
    <w:rsid w:val="03C55282"/>
    <w:rsid w:val="03DA9579"/>
    <w:rsid w:val="03DCF7DE"/>
    <w:rsid w:val="03E705D0"/>
    <w:rsid w:val="0423F75E"/>
    <w:rsid w:val="046FAA0A"/>
    <w:rsid w:val="04C5B9B0"/>
    <w:rsid w:val="04CD9DEC"/>
    <w:rsid w:val="053EAD77"/>
    <w:rsid w:val="053FEDBD"/>
    <w:rsid w:val="0566720B"/>
    <w:rsid w:val="05709BA0"/>
    <w:rsid w:val="05F15037"/>
    <w:rsid w:val="0700DF38"/>
    <w:rsid w:val="0739BD2A"/>
    <w:rsid w:val="0791CE9C"/>
    <w:rsid w:val="07BE2207"/>
    <w:rsid w:val="07C30764"/>
    <w:rsid w:val="08200AD1"/>
    <w:rsid w:val="087A9D0D"/>
    <w:rsid w:val="09DD7AE8"/>
    <w:rsid w:val="09F13C6C"/>
    <w:rsid w:val="0A0BD8CE"/>
    <w:rsid w:val="0A1F520E"/>
    <w:rsid w:val="0A48DA2C"/>
    <w:rsid w:val="0A59EAF8"/>
    <w:rsid w:val="0A86E02A"/>
    <w:rsid w:val="0AB525EB"/>
    <w:rsid w:val="0B3E1216"/>
    <w:rsid w:val="0BADEEFB"/>
    <w:rsid w:val="0BE04952"/>
    <w:rsid w:val="0D34E5D3"/>
    <w:rsid w:val="0E823DCA"/>
    <w:rsid w:val="0EB4445A"/>
    <w:rsid w:val="0EFE1958"/>
    <w:rsid w:val="0F1144C0"/>
    <w:rsid w:val="0F4D779A"/>
    <w:rsid w:val="0F88970E"/>
    <w:rsid w:val="1042EFCD"/>
    <w:rsid w:val="1135A9E6"/>
    <w:rsid w:val="1165044D"/>
    <w:rsid w:val="11A1005A"/>
    <w:rsid w:val="1306510A"/>
    <w:rsid w:val="1362EFE6"/>
    <w:rsid w:val="13B75B67"/>
    <w:rsid w:val="13F5D962"/>
    <w:rsid w:val="146D4AA8"/>
    <w:rsid w:val="1476FC41"/>
    <w:rsid w:val="147BB0C0"/>
    <w:rsid w:val="14E900B8"/>
    <w:rsid w:val="1575135C"/>
    <w:rsid w:val="1625E3DA"/>
    <w:rsid w:val="16387570"/>
    <w:rsid w:val="16BA5364"/>
    <w:rsid w:val="16BE6934"/>
    <w:rsid w:val="16F995B2"/>
    <w:rsid w:val="174F1260"/>
    <w:rsid w:val="184ADFAB"/>
    <w:rsid w:val="187F8600"/>
    <w:rsid w:val="199AF4AC"/>
    <w:rsid w:val="19BD49FE"/>
    <w:rsid w:val="19C4A1D7"/>
    <w:rsid w:val="1A4C1607"/>
    <w:rsid w:val="1AC45C3E"/>
    <w:rsid w:val="1B02DCFA"/>
    <w:rsid w:val="1B1A5FDE"/>
    <w:rsid w:val="1B34A968"/>
    <w:rsid w:val="1C0FC84A"/>
    <w:rsid w:val="1C40C1DB"/>
    <w:rsid w:val="1C9D4FEB"/>
    <w:rsid w:val="1CA856BA"/>
    <w:rsid w:val="1CDDBABA"/>
    <w:rsid w:val="1E6C2FB4"/>
    <w:rsid w:val="1EB537E6"/>
    <w:rsid w:val="1EF20E2D"/>
    <w:rsid w:val="1FBA4AB2"/>
    <w:rsid w:val="1FC24E32"/>
    <w:rsid w:val="1FCCFC1B"/>
    <w:rsid w:val="1FD754A7"/>
    <w:rsid w:val="1FE08A99"/>
    <w:rsid w:val="206397E3"/>
    <w:rsid w:val="2069B5CE"/>
    <w:rsid w:val="211432FE"/>
    <w:rsid w:val="212EBF91"/>
    <w:rsid w:val="21721E7E"/>
    <w:rsid w:val="219B3808"/>
    <w:rsid w:val="21B866F4"/>
    <w:rsid w:val="21C22D12"/>
    <w:rsid w:val="225B3CEF"/>
    <w:rsid w:val="22899F5E"/>
    <w:rsid w:val="229AC436"/>
    <w:rsid w:val="22C13957"/>
    <w:rsid w:val="22D1BA57"/>
    <w:rsid w:val="24555F40"/>
    <w:rsid w:val="247CCD33"/>
    <w:rsid w:val="248455C0"/>
    <w:rsid w:val="24A819C7"/>
    <w:rsid w:val="24B53533"/>
    <w:rsid w:val="24DC9F2D"/>
    <w:rsid w:val="250C6897"/>
    <w:rsid w:val="258D636F"/>
    <w:rsid w:val="260ABBB2"/>
    <w:rsid w:val="2617629B"/>
    <w:rsid w:val="261CF63C"/>
    <w:rsid w:val="26458FA1"/>
    <w:rsid w:val="2670303E"/>
    <w:rsid w:val="269723A1"/>
    <w:rsid w:val="26B04BEB"/>
    <w:rsid w:val="2763129F"/>
    <w:rsid w:val="27C9370B"/>
    <w:rsid w:val="288CB34D"/>
    <w:rsid w:val="28C50431"/>
    <w:rsid w:val="2AE788E6"/>
    <w:rsid w:val="2B22FBF5"/>
    <w:rsid w:val="2B3FAFEA"/>
    <w:rsid w:val="2B53A758"/>
    <w:rsid w:val="2BDD7B46"/>
    <w:rsid w:val="2BFCA4F3"/>
    <w:rsid w:val="2CDE63C1"/>
    <w:rsid w:val="2D6CBCEA"/>
    <w:rsid w:val="2D7729DF"/>
    <w:rsid w:val="2DBFD051"/>
    <w:rsid w:val="2DD93192"/>
    <w:rsid w:val="2DE43CBB"/>
    <w:rsid w:val="2E06CF0F"/>
    <w:rsid w:val="2EDE75A1"/>
    <w:rsid w:val="2F022127"/>
    <w:rsid w:val="2F7A2BE5"/>
    <w:rsid w:val="2FD85C02"/>
    <w:rsid w:val="3022C5FD"/>
    <w:rsid w:val="30B58A77"/>
    <w:rsid w:val="3101E2AC"/>
    <w:rsid w:val="3135414C"/>
    <w:rsid w:val="3137565D"/>
    <w:rsid w:val="31D4BAE9"/>
    <w:rsid w:val="3228FAA3"/>
    <w:rsid w:val="3285EAFF"/>
    <w:rsid w:val="32861F3D"/>
    <w:rsid w:val="3289042F"/>
    <w:rsid w:val="328EBA27"/>
    <w:rsid w:val="33317809"/>
    <w:rsid w:val="3351D681"/>
    <w:rsid w:val="33A4356A"/>
    <w:rsid w:val="3474C5F8"/>
    <w:rsid w:val="34B68CF2"/>
    <w:rsid w:val="34FA2AE7"/>
    <w:rsid w:val="357DA82A"/>
    <w:rsid w:val="35ED7880"/>
    <w:rsid w:val="3614A635"/>
    <w:rsid w:val="3661807A"/>
    <w:rsid w:val="36E446EE"/>
    <w:rsid w:val="37474520"/>
    <w:rsid w:val="374F765E"/>
    <w:rsid w:val="37EA97C9"/>
    <w:rsid w:val="37FA106E"/>
    <w:rsid w:val="380077DC"/>
    <w:rsid w:val="382735E6"/>
    <w:rsid w:val="383B19F5"/>
    <w:rsid w:val="38C2BCC4"/>
    <w:rsid w:val="394F0DF4"/>
    <w:rsid w:val="3986682A"/>
    <w:rsid w:val="399CC660"/>
    <w:rsid w:val="39E99F42"/>
    <w:rsid w:val="3A67D055"/>
    <w:rsid w:val="3AB1B7BD"/>
    <w:rsid w:val="3AD049DD"/>
    <w:rsid w:val="3AD83363"/>
    <w:rsid w:val="3B74ECE4"/>
    <w:rsid w:val="3BABD3A4"/>
    <w:rsid w:val="3C96E4DA"/>
    <w:rsid w:val="3CBE08EC"/>
    <w:rsid w:val="3CCE407F"/>
    <w:rsid w:val="3D30829D"/>
    <w:rsid w:val="3D58A5F4"/>
    <w:rsid w:val="3E2F6ADB"/>
    <w:rsid w:val="3E5EBD4C"/>
    <w:rsid w:val="3EE770E4"/>
    <w:rsid w:val="3EF6A621"/>
    <w:rsid w:val="3F12E3AB"/>
    <w:rsid w:val="3F4DFF41"/>
    <w:rsid w:val="3F5A8843"/>
    <w:rsid w:val="3F65C18C"/>
    <w:rsid w:val="3FEC0567"/>
    <w:rsid w:val="40317002"/>
    <w:rsid w:val="4107D0E4"/>
    <w:rsid w:val="415A16E6"/>
    <w:rsid w:val="41A5B4D6"/>
    <w:rsid w:val="41D44260"/>
    <w:rsid w:val="420DD786"/>
    <w:rsid w:val="42775B2F"/>
    <w:rsid w:val="428428DA"/>
    <w:rsid w:val="42853D02"/>
    <w:rsid w:val="428DC759"/>
    <w:rsid w:val="4291C56C"/>
    <w:rsid w:val="432D8442"/>
    <w:rsid w:val="4349D644"/>
    <w:rsid w:val="442D5AA4"/>
    <w:rsid w:val="4462ADAA"/>
    <w:rsid w:val="44EF9EB1"/>
    <w:rsid w:val="4505EE62"/>
    <w:rsid w:val="453E10E1"/>
    <w:rsid w:val="45774447"/>
    <w:rsid w:val="45829BAD"/>
    <w:rsid w:val="45C19889"/>
    <w:rsid w:val="45C270C1"/>
    <w:rsid w:val="46653122"/>
    <w:rsid w:val="46CD16C3"/>
    <w:rsid w:val="46EA0571"/>
    <w:rsid w:val="46FBD00A"/>
    <w:rsid w:val="47A53F9C"/>
    <w:rsid w:val="47B7EACE"/>
    <w:rsid w:val="4890DF49"/>
    <w:rsid w:val="48A327D9"/>
    <w:rsid w:val="48F9394B"/>
    <w:rsid w:val="4917F446"/>
    <w:rsid w:val="49BB11B0"/>
    <w:rsid w:val="49F48EBA"/>
    <w:rsid w:val="49FAF456"/>
    <w:rsid w:val="4A33703B"/>
    <w:rsid w:val="4A4192CD"/>
    <w:rsid w:val="4A8D069D"/>
    <w:rsid w:val="4A9243A9"/>
    <w:rsid w:val="4BAD291A"/>
    <w:rsid w:val="4C315B3C"/>
    <w:rsid w:val="4C87DCC4"/>
    <w:rsid w:val="4D17623F"/>
    <w:rsid w:val="4D1B0687"/>
    <w:rsid w:val="4D2C2F7C"/>
    <w:rsid w:val="4E74A253"/>
    <w:rsid w:val="4E86BEF9"/>
    <w:rsid w:val="4EBBB29C"/>
    <w:rsid w:val="4EC888E5"/>
    <w:rsid w:val="4FD432C6"/>
    <w:rsid w:val="4FDD8522"/>
    <w:rsid w:val="50093A71"/>
    <w:rsid w:val="5014A7AC"/>
    <w:rsid w:val="502A1934"/>
    <w:rsid w:val="51245C59"/>
    <w:rsid w:val="519F0027"/>
    <w:rsid w:val="51B3CB26"/>
    <w:rsid w:val="51CE5292"/>
    <w:rsid w:val="529FAF4A"/>
    <w:rsid w:val="52C2D842"/>
    <w:rsid w:val="5382B58F"/>
    <w:rsid w:val="5382E765"/>
    <w:rsid w:val="546CCDA5"/>
    <w:rsid w:val="54DB9EB8"/>
    <w:rsid w:val="54E2DD4D"/>
    <w:rsid w:val="5560CD8B"/>
    <w:rsid w:val="55DD4EF1"/>
    <w:rsid w:val="56138143"/>
    <w:rsid w:val="56780867"/>
    <w:rsid w:val="567FC7E4"/>
    <w:rsid w:val="56D5DADC"/>
    <w:rsid w:val="581C02BC"/>
    <w:rsid w:val="58F179F3"/>
    <w:rsid w:val="58FA2AE4"/>
    <w:rsid w:val="58FE223E"/>
    <w:rsid w:val="591BCFF3"/>
    <w:rsid w:val="5939FCB7"/>
    <w:rsid w:val="595594ED"/>
    <w:rsid w:val="596B3F72"/>
    <w:rsid w:val="59704A2B"/>
    <w:rsid w:val="59FB1CF9"/>
    <w:rsid w:val="5A4CC6F8"/>
    <w:rsid w:val="5A508476"/>
    <w:rsid w:val="5ADA2EC9"/>
    <w:rsid w:val="5B581C4D"/>
    <w:rsid w:val="5BB899E7"/>
    <w:rsid w:val="5C1F770C"/>
    <w:rsid w:val="5C70BCF9"/>
    <w:rsid w:val="5C9227F9"/>
    <w:rsid w:val="5CC8EF4B"/>
    <w:rsid w:val="5CD2CB2E"/>
    <w:rsid w:val="5D3B41EB"/>
    <w:rsid w:val="5D652406"/>
    <w:rsid w:val="5D687584"/>
    <w:rsid w:val="5D7EE680"/>
    <w:rsid w:val="5DD81F26"/>
    <w:rsid w:val="5E55B168"/>
    <w:rsid w:val="5E785183"/>
    <w:rsid w:val="5EA8306D"/>
    <w:rsid w:val="5F4A1E23"/>
    <w:rsid w:val="5FA95BB0"/>
    <w:rsid w:val="5FDB4762"/>
    <w:rsid w:val="61116561"/>
    <w:rsid w:val="6144E521"/>
    <w:rsid w:val="619A9266"/>
    <w:rsid w:val="6233FA3B"/>
    <w:rsid w:val="6256EF8C"/>
    <w:rsid w:val="626EC6A5"/>
    <w:rsid w:val="62860D70"/>
    <w:rsid w:val="62E8CC83"/>
    <w:rsid w:val="62F0FDC1"/>
    <w:rsid w:val="62F844E5"/>
    <w:rsid w:val="6325D7B3"/>
    <w:rsid w:val="63397868"/>
    <w:rsid w:val="63B29211"/>
    <w:rsid w:val="641B0183"/>
    <w:rsid w:val="64250054"/>
    <w:rsid w:val="64E4278E"/>
    <w:rsid w:val="6527EF8D"/>
    <w:rsid w:val="653512AF"/>
    <w:rsid w:val="656F6B9B"/>
    <w:rsid w:val="661F1E61"/>
    <w:rsid w:val="66483038"/>
    <w:rsid w:val="66765D56"/>
    <w:rsid w:val="66D421E8"/>
    <w:rsid w:val="6775F563"/>
    <w:rsid w:val="678B2FC2"/>
    <w:rsid w:val="679AD513"/>
    <w:rsid w:val="68827637"/>
    <w:rsid w:val="6896EA1E"/>
    <w:rsid w:val="69F535FE"/>
    <w:rsid w:val="6A10B3CE"/>
    <w:rsid w:val="6A308FB2"/>
    <w:rsid w:val="6A3DDA2E"/>
    <w:rsid w:val="6A42D196"/>
    <w:rsid w:val="6A76D910"/>
    <w:rsid w:val="6ABADBF2"/>
    <w:rsid w:val="6AE041D3"/>
    <w:rsid w:val="6BBD82DA"/>
    <w:rsid w:val="6BC2C94A"/>
    <w:rsid w:val="6C1FAEAB"/>
    <w:rsid w:val="6C8E7755"/>
    <w:rsid w:val="6D62E214"/>
    <w:rsid w:val="6D9E0A1E"/>
    <w:rsid w:val="6E26D477"/>
    <w:rsid w:val="6E33435D"/>
    <w:rsid w:val="6EAA2E95"/>
    <w:rsid w:val="6EB26054"/>
    <w:rsid w:val="6F3E465D"/>
    <w:rsid w:val="6F65A46A"/>
    <w:rsid w:val="6F82FAAC"/>
    <w:rsid w:val="6F830E4F"/>
    <w:rsid w:val="6FAA1ED3"/>
    <w:rsid w:val="6FBA0CF0"/>
    <w:rsid w:val="6FC1E6A5"/>
    <w:rsid w:val="7012F3F4"/>
    <w:rsid w:val="70593D52"/>
    <w:rsid w:val="7090F3FD"/>
    <w:rsid w:val="70C6C3BE"/>
    <w:rsid w:val="70D4BBFC"/>
    <w:rsid w:val="7115F08F"/>
    <w:rsid w:val="713C227A"/>
    <w:rsid w:val="713D8310"/>
    <w:rsid w:val="720184FF"/>
    <w:rsid w:val="72444B21"/>
    <w:rsid w:val="72989C49"/>
    <w:rsid w:val="72E8DDB3"/>
    <w:rsid w:val="73BB780F"/>
    <w:rsid w:val="7455B5E9"/>
    <w:rsid w:val="74635389"/>
    <w:rsid w:val="7499AEDE"/>
    <w:rsid w:val="74D96181"/>
    <w:rsid w:val="752DFA93"/>
    <w:rsid w:val="757FDB78"/>
    <w:rsid w:val="759F8407"/>
    <w:rsid w:val="75E9BF77"/>
    <w:rsid w:val="7603BFC5"/>
    <w:rsid w:val="7649DA13"/>
    <w:rsid w:val="764AD5C0"/>
    <w:rsid w:val="7671ADAC"/>
    <w:rsid w:val="767BE505"/>
    <w:rsid w:val="768037FF"/>
    <w:rsid w:val="76D4F622"/>
    <w:rsid w:val="7767756B"/>
    <w:rsid w:val="7767A1F5"/>
    <w:rsid w:val="781ACA6B"/>
    <w:rsid w:val="782E8C0F"/>
    <w:rsid w:val="78B55AC4"/>
    <w:rsid w:val="78C71169"/>
    <w:rsid w:val="791FBAC0"/>
    <w:rsid w:val="795CF6FA"/>
    <w:rsid w:val="798B718F"/>
    <w:rsid w:val="799DDE9E"/>
    <w:rsid w:val="7A89E4BC"/>
    <w:rsid w:val="7A93D09A"/>
    <w:rsid w:val="7A985CDF"/>
    <w:rsid w:val="7AB86FFC"/>
    <w:rsid w:val="7AF8C75B"/>
    <w:rsid w:val="7B7D4706"/>
    <w:rsid w:val="7BA0D4C9"/>
    <w:rsid w:val="7BCD4A0C"/>
    <w:rsid w:val="7BDA0E46"/>
    <w:rsid w:val="7C224A3D"/>
    <w:rsid w:val="7C24D8F2"/>
    <w:rsid w:val="7C434314"/>
    <w:rsid w:val="7C693916"/>
    <w:rsid w:val="7C9B2381"/>
    <w:rsid w:val="7D079BE2"/>
    <w:rsid w:val="7D26286E"/>
    <w:rsid w:val="7D5C9AAD"/>
    <w:rsid w:val="7D7F1E45"/>
    <w:rsid w:val="7E036D93"/>
    <w:rsid w:val="7E5A8989"/>
    <w:rsid w:val="7E7EB050"/>
    <w:rsid w:val="7EE89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08829"/>
  <w15:docId w15:val="{11BD18F4-2A57-438D-B836-49CFD22E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D7"/>
    <w:rPr>
      <w:rFonts w:ascii="Verdana" w:hAnsi="Verdana"/>
      <w:color w:val="000000"/>
      <w:sz w:val="24"/>
      <w:szCs w:val="24"/>
      <w:lang w:eastAsia="en-US"/>
    </w:rPr>
  </w:style>
  <w:style w:type="paragraph" w:styleId="Heading1">
    <w:name w:val="heading 1"/>
    <w:basedOn w:val="Normal"/>
    <w:next w:val="Normal"/>
    <w:link w:val="Heading1Char"/>
    <w:qFormat/>
    <w:rsid w:val="008B71A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71A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B71A9"/>
    <w:pPr>
      <w:keepNext/>
      <w:spacing w:before="240" w:after="60"/>
      <w:outlineLvl w:val="2"/>
    </w:pPr>
    <w:rPr>
      <w:rFonts w:ascii="Arial" w:hAnsi="Arial" w:cs="Arial"/>
      <w:b/>
      <w:bCs/>
      <w:color w:val="auto"/>
      <w:sz w:val="26"/>
      <w:szCs w:val="26"/>
    </w:rPr>
  </w:style>
  <w:style w:type="paragraph" w:styleId="Heading4">
    <w:name w:val="heading 4"/>
    <w:basedOn w:val="Normal"/>
    <w:next w:val="Normal"/>
    <w:link w:val="Heading4Char"/>
    <w:qFormat/>
    <w:rsid w:val="008B71A9"/>
    <w:pPr>
      <w:keepNext/>
      <w:spacing w:before="240" w:after="60"/>
      <w:outlineLvl w:val="3"/>
    </w:pPr>
    <w:rPr>
      <w:rFonts w:ascii="Times New Roman" w:hAnsi="Times New Roman"/>
      <w:b/>
      <w:bCs/>
      <w:color w:val="auto"/>
      <w:sz w:val="28"/>
      <w:szCs w:val="28"/>
    </w:rPr>
  </w:style>
  <w:style w:type="paragraph" w:styleId="Heading5">
    <w:name w:val="heading 5"/>
    <w:basedOn w:val="Normal"/>
    <w:next w:val="Normal"/>
    <w:link w:val="Heading5Char"/>
    <w:qFormat/>
    <w:rsid w:val="008B71A9"/>
    <w:pPr>
      <w:keepNext/>
      <w:widowControl w:val="0"/>
      <w:autoSpaceDE w:val="0"/>
      <w:autoSpaceDN w:val="0"/>
      <w:adjustRightInd w:val="0"/>
      <w:ind w:firstLine="567"/>
      <w:outlineLvl w:val="4"/>
    </w:pPr>
    <w:rPr>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6A01"/>
    <w:rPr>
      <w:rFonts w:ascii="Arial" w:hAnsi="Arial" w:cs="Arial"/>
      <w:b/>
      <w:bCs/>
      <w:color w:val="000000"/>
      <w:kern w:val="32"/>
      <w:sz w:val="32"/>
      <w:szCs w:val="32"/>
      <w:lang w:val="en-GB" w:eastAsia="en-US" w:bidi="ar-SA"/>
    </w:rPr>
  </w:style>
  <w:style w:type="character" w:customStyle="1" w:styleId="Heading2Char">
    <w:name w:val="Heading 2 Char"/>
    <w:link w:val="Heading2"/>
    <w:rsid w:val="00886A01"/>
    <w:rPr>
      <w:rFonts w:ascii="Arial" w:hAnsi="Arial" w:cs="Arial"/>
      <w:b/>
      <w:bCs/>
      <w:i/>
      <w:iCs/>
      <w:color w:val="000000"/>
      <w:sz w:val="28"/>
      <w:szCs w:val="28"/>
      <w:lang w:val="en-GB" w:eastAsia="en-US" w:bidi="ar-SA"/>
    </w:rPr>
  </w:style>
  <w:style w:type="character" w:customStyle="1" w:styleId="Heading3Char">
    <w:name w:val="Heading 3 Char"/>
    <w:link w:val="Heading3"/>
    <w:rsid w:val="00886A01"/>
    <w:rPr>
      <w:rFonts w:ascii="Arial" w:hAnsi="Arial" w:cs="Arial"/>
      <w:b/>
      <w:bCs/>
      <w:sz w:val="26"/>
      <w:szCs w:val="26"/>
      <w:lang w:val="en-GB" w:eastAsia="en-US" w:bidi="ar-SA"/>
    </w:rPr>
  </w:style>
  <w:style w:type="character" w:customStyle="1" w:styleId="Heading4Char">
    <w:name w:val="Heading 4 Char"/>
    <w:link w:val="Heading4"/>
    <w:rsid w:val="00886A01"/>
    <w:rPr>
      <w:b/>
      <w:bCs/>
      <w:sz w:val="28"/>
      <w:szCs w:val="28"/>
      <w:lang w:val="en-GB" w:eastAsia="en-US" w:bidi="ar-SA"/>
    </w:rPr>
  </w:style>
  <w:style w:type="character" w:customStyle="1" w:styleId="Heading5Char">
    <w:name w:val="Heading 5 Char"/>
    <w:link w:val="Heading5"/>
    <w:rsid w:val="00886A01"/>
    <w:rPr>
      <w:rFonts w:ascii="Verdana" w:hAnsi="Verdana"/>
      <w:b/>
      <w:sz w:val="22"/>
      <w:szCs w:val="22"/>
      <w:lang w:val="en-GB" w:eastAsia="en-US" w:bidi="ar-SA"/>
    </w:rPr>
  </w:style>
  <w:style w:type="paragraph" w:customStyle="1" w:styleId="HouseStyle1">
    <w:name w:val="House Style1"/>
    <w:basedOn w:val="Normal"/>
    <w:autoRedefine/>
    <w:rsid w:val="008B71A9"/>
    <w:pPr>
      <w:framePr w:wrap="around" w:vAnchor="text" w:hAnchor="text" w:y="1"/>
      <w:tabs>
        <w:tab w:val="left" w:pos="1701"/>
      </w:tabs>
      <w:ind w:left="-120"/>
    </w:pPr>
  </w:style>
  <w:style w:type="paragraph" w:customStyle="1" w:styleId="Style1">
    <w:name w:val="Style1"/>
    <w:basedOn w:val="Normal"/>
    <w:autoRedefine/>
    <w:rsid w:val="008B71A9"/>
    <w:pPr>
      <w:tabs>
        <w:tab w:val="left" w:pos="1701"/>
      </w:tabs>
    </w:pPr>
  </w:style>
  <w:style w:type="paragraph" w:styleId="Footer">
    <w:name w:val="footer"/>
    <w:basedOn w:val="Normal"/>
    <w:link w:val="FooterChar"/>
    <w:uiPriority w:val="99"/>
    <w:rsid w:val="008B71A9"/>
    <w:pPr>
      <w:tabs>
        <w:tab w:val="center" w:pos="4320"/>
        <w:tab w:val="right" w:pos="8640"/>
      </w:tabs>
    </w:pPr>
  </w:style>
  <w:style w:type="character" w:styleId="PageNumber">
    <w:name w:val="page number"/>
    <w:basedOn w:val="DefaultParagraphFont"/>
    <w:rsid w:val="008B71A9"/>
  </w:style>
  <w:style w:type="character" w:styleId="Hyperlink">
    <w:name w:val="Hyperlink"/>
    <w:uiPriority w:val="99"/>
    <w:rsid w:val="008B71A9"/>
    <w:rPr>
      <w:color w:val="0000FF"/>
      <w:u w:val="single"/>
    </w:rPr>
  </w:style>
  <w:style w:type="character" w:customStyle="1" w:styleId="HouseStyle1CharChar">
    <w:name w:val="House Style1 Char Char"/>
    <w:link w:val="HouseStyle1Char"/>
    <w:rsid w:val="008B71A9"/>
    <w:rPr>
      <w:rFonts w:ascii="Verdana" w:hAnsi="Verdana"/>
      <w:color w:val="000000"/>
      <w:sz w:val="24"/>
      <w:szCs w:val="24"/>
      <w:lang w:val="en-GB" w:eastAsia="en-US" w:bidi="ar-SA"/>
    </w:rPr>
  </w:style>
  <w:style w:type="paragraph" w:customStyle="1" w:styleId="HouseStyle1Char">
    <w:name w:val="House Style1 Char"/>
    <w:basedOn w:val="Normal"/>
    <w:link w:val="HouseStyle1CharChar"/>
    <w:autoRedefine/>
    <w:rsid w:val="008B71A9"/>
    <w:pPr>
      <w:framePr w:wrap="around" w:vAnchor="text" w:hAnchor="text" w:y="1"/>
      <w:tabs>
        <w:tab w:val="left" w:pos="1701"/>
      </w:tabs>
      <w:ind w:left="-120"/>
    </w:pPr>
  </w:style>
  <w:style w:type="paragraph" w:styleId="BodyText3">
    <w:name w:val="Body Text 3"/>
    <w:basedOn w:val="Normal"/>
    <w:link w:val="BodyText3Char"/>
    <w:rsid w:val="008B71A9"/>
    <w:pPr>
      <w:ind w:right="44"/>
      <w:jc w:val="both"/>
    </w:pPr>
    <w:rPr>
      <w:rFonts w:ascii="Times New Roman" w:hAnsi="Times New Roman"/>
      <w:color w:val="auto"/>
      <w:szCs w:val="22"/>
    </w:rPr>
  </w:style>
  <w:style w:type="character" w:customStyle="1" w:styleId="BodyText3Char">
    <w:name w:val="Body Text 3 Char"/>
    <w:link w:val="BodyText3"/>
    <w:rsid w:val="00517462"/>
    <w:rPr>
      <w:sz w:val="24"/>
      <w:szCs w:val="22"/>
      <w:lang w:val="en-GB" w:eastAsia="en-US" w:bidi="ar-SA"/>
    </w:rPr>
  </w:style>
  <w:style w:type="table" w:styleId="TableGrid">
    <w:name w:val="Table Grid"/>
    <w:basedOn w:val="TableNormal"/>
    <w:rsid w:val="008B71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B71A9"/>
    <w:rPr>
      <w:sz w:val="16"/>
      <w:szCs w:val="16"/>
    </w:rPr>
  </w:style>
  <w:style w:type="paragraph" w:styleId="CommentText">
    <w:name w:val="annotation text"/>
    <w:basedOn w:val="Normal"/>
    <w:link w:val="CommentTextChar"/>
    <w:rsid w:val="008B71A9"/>
    <w:rPr>
      <w:sz w:val="20"/>
      <w:szCs w:val="20"/>
    </w:rPr>
  </w:style>
  <w:style w:type="paragraph" w:styleId="CommentSubject">
    <w:name w:val="annotation subject"/>
    <w:basedOn w:val="CommentText"/>
    <w:next w:val="CommentText"/>
    <w:semiHidden/>
    <w:rsid w:val="008B71A9"/>
    <w:rPr>
      <w:b/>
      <w:bCs/>
    </w:rPr>
  </w:style>
  <w:style w:type="paragraph" w:styleId="BalloonText">
    <w:name w:val="Balloon Text"/>
    <w:basedOn w:val="Normal"/>
    <w:link w:val="BalloonTextChar"/>
    <w:rsid w:val="008B71A9"/>
    <w:rPr>
      <w:rFonts w:ascii="Tahoma" w:hAnsi="Tahoma" w:cs="Tahoma"/>
      <w:sz w:val="16"/>
      <w:szCs w:val="16"/>
    </w:rPr>
  </w:style>
  <w:style w:type="character" w:styleId="Strong">
    <w:name w:val="Strong"/>
    <w:qFormat/>
    <w:rsid w:val="008B71A9"/>
    <w:rPr>
      <w:b/>
      <w:bCs/>
    </w:rPr>
  </w:style>
  <w:style w:type="paragraph" w:styleId="NormalWeb">
    <w:name w:val="Normal (Web)"/>
    <w:basedOn w:val="Normal"/>
    <w:uiPriority w:val="99"/>
    <w:rsid w:val="008B71A9"/>
    <w:pPr>
      <w:spacing w:before="100" w:beforeAutospacing="1" w:after="100" w:afterAutospacing="1"/>
    </w:pPr>
    <w:rPr>
      <w:rFonts w:ascii="Times New Roman" w:hAnsi="Times New Roman"/>
      <w:color w:val="auto"/>
      <w:lang w:val="en-US"/>
    </w:rPr>
  </w:style>
  <w:style w:type="character" w:styleId="Emphasis">
    <w:name w:val="Emphasis"/>
    <w:qFormat/>
    <w:rsid w:val="008B71A9"/>
    <w:rPr>
      <w:i/>
      <w:iCs/>
    </w:rPr>
  </w:style>
  <w:style w:type="character" w:customStyle="1" w:styleId="doccontentheading1">
    <w:name w:val="doccontentheading1"/>
    <w:rsid w:val="008B71A9"/>
    <w:rPr>
      <w:b/>
      <w:bCs/>
      <w:color w:val="C64934"/>
      <w:sz w:val="17"/>
      <w:szCs w:val="17"/>
    </w:rPr>
  </w:style>
  <w:style w:type="paragraph" w:styleId="Header">
    <w:name w:val="header"/>
    <w:basedOn w:val="Normal"/>
    <w:link w:val="HeaderChar"/>
    <w:uiPriority w:val="99"/>
    <w:rsid w:val="008B71A9"/>
    <w:pPr>
      <w:tabs>
        <w:tab w:val="center" w:pos="4320"/>
        <w:tab w:val="right" w:pos="8640"/>
      </w:tabs>
    </w:pPr>
  </w:style>
  <w:style w:type="paragraph" w:styleId="BodyText">
    <w:name w:val="Body Text"/>
    <w:basedOn w:val="Normal"/>
    <w:link w:val="BodyTextChar"/>
    <w:qFormat/>
    <w:rsid w:val="008B71A9"/>
    <w:pPr>
      <w:spacing w:after="120"/>
    </w:pPr>
  </w:style>
  <w:style w:type="paragraph" w:styleId="BodyText2">
    <w:name w:val="Body Text 2"/>
    <w:basedOn w:val="Normal"/>
    <w:link w:val="BodyText2Char"/>
    <w:rsid w:val="008B71A9"/>
    <w:pPr>
      <w:spacing w:after="120" w:line="480" w:lineRule="auto"/>
    </w:pPr>
  </w:style>
  <w:style w:type="character" w:customStyle="1" w:styleId="BodyText2Char">
    <w:name w:val="Body Text 2 Char"/>
    <w:link w:val="BodyText2"/>
    <w:rsid w:val="00517462"/>
    <w:rPr>
      <w:rFonts w:ascii="Verdana" w:hAnsi="Verdana"/>
      <w:color w:val="000000"/>
      <w:sz w:val="24"/>
      <w:szCs w:val="24"/>
      <w:lang w:val="en-GB" w:eastAsia="en-US" w:bidi="ar-SA"/>
    </w:rPr>
  </w:style>
  <w:style w:type="paragraph" w:styleId="Title">
    <w:name w:val="Title"/>
    <w:basedOn w:val="Normal"/>
    <w:link w:val="TitleChar"/>
    <w:qFormat/>
    <w:rsid w:val="008B71A9"/>
    <w:pPr>
      <w:jc w:val="center"/>
    </w:pPr>
    <w:rPr>
      <w:rFonts w:ascii="Times New Roman" w:hAnsi="Times New Roman"/>
      <w:b/>
      <w:color w:val="auto"/>
      <w:sz w:val="28"/>
      <w:szCs w:val="20"/>
    </w:rPr>
  </w:style>
  <w:style w:type="character" w:customStyle="1" w:styleId="TitleChar">
    <w:name w:val="Title Char"/>
    <w:link w:val="Title"/>
    <w:rsid w:val="00517462"/>
    <w:rPr>
      <w:b/>
      <w:sz w:val="28"/>
      <w:lang w:val="en-GB" w:eastAsia="en-US" w:bidi="ar-SA"/>
    </w:rPr>
  </w:style>
  <w:style w:type="paragraph" w:styleId="BodyTextIndent">
    <w:name w:val="Body Text Indent"/>
    <w:basedOn w:val="Normal"/>
    <w:link w:val="BodyTextIndentChar"/>
    <w:rsid w:val="008B71A9"/>
    <w:pPr>
      <w:spacing w:after="120"/>
      <w:ind w:left="283"/>
    </w:pPr>
  </w:style>
  <w:style w:type="paragraph" w:styleId="BodyTextIndent3">
    <w:name w:val="Body Text Indent 3"/>
    <w:basedOn w:val="Normal"/>
    <w:link w:val="BodyTextIndent3Char"/>
    <w:rsid w:val="008B71A9"/>
    <w:pPr>
      <w:spacing w:after="120"/>
      <w:ind w:left="283"/>
    </w:pPr>
    <w:rPr>
      <w:sz w:val="16"/>
      <w:szCs w:val="16"/>
    </w:rPr>
  </w:style>
  <w:style w:type="character" w:customStyle="1" w:styleId="BodyTextIndent3Char">
    <w:name w:val="Body Text Indent 3 Char"/>
    <w:link w:val="BodyTextIndent3"/>
    <w:rsid w:val="00517462"/>
    <w:rPr>
      <w:rFonts w:ascii="Verdana" w:hAnsi="Verdana"/>
      <w:color w:val="000000"/>
      <w:sz w:val="16"/>
      <w:szCs w:val="16"/>
      <w:lang w:val="en-GB" w:eastAsia="en-US" w:bidi="ar-SA"/>
    </w:rPr>
  </w:style>
  <w:style w:type="paragraph" w:styleId="BodyTextIndent2">
    <w:name w:val="Body Text Indent 2"/>
    <w:basedOn w:val="Normal"/>
    <w:link w:val="BodyTextIndent2Char"/>
    <w:rsid w:val="008B71A9"/>
    <w:pPr>
      <w:spacing w:after="120" w:line="480" w:lineRule="auto"/>
      <w:ind w:left="283"/>
    </w:pPr>
    <w:rPr>
      <w:rFonts w:ascii="Times New Roman" w:hAnsi="Times New Roman"/>
      <w:color w:val="auto"/>
    </w:rPr>
  </w:style>
  <w:style w:type="character" w:customStyle="1" w:styleId="BodyTextIndent2Char">
    <w:name w:val="Body Text Indent 2 Char"/>
    <w:link w:val="BodyTextIndent2"/>
    <w:rsid w:val="00517462"/>
    <w:rPr>
      <w:sz w:val="24"/>
      <w:szCs w:val="24"/>
      <w:lang w:val="en-GB" w:eastAsia="en-US" w:bidi="ar-SA"/>
    </w:rPr>
  </w:style>
  <w:style w:type="character" w:styleId="FollowedHyperlink">
    <w:name w:val="FollowedHyperlink"/>
    <w:rsid w:val="008B71A9"/>
    <w:rPr>
      <w:color w:val="800080"/>
      <w:u w:val="single"/>
    </w:rPr>
  </w:style>
  <w:style w:type="paragraph" w:customStyle="1" w:styleId="sectionpara">
    <w:name w:val="sectionpara"/>
    <w:basedOn w:val="Normal"/>
    <w:rsid w:val="008B71A9"/>
    <w:pPr>
      <w:spacing w:after="240"/>
    </w:pPr>
    <w:rPr>
      <w:rFonts w:ascii="Arial" w:hAnsi="Arial" w:cs="Arial"/>
      <w:color w:val="auto"/>
      <w:lang w:val="en-US"/>
    </w:rPr>
  </w:style>
  <w:style w:type="paragraph" w:customStyle="1" w:styleId="H3">
    <w:name w:val="H3"/>
    <w:basedOn w:val="Normal"/>
    <w:next w:val="Normal"/>
    <w:rsid w:val="008B71A9"/>
    <w:pPr>
      <w:keepNext/>
      <w:spacing w:before="100" w:after="100"/>
      <w:outlineLvl w:val="3"/>
    </w:pPr>
    <w:rPr>
      <w:rFonts w:ascii="Times New Roman" w:hAnsi="Times New Roman"/>
      <w:b/>
      <w:snapToGrid w:val="0"/>
      <w:color w:val="auto"/>
      <w:sz w:val="28"/>
      <w:szCs w:val="20"/>
    </w:rPr>
  </w:style>
  <w:style w:type="paragraph" w:customStyle="1" w:styleId="DefinitionTerm">
    <w:name w:val="Definition Term"/>
    <w:basedOn w:val="Normal"/>
    <w:next w:val="Normal"/>
    <w:rsid w:val="008B71A9"/>
    <w:rPr>
      <w:rFonts w:ascii="Times New Roman" w:hAnsi="Times New Roman"/>
      <w:snapToGrid w:val="0"/>
      <w:color w:val="auto"/>
      <w:szCs w:val="20"/>
    </w:rPr>
  </w:style>
  <w:style w:type="paragraph" w:styleId="FootnoteText">
    <w:name w:val="footnote text"/>
    <w:aliases w:val="Footnote Text Char2,Footnote Text Char Char1,Footnote Text Char1 Char Char,Footnote Text Char Char Char Char,Footnote Text Char2 Char1 Char Char Char,Footnote Text Char1 Char1 Char1 Char Char Char,Footnote Text Char1,Footnote Text Char Cha"/>
    <w:basedOn w:val="Normal"/>
    <w:link w:val="FootnoteTextChar"/>
    <w:uiPriority w:val="99"/>
    <w:semiHidden/>
    <w:rsid w:val="008B71A9"/>
    <w:rPr>
      <w:rFonts w:ascii="Times New Roman" w:hAnsi="Times New Roman"/>
      <w:color w:val="auto"/>
      <w:sz w:val="20"/>
      <w:szCs w:val="20"/>
      <w:lang w:eastAsia="en-GB"/>
    </w:rPr>
  </w:style>
  <w:style w:type="character" w:customStyle="1" w:styleId="FootnoteTextChar">
    <w:name w:val="Footnote Text Char"/>
    <w:aliases w:val="Footnote Text Char2 Char,Footnote Text Char Char1 Char,Footnote Text Char1 Char Char Char,Footnote Text Char Char Char Char Char,Footnote Text Char2 Char1 Char Char Char Char,Footnote Text Char1 Char1 Char1 Char Char Char Char"/>
    <w:link w:val="FootnoteText"/>
    <w:uiPriority w:val="99"/>
    <w:rsid w:val="00517462"/>
    <w:rPr>
      <w:lang w:val="en-GB" w:eastAsia="en-GB" w:bidi="ar-SA"/>
    </w:rPr>
  </w:style>
  <w:style w:type="paragraph" w:customStyle="1" w:styleId="Default">
    <w:name w:val="Default"/>
    <w:rsid w:val="008B71A9"/>
    <w:pPr>
      <w:autoSpaceDE w:val="0"/>
      <w:autoSpaceDN w:val="0"/>
      <w:adjustRightInd w:val="0"/>
    </w:pPr>
    <w:rPr>
      <w:rFonts w:ascii="Arial" w:hAnsi="Arial" w:cs="Arial"/>
      <w:color w:val="000000"/>
      <w:sz w:val="24"/>
      <w:szCs w:val="24"/>
      <w:lang w:val="en-US" w:eastAsia="en-US"/>
    </w:rPr>
  </w:style>
  <w:style w:type="paragraph" w:customStyle="1" w:styleId="Style3">
    <w:name w:val="Style 3"/>
    <w:basedOn w:val="Default"/>
    <w:next w:val="Default"/>
    <w:rsid w:val="008B71A9"/>
    <w:pPr>
      <w:spacing w:before="240" w:after="60"/>
    </w:pPr>
    <w:rPr>
      <w:rFonts w:cs="Times New Roman"/>
      <w:color w:val="auto"/>
    </w:rPr>
  </w:style>
  <w:style w:type="paragraph" w:customStyle="1" w:styleId="NormalWeb2">
    <w:name w:val="Normal (Web)2"/>
    <w:basedOn w:val="Normal"/>
    <w:rsid w:val="008B71A9"/>
    <w:pPr>
      <w:spacing w:before="100" w:beforeAutospacing="1" w:after="100" w:afterAutospacing="1"/>
    </w:pPr>
    <w:rPr>
      <w:rFonts w:ascii="Times New Roman" w:hAnsi="Times New Roman"/>
      <w:color w:val="auto"/>
      <w:lang w:val="en-US"/>
    </w:rPr>
  </w:style>
  <w:style w:type="character" w:customStyle="1" w:styleId="EmailStyle58">
    <w:name w:val="EmailStyle58"/>
    <w:semiHidden/>
    <w:rsid w:val="0009306C"/>
    <w:rPr>
      <w:rFonts w:ascii="Verdana" w:hAnsi="Verdana" w:hint="default"/>
      <w:b w:val="0"/>
      <w:bCs w:val="0"/>
      <w:i w:val="0"/>
      <w:iCs w:val="0"/>
      <w:strike w:val="0"/>
      <w:dstrike w:val="0"/>
      <w:color w:val="auto"/>
      <w:sz w:val="24"/>
      <w:szCs w:val="24"/>
      <w:u w:val="none"/>
      <w:effect w:val="none"/>
    </w:rPr>
  </w:style>
  <w:style w:type="paragraph" w:styleId="PlainText">
    <w:name w:val="Plain Text"/>
    <w:basedOn w:val="Normal"/>
    <w:link w:val="PlainTextChar"/>
    <w:uiPriority w:val="99"/>
    <w:rsid w:val="000E7801"/>
    <w:rPr>
      <w:rFonts w:ascii="Arial" w:hAnsi="Arial" w:cs="Tahoma"/>
      <w:color w:val="auto"/>
      <w:sz w:val="28"/>
      <w:szCs w:val="20"/>
    </w:rPr>
  </w:style>
  <w:style w:type="character" w:customStyle="1" w:styleId="PlainTextChar">
    <w:name w:val="Plain Text Char"/>
    <w:link w:val="PlainText"/>
    <w:uiPriority w:val="99"/>
    <w:rsid w:val="00886A01"/>
    <w:rPr>
      <w:rFonts w:ascii="Arial" w:hAnsi="Arial" w:cs="Tahoma"/>
      <w:sz w:val="28"/>
      <w:lang w:val="en-GB" w:eastAsia="en-US" w:bidi="ar-SA"/>
    </w:rPr>
  </w:style>
  <w:style w:type="character" w:customStyle="1" w:styleId="td">
    <w:name w:val="td"/>
    <w:basedOn w:val="DefaultParagraphFont"/>
    <w:rsid w:val="00F244A1"/>
  </w:style>
  <w:style w:type="paragraph" w:customStyle="1" w:styleId="text">
    <w:name w:val="text"/>
    <w:basedOn w:val="Normal"/>
    <w:rsid w:val="00F244A1"/>
    <w:pPr>
      <w:spacing w:after="280" w:line="280" w:lineRule="atLeast"/>
    </w:pPr>
    <w:rPr>
      <w:rFonts w:ascii="Times" w:eastAsia="Times" w:hAnsi="Times"/>
      <w:color w:val="auto"/>
      <w:szCs w:val="20"/>
    </w:rPr>
  </w:style>
  <w:style w:type="paragraph" w:customStyle="1" w:styleId="a">
    <w:name w:val="a"/>
    <w:aliases w:val="b,c"/>
    <w:basedOn w:val="Normal"/>
    <w:autoRedefine/>
    <w:rsid w:val="00F244A1"/>
    <w:pPr>
      <w:widowControl w:val="0"/>
      <w:numPr>
        <w:numId w:val="3"/>
      </w:numPr>
      <w:tabs>
        <w:tab w:val="left" w:pos="720"/>
        <w:tab w:val="left" w:pos="1440"/>
      </w:tabs>
      <w:spacing w:before="144" w:after="144"/>
      <w:jc w:val="both"/>
    </w:pPr>
    <w:rPr>
      <w:rFonts w:ascii="Times New Roman" w:hAnsi="Times New Roman"/>
      <w:snapToGrid w:val="0"/>
      <w:sz w:val="22"/>
      <w:szCs w:val="20"/>
      <w:lang w:val="en-IE"/>
    </w:rPr>
  </w:style>
  <w:style w:type="character" w:customStyle="1" w:styleId="apple-style-span">
    <w:name w:val="apple-style-span"/>
    <w:basedOn w:val="DefaultParagraphFont"/>
    <w:rsid w:val="00517462"/>
  </w:style>
  <w:style w:type="character" w:customStyle="1" w:styleId="apple-converted-space">
    <w:name w:val="apple-converted-space"/>
    <w:basedOn w:val="DefaultParagraphFont"/>
    <w:rsid w:val="00517462"/>
  </w:style>
  <w:style w:type="paragraph" w:styleId="DocumentMap">
    <w:name w:val="Document Map"/>
    <w:basedOn w:val="Normal"/>
    <w:link w:val="DocumentMapChar"/>
    <w:rsid w:val="00517462"/>
    <w:pPr>
      <w:shd w:val="clear" w:color="auto" w:fill="000080"/>
    </w:pPr>
    <w:rPr>
      <w:rFonts w:ascii="Tahoma" w:hAnsi="Tahoma" w:cs="Tahoma"/>
      <w:color w:val="auto"/>
      <w:sz w:val="20"/>
      <w:szCs w:val="20"/>
    </w:rPr>
  </w:style>
  <w:style w:type="character" w:customStyle="1" w:styleId="DocumentMapChar">
    <w:name w:val="Document Map Char"/>
    <w:link w:val="DocumentMap"/>
    <w:rsid w:val="00886A01"/>
    <w:rPr>
      <w:rFonts w:ascii="Tahoma" w:hAnsi="Tahoma" w:cs="Tahoma"/>
      <w:lang w:val="en-GB" w:eastAsia="en-US" w:bidi="ar-SA"/>
    </w:rPr>
  </w:style>
  <w:style w:type="character" w:customStyle="1" w:styleId="doccontentheading">
    <w:name w:val="doccontentheading"/>
    <w:basedOn w:val="DefaultParagraphFont"/>
    <w:rsid w:val="00517462"/>
  </w:style>
  <w:style w:type="character" w:customStyle="1" w:styleId="mcontent">
    <w:name w:val="mcontent"/>
    <w:basedOn w:val="DefaultParagraphFont"/>
    <w:rsid w:val="00517462"/>
  </w:style>
  <w:style w:type="character" w:customStyle="1" w:styleId="CharChar12">
    <w:name w:val="Char Char12"/>
    <w:rsid w:val="00886A01"/>
    <w:rPr>
      <w:rFonts w:ascii="Arial" w:hAnsi="Arial" w:cs="Arial"/>
      <w:b/>
      <w:bCs/>
      <w:color w:val="000000"/>
      <w:kern w:val="32"/>
      <w:sz w:val="32"/>
      <w:szCs w:val="32"/>
      <w:lang w:val="en-GB" w:eastAsia="en-US" w:bidi="ar-SA"/>
    </w:rPr>
  </w:style>
  <w:style w:type="character" w:customStyle="1" w:styleId="BodyTextCharChar">
    <w:name w:val="BodyText Char Char"/>
    <w:link w:val="BodyText0"/>
    <w:rsid w:val="005C4DD5"/>
    <w:rPr>
      <w:rFonts w:ascii="Arial" w:hAnsi="Arial"/>
      <w:color w:val="3F454B"/>
      <w:lang w:val="en-GB" w:eastAsia="en-US" w:bidi="ar-SA"/>
    </w:rPr>
  </w:style>
  <w:style w:type="paragraph" w:customStyle="1" w:styleId="BodyText0">
    <w:name w:val="BodyText"/>
    <w:link w:val="BodyTextCharChar"/>
    <w:rsid w:val="005C4DD5"/>
    <w:pPr>
      <w:tabs>
        <w:tab w:val="left" w:pos="1080"/>
      </w:tabs>
      <w:adjustRightInd w:val="0"/>
      <w:spacing w:after="170" w:line="280" w:lineRule="exact"/>
      <w:textAlignment w:val="baseline"/>
    </w:pPr>
    <w:rPr>
      <w:rFonts w:ascii="Arial" w:hAnsi="Arial"/>
      <w:color w:val="3F454B"/>
      <w:lang w:eastAsia="en-US"/>
    </w:rPr>
  </w:style>
  <w:style w:type="character" w:customStyle="1" w:styleId="Slogan">
    <w:name w:val="Slogan"/>
    <w:rsid w:val="005C4DD5"/>
    <w:rPr>
      <w:i/>
      <w:spacing w:val="-6"/>
      <w:sz w:val="24"/>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EB3E1A"/>
    <w:pPr>
      <w:ind w:left="720"/>
    </w:pPr>
  </w:style>
  <w:style w:type="character" w:customStyle="1" w:styleId="FooterChar">
    <w:name w:val="Footer Char"/>
    <w:link w:val="Footer"/>
    <w:uiPriority w:val="99"/>
    <w:rsid w:val="00692D04"/>
    <w:rPr>
      <w:rFonts w:ascii="Verdana" w:hAnsi="Verdana"/>
      <w:color w:val="000000"/>
      <w:sz w:val="24"/>
      <w:szCs w:val="24"/>
      <w:lang w:eastAsia="en-US"/>
    </w:rPr>
  </w:style>
  <w:style w:type="character" w:styleId="FootnoteReference">
    <w:name w:val="footnote reference"/>
    <w:rsid w:val="00E4615D"/>
    <w:rPr>
      <w:vertAlign w:val="superscript"/>
    </w:rPr>
  </w:style>
  <w:style w:type="character" w:customStyle="1" w:styleId="HeaderChar">
    <w:name w:val="Header Char"/>
    <w:link w:val="Header"/>
    <w:uiPriority w:val="99"/>
    <w:rsid w:val="00444E60"/>
    <w:rPr>
      <w:rFonts w:ascii="Verdana" w:hAnsi="Verdana"/>
      <w:color w:val="000000"/>
      <w:sz w:val="24"/>
      <w:szCs w:val="24"/>
      <w:lang w:eastAsia="en-US"/>
    </w:rPr>
  </w:style>
  <w:style w:type="character" w:customStyle="1" w:styleId="BodyTextChar">
    <w:name w:val="Body Text Char"/>
    <w:link w:val="BodyText"/>
    <w:rsid w:val="00444E60"/>
    <w:rPr>
      <w:rFonts w:ascii="Verdana" w:hAnsi="Verdana"/>
      <w:color w:val="000000"/>
      <w:sz w:val="24"/>
      <w:szCs w:val="24"/>
      <w:lang w:eastAsia="en-US"/>
    </w:rPr>
  </w:style>
  <w:style w:type="character" w:customStyle="1" w:styleId="BodyTextIndentChar">
    <w:name w:val="Body Text Indent Char"/>
    <w:link w:val="BodyTextIndent"/>
    <w:rsid w:val="00444E60"/>
    <w:rPr>
      <w:rFonts w:ascii="Verdana" w:hAnsi="Verdana"/>
      <w:color w:val="000000"/>
      <w:sz w:val="24"/>
      <w:szCs w:val="24"/>
      <w:lang w:eastAsia="en-US"/>
    </w:rPr>
  </w:style>
  <w:style w:type="character" w:customStyle="1" w:styleId="BalloonTextChar">
    <w:name w:val="Balloon Text Char"/>
    <w:link w:val="BalloonText"/>
    <w:rsid w:val="00444E60"/>
    <w:rPr>
      <w:rFonts w:ascii="Tahoma" w:hAnsi="Tahoma" w:cs="Tahoma"/>
      <w:color w:val="000000"/>
      <w:sz w:val="16"/>
      <w:szCs w:val="16"/>
      <w:lang w:eastAsia="en-US"/>
    </w:rPr>
  </w:style>
  <w:style w:type="paragraph" w:styleId="Revision">
    <w:name w:val="Revision"/>
    <w:hidden/>
    <w:uiPriority w:val="99"/>
    <w:semiHidden/>
    <w:rsid w:val="005630C2"/>
    <w:rPr>
      <w:rFonts w:ascii="Verdana" w:hAnsi="Verdana"/>
      <w:color w:val="000000"/>
      <w:sz w:val="24"/>
      <w:szCs w:val="24"/>
      <w:lang w:eastAsia="en-US"/>
    </w:rPr>
  </w:style>
  <w:style w:type="character" w:customStyle="1" w:styleId="CommentTextChar">
    <w:name w:val="Comment Text Char"/>
    <w:basedOn w:val="DefaultParagraphFont"/>
    <w:link w:val="CommentText"/>
    <w:rsid w:val="006C693F"/>
    <w:rPr>
      <w:rFonts w:ascii="Verdana" w:hAnsi="Verdana"/>
      <w:color w:val="000000"/>
      <w:lang w:eastAsia="en-US"/>
    </w:rPr>
  </w:style>
  <w:style w:type="paragraph" w:customStyle="1" w:styleId="Pa7">
    <w:name w:val="Pa7"/>
    <w:basedOn w:val="Normal"/>
    <w:next w:val="Normal"/>
    <w:uiPriority w:val="99"/>
    <w:rsid w:val="0073049C"/>
    <w:pPr>
      <w:autoSpaceDE w:val="0"/>
      <w:autoSpaceDN w:val="0"/>
      <w:adjustRightInd w:val="0"/>
      <w:spacing w:line="181" w:lineRule="atLeast"/>
    </w:pPr>
    <w:rPr>
      <w:rFonts w:ascii="Frutiger LT Std 45 Light" w:eastAsia="Calibri" w:hAnsi="Frutiger LT Std 45 Light"/>
      <w:color w:val="auto"/>
    </w:rPr>
  </w:style>
  <w:style w:type="paragraph" w:styleId="NoSpacing">
    <w:name w:val="No Spacing"/>
    <w:link w:val="NoSpacingChar"/>
    <w:uiPriority w:val="1"/>
    <w:qFormat/>
    <w:rsid w:val="006A739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A739C"/>
    <w:rPr>
      <w:rFonts w:asciiTheme="minorHAnsi" w:eastAsiaTheme="minorEastAsia" w:hAnsiTheme="minorHAnsi" w:cstheme="minorBidi"/>
      <w:sz w:val="22"/>
      <w:szCs w:val="22"/>
      <w:lang w:val="en-US" w:eastAsia="ja-JP"/>
    </w:rPr>
  </w:style>
  <w:style w:type="character" w:styleId="LineNumber">
    <w:name w:val="line number"/>
    <w:basedOn w:val="DefaultParagraphFont"/>
    <w:rsid w:val="00D16A29"/>
  </w:style>
  <w:style w:type="paragraph" w:customStyle="1" w:styleId="BasicParagraph">
    <w:name w:val="[Basic Paragraph]"/>
    <w:basedOn w:val="Normal"/>
    <w:uiPriority w:val="99"/>
    <w:rsid w:val="007117EA"/>
    <w:pPr>
      <w:widowControl w:val="0"/>
      <w:autoSpaceDE w:val="0"/>
      <w:autoSpaceDN w:val="0"/>
      <w:adjustRightInd w:val="0"/>
      <w:spacing w:line="288" w:lineRule="auto"/>
      <w:textAlignment w:val="center"/>
    </w:pPr>
    <w:rPr>
      <w:rFonts w:ascii="MinionPro-Regular" w:eastAsiaTheme="minorEastAsia" w:hAnsi="MinionPro-Regular" w:cs="MinionPro-Regular"/>
    </w:rPr>
  </w:style>
  <w:style w:type="paragraph" w:customStyle="1" w:styleId="NIHRCFootnotes">
    <w:name w:val="NIHRC Footnotes"/>
    <w:basedOn w:val="Normal"/>
    <w:qFormat/>
    <w:rsid w:val="0045027A"/>
    <w:pPr>
      <w:tabs>
        <w:tab w:val="left" w:pos="284"/>
      </w:tabs>
    </w:pPr>
    <w:rPr>
      <w:rFonts w:eastAsiaTheme="minorEastAsia" w:cs="Arial"/>
      <w:color w:val="77328A"/>
      <w:sz w:val="16"/>
      <w:szCs w:val="16"/>
    </w:rPr>
  </w:style>
  <w:style w:type="paragraph" w:customStyle="1" w:styleId="BoxHeading">
    <w:name w:val="Box Heading"/>
    <w:basedOn w:val="Normal"/>
    <w:next w:val="Normal"/>
    <w:qFormat/>
    <w:rsid w:val="00F0089C"/>
    <w:pPr>
      <w:keepLines/>
      <w:spacing w:after="113" w:line="300" w:lineRule="exact"/>
      <w:outlineLvl w:val="1"/>
    </w:pPr>
    <w:rPr>
      <w:rFonts w:ascii="Futura Bk BT" w:eastAsiaTheme="minorHAnsi" w:hAnsi="Futura Bk BT" w:cstheme="minorBidi"/>
      <w:color w:val="4F81BD" w:themeColor="accent1"/>
      <w:sz w:val="26"/>
    </w:rPr>
  </w:style>
  <w:style w:type="numbering" w:customStyle="1" w:styleId="OBRChapterNumbers">
    <w:name w:val="OBR Chapter Numbers"/>
    <w:basedOn w:val="NoList"/>
    <w:uiPriority w:val="99"/>
    <w:rsid w:val="00F0089C"/>
    <w:pPr>
      <w:numPr>
        <w:numId w:val="13"/>
      </w:numPr>
    </w:pPr>
  </w:style>
  <w:style w:type="paragraph" w:customStyle="1" w:styleId="ChartHeading">
    <w:name w:val="Chart Heading"/>
    <w:basedOn w:val="Normal"/>
    <w:next w:val="Normal"/>
    <w:qFormat/>
    <w:rsid w:val="00F0089C"/>
    <w:pPr>
      <w:keepNext/>
      <w:keepLines/>
      <w:spacing w:after="113" w:line="300" w:lineRule="exact"/>
      <w:outlineLvl w:val="1"/>
    </w:pPr>
    <w:rPr>
      <w:rFonts w:ascii="Futura Bk BT" w:eastAsiaTheme="minorHAnsi" w:hAnsi="Futura Bk BT" w:cstheme="minorBidi"/>
      <w:color w:val="4F81BD" w:themeColor="accent1"/>
      <w:sz w:val="26"/>
    </w:rPr>
  </w:style>
  <w:style w:type="paragraph" w:customStyle="1" w:styleId="FigureHeading">
    <w:name w:val="Figure Heading"/>
    <w:basedOn w:val="Normal"/>
    <w:next w:val="Normal"/>
    <w:qFormat/>
    <w:rsid w:val="00F0089C"/>
    <w:pPr>
      <w:keepNext/>
      <w:keepLines/>
      <w:spacing w:after="113" w:line="300" w:lineRule="exact"/>
      <w:outlineLvl w:val="1"/>
    </w:pPr>
    <w:rPr>
      <w:rFonts w:ascii="Futura Bk BT" w:eastAsiaTheme="minorHAnsi" w:hAnsi="Futura Bk BT" w:cstheme="minorBidi"/>
      <w:color w:val="4F81BD" w:themeColor="accent1"/>
      <w:sz w:val="26"/>
    </w:rPr>
  </w:style>
  <w:style w:type="paragraph" w:customStyle="1" w:styleId="TableHeading">
    <w:name w:val="Table Heading"/>
    <w:basedOn w:val="Normal"/>
    <w:next w:val="Normal"/>
    <w:qFormat/>
    <w:rsid w:val="00F0089C"/>
    <w:pPr>
      <w:keepNext/>
      <w:keepLines/>
      <w:spacing w:after="113" w:line="300" w:lineRule="exact"/>
      <w:outlineLvl w:val="1"/>
    </w:pPr>
    <w:rPr>
      <w:rFonts w:ascii="Futura Bk BT" w:eastAsiaTheme="minorHAnsi" w:hAnsi="Futura Bk BT" w:cstheme="minorBidi"/>
      <w:color w:val="4F81BD" w:themeColor="accent1"/>
      <w:sz w:val="26"/>
    </w:rPr>
  </w:style>
  <w:style w:type="paragraph" w:customStyle="1" w:styleId="Standard">
    <w:name w:val="Standard"/>
    <w:rsid w:val="00C6256C"/>
    <w:pPr>
      <w:widowControl w:val="0"/>
      <w:suppressAutoHyphens/>
      <w:autoSpaceDN w:val="0"/>
      <w:textAlignment w:val="baseline"/>
    </w:pPr>
    <w:rPr>
      <w:rFonts w:eastAsia="SimSun" w:cs="Mangal"/>
      <w:kern w:val="3"/>
      <w:sz w:val="24"/>
      <w:szCs w:val="24"/>
      <w:lang w:eastAsia="zh-CN" w:bidi="hi-IN"/>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627E1D"/>
    <w:rPr>
      <w:rFonts w:ascii="Verdana" w:hAnsi="Verdana"/>
      <w:color w:val="000000"/>
      <w:sz w:val="24"/>
      <w:szCs w:val="24"/>
      <w:lang w:eastAsia="en-US"/>
    </w:rPr>
  </w:style>
  <w:style w:type="character" w:styleId="SubtleEmphasis">
    <w:name w:val="Subtle Emphasis"/>
    <w:basedOn w:val="DefaultParagraphFont"/>
    <w:uiPriority w:val="19"/>
    <w:qFormat/>
    <w:rsid w:val="00DC2DA5"/>
    <w:rPr>
      <w:i/>
      <w:iCs/>
      <w:color w:val="404040" w:themeColor="text1" w:themeTint="BF"/>
    </w:rPr>
  </w:style>
  <w:style w:type="paragraph" w:styleId="Subtitle">
    <w:name w:val="Subtitle"/>
    <w:basedOn w:val="Normal"/>
    <w:next w:val="Normal"/>
    <w:link w:val="SubtitleChar"/>
    <w:uiPriority w:val="11"/>
    <w:qFormat/>
    <w:rsid w:val="00DC2DA5"/>
    <w:pPr>
      <w:numPr>
        <w:ilvl w:val="1"/>
      </w:numPr>
      <w:spacing w:after="160"/>
    </w:pPr>
    <w:rPr>
      <w:rFonts w:asciiTheme="minorHAnsi" w:eastAsiaTheme="minorEastAsia" w:hAnsiTheme="minorHAnsi" w:cstheme="minorBidi"/>
      <w:color w:val="5A5A5A" w:themeColor="text1" w:themeTint="A5"/>
      <w:spacing w:val="15"/>
      <w:sz w:val="22"/>
      <w:szCs w:val="20"/>
      <w:lang w:eastAsia="en-GB" w:bidi="ne-NP"/>
    </w:rPr>
  </w:style>
  <w:style w:type="character" w:customStyle="1" w:styleId="SubtitleChar">
    <w:name w:val="Subtitle Char"/>
    <w:basedOn w:val="DefaultParagraphFont"/>
    <w:link w:val="Subtitle"/>
    <w:uiPriority w:val="11"/>
    <w:rsid w:val="00DC2DA5"/>
    <w:rPr>
      <w:rFonts w:asciiTheme="minorHAnsi" w:eastAsiaTheme="minorEastAsia" w:hAnsiTheme="minorHAnsi" w:cstheme="minorBidi"/>
      <w:color w:val="5A5A5A" w:themeColor="text1" w:themeTint="A5"/>
      <w:spacing w:val="15"/>
      <w:sz w:val="22"/>
      <w:lang w:bidi="ne-NP"/>
    </w:rPr>
  </w:style>
  <w:style w:type="paragraph" w:styleId="ListBullet">
    <w:name w:val="List Bullet"/>
    <w:basedOn w:val="Normal"/>
    <w:uiPriority w:val="99"/>
    <w:semiHidden/>
    <w:unhideWhenUsed/>
    <w:rsid w:val="00DC2DA5"/>
    <w:pPr>
      <w:numPr>
        <w:numId w:val="25"/>
      </w:numPr>
      <w:contextualSpacing/>
    </w:pPr>
    <w:rPr>
      <w:rFonts w:ascii="Arial" w:hAnsi="Arial" w:cs="Mangal"/>
      <w:color w:val="auto"/>
      <w:sz w:val="20"/>
      <w:szCs w:val="18"/>
      <w:lang w:eastAsia="en-GB"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3251">
      <w:bodyDiv w:val="1"/>
      <w:marLeft w:val="0"/>
      <w:marRight w:val="0"/>
      <w:marTop w:val="0"/>
      <w:marBottom w:val="0"/>
      <w:divBdr>
        <w:top w:val="none" w:sz="0" w:space="0" w:color="auto"/>
        <w:left w:val="none" w:sz="0" w:space="0" w:color="auto"/>
        <w:bottom w:val="none" w:sz="0" w:space="0" w:color="auto"/>
        <w:right w:val="none" w:sz="0" w:space="0" w:color="auto"/>
      </w:divBdr>
    </w:div>
    <w:div w:id="113909938">
      <w:bodyDiv w:val="1"/>
      <w:marLeft w:val="0"/>
      <w:marRight w:val="0"/>
      <w:marTop w:val="0"/>
      <w:marBottom w:val="0"/>
      <w:divBdr>
        <w:top w:val="none" w:sz="0" w:space="0" w:color="auto"/>
        <w:left w:val="none" w:sz="0" w:space="0" w:color="auto"/>
        <w:bottom w:val="none" w:sz="0" w:space="0" w:color="auto"/>
        <w:right w:val="none" w:sz="0" w:space="0" w:color="auto"/>
      </w:divBdr>
    </w:div>
    <w:div w:id="114108299">
      <w:bodyDiv w:val="1"/>
      <w:marLeft w:val="0"/>
      <w:marRight w:val="0"/>
      <w:marTop w:val="0"/>
      <w:marBottom w:val="0"/>
      <w:divBdr>
        <w:top w:val="none" w:sz="0" w:space="0" w:color="auto"/>
        <w:left w:val="none" w:sz="0" w:space="0" w:color="auto"/>
        <w:bottom w:val="none" w:sz="0" w:space="0" w:color="auto"/>
        <w:right w:val="none" w:sz="0" w:space="0" w:color="auto"/>
      </w:divBdr>
      <w:divsChild>
        <w:div w:id="653602647">
          <w:marLeft w:val="547"/>
          <w:marRight w:val="0"/>
          <w:marTop w:val="0"/>
          <w:marBottom w:val="120"/>
          <w:divBdr>
            <w:top w:val="none" w:sz="0" w:space="0" w:color="auto"/>
            <w:left w:val="none" w:sz="0" w:space="0" w:color="auto"/>
            <w:bottom w:val="none" w:sz="0" w:space="0" w:color="auto"/>
            <w:right w:val="none" w:sz="0" w:space="0" w:color="auto"/>
          </w:divBdr>
        </w:div>
        <w:div w:id="1907177970">
          <w:marLeft w:val="547"/>
          <w:marRight w:val="0"/>
          <w:marTop w:val="0"/>
          <w:marBottom w:val="120"/>
          <w:divBdr>
            <w:top w:val="none" w:sz="0" w:space="0" w:color="auto"/>
            <w:left w:val="none" w:sz="0" w:space="0" w:color="auto"/>
            <w:bottom w:val="none" w:sz="0" w:space="0" w:color="auto"/>
            <w:right w:val="none" w:sz="0" w:space="0" w:color="auto"/>
          </w:divBdr>
        </w:div>
      </w:divsChild>
    </w:div>
    <w:div w:id="183133582">
      <w:bodyDiv w:val="1"/>
      <w:marLeft w:val="0"/>
      <w:marRight w:val="0"/>
      <w:marTop w:val="0"/>
      <w:marBottom w:val="0"/>
      <w:divBdr>
        <w:top w:val="none" w:sz="0" w:space="0" w:color="auto"/>
        <w:left w:val="none" w:sz="0" w:space="0" w:color="auto"/>
        <w:bottom w:val="none" w:sz="0" w:space="0" w:color="auto"/>
        <w:right w:val="none" w:sz="0" w:space="0" w:color="auto"/>
      </w:divBdr>
    </w:div>
    <w:div w:id="206726071">
      <w:bodyDiv w:val="1"/>
      <w:marLeft w:val="0"/>
      <w:marRight w:val="0"/>
      <w:marTop w:val="0"/>
      <w:marBottom w:val="0"/>
      <w:divBdr>
        <w:top w:val="none" w:sz="0" w:space="0" w:color="auto"/>
        <w:left w:val="none" w:sz="0" w:space="0" w:color="auto"/>
        <w:bottom w:val="none" w:sz="0" w:space="0" w:color="auto"/>
        <w:right w:val="none" w:sz="0" w:space="0" w:color="auto"/>
      </w:divBdr>
    </w:div>
    <w:div w:id="263271139">
      <w:bodyDiv w:val="1"/>
      <w:marLeft w:val="0"/>
      <w:marRight w:val="0"/>
      <w:marTop w:val="0"/>
      <w:marBottom w:val="0"/>
      <w:divBdr>
        <w:top w:val="none" w:sz="0" w:space="0" w:color="auto"/>
        <w:left w:val="none" w:sz="0" w:space="0" w:color="auto"/>
        <w:bottom w:val="none" w:sz="0" w:space="0" w:color="auto"/>
        <w:right w:val="none" w:sz="0" w:space="0" w:color="auto"/>
      </w:divBdr>
      <w:divsChild>
        <w:div w:id="1088577863">
          <w:marLeft w:val="0"/>
          <w:marRight w:val="0"/>
          <w:marTop w:val="0"/>
          <w:marBottom w:val="0"/>
          <w:divBdr>
            <w:top w:val="none" w:sz="0" w:space="0" w:color="auto"/>
            <w:left w:val="none" w:sz="0" w:space="0" w:color="auto"/>
            <w:bottom w:val="none" w:sz="0" w:space="0" w:color="auto"/>
            <w:right w:val="none" w:sz="0" w:space="0" w:color="auto"/>
          </w:divBdr>
          <w:divsChild>
            <w:div w:id="116026204">
              <w:marLeft w:val="0"/>
              <w:marRight w:val="0"/>
              <w:marTop w:val="0"/>
              <w:marBottom w:val="0"/>
              <w:divBdr>
                <w:top w:val="none" w:sz="0" w:space="0" w:color="auto"/>
                <w:left w:val="none" w:sz="0" w:space="0" w:color="auto"/>
                <w:bottom w:val="none" w:sz="0" w:space="0" w:color="auto"/>
                <w:right w:val="none" w:sz="0" w:space="0" w:color="auto"/>
              </w:divBdr>
              <w:divsChild>
                <w:div w:id="17150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0374">
      <w:bodyDiv w:val="1"/>
      <w:marLeft w:val="0"/>
      <w:marRight w:val="0"/>
      <w:marTop w:val="0"/>
      <w:marBottom w:val="0"/>
      <w:divBdr>
        <w:top w:val="none" w:sz="0" w:space="0" w:color="auto"/>
        <w:left w:val="none" w:sz="0" w:space="0" w:color="auto"/>
        <w:bottom w:val="none" w:sz="0" w:space="0" w:color="auto"/>
        <w:right w:val="none" w:sz="0" w:space="0" w:color="auto"/>
      </w:divBdr>
    </w:div>
    <w:div w:id="304942446">
      <w:bodyDiv w:val="1"/>
      <w:marLeft w:val="0"/>
      <w:marRight w:val="0"/>
      <w:marTop w:val="0"/>
      <w:marBottom w:val="0"/>
      <w:divBdr>
        <w:top w:val="none" w:sz="0" w:space="0" w:color="auto"/>
        <w:left w:val="none" w:sz="0" w:space="0" w:color="auto"/>
        <w:bottom w:val="none" w:sz="0" w:space="0" w:color="auto"/>
        <w:right w:val="none" w:sz="0" w:space="0" w:color="auto"/>
      </w:divBdr>
    </w:div>
    <w:div w:id="343094585">
      <w:bodyDiv w:val="1"/>
      <w:marLeft w:val="0"/>
      <w:marRight w:val="0"/>
      <w:marTop w:val="0"/>
      <w:marBottom w:val="0"/>
      <w:divBdr>
        <w:top w:val="none" w:sz="0" w:space="0" w:color="auto"/>
        <w:left w:val="none" w:sz="0" w:space="0" w:color="auto"/>
        <w:bottom w:val="none" w:sz="0" w:space="0" w:color="auto"/>
        <w:right w:val="none" w:sz="0" w:space="0" w:color="auto"/>
      </w:divBdr>
    </w:div>
    <w:div w:id="388113009">
      <w:bodyDiv w:val="1"/>
      <w:marLeft w:val="0"/>
      <w:marRight w:val="0"/>
      <w:marTop w:val="0"/>
      <w:marBottom w:val="0"/>
      <w:divBdr>
        <w:top w:val="none" w:sz="0" w:space="0" w:color="auto"/>
        <w:left w:val="none" w:sz="0" w:space="0" w:color="auto"/>
        <w:bottom w:val="none" w:sz="0" w:space="0" w:color="auto"/>
        <w:right w:val="none" w:sz="0" w:space="0" w:color="auto"/>
      </w:divBdr>
    </w:div>
    <w:div w:id="401560007">
      <w:bodyDiv w:val="1"/>
      <w:marLeft w:val="0"/>
      <w:marRight w:val="0"/>
      <w:marTop w:val="0"/>
      <w:marBottom w:val="0"/>
      <w:divBdr>
        <w:top w:val="none" w:sz="0" w:space="0" w:color="auto"/>
        <w:left w:val="none" w:sz="0" w:space="0" w:color="auto"/>
        <w:bottom w:val="none" w:sz="0" w:space="0" w:color="auto"/>
        <w:right w:val="none" w:sz="0" w:space="0" w:color="auto"/>
      </w:divBdr>
    </w:div>
    <w:div w:id="407382924">
      <w:bodyDiv w:val="1"/>
      <w:marLeft w:val="0"/>
      <w:marRight w:val="0"/>
      <w:marTop w:val="0"/>
      <w:marBottom w:val="0"/>
      <w:divBdr>
        <w:top w:val="none" w:sz="0" w:space="0" w:color="auto"/>
        <w:left w:val="none" w:sz="0" w:space="0" w:color="auto"/>
        <w:bottom w:val="none" w:sz="0" w:space="0" w:color="auto"/>
        <w:right w:val="none" w:sz="0" w:space="0" w:color="auto"/>
      </w:divBdr>
    </w:div>
    <w:div w:id="500203161">
      <w:bodyDiv w:val="1"/>
      <w:marLeft w:val="0"/>
      <w:marRight w:val="0"/>
      <w:marTop w:val="0"/>
      <w:marBottom w:val="0"/>
      <w:divBdr>
        <w:top w:val="none" w:sz="0" w:space="0" w:color="auto"/>
        <w:left w:val="none" w:sz="0" w:space="0" w:color="auto"/>
        <w:bottom w:val="none" w:sz="0" w:space="0" w:color="auto"/>
        <w:right w:val="none" w:sz="0" w:space="0" w:color="auto"/>
      </w:divBdr>
      <w:divsChild>
        <w:div w:id="1445879752">
          <w:marLeft w:val="0"/>
          <w:marRight w:val="0"/>
          <w:marTop w:val="0"/>
          <w:marBottom w:val="0"/>
          <w:divBdr>
            <w:top w:val="none" w:sz="0" w:space="0" w:color="auto"/>
            <w:left w:val="none" w:sz="0" w:space="0" w:color="auto"/>
            <w:bottom w:val="none" w:sz="0" w:space="0" w:color="auto"/>
            <w:right w:val="none" w:sz="0" w:space="0" w:color="auto"/>
          </w:divBdr>
          <w:divsChild>
            <w:div w:id="1626890783">
              <w:marLeft w:val="0"/>
              <w:marRight w:val="0"/>
              <w:marTop w:val="0"/>
              <w:marBottom w:val="0"/>
              <w:divBdr>
                <w:top w:val="none" w:sz="0" w:space="0" w:color="auto"/>
                <w:left w:val="none" w:sz="0" w:space="0" w:color="auto"/>
                <w:bottom w:val="none" w:sz="0" w:space="0" w:color="auto"/>
                <w:right w:val="none" w:sz="0" w:space="0" w:color="auto"/>
              </w:divBdr>
              <w:divsChild>
                <w:div w:id="21263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3531">
      <w:bodyDiv w:val="1"/>
      <w:marLeft w:val="0"/>
      <w:marRight w:val="0"/>
      <w:marTop w:val="0"/>
      <w:marBottom w:val="0"/>
      <w:divBdr>
        <w:top w:val="none" w:sz="0" w:space="0" w:color="auto"/>
        <w:left w:val="none" w:sz="0" w:space="0" w:color="auto"/>
        <w:bottom w:val="none" w:sz="0" w:space="0" w:color="auto"/>
        <w:right w:val="none" w:sz="0" w:space="0" w:color="auto"/>
      </w:divBdr>
    </w:div>
    <w:div w:id="514156347">
      <w:bodyDiv w:val="1"/>
      <w:marLeft w:val="0"/>
      <w:marRight w:val="0"/>
      <w:marTop w:val="0"/>
      <w:marBottom w:val="0"/>
      <w:divBdr>
        <w:top w:val="none" w:sz="0" w:space="0" w:color="auto"/>
        <w:left w:val="none" w:sz="0" w:space="0" w:color="auto"/>
        <w:bottom w:val="none" w:sz="0" w:space="0" w:color="auto"/>
        <w:right w:val="none" w:sz="0" w:space="0" w:color="auto"/>
      </w:divBdr>
    </w:div>
    <w:div w:id="526411805">
      <w:bodyDiv w:val="1"/>
      <w:marLeft w:val="0"/>
      <w:marRight w:val="0"/>
      <w:marTop w:val="0"/>
      <w:marBottom w:val="0"/>
      <w:divBdr>
        <w:top w:val="none" w:sz="0" w:space="0" w:color="auto"/>
        <w:left w:val="none" w:sz="0" w:space="0" w:color="auto"/>
        <w:bottom w:val="none" w:sz="0" w:space="0" w:color="auto"/>
        <w:right w:val="none" w:sz="0" w:space="0" w:color="auto"/>
      </w:divBdr>
    </w:div>
    <w:div w:id="554973822">
      <w:bodyDiv w:val="1"/>
      <w:marLeft w:val="0"/>
      <w:marRight w:val="0"/>
      <w:marTop w:val="0"/>
      <w:marBottom w:val="0"/>
      <w:divBdr>
        <w:top w:val="none" w:sz="0" w:space="0" w:color="auto"/>
        <w:left w:val="none" w:sz="0" w:space="0" w:color="auto"/>
        <w:bottom w:val="none" w:sz="0" w:space="0" w:color="auto"/>
        <w:right w:val="none" w:sz="0" w:space="0" w:color="auto"/>
      </w:divBdr>
    </w:div>
    <w:div w:id="647591145">
      <w:bodyDiv w:val="1"/>
      <w:marLeft w:val="0"/>
      <w:marRight w:val="0"/>
      <w:marTop w:val="0"/>
      <w:marBottom w:val="0"/>
      <w:divBdr>
        <w:top w:val="none" w:sz="0" w:space="0" w:color="auto"/>
        <w:left w:val="none" w:sz="0" w:space="0" w:color="auto"/>
        <w:bottom w:val="none" w:sz="0" w:space="0" w:color="auto"/>
        <w:right w:val="none" w:sz="0" w:space="0" w:color="auto"/>
      </w:divBdr>
    </w:div>
    <w:div w:id="667371515">
      <w:bodyDiv w:val="1"/>
      <w:marLeft w:val="0"/>
      <w:marRight w:val="0"/>
      <w:marTop w:val="0"/>
      <w:marBottom w:val="0"/>
      <w:divBdr>
        <w:top w:val="none" w:sz="0" w:space="0" w:color="auto"/>
        <w:left w:val="none" w:sz="0" w:space="0" w:color="auto"/>
        <w:bottom w:val="none" w:sz="0" w:space="0" w:color="auto"/>
        <w:right w:val="none" w:sz="0" w:space="0" w:color="auto"/>
      </w:divBdr>
    </w:div>
    <w:div w:id="678703200">
      <w:bodyDiv w:val="1"/>
      <w:marLeft w:val="0"/>
      <w:marRight w:val="0"/>
      <w:marTop w:val="0"/>
      <w:marBottom w:val="0"/>
      <w:divBdr>
        <w:top w:val="none" w:sz="0" w:space="0" w:color="auto"/>
        <w:left w:val="none" w:sz="0" w:space="0" w:color="auto"/>
        <w:bottom w:val="none" w:sz="0" w:space="0" w:color="auto"/>
        <w:right w:val="none" w:sz="0" w:space="0" w:color="auto"/>
      </w:divBdr>
    </w:div>
    <w:div w:id="723988776">
      <w:bodyDiv w:val="1"/>
      <w:marLeft w:val="0"/>
      <w:marRight w:val="0"/>
      <w:marTop w:val="0"/>
      <w:marBottom w:val="0"/>
      <w:divBdr>
        <w:top w:val="none" w:sz="0" w:space="0" w:color="auto"/>
        <w:left w:val="none" w:sz="0" w:space="0" w:color="auto"/>
        <w:bottom w:val="none" w:sz="0" w:space="0" w:color="auto"/>
        <w:right w:val="none" w:sz="0" w:space="0" w:color="auto"/>
      </w:divBdr>
      <w:divsChild>
        <w:div w:id="1299989504">
          <w:marLeft w:val="547"/>
          <w:marRight w:val="0"/>
          <w:marTop w:val="0"/>
          <w:marBottom w:val="120"/>
          <w:divBdr>
            <w:top w:val="none" w:sz="0" w:space="0" w:color="auto"/>
            <w:left w:val="none" w:sz="0" w:space="0" w:color="auto"/>
            <w:bottom w:val="none" w:sz="0" w:space="0" w:color="auto"/>
            <w:right w:val="none" w:sz="0" w:space="0" w:color="auto"/>
          </w:divBdr>
        </w:div>
        <w:div w:id="1314722139">
          <w:marLeft w:val="547"/>
          <w:marRight w:val="0"/>
          <w:marTop w:val="0"/>
          <w:marBottom w:val="120"/>
          <w:divBdr>
            <w:top w:val="none" w:sz="0" w:space="0" w:color="auto"/>
            <w:left w:val="none" w:sz="0" w:space="0" w:color="auto"/>
            <w:bottom w:val="none" w:sz="0" w:space="0" w:color="auto"/>
            <w:right w:val="none" w:sz="0" w:space="0" w:color="auto"/>
          </w:divBdr>
        </w:div>
        <w:div w:id="1334139885">
          <w:marLeft w:val="547"/>
          <w:marRight w:val="0"/>
          <w:marTop w:val="0"/>
          <w:marBottom w:val="120"/>
          <w:divBdr>
            <w:top w:val="none" w:sz="0" w:space="0" w:color="auto"/>
            <w:left w:val="none" w:sz="0" w:space="0" w:color="auto"/>
            <w:bottom w:val="none" w:sz="0" w:space="0" w:color="auto"/>
            <w:right w:val="none" w:sz="0" w:space="0" w:color="auto"/>
          </w:divBdr>
        </w:div>
      </w:divsChild>
    </w:div>
    <w:div w:id="735663231">
      <w:bodyDiv w:val="1"/>
      <w:marLeft w:val="0"/>
      <w:marRight w:val="0"/>
      <w:marTop w:val="0"/>
      <w:marBottom w:val="0"/>
      <w:divBdr>
        <w:top w:val="none" w:sz="0" w:space="0" w:color="auto"/>
        <w:left w:val="none" w:sz="0" w:space="0" w:color="auto"/>
        <w:bottom w:val="none" w:sz="0" w:space="0" w:color="auto"/>
        <w:right w:val="none" w:sz="0" w:space="0" w:color="auto"/>
      </w:divBdr>
    </w:div>
    <w:div w:id="802312313">
      <w:bodyDiv w:val="1"/>
      <w:marLeft w:val="0"/>
      <w:marRight w:val="0"/>
      <w:marTop w:val="0"/>
      <w:marBottom w:val="0"/>
      <w:divBdr>
        <w:top w:val="none" w:sz="0" w:space="0" w:color="auto"/>
        <w:left w:val="none" w:sz="0" w:space="0" w:color="auto"/>
        <w:bottom w:val="none" w:sz="0" w:space="0" w:color="auto"/>
        <w:right w:val="none" w:sz="0" w:space="0" w:color="auto"/>
      </w:divBdr>
    </w:div>
    <w:div w:id="808549926">
      <w:bodyDiv w:val="1"/>
      <w:marLeft w:val="0"/>
      <w:marRight w:val="0"/>
      <w:marTop w:val="0"/>
      <w:marBottom w:val="0"/>
      <w:divBdr>
        <w:top w:val="none" w:sz="0" w:space="0" w:color="auto"/>
        <w:left w:val="none" w:sz="0" w:space="0" w:color="auto"/>
        <w:bottom w:val="none" w:sz="0" w:space="0" w:color="auto"/>
        <w:right w:val="none" w:sz="0" w:space="0" w:color="auto"/>
      </w:divBdr>
    </w:div>
    <w:div w:id="875393700">
      <w:bodyDiv w:val="1"/>
      <w:marLeft w:val="0"/>
      <w:marRight w:val="0"/>
      <w:marTop w:val="0"/>
      <w:marBottom w:val="0"/>
      <w:divBdr>
        <w:top w:val="none" w:sz="0" w:space="0" w:color="auto"/>
        <w:left w:val="none" w:sz="0" w:space="0" w:color="auto"/>
        <w:bottom w:val="none" w:sz="0" w:space="0" w:color="auto"/>
        <w:right w:val="none" w:sz="0" w:space="0" w:color="auto"/>
      </w:divBdr>
    </w:div>
    <w:div w:id="879972614">
      <w:bodyDiv w:val="1"/>
      <w:marLeft w:val="0"/>
      <w:marRight w:val="0"/>
      <w:marTop w:val="0"/>
      <w:marBottom w:val="0"/>
      <w:divBdr>
        <w:top w:val="none" w:sz="0" w:space="0" w:color="auto"/>
        <w:left w:val="none" w:sz="0" w:space="0" w:color="auto"/>
        <w:bottom w:val="none" w:sz="0" w:space="0" w:color="auto"/>
        <w:right w:val="none" w:sz="0" w:space="0" w:color="auto"/>
      </w:divBdr>
    </w:div>
    <w:div w:id="880629231">
      <w:bodyDiv w:val="1"/>
      <w:marLeft w:val="0"/>
      <w:marRight w:val="0"/>
      <w:marTop w:val="0"/>
      <w:marBottom w:val="0"/>
      <w:divBdr>
        <w:top w:val="none" w:sz="0" w:space="0" w:color="auto"/>
        <w:left w:val="none" w:sz="0" w:space="0" w:color="auto"/>
        <w:bottom w:val="none" w:sz="0" w:space="0" w:color="auto"/>
        <w:right w:val="none" w:sz="0" w:space="0" w:color="auto"/>
      </w:divBdr>
    </w:div>
    <w:div w:id="905870492">
      <w:bodyDiv w:val="1"/>
      <w:marLeft w:val="0"/>
      <w:marRight w:val="0"/>
      <w:marTop w:val="0"/>
      <w:marBottom w:val="0"/>
      <w:divBdr>
        <w:top w:val="none" w:sz="0" w:space="0" w:color="auto"/>
        <w:left w:val="none" w:sz="0" w:space="0" w:color="auto"/>
        <w:bottom w:val="none" w:sz="0" w:space="0" w:color="auto"/>
        <w:right w:val="none" w:sz="0" w:space="0" w:color="auto"/>
      </w:divBdr>
    </w:div>
    <w:div w:id="973675065">
      <w:bodyDiv w:val="1"/>
      <w:marLeft w:val="0"/>
      <w:marRight w:val="0"/>
      <w:marTop w:val="0"/>
      <w:marBottom w:val="0"/>
      <w:divBdr>
        <w:top w:val="none" w:sz="0" w:space="0" w:color="auto"/>
        <w:left w:val="none" w:sz="0" w:space="0" w:color="auto"/>
        <w:bottom w:val="none" w:sz="0" w:space="0" w:color="auto"/>
        <w:right w:val="none" w:sz="0" w:space="0" w:color="auto"/>
      </w:divBdr>
    </w:div>
    <w:div w:id="985627440">
      <w:bodyDiv w:val="1"/>
      <w:marLeft w:val="0"/>
      <w:marRight w:val="0"/>
      <w:marTop w:val="0"/>
      <w:marBottom w:val="0"/>
      <w:divBdr>
        <w:top w:val="none" w:sz="0" w:space="0" w:color="auto"/>
        <w:left w:val="none" w:sz="0" w:space="0" w:color="auto"/>
        <w:bottom w:val="none" w:sz="0" w:space="0" w:color="auto"/>
        <w:right w:val="none" w:sz="0" w:space="0" w:color="auto"/>
      </w:divBdr>
    </w:div>
    <w:div w:id="1095904506">
      <w:bodyDiv w:val="1"/>
      <w:marLeft w:val="0"/>
      <w:marRight w:val="0"/>
      <w:marTop w:val="0"/>
      <w:marBottom w:val="0"/>
      <w:divBdr>
        <w:top w:val="none" w:sz="0" w:space="0" w:color="auto"/>
        <w:left w:val="none" w:sz="0" w:space="0" w:color="auto"/>
        <w:bottom w:val="none" w:sz="0" w:space="0" w:color="auto"/>
        <w:right w:val="none" w:sz="0" w:space="0" w:color="auto"/>
      </w:divBdr>
      <w:divsChild>
        <w:div w:id="2121216012">
          <w:marLeft w:val="0"/>
          <w:marRight w:val="0"/>
          <w:marTop w:val="0"/>
          <w:marBottom w:val="0"/>
          <w:divBdr>
            <w:top w:val="none" w:sz="0" w:space="0" w:color="auto"/>
            <w:left w:val="none" w:sz="0" w:space="0" w:color="auto"/>
            <w:bottom w:val="none" w:sz="0" w:space="0" w:color="auto"/>
            <w:right w:val="none" w:sz="0" w:space="0" w:color="auto"/>
          </w:divBdr>
          <w:divsChild>
            <w:div w:id="1555853023">
              <w:marLeft w:val="0"/>
              <w:marRight w:val="0"/>
              <w:marTop w:val="0"/>
              <w:marBottom w:val="0"/>
              <w:divBdr>
                <w:top w:val="none" w:sz="0" w:space="0" w:color="auto"/>
                <w:left w:val="none" w:sz="0" w:space="0" w:color="auto"/>
                <w:bottom w:val="none" w:sz="0" w:space="0" w:color="auto"/>
                <w:right w:val="none" w:sz="0" w:space="0" w:color="auto"/>
              </w:divBdr>
              <w:divsChild>
                <w:div w:id="17011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3618">
      <w:bodyDiv w:val="1"/>
      <w:marLeft w:val="0"/>
      <w:marRight w:val="0"/>
      <w:marTop w:val="0"/>
      <w:marBottom w:val="0"/>
      <w:divBdr>
        <w:top w:val="none" w:sz="0" w:space="0" w:color="auto"/>
        <w:left w:val="none" w:sz="0" w:space="0" w:color="auto"/>
        <w:bottom w:val="none" w:sz="0" w:space="0" w:color="auto"/>
        <w:right w:val="none" w:sz="0" w:space="0" w:color="auto"/>
      </w:divBdr>
      <w:divsChild>
        <w:div w:id="1316227214">
          <w:marLeft w:val="0"/>
          <w:marRight w:val="0"/>
          <w:marTop w:val="0"/>
          <w:marBottom w:val="0"/>
          <w:divBdr>
            <w:top w:val="none" w:sz="0" w:space="0" w:color="auto"/>
            <w:left w:val="none" w:sz="0" w:space="0" w:color="auto"/>
            <w:bottom w:val="none" w:sz="0" w:space="0" w:color="auto"/>
            <w:right w:val="none" w:sz="0" w:space="0" w:color="auto"/>
          </w:divBdr>
          <w:divsChild>
            <w:div w:id="2045867912">
              <w:marLeft w:val="0"/>
              <w:marRight w:val="0"/>
              <w:marTop w:val="0"/>
              <w:marBottom w:val="0"/>
              <w:divBdr>
                <w:top w:val="none" w:sz="0" w:space="0" w:color="auto"/>
                <w:left w:val="none" w:sz="0" w:space="0" w:color="auto"/>
                <w:bottom w:val="none" w:sz="0" w:space="0" w:color="auto"/>
                <w:right w:val="none" w:sz="0" w:space="0" w:color="auto"/>
              </w:divBdr>
              <w:divsChild>
                <w:div w:id="68776900">
                  <w:marLeft w:val="0"/>
                  <w:marRight w:val="0"/>
                  <w:marTop w:val="0"/>
                  <w:marBottom w:val="0"/>
                  <w:divBdr>
                    <w:top w:val="none" w:sz="0" w:space="0" w:color="auto"/>
                    <w:left w:val="none" w:sz="0" w:space="0" w:color="auto"/>
                    <w:bottom w:val="none" w:sz="0" w:space="0" w:color="auto"/>
                    <w:right w:val="none" w:sz="0" w:space="0" w:color="auto"/>
                  </w:divBdr>
                </w:div>
                <w:div w:id="14047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88247">
      <w:bodyDiv w:val="1"/>
      <w:marLeft w:val="0"/>
      <w:marRight w:val="0"/>
      <w:marTop w:val="0"/>
      <w:marBottom w:val="0"/>
      <w:divBdr>
        <w:top w:val="none" w:sz="0" w:space="0" w:color="auto"/>
        <w:left w:val="none" w:sz="0" w:space="0" w:color="auto"/>
        <w:bottom w:val="none" w:sz="0" w:space="0" w:color="auto"/>
        <w:right w:val="none" w:sz="0" w:space="0" w:color="auto"/>
      </w:divBdr>
      <w:divsChild>
        <w:div w:id="423189460">
          <w:marLeft w:val="547"/>
          <w:marRight w:val="0"/>
          <w:marTop w:val="0"/>
          <w:marBottom w:val="120"/>
          <w:divBdr>
            <w:top w:val="none" w:sz="0" w:space="0" w:color="auto"/>
            <w:left w:val="none" w:sz="0" w:space="0" w:color="auto"/>
            <w:bottom w:val="none" w:sz="0" w:space="0" w:color="auto"/>
            <w:right w:val="none" w:sz="0" w:space="0" w:color="auto"/>
          </w:divBdr>
        </w:div>
        <w:div w:id="1742171549">
          <w:marLeft w:val="547"/>
          <w:marRight w:val="0"/>
          <w:marTop w:val="0"/>
          <w:marBottom w:val="120"/>
          <w:divBdr>
            <w:top w:val="none" w:sz="0" w:space="0" w:color="auto"/>
            <w:left w:val="none" w:sz="0" w:space="0" w:color="auto"/>
            <w:bottom w:val="none" w:sz="0" w:space="0" w:color="auto"/>
            <w:right w:val="none" w:sz="0" w:space="0" w:color="auto"/>
          </w:divBdr>
        </w:div>
      </w:divsChild>
    </w:div>
    <w:div w:id="1293631058">
      <w:bodyDiv w:val="1"/>
      <w:marLeft w:val="0"/>
      <w:marRight w:val="0"/>
      <w:marTop w:val="0"/>
      <w:marBottom w:val="0"/>
      <w:divBdr>
        <w:top w:val="none" w:sz="0" w:space="0" w:color="auto"/>
        <w:left w:val="none" w:sz="0" w:space="0" w:color="auto"/>
        <w:bottom w:val="none" w:sz="0" w:space="0" w:color="auto"/>
        <w:right w:val="none" w:sz="0" w:space="0" w:color="auto"/>
      </w:divBdr>
    </w:div>
    <w:div w:id="1346206808">
      <w:bodyDiv w:val="1"/>
      <w:marLeft w:val="0"/>
      <w:marRight w:val="0"/>
      <w:marTop w:val="0"/>
      <w:marBottom w:val="0"/>
      <w:divBdr>
        <w:top w:val="none" w:sz="0" w:space="0" w:color="auto"/>
        <w:left w:val="none" w:sz="0" w:space="0" w:color="auto"/>
        <w:bottom w:val="none" w:sz="0" w:space="0" w:color="auto"/>
        <w:right w:val="none" w:sz="0" w:space="0" w:color="auto"/>
      </w:divBdr>
    </w:div>
    <w:div w:id="1356150465">
      <w:bodyDiv w:val="1"/>
      <w:marLeft w:val="0"/>
      <w:marRight w:val="0"/>
      <w:marTop w:val="0"/>
      <w:marBottom w:val="0"/>
      <w:divBdr>
        <w:top w:val="none" w:sz="0" w:space="0" w:color="auto"/>
        <w:left w:val="none" w:sz="0" w:space="0" w:color="auto"/>
        <w:bottom w:val="none" w:sz="0" w:space="0" w:color="auto"/>
        <w:right w:val="none" w:sz="0" w:space="0" w:color="auto"/>
      </w:divBdr>
      <w:divsChild>
        <w:div w:id="1086804693">
          <w:marLeft w:val="0"/>
          <w:marRight w:val="0"/>
          <w:marTop w:val="0"/>
          <w:marBottom w:val="0"/>
          <w:divBdr>
            <w:top w:val="none" w:sz="0" w:space="0" w:color="auto"/>
            <w:left w:val="none" w:sz="0" w:space="0" w:color="auto"/>
            <w:bottom w:val="none" w:sz="0" w:space="0" w:color="auto"/>
            <w:right w:val="none" w:sz="0" w:space="0" w:color="auto"/>
          </w:divBdr>
          <w:divsChild>
            <w:div w:id="2058697777">
              <w:marLeft w:val="0"/>
              <w:marRight w:val="0"/>
              <w:marTop w:val="0"/>
              <w:marBottom w:val="0"/>
              <w:divBdr>
                <w:top w:val="none" w:sz="0" w:space="0" w:color="auto"/>
                <w:left w:val="none" w:sz="0" w:space="0" w:color="auto"/>
                <w:bottom w:val="none" w:sz="0" w:space="0" w:color="auto"/>
                <w:right w:val="none" w:sz="0" w:space="0" w:color="auto"/>
              </w:divBdr>
              <w:divsChild>
                <w:div w:id="12941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99274">
      <w:bodyDiv w:val="1"/>
      <w:marLeft w:val="0"/>
      <w:marRight w:val="0"/>
      <w:marTop w:val="0"/>
      <w:marBottom w:val="0"/>
      <w:divBdr>
        <w:top w:val="none" w:sz="0" w:space="0" w:color="auto"/>
        <w:left w:val="none" w:sz="0" w:space="0" w:color="auto"/>
        <w:bottom w:val="none" w:sz="0" w:space="0" w:color="auto"/>
        <w:right w:val="none" w:sz="0" w:space="0" w:color="auto"/>
      </w:divBdr>
    </w:div>
    <w:div w:id="1405639098">
      <w:bodyDiv w:val="1"/>
      <w:marLeft w:val="0"/>
      <w:marRight w:val="0"/>
      <w:marTop w:val="0"/>
      <w:marBottom w:val="0"/>
      <w:divBdr>
        <w:top w:val="none" w:sz="0" w:space="0" w:color="auto"/>
        <w:left w:val="none" w:sz="0" w:space="0" w:color="auto"/>
        <w:bottom w:val="none" w:sz="0" w:space="0" w:color="auto"/>
        <w:right w:val="none" w:sz="0" w:space="0" w:color="auto"/>
      </w:divBdr>
    </w:div>
    <w:div w:id="1416633513">
      <w:bodyDiv w:val="1"/>
      <w:marLeft w:val="0"/>
      <w:marRight w:val="0"/>
      <w:marTop w:val="0"/>
      <w:marBottom w:val="0"/>
      <w:divBdr>
        <w:top w:val="none" w:sz="0" w:space="0" w:color="auto"/>
        <w:left w:val="none" w:sz="0" w:space="0" w:color="auto"/>
        <w:bottom w:val="none" w:sz="0" w:space="0" w:color="auto"/>
        <w:right w:val="none" w:sz="0" w:space="0" w:color="auto"/>
      </w:divBdr>
    </w:div>
    <w:div w:id="1449278173">
      <w:bodyDiv w:val="1"/>
      <w:marLeft w:val="0"/>
      <w:marRight w:val="0"/>
      <w:marTop w:val="0"/>
      <w:marBottom w:val="0"/>
      <w:divBdr>
        <w:top w:val="none" w:sz="0" w:space="0" w:color="auto"/>
        <w:left w:val="none" w:sz="0" w:space="0" w:color="auto"/>
        <w:bottom w:val="none" w:sz="0" w:space="0" w:color="auto"/>
        <w:right w:val="none" w:sz="0" w:space="0" w:color="auto"/>
      </w:divBdr>
      <w:divsChild>
        <w:div w:id="1329941868">
          <w:marLeft w:val="0"/>
          <w:marRight w:val="0"/>
          <w:marTop w:val="0"/>
          <w:marBottom w:val="0"/>
          <w:divBdr>
            <w:top w:val="none" w:sz="0" w:space="0" w:color="auto"/>
            <w:left w:val="none" w:sz="0" w:space="0" w:color="auto"/>
            <w:bottom w:val="none" w:sz="0" w:space="0" w:color="auto"/>
            <w:right w:val="none" w:sz="0" w:space="0" w:color="auto"/>
          </w:divBdr>
          <w:divsChild>
            <w:div w:id="1879002039">
              <w:marLeft w:val="0"/>
              <w:marRight w:val="0"/>
              <w:marTop w:val="0"/>
              <w:marBottom w:val="0"/>
              <w:divBdr>
                <w:top w:val="none" w:sz="0" w:space="0" w:color="auto"/>
                <w:left w:val="none" w:sz="0" w:space="0" w:color="auto"/>
                <w:bottom w:val="none" w:sz="0" w:space="0" w:color="auto"/>
                <w:right w:val="none" w:sz="0" w:space="0" w:color="auto"/>
              </w:divBdr>
              <w:divsChild>
                <w:div w:id="14017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79781">
      <w:bodyDiv w:val="1"/>
      <w:marLeft w:val="0"/>
      <w:marRight w:val="0"/>
      <w:marTop w:val="0"/>
      <w:marBottom w:val="0"/>
      <w:divBdr>
        <w:top w:val="none" w:sz="0" w:space="0" w:color="auto"/>
        <w:left w:val="none" w:sz="0" w:space="0" w:color="auto"/>
        <w:bottom w:val="none" w:sz="0" w:space="0" w:color="auto"/>
        <w:right w:val="none" w:sz="0" w:space="0" w:color="auto"/>
      </w:divBdr>
    </w:div>
    <w:div w:id="1597056588">
      <w:bodyDiv w:val="1"/>
      <w:marLeft w:val="0"/>
      <w:marRight w:val="0"/>
      <w:marTop w:val="0"/>
      <w:marBottom w:val="0"/>
      <w:divBdr>
        <w:top w:val="none" w:sz="0" w:space="0" w:color="auto"/>
        <w:left w:val="none" w:sz="0" w:space="0" w:color="auto"/>
        <w:bottom w:val="none" w:sz="0" w:space="0" w:color="auto"/>
        <w:right w:val="none" w:sz="0" w:space="0" w:color="auto"/>
      </w:divBdr>
    </w:div>
    <w:div w:id="1683046752">
      <w:bodyDiv w:val="1"/>
      <w:marLeft w:val="0"/>
      <w:marRight w:val="0"/>
      <w:marTop w:val="0"/>
      <w:marBottom w:val="0"/>
      <w:divBdr>
        <w:top w:val="none" w:sz="0" w:space="0" w:color="auto"/>
        <w:left w:val="none" w:sz="0" w:space="0" w:color="auto"/>
        <w:bottom w:val="none" w:sz="0" w:space="0" w:color="auto"/>
        <w:right w:val="none" w:sz="0" w:space="0" w:color="auto"/>
      </w:divBdr>
    </w:div>
    <w:div w:id="1710716409">
      <w:bodyDiv w:val="1"/>
      <w:marLeft w:val="0"/>
      <w:marRight w:val="0"/>
      <w:marTop w:val="0"/>
      <w:marBottom w:val="0"/>
      <w:divBdr>
        <w:top w:val="none" w:sz="0" w:space="0" w:color="auto"/>
        <w:left w:val="none" w:sz="0" w:space="0" w:color="auto"/>
        <w:bottom w:val="none" w:sz="0" w:space="0" w:color="auto"/>
        <w:right w:val="none" w:sz="0" w:space="0" w:color="auto"/>
      </w:divBdr>
    </w:div>
    <w:div w:id="1764834845">
      <w:bodyDiv w:val="1"/>
      <w:marLeft w:val="0"/>
      <w:marRight w:val="0"/>
      <w:marTop w:val="0"/>
      <w:marBottom w:val="0"/>
      <w:divBdr>
        <w:top w:val="none" w:sz="0" w:space="0" w:color="auto"/>
        <w:left w:val="none" w:sz="0" w:space="0" w:color="auto"/>
        <w:bottom w:val="none" w:sz="0" w:space="0" w:color="auto"/>
        <w:right w:val="none" w:sz="0" w:space="0" w:color="auto"/>
      </w:divBdr>
    </w:div>
    <w:div w:id="1780055497">
      <w:bodyDiv w:val="1"/>
      <w:marLeft w:val="0"/>
      <w:marRight w:val="0"/>
      <w:marTop w:val="0"/>
      <w:marBottom w:val="0"/>
      <w:divBdr>
        <w:top w:val="none" w:sz="0" w:space="0" w:color="auto"/>
        <w:left w:val="none" w:sz="0" w:space="0" w:color="auto"/>
        <w:bottom w:val="none" w:sz="0" w:space="0" w:color="auto"/>
        <w:right w:val="none" w:sz="0" w:space="0" w:color="auto"/>
      </w:divBdr>
      <w:divsChild>
        <w:div w:id="1104881069">
          <w:marLeft w:val="0"/>
          <w:marRight w:val="0"/>
          <w:marTop w:val="0"/>
          <w:marBottom w:val="0"/>
          <w:divBdr>
            <w:top w:val="none" w:sz="0" w:space="0" w:color="auto"/>
            <w:left w:val="none" w:sz="0" w:space="0" w:color="auto"/>
            <w:bottom w:val="none" w:sz="0" w:space="0" w:color="auto"/>
            <w:right w:val="none" w:sz="0" w:space="0" w:color="auto"/>
          </w:divBdr>
          <w:divsChild>
            <w:div w:id="239750715">
              <w:marLeft w:val="0"/>
              <w:marRight w:val="0"/>
              <w:marTop w:val="0"/>
              <w:marBottom w:val="0"/>
              <w:divBdr>
                <w:top w:val="none" w:sz="0" w:space="0" w:color="auto"/>
                <w:left w:val="none" w:sz="0" w:space="0" w:color="auto"/>
                <w:bottom w:val="none" w:sz="0" w:space="0" w:color="auto"/>
                <w:right w:val="none" w:sz="0" w:space="0" w:color="auto"/>
              </w:divBdr>
              <w:divsChild>
                <w:div w:id="19712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8385">
      <w:bodyDiv w:val="1"/>
      <w:marLeft w:val="0"/>
      <w:marRight w:val="0"/>
      <w:marTop w:val="0"/>
      <w:marBottom w:val="0"/>
      <w:divBdr>
        <w:top w:val="none" w:sz="0" w:space="0" w:color="auto"/>
        <w:left w:val="none" w:sz="0" w:space="0" w:color="auto"/>
        <w:bottom w:val="none" w:sz="0" w:space="0" w:color="auto"/>
        <w:right w:val="none" w:sz="0" w:space="0" w:color="auto"/>
      </w:divBdr>
    </w:div>
    <w:div w:id="1925605044">
      <w:bodyDiv w:val="1"/>
      <w:marLeft w:val="0"/>
      <w:marRight w:val="0"/>
      <w:marTop w:val="0"/>
      <w:marBottom w:val="0"/>
      <w:divBdr>
        <w:top w:val="none" w:sz="0" w:space="0" w:color="auto"/>
        <w:left w:val="none" w:sz="0" w:space="0" w:color="auto"/>
        <w:bottom w:val="none" w:sz="0" w:space="0" w:color="auto"/>
        <w:right w:val="none" w:sz="0" w:space="0" w:color="auto"/>
      </w:divBdr>
      <w:divsChild>
        <w:div w:id="1283878732">
          <w:marLeft w:val="0"/>
          <w:marRight w:val="0"/>
          <w:marTop w:val="0"/>
          <w:marBottom w:val="0"/>
          <w:divBdr>
            <w:top w:val="none" w:sz="0" w:space="0" w:color="auto"/>
            <w:left w:val="none" w:sz="0" w:space="0" w:color="auto"/>
            <w:bottom w:val="none" w:sz="0" w:space="0" w:color="auto"/>
            <w:right w:val="none" w:sz="0" w:space="0" w:color="auto"/>
          </w:divBdr>
          <w:divsChild>
            <w:div w:id="2129003272">
              <w:marLeft w:val="0"/>
              <w:marRight w:val="0"/>
              <w:marTop w:val="0"/>
              <w:marBottom w:val="0"/>
              <w:divBdr>
                <w:top w:val="none" w:sz="0" w:space="0" w:color="auto"/>
                <w:left w:val="none" w:sz="0" w:space="0" w:color="auto"/>
                <w:bottom w:val="none" w:sz="0" w:space="0" w:color="auto"/>
                <w:right w:val="none" w:sz="0" w:space="0" w:color="auto"/>
              </w:divBdr>
              <w:divsChild>
                <w:div w:id="5564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1531">
      <w:bodyDiv w:val="1"/>
      <w:marLeft w:val="0"/>
      <w:marRight w:val="0"/>
      <w:marTop w:val="0"/>
      <w:marBottom w:val="0"/>
      <w:divBdr>
        <w:top w:val="none" w:sz="0" w:space="0" w:color="auto"/>
        <w:left w:val="none" w:sz="0" w:space="0" w:color="auto"/>
        <w:bottom w:val="none" w:sz="0" w:space="0" w:color="auto"/>
        <w:right w:val="none" w:sz="0" w:space="0" w:color="auto"/>
      </w:divBdr>
    </w:div>
    <w:div w:id="1975601910">
      <w:bodyDiv w:val="1"/>
      <w:marLeft w:val="0"/>
      <w:marRight w:val="0"/>
      <w:marTop w:val="0"/>
      <w:marBottom w:val="0"/>
      <w:divBdr>
        <w:top w:val="none" w:sz="0" w:space="0" w:color="auto"/>
        <w:left w:val="none" w:sz="0" w:space="0" w:color="auto"/>
        <w:bottom w:val="none" w:sz="0" w:space="0" w:color="auto"/>
        <w:right w:val="none" w:sz="0" w:space="0" w:color="auto"/>
      </w:divBdr>
    </w:div>
    <w:div w:id="1998261814">
      <w:bodyDiv w:val="1"/>
      <w:marLeft w:val="0"/>
      <w:marRight w:val="0"/>
      <w:marTop w:val="0"/>
      <w:marBottom w:val="0"/>
      <w:divBdr>
        <w:top w:val="none" w:sz="0" w:space="0" w:color="auto"/>
        <w:left w:val="none" w:sz="0" w:space="0" w:color="auto"/>
        <w:bottom w:val="none" w:sz="0" w:space="0" w:color="auto"/>
        <w:right w:val="none" w:sz="0" w:space="0" w:color="auto"/>
      </w:divBdr>
      <w:divsChild>
        <w:div w:id="365448180">
          <w:marLeft w:val="0"/>
          <w:marRight w:val="0"/>
          <w:marTop w:val="0"/>
          <w:marBottom w:val="0"/>
          <w:divBdr>
            <w:top w:val="none" w:sz="0" w:space="0" w:color="auto"/>
            <w:left w:val="none" w:sz="0" w:space="0" w:color="auto"/>
            <w:bottom w:val="none" w:sz="0" w:space="0" w:color="auto"/>
            <w:right w:val="none" w:sz="0" w:space="0" w:color="auto"/>
          </w:divBdr>
          <w:divsChild>
            <w:div w:id="534544340">
              <w:marLeft w:val="0"/>
              <w:marRight w:val="0"/>
              <w:marTop w:val="0"/>
              <w:marBottom w:val="0"/>
              <w:divBdr>
                <w:top w:val="none" w:sz="0" w:space="0" w:color="auto"/>
                <w:left w:val="none" w:sz="0" w:space="0" w:color="auto"/>
                <w:bottom w:val="none" w:sz="0" w:space="0" w:color="auto"/>
                <w:right w:val="none" w:sz="0" w:space="0" w:color="auto"/>
              </w:divBdr>
              <w:divsChild>
                <w:div w:id="20704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876">
      <w:bodyDiv w:val="1"/>
      <w:marLeft w:val="0"/>
      <w:marRight w:val="0"/>
      <w:marTop w:val="0"/>
      <w:marBottom w:val="0"/>
      <w:divBdr>
        <w:top w:val="none" w:sz="0" w:space="0" w:color="auto"/>
        <w:left w:val="none" w:sz="0" w:space="0" w:color="auto"/>
        <w:bottom w:val="none" w:sz="0" w:space="0" w:color="auto"/>
        <w:right w:val="none" w:sz="0" w:space="0" w:color="auto"/>
      </w:divBdr>
    </w:div>
    <w:div w:id="2051998334">
      <w:bodyDiv w:val="1"/>
      <w:marLeft w:val="0"/>
      <w:marRight w:val="0"/>
      <w:marTop w:val="0"/>
      <w:marBottom w:val="0"/>
      <w:divBdr>
        <w:top w:val="none" w:sz="0" w:space="0" w:color="auto"/>
        <w:left w:val="none" w:sz="0" w:space="0" w:color="auto"/>
        <w:bottom w:val="none" w:sz="0" w:space="0" w:color="auto"/>
        <w:right w:val="none" w:sz="0" w:space="0" w:color="auto"/>
      </w:divBdr>
      <w:divsChild>
        <w:div w:id="86968914">
          <w:marLeft w:val="0"/>
          <w:marRight w:val="0"/>
          <w:marTop w:val="0"/>
          <w:marBottom w:val="0"/>
          <w:divBdr>
            <w:top w:val="none" w:sz="0" w:space="0" w:color="auto"/>
            <w:left w:val="none" w:sz="0" w:space="0" w:color="auto"/>
            <w:bottom w:val="none" w:sz="0" w:space="0" w:color="auto"/>
            <w:right w:val="none" w:sz="0" w:space="0" w:color="auto"/>
          </w:divBdr>
          <w:divsChild>
            <w:div w:id="237835859">
              <w:marLeft w:val="0"/>
              <w:marRight w:val="0"/>
              <w:marTop w:val="0"/>
              <w:marBottom w:val="0"/>
              <w:divBdr>
                <w:top w:val="none" w:sz="0" w:space="0" w:color="auto"/>
                <w:left w:val="none" w:sz="0" w:space="0" w:color="auto"/>
                <w:bottom w:val="none" w:sz="0" w:space="0" w:color="auto"/>
                <w:right w:val="none" w:sz="0" w:space="0" w:color="auto"/>
              </w:divBdr>
              <w:divsChild>
                <w:div w:id="14223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3916">
      <w:bodyDiv w:val="1"/>
      <w:marLeft w:val="0"/>
      <w:marRight w:val="0"/>
      <w:marTop w:val="0"/>
      <w:marBottom w:val="0"/>
      <w:divBdr>
        <w:top w:val="none" w:sz="0" w:space="0" w:color="auto"/>
        <w:left w:val="none" w:sz="0" w:space="0" w:color="auto"/>
        <w:bottom w:val="none" w:sz="0" w:space="0" w:color="auto"/>
        <w:right w:val="none" w:sz="0" w:space="0" w:color="auto"/>
      </w:divBdr>
      <w:divsChild>
        <w:div w:id="656688386">
          <w:marLeft w:val="0"/>
          <w:marRight w:val="0"/>
          <w:marTop w:val="0"/>
          <w:marBottom w:val="0"/>
          <w:divBdr>
            <w:top w:val="none" w:sz="0" w:space="0" w:color="auto"/>
            <w:left w:val="none" w:sz="0" w:space="0" w:color="auto"/>
            <w:bottom w:val="none" w:sz="0" w:space="0" w:color="auto"/>
            <w:right w:val="none" w:sz="0" w:space="0" w:color="auto"/>
          </w:divBdr>
          <w:divsChild>
            <w:div w:id="1947497484">
              <w:marLeft w:val="0"/>
              <w:marRight w:val="0"/>
              <w:marTop w:val="0"/>
              <w:marBottom w:val="0"/>
              <w:divBdr>
                <w:top w:val="none" w:sz="0" w:space="0" w:color="auto"/>
                <w:left w:val="none" w:sz="0" w:space="0" w:color="auto"/>
                <w:bottom w:val="none" w:sz="0" w:space="0" w:color="auto"/>
                <w:right w:val="none" w:sz="0" w:space="0" w:color="auto"/>
              </w:divBdr>
              <w:divsChild>
                <w:div w:id="9670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5983">
      <w:bodyDiv w:val="1"/>
      <w:marLeft w:val="0"/>
      <w:marRight w:val="0"/>
      <w:marTop w:val="0"/>
      <w:marBottom w:val="0"/>
      <w:divBdr>
        <w:top w:val="none" w:sz="0" w:space="0" w:color="auto"/>
        <w:left w:val="none" w:sz="0" w:space="0" w:color="auto"/>
        <w:bottom w:val="none" w:sz="0" w:space="0" w:color="auto"/>
        <w:right w:val="none" w:sz="0" w:space="0" w:color="auto"/>
      </w:divBdr>
      <w:divsChild>
        <w:div w:id="1959220656">
          <w:marLeft w:val="547"/>
          <w:marRight w:val="0"/>
          <w:marTop w:val="0"/>
          <w:marBottom w:val="120"/>
          <w:divBdr>
            <w:top w:val="none" w:sz="0" w:space="0" w:color="auto"/>
            <w:left w:val="none" w:sz="0" w:space="0" w:color="auto"/>
            <w:bottom w:val="none" w:sz="0" w:space="0" w:color="auto"/>
            <w:right w:val="none" w:sz="0" w:space="0" w:color="auto"/>
          </w:divBdr>
        </w:div>
        <w:div w:id="1587768130">
          <w:marLeft w:val="547"/>
          <w:marRight w:val="0"/>
          <w:marTop w:val="0"/>
          <w:marBottom w:val="120"/>
          <w:divBdr>
            <w:top w:val="none" w:sz="0" w:space="0" w:color="auto"/>
            <w:left w:val="none" w:sz="0" w:space="0" w:color="auto"/>
            <w:bottom w:val="none" w:sz="0" w:space="0" w:color="auto"/>
            <w:right w:val="none" w:sz="0" w:space="0" w:color="auto"/>
          </w:divBdr>
        </w:div>
        <w:div w:id="1626304593">
          <w:marLeft w:val="547"/>
          <w:marRight w:val="0"/>
          <w:marTop w:val="0"/>
          <w:marBottom w:val="120"/>
          <w:divBdr>
            <w:top w:val="none" w:sz="0" w:space="0" w:color="auto"/>
            <w:left w:val="none" w:sz="0" w:space="0" w:color="auto"/>
            <w:bottom w:val="none" w:sz="0" w:space="0" w:color="auto"/>
            <w:right w:val="none" w:sz="0" w:space="0" w:color="auto"/>
          </w:divBdr>
        </w:div>
        <w:div w:id="1859390739">
          <w:marLeft w:val="547"/>
          <w:marRight w:val="0"/>
          <w:marTop w:val="0"/>
          <w:marBottom w:val="120"/>
          <w:divBdr>
            <w:top w:val="none" w:sz="0" w:space="0" w:color="auto"/>
            <w:left w:val="none" w:sz="0" w:space="0" w:color="auto"/>
            <w:bottom w:val="none" w:sz="0" w:space="0" w:color="auto"/>
            <w:right w:val="none" w:sz="0" w:space="0" w:color="auto"/>
          </w:divBdr>
        </w:div>
        <w:div w:id="1335306375">
          <w:marLeft w:val="547"/>
          <w:marRight w:val="0"/>
          <w:marTop w:val="0"/>
          <w:marBottom w:val="120"/>
          <w:divBdr>
            <w:top w:val="none" w:sz="0" w:space="0" w:color="auto"/>
            <w:left w:val="none" w:sz="0" w:space="0" w:color="auto"/>
            <w:bottom w:val="none" w:sz="0" w:space="0" w:color="auto"/>
            <w:right w:val="none" w:sz="0" w:space="0" w:color="auto"/>
          </w:divBdr>
        </w:div>
        <w:div w:id="1182285324">
          <w:marLeft w:val="547"/>
          <w:marRight w:val="0"/>
          <w:marTop w:val="0"/>
          <w:marBottom w:val="120"/>
          <w:divBdr>
            <w:top w:val="none" w:sz="0" w:space="0" w:color="auto"/>
            <w:left w:val="none" w:sz="0" w:space="0" w:color="auto"/>
            <w:bottom w:val="none" w:sz="0" w:space="0" w:color="auto"/>
            <w:right w:val="none" w:sz="0" w:space="0" w:color="auto"/>
          </w:divBdr>
        </w:div>
        <w:div w:id="1809664338">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archives.gov.uk/doc/open-government-licence/version/3" TargetMode="External"/><Relationship Id="rId18" Type="http://schemas.openxmlformats.org/officeDocument/2006/relationships/hyperlink" Target="http://www.ohchr.org/english/law/parisprinciples" TargetMode="External"/><Relationship Id="rId26" Type="http://schemas.openxmlformats.org/officeDocument/2006/relationships/hyperlink" Target="http://www.civilservicepensionscheme.org.uk/about-us/resource-accounts/"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nihrc.org/publication/detail/strategic-plan-2022-2025"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niassembly.gov.uk/assembly-business/legislation/2017-2022-mandate/primary-legislation---bills-2017---2022-mandate/justice-sexual-offences-and-trafficking-victims-bil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ihrc.org/publication/detail/northern-ireland-human-rights-commission-strategic-plan-2019-22"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nihrc.org"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iassembly.gov.uk/assembly-business/legislation/2017-2022-mandate/primary-legislation---bills-2017---2022-mandate/adoption-and-children-bill/"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official-documents" TargetMode="External"/><Relationship Id="rId22" Type="http://schemas.openxmlformats.org/officeDocument/2006/relationships/hyperlink" Target="http://www.nihrc.org" TargetMode="External"/><Relationship Id="rId27" Type="http://schemas.openxmlformats.org/officeDocument/2006/relationships/hyperlink" Target="https://www.frc.org.uk/auditors/audit-assurance/auditor-s-responsibilities-for-the-audit-of-the-fi/description-of-the-auditor%e2%80%99s-responsibilities-for" TargetMode="External"/><Relationship Id="rId30" Type="http://schemas.openxmlformats.org/officeDocument/2006/relationships/footer" Target="footer3.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ihrc.org/publication/detail/annual-statemen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AD2BB5DFF6441BF4CFA009782A63B" ma:contentTypeVersion="13" ma:contentTypeDescription="Create a new document." ma:contentTypeScope="" ma:versionID="147d82c501052dabfed3890b3dffbea4">
  <xsd:schema xmlns:xsd="http://www.w3.org/2001/XMLSchema" xmlns:xs="http://www.w3.org/2001/XMLSchema" xmlns:p="http://schemas.microsoft.com/office/2006/metadata/properties" xmlns:ns3="18f1ece0-6612-47c8-941d-14a5148bb64f" xmlns:ns4="3984fc5b-0a8c-4ebb-a749-8beb1c1c7da3" targetNamespace="http://schemas.microsoft.com/office/2006/metadata/properties" ma:root="true" ma:fieldsID="a0ba306d588fbb64063cce8702d1d929" ns3:_="" ns4:_="">
    <xsd:import namespace="18f1ece0-6612-47c8-941d-14a5148bb64f"/>
    <xsd:import namespace="3984fc5b-0a8c-4ebb-a749-8beb1c1c7d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ece0-6612-47c8-941d-14a5148bb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4fc5b-0a8c-4ebb-a749-8beb1c1c7d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74D9-EEC5-4935-8D34-3A3505F318C0}">
  <ds:schemaRefs>
    <ds:schemaRef ds:uri="http://purl.org/dc/terms/"/>
    <ds:schemaRef ds:uri="18f1ece0-6612-47c8-941d-14a5148bb64f"/>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984fc5b-0a8c-4ebb-a749-8beb1c1c7da3"/>
    <ds:schemaRef ds:uri="http://www.w3.org/XML/1998/namespace"/>
    <ds:schemaRef ds:uri="http://purl.org/dc/dcmitype/"/>
  </ds:schemaRefs>
</ds:datastoreItem>
</file>

<file path=customXml/itemProps2.xml><?xml version="1.0" encoding="utf-8"?>
<ds:datastoreItem xmlns:ds="http://schemas.openxmlformats.org/officeDocument/2006/customXml" ds:itemID="{609EF0E4-74E6-4683-9B68-0A13926555A8}">
  <ds:schemaRefs>
    <ds:schemaRef ds:uri="http://schemas.microsoft.com/sharepoint/v3/contenttype/forms"/>
  </ds:schemaRefs>
</ds:datastoreItem>
</file>

<file path=customXml/itemProps3.xml><?xml version="1.0" encoding="utf-8"?>
<ds:datastoreItem xmlns:ds="http://schemas.openxmlformats.org/officeDocument/2006/customXml" ds:itemID="{5F79BFB8-9CF2-4B9E-962B-0656ABFDC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ece0-6612-47c8-941d-14a5148bb64f"/>
    <ds:schemaRef ds:uri="3984fc5b-0a8c-4ebb-a749-8beb1c1c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494F3-01DE-4662-8651-CE6C39B2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19680</Words>
  <Characters>112572</Characters>
  <Application>Microsoft Office Word</Application>
  <DocSecurity>4</DocSecurity>
  <Lines>938</Lines>
  <Paragraphs>263</Paragraphs>
  <ScaleCrop>false</ScaleCrop>
  <HeadingPairs>
    <vt:vector size="2" baseType="variant">
      <vt:variant>
        <vt:lpstr>Title</vt:lpstr>
      </vt:variant>
      <vt:variant>
        <vt:i4>1</vt:i4>
      </vt:variant>
    </vt:vector>
  </HeadingPairs>
  <TitlesOfParts>
    <vt:vector size="1" baseType="lpstr">
      <vt:lpstr>Chief Commissioner’s Foreword</vt:lpstr>
    </vt:vector>
  </TitlesOfParts>
  <Company/>
  <LinksUpToDate>false</LinksUpToDate>
  <CharactersWithSpaces>131989</CharactersWithSpaces>
  <SharedDoc>false</SharedDoc>
  <HLinks>
    <vt:vector size="216" baseType="variant">
      <vt:variant>
        <vt:i4>7602234</vt:i4>
      </vt:variant>
      <vt:variant>
        <vt:i4>99</vt:i4>
      </vt:variant>
      <vt:variant>
        <vt:i4>0</vt:i4>
      </vt:variant>
      <vt:variant>
        <vt:i4>5</vt:i4>
      </vt:variant>
      <vt:variant>
        <vt:lpwstr>http://www.frc.org.uk/auditorsresponsibilities</vt:lpwstr>
      </vt:variant>
      <vt:variant>
        <vt:lpwstr/>
      </vt:variant>
      <vt:variant>
        <vt:i4>6815861</vt:i4>
      </vt:variant>
      <vt:variant>
        <vt:i4>96</vt:i4>
      </vt:variant>
      <vt:variant>
        <vt:i4>0</vt:i4>
      </vt:variant>
      <vt:variant>
        <vt:i4>5</vt:i4>
      </vt:variant>
      <vt:variant>
        <vt:lpwstr>http://www.civilservicepensionscheme.org.uk/about-us/resource-accounts/</vt:lpwstr>
      </vt:variant>
      <vt:variant>
        <vt:lpwstr/>
      </vt:variant>
      <vt:variant>
        <vt:i4>1048653</vt:i4>
      </vt:variant>
      <vt:variant>
        <vt:i4>93</vt:i4>
      </vt:variant>
      <vt:variant>
        <vt:i4>0</vt:i4>
      </vt:variant>
      <vt:variant>
        <vt:i4>5</vt:i4>
      </vt:variant>
      <vt:variant>
        <vt:lpwstr>https://nihrc.org/publication/detail/strategic-plan-2022-2025</vt:lpwstr>
      </vt:variant>
      <vt:variant>
        <vt:lpwstr/>
      </vt:variant>
      <vt:variant>
        <vt:i4>3342445</vt:i4>
      </vt:variant>
      <vt:variant>
        <vt:i4>90</vt:i4>
      </vt:variant>
      <vt:variant>
        <vt:i4>0</vt:i4>
      </vt:variant>
      <vt:variant>
        <vt:i4>5</vt:i4>
      </vt:variant>
      <vt:variant>
        <vt:lpwstr>http://www.nihrc.org/publication/detail/northern-ireland-human-rights-commission-strategic-plan-2019-22</vt:lpwstr>
      </vt:variant>
      <vt:variant>
        <vt:lpwstr/>
      </vt:variant>
      <vt:variant>
        <vt:i4>4587543</vt:i4>
      </vt:variant>
      <vt:variant>
        <vt:i4>87</vt:i4>
      </vt:variant>
      <vt:variant>
        <vt:i4>0</vt:i4>
      </vt:variant>
      <vt:variant>
        <vt:i4>5</vt:i4>
      </vt:variant>
      <vt:variant>
        <vt:lpwstr>http://www.nihrc.org/</vt:lpwstr>
      </vt:variant>
      <vt:variant>
        <vt:lpwstr/>
      </vt:variant>
      <vt:variant>
        <vt:i4>4587543</vt:i4>
      </vt:variant>
      <vt:variant>
        <vt:i4>84</vt:i4>
      </vt:variant>
      <vt:variant>
        <vt:i4>0</vt:i4>
      </vt:variant>
      <vt:variant>
        <vt:i4>5</vt:i4>
      </vt:variant>
      <vt:variant>
        <vt:lpwstr>http://www.nihrc.org/</vt:lpwstr>
      </vt:variant>
      <vt:variant>
        <vt:lpwstr/>
      </vt:variant>
      <vt:variant>
        <vt:i4>7209065</vt:i4>
      </vt:variant>
      <vt:variant>
        <vt:i4>81</vt:i4>
      </vt:variant>
      <vt:variant>
        <vt:i4>0</vt:i4>
      </vt:variant>
      <vt:variant>
        <vt:i4>5</vt:i4>
      </vt:variant>
      <vt:variant>
        <vt:lpwstr>http://www.niassembly.gov.uk/assembly-business/legislation/2017-2022-mandate/primary-legislation---bills-2017---2022-mandate/justice-sexual-offences-and-trafficking-victims-bill/</vt:lpwstr>
      </vt:variant>
      <vt:variant>
        <vt:lpwstr/>
      </vt:variant>
      <vt:variant>
        <vt:i4>5767182</vt:i4>
      </vt:variant>
      <vt:variant>
        <vt:i4>78</vt:i4>
      </vt:variant>
      <vt:variant>
        <vt:i4>0</vt:i4>
      </vt:variant>
      <vt:variant>
        <vt:i4>5</vt:i4>
      </vt:variant>
      <vt:variant>
        <vt:lpwstr>http://www.niassembly.gov.uk/assembly-business/legislation/2017-2022-mandate/primary-legislation---bills-2017---2022-mandate/adoption-and-children-bill/</vt:lpwstr>
      </vt:variant>
      <vt:variant>
        <vt:lpwstr/>
      </vt:variant>
      <vt:variant>
        <vt:i4>6160468</vt:i4>
      </vt:variant>
      <vt:variant>
        <vt:i4>75</vt:i4>
      </vt:variant>
      <vt:variant>
        <vt:i4>0</vt:i4>
      </vt:variant>
      <vt:variant>
        <vt:i4>5</vt:i4>
      </vt:variant>
      <vt:variant>
        <vt:lpwstr>http://www.ohchr.org/english/law/parisprinciples</vt:lpwstr>
      </vt:variant>
      <vt:variant>
        <vt:lpwstr/>
      </vt:variant>
      <vt:variant>
        <vt:i4>8257645</vt:i4>
      </vt:variant>
      <vt:variant>
        <vt:i4>72</vt:i4>
      </vt:variant>
      <vt:variant>
        <vt:i4>0</vt:i4>
      </vt:variant>
      <vt:variant>
        <vt:i4>5</vt:i4>
      </vt:variant>
      <vt:variant>
        <vt:lpwstr/>
      </vt:variant>
      <vt:variant>
        <vt:lpwstr>NotesToTheAccounts</vt:lpwstr>
      </vt:variant>
      <vt:variant>
        <vt:i4>7667822</vt:i4>
      </vt:variant>
      <vt:variant>
        <vt:i4>69</vt:i4>
      </vt:variant>
      <vt:variant>
        <vt:i4>0</vt:i4>
      </vt:variant>
      <vt:variant>
        <vt:i4>5</vt:i4>
      </vt:variant>
      <vt:variant>
        <vt:lpwstr/>
      </vt:variant>
      <vt:variant>
        <vt:lpwstr>StatementofChangesinEquity</vt:lpwstr>
      </vt:variant>
      <vt:variant>
        <vt:i4>393234</vt:i4>
      </vt:variant>
      <vt:variant>
        <vt:i4>66</vt:i4>
      </vt:variant>
      <vt:variant>
        <vt:i4>0</vt:i4>
      </vt:variant>
      <vt:variant>
        <vt:i4>5</vt:i4>
      </vt:variant>
      <vt:variant>
        <vt:lpwstr/>
      </vt:variant>
      <vt:variant>
        <vt:lpwstr>StatementofCashFlows</vt:lpwstr>
      </vt:variant>
      <vt:variant>
        <vt:i4>917522</vt:i4>
      </vt:variant>
      <vt:variant>
        <vt:i4>63</vt:i4>
      </vt:variant>
      <vt:variant>
        <vt:i4>0</vt:i4>
      </vt:variant>
      <vt:variant>
        <vt:i4>5</vt:i4>
      </vt:variant>
      <vt:variant>
        <vt:lpwstr/>
      </vt:variant>
      <vt:variant>
        <vt:lpwstr>StatementofFinancialPosition</vt:lpwstr>
      </vt:variant>
      <vt:variant>
        <vt:i4>8192127</vt:i4>
      </vt:variant>
      <vt:variant>
        <vt:i4>60</vt:i4>
      </vt:variant>
      <vt:variant>
        <vt:i4>0</vt:i4>
      </vt:variant>
      <vt:variant>
        <vt:i4>5</vt:i4>
      </vt:variant>
      <vt:variant>
        <vt:lpwstr/>
      </vt:variant>
      <vt:variant>
        <vt:lpwstr>StatementofComprehensiveNetExpenditure</vt:lpwstr>
      </vt:variant>
      <vt:variant>
        <vt:i4>7077984</vt:i4>
      </vt:variant>
      <vt:variant>
        <vt:i4>57</vt:i4>
      </vt:variant>
      <vt:variant>
        <vt:i4>0</vt:i4>
      </vt:variant>
      <vt:variant>
        <vt:i4>5</vt:i4>
      </vt:variant>
      <vt:variant>
        <vt:lpwstr/>
      </vt:variant>
      <vt:variant>
        <vt:lpwstr>FinancialStatements</vt:lpwstr>
      </vt:variant>
      <vt:variant>
        <vt:i4>7995490</vt:i4>
      </vt:variant>
      <vt:variant>
        <vt:i4>54</vt:i4>
      </vt:variant>
      <vt:variant>
        <vt:i4>0</vt:i4>
      </vt:variant>
      <vt:variant>
        <vt:i4>5</vt:i4>
      </vt:variant>
      <vt:variant>
        <vt:lpwstr/>
      </vt:variant>
      <vt:variant>
        <vt:lpwstr>CertificateoftheComptroller</vt:lpwstr>
      </vt:variant>
      <vt:variant>
        <vt:i4>7733363</vt:i4>
      </vt:variant>
      <vt:variant>
        <vt:i4>51</vt:i4>
      </vt:variant>
      <vt:variant>
        <vt:i4>0</vt:i4>
      </vt:variant>
      <vt:variant>
        <vt:i4>5</vt:i4>
      </vt:variant>
      <vt:variant>
        <vt:lpwstr/>
      </vt:variant>
      <vt:variant>
        <vt:lpwstr>ParliamentaryAccountability</vt:lpwstr>
      </vt:variant>
      <vt:variant>
        <vt:i4>6422654</vt:i4>
      </vt:variant>
      <vt:variant>
        <vt:i4>48</vt:i4>
      </vt:variant>
      <vt:variant>
        <vt:i4>0</vt:i4>
      </vt:variant>
      <vt:variant>
        <vt:i4>5</vt:i4>
      </vt:variant>
      <vt:variant>
        <vt:lpwstr/>
      </vt:variant>
      <vt:variant>
        <vt:lpwstr>StaffReport</vt:lpwstr>
      </vt:variant>
      <vt:variant>
        <vt:i4>8323189</vt:i4>
      </vt:variant>
      <vt:variant>
        <vt:i4>45</vt:i4>
      </vt:variant>
      <vt:variant>
        <vt:i4>0</vt:i4>
      </vt:variant>
      <vt:variant>
        <vt:i4>5</vt:i4>
      </vt:variant>
      <vt:variant>
        <vt:lpwstr/>
      </vt:variant>
      <vt:variant>
        <vt:lpwstr>RemunerationandPensionEntitlements</vt:lpwstr>
      </vt:variant>
      <vt:variant>
        <vt:i4>7077991</vt:i4>
      </vt:variant>
      <vt:variant>
        <vt:i4>42</vt:i4>
      </vt:variant>
      <vt:variant>
        <vt:i4>0</vt:i4>
      </vt:variant>
      <vt:variant>
        <vt:i4>5</vt:i4>
      </vt:variant>
      <vt:variant>
        <vt:lpwstr/>
      </vt:variant>
      <vt:variant>
        <vt:lpwstr>RemunerationPolicy</vt:lpwstr>
      </vt:variant>
      <vt:variant>
        <vt:i4>7798911</vt:i4>
      </vt:variant>
      <vt:variant>
        <vt:i4>39</vt:i4>
      </vt:variant>
      <vt:variant>
        <vt:i4>0</vt:i4>
      </vt:variant>
      <vt:variant>
        <vt:i4>5</vt:i4>
      </vt:variant>
      <vt:variant>
        <vt:lpwstr/>
      </vt:variant>
      <vt:variant>
        <vt:lpwstr>RemunerationandStaffReport</vt:lpwstr>
      </vt:variant>
      <vt:variant>
        <vt:i4>7078003</vt:i4>
      </vt:variant>
      <vt:variant>
        <vt:i4>36</vt:i4>
      </vt:variant>
      <vt:variant>
        <vt:i4>0</vt:i4>
      </vt:variant>
      <vt:variant>
        <vt:i4>5</vt:i4>
      </vt:variant>
      <vt:variant>
        <vt:lpwstr/>
      </vt:variant>
      <vt:variant>
        <vt:lpwstr>GovernanceStatement</vt:lpwstr>
      </vt:variant>
      <vt:variant>
        <vt:i4>1638406</vt:i4>
      </vt:variant>
      <vt:variant>
        <vt:i4>33</vt:i4>
      </vt:variant>
      <vt:variant>
        <vt:i4>0</vt:i4>
      </vt:variant>
      <vt:variant>
        <vt:i4>5</vt:i4>
      </vt:variant>
      <vt:variant>
        <vt:lpwstr/>
      </vt:variant>
      <vt:variant>
        <vt:lpwstr>StatementofAccountingOfficer</vt:lpwstr>
      </vt:variant>
      <vt:variant>
        <vt:i4>7995491</vt:i4>
      </vt:variant>
      <vt:variant>
        <vt:i4>30</vt:i4>
      </vt:variant>
      <vt:variant>
        <vt:i4>0</vt:i4>
      </vt:variant>
      <vt:variant>
        <vt:i4>5</vt:i4>
      </vt:variant>
      <vt:variant>
        <vt:lpwstr/>
      </vt:variant>
      <vt:variant>
        <vt:lpwstr>DirectorsReport</vt:lpwstr>
      </vt:variant>
      <vt:variant>
        <vt:i4>524319</vt:i4>
      </vt:variant>
      <vt:variant>
        <vt:i4>27</vt:i4>
      </vt:variant>
      <vt:variant>
        <vt:i4>0</vt:i4>
      </vt:variant>
      <vt:variant>
        <vt:i4>5</vt:i4>
      </vt:variant>
      <vt:variant>
        <vt:lpwstr/>
      </vt:variant>
      <vt:variant>
        <vt:lpwstr>CorporateGovernanceReport</vt:lpwstr>
      </vt:variant>
      <vt:variant>
        <vt:i4>262153</vt:i4>
      </vt:variant>
      <vt:variant>
        <vt:i4>24</vt:i4>
      </vt:variant>
      <vt:variant>
        <vt:i4>0</vt:i4>
      </vt:variant>
      <vt:variant>
        <vt:i4>5</vt:i4>
      </vt:variant>
      <vt:variant>
        <vt:lpwstr/>
      </vt:variant>
      <vt:variant>
        <vt:lpwstr>AccountabilityReport</vt:lpwstr>
      </vt:variant>
      <vt:variant>
        <vt:i4>6488186</vt:i4>
      </vt:variant>
      <vt:variant>
        <vt:i4>21</vt:i4>
      </vt:variant>
      <vt:variant>
        <vt:i4>0</vt:i4>
      </vt:variant>
      <vt:variant>
        <vt:i4>5</vt:i4>
      </vt:variant>
      <vt:variant>
        <vt:lpwstr/>
      </vt:variant>
      <vt:variant>
        <vt:lpwstr>PerformanceAnalysis</vt:lpwstr>
      </vt:variant>
      <vt:variant>
        <vt:i4>1507344</vt:i4>
      </vt:variant>
      <vt:variant>
        <vt:i4>18</vt:i4>
      </vt:variant>
      <vt:variant>
        <vt:i4>0</vt:i4>
      </vt:variant>
      <vt:variant>
        <vt:i4>5</vt:i4>
      </vt:variant>
      <vt:variant>
        <vt:lpwstr/>
      </vt:variant>
      <vt:variant>
        <vt:lpwstr>KeyRisks</vt:lpwstr>
      </vt:variant>
      <vt:variant>
        <vt:i4>7864441</vt:i4>
      </vt:variant>
      <vt:variant>
        <vt:i4>15</vt:i4>
      </vt:variant>
      <vt:variant>
        <vt:i4>0</vt:i4>
      </vt:variant>
      <vt:variant>
        <vt:i4>5</vt:i4>
      </vt:variant>
      <vt:variant>
        <vt:lpwstr/>
      </vt:variant>
      <vt:variant>
        <vt:lpwstr>StatementofPurposeandActivities</vt:lpwstr>
      </vt:variant>
      <vt:variant>
        <vt:i4>6357113</vt:i4>
      </vt:variant>
      <vt:variant>
        <vt:i4>12</vt:i4>
      </vt:variant>
      <vt:variant>
        <vt:i4>0</vt:i4>
      </vt:variant>
      <vt:variant>
        <vt:i4>5</vt:i4>
      </vt:variant>
      <vt:variant>
        <vt:lpwstr/>
      </vt:variant>
      <vt:variant>
        <vt:lpwstr>ChiefCommissionersForeword</vt:lpwstr>
      </vt:variant>
      <vt:variant>
        <vt:i4>1703961</vt:i4>
      </vt:variant>
      <vt:variant>
        <vt:i4>9</vt:i4>
      </vt:variant>
      <vt:variant>
        <vt:i4>0</vt:i4>
      </vt:variant>
      <vt:variant>
        <vt:i4>5</vt:i4>
      </vt:variant>
      <vt:variant>
        <vt:lpwstr/>
      </vt:variant>
      <vt:variant>
        <vt:lpwstr>Overview</vt:lpwstr>
      </vt:variant>
      <vt:variant>
        <vt:i4>196609</vt:i4>
      </vt:variant>
      <vt:variant>
        <vt:i4>6</vt:i4>
      </vt:variant>
      <vt:variant>
        <vt:i4>0</vt:i4>
      </vt:variant>
      <vt:variant>
        <vt:i4>5</vt:i4>
      </vt:variant>
      <vt:variant>
        <vt:lpwstr/>
      </vt:variant>
      <vt:variant>
        <vt:lpwstr>PerformanceReport</vt:lpwstr>
      </vt:variant>
      <vt:variant>
        <vt:i4>1900631</vt:i4>
      </vt:variant>
      <vt:variant>
        <vt:i4>3</vt:i4>
      </vt:variant>
      <vt:variant>
        <vt:i4>0</vt:i4>
      </vt:variant>
      <vt:variant>
        <vt:i4>5</vt:i4>
      </vt:variant>
      <vt:variant>
        <vt:lpwstr>http://www.gov.uk/official-documents</vt:lpwstr>
      </vt:variant>
      <vt:variant>
        <vt:lpwstr/>
      </vt:variant>
      <vt:variant>
        <vt:i4>5505035</vt:i4>
      </vt:variant>
      <vt:variant>
        <vt:i4>0</vt:i4>
      </vt:variant>
      <vt:variant>
        <vt:i4>0</vt:i4>
      </vt:variant>
      <vt:variant>
        <vt:i4>5</vt:i4>
      </vt:variant>
      <vt:variant>
        <vt:lpwstr>http://www.nationalarchives.gov.uk/doc/open-government-licence/version/3</vt:lpwstr>
      </vt:variant>
      <vt:variant>
        <vt:lpwstr/>
      </vt:variant>
      <vt:variant>
        <vt:i4>1441904</vt:i4>
      </vt:variant>
      <vt:variant>
        <vt:i4>3</vt:i4>
      </vt:variant>
      <vt:variant>
        <vt:i4>0</vt:i4>
      </vt:variant>
      <vt:variant>
        <vt:i4>5</vt:i4>
      </vt:variant>
      <vt:variant>
        <vt:lpwstr>https://assets.publishing.service.gov.uk/government/uploads/system/uploads/attachment_data/file/1041651/2021-22_FReM_-_Dec_21.pdf</vt:lpwstr>
      </vt:variant>
      <vt:variant>
        <vt:lpwstr/>
      </vt:variant>
      <vt:variant>
        <vt:i4>1114116</vt:i4>
      </vt:variant>
      <vt:variant>
        <vt:i4>0</vt:i4>
      </vt:variant>
      <vt:variant>
        <vt:i4>0</vt:i4>
      </vt:variant>
      <vt:variant>
        <vt:i4>5</vt:i4>
      </vt:variant>
      <vt:variant>
        <vt:lpwstr>https://assets.publishing.service.gov.uk/government/uploads/system/uploads/attachment_data/file/1030665/Sustainability_Reporting_Guidance_2021-22.pdf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Commissioner’s Foreword</dc:title>
  <dc:creator>Don.Leeson</dc:creator>
  <cp:lastModifiedBy>Barbara Smith</cp:lastModifiedBy>
  <cp:revision>2</cp:revision>
  <cp:lastPrinted>2022-09-08T15:31:00Z</cp:lastPrinted>
  <dcterms:created xsi:type="dcterms:W3CDTF">2022-10-18T12:26:00Z</dcterms:created>
  <dcterms:modified xsi:type="dcterms:W3CDTF">2022-10-18T12:26:00Z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-222357991</vt:i4>
  </property>
  <property fmtid="{D5CDD505-2E9C-101B-9397-08002B2CF9AE}" pid="3" name="ContentTypeId">
    <vt:lpwstr>0x010100CECAD2BB5DFF6441BF4CFA009782A63B</vt:lpwstr>
  </property>
</Properties>
</file>