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8EF689" w14:textId="77777777" w:rsidR="00F31387" w:rsidRDefault="00F31387" w:rsidP="000D1B4E">
      <w:pPr>
        <w:pStyle w:val="BasicParagraph"/>
        <w:suppressAutoHyphens/>
        <w:spacing w:before="24" w:after="24"/>
        <w:jc w:val="center"/>
        <w:rPr>
          <w:rFonts w:ascii="Verdana" w:hAnsi="Verdana" w:cs="Arial"/>
          <w:b/>
          <w:bCs/>
          <w:color w:val="734791"/>
          <w:sz w:val="36"/>
          <w:szCs w:val="36"/>
        </w:rPr>
      </w:pPr>
      <w:bookmarkStart w:id="0" w:name="_GoBack"/>
      <w:bookmarkEnd w:id="0"/>
      <w:r w:rsidRPr="00EA12CE">
        <w:rPr>
          <w:rFonts w:ascii="Verdana" w:hAnsi="Verdana" w:cs="Arial"/>
          <w:b/>
          <w:bCs/>
          <w:noProof/>
          <w:color w:val="734791"/>
          <w:sz w:val="36"/>
          <w:szCs w:val="36"/>
          <w:lang w:eastAsia="en-GB"/>
        </w:rPr>
        <w:drawing>
          <wp:inline distT="0" distB="0" distL="0" distR="0" wp14:anchorId="2D9F7F80" wp14:editId="5AEB1BFA">
            <wp:extent cx="2908485" cy="3886623"/>
            <wp:effectExtent l="0" t="0" r="0" b="0"/>
            <wp:docPr id="7" name="Picture 7"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 Volume:Corey Watson:Corey Watson CURRENT WORK:27689 - HUMAN RIGHTS Brand Guidelines:PDF:NIHRC LOGOs-0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8982" cy="3887287"/>
                    </a:xfrm>
                    <a:prstGeom prst="rect">
                      <a:avLst/>
                    </a:prstGeom>
                    <a:noFill/>
                    <a:ln>
                      <a:noFill/>
                    </a:ln>
                  </pic:spPr>
                </pic:pic>
              </a:graphicData>
            </a:graphic>
          </wp:inline>
        </w:drawing>
      </w:r>
    </w:p>
    <w:p w14:paraId="0B94D950" w14:textId="77777777" w:rsidR="003B7D0E" w:rsidRPr="00EA12CE" w:rsidRDefault="003B7D0E" w:rsidP="000D1B4E">
      <w:pPr>
        <w:pStyle w:val="BasicParagraph"/>
        <w:suppressAutoHyphens/>
        <w:spacing w:before="24" w:after="24"/>
        <w:jc w:val="center"/>
        <w:rPr>
          <w:rFonts w:ascii="Verdana" w:hAnsi="Verdana" w:cs="Arial"/>
          <w:b/>
          <w:bCs/>
          <w:color w:val="734791"/>
          <w:sz w:val="36"/>
          <w:szCs w:val="36"/>
        </w:rPr>
      </w:pPr>
    </w:p>
    <w:p w14:paraId="686188FC" w14:textId="3EB021E0" w:rsidR="0096459E" w:rsidRPr="003B7D0E" w:rsidRDefault="00C158A9" w:rsidP="000D1B4E">
      <w:pPr>
        <w:pStyle w:val="BasicParagraph"/>
        <w:suppressAutoHyphens/>
        <w:spacing w:before="24" w:after="24"/>
        <w:jc w:val="center"/>
        <w:rPr>
          <w:rFonts w:ascii="Verdana" w:hAnsi="Verdana" w:cs="Arial"/>
          <w:b/>
          <w:color w:val="77328A"/>
          <w:sz w:val="36"/>
          <w:szCs w:val="36"/>
        </w:rPr>
      </w:pPr>
      <w:r>
        <w:rPr>
          <w:rFonts w:ascii="Verdana" w:hAnsi="Verdana" w:cs="Arial"/>
          <w:b/>
          <w:bCs/>
          <w:color w:val="77328A"/>
          <w:sz w:val="36"/>
          <w:szCs w:val="36"/>
        </w:rPr>
        <w:t xml:space="preserve">Response to the Department of Justice Consultation on Consent to Serious Harm for Sexual Gratification: Not a Defence </w:t>
      </w:r>
    </w:p>
    <w:p w14:paraId="00D10ADC" w14:textId="41D231D5" w:rsidR="00F31387" w:rsidRDefault="00F31387" w:rsidP="000D1B4E">
      <w:pPr>
        <w:pStyle w:val="Default"/>
        <w:spacing w:before="24" w:after="24" w:line="288" w:lineRule="auto"/>
        <w:jc w:val="center"/>
        <w:rPr>
          <w:rFonts w:cs="Arial"/>
          <w:color w:val="232120"/>
          <w:sz w:val="36"/>
          <w:szCs w:val="36"/>
        </w:rPr>
      </w:pPr>
    </w:p>
    <w:p w14:paraId="37CE8E79" w14:textId="17F1ADD9" w:rsidR="00E82EEF" w:rsidRDefault="00E82EEF" w:rsidP="000D1B4E">
      <w:pPr>
        <w:pStyle w:val="Default"/>
        <w:spacing w:before="24" w:after="24" w:line="288" w:lineRule="auto"/>
        <w:jc w:val="center"/>
        <w:rPr>
          <w:rFonts w:cs="Arial"/>
          <w:color w:val="232120"/>
          <w:sz w:val="36"/>
          <w:szCs w:val="36"/>
        </w:rPr>
      </w:pPr>
    </w:p>
    <w:p w14:paraId="2DA717C1" w14:textId="54A54E68" w:rsidR="00E82EEF" w:rsidRDefault="00E82EEF" w:rsidP="000D1B4E">
      <w:pPr>
        <w:pStyle w:val="Default"/>
        <w:spacing w:before="24" w:after="24" w:line="288" w:lineRule="auto"/>
        <w:jc w:val="center"/>
        <w:rPr>
          <w:rFonts w:cs="Arial"/>
          <w:color w:val="232120"/>
          <w:sz w:val="36"/>
          <w:szCs w:val="36"/>
        </w:rPr>
      </w:pPr>
    </w:p>
    <w:p w14:paraId="64BDC7A4" w14:textId="7C676232" w:rsidR="00E82EEF" w:rsidRDefault="00E82EEF" w:rsidP="000D1B4E">
      <w:pPr>
        <w:pStyle w:val="Default"/>
        <w:spacing w:before="24" w:after="24" w:line="288" w:lineRule="auto"/>
        <w:jc w:val="center"/>
        <w:rPr>
          <w:rFonts w:cs="Arial"/>
          <w:color w:val="232120"/>
          <w:sz w:val="36"/>
          <w:szCs w:val="36"/>
        </w:rPr>
      </w:pPr>
    </w:p>
    <w:p w14:paraId="252F0CAE" w14:textId="4C592542" w:rsidR="00E82EEF" w:rsidRDefault="00E82EEF" w:rsidP="000D1B4E">
      <w:pPr>
        <w:pStyle w:val="Default"/>
        <w:spacing w:before="24" w:after="24" w:line="288" w:lineRule="auto"/>
        <w:jc w:val="center"/>
        <w:rPr>
          <w:rFonts w:cs="Arial"/>
          <w:color w:val="232120"/>
          <w:sz w:val="36"/>
          <w:szCs w:val="36"/>
        </w:rPr>
      </w:pPr>
    </w:p>
    <w:p w14:paraId="12F73989" w14:textId="07F4EA49" w:rsidR="00E82EEF" w:rsidRDefault="00E82EEF" w:rsidP="000D1B4E">
      <w:pPr>
        <w:pStyle w:val="Default"/>
        <w:spacing w:before="24" w:after="24" w:line="288" w:lineRule="auto"/>
        <w:jc w:val="center"/>
        <w:rPr>
          <w:rFonts w:cs="Arial"/>
          <w:color w:val="232120"/>
          <w:sz w:val="36"/>
          <w:szCs w:val="36"/>
        </w:rPr>
      </w:pPr>
    </w:p>
    <w:p w14:paraId="59CCB7D4" w14:textId="77777777" w:rsidR="00E82EEF" w:rsidRPr="00331C61" w:rsidRDefault="00E82EEF" w:rsidP="000D1B4E">
      <w:pPr>
        <w:pStyle w:val="Default"/>
        <w:spacing w:before="24" w:after="24" w:line="288" w:lineRule="auto"/>
        <w:jc w:val="center"/>
        <w:rPr>
          <w:rFonts w:cs="Arial"/>
          <w:color w:val="232120"/>
          <w:sz w:val="36"/>
          <w:szCs w:val="36"/>
        </w:rPr>
      </w:pPr>
    </w:p>
    <w:p w14:paraId="6E9A4F32" w14:textId="77777777" w:rsidR="008159E8" w:rsidRPr="00331C61" w:rsidRDefault="00866AB4" w:rsidP="000D1B4E">
      <w:pPr>
        <w:spacing w:before="24" w:after="24" w:line="288" w:lineRule="auto"/>
        <w:jc w:val="center"/>
        <w:rPr>
          <w:rFonts w:ascii="Verdana" w:hAnsi="Verdana" w:cs="Arial"/>
          <w:b/>
          <w:color w:val="232120"/>
          <w:sz w:val="30"/>
          <w:szCs w:val="30"/>
        </w:rPr>
      </w:pPr>
      <w:r>
        <w:rPr>
          <w:rFonts w:ascii="Verdana" w:hAnsi="Verdana" w:cs="Arial"/>
          <w:b/>
          <w:color w:val="232120"/>
          <w:sz w:val="30"/>
          <w:szCs w:val="30"/>
        </w:rPr>
        <w:t>January 2021</w:t>
      </w:r>
    </w:p>
    <w:p w14:paraId="30DD10A0" w14:textId="77777777" w:rsidR="00046705" w:rsidRPr="00331C61" w:rsidRDefault="00046705" w:rsidP="000D1B4E">
      <w:pPr>
        <w:spacing w:before="24" w:after="24" w:line="288" w:lineRule="auto"/>
        <w:jc w:val="center"/>
        <w:rPr>
          <w:rFonts w:ascii="Verdana" w:hAnsi="Verdana" w:cs="Arial"/>
          <w:b/>
          <w:color w:val="232120"/>
          <w:sz w:val="28"/>
          <w:szCs w:val="28"/>
        </w:rPr>
      </w:pPr>
    </w:p>
    <w:p w14:paraId="2BD398E0" w14:textId="77777777" w:rsidR="00046705" w:rsidRPr="00331C61" w:rsidRDefault="00046705" w:rsidP="000D1B4E">
      <w:pPr>
        <w:spacing w:before="24" w:after="24" w:line="288" w:lineRule="auto"/>
        <w:jc w:val="center"/>
        <w:rPr>
          <w:rFonts w:ascii="Verdana" w:hAnsi="Verdana" w:cs="Arial"/>
          <w:b/>
          <w:color w:val="232120"/>
          <w:sz w:val="28"/>
          <w:szCs w:val="28"/>
        </w:rPr>
      </w:pPr>
    </w:p>
    <w:p w14:paraId="6F9C9F8A" w14:textId="77777777" w:rsidR="00EA12CE" w:rsidRPr="00331C61" w:rsidRDefault="00EA12CE" w:rsidP="000D1B4E">
      <w:pPr>
        <w:pStyle w:val="Default"/>
        <w:spacing w:before="24" w:after="24" w:line="288" w:lineRule="auto"/>
        <w:jc w:val="center"/>
        <w:rPr>
          <w:rFonts w:cs="Arial"/>
          <w:b/>
          <w:color w:val="232120"/>
          <w:sz w:val="28"/>
          <w:szCs w:val="28"/>
          <w:lang w:val="en-GB"/>
        </w:rPr>
      </w:pPr>
    </w:p>
    <w:p w14:paraId="4756F4B6" w14:textId="77777777" w:rsidR="000D1B4E" w:rsidRDefault="000D1B4E" w:rsidP="000D1B4E">
      <w:pPr>
        <w:spacing w:before="24" w:after="24"/>
        <w:rPr>
          <w:lang w:val="en-US"/>
        </w:rPr>
      </w:pPr>
    </w:p>
    <w:sdt>
      <w:sdtPr>
        <w:rPr>
          <w:rFonts w:asciiTheme="minorHAnsi" w:eastAsiaTheme="minorEastAsia" w:hAnsiTheme="minorHAnsi" w:cstheme="minorBidi"/>
          <w:b w:val="0"/>
          <w:color w:val="auto"/>
          <w:sz w:val="24"/>
          <w:szCs w:val="24"/>
          <w:lang w:val="en-GB"/>
        </w:rPr>
        <w:id w:val="-160540524"/>
        <w:docPartObj>
          <w:docPartGallery w:val="Table of Contents"/>
          <w:docPartUnique/>
        </w:docPartObj>
      </w:sdtPr>
      <w:sdtEndPr>
        <w:rPr>
          <w:bCs/>
          <w:noProof/>
        </w:rPr>
      </w:sdtEndPr>
      <w:sdtContent>
        <w:p w14:paraId="2D0DB398" w14:textId="77777777" w:rsidR="000D1B4E" w:rsidRDefault="000D1B4E" w:rsidP="000D1B4E">
          <w:pPr>
            <w:pStyle w:val="TOCHeading"/>
            <w:spacing w:before="24" w:after="24"/>
          </w:pPr>
          <w:r>
            <w:t>Table of Contents</w:t>
          </w:r>
        </w:p>
        <w:p w14:paraId="01AF9614" w14:textId="77777777" w:rsidR="000D1B4E" w:rsidRPr="00B042B1" w:rsidRDefault="000D1B4E" w:rsidP="000D1B4E">
          <w:pPr>
            <w:spacing w:before="24" w:after="24"/>
            <w:rPr>
              <w:rFonts w:ascii="Verdana" w:hAnsi="Verdana"/>
              <w:lang w:val="en-US"/>
            </w:rPr>
          </w:pPr>
        </w:p>
        <w:p w14:paraId="2E3DAD50" w14:textId="706958D8" w:rsidR="00BF2ADB" w:rsidRPr="00BF2ADB" w:rsidRDefault="000D1B4E">
          <w:pPr>
            <w:pStyle w:val="TOC1"/>
            <w:rPr>
              <w:rStyle w:val="Hyperlink"/>
            </w:rPr>
          </w:pPr>
          <w:r w:rsidRPr="00B042B1">
            <w:rPr>
              <w:noProof w:val="0"/>
            </w:rPr>
            <w:fldChar w:fldCharType="begin"/>
          </w:r>
          <w:r w:rsidRPr="00B042B1">
            <w:instrText xml:space="preserve"> TOC \o "1-3" \h \z \u </w:instrText>
          </w:r>
          <w:r w:rsidRPr="00B042B1">
            <w:rPr>
              <w:noProof w:val="0"/>
            </w:rPr>
            <w:fldChar w:fldCharType="separate"/>
          </w:r>
          <w:hyperlink w:anchor="_Toc61268490" w:history="1">
            <w:r w:rsidR="00BF2ADB" w:rsidRPr="00BF2ADB">
              <w:rPr>
                <w:rStyle w:val="Hyperlink"/>
              </w:rPr>
              <w:t>1.0</w:t>
            </w:r>
            <w:r w:rsidR="00BF2ADB" w:rsidRPr="00BF2ADB">
              <w:rPr>
                <w:b w:val="0"/>
                <w:sz w:val="22"/>
                <w:szCs w:val="22"/>
                <w:lang w:eastAsia="en-GB"/>
              </w:rPr>
              <w:tab/>
            </w:r>
            <w:r w:rsidR="00BF2ADB" w:rsidRPr="00BF2ADB">
              <w:rPr>
                <w:rStyle w:val="Hyperlink"/>
              </w:rPr>
              <w:t>Introduction</w:t>
            </w:r>
            <w:r w:rsidR="00BF2ADB" w:rsidRPr="00BF2ADB">
              <w:rPr>
                <w:webHidden/>
              </w:rPr>
              <w:tab/>
            </w:r>
            <w:r w:rsidR="00BF2ADB" w:rsidRPr="00BF2ADB">
              <w:rPr>
                <w:webHidden/>
              </w:rPr>
              <w:fldChar w:fldCharType="begin"/>
            </w:r>
            <w:r w:rsidR="00BF2ADB" w:rsidRPr="00BF2ADB">
              <w:rPr>
                <w:webHidden/>
              </w:rPr>
              <w:instrText xml:space="preserve"> PAGEREF _Toc61268490 \h </w:instrText>
            </w:r>
            <w:r w:rsidR="00BF2ADB" w:rsidRPr="00BF2ADB">
              <w:rPr>
                <w:webHidden/>
              </w:rPr>
            </w:r>
            <w:r w:rsidR="00BF2ADB" w:rsidRPr="00BF2ADB">
              <w:rPr>
                <w:webHidden/>
              </w:rPr>
              <w:fldChar w:fldCharType="separate"/>
            </w:r>
            <w:r w:rsidR="00BF2ADB" w:rsidRPr="00BF2ADB">
              <w:rPr>
                <w:webHidden/>
              </w:rPr>
              <w:t>5</w:t>
            </w:r>
            <w:r w:rsidR="00BF2ADB" w:rsidRPr="00BF2ADB">
              <w:rPr>
                <w:webHidden/>
              </w:rPr>
              <w:fldChar w:fldCharType="end"/>
            </w:r>
          </w:hyperlink>
        </w:p>
        <w:p w14:paraId="14824451" w14:textId="77777777" w:rsidR="00BF2ADB" w:rsidRPr="00BF2ADB" w:rsidRDefault="00BF2ADB" w:rsidP="00BF2ADB">
          <w:pPr>
            <w:rPr>
              <w:rFonts w:ascii="Verdana" w:hAnsi="Verdana" w:cs="Arial"/>
            </w:rPr>
          </w:pPr>
        </w:p>
        <w:p w14:paraId="0F2E9621" w14:textId="46C2F147" w:rsidR="00BF2ADB" w:rsidRPr="00BF2ADB" w:rsidRDefault="00D7289A">
          <w:pPr>
            <w:pStyle w:val="TOC1"/>
            <w:rPr>
              <w:rStyle w:val="Hyperlink"/>
            </w:rPr>
          </w:pPr>
          <w:hyperlink w:anchor="_Toc61268491" w:history="1">
            <w:r w:rsidR="00BF2ADB" w:rsidRPr="00BF2ADB">
              <w:rPr>
                <w:rStyle w:val="Hyperlink"/>
              </w:rPr>
              <w:t>2.0</w:t>
            </w:r>
            <w:r w:rsidR="00BF2ADB" w:rsidRPr="00BF2ADB">
              <w:rPr>
                <w:b w:val="0"/>
                <w:sz w:val="22"/>
                <w:szCs w:val="22"/>
                <w:lang w:eastAsia="en-GB"/>
              </w:rPr>
              <w:tab/>
            </w:r>
            <w:r w:rsidR="00BF2ADB" w:rsidRPr="00BF2ADB">
              <w:rPr>
                <w:rStyle w:val="Hyperlink"/>
              </w:rPr>
              <w:t>Removal of the defence</w:t>
            </w:r>
            <w:r w:rsidR="00BF2ADB" w:rsidRPr="00BF2ADB">
              <w:rPr>
                <w:webHidden/>
              </w:rPr>
              <w:tab/>
            </w:r>
            <w:r w:rsidR="00BF2ADB" w:rsidRPr="00BF2ADB">
              <w:rPr>
                <w:webHidden/>
              </w:rPr>
              <w:fldChar w:fldCharType="begin"/>
            </w:r>
            <w:r w:rsidR="00BF2ADB" w:rsidRPr="00BF2ADB">
              <w:rPr>
                <w:webHidden/>
              </w:rPr>
              <w:instrText xml:space="preserve"> PAGEREF _Toc61268491 \h </w:instrText>
            </w:r>
            <w:r w:rsidR="00BF2ADB" w:rsidRPr="00BF2ADB">
              <w:rPr>
                <w:webHidden/>
              </w:rPr>
            </w:r>
            <w:r w:rsidR="00BF2ADB" w:rsidRPr="00BF2ADB">
              <w:rPr>
                <w:webHidden/>
              </w:rPr>
              <w:fldChar w:fldCharType="separate"/>
            </w:r>
            <w:r w:rsidR="00BF2ADB" w:rsidRPr="00BF2ADB">
              <w:rPr>
                <w:webHidden/>
              </w:rPr>
              <w:t>6</w:t>
            </w:r>
            <w:r w:rsidR="00BF2ADB" w:rsidRPr="00BF2ADB">
              <w:rPr>
                <w:webHidden/>
              </w:rPr>
              <w:fldChar w:fldCharType="end"/>
            </w:r>
          </w:hyperlink>
        </w:p>
        <w:p w14:paraId="3FAF03AA" w14:textId="77777777" w:rsidR="00BF2ADB" w:rsidRPr="00BF2ADB" w:rsidRDefault="00BF2ADB" w:rsidP="00BF2ADB">
          <w:pPr>
            <w:rPr>
              <w:rFonts w:ascii="Verdana" w:hAnsi="Verdana" w:cs="Arial"/>
            </w:rPr>
          </w:pPr>
        </w:p>
        <w:p w14:paraId="09422F15" w14:textId="2D57D68C" w:rsidR="00BF2ADB" w:rsidRPr="00BF2ADB" w:rsidRDefault="00D7289A">
          <w:pPr>
            <w:pStyle w:val="TOC1"/>
            <w:rPr>
              <w:rStyle w:val="Hyperlink"/>
            </w:rPr>
          </w:pPr>
          <w:hyperlink w:anchor="_Toc61268492" w:history="1">
            <w:r w:rsidR="00BF2ADB" w:rsidRPr="00BF2ADB">
              <w:rPr>
                <w:rStyle w:val="Hyperlink"/>
              </w:rPr>
              <w:t>3.0</w:t>
            </w:r>
            <w:r w:rsidR="00BF2ADB" w:rsidRPr="00BF2ADB">
              <w:rPr>
                <w:b w:val="0"/>
                <w:sz w:val="22"/>
                <w:szCs w:val="22"/>
                <w:lang w:eastAsia="en-GB"/>
              </w:rPr>
              <w:tab/>
            </w:r>
            <w:r w:rsidR="00BF2ADB" w:rsidRPr="00BF2ADB">
              <w:rPr>
                <w:rStyle w:val="Hyperlink"/>
              </w:rPr>
              <w:t>Gender-based Violence</w:t>
            </w:r>
            <w:r w:rsidR="00BF2ADB" w:rsidRPr="00BF2ADB">
              <w:rPr>
                <w:webHidden/>
              </w:rPr>
              <w:tab/>
            </w:r>
            <w:r w:rsidR="00BF2ADB" w:rsidRPr="00BF2ADB">
              <w:rPr>
                <w:webHidden/>
              </w:rPr>
              <w:fldChar w:fldCharType="begin"/>
            </w:r>
            <w:r w:rsidR="00BF2ADB" w:rsidRPr="00BF2ADB">
              <w:rPr>
                <w:webHidden/>
              </w:rPr>
              <w:instrText xml:space="preserve"> PAGEREF _Toc61268492 \h </w:instrText>
            </w:r>
            <w:r w:rsidR="00BF2ADB" w:rsidRPr="00BF2ADB">
              <w:rPr>
                <w:webHidden/>
              </w:rPr>
            </w:r>
            <w:r w:rsidR="00BF2ADB" w:rsidRPr="00BF2ADB">
              <w:rPr>
                <w:webHidden/>
              </w:rPr>
              <w:fldChar w:fldCharType="separate"/>
            </w:r>
            <w:r w:rsidR="00BF2ADB" w:rsidRPr="00BF2ADB">
              <w:rPr>
                <w:webHidden/>
              </w:rPr>
              <w:t>10</w:t>
            </w:r>
            <w:r w:rsidR="00BF2ADB" w:rsidRPr="00BF2ADB">
              <w:rPr>
                <w:webHidden/>
              </w:rPr>
              <w:fldChar w:fldCharType="end"/>
            </w:r>
          </w:hyperlink>
        </w:p>
        <w:p w14:paraId="1DCE84D7" w14:textId="77777777" w:rsidR="00BF2ADB" w:rsidRPr="00BF2ADB" w:rsidRDefault="00BF2ADB" w:rsidP="00BF2ADB">
          <w:pPr>
            <w:rPr>
              <w:rFonts w:ascii="Verdana" w:hAnsi="Verdana" w:cs="Arial"/>
            </w:rPr>
          </w:pPr>
        </w:p>
        <w:p w14:paraId="4B14E9DB" w14:textId="5988171C" w:rsidR="00BF2ADB" w:rsidRPr="00BF2ADB" w:rsidRDefault="00D7289A">
          <w:pPr>
            <w:pStyle w:val="TOC1"/>
            <w:rPr>
              <w:rStyle w:val="Hyperlink"/>
            </w:rPr>
          </w:pPr>
          <w:hyperlink w:anchor="_Toc61268493" w:history="1">
            <w:r w:rsidR="00BF2ADB" w:rsidRPr="00BF2ADB">
              <w:rPr>
                <w:rStyle w:val="Hyperlink"/>
              </w:rPr>
              <w:t>4.0</w:t>
            </w:r>
            <w:r w:rsidR="00BF2ADB" w:rsidRPr="00BF2ADB">
              <w:rPr>
                <w:b w:val="0"/>
                <w:sz w:val="22"/>
                <w:szCs w:val="22"/>
                <w:lang w:eastAsia="en-GB"/>
              </w:rPr>
              <w:tab/>
            </w:r>
            <w:r w:rsidR="00BF2ADB" w:rsidRPr="00BF2ADB">
              <w:rPr>
                <w:rStyle w:val="Hyperlink"/>
              </w:rPr>
              <w:t>A Parallel Programme of Education</w:t>
            </w:r>
            <w:r w:rsidR="00BF2ADB" w:rsidRPr="00BF2ADB">
              <w:rPr>
                <w:webHidden/>
              </w:rPr>
              <w:tab/>
            </w:r>
            <w:r w:rsidR="00BF2ADB" w:rsidRPr="00BF2ADB">
              <w:rPr>
                <w:webHidden/>
              </w:rPr>
              <w:fldChar w:fldCharType="begin"/>
            </w:r>
            <w:r w:rsidR="00BF2ADB" w:rsidRPr="00BF2ADB">
              <w:rPr>
                <w:webHidden/>
              </w:rPr>
              <w:instrText xml:space="preserve"> PAGEREF _Toc61268493 \h </w:instrText>
            </w:r>
            <w:r w:rsidR="00BF2ADB" w:rsidRPr="00BF2ADB">
              <w:rPr>
                <w:webHidden/>
              </w:rPr>
            </w:r>
            <w:r w:rsidR="00BF2ADB" w:rsidRPr="00BF2ADB">
              <w:rPr>
                <w:webHidden/>
              </w:rPr>
              <w:fldChar w:fldCharType="separate"/>
            </w:r>
            <w:r w:rsidR="00BF2ADB" w:rsidRPr="00BF2ADB">
              <w:rPr>
                <w:webHidden/>
              </w:rPr>
              <w:t>14</w:t>
            </w:r>
            <w:r w:rsidR="00BF2ADB" w:rsidRPr="00BF2ADB">
              <w:rPr>
                <w:webHidden/>
              </w:rPr>
              <w:fldChar w:fldCharType="end"/>
            </w:r>
          </w:hyperlink>
        </w:p>
        <w:p w14:paraId="54EB83A2" w14:textId="77777777" w:rsidR="00BF2ADB" w:rsidRPr="00BF2ADB" w:rsidRDefault="00BF2ADB" w:rsidP="00BF2ADB">
          <w:pPr>
            <w:rPr>
              <w:rFonts w:ascii="Verdana" w:hAnsi="Verdana" w:cs="Arial"/>
            </w:rPr>
          </w:pPr>
        </w:p>
        <w:p w14:paraId="7C5C5D5B" w14:textId="41D9897B" w:rsidR="00BF2ADB" w:rsidRPr="00BF2ADB" w:rsidRDefault="00D7289A">
          <w:pPr>
            <w:pStyle w:val="TOC1"/>
            <w:rPr>
              <w:b w:val="0"/>
              <w:sz w:val="22"/>
              <w:szCs w:val="22"/>
              <w:lang w:eastAsia="en-GB"/>
            </w:rPr>
          </w:pPr>
          <w:hyperlink w:anchor="_Toc61268494" w:history="1">
            <w:r w:rsidR="00BF2ADB" w:rsidRPr="00BF2ADB">
              <w:rPr>
                <w:rStyle w:val="Hyperlink"/>
              </w:rPr>
              <w:t>5.0</w:t>
            </w:r>
            <w:r w:rsidR="00BF2ADB" w:rsidRPr="00BF2ADB">
              <w:rPr>
                <w:b w:val="0"/>
                <w:sz w:val="22"/>
                <w:szCs w:val="22"/>
                <w:lang w:eastAsia="en-GB"/>
              </w:rPr>
              <w:tab/>
            </w:r>
            <w:r w:rsidR="00BF2ADB" w:rsidRPr="00BF2ADB">
              <w:rPr>
                <w:rStyle w:val="Hyperlink"/>
              </w:rPr>
              <w:t>Additional Considerations</w:t>
            </w:r>
            <w:r w:rsidR="00BF2ADB" w:rsidRPr="00BF2ADB">
              <w:rPr>
                <w:webHidden/>
              </w:rPr>
              <w:tab/>
            </w:r>
            <w:r w:rsidR="00BF2ADB" w:rsidRPr="00BF2ADB">
              <w:rPr>
                <w:webHidden/>
              </w:rPr>
              <w:fldChar w:fldCharType="begin"/>
            </w:r>
            <w:r w:rsidR="00BF2ADB" w:rsidRPr="00BF2ADB">
              <w:rPr>
                <w:webHidden/>
              </w:rPr>
              <w:instrText xml:space="preserve"> PAGEREF _Toc61268494 \h </w:instrText>
            </w:r>
            <w:r w:rsidR="00BF2ADB" w:rsidRPr="00BF2ADB">
              <w:rPr>
                <w:webHidden/>
              </w:rPr>
            </w:r>
            <w:r w:rsidR="00BF2ADB" w:rsidRPr="00BF2ADB">
              <w:rPr>
                <w:webHidden/>
              </w:rPr>
              <w:fldChar w:fldCharType="separate"/>
            </w:r>
            <w:r w:rsidR="00BF2ADB" w:rsidRPr="00BF2ADB">
              <w:rPr>
                <w:webHidden/>
              </w:rPr>
              <w:t>16</w:t>
            </w:r>
            <w:r w:rsidR="00BF2ADB" w:rsidRPr="00BF2ADB">
              <w:rPr>
                <w:webHidden/>
              </w:rPr>
              <w:fldChar w:fldCharType="end"/>
            </w:r>
          </w:hyperlink>
        </w:p>
        <w:p w14:paraId="7E76745A" w14:textId="3AD3AD87" w:rsidR="00BF2ADB" w:rsidRPr="00BF2ADB" w:rsidRDefault="00D7289A">
          <w:pPr>
            <w:pStyle w:val="TOC2"/>
            <w:tabs>
              <w:tab w:val="right" w:leader="dot" w:pos="9848"/>
            </w:tabs>
            <w:rPr>
              <w:rFonts w:ascii="Verdana" w:hAnsi="Verdana" w:cs="Arial"/>
              <w:noProof/>
              <w:sz w:val="22"/>
              <w:szCs w:val="22"/>
              <w:lang w:eastAsia="en-GB"/>
            </w:rPr>
          </w:pPr>
          <w:hyperlink w:anchor="_Toc61268495" w:history="1">
            <w:r w:rsidR="00BF2ADB" w:rsidRPr="00BF2ADB">
              <w:rPr>
                <w:rStyle w:val="Hyperlink"/>
                <w:rFonts w:ascii="Verdana" w:hAnsi="Verdana" w:cs="Arial"/>
                <w:noProof/>
              </w:rPr>
              <w:t>Non-fatal strangulation</w:t>
            </w:r>
            <w:r w:rsidR="00BF2ADB" w:rsidRPr="00BF2ADB">
              <w:rPr>
                <w:rFonts w:ascii="Verdana" w:hAnsi="Verdana" w:cs="Arial"/>
                <w:noProof/>
                <w:webHidden/>
              </w:rPr>
              <w:tab/>
            </w:r>
            <w:r w:rsidR="00BF2ADB" w:rsidRPr="00BF2ADB">
              <w:rPr>
                <w:rFonts w:ascii="Verdana" w:hAnsi="Verdana" w:cs="Arial"/>
                <w:noProof/>
                <w:webHidden/>
              </w:rPr>
              <w:fldChar w:fldCharType="begin"/>
            </w:r>
            <w:r w:rsidR="00BF2ADB" w:rsidRPr="00BF2ADB">
              <w:rPr>
                <w:rFonts w:ascii="Verdana" w:hAnsi="Verdana" w:cs="Arial"/>
                <w:noProof/>
                <w:webHidden/>
              </w:rPr>
              <w:instrText xml:space="preserve"> PAGEREF _Toc61268495 \h </w:instrText>
            </w:r>
            <w:r w:rsidR="00BF2ADB" w:rsidRPr="00BF2ADB">
              <w:rPr>
                <w:rFonts w:ascii="Verdana" w:hAnsi="Verdana" w:cs="Arial"/>
                <w:noProof/>
                <w:webHidden/>
              </w:rPr>
            </w:r>
            <w:r w:rsidR="00BF2ADB" w:rsidRPr="00BF2ADB">
              <w:rPr>
                <w:rFonts w:ascii="Verdana" w:hAnsi="Verdana" w:cs="Arial"/>
                <w:noProof/>
                <w:webHidden/>
              </w:rPr>
              <w:fldChar w:fldCharType="separate"/>
            </w:r>
            <w:r w:rsidR="00BF2ADB" w:rsidRPr="00BF2ADB">
              <w:rPr>
                <w:rFonts w:ascii="Verdana" w:hAnsi="Verdana" w:cs="Arial"/>
                <w:noProof/>
                <w:webHidden/>
              </w:rPr>
              <w:t>16</w:t>
            </w:r>
            <w:r w:rsidR="00BF2ADB" w:rsidRPr="00BF2ADB">
              <w:rPr>
                <w:rFonts w:ascii="Verdana" w:hAnsi="Verdana" w:cs="Arial"/>
                <w:noProof/>
                <w:webHidden/>
              </w:rPr>
              <w:fldChar w:fldCharType="end"/>
            </w:r>
          </w:hyperlink>
        </w:p>
        <w:p w14:paraId="215A8A1F" w14:textId="0ED671B7" w:rsidR="00BF2ADB" w:rsidRPr="00BF2ADB" w:rsidRDefault="00D7289A">
          <w:pPr>
            <w:pStyle w:val="TOC2"/>
            <w:tabs>
              <w:tab w:val="right" w:leader="dot" w:pos="9848"/>
            </w:tabs>
            <w:rPr>
              <w:rFonts w:ascii="Verdana" w:hAnsi="Verdana" w:cs="Arial"/>
              <w:noProof/>
              <w:sz w:val="22"/>
              <w:szCs w:val="22"/>
              <w:lang w:eastAsia="en-GB"/>
            </w:rPr>
          </w:pPr>
          <w:hyperlink w:anchor="_Toc61268496" w:history="1">
            <w:r w:rsidR="00BF2ADB" w:rsidRPr="00BF2ADB">
              <w:rPr>
                <w:rStyle w:val="Hyperlink"/>
                <w:rFonts w:ascii="Verdana" w:hAnsi="Verdana" w:cs="Arial"/>
                <w:noProof/>
              </w:rPr>
              <w:t>Gillen Review</w:t>
            </w:r>
            <w:r w:rsidR="00BF2ADB" w:rsidRPr="00BF2ADB">
              <w:rPr>
                <w:rFonts w:ascii="Verdana" w:hAnsi="Verdana" w:cs="Arial"/>
                <w:noProof/>
                <w:webHidden/>
              </w:rPr>
              <w:tab/>
            </w:r>
            <w:r w:rsidR="00BF2ADB" w:rsidRPr="00BF2ADB">
              <w:rPr>
                <w:rFonts w:ascii="Verdana" w:hAnsi="Verdana" w:cs="Arial"/>
                <w:noProof/>
                <w:webHidden/>
              </w:rPr>
              <w:fldChar w:fldCharType="begin"/>
            </w:r>
            <w:r w:rsidR="00BF2ADB" w:rsidRPr="00BF2ADB">
              <w:rPr>
                <w:rFonts w:ascii="Verdana" w:hAnsi="Verdana" w:cs="Arial"/>
                <w:noProof/>
                <w:webHidden/>
              </w:rPr>
              <w:instrText xml:space="preserve"> PAGEREF _Toc61268496 \h </w:instrText>
            </w:r>
            <w:r w:rsidR="00BF2ADB" w:rsidRPr="00BF2ADB">
              <w:rPr>
                <w:rFonts w:ascii="Verdana" w:hAnsi="Verdana" w:cs="Arial"/>
                <w:noProof/>
                <w:webHidden/>
              </w:rPr>
            </w:r>
            <w:r w:rsidR="00BF2ADB" w:rsidRPr="00BF2ADB">
              <w:rPr>
                <w:rFonts w:ascii="Verdana" w:hAnsi="Verdana" w:cs="Arial"/>
                <w:noProof/>
                <w:webHidden/>
              </w:rPr>
              <w:fldChar w:fldCharType="separate"/>
            </w:r>
            <w:r w:rsidR="00BF2ADB" w:rsidRPr="00BF2ADB">
              <w:rPr>
                <w:rFonts w:ascii="Verdana" w:hAnsi="Verdana" w:cs="Arial"/>
                <w:noProof/>
                <w:webHidden/>
              </w:rPr>
              <w:t>17</w:t>
            </w:r>
            <w:r w:rsidR="00BF2ADB" w:rsidRPr="00BF2ADB">
              <w:rPr>
                <w:rFonts w:ascii="Verdana" w:hAnsi="Verdana" w:cs="Arial"/>
                <w:noProof/>
                <w:webHidden/>
              </w:rPr>
              <w:fldChar w:fldCharType="end"/>
            </w:r>
          </w:hyperlink>
        </w:p>
        <w:p w14:paraId="2971909E" w14:textId="12BC0821" w:rsidR="00BF2ADB" w:rsidRPr="00BF2ADB" w:rsidRDefault="00D7289A">
          <w:pPr>
            <w:pStyle w:val="TOC2"/>
            <w:tabs>
              <w:tab w:val="right" w:leader="dot" w:pos="9848"/>
            </w:tabs>
            <w:rPr>
              <w:rFonts w:ascii="Verdana" w:hAnsi="Verdana" w:cs="Arial"/>
              <w:noProof/>
              <w:sz w:val="22"/>
              <w:szCs w:val="22"/>
              <w:lang w:eastAsia="en-GB"/>
            </w:rPr>
          </w:pPr>
          <w:hyperlink w:anchor="_Toc61268497" w:history="1">
            <w:r w:rsidR="00BF2ADB" w:rsidRPr="00BF2ADB">
              <w:rPr>
                <w:rStyle w:val="Hyperlink"/>
                <w:rFonts w:ascii="Verdana" w:hAnsi="Verdana" w:cs="Arial"/>
                <w:noProof/>
              </w:rPr>
              <w:t>Data Collection</w:t>
            </w:r>
            <w:r w:rsidR="00BF2ADB" w:rsidRPr="00BF2ADB">
              <w:rPr>
                <w:rFonts w:ascii="Verdana" w:hAnsi="Verdana" w:cs="Arial"/>
                <w:noProof/>
                <w:webHidden/>
              </w:rPr>
              <w:tab/>
            </w:r>
            <w:r w:rsidR="00BF2ADB" w:rsidRPr="00BF2ADB">
              <w:rPr>
                <w:rFonts w:ascii="Verdana" w:hAnsi="Verdana" w:cs="Arial"/>
                <w:noProof/>
                <w:webHidden/>
              </w:rPr>
              <w:fldChar w:fldCharType="begin"/>
            </w:r>
            <w:r w:rsidR="00BF2ADB" w:rsidRPr="00BF2ADB">
              <w:rPr>
                <w:rFonts w:ascii="Verdana" w:hAnsi="Verdana" w:cs="Arial"/>
                <w:noProof/>
                <w:webHidden/>
              </w:rPr>
              <w:instrText xml:space="preserve"> PAGEREF _Toc61268497 \h </w:instrText>
            </w:r>
            <w:r w:rsidR="00BF2ADB" w:rsidRPr="00BF2ADB">
              <w:rPr>
                <w:rFonts w:ascii="Verdana" w:hAnsi="Verdana" w:cs="Arial"/>
                <w:noProof/>
                <w:webHidden/>
              </w:rPr>
            </w:r>
            <w:r w:rsidR="00BF2ADB" w:rsidRPr="00BF2ADB">
              <w:rPr>
                <w:rFonts w:ascii="Verdana" w:hAnsi="Verdana" w:cs="Arial"/>
                <w:noProof/>
                <w:webHidden/>
              </w:rPr>
              <w:fldChar w:fldCharType="separate"/>
            </w:r>
            <w:r w:rsidR="00BF2ADB" w:rsidRPr="00BF2ADB">
              <w:rPr>
                <w:rFonts w:ascii="Verdana" w:hAnsi="Verdana" w:cs="Arial"/>
                <w:noProof/>
                <w:webHidden/>
              </w:rPr>
              <w:t>17</w:t>
            </w:r>
            <w:r w:rsidR="00BF2ADB" w:rsidRPr="00BF2ADB">
              <w:rPr>
                <w:rFonts w:ascii="Verdana" w:hAnsi="Verdana" w:cs="Arial"/>
                <w:noProof/>
                <w:webHidden/>
              </w:rPr>
              <w:fldChar w:fldCharType="end"/>
            </w:r>
          </w:hyperlink>
        </w:p>
        <w:p w14:paraId="6FF5FF1D" w14:textId="5522AC6D" w:rsidR="000D1B4E" w:rsidRDefault="000D1B4E" w:rsidP="000D1B4E">
          <w:pPr>
            <w:spacing w:before="24" w:after="24"/>
          </w:pPr>
          <w:r w:rsidRPr="00B042B1">
            <w:rPr>
              <w:rFonts w:ascii="Verdana" w:hAnsi="Verdana"/>
              <w:b/>
              <w:bCs/>
              <w:noProof/>
            </w:rPr>
            <w:fldChar w:fldCharType="end"/>
          </w:r>
        </w:p>
      </w:sdtContent>
    </w:sdt>
    <w:p w14:paraId="4B48DEAA" w14:textId="77777777" w:rsidR="000D1B4E" w:rsidRPr="000D1B4E" w:rsidRDefault="000D1B4E" w:rsidP="000D1B4E">
      <w:pPr>
        <w:pStyle w:val="Default"/>
        <w:spacing w:before="24" w:after="24" w:line="480" w:lineRule="auto"/>
        <w:rPr>
          <w:rFonts w:cs="Arial"/>
          <w:b/>
          <w:color w:val="3C3C3B"/>
          <w:sz w:val="36"/>
          <w:szCs w:val="36"/>
        </w:rPr>
      </w:pPr>
    </w:p>
    <w:p w14:paraId="45930596" w14:textId="77777777" w:rsidR="001E79A9" w:rsidRPr="00331C61" w:rsidRDefault="001E79A9" w:rsidP="000D1B4E">
      <w:pPr>
        <w:pStyle w:val="Default"/>
        <w:spacing w:before="24" w:after="24" w:line="288" w:lineRule="auto"/>
        <w:rPr>
          <w:rFonts w:cs="Arial"/>
          <w:b/>
          <w:color w:val="232120"/>
        </w:rPr>
      </w:pPr>
    </w:p>
    <w:p w14:paraId="344A1F90" w14:textId="77777777" w:rsidR="00EA12CE" w:rsidRPr="00331C61" w:rsidRDefault="00EA12CE" w:rsidP="000D1B4E">
      <w:pPr>
        <w:pStyle w:val="Default"/>
        <w:spacing w:before="24" w:after="24" w:line="288" w:lineRule="auto"/>
        <w:rPr>
          <w:rFonts w:cs="Arial"/>
          <w:b/>
          <w:color w:val="232120"/>
        </w:rPr>
      </w:pPr>
    </w:p>
    <w:p w14:paraId="1AA9A983" w14:textId="77777777" w:rsidR="00EA12CE" w:rsidRPr="00331C61" w:rsidRDefault="00EA12CE" w:rsidP="000D1B4E">
      <w:pPr>
        <w:pStyle w:val="Default"/>
        <w:spacing w:before="24" w:after="24" w:line="288" w:lineRule="auto"/>
        <w:rPr>
          <w:rFonts w:cs="Arial"/>
          <w:b/>
          <w:color w:val="232120"/>
        </w:rPr>
      </w:pPr>
    </w:p>
    <w:p w14:paraId="79D8C407" w14:textId="77777777" w:rsidR="00EA12CE" w:rsidRPr="00331C61" w:rsidRDefault="00EA12CE" w:rsidP="000D1B4E">
      <w:pPr>
        <w:pStyle w:val="Default"/>
        <w:spacing w:before="24" w:after="24" w:line="288" w:lineRule="auto"/>
        <w:rPr>
          <w:rFonts w:cs="Arial"/>
          <w:b/>
          <w:color w:val="232120"/>
        </w:rPr>
      </w:pPr>
    </w:p>
    <w:p w14:paraId="0BE53EA7" w14:textId="77777777" w:rsidR="00EA12CE" w:rsidRPr="00331C61" w:rsidRDefault="00EA12CE" w:rsidP="000D1B4E">
      <w:pPr>
        <w:pStyle w:val="Default"/>
        <w:spacing w:before="24" w:after="24" w:line="288" w:lineRule="auto"/>
        <w:rPr>
          <w:rFonts w:cs="Arial"/>
          <w:b/>
          <w:color w:val="232120"/>
        </w:rPr>
      </w:pPr>
    </w:p>
    <w:p w14:paraId="74A134C0" w14:textId="77777777" w:rsidR="00EA12CE" w:rsidRPr="00331C61" w:rsidRDefault="00EA12CE" w:rsidP="000D1B4E">
      <w:pPr>
        <w:pStyle w:val="Default"/>
        <w:spacing w:before="24" w:after="24" w:line="288" w:lineRule="auto"/>
        <w:rPr>
          <w:rFonts w:cs="Arial"/>
          <w:b/>
          <w:color w:val="232120"/>
        </w:rPr>
      </w:pPr>
    </w:p>
    <w:p w14:paraId="6771B0C5" w14:textId="77777777" w:rsidR="00EA12CE" w:rsidRPr="00331C61" w:rsidRDefault="00EA12CE" w:rsidP="000D1B4E">
      <w:pPr>
        <w:pStyle w:val="Default"/>
        <w:spacing w:before="24" w:after="24" w:line="288" w:lineRule="auto"/>
        <w:rPr>
          <w:rFonts w:cs="Arial"/>
          <w:b/>
          <w:color w:val="232120"/>
        </w:rPr>
      </w:pPr>
    </w:p>
    <w:p w14:paraId="0F975BB2" w14:textId="77777777" w:rsidR="00EA12CE" w:rsidRPr="00331C61" w:rsidRDefault="00EA12CE" w:rsidP="000D1B4E">
      <w:pPr>
        <w:pStyle w:val="Default"/>
        <w:spacing w:before="24" w:after="24" w:line="288" w:lineRule="auto"/>
        <w:rPr>
          <w:rFonts w:cs="Arial"/>
          <w:b/>
          <w:color w:val="232120"/>
        </w:rPr>
      </w:pPr>
    </w:p>
    <w:p w14:paraId="3CA5853F" w14:textId="77777777" w:rsidR="00EA12CE" w:rsidRPr="00331C61" w:rsidRDefault="00EA12CE" w:rsidP="000D1B4E">
      <w:pPr>
        <w:pStyle w:val="Default"/>
        <w:spacing w:before="24" w:after="24" w:line="288" w:lineRule="auto"/>
        <w:rPr>
          <w:rFonts w:cs="Arial"/>
          <w:b/>
          <w:color w:val="232120"/>
        </w:rPr>
      </w:pPr>
    </w:p>
    <w:p w14:paraId="34F5839A" w14:textId="77777777" w:rsidR="00EA12CE" w:rsidRPr="00331C61" w:rsidRDefault="00EA12CE" w:rsidP="000D1B4E">
      <w:pPr>
        <w:pStyle w:val="Default"/>
        <w:spacing w:before="24" w:after="24" w:line="288" w:lineRule="auto"/>
        <w:rPr>
          <w:rFonts w:cs="Arial"/>
          <w:b/>
          <w:color w:val="232120"/>
        </w:rPr>
      </w:pPr>
    </w:p>
    <w:p w14:paraId="49C669E3" w14:textId="77777777" w:rsidR="00EA12CE" w:rsidRPr="00331C61" w:rsidRDefault="00EA12CE" w:rsidP="000D1B4E">
      <w:pPr>
        <w:pStyle w:val="Default"/>
        <w:spacing w:before="24" w:after="24" w:line="288" w:lineRule="auto"/>
        <w:rPr>
          <w:rFonts w:cs="Arial"/>
          <w:b/>
          <w:color w:val="232120"/>
        </w:rPr>
      </w:pPr>
    </w:p>
    <w:p w14:paraId="5BD8F31E" w14:textId="77777777" w:rsidR="00EA12CE" w:rsidRPr="00331C61" w:rsidRDefault="00EA12CE" w:rsidP="000D1B4E">
      <w:pPr>
        <w:pStyle w:val="Default"/>
        <w:spacing w:before="24" w:after="24" w:line="288" w:lineRule="auto"/>
        <w:rPr>
          <w:rFonts w:cs="Arial"/>
          <w:b/>
          <w:color w:val="232120"/>
        </w:rPr>
      </w:pPr>
    </w:p>
    <w:p w14:paraId="2CF3B4F2" w14:textId="77777777" w:rsidR="00EA12CE" w:rsidRPr="00331C61" w:rsidRDefault="00EA12CE" w:rsidP="000D1B4E">
      <w:pPr>
        <w:pStyle w:val="Default"/>
        <w:spacing w:before="24" w:after="24" w:line="288" w:lineRule="auto"/>
        <w:rPr>
          <w:rFonts w:cs="Arial"/>
          <w:b/>
          <w:color w:val="232120"/>
        </w:rPr>
      </w:pPr>
    </w:p>
    <w:p w14:paraId="1C7162BC" w14:textId="77777777" w:rsidR="00EA12CE" w:rsidRPr="00331C61" w:rsidRDefault="00EA12CE" w:rsidP="000D1B4E">
      <w:pPr>
        <w:pStyle w:val="Default"/>
        <w:spacing w:before="24" w:after="24" w:line="288" w:lineRule="auto"/>
        <w:rPr>
          <w:rFonts w:cs="Arial"/>
          <w:b/>
          <w:color w:val="232120"/>
        </w:rPr>
      </w:pPr>
    </w:p>
    <w:p w14:paraId="44E59053" w14:textId="77777777" w:rsidR="00EA12CE" w:rsidRPr="00331C61" w:rsidRDefault="00EA12CE" w:rsidP="000D1B4E">
      <w:pPr>
        <w:pStyle w:val="Default"/>
        <w:spacing w:before="24" w:after="24" w:line="288" w:lineRule="auto"/>
        <w:rPr>
          <w:rFonts w:cs="Arial"/>
          <w:b/>
          <w:color w:val="232120"/>
        </w:rPr>
      </w:pPr>
    </w:p>
    <w:p w14:paraId="35DEABAD" w14:textId="77777777" w:rsidR="00EA12CE" w:rsidRPr="00331C61" w:rsidRDefault="00EA12CE" w:rsidP="000D1B4E">
      <w:pPr>
        <w:pStyle w:val="Default"/>
        <w:spacing w:before="24" w:after="24" w:line="288" w:lineRule="auto"/>
        <w:rPr>
          <w:rFonts w:cs="Arial"/>
          <w:b/>
          <w:color w:val="232120"/>
        </w:rPr>
      </w:pPr>
    </w:p>
    <w:p w14:paraId="3A6CD86D" w14:textId="5B821719" w:rsidR="00EA12CE" w:rsidRDefault="00EA12CE" w:rsidP="000D1B4E">
      <w:pPr>
        <w:pStyle w:val="Default"/>
        <w:spacing w:before="24" w:after="24" w:line="288" w:lineRule="auto"/>
        <w:rPr>
          <w:rFonts w:cs="Arial"/>
          <w:b/>
          <w:color w:val="232120"/>
        </w:rPr>
      </w:pPr>
    </w:p>
    <w:p w14:paraId="28BCF426" w14:textId="71D30EF3" w:rsidR="00521570" w:rsidRDefault="00521570" w:rsidP="000D1B4E">
      <w:pPr>
        <w:pStyle w:val="Default"/>
        <w:spacing w:before="24" w:after="24" w:line="288" w:lineRule="auto"/>
        <w:rPr>
          <w:rFonts w:cs="Arial"/>
          <w:b/>
          <w:color w:val="232120"/>
        </w:rPr>
      </w:pPr>
    </w:p>
    <w:p w14:paraId="7CB7997F" w14:textId="69B3B8BF" w:rsidR="00EA12CE" w:rsidRPr="00331C61" w:rsidRDefault="00EA12CE" w:rsidP="000D1B4E">
      <w:pPr>
        <w:pStyle w:val="Default"/>
        <w:spacing w:before="24" w:after="24" w:line="288" w:lineRule="auto"/>
        <w:rPr>
          <w:rFonts w:cs="Arial"/>
          <w:b/>
          <w:color w:val="232120"/>
        </w:rPr>
      </w:pPr>
    </w:p>
    <w:p w14:paraId="2A889D6A" w14:textId="77777777" w:rsidR="001E79A9" w:rsidRPr="00331C61" w:rsidRDefault="001E79A9" w:rsidP="000D1B4E">
      <w:pPr>
        <w:pStyle w:val="Default"/>
        <w:spacing w:before="24" w:after="24" w:line="288" w:lineRule="auto"/>
        <w:rPr>
          <w:rFonts w:cs="Arial"/>
          <w:b/>
          <w:color w:val="232120"/>
        </w:rPr>
      </w:pPr>
    </w:p>
    <w:tbl>
      <w:tblPr>
        <w:tblStyle w:val="TableGrid"/>
        <w:tblW w:w="0" w:type="auto"/>
        <w:tblLook w:val="04A0" w:firstRow="1" w:lastRow="0" w:firstColumn="1" w:lastColumn="0" w:noHBand="0" w:noVBand="1"/>
      </w:tblPr>
      <w:tblGrid>
        <w:gridCol w:w="9848"/>
      </w:tblGrid>
      <w:tr w:rsidR="00055B41" w14:paraId="48E5C07D" w14:textId="77777777" w:rsidTr="00055B41">
        <w:tc>
          <w:tcPr>
            <w:tcW w:w="9848" w:type="dxa"/>
            <w:shd w:val="clear" w:color="auto" w:fill="auto"/>
          </w:tcPr>
          <w:p w14:paraId="1C754006" w14:textId="77777777" w:rsidR="00055B41" w:rsidRPr="000D1B4E" w:rsidRDefault="00055B41" w:rsidP="00055B41">
            <w:pPr>
              <w:pStyle w:val="Default"/>
              <w:spacing w:before="24" w:after="24" w:line="288" w:lineRule="auto"/>
              <w:rPr>
                <w:rFonts w:cs="Arial"/>
                <w:b/>
                <w:color w:val="77328A"/>
                <w:sz w:val="30"/>
                <w:szCs w:val="30"/>
              </w:rPr>
            </w:pPr>
            <w:r w:rsidRPr="000D1B4E">
              <w:rPr>
                <w:rFonts w:cs="Arial"/>
                <w:b/>
                <w:color w:val="77328A"/>
                <w:sz w:val="30"/>
                <w:szCs w:val="30"/>
              </w:rPr>
              <w:lastRenderedPageBreak/>
              <w:t>Summary of Recommendations</w:t>
            </w:r>
          </w:p>
          <w:p w14:paraId="04F71B05" w14:textId="34992252" w:rsidR="00055B41" w:rsidRDefault="00055B41" w:rsidP="009B6A2A">
            <w:pPr>
              <w:spacing w:before="24" w:after="24"/>
            </w:pPr>
          </w:p>
          <w:p w14:paraId="71C67575" w14:textId="31CB41E7" w:rsidR="00FF6075" w:rsidRPr="009A1F12" w:rsidRDefault="00FF6075" w:rsidP="009B6A2A">
            <w:pPr>
              <w:spacing w:before="24" w:after="24"/>
              <w:rPr>
                <w:rFonts w:ascii="Verdana" w:hAnsi="Verdana"/>
                <w:b/>
              </w:rPr>
            </w:pPr>
            <w:r w:rsidRPr="009A1F12">
              <w:rPr>
                <w:rFonts w:ascii="Verdana" w:hAnsi="Verdana"/>
                <w:b/>
              </w:rPr>
              <w:t>The Northern Ireland Human Rights Commission (NIHRC):</w:t>
            </w:r>
          </w:p>
          <w:p w14:paraId="201479EF" w14:textId="4CF0AD00" w:rsidR="00FF6075" w:rsidRPr="009A1F12" w:rsidRDefault="00FF6075" w:rsidP="009B6A2A">
            <w:pPr>
              <w:pStyle w:val="ListParagraph"/>
              <w:spacing w:before="24" w:after="24"/>
            </w:pPr>
          </w:p>
          <w:p w14:paraId="00AEE8A9" w14:textId="77777777" w:rsidR="009A1F12" w:rsidRPr="009A1F12" w:rsidRDefault="009A1F12" w:rsidP="006363EA">
            <w:pPr>
              <w:pStyle w:val="ListParagraph"/>
              <w:numPr>
                <w:ilvl w:val="0"/>
                <w:numId w:val="8"/>
              </w:numPr>
              <w:spacing w:before="24" w:after="24"/>
              <w:rPr>
                <w:b/>
                <w:vanish/>
              </w:rPr>
            </w:pPr>
          </w:p>
          <w:p w14:paraId="1E784AD0" w14:textId="2908333B" w:rsidR="00912319" w:rsidRPr="004A0959" w:rsidRDefault="00FF6075" w:rsidP="006363EA">
            <w:pPr>
              <w:pStyle w:val="ListParagraph"/>
              <w:numPr>
                <w:ilvl w:val="1"/>
                <w:numId w:val="8"/>
              </w:numPr>
              <w:spacing w:before="24" w:after="24"/>
              <w:ind w:left="720" w:hanging="720"/>
              <w:rPr>
                <w:b/>
              </w:rPr>
            </w:pPr>
            <w:r w:rsidRPr="004A0959">
              <w:rPr>
                <w:b/>
              </w:rPr>
              <w:t>recommends that the Department of Justice introduces legislation that removes the defence of consent to serious harm for sexual gratification. It is suggested that consideration is given to the wording used in the England and Wales Domestic Abuse Bill.</w:t>
            </w:r>
          </w:p>
          <w:p w14:paraId="1B5057F0" w14:textId="77777777" w:rsidR="009B6A2A" w:rsidRDefault="009B6A2A" w:rsidP="009B6A2A">
            <w:pPr>
              <w:pStyle w:val="ListParagraph"/>
              <w:spacing w:before="24" w:after="24"/>
              <w:ind w:left="0"/>
              <w:rPr>
                <w:b/>
              </w:rPr>
            </w:pPr>
          </w:p>
          <w:p w14:paraId="2A91C337" w14:textId="046EEFD1" w:rsidR="009B6A2A" w:rsidRDefault="00FF6075" w:rsidP="006363EA">
            <w:pPr>
              <w:pStyle w:val="ListParagraph"/>
              <w:numPr>
                <w:ilvl w:val="1"/>
                <w:numId w:val="9"/>
              </w:numPr>
              <w:spacing w:before="24" w:after="24"/>
              <w:rPr>
                <w:b/>
              </w:rPr>
            </w:pPr>
            <w:r w:rsidRPr="009A1F12">
              <w:rPr>
                <w:b/>
              </w:rPr>
              <w:t>recommends that the proposed legislation should include an element that protects against gender-based violence, using the UN CEDAW, UN CAT and Istanbul Convention as a guide.</w:t>
            </w:r>
          </w:p>
          <w:p w14:paraId="2EF2E763" w14:textId="77777777" w:rsidR="009B6A2A" w:rsidRDefault="009B6A2A" w:rsidP="009B6A2A">
            <w:pPr>
              <w:pStyle w:val="ListParagraph"/>
              <w:spacing w:before="24" w:after="24"/>
              <w:rPr>
                <w:b/>
              </w:rPr>
            </w:pPr>
          </w:p>
          <w:p w14:paraId="5C41B82D" w14:textId="25A33B6C" w:rsidR="00FF6075" w:rsidRPr="009B6A2A" w:rsidRDefault="00FF6075" w:rsidP="006363EA">
            <w:pPr>
              <w:pStyle w:val="ListParagraph"/>
              <w:numPr>
                <w:ilvl w:val="1"/>
                <w:numId w:val="10"/>
              </w:numPr>
              <w:spacing w:before="24" w:after="24"/>
              <w:ind w:left="720" w:hanging="720"/>
              <w:rPr>
                <w:b/>
              </w:rPr>
            </w:pPr>
            <w:r w:rsidRPr="009B6A2A">
              <w:rPr>
                <w:b/>
              </w:rPr>
              <w:t xml:space="preserve">recommends that the Department of Justice works with the Department of Education to provide a parallel programme for education alongside the legislation. The NIHRC recommends that the programme for education specifically references human rights standards and considers recommendations of the UN CEDAW Committee and Gillen Review. </w:t>
            </w:r>
          </w:p>
          <w:p w14:paraId="60438F81" w14:textId="77777777" w:rsidR="00FF6075" w:rsidRPr="009A1F12" w:rsidRDefault="00FF6075" w:rsidP="009B6A2A">
            <w:pPr>
              <w:spacing w:before="24" w:after="24"/>
              <w:rPr>
                <w:rFonts w:ascii="Verdana" w:hAnsi="Verdana"/>
                <w:b/>
              </w:rPr>
            </w:pPr>
          </w:p>
          <w:p w14:paraId="22E7C744" w14:textId="7B5F5894" w:rsidR="00FF6075" w:rsidRPr="00804055" w:rsidRDefault="00731D0D" w:rsidP="00804055">
            <w:pPr>
              <w:pStyle w:val="ListParagraph"/>
              <w:numPr>
                <w:ilvl w:val="1"/>
                <w:numId w:val="10"/>
              </w:numPr>
              <w:spacing w:before="24" w:after="24"/>
              <w:ind w:left="720" w:hanging="720"/>
              <w:rPr>
                <w:b/>
              </w:rPr>
            </w:pPr>
            <w:r w:rsidRPr="00804055">
              <w:rPr>
                <w:b/>
              </w:rPr>
              <w:t>continues to call on the UK Government and NI Executive to fulfil their obligations outlined in the NI (Executive Formation etc) Act 2019. The NIHRC continues to recommend the introduction age appropriate and scientifically based reproductive and sexual health education that addresses the meaning of consent, healthy relationships and prevention of gender based violence. This will require cross departmental collaboration.</w:t>
            </w:r>
          </w:p>
          <w:p w14:paraId="55174A55" w14:textId="4B46CE00" w:rsidR="00FF6075" w:rsidRPr="009A1F12" w:rsidRDefault="00FF6075" w:rsidP="009B6A2A">
            <w:pPr>
              <w:spacing w:before="24" w:after="24"/>
              <w:rPr>
                <w:rFonts w:ascii="Verdana" w:hAnsi="Verdana"/>
                <w:b/>
              </w:rPr>
            </w:pPr>
          </w:p>
          <w:p w14:paraId="7659B921" w14:textId="49F6D022" w:rsidR="00FF6075" w:rsidRPr="009A1F12" w:rsidRDefault="002804A8" w:rsidP="0067645C">
            <w:pPr>
              <w:spacing w:before="24" w:after="24"/>
              <w:ind w:left="720" w:hanging="720"/>
              <w:rPr>
                <w:rFonts w:ascii="Verdana" w:hAnsi="Verdana"/>
                <w:b/>
              </w:rPr>
            </w:pPr>
            <w:r w:rsidRPr="009A1F12">
              <w:rPr>
                <w:rFonts w:ascii="Verdana" w:hAnsi="Verdana"/>
                <w:b/>
              </w:rPr>
              <w:t>5.4</w:t>
            </w:r>
            <w:r w:rsidRPr="009A1F12">
              <w:rPr>
                <w:rFonts w:ascii="Verdana" w:hAnsi="Verdana"/>
                <w:b/>
              </w:rPr>
              <w:tab/>
              <w:t>recommends the Department of Justice brings forward appropriate legislative change as soon as is practicable for non-fatal strangulation to be regarded as a standalone offence. Any legislative change should be clear that the defence of consent to harm for sexual gratification can no longer be used.</w:t>
            </w:r>
          </w:p>
          <w:p w14:paraId="51412BAE" w14:textId="46B6E359" w:rsidR="002804A8" w:rsidRPr="009A1F12" w:rsidRDefault="002804A8" w:rsidP="009B6A2A">
            <w:pPr>
              <w:spacing w:before="24" w:after="24"/>
              <w:rPr>
                <w:rFonts w:ascii="Verdana" w:hAnsi="Verdana"/>
                <w:b/>
              </w:rPr>
            </w:pPr>
          </w:p>
          <w:p w14:paraId="713C9D94" w14:textId="0B5A697E" w:rsidR="002804A8" w:rsidRPr="009A1F12" w:rsidRDefault="002804A8" w:rsidP="0067645C">
            <w:pPr>
              <w:spacing w:before="24" w:after="24"/>
              <w:ind w:left="720" w:hanging="720"/>
              <w:rPr>
                <w:rFonts w:ascii="Verdana" w:hAnsi="Verdana"/>
                <w:b/>
              </w:rPr>
            </w:pPr>
            <w:r w:rsidRPr="009A1F12">
              <w:rPr>
                <w:rFonts w:ascii="Verdana" w:hAnsi="Verdana"/>
                <w:b/>
              </w:rPr>
              <w:t>5.6</w:t>
            </w:r>
            <w:r w:rsidRPr="009A1F12">
              <w:rPr>
                <w:rFonts w:ascii="Verdana" w:hAnsi="Verdana"/>
                <w:b/>
              </w:rPr>
              <w:tab/>
              <w:t>recommends that the Department of Justice takes effective steps to promptly implement the recommendations of the Gillen Review in Northern Ireland. In particular, recommendations 6 and 9, which would assist in dispelling the rough sex defence narrative used by perpetrators.</w:t>
            </w:r>
          </w:p>
          <w:p w14:paraId="542E57F1" w14:textId="77777777" w:rsidR="00912319" w:rsidRPr="009A1F12" w:rsidRDefault="00912319" w:rsidP="009B6A2A">
            <w:pPr>
              <w:pStyle w:val="BasicParagraph"/>
              <w:spacing w:before="24" w:after="24"/>
              <w:rPr>
                <w:rFonts w:ascii="Verdana" w:hAnsi="Verdana" w:cs="Arial"/>
                <w:b/>
                <w:color w:val="auto"/>
              </w:rPr>
            </w:pPr>
          </w:p>
          <w:p w14:paraId="5ADC1A31" w14:textId="2DB0025D" w:rsidR="00912319" w:rsidRPr="009B6A2A" w:rsidRDefault="002804A8" w:rsidP="006363EA">
            <w:pPr>
              <w:pStyle w:val="ListParagraph"/>
              <w:numPr>
                <w:ilvl w:val="1"/>
                <w:numId w:val="11"/>
              </w:numPr>
              <w:spacing w:before="24" w:after="24"/>
              <w:ind w:left="720" w:hanging="720"/>
              <w:rPr>
                <w:rFonts w:cs="Arial"/>
                <w:b/>
              </w:rPr>
            </w:pPr>
            <w:r w:rsidRPr="009B6A2A">
              <w:rPr>
                <w:rFonts w:cs="Arial"/>
                <w:b/>
              </w:rPr>
              <w:lastRenderedPageBreak/>
              <w:t>recommends the Department of Justice gathers disaggregated, comprehensive data on the use of the rough sex defence in Northern Ireland and that this data is published in accessible formats and effectively monitored. This data should be used to identify areas where further research is required and be used to establish the effectiveness of the law and whether further measures, training or guidelines are required.</w:t>
            </w:r>
          </w:p>
        </w:tc>
      </w:tr>
    </w:tbl>
    <w:p w14:paraId="296225F7" w14:textId="77777777" w:rsidR="009B6A2A" w:rsidRDefault="009B6A2A" w:rsidP="009B6A2A">
      <w:pPr>
        <w:pStyle w:val="Heading1"/>
      </w:pPr>
    </w:p>
    <w:p w14:paraId="4F769916" w14:textId="77777777" w:rsidR="009B6A2A" w:rsidRDefault="009B6A2A" w:rsidP="009B6A2A">
      <w:pPr>
        <w:pStyle w:val="Heading1"/>
      </w:pPr>
    </w:p>
    <w:p w14:paraId="22197F10" w14:textId="77777777" w:rsidR="009B6A2A" w:rsidRDefault="009B6A2A" w:rsidP="009B6A2A">
      <w:pPr>
        <w:pStyle w:val="Heading1"/>
      </w:pPr>
    </w:p>
    <w:p w14:paraId="1568A355" w14:textId="77777777" w:rsidR="009B6A2A" w:rsidRDefault="009B6A2A" w:rsidP="009B6A2A">
      <w:pPr>
        <w:pStyle w:val="Heading1"/>
      </w:pPr>
    </w:p>
    <w:p w14:paraId="3C9E446C" w14:textId="77777777" w:rsidR="009B6A2A" w:rsidRDefault="009B6A2A" w:rsidP="009B6A2A">
      <w:pPr>
        <w:pStyle w:val="Heading1"/>
      </w:pPr>
    </w:p>
    <w:p w14:paraId="15954346" w14:textId="77777777" w:rsidR="009B6A2A" w:rsidRDefault="009B6A2A" w:rsidP="009B6A2A">
      <w:pPr>
        <w:pStyle w:val="Heading1"/>
      </w:pPr>
    </w:p>
    <w:p w14:paraId="4EDD901F" w14:textId="77777777" w:rsidR="009B6A2A" w:rsidRDefault="009B6A2A" w:rsidP="009B6A2A">
      <w:pPr>
        <w:pStyle w:val="Heading1"/>
      </w:pPr>
    </w:p>
    <w:p w14:paraId="2228A2D2" w14:textId="77777777" w:rsidR="009B6A2A" w:rsidRDefault="009B6A2A" w:rsidP="009B6A2A">
      <w:pPr>
        <w:pStyle w:val="Heading1"/>
      </w:pPr>
    </w:p>
    <w:p w14:paraId="7F3B3E09" w14:textId="0B86ABA6" w:rsidR="009B6A2A" w:rsidRDefault="009B6A2A" w:rsidP="009B6A2A">
      <w:pPr>
        <w:pStyle w:val="Heading1"/>
      </w:pPr>
    </w:p>
    <w:p w14:paraId="350131D4" w14:textId="77777777" w:rsidR="009B6A2A" w:rsidRDefault="009B6A2A" w:rsidP="009B6A2A">
      <w:pPr>
        <w:pStyle w:val="Heading1"/>
      </w:pPr>
    </w:p>
    <w:p w14:paraId="53ECF1EA" w14:textId="77777777" w:rsidR="009B6A2A" w:rsidRDefault="009B6A2A" w:rsidP="009B6A2A">
      <w:pPr>
        <w:pStyle w:val="Heading1"/>
      </w:pPr>
    </w:p>
    <w:p w14:paraId="62AA22C0" w14:textId="77777777" w:rsidR="009B6A2A" w:rsidRDefault="009B6A2A" w:rsidP="009B6A2A">
      <w:pPr>
        <w:pStyle w:val="Heading1"/>
      </w:pPr>
    </w:p>
    <w:p w14:paraId="7C4766D1" w14:textId="77777777" w:rsidR="009B6A2A" w:rsidRDefault="009B6A2A" w:rsidP="009B6A2A">
      <w:pPr>
        <w:pStyle w:val="Heading1"/>
      </w:pPr>
    </w:p>
    <w:p w14:paraId="56ED7A49" w14:textId="77777777" w:rsidR="009B6A2A" w:rsidRDefault="009B6A2A" w:rsidP="009B6A2A">
      <w:pPr>
        <w:pStyle w:val="Heading1"/>
      </w:pPr>
    </w:p>
    <w:p w14:paraId="0A07EF33" w14:textId="77777777" w:rsidR="009B6A2A" w:rsidRDefault="009B6A2A" w:rsidP="009B6A2A">
      <w:pPr>
        <w:pStyle w:val="Heading1"/>
      </w:pPr>
    </w:p>
    <w:p w14:paraId="49692836" w14:textId="7E96445B" w:rsidR="004A0959" w:rsidRDefault="004A0959" w:rsidP="004A0959">
      <w:pPr>
        <w:rPr>
          <w:rFonts w:ascii="Verdana" w:eastAsiaTheme="majorEastAsia" w:hAnsi="Verdana" w:cstheme="majorBidi"/>
          <w:b/>
          <w:color w:val="77328A"/>
          <w:sz w:val="30"/>
          <w:szCs w:val="32"/>
        </w:rPr>
      </w:pPr>
    </w:p>
    <w:p w14:paraId="65C9638C" w14:textId="4D9002AE" w:rsidR="00185347" w:rsidRDefault="00185347" w:rsidP="004A0959">
      <w:pPr>
        <w:rPr>
          <w:rFonts w:ascii="Verdana" w:eastAsiaTheme="majorEastAsia" w:hAnsi="Verdana" w:cstheme="majorBidi"/>
          <w:b/>
          <w:color w:val="77328A"/>
          <w:sz w:val="30"/>
          <w:szCs w:val="32"/>
        </w:rPr>
      </w:pPr>
    </w:p>
    <w:p w14:paraId="28C39991" w14:textId="2EEE2061" w:rsidR="00185347" w:rsidRDefault="00185347" w:rsidP="004A0959">
      <w:pPr>
        <w:rPr>
          <w:rFonts w:ascii="Verdana" w:eastAsiaTheme="majorEastAsia" w:hAnsi="Verdana" w:cstheme="majorBidi"/>
          <w:b/>
          <w:color w:val="77328A"/>
          <w:sz w:val="30"/>
          <w:szCs w:val="32"/>
        </w:rPr>
      </w:pPr>
    </w:p>
    <w:p w14:paraId="005D07CD" w14:textId="381EA687" w:rsidR="00185347" w:rsidRDefault="00185347" w:rsidP="004A0959">
      <w:pPr>
        <w:rPr>
          <w:rFonts w:ascii="Verdana" w:eastAsiaTheme="majorEastAsia" w:hAnsi="Verdana" w:cstheme="majorBidi"/>
          <w:b/>
          <w:color w:val="77328A"/>
          <w:sz w:val="30"/>
          <w:szCs w:val="32"/>
        </w:rPr>
      </w:pPr>
    </w:p>
    <w:p w14:paraId="0AE75AB8" w14:textId="77777777" w:rsidR="00185347" w:rsidRPr="004A0959" w:rsidRDefault="00185347" w:rsidP="004A0959"/>
    <w:p w14:paraId="77FBF84E" w14:textId="50B48377" w:rsidR="007569C1" w:rsidRPr="000D1B4E" w:rsidRDefault="00C158A9" w:rsidP="006363EA">
      <w:pPr>
        <w:pStyle w:val="Heading1"/>
        <w:numPr>
          <w:ilvl w:val="1"/>
          <w:numId w:val="1"/>
        </w:numPr>
      </w:pPr>
      <w:bookmarkStart w:id="1" w:name="_Toc61268490"/>
      <w:r w:rsidRPr="000D1B4E">
        <w:lastRenderedPageBreak/>
        <w:t>Introduction</w:t>
      </w:r>
      <w:bookmarkEnd w:id="1"/>
      <w:r w:rsidRPr="000D1B4E">
        <w:t xml:space="preserve"> </w:t>
      </w:r>
    </w:p>
    <w:p w14:paraId="1871C518" w14:textId="77777777" w:rsidR="00475056" w:rsidRPr="00475056" w:rsidRDefault="00475056" w:rsidP="0087693B">
      <w:pPr>
        <w:widowControl w:val="0"/>
        <w:suppressAutoHyphens/>
        <w:autoSpaceDE w:val="0"/>
        <w:autoSpaceDN w:val="0"/>
        <w:adjustRightInd w:val="0"/>
        <w:spacing w:before="24" w:after="24" w:line="288" w:lineRule="auto"/>
        <w:rPr>
          <w:rFonts w:ascii="Verdana" w:eastAsia="MS Mincho" w:hAnsi="Verdana" w:cs="Arial"/>
          <w:color w:val="77328A"/>
          <w:sz w:val="30"/>
          <w:szCs w:val="30"/>
        </w:rPr>
      </w:pPr>
    </w:p>
    <w:p w14:paraId="5FA2EDD4" w14:textId="44F313AC" w:rsidR="00475056" w:rsidRPr="00475056" w:rsidRDefault="00475056" w:rsidP="006363EA">
      <w:pPr>
        <w:widowControl w:val="0"/>
        <w:numPr>
          <w:ilvl w:val="1"/>
          <w:numId w:val="1"/>
        </w:numPr>
        <w:autoSpaceDE w:val="0"/>
        <w:autoSpaceDN w:val="0"/>
        <w:adjustRightInd w:val="0"/>
        <w:spacing w:before="24" w:after="24" w:line="288" w:lineRule="auto"/>
        <w:rPr>
          <w:rFonts w:ascii="Verdana" w:eastAsia="MS Mincho" w:hAnsi="Verdana" w:cs="Arial"/>
          <w:lang w:val="en-US"/>
        </w:rPr>
      </w:pPr>
      <w:r w:rsidRPr="00475056">
        <w:rPr>
          <w:rFonts w:ascii="Verdana" w:eastAsia="MS Mincho" w:hAnsi="Verdana" w:cs="Arial"/>
          <w:lang w:val="en-US"/>
        </w:rPr>
        <w:t xml:space="preserve">The Northern Ireland Human Rights Commission (NIHRC), pursuant to section 69(1) of the Northern Ireland Act 1998, reviews the adequacy and effectiveness of law and practice relating to the protection of human rights in Northern Ireland (NI). In accordance with </w:t>
      </w:r>
      <w:r w:rsidR="00055B41">
        <w:rPr>
          <w:rFonts w:ascii="Verdana" w:eastAsia="MS Mincho" w:hAnsi="Verdana" w:cs="Arial"/>
          <w:lang w:val="en-US"/>
        </w:rPr>
        <w:t>this function</w:t>
      </w:r>
      <w:r w:rsidRPr="00475056">
        <w:rPr>
          <w:rFonts w:ascii="Verdana" w:eastAsia="MS Mincho" w:hAnsi="Verdana" w:cs="Arial"/>
          <w:lang w:val="en-US"/>
        </w:rPr>
        <w:t xml:space="preserve">, the following advice is submitted </w:t>
      </w:r>
      <w:r w:rsidR="00055B41">
        <w:rPr>
          <w:rFonts w:ascii="Verdana" w:eastAsia="MS Mincho" w:hAnsi="Verdana" w:cs="Arial"/>
          <w:lang w:val="en-US"/>
        </w:rPr>
        <w:t xml:space="preserve">in response to </w:t>
      </w:r>
      <w:r w:rsidR="00055B41" w:rsidRPr="00055B41">
        <w:rPr>
          <w:rFonts w:ascii="Verdana" w:eastAsia="MS Mincho" w:hAnsi="Verdana" w:cs="Arial"/>
          <w:lang w:val="en-US"/>
        </w:rPr>
        <w:t>Department of Justice</w:t>
      </w:r>
      <w:r w:rsidR="00055B41">
        <w:rPr>
          <w:rFonts w:ascii="Verdana" w:eastAsia="MS Mincho" w:hAnsi="Verdana" w:cs="Arial"/>
          <w:lang w:val="en-US"/>
        </w:rPr>
        <w:t>’s</w:t>
      </w:r>
      <w:r w:rsidR="00055B41" w:rsidRPr="00055B41">
        <w:rPr>
          <w:rFonts w:ascii="Verdana" w:eastAsia="MS Mincho" w:hAnsi="Verdana" w:cs="Arial"/>
          <w:lang w:val="en-US"/>
        </w:rPr>
        <w:t xml:space="preserve"> </w:t>
      </w:r>
      <w:r w:rsidR="00055B41">
        <w:rPr>
          <w:rFonts w:ascii="Verdana" w:eastAsia="MS Mincho" w:hAnsi="Verdana" w:cs="Arial"/>
          <w:lang w:val="en-US"/>
        </w:rPr>
        <w:t>consultation on consent to serious harm for sexual g</w:t>
      </w:r>
      <w:r w:rsidR="00055B41" w:rsidRPr="00055B41">
        <w:rPr>
          <w:rFonts w:ascii="Verdana" w:eastAsia="MS Mincho" w:hAnsi="Verdana" w:cs="Arial"/>
          <w:lang w:val="en-US"/>
        </w:rPr>
        <w:t>ratification</w:t>
      </w:r>
      <w:r w:rsidR="00055B41">
        <w:rPr>
          <w:rFonts w:ascii="Verdana" w:eastAsia="MS Mincho" w:hAnsi="Verdana" w:cs="Arial"/>
          <w:lang w:val="en-US"/>
        </w:rPr>
        <w:t>.</w:t>
      </w:r>
      <w:r w:rsidR="00055B41" w:rsidRPr="00055B41">
        <w:rPr>
          <w:rFonts w:ascii="Verdana" w:eastAsia="MS Mincho" w:hAnsi="Verdana" w:cs="Arial"/>
          <w:lang w:val="en-US"/>
        </w:rPr>
        <w:t xml:space="preserve"> </w:t>
      </w:r>
    </w:p>
    <w:p w14:paraId="088ABC21" w14:textId="77777777" w:rsidR="00475056" w:rsidRPr="00475056" w:rsidRDefault="00475056" w:rsidP="0087693B">
      <w:pPr>
        <w:widowControl w:val="0"/>
        <w:autoSpaceDE w:val="0"/>
        <w:autoSpaceDN w:val="0"/>
        <w:adjustRightInd w:val="0"/>
        <w:spacing w:before="24" w:after="24" w:line="288" w:lineRule="auto"/>
        <w:ind w:left="720"/>
        <w:rPr>
          <w:rFonts w:ascii="Verdana" w:eastAsia="MS Mincho" w:hAnsi="Verdana" w:cs="Arial"/>
          <w:lang w:val="en-US"/>
        </w:rPr>
      </w:pPr>
    </w:p>
    <w:p w14:paraId="4D5FF6DC" w14:textId="13DCFBA2" w:rsidR="00475056" w:rsidRPr="00475056" w:rsidRDefault="00475056" w:rsidP="006363EA">
      <w:pPr>
        <w:widowControl w:val="0"/>
        <w:numPr>
          <w:ilvl w:val="1"/>
          <w:numId w:val="1"/>
        </w:numPr>
        <w:autoSpaceDE w:val="0"/>
        <w:autoSpaceDN w:val="0"/>
        <w:adjustRightInd w:val="0"/>
        <w:spacing w:before="24" w:after="24" w:line="288" w:lineRule="auto"/>
        <w:rPr>
          <w:rFonts w:ascii="Verdana" w:eastAsia="MS Mincho" w:hAnsi="Verdana" w:cs="Arial"/>
          <w:b/>
          <w:lang w:val="en-US"/>
        </w:rPr>
      </w:pPr>
      <w:r w:rsidRPr="00475056">
        <w:rPr>
          <w:rFonts w:ascii="Verdana" w:eastAsia="MS Mincho" w:hAnsi="Verdana" w:cs="Arial"/>
          <w:lang w:val="en-US"/>
        </w:rPr>
        <w:t>The NIHRC bases its advice on the full range of internationally accepted human rights standards, including the European Convention on Human Rights, as incorporated by the Human Rights Act 1998, and the treaty obligations of the Council of Europe (CoE) and United Nations (UN).</w:t>
      </w:r>
      <w:r w:rsidR="00705088">
        <w:rPr>
          <w:rFonts w:ascii="Verdana" w:eastAsia="MS Mincho" w:hAnsi="Verdana" w:cs="Arial"/>
          <w:lang w:val="en-US"/>
        </w:rPr>
        <w:t xml:space="preserve"> </w:t>
      </w:r>
      <w:r w:rsidRPr="00475056">
        <w:rPr>
          <w:rFonts w:ascii="Verdana" w:eastAsia="MS Mincho" w:hAnsi="Verdana" w:cs="Arial"/>
          <w:lang w:val="en-US"/>
        </w:rPr>
        <w:t>The relevant regional and international treaties in this context include:</w:t>
      </w:r>
    </w:p>
    <w:p w14:paraId="758E2A97" w14:textId="77777777" w:rsidR="00475056" w:rsidRPr="00475056" w:rsidRDefault="00475056" w:rsidP="0087693B">
      <w:pPr>
        <w:spacing w:before="24" w:after="24" w:line="288" w:lineRule="auto"/>
        <w:ind w:left="720"/>
        <w:contextualSpacing/>
        <w:rPr>
          <w:rFonts w:ascii="Verdana" w:eastAsia="MS Mincho" w:hAnsi="Verdana" w:cs="Arial"/>
        </w:rPr>
      </w:pPr>
    </w:p>
    <w:p w14:paraId="6A04C66F" w14:textId="77777777" w:rsidR="00475056" w:rsidRPr="00475056" w:rsidRDefault="00475056" w:rsidP="006363EA">
      <w:pPr>
        <w:widowControl w:val="0"/>
        <w:numPr>
          <w:ilvl w:val="0"/>
          <w:numId w:val="2"/>
        </w:numPr>
        <w:autoSpaceDE w:val="0"/>
        <w:autoSpaceDN w:val="0"/>
        <w:adjustRightInd w:val="0"/>
        <w:spacing w:before="24" w:after="24" w:line="288" w:lineRule="auto"/>
        <w:rPr>
          <w:rFonts w:ascii="Verdana" w:eastAsia="MS Mincho" w:hAnsi="Verdana" w:cs="Arial"/>
          <w:b/>
          <w:lang w:val="en-US"/>
        </w:rPr>
      </w:pPr>
      <w:r w:rsidRPr="00475056">
        <w:rPr>
          <w:rFonts w:ascii="Verdana" w:eastAsia="MS Mincho" w:hAnsi="Verdana" w:cs="Arial"/>
          <w:lang w:val="en-US"/>
        </w:rPr>
        <w:t>European Convention on Human Rights (ECHR);</w:t>
      </w:r>
      <w:r w:rsidRPr="00475056">
        <w:rPr>
          <w:rFonts w:ascii="Verdana" w:eastAsia="MS Mincho" w:hAnsi="Verdana" w:cs="Arial"/>
          <w:vertAlign w:val="superscript"/>
          <w:lang w:val="en-US"/>
        </w:rPr>
        <w:footnoteReference w:id="2"/>
      </w:r>
      <w:r w:rsidRPr="00475056">
        <w:rPr>
          <w:rFonts w:ascii="Verdana" w:eastAsia="MS Mincho" w:hAnsi="Verdana" w:cs="Arial"/>
          <w:lang w:val="en-US"/>
        </w:rPr>
        <w:t xml:space="preserve"> </w:t>
      </w:r>
    </w:p>
    <w:p w14:paraId="543D7999" w14:textId="77777777" w:rsidR="00475056" w:rsidRPr="00475056" w:rsidRDefault="00475056" w:rsidP="006363EA">
      <w:pPr>
        <w:widowControl w:val="0"/>
        <w:numPr>
          <w:ilvl w:val="0"/>
          <w:numId w:val="2"/>
        </w:numPr>
        <w:autoSpaceDE w:val="0"/>
        <w:autoSpaceDN w:val="0"/>
        <w:adjustRightInd w:val="0"/>
        <w:spacing w:before="24" w:after="24" w:line="288" w:lineRule="auto"/>
        <w:rPr>
          <w:rFonts w:ascii="Verdana" w:eastAsia="MS Mincho" w:hAnsi="Verdana" w:cs="Arial"/>
          <w:lang w:val="en-US"/>
        </w:rPr>
      </w:pPr>
      <w:r w:rsidRPr="00475056">
        <w:rPr>
          <w:rFonts w:ascii="Verdana" w:eastAsia="MS Mincho" w:hAnsi="Verdana" w:cs="Arial"/>
          <w:lang w:val="en-US"/>
        </w:rPr>
        <w:t>CoE Convention on Preventing and Combating Violence against Women (Istanbul Convention);</w:t>
      </w:r>
      <w:r w:rsidRPr="00475056">
        <w:rPr>
          <w:rFonts w:ascii="Verdana" w:eastAsia="MS Mincho" w:hAnsi="Verdana" w:cs="Arial"/>
          <w:vertAlign w:val="superscript"/>
          <w:lang w:val="en-US"/>
        </w:rPr>
        <w:footnoteReference w:id="3"/>
      </w:r>
    </w:p>
    <w:p w14:paraId="556EC44A" w14:textId="77777777" w:rsidR="00475056" w:rsidRPr="00475056" w:rsidRDefault="00475056" w:rsidP="006363EA">
      <w:pPr>
        <w:widowControl w:val="0"/>
        <w:numPr>
          <w:ilvl w:val="0"/>
          <w:numId w:val="2"/>
        </w:numPr>
        <w:autoSpaceDE w:val="0"/>
        <w:autoSpaceDN w:val="0"/>
        <w:adjustRightInd w:val="0"/>
        <w:spacing w:before="24" w:after="24" w:line="288" w:lineRule="auto"/>
        <w:rPr>
          <w:rFonts w:ascii="Verdana" w:eastAsia="MS Mincho" w:hAnsi="Verdana" w:cs="Arial"/>
          <w:lang w:val="en-US"/>
        </w:rPr>
      </w:pPr>
      <w:r w:rsidRPr="00475056">
        <w:rPr>
          <w:rFonts w:ascii="Verdana" w:eastAsia="MS Mincho" w:hAnsi="Verdana" w:cs="Arial"/>
          <w:lang w:val="en-US"/>
        </w:rPr>
        <w:t>UN Convention on Civil and Political Rights (UN ICCPR);</w:t>
      </w:r>
      <w:r w:rsidRPr="00475056">
        <w:rPr>
          <w:rFonts w:ascii="Verdana" w:eastAsia="MS Mincho" w:hAnsi="Verdana" w:cs="Arial"/>
          <w:vertAlign w:val="superscript"/>
          <w:lang w:val="en-US"/>
        </w:rPr>
        <w:footnoteReference w:id="4"/>
      </w:r>
    </w:p>
    <w:p w14:paraId="156D1F54" w14:textId="77777777" w:rsidR="00475056" w:rsidRPr="00475056" w:rsidRDefault="00475056" w:rsidP="006363EA">
      <w:pPr>
        <w:widowControl w:val="0"/>
        <w:numPr>
          <w:ilvl w:val="0"/>
          <w:numId w:val="2"/>
        </w:numPr>
        <w:autoSpaceDE w:val="0"/>
        <w:autoSpaceDN w:val="0"/>
        <w:adjustRightInd w:val="0"/>
        <w:spacing w:before="24" w:after="24" w:line="288" w:lineRule="auto"/>
        <w:rPr>
          <w:rFonts w:ascii="Verdana" w:eastAsia="MS Mincho" w:hAnsi="Verdana" w:cs="Arial"/>
          <w:lang w:val="en-US"/>
        </w:rPr>
      </w:pPr>
      <w:r w:rsidRPr="00475056">
        <w:rPr>
          <w:rFonts w:ascii="Verdana" w:eastAsia="MS Mincho" w:hAnsi="Verdana" w:cs="Verdana"/>
          <w:color w:val="000000"/>
          <w:lang w:val="en-US"/>
        </w:rPr>
        <w:t>UN Convention on Elimination of Discrimination against Women (UN CEDAW);</w:t>
      </w:r>
      <w:r w:rsidRPr="00475056">
        <w:rPr>
          <w:rFonts w:ascii="Verdana" w:eastAsia="MS Mincho" w:hAnsi="Verdana" w:cs="Verdana"/>
          <w:color w:val="000000"/>
          <w:vertAlign w:val="superscript"/>
          <w:lang w:val="en-US"/>
        </w:rPr>
        <w:footnoteReference w:id="5"/>
      </w:r>
    </w:p>
    <w:p w14:paraId="1657A831" w14:textId="77777777" w:rsidR="00475056" w:rsidRPr="00475056" w:rsidRDefault="00475056" w:rsidP="006363EA">
      <w:pPr>
        <w:widowControl w:val="0"/>
        <w:numPr>
          <w:ilvl w:val="0"/>
          <w:numId w:val="2"/>
        </w:numPr>
        <w:autoSpaceDE w:val="0"/>
        <w:autoSpaceDN w:val="0"/>
        <w:adjustRightInd w:val="0"/>
        <w:spacing w:before="24" w:after="24" w:line="288" w:lineRule="auto"/>
        <w:rPr>
          <w:rFonts w:ascii="Verdana" w:eastAsia="MS Mincho" w:hAnsi="Verdana" w:cs="Arial"/>
          <w:lang w:val="en-US"/>
        </w:rPr>
      </w:pPr>
      <w:r w:rsidRPr="00475056">
        <w:rPr>
          <w:rFonts w:ascii="Verdana" w:eastAsia="MS Mincho" w:hAnsi="Verdana" w:cs="Verdana"/>
          <w:color w:val="000000"/>
          <w:lang w:val="en-US"/>
        </w:rPr>
        <w:t>UN Convention against Torture (UN CAT);</w:t>
      </w:r>
      <w:r w:rsidRPr="00475056">
        <w:rPr>
          <w:rFonts w:ascii="Verdana" w:eastAsia="MS Mincho" w:hAnsi="Verdana" w:cs="Verdana"/>
          <w:color w:val="000000"/>
          <w:vertAlign w:val="superscript"/>
          <w:lang w:val="en-US"/>
        </w:rPr>
        <w:footnoteReference w:id="6"/>
      </w:r>
    </w:p>
    <w:p w14:paraId="3BDC2F00" w14:textId="77777777" w:rsidR="00475056" w:rsidRPr="00475056" w:rsidRDefault="00475056" w:rsidP="006363EA">
      <w:pPr>
        <w:widowControl w:val="0"/>
        <w:numPr>
          <w:ilvl w:val="0"/>
          <w:numId w:val="2"/>
        </w:numPr>
        <w:autoSpaceDE w:val="0"/>
        <w:autoSpaceDN w:val="0"/>
        <w:adjustRightInd w:val="0"/>
        <w:spacing w:before="24" w:after="24" w:line="288" w:lineRule="auto"/>
        <w:rPr>
          <w:rFonts w:ascii="Verdana" w:eastAsia="MS Mincho" w:hAnsi="Verdana" w:cs="Arial"/>
          <w:lang w:val="en-US"/>
        </w:rPr>
      </w:pPr>
      <w:r w:rsidRPr="00475056">
        <w:rPr>
          <w:rFonts w:ascii="Verdana" w:eastAsia="MS Mincho" w:hAnsi="Verdana" w:cs="Verdana"/>
          <w:color w:val="000000"/>
          <w:lang w:val="en-US"/>
        </w:rPr>
        <w:t>UN Convention on the Rights of the Child (UN CRC);</w:t>
      </w:r>
      <w:r w:rsidRPr="00475056">
        <w:rPr>
          <w:rFonts w:ascii="Verdana" w:eastAsia="MS Mincho" w:hAnsi="Verdana" w:cs="Verdana"/>
          <w:color w:val="000000"/>
          <w:vertAlign w:val="superscript"/>
          <w:lang w:val="en-US"/>
        </w:rPr>
        <w:footnoteReference w:id="7"/>
      </w:r>
      <w:r w:rsidRPr="00475056">
        <w:rPr>
          <w:rFonts w:ascii="Verdana" w:eastAsia="MS Mincho" w:hAnsi="Verdana" w:cs="Verdana"/>
          <w:color w:val="000000"/>
          <w:lang w:val="en-US"/>
        </w:rPr>
        <w:t xml:space="preserve"> and</w:t>
      </w:r>
    </w:p>
    <w:p w14:paraId="0903EC9E" w14:textId="77777777" w:rsidR="00475056" w:rsidRPr="00475056" w:rsidRDefault="00475056" w:rsidP="006363EA">
      <w:pPr>
        <w:widowControl w:val="0"/>
        <w:numPr>
          <w:ilvl w:val="0"/>
          <w:numId w:val="2"/>
        </w:numPr>
        <w:autoSpaceDE w:val="0"/>
        <w:autoSpaceDN w:val="0"/>
        <w:adjustRightInd w:val="0"/>
        <w:spacing w:before="24" w:after="24" w:line="288" w:lineRule="auto"/>
        <w:rPr>
          <w:rFonts w:ascii="Verdana" w:eastAsia="MS Mincho" w:hAnsi="Verdana" w:cs="Arial"/>
          <w:lang w:val="en-US"/>
        </w:rPr>
      </w:pPr>
      <w:r w:rsidRPr="00475056">
        <w:rPr>
          <w:rFonts w:ascii="Verdana" w:eastAsia="MS Mincho" w:hAnsi="Verdana" w:cs="Verdana"/>
          <w:color w:val="000000"/>
          <w:lang w:val="en-US"/>
        </w:rPr>
        <w:t>UN Convention on the Rights of Persons with Disabilities (UN CRPD).</w:t>
      </w:r>
      <w:r w:rsidRPr="00475056">
        <w:rPr>
          <w:rFonts w:ascii="Verdana" w:eastAsia="MS Mincho" w:hAnsi="Verdana" w:cs="Verdana"/>
          <w:color w:val="000000"/>
          <w:vertAlign w:val="superscript"/>
          <w:lang w:val="en-US"/>
        </w:rPr>
        <w:footnoteReference w:id="8"/>
      </w:r>
    </w:p>
    <w:p w14:paraId="7699262A" w14:textId="77777777" w:rsidR="00475056" w:rsidRPr="00475056" w:rsidRDefault="00475056" w:rsidP="0087693B">
      <w:pPr>
        <w:spacing w:before="24" w:after="24" w:line="288" w:lineRule="auto"/>
        <w:ind w:left="720"/>
        <w:contextualSpacing/>
        <w:rPr>
          <w:rFonts w:ascii="Verdana" w:eastAsia="MS Mincho" w:hAnsi="Verdana" w:cs="Arial"/>
        </w:rPr>
      </w:pPr>
    </w:p>
    <w:p w14:paraId="6C59FF02" w14:textId="77777777" w:rsidR="00475056" w:rsidRPr="00475056" w:rsidRDefault="00475056" w:rsidP="006363EA">
      <w:pPr>
        <w:numPr>
          <w:ilvl w:val="1"/>
          <w:numId w:val="1"/>
        </w:numPr>
        <w:spacing w:before="24" w:after="24" w:line="288" w:lineRule="auto"/>
        <w:contextualSpacing/>
        <w:rPr>
          <w:rFonts w:ascii="Verdana" w:eastAsia="MS Mincho" w:hAnsi="Verdana" w:cs="Arial"/>
          <w:lang w:val="en-US"/>
        </w:rPr>
      </w:pPr>
      <w:r w:rsidRPr="00475056">
        <w:rPr>
          <w:rFonts w:ascii="Verdana" w:eastAsia="MS Mincho" w:hAnsi="Verdana" w:cs="Arial"/>
          <w:lang w:val="en-US"/>
        </w:rPr>
        <w:t>In addition to these treaty standards, there exists a body of ‘soft law’ developed by the human rights bodies of the CoE and UN. These declarations and principles are non-binding, but provide further guidance in respect of specific areas. The relevant standards in this context include:</w:t>
      </w:r>
    </w:p>
    <w:p w14:paraId="5398E357" w14:textId="77777777" w:rsidR="00475056" w:rsidRPr="00475056" w:rsidRDefault="00475056" w:rsidP="0087693B">
      <w:pPr>
        <w:spacing w:before="24" w:after="24" w:line="288" w:lineRule="auto"/>
        <w:ind w:left="720"/>
        <w:contextualSpacing/>
        <w:rPr>
          <w:rFonts w:ascii="Verdana" w:eastAsia="MS Mincho" w:hAnsi="Verdana" w:cs="Arial"/>
          <w:lang w:val="en-US"/>
        </w:rPr>
      </w:pPr>
    </w:p>
    <w:p w14:paraId="2B5664F0" w14:textId="77777777" w:rsidR="00475056" w:rsidRPr="00475056" w:rsidRDefault="00475056" w:rsidP="006363EA">
      <w:pPr>
        <w:numPr>
          <w:ilvl w:val="0"/>
          <w:numId w:val="3"/>
        </w:numPr>
        <w:spacing w:before="24" w:after="24" w:line="288" w:lineRule="auto"/>
        <w:contextualSpacing/>
        <w:rPr>
          <w:rFonts w:ascii="Verdana" w:eastAsia="MS Mincho" w:hAnsi="Verdana" w:cs="Arial"/>
          <w:lang w:val="en-US"/>
        </w:rPr>
      </w:pPr>
      <w:r w:rsidRPr="00475056">
        <w:rPr>
          <w:rFonts w:ascii="Verdana" w:eastAsia="MS Mincho" w:hAnsi="Verdana" w:cs="Arial"/>
          <w:lang w:val="en-US"/>
        </w:rPr>
        <w:lastRenderedPageBreak/>
        <w:t>UN CAT Committee Concluding Observations 2019;</w:t>
      </w:r>
      <w:r w:rsidRPr="00475056">
        <w:rPr>
          <w:rFonts w:ascii="Verdana" w:eastAsia="MS Mincho" w:hAnsi="Verdana" w:cs="Arial"/>
          <w:vertAlign w:val="superscript"/>
          <w:lang w:val="en-US"/>
        </w:rPr>
        <w:footnoteReference w:id="9"/>
      </w:r>
    </w:p>
    <w:p w14:paraId="2C6B06FB" w14:textId="77777777" w:rsidR="00475056" w:rsidRDefault="00475056" w:rsidP="006363EA">
      <w:pPr>
        <w:numPr>
          <w:ilvl w:val="0"/>
          <w:numId w:val="3"/>
        </w:numPr>
        <w:spacing w:before="24" w:after="24" w:line="288" w:lineRule="auto"/>
        <w:contextualSpacing/>
        <w:rPr>
          <w:rFonts w:ascii="Verdana" w:eastAsia="MS Mincho" w:hAnsi="Verdana" w:cs="Arial"/>
          <w:lang w:val="en-US"/>
        </w:rPr>
      </w:pPr>
      <w:r w:rsidRPr="00475056">
        <w:rPr>
          <w:rFonts w:ascii="Verdana" w:eastAsia="MS Mincho" w:hAnsi="Verdana" w:cs="Arial"/>
          <w:lang w:val="en-US"/>
        </w:rPr>
        <w:t>UN CEDAW Committee Concluding Observations 2019;</w:t>
      </w:r>
      <w:r w:rsidRPr="00475056">
        <w:rPr>
          <w:rFonts w:ascii="Verdana" w:eastAsia="MS Mincho" w:hAnsi="Verdana" w:cs="Arial"/>
          <w:vertAlign w:val="superscript"/>
          <w:lang w:val="en-US"/>
        </w:rPr>
        <w:footnoteReference w:id="10"/>
      </w:r>
    </w:p>
    <w:p w14:paraId="20F7A314" w14:textId="62714E46" w:rsidR="006232D8" w:rsidRPr="00475056" w:rsidRDefault="006232D8" w:rsidP="006363EA">
      <w:pPr>
        <w:numPr>
          <w:ilvl w:val="0"/>
          <w:numId w:val="3"/>
        </w:numPr>
        <w:spacing w:before="24" w:after="24" w:line="288" w:lineRule="auto"/>
        <w:contextualSpacing/>
        <w:rPr>
          <w:rFonts w:ascii="Verdana" w:eastAsia="MS Mincho" w:hAnsi="Verdana" w:cs="Arial"/>
          <w:lang w:val="en-US"/>
        </w:rPr>
      </w:pPr>
      <w:r>
        <w:rPr>
          <w:rFonts w:ascii="Verdana" w:eastAsia="MS Mincho" w:hAnsi="Verdana" w:cs="Arial"/>
          <w:lang w:val="en-US"/>
        </w:rPr>
        <w:t>UN</w:t>
      </w:r>
      <w:r w:rsidR="000033EB">
        <w:rPr>
          <w:rFonts w:ascii="Verdana" w:eastAsia="MS Mincho" w:hAnsi="Verdana" w:cs="Arial"/>
          <w:lang w:val="en-US"/>
        </w:rPr>
        <w:t xml:space="preserve"> CEDAW Committee General Recommendation</w:t>
      </w:r>
      <w:r w:rsidR="00E3688C">
        <w:rPr>
          <w:rFonts w:ascii="Verdana" w:eastAsia="MS Mincho" w:hAnsi="Verdana" w:cs="Arial"/>
          <w:lang w:val="en-US"/>
        </w:rPr>
        <w:t xml:space="preserve"> No</w:t>
      </w:r>
      <w:r>
        <w:rPr>
          <w:rFonts w:ascii="Verdana" w:eastAsia="MS Mincho" w:hAnsi="Verdana" w:cs="Arial"/>
          <w:lang w:val="en-US"/>
        </w:rPr>
        <w:t xml:space="preserve"> 35;</w:t>
      </w:r>
      <w:r>
        <w:rPr>
          <w:rStyle w:val="FootnoteReference"/>
          <w:rFonts w:ascii="Verdana" w:eastAsia="MS Mincho" w:hAnsi="Verdana" w:cs="Arial"/>
          <w:lang w:val="en-US"/>
        </w:rPr>
        <w:footnoteReference w:id="11"/>
      </w:r>
    </w:p>
    <w:p w14:paraId="5737EC37" w14:textId="358667A6" w:rsidR="00475056" w:rsidRPr="00475056" w:rsidRDefault="00475056" w:rsidP="006363EA">
      <w:pPr>
        <w:numPr>
          <w:ilvl w:val="0"/>
          <w:numId w:val="3"/>
        </w:numPr>
        <w:spacing w:before="24" w:after="24" w:line="288" w:lineRule="auto"/>
        <w:contextualSpacing/>
        <w:rPr>
          <w:rFonts w:ascii="Verdana" w:eastAsia="MS Mincho" w:hAnsi="Verdana" w:cs="Arial"/>
          <w:lang w:val="en-US"/>
        </w:rPr>
      </w:pPr>
      <w:r w:rsidRPr="00475056">
        <w:rPr>
          <w:rFonts w:ascii="Verdana" w:eastAsia="MS Mincho" w:hAnsi="Verdana" w:cs="Arial"/>
          <w:lang w:val="en-US"/>
        </w:rPr>
        <w:t>UN Human Rights Committee General Comment</w:t>
      </w:r>
      <w:r w:rsidR="00E3688C">
        <w:rPr>
          <w:rFonts w:ascii="Verdana" w:eastAsia="MS Mincho" w:hAnsi="Verdana" w:cs="Arial"/>
          <w:lang w:val="en-US"/>
        </w:rPr>
        <w:t xml:space="preserve"> No</w:t>
      </w:r>
      <w:r w:rsidRPr="00475056">
        <w:rPr>
          <w:rFonts w:ascii="Verdana" w:eastAsia="MS Mincho" w:hAnsi="Verdana" w:cs="Arial"/>
          <w:lang w:val="en-US"/>
        </w:rPr>
        <w:t xml:space="preserve"> 32;</w:t>
      </w:r>
      <w:r w:rsidRPr="00475056">
        <w:rPr>
          <w:rFonts w:ascii="Verdana" w:eastAsia="MS Mincho" w:hAnsi="Verdana" w:cs="Arial"/>
          <w:vertAlign w:val="superscript"/>
          <w:lang w:val="en-US"/>
        </w:rPr>
        <w:footnoteReference w:id="12"/>
      </w:r>
      <w:r w:rsidRPr="00475056">
        <w:rPr>
          <w:rFonts w:ascii="Verdana" w:eastAsia="MS Mincho" w:hAnsi="Verdana" w:cs="Arial"/>
          <w:lang w:val="en-US"/>
        </w:rPr>
        <w:t xml:space="preserve"> and </w:t>
      </w:r>
    </w:p>
    <w:p w14:paraId="176DCB6E" w14:textId="77777777" w:rsidR="00475056" w:rsidRPr="00475056" w:rsidRDefault="00475056" w:rsidP="006363EA">
      <w:pPr>
        <w:numPr>
          <w:ilvl w:val="0"/>
          <w:numId w:val="3"/>
        </w:numPr>
        <w:spacing w:before="24" w:after="24" w:line="288" w:lineRule="auto"/>
        <w:contextualSpacing/>
        <w:rPr>
          <w:rFonts w:ascii="Verdana" w:eastAsia="MS Mincho" w:hAnsi="Verdana" w:cs="Arial"/>
          <w:lang w:val="en-US"/>
        </w:rPr>
      </w:pPr>
      <w:r w:rsidRPr="00475056">
        <w:rPr>
          <w:rFonts w:ascii="Verdana" w:eastAsia="MS Mincho" w:hAnsi="Verdana" w:cs="Arial"/>
          <w:lang w:val="en-US"/>
        </w:rPr>
        <w:t>UN Declaration on the Elimination of Violence against Women.</w:t>
      </w:r>
      <w:r w:rsidRPr="00475056">
        <w:rPr>
          <w:rFonts w:ascii="Verdana" w:eastAsia="MS Mincho" w:hAnsi="Verdana" w:cs="Arial"/>
          <w:vertAlign w:val="superscript"/>
          <w:lang w:val="en-US"/>
        </w:rPr>
        <w:footnoteReference w:id="13"/>
      </w:r>
    </w:p>
    <w:p w14:paraId="6A21FF71" w14:textId="77777777" w:rsidR="007569C1" w:rsidRDefault="007569C1" w:rsidP="0087693B">
      <w:pPr>
        <w:pStyle w:val="Default"/>
        <w:spacing w:before="24" w:after="24" w:line="288" w:lineRule="auto"/>
        <w:rPr>
          <w:rFonts w:cs="Arial"/>
          <w:color w:val="232120"/>
        </w:rPr>
      </w:pPr>
    </w:p>
    <w:p w14:paraId="35519301" w14:textId="77777777" w:rsidR="00475056" w:rsidRDefault="00475056" w:rsidP="006363EA">
      <w:pPr>
        <w:pStyle w:val="ListParagraph"/>
        <w:numPr>
          <w:ilvl w:val="1"/>
          <w:numId w:val="1"/>
        </w:numPr>
        <w:spacing w:before="24" w:after="24"/>
        <w:rPr>
          <w:rFonts w:cs="Arial"/>
          <w:lang w:val="en-US"/>
        </w:rPr>
      </w:pPr>
      <w:r>
        <w:rPr>
          <w:rFonts w:cs="Arial"/>
          <w:lang w:val="en-US"/>
        </w:rPr>
        <w:t xml:space="preserve">The NIHRC welcomes the </w:t>
      </w:r>
      <w:r w:rsidR="00070E5B">
        <w:rPr>
          <w:rFonts w:cs="Arial"/>
          <w:lang w:val="en-US"/>
        </w:rPr>
        <w:t xml:space="preserve">introduction of </w:t>
      </w:r>
      <w:r>
        <w:rPr>
          <w:rFonts w:cs="Arial"/>
          <w:lang w:val="en-US"/>
        </w:rPr>
        <w:t>legislation to</w:t>
      </w:r>
      <w:r w:rsidR="00070E5B">
        <w:rPr>
          <w:rFonts w:cs="Arial"/>
          <w:lang w:val="en-US"/>
        </w:rPr>
        <w:t xml:space="preserve"> outlaw consent to </w:t>
      </w:r>
      <w:r w:rsidR="00533A55">
        <w:rPr>
          <w:rFonts w:cs="Arial"/>
          <w:lang w:val="en-US"/>
        </w:rPr>
        <w:t xml:space="preserve">serious </w:t>
      </w:r>
      <w:r w:rsidR="00070E5B">
        <w:rPr>
          <w:rFonts w:cs="Arial"/>
          <w:lang w:val="en-US"/>
        </w:rPr>
        <w:t xml:space="preserve">harm for sexual gratification </w:t>
      </w:r>
      <w:r w:rsidR="006A100A">
        <w:rPr>
          <w:rFonts w:cs="Arial"/>
          <w:lang w:val="en-US"/>
        </w:rPr>
        <w:t>in trials as a defence</w:t>
      </w:r>
      <w:r w:rsidR="00866AB4">
        <w:rPr>
          <w:rFonts w:cs="Arial"/>
          <w:lang w:val="en-US"/>
        </w:rPr>
        <w:t xml:space="preserve"> and</w:t>
      </w:r>
      <w:r w:rsidRPr="00070E5B">
        <w:rPr>
          <w:rFonts w:cs="Arial"/>
          <w:lang w:val="en-US"/>
        </w:rPr>
        <w:t xml:space="preserve"> welcomes the opportunity to provide advice on </w:t>
      </w:r>
      <w:r w:rsidR="00070E5B">
        <w:rPr>
          <w:rFonts w:cs="Arial"/>
          <w:lang w:val="en-US"/>
        </w:rPr>
        <w:t xml:space="preserve">the creation of new legislation. </w:t>
      </w:r>
    </w:p>
    <w:p w14:paraId="158157FF" w14:textId="77777777" w:rsidR="009B66F7" w:rsidRDefault="009B66F7" w:rsidP="0087693B">
      <w:pPr>
        <w:spacing w:before="24" w:after="24"/>
        <w:rPr>
          <w:rFonts w:cs="Arial"/>
          <w:lang w:val="en-US"/>
        </w:rPr>
      </w:pPr>
    </w:p>
    <w:p w14:paraId="1E1981D1" w14:textId="39D6E305" w:rsidR="009B66F7" w:rsidRPr="000D1B4E" w:rsidRDefault="00FF440A" w:rsidP="006363EA">
      <w:pPr>
        <w:pStyle w:val="Heading1"/>
        <w:numPr>
          <w:ilvl w:val="0"/>
          <w:numId w:val="1"/>
        </w:numPr>
        <w:spacing w:before="24" w:after="24"/>
      </w:pPr>
      <w:bookmarkStart w:id="2" w:name="_Toc61268491"/>
      <w:r>
        <w:t>Removal of the defence</w:t>
      </w:r>
      <w:bookmarkEnd w:id="2"/>
    </w:p>
    <w:p w14:paraId="539600E5" w14:textId="17E4E5C6" w:rsidR="006E414C" w:rsidRDefault="006E414C" w:rsidP="0087693B">
      <w:pPr>
        <w:spacing w:before="24" w:after="24"/>
        <w:rPr>
          <w:rFonts w:ascii="Verdana" w:hAnsi="Verdana"/>
          <w:lang w:val="en-US"/>
        </w:rPr>
      </w:pPr>
    </w:p>
    <w:p w14:paraId="2F418E75" w14:textId="6585D455" w:rsidR="00E82EEF" w:rsidRPr="00BD6DA4" w:rsidRDefault="00E82EEF" w:rsidP="006363EA">
      <w:pPr>
        <w:pStyle w:val="ListParagraph"/>
        <w:numPr>
          <w:ilvl w:val="1"/>
          <w:numId w:val="6"/>
        </w:numPr>
        <w:rPr>
          <w:rFonts w:eastAsiaTheme="minorEastAsia" w:cs="Arial"/>
          <w:color w:val="000000"/>
        </w:rPr>
      </w:pPr>
      <w:r w:rsidRPr="00BD6DA4">
        <w:rPr>
          <w:rFonts w:cs="Arial"/>
        </w:rPr>
        <w:t xml:space="preserve">Articles 2 ECHR protects the right to life and </w:t>
      </w:r>
      <w:r>
        <w:rPr>
          <w:rFonts w:cs="Arial"/>
        </w:rPr>
        <w:t xml:space="preserve">Article 3 ECHR protects </w:t>
      </w:r>
      <w:r w:rsidRPr="00BD6DA4">
        <w:rPr>
          <w:rFonts w:cs="Arial"/>
        </w:rPr>
        <w:t>freedom from torture, cruel, inhuman or degrading treatment and punishment.</w:t>
      </w:r>
      <w:r>
        <w:rPr>
          <w:rStyle w:val="FootnoteReference"/>
          <w:rFonts w:cs="Arial"/>
        </w:rPr>
        <w:footnoteReference w:id="14"/>
      </w:r>
      <w:r w:rsidRPr="00BD6DA4">
        <w:rPr>
          <w:rFonts w:cs="Arial"/>
        </w:rPr>
        <w:t xml:space="preserve"> </w:t>
      </w:r>
      <w:r w:rsidRPr="00BD6DA4">
        <w:rPr>
          <w:rFonts w:eastAsiaTheme="minorEastAsia" w:cs="Arial"/>
          <w:color w:val="000000"/>
        </w:rPr>
        <w:t xml:space="preserve">The European Court of Human Rights (ECtHR) has been clear that these provisions contain positive obligations to ensure these fundamental rights are protected. </w:t>
      </w:r>
    </w:p>
    <w:p w14:paraId="0102F2E1" w14:textId="77777777" w:rsidR="00E82EEF" w:rsidRPr="00E82EEF" w:rsidRDefault="00E82EEF" w:rsidP="00E82EEF">
      <w:pPr>
        <w:pStyle w:val="Default"/>
        <w:spacing w:before="24" w:after="24" w:line="288" w:lineRule="auto"/>
        <w:ind w:left="873"/>
        <w:rPr>
          <w:rFonts w:cs="Arial"/>
          <w:color w:val="auto"/>
        </w:rPr>
      </w:pPr>
    </w:p>
    <w:p w14:paraId="692C4314" w14:textId="55C38DEC" w:rsidR="00E82EEF" w:rsidRPr="00E82EEF" w:rsidRDefault="00E82EEF" w:rsidP="006363EA">
      <w:pPr>
        <w:pStyle w:val="Default"/>
        <w:numPr>
          <w:ilvl w:val="1"/>
          <w:numId w:val="6"/>
        </w:numPr>
        <w:spacing w:before="24" w:after="24" w:line="288" w:lineRule="auto"/>
        <w:rPr>
          <w:rFonts w:cs="Arial"/>
          <w:color w:val="auto"/>
        </w:rPr>
      </w:pPr>
      <w:r w:rsidRPr="00B84986">
        <w:rPr>
          <w:rFonts w:cs="Arial"/>
          <w:lang w:val="en-GB"/>
        </w:rPr>
        <w:t>The ECtHR</w:t>
      </w:r>
      <w:r>
        <w:rPr>
          <w:rFonts w:cs="Arial"/>
          <w:lang w:val="en-GB"/>
        </w:rPr>
        <w:t xml:space="preserve"> has provided that</w:t>
      </w:r>
      <w:r w:rsidRPr="00B84986">
        <w:rPr>
          <w:rFonts w:cs="Arial"/>
          <w:lang w:val="en-GB"/>
        </w:rPr>
        <w:t xml:space="preserve"> the</w:t>
      </w:r>
      <w:r>
        <w:rPr>
          <w:rFonts w:cs="Arial"/>
          <w:lang w:val="en-GB"/>
        </w:rPr>
        <w:t>re are</w:t>
      </w:r>
      <w:r w:rsidRPr="00B84986">
        <w:rPr>
          <w:rFonts w:cs="Arial"/>
          <w:lang w:val="en-GB"/>
        </w:rPr>
        <w:t xml:space="preserve"> positive obligation</w:t>
      </w:r>
      <w:r>
        <w:rPr>
          <w:rFonts w:cs="Arial"/>
          <w:lang w:val="en-GB"/>
        </w:rPr>
        <w:t>s</w:t>
      </w:r>
      <w:r w:rsidRPr="00B84986">
        <w:rPr>
          <w:rFonts w:cs="Arial"/>
          <w:lang w:val="en-GB"/>
        </w:rPr>
        <w:t xml:space="preserve"> under Article 2 </w:t>
      </w:r>
      <w:r>
        <w:rPr>
          <w:rFonts w:cs="Arial"/>
          <w:lang w:val="en-GB"/>
        </w:rPr>
        <w:t xml:space="preserve">ECHR </w:t>
      </w:r>
      <w:r w:rsidRPr="00B84986">
        <w:rPr>
          <w:rFonts w:cs="Arial"/>
          <w:lang w:val="en-GB"/>
        </w:rPr>
        <w:t>to take appropriate steps to safeguard the lives of those within its jurisdiction to apply in the context of any activity, whether</w:t>
      </w:r>
      <w:r>
        <w:rPr>
          <w:rFonts w:cs="Arial"/>
          <w:lang w:val="en-GB"/>
        </w:rPr>
        <w:t xml:space="preserve"> </w:t>
      </w:r>
      <w:r w:rsidRPr="00B84986">
        <w:rPr>
          <w:rFonts w:cs="Arial"/>
          <w:lang w:val="en-GB"/>
        </w:rPr>
        <w:t>public or not, in which the right to life may be at stake</w:t>
      </w:r>
      <w:r>
        <w:rPr>
          <w:rFonts w:cs="Arial"/>
          <w:lang w:val="en-GB"/>
        </w:rPr>
        <w:t>.</w:t>
      </w:r>
      <w:r>
        <w:rPr>
          <w:rStyle w:val="FootnoteReference"/>
          <w:rFonts w:cs="Arial"/>
          <w:lang w:val="en-GB"/>
        </w:rPr>
        <w:footnoteReference w:id="15"/>
      </w:r>
      <w:r>
        <w:rPr>
          <w:rFonts w:cs="Arial"/>
          <w:lang w:val="en-GB"/>
        </w:rPr>
        <w:t xml:space="preserve"> This requires public authorities to take reasonable steps when they know of or ought to have known of real and immediate threats to life</w:t>
      </w:r>
      <w:r w:rsidR="00251954">
        <w:rPr>
          <w:rFonts w:cs="Arial"/>
          <w:lang w:val="en-GB"/>
        </w:rPr>
        <w:t>, including by a third party non-State actor</w:t>
      </w:r>
      <w:r>
        <w:rPr>
          <w:rFonts w:cs="Arial"/>
          <w:lang w:val="en-GB"/>
        </w:rPr>
        <w:t>.</w:t>
      </w:r>
      <w:r>
        <w:rPr>
          <w:rStyle w:val="FootnoteReference"/>
          <w:rFonts w:cs="Arial"/>
          <w:lang w:val="en-GB"/>
        </w:rPr>
        <w:footnoteReference w:id="16"/>
      </w:r>
      <w:r>
        <w:rPr>
          <w:rFonts w:cs="Arial"/>
          <w:lang w:val="en-GB"/>
        </w:rPr>
        <w:t xml:space="preserve"> </w:t>
      </w:r>
      <w:r>
        <w:rPr>
          <w:rFonts w:cs="Arial"/>
          <w:color w:val="auto"/>
        </w:rPr>
        <w:t xml:space="preserve">Article 3 ECHR is an absolute right which provides that this right </w:t>
      </w:r>
      <w:r w:rsidRPr="003631F6">
        <w:rPr>
          <w:rFonts w:cs="Arial"/>
          <w:color w:val="auto"/>
        </w:rPr>
        <w:t xml:space="preserve">must never be </w:t>
      </w:r>
      <w:r>
        <w:rPr>
          <w:rFonts w:cs="Arial"/>
          <w:color w:val="auto"/>
        </w:rPr>
        <w:t>interfered with</w:t>
      </w:r>
      <w:r w:rsidRPr="003631F6">
        <w:rPr>
          <w:rFonts w:cs="Arial"/>
          <w:color w:val="auto"/>
        </w:rPr>
        <w:t xml:space="preserve"> </w:t>
      </w:r>
      <w:r>
        <w:rPr>
          <w:rFonts w:cs="Arial"/>
          <w:color w:val="auto"/>
        </w:rPr>
        <w:t>under any circumstances.</w:t>
      </w:r>
      <w:r>
        <w:rPr>
          <w:rStyle w:val="FootnoteReference"/>
          <w:rFonts w:cs="Arial"/>
          <w:color w:val="auto"/>
        </w:rPr>
        <w:footnoteReference w:id="17"/>
      </w:r>
    </w:p>
    <w:p w14:paraId="62164FF3" w14:textId="77777777" w:rsidR="00E82EEF" w:rsidRDefault="00E82EEF" w:rsidP="00E82EEF">
      <w:pPr>
        <w:pStyle w:val="ListParagraph"/>
        <w:rPr>
          <w:rFonts w:cs="Arial"/>
        </w:rPr>
      </w:pPr>
    </w:p>
    <w:p w14:paraId="0D0601FC" w14:textId="5527C14D" w:rsidR="00E82EEF" w:rsidRDefault="00E82EEF" w:rsidP="006363EA">
      <w:pPr>
        <w:pStyle w:val="Default"/>
        <w:numPr>
          <w:ilvl w:val="1"/>
          <w:numId w:val="6"/>
        </w:numPr>
        <w:spacing w:before="24" w:after="24" w:line="288" w:lineRule="auto"/>
        <w:rPr>
          <w:rFonts w:cs="Arial"/>
          <w:lang w:val="en-GB"/>
        </w:rPr>
      </w:pPr>
      <w:r w:rsidRPr="00B47D14">
        <w:rPr>
          <w:rFonts w:cs="Arial"/>
          <w:lang w:val="en-GB"/>
        </w:rPr>
        <w:t xml:space="preserve">Article 8 </w:t>
      </w:r>
      <w:r w:rsidR="00251954">
        <w:rPr>
          <w:rFonts w:cs="Arial"/>
          <w:lang w:val="en-GB"/>
        </w:rPr>
        <w:t xml:space="preserve">ECHR </w:t>
      </w:r>
      <w:r w:rsidRPr="00B47D14">
        <w:rPr>
          <w:rFonts w:cs="Arial"/>
          <w:lang w:val="en-GB"/>
        </w:rPr>
        <w:t>ensures protection of a private and family life.</w:t>
      </w:r>
      <w:r>
        <w:rPr>
          <w:rStyle w:val="FootnoteReference"/>
          <w:rFonts w:cs="Arial"/>
          <w:lang w:val="en-GB"/>
        </w:rPr>
        <w:footnoteReference w:id="18"/>
      </w:r>
      <w:r>
        <w:rPr>
          <w:rFonts w:cs="Arial"/>
          <w:lang w:val="en-GB"/>
        </w:rPr>
        <w:t xml:space="preserve"> </w:t>
      </w:r>
      <w:r w:rsidR="00251954">
        <w:rPr>
          <w:rFonts w:cs="Arial"/>
          <w:lang w:val="en-GB"/>
        </w:rPr>
        <w:t>It</w:t>
      </w:r>
      <w:r w:rsidRPr="00B47D14">
        <w:rPr>
          <w:rFonts w:cs="Arial"/>
          <w:lang w:val="en-GB"/>
        </w:rPr>
        <w:t xml:space="preserve"> is a qualified right</w:t>
      </w:r>
      <w:r w:rsidR="00251954">
        <w:rPr>
          <w:rFonts w:cs="Arial"/>
          <w:lang w:val="en-GB"/>
        </w:rPr>
        <w:t>,</w:t>
      </w:r>
      <w:r w:rsidRPr="00B47D14">
        <w:rPr>
          <w:rFonts w:cs="Arial"/>
          <w:lang w:val="en-GB"/>
        </w:rPr>
        <w:t xml:space="preserve"> which </w:t>
      </w:r>
      <w:r w:rsidR="00251954">
        <w:rPr>
          <w:rFonts w:cs="Arial"/>
          <w:lang w:val="en-GB"/>
        </w:rPr>
        <w:t>means l</w:t>
      </w:r>
      <w:r w:rsidRPr="006C4A88">
        <w:rPr>
          <w:rFonts w:cs="Arial"/>
          <w:lang w:val="en-GB"/>
        </w:rPr>
        <w:t xml:space="preserve">imitations are allowed if they are “in accordance with the law” and are “necessary in a democratic society” for </w:t>
      </w:r>
      <w:r w:rsidRPr="006C4A88">
        <w:rPr>
          <w:rFonts w:cs="Arial"/>
          <w:lang w:val="en-GB"/>
        </w:rPr>
        <w:lastRenderedPageBreak/>
        <w:t>the protection of one of the objectives set out in Article 8(2) ECHR</w:t>
      </w:r>
      <w:r w:rsidR="00251954">
        <w:rPr>
          <w:rFonts w:cs="Arial"/>
          <w:lang w:val="en-GB"/>
        </w:rPr>
        <w:t>, in this instance “for the prevention of disorder or crime” and “the protection of the rights and freedoms of others”</w:t>
      </w:r>
      <w:r>
        <w:rPr>
          <w:rFonts w:cs="Arial"/>
          <w:lang w:val="en-GB"/>
        </w:rPr>
        <w:t xml:space="preserve"> T</w:t>
      </w:r>
      <w:r w:rsidRPr="006C4A88">
        <w:rPr>
          <w:rFonts w:cs="Arial"/>
          <w:lang w:val="en-GB"/>
        </w:rPr>
        <w:t xml:space="preserve">he </w:t>
      </w:r>
      <w:r>
        <w:rPr>
          <w:rFonts w:cs="Arial"/>
          <w:lang w:val="en-GB"/>
        </w:rPr>
        <w:t xml:space="preserve">ECtHR </w:t>
      </w:r>
      <w:r w:rsidRPr="006C4A88">
        <w:rPr>
          <w:rFonts w:cs="Arial"/>
          <w:lang w:val="en-GB"/>
        </w:rPr>
        <w:t>clarified that “necessary” in this context does not have the flexibility of such expressions as “useful”, “reasonable”, or “desirable” but implies the existence of a “pressing social need” fo</w:t>
      </w:r>
      <w:r>
        <w:rPr>
          <w:rFonts w:cs="Arial"/>
          <w:lang w:val="en-GB"/>
        </w:rPr>
        <w:t>r the interference in question.</w:t>
      </w:r>
      <w:r>
        <w:rPr>
          <w:rStyle w:val="FootnoteReference"/>
          <w:rFonts w:cs="Arial"/>
          <w:lang w:val="en-GB"/>
        </w:rPr>
        <w:footnoteReference w:id="19"/>
      </w:r>
    </w:p>
    <w:p w14:paraId="3A86D8D2" w14:textId="77777777" w:rsidR="00E82EEF" w:rsidRDefault="00E82EEF" w:rsidP="00E82EEF">
      <w:pPr>
        <w:pStyle w:val="ListParagraph"/>
        <w:rPr>
          <w:rFonts w:cs="Arial"/>
        </w:rPr>
      </w:pPr>
    </w:p>
    <w:p w14:paraId="6238B393" w14:textId="7C14BC24" w:rsidR="00E82EEF" w:rsidRPr="009F727B" w:rsidRDefault="00E82EEF" w:rsidP="006363EA">
      <w:pPr>
        <w:pStyle w:val="Default"/>
        <w:numPr>
          <w:ilvl w:val="1"/>
          <w:numId w:val="6"/>
        </w:numPr>
        <w:spacing w:before="24" w:after="24" w:line="288" w:lineRule="auto"/>
        <w:rPr>
          <w:rFonts w:cs="Arial"/>
          <w:lang w:val="en-GB"/>
        </w:rPr>
      </w:pPr>
      <w:r>
        <w:rPr>
          <w:rFonts w:cs="Arial"/>
          <w:lang w:val="en-GB"/>
        </w:rPr>
        <w:t xml:space="preserve">The ECtHR has </w:t>
      </w:r>
      <w:r w:rsidRPr="006C4A88">
        <w:rPr>
          <w:rFonts w:cs="Arial"/>
          <w:lang w:val="en-GB"/>
        </w:rPr>
        <w:t xml:space="preserve">held that the State has </w:t>
      </w:r>
      <w:r w:rsidR="00251954">
        <w:rPr>
          <w:rFonts w:cs="Arial"/>
          <w:lang w:val="en-GB"/>
        </w:rPr>
        <w:t>a</w:t>
      </w:r>
      <w:r w:rsidRPr="006C4A88">
        <w:rPr>
          <w:rFonts w:cs="Arial"/>
          <w:lang w:val="en-GB"/>
        </w:rPr>
        <w:t xml:space="preserve"> responsibility to protect individuals from violence by third parties. This has been particularly true in cases involving victims of domestic violence. While there are often violations of Articles 2 and 3 </w:t>
      </w:r>
      <w:r>
        <w:rPr>
          <w:rFonts w:cs="Arial"/>
          <w:lang w:val="en-GB"/>
        </w:rPr>
        <w:t xml:space="preserve">ECHR </w:t>
      </w:r>
      <w:r w:rsidRPr="006C4A88">
        <w:rPr>
          <w:rFonts w:cs="Arial"/>
          <w:lang w:val="en-GB"/>
        </w:rPr>
        <w:t xml:space="preserve">in such cases, Article 8 </w:t>
      </w:r>
      <w:r>
        <w:rPr>
          <w:rFonts w:cs="Arial"/>
          <w:lang w:val="en-GB"/>
        </w:rPr>
        <w:t xml:space="preserve">ECHR </w:t>
      </w:r>
      <w:r w:rsidRPr="006C4A88">
        <w:rPr>
          <w:rFonts w:cs="Arial"/>
          <w:lang w:val="en-GB"/>
        </w:rPr>
        <w:t xml:space="preserve">is also applied because violence threatens </w:t>
      </w:r>
      <w:r w:rsidR="00251954">
        <w:rPr>
          <w:rFonts w:cs="Arial"/>
          <w:lang w:val="en-GB"/>
        </w:rPr>
        <w:t xml:space="preserve">the </w:t>
      </w:r>
      <w:r w:rsidRPr="006C4A88">
        <w:rPr>
          <w:rFonts w:cs="Arial"/>
          <w:lang w:val="en-GB"/>
        </w:rPr>
        <w:t xml:space="preserve">bodily integrity </w:t>
      </w:r>
      <w:r w:rsidR="00251954">
        <w:rPr>
          <w:rFonts w:cs="Arial"/>
          <w:lang w:val="en-GB"/>
        </w:rPr>
        <w:t>aspect of</w:t>
      </w:r>
      <w:r w:rsidR="00251954" w:rsidRPr="006C4A88">
        <w:rPr>
          <w:rFonts w:cs="Arial"/>
          <w:lang w:val="en-GB"/>
        </w:rPr>
        <w:t xml:space="preserve"> </w:t>
      </w:r>
      <w:r w:rsidRPr="006C4A88">
        <w:rPr>
          <w:rFonts w:cs="Arial"/>
          <w:lang w:val="en-GB"/>
        </w:rPr>
        <w:t xml:space="preserve">the right to </w:t>
      </w:r>
      <w:r w:rsidR="00251954">
        <w:rPr>
          <w:rFonts w:cs="Arial"/>
          <w:lang w:val="en-GB"/>
        </w:rPr>
        <w:t>respect for</w:t>
      </w:r>
      <w:r w:rsidRPr="006C4A88">
        <w:rPr>
          <w:rFonts w:cs="Arial"/>
          <w:lang w:val="en-GB"/>
        </w:rPr>
        <w:t xml:space="preserve"> private life</w:t>
      </w:r>
      <w:r>
        <w:rPr>
          <w:rFonts w:cs="Arial"/>
          <w:lang w:val="en-GB"/>
        </w:rPr>
        <w:t>.</w:t>
      </w:r>
      <w:r>
        <w:rPr>
          <w:rStyle w:val="FootnoteReference"/>
          <w:rFonts w:cs="Arial"/>
          <w:lang w:val="en-GB"/>
        </w:rPr>
        <w:footnoteReference w:id="20"/>
      </w:r>
      <w:r>
        <w:rPr>
          <w:rFonts w:cs="Arial"/>
          <w:lang w:val="en-GB"/>
        </w:rPr>
        <w:t xml:space="preserve"> </w:t>
      </w:r>
      <w:r w:rsidR="00251954">
        <w:rPr>
          <w:rFonts w:cs="Arial"/>
          <w:lang w:val="en-GB"/>
        </w:rPr>
        <w:t>U</w:t>
      </w:r>
      <w:r w:rsidRPr="006C4A88">
        <w:rPr>
          <w:rFonts w:cs="Arial"/>
          <w:lang w:val="en-GB"/>
        </w:rPr>
        <w:t xml:space="preserve">nder Article 8 </w:t>
      </w:r>
      <w:r>
        <w:rPr>
          <w:rFonts w:cs="Arial"/>
          <w:lang w:val="en-GB"/>
        </w:rPr>
        <w:t>ECHR</w:t>
      </w:r>
      <w:r w:rsidR="00251954">
        <w:rPr>
          <w:rFonts w:cs="Arial"/>
          <w:lang w:val="en-GB"/>
        </w:rPr>
        <w:t xml:space="preserve">, </w:t>
      </w:r>
      <w:r w:rsidRPr="006C4A88">
        <w:rPr>
          <w:rFonts w:cs="Arial"/>
          <w:lang w:val="en-GB"/>
        </w:rPr>
        <w:t>States have a duty to protect the physical and moral integrity of an individual from other persons</w:t>
      </w:r>
      <w:r w:rsidR="00251954">
        <w:rPr>
          <w:rFonts w:cs="Arial"/>
          <w:lang w:val="en-GB"/>
        </w:rPr>
        <w:t>, which requires</w:t>
      </w:r>
      <w:r>
        <w:rPr>
          <w:rFonts w:cs="Arial"/>
          <w:lang w:val="en-GB"/>
        </w:rPr>
        <w:t xml:space="preserve"> </w:t>
      </w:r>
      <w:r w:rsidRPr="009F727B">
        <w:rPr>
          <w:rFonts w:cs="Arial"/>
          <w:lang w:val="en-GB"/>
        </w:rPr>
        <w:t>affording protection against acts</w:t>
      </w:r>
      <w:r>
        <w:rPr>
          <w:rFonts w:cs="Arial"/>
          <w:lang w:val="en-GB"/>
        </w:rPr>
        <w:t xml:space="preserve"> </w:t>
      </w:r>
      <w:r w:rsidRPr="009F727B">
        <w:rPr>
          <w:rFonts w:cs="Arial"/>
          <w:lang w:val="en-GB"/>
        </w:rPr>
        <w:t xml:space="preserve">of </w:t>
      </w:r>
      <w:r>
        <w:rPr>
          <w:rFonts w:cs="Arial"/>
          <w:lang w:val="en-GB"/>
        </w:rPr>
        <w:t>violence by private individuals.</w:t>
      </w:r>
      <w:r>
        <w:rPr>
          <w:rStyle w:val="FootnoteReference"/>
          <w:rFonts w:cs="Arial"/>
          <w:lang w:val="en-GB"/>
        </w:rPr>
        <w:footnoteReference w:id="21"/>
      </w:r>
    </w:p>
    <w:p w14:paraId="344DEC97" w14:textId="77777777" w:rsidR="00E82EEF" w:rsidRPr="006C4A88" w:rsidRDefault="00E82EEF" w:rsidP="00E82EEF">
      <w:pPr>
        <w:pStyle w:val="Default"/>
        <w:spacing w:before="24" w:after="24" w:line="288" w:lineRule="auto"/>
        <w:rPr>
          <w:rFonts w:cs="Arial"/>
          <w:lang w:val="en-GB"/>
        </w:rPr>
      </w:pPr>
    </w:p>
    <w:p w14:paraId="2C7A1CB2" w14:textId="063814A5" w:rsidR="00E82EEF" w:rsidRPr="00CC1A29" w:rsidRDefault="00E82EEF" w:rsidP="006363EA">
      <w:pPr>
        <w:pStyle w:val="Default"/>
        <w:numPr>
          <w:ilvl w:val="1"/>
          <w:numId w:val="6"/>
        </w:numPr>
        <w:spacing w:before="24" w:after="24" w:line="288" w:lineRule="auto"/>
        <w:rPr>
          <w:rFonts w:cs="Arial"/>
          <w:lang w:val="en-GB"/>
        </w:rPr>
      </w:pPr>
      <w:r>
        <w:rPr>
          <w:rFonts w:cs="Arial"/>
          <w:lang w:val="en-GB"/>
        </w:rPr>
        <w:t xml:space="preserve">The ECtHR has provided that </w:t>
      </w:r>
      <w:r w:rsidR="00251954">
        <w:rPr>
          <w:rFonts w:cs="Arial"/>
          <w:lang w:val="en-GB"/>
        </w:rPr>
        <w:t>safeguarding physical integrity under</w:t>
      </w:r>
      <w:r>
        <w:rPr>
          <w:rFonts w:cs="Arial"/>
          <w:lang w:val="en-GB"/>
        </w:rPr>
        <w:t xml:space="preserve"> </w:t>
      </w:r>
      <w:r w:rsidRPr="00CC1A29">
        <w:rPr>
          <w:rFonts w:cs="Arial"/>
          <w:lang w:val="en-GB"/>
        </w:rPr>
        <w:t xml:space="preserve">Article 8 </w:t>
      </w:r>
      <w:r>
        <w:rPr>
          <w:rFonts w:cs="Arial"/>
          <w:lang w:val="en-GB"/>
        </w:rPr>
        <w:t xml:space="preserve">ECHR </w:t>
      </w:r>
      <w:r w:rsidR="00251954">
        <w:rPr>
          <w:rFonts w:cs="Arial"/>
          <w:lang w:val="en-GB"/>
        </w:rPr>
        <w:t>requires an effective</w:t>
      </w:r>
      <w:r w:rsidRPr="00CC1A29">
        <w:rPr>
          <w:rFonts w:cs="Arial"/>
          <w:lang w:val="en-GB"/>
        </w:rPr>
        <w:t xml:space="preserve"> criminal investigation</w:t>
      </w:r>
      <w:r>
        <w:rPr>
          <w:rFonts w:cs="Arial"/>
          <w:lang w:val="en-GB"/>
        </w:rPr>
        <w:t>.</w:t>
      </w:r>
      <w:r>
        <w:rPr>
          <w:rStyle w:val="FootnoteReference"/>
          <w:rFonts w:cs="Arial"/>
          <w:lang w:val="en-GB"/>
        </w:rPr>
        <w:footnoteReference w:id="22"/>
      </w:r>
      <w:r>
        <w:rPr>
          <w:rFonts w:cs="Arial"/>
          <w:lang w:val="en-GB"/>
        </w:rPr>
        <w:t xml:space="preserve"> </w:t>
      </w:r>
      <w:r w:rsidRPr="00CC1A29">
        <w:rPr>
          <w:rFonts w:cs="Arial"/>
          <w:lang w:val="en-GB"/>
        </w:rPr>
        <w:t>Compliance with Article 8 ECHR in the sphere of protection against acts of individuals is within the State’s margin of appreciation,</w:t>
      </w:r>
      <w:r w:rsidR="00251954">
        <w:rPr>
          <w:rFonts w:cs="Arial"/>
          <w:lang w:val="en-GB"/>
        </w:rPr>
        <w:t xml:space="preserve"> yet</w:t>
      </w:r>
      <w:r w:rsidRPr="00CC1A29">
        <w:rPr>
          <w:rFonts w:cs="Arial"/>
          <w:lang w:val="en-GB"/>
        </w:rPr>
        <w:t xml:space="preserve"> effective deterrence against grave acts, where fundamental values and essential aspects of private life are at stake, requires efficient criminal law provisions.</w:t>
      </w:r>
      <w:r w:rsidR="00251954">
        <w:rPr>
          <w:rStyle w:val="FootnoteReference"/>
          <w:rFonts w:cs="Arial"/>
          <w:lang w:val="en-GB"/>
        </w:rPr>
        <w:footnoteReference w:id="23"/>
      </w:r>
      <w:r w:rsidRPr="00CC1A29">
        <w:rPr>
          <w:rFonts w:cs="Arial"/>
          <w:lang w:val="en-GB"/>
        </w:rPr>
        <w:t xml:space="preserve"> </w:t>
      </w:r>
    </w:p>
    <w:p w14:paraId="63ABA936" w14:textId="77777777" w:rsidR="00E82EEF" w:rsidRPr="00BB24FC" w:rsidRDefault="00E82EEF" w:rsidP="00E82EEF">
      <w:pPr>
        <w:pStyle w:val="Default"/>
        <w:spacing w:before="24" w:after="24" w:line="288" w:lineRule="auto"/>
        <w:rPr>
          <w:rFonts w:cs="Arial"/>
          <w:color w:val="auto"/>
        </w:rPr>
      </w:pPr>
    </w:p>
    <w:p w14:paraId="4B876092" w14:textId="796E9393" w:rsidR="00E82EEF" w:rsidRPr="00E82EEF" w:rsidRDefault="00251954" w:rsidP="006363EA">
      <w:pPr>
        <w:pStyle w:val="Default"/>
        <w:numPr>
          <w:ilvl w:val="1"/>
          <w:numId w:val="6"/>
        </w:numPr>
        <w:spacing w:before="24" w:after="24" w:line="288" w:lineRule="auto"/>
        <w:rPr>
          <w:rFonts w:cs="Arial"/>
          <w:color w:val="auto"/>
        </w:rPr>
      </w:pPr>
      <w:r>
        <w:rPr>
          <w:rFonts w:cs="Arial"/>
          <w:lang w:val="en-GB"/>
        </w:rPr>
        <w:t>Specific to rape, the ECtHR has clarified that t</w:t>
      </w:r>
      <w:r w:rsidRPr="00CC1A29">
        <w:rPr>
          <w:rFonts w:cs="Arial"/>
          <w:lang w:val="en-GB"/>
        </w:rPr>
        <w:t xml:space="preserve">he State has a positive obligation </w:t>
      </w:r>
      <w:r>
        <w:rPr>
          <w:rFonts w:cs="Arial"/>
          <w:lang w:val="en-GB"/>
        </w:rPr>
        <w:t>under</w:t>
      </w:r>
      <w:r w:rsidRPr="00CC1A29">
        <w:rPr>
          <w:rFonts w:cs="Arial"/>
          <w:lang w:val="en-GB"/>
        </w:rPr>
        <w:t xml:space="preserve"> Articles 3 and 8 </w:t>
      </w:r>
      <w:r>
        <w:rPr>
          <w:rFonts w:cs="Arial"/>
          <w:lang w:val="en-GB"/>
        </w:rPr>
        <w:t>ECHR</w:t>
      </w:r>
      <w:r w:rsidRPr="00CC1A29">
        <w:rPr>
          <w:rFonts w:cs="Arial"/>
          <w:lang w:val="en-GB"/>
        </w:rPr>
        <w:t xml:space="preserve"> to enact criminal law provisions effectively punishing rape and to apply them in practice through effective investigation and prosecution.</w:t>
      </w:r>
      <w:r>
        <w:rPr>
          <w:rStyle w:val="FootnoteReference"/>
          <w:rFonts w:cs="Arial"/>
          <w:lang w:val="en-GB"/>
        </w:rPr>
        <w:footnoteReference w:id="24"/>
      </w:r>
      <w:r>
        <w:rPr>
          <w:rFonts w:cs="Arial"/>
          <w:lang w:val="en-GB"/>
        </w:rPr>
        <w:t xml:space="preserve"> </w:t>
      </w:r>
      <w:r>
        <w:rPr>
          <w:rFonts w:cs="Arial"/>
          <w:color w:val="auto"/>
        </w:rPr>
        <w:t>For example, in</w:t>
      </w:r>
      <w:r w:rsidR="00E82EEF">
        <w:rPr>
          <w:rFonts w:cs="Arial"/>
          <w:color w:val="auto"/>
        </w:rPr>
        <w:t xml:space="preserve"> </w:t>
      </w:r>
      <w:r w:rsidR="00E82EEF">
        <w:rPr>
          <w:rFonts w:cs="Arial"/>
          <w:i/>
          <w:lang w:val="en-GB"/>
        </w:rPr>
        <w:t>MC v</w:t>
      </w:r>
      <w:r w:rsidR="00E82EEF" w:rsidRPr="005D5D29">
        <w:rPr>
          <w:rFonts w:cs="Arial"/>
          <w:i/>
          <w:lang w:val="en-GB"/>
        </w:rPr>
        <w:t xml:space="preserve"> Bulgaria</w:t>
      </w:r>
      <w:r w:rsidR="00E82EEF" w:rsidRPr="00BB24FC">
        <w:rPr>
          <w:rFonts w:cs="Arial"/>
          <w:lang w:val="en-GB"/>
        </w:rPr>
        <w:t xml:space="preserve"> </w:t>
      </w:r>
      <w:r w:rsidR="00E82EEF">
        <w:rPr>
          <w:rFonts w:cs="Arial"/>
          <w:lang w:val="en-GB"/>
        </w:rPr>
        <w:t>(2003) the applicant, who was a girl</w:t>
      </w:r>
      <w:r w:rsidR="00E82EEF" w:rsidRPr="00BB24FC">
        <w:rPr>
          <w:rFonts w:cs="Arial"/>
          <w:lang w:val="en-GB"/>
        </w:rPr>
        <w:t xml:space="preserve"> aged 14 (which was the age of consent for sexual intercourse in Bulgaria), </w:t>
      </w:r>
      <w:r w:rsidR="00E82EEF">
        <w:rPr>
          <w:rFonts w:cs="Arial"/>
          <w:lang w:val="en-GB"/>
        </w:rPr>
        <w:t>was raped by two men</w:t>
      </w:r>
      <w:r w:rsidR="00E82EEF" w:rsidRPr="00BB24FC">
        <w:rPr>
          <w:rFonts w:cs="Arial"/>
          <w:lang w:val="en-GB"/>
        </w:rPr>
        <w:t xml:space="preserve">. </w:t>
      </w:r>
      <w:r w:rsidR="00E82EEF">
        <w:rPr>
          <w:rFonts w:cs="Arial"/>
          <w:lang w:val="en-GB"/>
        </w:rPr>
        <w:t xml:space="preserve">However, </w:t>
      </w:r>
      <w:r w:rsidR="00E82EEF" w:rsidRPr="00BB24FC">
        <w:rPr>
          <w:rFonts w:cs="Arial"/>
          <w:lang w:val="en-GB"/>
        </w:rPr>
        <w:t>it could not be established that she h</w:t>
      </w:r>
      <w:r w:rsidR="00E82EEF">
        <w:rPr>
          <w:rFonts w:cs="Arial"/>
          <w:lang w:val="en-GB"/>
        </w:rPr>
        <w:t xml:space="preserve">ad resisted or called for help and </w:t>
      </w:r>
      <w:r w:rsidR="00E82EEF" w:rsidRPr="00BB24FC">
        <w:rPr>
          <w:rFonts w:cs="Arial"/>
          <w:lang w:val="en-GB"/>
        </w:rPr>
        <w:t xml:space="preserve">the perpetrators were not prosecuted. </w:t>
      </w:r>
      <w:r w:rsidR="00E82EEF">
        <w:rPr>
          <w:rFonts w:cs="Arial"/>
          <w:lang w:val="en-GB"/>
        </w:rPr>
        <w:t xml:space="preserve">The ECtHR considered </w:t>
      </w:r>
      <w:r w:rsidR="00E82EEF" w:rsidRPr="00B84986">
        <w:rPr>
          <w:rFonts w:cs="Arial"/>
          <w:lang w:val="en-GB"/>
        </w:rPr>
        <w:t xml:space="preserve">that </w:t>
      </w:r>
      <w:r w:rsidR="008B5CBE">
        <w:rPr>
          <w:rFonts w:cs="Arial"/>
          <w:lang w:val="en-GB"/>
        </w:rPr>
        <w:t>Bulgaria had not satisfied its positive obligation to effectively investigate, punish and prosecute the rape, finding</w:t>
      </w:r>
      <w:r w:rsidR="00E82EEF" w:rsidRPr="00B84986">
        <w:rPr>
          <w:rFonts w:cs="Arial"/>
          <w:lang w:val="en-GB"/>
        </w:rPr>
        <w:t xml:space="preserve"> a violation of Article 3 ECHR and Article 8 ECHR. </w:t>
      </w:r>
      <w:r w:rsidR="00E82EEF">
        <w:rPr>
          <w:rFonts w:cs="Arial"/>
          <w:lang w:val="en-GB"/>
        </w:rPr>
        <w:t xml:space="preserve">The ECtHR stated: </w:t>
      </w:r>
    </w:p>
    <w:p w14:paraId="2390A6B8" w14:textId="77777777" w:rsidR="00E82EEF" w:rsidRDefault="00E82EEF" w:rsidP="00E82EEF">
      <w:pPr>
        <w:pStyle w:val="Quote"/>
        <w:spacing w:before="24" w:after="24"/>
        <w:ind w:left="0"/>
      </w:pPr>
    </w:p>
    <w:p w14:paraId="7F58A6F9" w14:textId="77777777" w:rsidR="00E82EEF" w:rsidRDefault="00E82EEF" w:rsidP="00E82EEF">
      <w:pPr>
        <w:pStyle w:val="Quote"/>
        <w:spacing w:before="24" w:after="24"/>
        <w:ind w:left="1440"/>
      </w:pPr>
      <w:r w:rsidRPr="007A572B">
        <w:t>that any rigid approach to the prosecution of sexual offences, such as requiring proof of physical resistance in all circumstances, risks leaving certain types of rape unpunished and thus jeopardising the effective protection of the individual's sexual autonomy. In accordance with contemporary standards and trends in that area, the member States' positive obligations under Articles 3 and 8 of the Convention must be seen as requiring the penalisation and effective prosecution of any non-consensual sexual act, including in the absence of physical resistance by the victim.</w:t>
      </w:r>
      <w:r>
        <w:rPr>
          <w:rStyle w:val="FootnoteReference"/>
        </w:rPr>
        <w:footnoteReference w:id="25"/>
      </w:r>
    </w:p>
    <w:p w14:paraId="070A9F43" w14:textId="77777777" w:rsidR="00E82EEF" w:rsidRPr="00E82EEF" w:rsidRDefault="00E82EEF" w:rsidP="00E82EEF">
      <w:pPr>
        <w:rPr>
          <w:rFonts w:cs="Arial"/>
        </w:rPr>
      </w:pPr>
    </w:p>
    <w:p w14:paraId="3D8C8A1B" w14:textId="7789998A" w:rsidR="00E82EEF" w:rsidRPr="00BB24FC" w:rsidRDefault="00E82EEF" w:rsidP="006363EA">
      <w:pPr>
        <w:pStyle w:val="Default"/>
        <w:numPr>
          <w:ilvl w:val="1"/>
          <w:numId w:val="6"/>
        </w:numPr>
        <w:spacing w:before="24" w:after="24" w:line="288" w:lineRule="auto"/>
        <w:rPr>
          <w:rFonts w:cs="Arial"/>
          <w:color w:val="auto"/>
        </w:rPr>
      </w:pPr>
      <w:r>
        <w:rPr>
          <w:rFonts w:cs="Arial"/>
          <w:lang w:val="en-GB"/>
        </w:rPr>
        <w:t xml:space="preserve">The ECtHR </w:t>
      </w:r>
      <w:r w:rsidRPr="00BB24FC">
        <w:rPr>
          <w:rFonts w:cs="Arial"/>
          <w:lang w:val="en-GB"/>
        </w:rPr>
        <w:t>not</w:t>
      </w:r>
      <w:r>
        <w:rPr>
          <w:rFonts w:cs="Arial"/>
          <w:lang w:val="en-GB"/>
        </w:rPr>
        <w:t>ed</w:t>
      </w:r>
      <w:r w:rsidRPr="00BB24FC">
        <w:rPr>
          <w:rFonts w:cs="Arial"/>
          <w:lang w:val="en-GB"/>
        </w:rPr>
        <w:t xml:space="preserve"> in particular the universal trend towards recognising lack of consent as the essential element in determining rape and sexual abuse. Victims of sexual abuse, especially young girls, often fail to resist for psychological reasons (either submitting passively or dissociating themselves from the rape) or for fear of further violence. The </w:t>
      </w:r>
      <w:r w:rsidR="008B5CBE">
        <w:rPr>
          <w:rFonts w:cs="Arial"/>
          <w:lang w:val="en-GB"/>
        </w:rPr>
        <w:t>ECtHR</w:t>
      </w:r>
      <w:r w:rsidR="008B5CBE" w:rsidRPr="00BB24FC">
        <w:rPr>
          <w:rFonts w:cs="Arial"/>
          <w:lang w:val="en-GB"/>
        </w:rPr>
        <w:t xml:space="preserve"> </w:t>
      </w:r>
      <w:r w:rsidRPr="00BB24FC">
        <w:rPr>
          <w:rFonts w:cs="Arial"/>
          <w:lang w:val="en-GB"/>
        </w:rPr>
        <w:t>stressed that States had an obligation to prosecute any non-consensual sexual act, even where the victim had not resisted physically.</w:t>
      </w:r>
      <w:r>
        <w:rPr>
          <w:rStyle w:val="FootnoteReference"/>
          <w:rFonts w:cs="Arial"/>
          <w:lang w:val="en-GB"/>
        </w:rPr>
        <w:footnoteReference w:id="26"/>
      </w:r>
    </w:p>
    <w:p w14:paraId="539B138F" w14:textId="77777777" w:rsidR="00E82EEF" w:rsidRPr="00E243C4" w:rsidRDefault="00E82EEF" w:rsidP="00E82EEF">
      <w:pPr>
        <w:spacing w:before="24" w:after="24"/>
        <w:rPr>
          <w:rFonts w:cs="Arial"/>
        </w:rPr>
      </w:pPr>
    </w:p>
    <w:p w14:paraId="7F4A4869" w14:textId="737EA33F" w:rsidR="00E82EEF" w:rsidRPr="00BB24FC" w:rsidRDefault="008B5CBE" w:rsidP="006363EA">
      <w:pPr>
        <w:pStyle w:val="Default"/>
        <w:numPr>
          <w:ilvl w:val="1"/>
          <w:numId w:val="6"/>
        </w:numPr>
        <w:spacing w:before="24" w:after="24" w:line="288" w:lineRule="auto"/>
        <w:rPr>
          <w:rFonts w:cs="Arial"/>
          <w:color w:val="auto"/>
        </w:rPr>
      </w:pPr>
      <w:r>
        <w:rPr>
          <w:rFonts w:cs="Arial"/>
          <w:lang w:val="en-GB"/>
        </w:rPr>
        <w:t>Furthermore, i</w:t>
      </w:r>
      <w:r w:rsidR="00E82EEF" w:rsidRPr="00BB24FC">
        <w:rPr>
          <w:rFonts w:cs="Arial"/>
          <w:lang w:val="en-GB"/>
        </w:rPr>
        <w:t xml:space="preserve">n the </w:t>
      </w:r>
      <w:r w:rsidR="00E82EEF">
        <w:rPr>
          <w:rFonts w:cs="Arial"/>
          <w:lang w:val="en-GB"/>
        </w:rPr>
        <w:t xml:space="preserve">ECtHR </w:t>
      </w:r>
      <w:r w:rsidR="00E82EEF" w:rsidRPr="00BB24FC">
        <w:rPr>
          <w:rFonts w:cs="Arial"/>
          <w:lang w:val="en-GB"/>
        </w:rPr>
        <w:t>case</w:t>
      </w:r>
      <w:r w:rsidR="00E82EEF">
        <w:rPr>
          <w:rFonts w:cs="Arial"/>
          <w:lang w:val="en-GB"/>
        </w:rPr>
        <w:t>s</w:t>
      </w:r>
      <w:r w:rsidR="00E82EEF" w:rsidRPr="00BB24FC">
        <w:rPr>
          <w:rFonts w:cs="Arial"/>
          <w:lang w:val="en-GB"/>
        </w:rPr>
        <w:t xml:space="preserve"> </w:t>
      </w:r>
      <w:r w:rsidR="00E82EEF" w:rsidRPr="005D5D29">
        <w:rPr>
          <w:rFonts w:cs="Arial"/>
          <w:i/>
          <w:lang w:val="en-GB"/>
        </w:rPr>
        <w:t>MA v Slovenia</w:t>
      </w:r>
      <w:r w:rsidR="00E82EEF" w:rsidRPr="00BB24FC">
        <w:rPr>
          <w:rFonts w:cs="Arial"/>
          <w:lang w:val="en-GB"/>
        </w:rPr>
        <w:t xml:space="preserve"> </w:t>
      </w:r>
      <w:r w:rsidR="00E82EEF">
        <w:rPr>
          <w:rFonts w:cs="Arial"/>
          <w:lang w:val="en-GB"/>
        </w:rPr>
        <w:t xml:space="preserve">(2015) </w:t>
      </w:r>
      <w:r w:rsidR="00E82EEF" w:rsidRPr="00BB24FC">
        <w:rPr>
          <w:rFonts w:cs="Arial"/>
          <w:lang w:val="en-GB"/>
        </w:rPr>
        <w:t xml:space="preserve">and </w:t>
      </w:r>
      <w:r w:rsidR="00E82EEF" w:rsidRPr="005D5D29">
        <w:rPr>
          <w:rFonts w:cs="Arial"/>
          <w:i/>
          <w:lang w:val="en-GB"/>
        </w:rPr>
        <w:t>ND v Slovenia</w:t>
      </w:r>
      <w:r w:rsidR="00E82EEF" w:rsidRPr="00BB24FC">
        <w:rPr>
          <w:rFonts w:cs="Arial"/>
          <w:lang w:val="en-GB"/>
        </w:rPr>
        <w:t xml:space="preserve"> </w:t>
      </w:r>
      <w:r w:rsidR="00E82EEF">
        <w:rPr>
          <w:rFonts w:cs="Arial"/>
          <w:lang w:val="en-GB"/>
        </w:rPr>
        <w:t>(2015)</w:t>
      </w:r>
      <w:r>
        <w:rPr>
          <w:rFonts w:cs="Arial"/>
          <w:lang w:val="en-GB"/>
        </w:rPr>
        <w:t>,</w:t>
      </w:r>
      <w:r w:rsidR="00E82EEF">
        <w:rPr>
          <w:rFonts w:cs="Arial"/>
          <w:lang w:val="en-GB"/>
        </w:rPr>
        <w:t xml:space="preserve"> t</w:t>
      </w:r>
      <w:r w:rsidR="00E82EEF" w:rsidRPr="00BB24FC">
        <w:rPr>
          <w:rFonts w:cs="Arial"/>
          <w:lang w:val="en-GB"/>
        </w:rPr>
        <w:t>he applicants complained that Slovenia had failed to provide an effective system of prosecution and trial against the men whom they had accused of rape, the related proceedings having lasted some 26 years in the first case and over nine years in the second</w:t>
      </w:r>
      <w:r w:rsidR="00E82EEF">
        <w:rPr>
          <w:rFonts w:cs="Arial"/>
          <w:lang w:val="en-GB"/>
        </w:rPr>
        <w:t xml:space="preserve"> case. In both cases the ECtHR</w:t>
      </w:r>
      <w:r w:rsidR="00E82EEF" w:rsidRPr="00BB24FC">
        <w:rPr>
          <w:rFonts w:cs="Arial"/>
          <w:lang w:val="en-GB"/>
        </w:rPr>
        <w:t xml:space="preserve"> held that there h</w:t>
      </w:r>
      <w:r w:rsidR="00E82EEF">
        <w:rPr>
          <w:rFonts w:cs="Arial"/>
          <w:lang w:val="en-GB"/>
        </w:rPr>
        <w:t>ad been a procedural violation</w:t>
      </w:r>
      <w:r>
        <w:rPr>
          <w:rFonts w:cs="Arial"/>
          <w:lang w:val="en-GB"/>
        </w:rPr>
        <w:t xml:space="preserve"> of </w:t>
      </w:r>
      <w:r w:rsidR="00E82EEF">
        <w:rPr>
          <w:rFonts w:cs="Arial"/>
          <w:lang w:val="en-GB"/>
        </w:rPr>
        <w:t>Article 3 ECHR</w:t>
      </w:r>
      <w:r w:rsidR="00E82EEF" w:rsidRPr="00BB24FC">
        <w:rPr>
          <w:rFonts w:cs="Arial"/>
          <w:lang w:val="en-GB"/>
        </w:rPr>
        <w:t>, finding that the criminal proceedings regarding the applicants’ rape did not comply with the procedural requirements imposed by Article 3</w:t>
      </w:r>
      <w:r w:rsidR="00E82EEF">
        <w:rPr>
          <w:rFonts w:cs="Arial"/>
          <w:lang w:val="en-GB"/>
        </w:rPr>
        <w:t xml:space="preserve"> ECHR</w:t>
      </w:r>
      <w:r w:rsidR="00E82EEF" w:rsidRPr="00BB24FC">
        <w:rPr>
          <w:rFonts w:cs="Arial"/>
          <w:lang w:val="en-GB"/>
        </w:rPr>
        <w:t>.</w:t>
      </w:r>
      <w:r w:rsidR="00E82EEF">
        <w:rPr>
          <w:rStyle w:val="FootnoteReference"/>
          <w:rFonts w:cs="Arial"/>
          <w:lang w:val="en-GB"/>
        </w:rPr>
        <w:footnoteReference w:id="27"/>
      </w:r>
      <w:r w:rsidR="00E82EEF" w:rsidRPr="00BB24FC">
        <w:rPr>
          <w:rFonts w:cs="Arial"/>
          <w:lang w:val="en-GB"/>
        </w:rPr>
        <w:t xml:space="preserve"> </w:t>
      </w:r>
      <w:r w:rsidR="00E82EEF">
        <w:rPr>
          <w:rFonts w:cs="Arial"/>
          <w:lang w:val="en-GB"/>
        </w:rPr>
        <w:t>Although the case</w:t>
      </w:r>
      <w:r>
        <w:rPr>
          <w:rFonts w:cs="Arial"/>
          <w:lang w:val="en-GB"/>
        </w:rPr>
        <w:t>s</w:t>
      </w:r>
      <w:r w:rsidR="00E82EEF">
        <w:rPr>
          <w:rFonts w:cs="Arial"/>
          <w:lang w:val="en-GB"/>
        </w:rPr>
        <w:t xml:space="preserve"> deal with the length of time </w:t>
      </w:r>
      <w:r>
        <w:rPr>
          <w:rFonts w:cs="Arial"/>
          <w:lang w:val="en-GB"/>
        </w:rPr>
        <w:t>regarding the</w:t>
      </w:r>
      <w:r w:rsidR="00E82EEF">
        <w:rPr>
          <w:rFonts w:cs="Arial"/>
          <w:lang w:val="en-GB"/>
        </w:rPr>
        <w:t xml:space="preserve"> trial proceedings</w:t>
      </w:r>
      <w:r>
        <w:rPr>
          <w:rFonts w:cs="Arial"/>
          <w:lang w:val="en-GB"/>
        </w:rPr>
        <w:t>,</w:t>
      </w:r>
      <w:r w:rsidR="00E82EEF">
        <w:rPr>
          <w:rFonts w:cs="Arial"/>
          <w:lang w:val="en-GB"/>
        </w:rPr>
        <w:t xml:space="preserve"> the judgement is still of relevance. The ECtHR stated that </w:t>
      </w:r>
      <w:r w:rsidR="00E82EEF" w:rsidRPr="009F727B">
        <w:rPr>
          <w:rFonts w:cs="Arial"/>
          <w:lang w:val="en-GB"/>
        </w:rPr>
        <w:t xml:space="preserve">the </w:t>
      </w:r>
      <w:r>
        <w:rPr>
          <w:rFonts w:cs="Arial"/>
          <w:lang w:val="en-GB"/>
        </w:rPr>
        <w:t>ECHR</w:t>
      </w:r>
      <w:r w:rsidRPr="009F727B">
        <w:rPr>
          <w:rFonts w:cs="Arial"/>
          <w:lang w:val="en-GB"/>
        </w:rPr>
        <w:t xml:space="preserve"> </w:t>
      </w:r>
      <w:r w:rsidR="00E82EEF" w:rsidRPr="009F727B">
        <w:rPr>
          <w:rFonts w:cs="Arial"/>
          <w:lang w:val="en-GB"/>
        </w:rPr>
        <w:t xml:space="preserve">requirements relating to the effectiveness of an investigation, </w:t>
      </w:r>
      <w:r w:rsidR="00E82EEF">
        <w:rPr>
          <w:rFonts w:cs="Arial"/>
          <w:lang w:val="en-GB"/>
        </w:rPr>
        <w:t xml:space="preserve">that </w:t>
      </w:r>
      <w:r w:rsidR="00E82EEF" w:rsidRPr="009F727B">
        <w:rPr>
          <w:rFonts w:cs="Arial"/>
          <w:lang w:val="en-GB"/>
        </w:rPr>
        <w:t>any investigation should in principle be capable of leading to the establishment of the facts of the case and to the identification and punishment of those responsible for an offence.</w:t>
      </w:r>
      <w:r w:rsidR="00E82EEF">
        <w:rPr>
          <w:rStyle w:val="FootnoteReference"/>
          <w:rFonts w:cs="Arial"/>
          <w:lang w:val="en-GB"/>
        </w:rPr>
        <w:footnoteReference w:id="28"/>
      </w:r>
    </w:p>
    <w:p w14:paraId="5FC8E0D3" w14:textId="77777777" w:rsidR="00E82EEF" w:rsidRDefault="00E82EEF" w:rsidP="00E82EEF">
      <w:pPr>
        <w:pStyle w:val="ListParagraph"/>
        <w:spacing w:before="24" w:after="24"/>
        <w:rPr>
          <w:rFonts w:cs="Arial"/>
        </w:rPr>
      </w:pPr>
    </w:p>
    <w:p w14:paraId="3865E215" w14:textId="77777777" w:rsidR="00E82EEF" w:rsidRDefault="00E82EEF" w:rsidP="006363EA">
      <w:pPr>
        <w:pStyle w:val="Default"/>
        <w:numPr>
          <w:ilvl w:val="1"/>
          <w:numId w:val="6"/>
        </w:numPr>
        <w:spacing w:before="24" w:after="24" w:line="288" w:lineRule="auto"/>
        <w:rPr>
          <w:rFonts w:cs="Arial"/>
          <w:color w:val="auto"/>
        </w:rPr>
      </w:pPr>
      <w:r>
        <w:rPr>
          <w:rFonts w:cs="Arial"/>
          <w:color w:val="auto"/>
        </w:rPr>
        <w:t xml:space="preserve">Each of the </w:t>
      </w:r>
      <w:r w:rsidRPr="0043337F">
        <w:rPr>
          <w:rFonts w:cs="Arial"/>
          <w:color w:val="auto"/>
        </w:rPr>
        <w:t xml:space="preserve">ECtHR cases conveys the potential for trial proceedings to be </w:t>
      </w:r>
      <w:r w:rsidRPr="0043337F">
        <w:rPr>
          <w:rFonts w:cs="Arial"/>
          <w:color w:val="auto"/>
        </w:rPr>
        <w:lastRenderedPageBreak/>
        <w:t>ruled as incompatible with Article 3 ECHR where the defence of consent to serious harm for sexual gratification is used, as consent cannot be provided in cases of serious harm or worse.</w:t>
      </w:r>
      <w:r>
        <w:rPr>
          <w:rFonts w:cs="Arial"/>
          <w:color w:val="auto"/>
        </w:rPr>
        <w:t xml:space="preserve"> The ECtHR stated: </w:t>
      </w:r>
    </w:p>
    <w:p w14:paraId="379F1AE4" w14:textId="77777777" w:rsidR="00E82EEF" w:rsidRDefault="00E82EEF" w:rsidP="00E82EEF">
      <w:pPr>
        <w:pStyle w:val="ListParagraph"/>
        <w:rPr>
          <w:rFonts w:cs="Arial"/>
        </w:rPr>
      </w:pPr>
    </w:p>
    <w:p w14:paraId="434F8AA3" w14:textId="137424E6" w:rsidR="00E82EEF" w:rsidRPr="008B5CBE" w:rsidRDefault="00E82EEF" w:rsidP="008B5CBE">
      <w:pPr>
        <w:pStyle w:val="Quote"/>
      </w:pPr>
      <w:r w:rsidRPr="008B5CBE">
        <w:t>while in practice it may sometimes be difficult to prove lack of consent in the absence of “direct” proof of rape, such as traces of violence or direct witnesses, the authorities must nevertheless explore all the facts and decide on the basis of an assessment of all the surrounding circumstances. The investigation and its conclusions must be centred on the issue of non-consent.</w:t>
      </w:r>
      <w:r w:rsidRPr="008B5CBE">
        <w:rPr>
          <w:rStyle w:val="FootnoteReference"/>
        </w:rPr>
        <w:footnoteReference w:id="29"/>
      </w:r>
    </w:p>
    <w:p w14:paraId="1AC45B67" w14:textId="77777777" w:rsidR="00E82EEF" w:rsidRPr="00E82EEF" w:rsidRDefault="00E82EEF" w:rsidP="00E82EEF"/>
    <w:p w14:paraId="589CB1B1" w14:textId="4E9AD5C2" w:rsidR="004D49F6" w:rsidRDefault="00B46718" w:rsidP="006363EA">
      <w:pPr>
        <w:pStyle w:val="ListParagraph"/>
        <w:numPr>
          <w:ilvl w:val="1"/>
          <w:numId w:val="6"/>
        </w:numPr>
        <w:spacing w:before="24" w:after="24"/>
        <w:ind w:left="851" w:hanging="851"/>
        <w:rPr>
          <w:lang w:val="en-US"/>
        </w:rPr>
      </w:pPr>
      <w:r w:rsidRPr="00705088">
        <w:rPr>
          <w:lang w:val="en-US"/>
        </w:rPr>
        <w:t>It has been reported that 6</w:t>
      </w:r>
      <w:r w:rsidR="00C75B10" w:rsidRPr="00705088">
        <w:rPr>
          <w:lang w:val="en-US"/>
        </w:rPr>
        <w:t xml:space="preserve">7 people in the UK </w:t>
      </w:r>
      <w:r w:rsidR="00694BBF" w:rsidRPr="00705088">
        <w:rPr>
          <w:lang w:val="en-US"/>
        </w:rPr>
        <w:t>have been killed as a result of</w:t>
      </w:r>
      <w:r w:rsidR="006A100A" w:rsidRPr="00705088">
        <w:rPr>
          <w:lang w:val="en-US"/>
        </w:rPr>
        <w:t xml:space="preserve"> violence that has been deemed consensual </w:t>
      </w:r>
      <w:r w:rsidR="00596BB4" w:rsidRPr="00705088">
        <w:rPr>
          <w:lang w:val="en-US"/>
        </w:rPr>
        <w:t xml:space="preserve">for sexual gratification </w:t>
      </w:r>
      <w:r w:rsidR="006A100A" w:rsidRPr="00705088">
        <w:rPr>
          <w:lang w:val="en-US"/>
        </w:rPr>
        <w:t>under what has been referred to as the rough sex defence.</w:t>
      </w:r>
      <w:r w:rsidR="00C75B10">
        <w:rPr>
          <w:rStyle w:val="FootnoteReference"/>
          <w:lang w:val="en-US"/>
        </w:rPr>
        <w:footnoteReference w:id="30"/>
      </w:r>
      <w:r w:rsidR="006A100A" w:rsidRPr="00705088">
        <w:rPr>
          <w:lang w:val="en-US"/>
        </w:rPr>
        <w:t xml:space="preserve"> </w:t>
      </w:r>
      <w:r w:rsidR="008B5CBE">
        <w:rPr>
          <w:lang w:val="en-US"/>
        </w:rPr>
        <w:t>There is no data available specific to Northern Ireland, however, it is clear that t</w:t>
      </w:r>
      <w:r w:rsidR="00C75B10" w:rsidRPr="00705088">
        <w:rPr>
          <w:lang w:val="en-US"/>
        </w:rPr>
        <w:t>he use of the defence</w:t>
      </w:r>
      <w:r w:rsidR="00705088">
        <w:rPr>
          <w:lang w:val="en-US"/>
        </w:rPr>
        <w:t>, which enables</w:t>
      </w:r>
      <w:r w:rsidR="00C75B10" w:rsidRPr="00705088">
        <w:rPr>
          <w:lang w:val="en-US"/>
        </w:rPr>
        <w:t xml:space="preserve"> the perpetrator </w:t>
      </w:r>
      <w:r w:rsidR="00705088">
        <w:rPr>
          <w:lang w:val="en-US"/>
        </w:rPr>
        <w:t xml:space="preserve">to </w:t>
      </w:r>
      <w:r w:rsidR="007B1109">
        <w:rPr>
          <w:lang w:val="en-US"/>
        </w:rPr>
        <w:t xml:space="preserve">negotiate and </w:t>
      </w:r>
      <w:r w:rsidR="00705088">
        <w:rPr>
          <w:lang w:val="en-US"/>
        </w:rPr>
        <w:t>receive</w:t>
      </w:r>
      <w:r w:rsidR="00705088" w:rsidRPr="00705088">
        <w:rPr>
          <w:lang w:val="en-US"/>
        </w:rPr>
        <w:t xml:space="preserve"> </w:t>
      </w:r>
      <w:r w:rsidR="00C75B10" w:rsidRPr="00705088">
        <w:rPr>
          <w:lang w:val="en-US"/>
        </w:rPr>
        <w:t>lesser charges or</w:t>
      </w:r>
      <w:r w:rsidR="00705088">
        <w:rPr>
          <w:lang w:val="en-US"/>
        </w:rPr>
        <w:t xml:space="preserve"> </w:t>
      </w:r>
      <w:r w:rsidR="005E2BBD">
        <w:rPr>
          <w:lang w:val="en-US"/>
        </w:rPr>
        <w:t xml:space="preserve">a </w:t>
      </w:r>
      <w:r w:rsidR="00C75B10" w:rsidRPr="00705088">
        <w:rPr>
          <w:lang w:val="en-US"/>
        </w:rPr>
        <w:t>lighter sentence</w:t>
      </w:r>
      <w:r w:rsidR="008B5CBE">
        <w:rPr>
          <w:lang w:val="en-US"/>
        </w:rPr>
        <w:t>,</w:t>
      </w:r>
      <w:r w:rsidR="00705088">
        <w:rPr>
          <w:lang w:val="en-US"/>
        </w:rPr>
        <w:t xml:space="preserve"> </w:t>
      </w:r>
      <w:r w:rsidR="005E2BBD">
        <w:rPr>
          <w:lang w:val="en-US"/>
        </w:rPr>
        <w:t>is a persistent</w:t>
      </w:r>
      <w:r w:rsidR="00705088">
        <w:rPr>
          <w:lang w:val="en-US"/>
        </w:rPr>
        <w:t xml:space="preserve"> issue.</w:t>
      </w:r>
    </w:p>
    <w:p w14:paraId="6812B5B0" w14:textId="77777777" w:rsidR="004D49F6" w:rsidRDefault="004D49F6" w:rsidP="00E82EEF">
      <w:pPr>
        <w:pStyle w:val="ListParagraph"/>
        <w:spacing w:before="24" w:after="24"/>
        <w:ind w:left="851"/>
        <w:rPr>
          <w:lang w:val="en-US"/>
        </w:rPr>
      </w:pPr>
    </w:p>
    <w:p w14:paraId="3CAD4674" w14:textId="2B5EED94" w:rsidR="006E414C" w:rsidRPr="00705088" w:rsidRDefault="004D49F6" w:rsidP="006363EA">
      <w:pPr>
        <w:pStyle w:val="ListParagraph"/>
        <w:numPr>
          <w:ilvl w:val="1"/>
          <w:numId w:val="6"/>
        </w:numPr>
        <w:spacing w:before="24" w:after="24"/>
        <w:ind w:left="851" w:hanging="851"/>
        <w:rPr>
          <w:lang w:val="en-US"/>
        </w:rPr>
      </w:pPr>
      <w:r>
        <w:rPr>
          <w:lang w:val="en-US"/>
        </w:rPr>
        <w:t>I</w:t>
      </w:r>
      <w:r w:rsidRPr="00B15FED">
        <w:rPr>
          <w:rFonts w:cs="Arial"/>
        </w:rPr>
        <w:t>n England and Wales, the current draft of the Domestic Abuse Bill includes a provision that where a person inflicts serious harm on another person and</w:t>
      </w:r>
      <w:r w:rsidRPr="003242CF">
        <w:rPr>
          <w:rFonts w:cs="Arial"/>
        </w:rPr>
        <w:t xml:space="preserve"> is guilty of a relevant offence, it is not a defence that the individual consented to the infliction of the serious harm for the purposes of obtaining sexual gratification.</w:t>
      </w:r>
      <w:r w:rsidRPr="00B15FED">
        <w:rPr>
          <w:rFonts w:cs="Arial"/>
        </w:rPr>
        <w:t xml:space="preserve"> If this amendment is retained and the Domestic Abuse Bill is given Royal Assent, this legislation will </w:t>
      </w:r>
      <w:r w:rsidRPr="00551B5A">
        <w:t xml:space="preserve">clarify the law </w:t>
      </w:r>
      <w:r>
        <w:t>in England and Wales and transfer into statute</w:t>
      </w:r>
      <w:r w:rsidRPr="00551B5A">
        <w:t xml:space="preserve"> the legal principle established in the case of </w:t>
      </w:r>
      <w:r w:rsidRPr="00E373A8">
        <w:rPr>
          <w:i/>
        </w:rPr>
        <w:t>R v Brown</w:t>
      </w:r>
      <w:r w:rsidR="008B5CBE">
        <w:rPr>
          <w:i/>
        </w:rPr>
        <w:t xml:space="preserve"> </w:t>
      </w:r>
      <w:r w:rsidR="008B5CBE">
        <w:rPr>
          <w:lang w:val="en-US"/>
        </w:rPr>
        <w:t>(1993)</w:t>
      </w:r>
      <w:r w:rsidRPr="00551B5A">
        <w:t>,</w:t>
      </w:r>
      <w:r w:rsidR="008B5CBE">
        <w:rPr>
          <w:rStyle w:val="FootnoteReference"/>
        </w:rPr>
        <w:footnoteReference w:id="31"/>
      </w:r>
      <w:r w:rsidRPr="00551B5A">
        <w:t xml:space="preserve"> that a person cannot consent to actual bodily harm or to other more serious injury or, b</w:t>
      </w:r>
      <w:r>
        <w:t>y extension, to their own death. A similar provision is not included within the equivalent proposed legislation in Northern Ireland – the Domestic Abuse and Family Proceedings Bill, which indicates the need for the legislation being proposed by this consultation.</w:t>
      </w:r>
    </w:p>
    <w:p w14:paraId="5E74B43E" w14:textId="77777777" w:rsidR="006A100A" w:rsidRDefault="006A100A" w:rsidP="0087693B">
      <w:pPr>
        <w:pStyle w:val="ListParagraph"/>
        <w:spacing w:before="24" w:after="24"/>
        <w:rPr>
          <w:lang w:val="en-US"/>
        </w:rPr>
      </w:pPr>
    </w:p>
    <w:p w14:paraId="3EDE06EC" w14:textId="7EBFA6C0" w:rsidR="005E2BBD" w:rsidRDefault="004D49F6" w:rsidP="006363EA">
      <w:pPr>
        <w:pStyle w:val="ListParagraph"/>
        <w:numPr>
          <w:ilvl w:val="1"/>
          <w:numId w:val="6"/>
        </w:numPr>
        <w:spacing w:before="24" w:after="24"/>
        <w:rPr>
          <w:lang w:val="en-US"/>
        </w:rPr>
      </w:pPr>
      <w:r>
        <w:rPr>
          <w:lang w:val="en-US"/>
        </w:rPr>
        <w:t xml:space="preserve">Currently in Northern </w:t>
      </w:r>
      <w:r w:rsidR="004E478C">
        <w:rPr>
          <w:lang w:val="en-US"/>
        </w:rPr>
        <w:t>Ireland,</w:t>
      </w:r>
      <w:r>
        <w:rPr>
          <w:lang w:val="en-US"/>
        </w:rPr>
        <w:t xml:space="preserve"> </w:t>
      </w:r>
      <w:r w:rsidR="005E2BBD">
        <w:rPr>
          <w:lang w:val="en-US"/>
        </w:rPr>
        <w:t>judges rely on t</w:t>
      </w:r>
      <w:r w:rsidR="004E478C">
        <w:rPr>
          <w:lang w:val="en-US"/>
        </w:rPr>
        <w:t>he judgement of</w:t>
      </w:r>
      <w:r w:rsidR="005E2BBD">
        <w:rPr>
          <w:lang w:val="en-US"/>
        </w:rPr>
        <w:t xml:space="preserve"> </w:t>
      </w:r>
      <w:r w:rsidR="005E2BBD" w:rsidRPr="00E82EEF">
        <w:rPr>
          <w:i/>
          <w:lang w:val="en-US"/>
        </w:rPr>
        <w:t xml:space="preserve">R v Brown </w:t>
      </w:r>
      <w:r w:rsidR="005E2BBD">
        <w:rPr>
          <w:lang w:val="en-US"/>
        </w:rPr>
        <w:t>(1993).</w:t>
      </w:r>
      <w:r w:rsidR="005E2BBD" w:rsidRPr="005E2BBD">
        <w:rPr>
          <w:lang w:val="en-US"/>
        </w:rPr>
        <w:t xml:space="preserve"> </w:t>
      </w:r>
      <w:r w:rsidR="005E2BBD" w:rsidRPr="00FF440A">
        <w:rPr>
          <w:lang w:val="en-US"/>
        </w:rPr>
        <w:t>In this case</w:t>
      </w:r>
      <w:r w:rsidR="005E2BBD" w:rsidRPr="00FF440A">
        <w:rPr>
          <w:i/>
          <w:lang w:val="en-US"/>
        </w:rPr>
        <w:t>,</w:t>
      </w:r>
      <w:r w:rsidR="005E2BBD" w:rsidRPr="00FF440A">
        <w:rPr>
          <w:lang w:val="en-US"/>
        </w:rPr>
        <w:t xml:space="preserve"> five </w:t>
      </w:r>
      <w:r w:rsidR="004E478C">
        <w:rPr>
          <w:lang w:val="en-US"/>
        </w:rPr>
        <w:t>men</w:t>
      </w:r>
      <w:r w:rsidR="00483A9E">
        <w:rPr>
          <w:lang w:val="en-US"/>
        </w:rPr>
        <w:t xml:space="preserve"> </w:t>
      </w:r>
      <w:r w:rsidR="005E2BBD" w:rsidRPr="00FF440A">
        <w:rPr>
          <w:lang w:val="en-US"/>
        </w:rPr>
        <w:t>were convicted on various counts, including assault causing actual bodily harm and wounding under the Offences against the Person Act 1861.</w:t>
      </w:r>
      <w:r w:rsidR="005E2BBD">
        <w:rPr>
          <w:rStyle w:val="FootnoteReference"/>
          <w:lang w:val="en-US"/>
        </w:rPr>
        <w:footnoteReference w:id="32"/>
      </w:r>
      <w:r w:rsidR="005E2BBD">
        <w:rPr>
          <w:lang w:val="en-US"/>
        </w:rPr>
        <w:t xml:space="preserve"> </w:t>
      </w:r>
      <w:r w:rsidR="005E2BBD" w:rsidRPr="00FF440A">
        <w:rPr>
          <w:lang w:val="en-US"/>
        </w:rPr>
        <w:t xml:space="preserve">The injuries in question occurred during </w:t>
      </w:r>
      <w:r w:rsidR="005E2BBD" w:rsidRPr="00FF440A">
        <w:rPr>
          <w:lang w:val="en-US"/>
        </w:rPr>
        <w:lastRenderedPageBreak/>
        <w:t xml:space="preserve">consensual homosexual sadomasochistic activities. </w:t>
      </w:r>
      <w:r w:rsidR="00483A9E">
        <w:rPr>
          <w:lang w:val="en-US"/>
        </w:rPr>
        <w:t xml:space="preserve">The case of </w:t>
      </w:r>
      <w:r w:rsidR="00483A9E" w:rsidRPr="00866AB4">
        <w:rPr>
          <w:i/>
          <w:lang w:val="en-US"/>
        </w:rPr>
        <w:t>R v Brown</w:t>
      </w:r>
      <w:r w:rsidR="00483A9E">
        <w:rPr>
          <w:lang w:val="en-US"/>
        </w:rPr>
        <w:t xml:space="preserve"> has since set the legal precedent</w:t>
      </w:r>
      <w:r w:rsidR="00483A9E" w:rsidRPr="00C75B10">
        <w:rPr>
          <w:lang w:val="en-US"/>
        </w:rPr>
        <w:t xml:space="preserve"> that victims’ consent to serious harm for sexual gratification is not a defence and </w:t>
      </w:r>
      <w:r w:rsidR="00483A9E">
        <w:rPr>
          <w:lang w:val="en-US"/>
        </w:rPr>
        <w:t xml:space="preserve">does not serve as </w:t>
      </w:r>
      <w:r w:rsidR="00483A9E" w:rsidRPr="00C75B10">
        <w:rPr>
          <w:lang w:val="en-US"/>
        </w:rPr>
        <w:t>a defence where such sexual activity resulted in the victim’s death.</w:t>
      </w:r>
      <w:r w:rsidR="00483A9E">
        <w:rPr>
          <w:lang w:val="en-US"/>
        </w:rPr>
        <w:t xml:space="preserve"> T</w:t>
      </w:r>
      <w:r w:rsidR="00483A9E" w:rsidRPr="009A6292">
        <w:rPr>
          <w:lang w:val="en-US"/>
        </w:rPr>
        <w:t>he defence of consent can only be raised where the activity in question constitutes good reason, is legal and the degree of harm inflicted does not involve actual bodily harm or more serious harm.</w:t>
      </w:r>
      <w:r w:rsidR="00483A9E">
        <w:rPr>
          <w:rStyle w:val="FootnoteReference"/>
          <w:lang w:val="en-US"/>
        </w:rPr>
        <w:footnoteReference w:id="33"/>
      </w:r>
      <w:r w:rsidR="00483A9E" w:rsidRPr="009A6292">
        <w:rPr>
          <w:lang w:val="en-US"/>
        </w:rPr>
        <w:t xml:space="preserve"> </w:t>
      </w:r>
    </w:p>
    <w:p w14:paraId="139C31F9" w14:textId="77777777" w:rsidR="005E2BBD" w:rsidRPr="005E2BBD" w:rsidRDefault="005E2BBD" w:rsidP="00E82EEF">
      <w:pPr>
        <w:pStyle w:val="ListParagraph"/>
        <w:rPr>
          <w:lang w:val="en-US"/>
        </w:rPr>
      </w:pPr>
    </w:p>
    <w:p w14:paraId="3D1B5FAD" w14:textId="3EA281D3" w:rsidR="005E2BBD" w:rsidRPr="005E2BBD" w:rsidRDefault="005E2BBD" w:rsidP="006363EA">
      <w:pPr>
        <w:pStyle w:val="ListParagraph"/>
        <w:numPr>
          <w:ilvl w:val="1"/>
          <w:numId w:val="6"/>
        </w:numPr>
        <w:rPr>
          <w:lang w:val="en-US"/>
        </w:rPr>
      </w:pPr>
      <w:r w:rsidRPr="005E2BBD">
        <w:rPr>
          <w:lang w:val="en-US"/>
        </w:rPr>
        <w:t xml:space="preserve">Despite the precedent set by </w:t>
      </w:r>
      <w:r w:rsidRPr="00E82EEF">
        <w:rPr>
          <w:i/>
          <w:lang w:val="en-US"/>
        </w:rPr>
        <w:t>R v Brown</w:t>
      </w:r>
      <w:r w:rsidRPr="005E2BBD">
        <w:rPr>
          <w:lang w:val="en-US"/>
        </w:rPr>
        <w:t>, the defence has continued to be used in trials, even in cases where the victim has died.</w:t>
      </w:r>
      <w:r>
        <w:rPr>
          <w:lang w:val="en-US"/>
        </w:rPr>
        <w:t xml:space="preserve"> </w:t>
      </w:r>
      <w:r w:rsidRPr="005E2BBD">
        <w:rPr>
          <w:lang w:val="en-US"/>
        </w:rPr>
        <w:t xml:space="preserve">It has also </w:t>
      </w:r>
      <w:r w:rsidR="00C03C09" w:rsidRPr="005E2BBD">
        <w:rPr>
          <w:lang w:val="en-US"/>
        </w:rPr>
        <w:t>been undermined by further</w:t>
      </w:r>
      <w:r w:rsidRPr="005E2BBD">
        <w:rPr>
          <w:lang w:val="en-US"/>
        </w:rPr>
        <w:t xml:space="preserve"> legal</w:t>
      </w:r>
      <w:r w:rsidR="00C03C09" w:rsidRPr="005E2BBD">
        <w:rPr>
          <w:lang w:val="en-US"/>
        </w:rPr>
        <w:t xml:space="preserve"> decisions</w:t>
      </w:r>
      <w:r w:rsidR="007B1109">
        <w:rPr>
          <w:lang w:val="en-US"/>
        </w:rPr>
        <w:t xml:space="preserve"> see f</w:t>
      </w:r>
      <w:r w:rsidRPr="005E2BBD">
        <w:rPr>
          <w:lang w:val="en-US"/>
        </w:rPr>
        <w:t xml:space="preserve">or example, </w:t>
      </w:r>
      <w:r w:rsidR="00483A9E">
        <w:rPr>
          <w:lang w:val="en-US"/>
        </w:rPr>
        <w:t xml:space="preserve">the case of </w:t>
      </w:r>
      <w:r w:rsidR="00483A9E" w:rsidRPr="00E82EEF">
        <w:rPr>
          <w:i/>
          <w:lang w:val="en-US"/>
        </w:rPr>
        <w:t xml:space="preserve">R v Slingsby </w:t>
      </w:r>
      <w:r w:rsidR="00483A9E">
        <w:rPr>
          <w:lang w:val="en-US"/>
        </w:rPr>
        <w:t>(</w:t>
      </w:r>
      <w:r w:rsidR="00C03C09" w:rsidRPr="005E2BBD">
        <w:rPr>
          <w:lang w:val="en-US"/>
        </w:rPr>
        <w:t>1995</w:t>
      </w:r>
      <w:r w:rsidR="00483A9E">
        <w:rPr>
          <w:lang w:val="en-US"/>
        </w:rPr>
        <w:t>)</w:t>
      </w:r>
      <w:r w:rsidR="008B5CBE">
        <w:rPr>
          <w:lang w:val="en-US"/>
        </w:rPr>
        <w:t>,</w:t>
      </w:r>
      <w:r w:rsidR="00483A9E">
        <w:rPr>
          <w:rStyle w:val="FootnoteReference"/>
          <w:lang w:val="en-US"/>
        </w:rPr>
        <w:footnoteReference w:id="34"/>
      </w:r>
      <w:r w:rsidR="00C03C09" w:rsidRPr="005E2BBD">
        <w:rPr>
          <w:lang w:val="en-US"/>
        </w:rPr>
        <w:t xml:space="preserve"> which was </w:t>
      </w:r>
      <w:r w:rsidR="00483A9E">
        <w:rPr>
          <w:lang w:val="en-US"/>
        </w:rPr>
        <w:t xml:space="preserve">also referenced in </w:t>
      </w:r>
      <w:r w:rsidR="00483A9E" w:rsidRPr="00E82EEF">
        <w:rPr>
          <w:i/>
          <w:lang w:val="en-US"/>
        </w:rPr>
        <w:t>R v Broadhurst</w:t>
      </w:r>
      <w:r w:rsidR="00483A9E">
        <w:rPr>
          <w:lang w:val="en-US"/>
        </w:rPr>
        <w:t xml:space="preserve"> (</w:t>
      </w:r>
      <w:r w:rsidR="00C03C09" w:rsidRPr="005E2BBD">
        <w:rPr>
          <w:lang w:val="en-US"/>
        </w:rPr>
        <w:t>2018</w:t>
      </w:r>
      <w:r w:rsidR="00483A9E">
        <w:rPr>
          <w:lang w:val="en-US"/>
        </w:rPr>
        <w:t>)</w:t>
      </w:r>
      <w:r w:rsidR="007B1109">
        <w:rPr>
          <w:lang w:val="en-US"/>
        </w:rPr>
        <w:t>.</w:t>
      </w:r>
      <w:r w:rsidR="00483A9E">
        <w:rPr>
          <w:rStyle w:val="FootnoteReference"/>
          <w:lang w:val="en-US"/>
        </w:rPr>
        <w:footnoteReference w:id="35"/>
      </w:r>
      <w:r w:rsidR="00C03C09" w:rsidRPr="005E2BBD">
        <w:rPr>
          <w:lang w:val="en-US"/>
        </w:rPr>
        <w:t xml:space="preserve">  The </w:t>
      </w:r>
      <w:r w:rsidR="00483A9E">
        <w:rPr>
          <w:lang w:val="en-US"/>
        </w:rPr>
        <w:t xml:space="preserve">decision </w:t>
      </w:r>
      <w:r w:rsidR="00C03C09" w:rsidRPr="005E2BBD">
        <w:rPr>
          <w:lang w:val="en-US"/>
        </w:rPr>
        <w:t xml:space="preserve">of </w:t>
      </w:r>
      <w:r w:rsidR="00483A9E" w:rsidRPr="00E82EEF">
        <w:rPr>
          <w:i/>
          <w:lang w:val="en-US"/>
        </w:rPr>
        <w:t xml:space="preserve">R v </w:t>
      </w:r>
      <w:r w:rsidR="00C03C09" w:rsidRPr="00E82EEF">
        <w:rPr>
          <w:i/>
          <w:lang w:val="en-US"/>
        </w:rPr>
        <w:t>Brown</w:t>
      </w:r>
      <w:r w:rsidR="00C03C09" w:rsidRPr="005E2BBD">
        <w:rPr>
          <w:lang w:val="en-US"/>
        </w:rPr>
        <w:t xml:space="preserve"> only deals with the question of conse</w:t>
      </w:r>
      <w:r w:rsidR="00483A9E">
        <w:rPr>
          <w:lang w:val="en-US"/>
        </w:rPr>
        <w:t>nsual violence in sadomasochism</w:t>
      </w:r>
      <w:r w:rsidR="00C03C09" w:rsidRPr="005E2BBD">
        <w:rPr>
          <w:lang w:val="en-US"/>
        </w:rPr>
        <w:t xml:space="preserve"> and it is this lens through whi</w:t>
      </w:r>
      <w:r w:rsidR="00483A9E">
        <w:rPr>
          <w:lang w:val="en-US"/>
        </w:rPr>
        <w:t>ch violent assault and killings ha</w:t>
      </w:r>
      <w:r w:rsidR="00C03C09" w:rsidRPr="005E2BBD">
        <w:rPr>
          <w:lang w:val="en-US"/>
        </w:rPr>
        <w:t>s been viewed.</w:t>
      </w:r>
      <w:r w:rsidRPr="005E2BBD">
        <w:rPr>
          <w:lang w:val="en-US"/>
        </w:rPr>
        <w:t xml:space="preserve"> This has led to perpetrators serving lesser sentences. For example, in the case of Janet O’Donaghue who was strangled and killed by her partner in 1997. The perpetrator claimed she died accidentally in what was deemed </w:t>
      </w:r>
      <w:r w:rsidR="00BD6DA4">
        <w:rPr>
          <w:lang w:val="en-US"/>
        </w:rPr>
        <w:t>as deviant sexual behavio</w:t>
      </w:r>
      <w:r w:rsidR="007B1109">
        <w:rPr>
          <w:lang w:val="en-US"/>
        </w:rPr>
        <w:t>u</w:t>
      </w:r>
      <w:r w:rsidR="00BD6DA4">
        <w:rPr>
          <w:lang w:val="en-US"/>
        </w:rPr>
        <w:t xml:space="preserve">r, </w:t>
      </w:r>
      <w:r w:rsidRPr="005E2BBD">
        <w:rPr>
          <w:lang w:val="en-US"/>
        </w:rPr>
        <w:t xml:space="preserve">it was accepted that he did not intend to cause her death and </w:t>
      </w:r>
      <w:r w:rsidR="00BD6DA4">
        <w:rPr>
          <w:lang w:val="en-US"/>
        </w:rPr>
        <w:t xml:space="preserve">he </w:t>
      </w:r>
      <w:r w:rsidRPr="005E2BBD">
        <w:rPr>
          <w:lang w:val="en-US"/>
        </w:rPr>
        <w:t>was subsequently charged with manslaughter with a five year sentence.</w:t>
      </w:r>
      <w:r>
        <w:rPr>
          <w:rStyle w:val="FootnoteReference"/>
          <w:lang w:val="en-US"/>
        </w:rPr>
        <w:footnoteReference w:id="36"/>
      </w:r>
    </w:p>
    <w:p w14:paraId="4F7F036F" w14:textId="77777777" w:rsidR="00E17E60" w:rsidRPr="0087693B" w:rsidRDefault="00E17E60" w:rsidP="0087693B">
      <w:pPr>
        <w:spacing w:before="24" w:after="24"/>
        <w:rPr>
          <w:rFonts w:cs="Arial"/>
          <w:b/>
        </w:rPr>
      </w:pPr>
    </w:p>
    <w:p w14:paraId="718B1AC5" w14:textId="7459F235" w:rsidR="00B15FED" w:rsidRDefault="00B263C0" w:rsidP="006363EA">
      <w:pPr>
        <w:pStyle w:val="ListParagraph"/>
        <w:numPr>
          <w:ilvl w:val="1"/>
          <w:numId w:val="6"/>
        </w:numPr>
        <w:spacing w:before="24" w:after="24"/>
        <w:rPr>
          <w:rFonts w:cs="Arial"/>
          <w:b/>
        </w:rPr>
      </w:pPr>
      <w:r>
        <w:rPr>
          <w:rFonts w:cs="Arial"/>
          <w:b/>
        </w:rPr>
        <w:t xml:space="preserve">The NIHRC recommends that </w:t>
      </w:r>
      <w:r w:rsidR="00DE78A3">
        <w:rPr>
          <w:rFonts w:cs="Arial"/>
          <w:b/>
        </w:rPr>
        <w:t xml:space="preserve">the Department of Justice </w:t>
      </w:r>
      <w:r w:rsidR="00FF440A">
        <w:rPr>
          <w:rFonts w:cs="Arial"/>
          <w:b/>
        </w:rPr>
        <w:t>introduces legislation that removes the defence of consent to serious harm for sexual g</w:t>
      </w:r>
      <w:r w:rsidR="00FF440A" w:rsidRPr="00FF440A">
        <w:rPr>
          <w:rFonts w:cs="Arial"/>
          <w:b/>
        </w:rPr>
        <w:t>ratification</w:t>
      </w:r>
      <w:r w:rsidR="00036628" w:rsidRPr="00FF440A">
        <w:rPr>
          <w:rFonts w:cs="Arial"/>
          <w:b/>
        </w:rPr>
        <w:t>.</w:t>
      </w:r>
      <w:r w:rsidR="00FF440A">
        <w:rPr>
          <w:rFonts w:cs="Arial"/>
          <w:b/>
        </w:rPr>
        <w:t xml:space="preserve"> It is suggested that consideration is given to the wording used in the England and Wales Domestic Abuse Bill.</w:t>
      </w:r>
      <w:r w:rsidR="00036628">
        <w:rPr>
          <w:rFonts w:cs="Arial"/>
          <w:b/>
        </w:rPr>
        <w:t xml:space="preserve"> </w:t>
      </w:r>
    </w:p>
    <w:p w14:paraId="0DA16AA2" w14:textId="77777777" w:rsidR="000D1B4E" w:rsidRPr="000D1B4E" w:rsidRDefault="000D1B4E" w:rsidP="00E82EEF">
      <w:pPr>
        <w:pStyle w:val="ListParagraph"/>
        <w:spacing w:before="24" w:after="24"/>
        <w:ind w:left="873"/>
        <w:rPr>
          <w:b/>
        </w:rPr>
      </w:pPr>
    </w:p>
    <w:p w14:paraId="48DE2C2A" w14:textId="20F8BC8A" w:rsidR="00B15FED" w:rsidRDefault="00CA5D46" w:rsidP="006363EA">
      <w:pPr>
        <w:pStyle w:val="Heading1"/>
        <w:numPr>
          <w:ilvl w:val="0"/>
          <w:numId w:val="1"/>
        </w:numPr>
      </w:pPr>
      <w:bookmarkStart w:id="3" w:name="_Toc61268492"/>
      <w:r>
        <w:t>Gender-based Violence</w:t>
      </w:r>
      <w:bookmarkEnd w:id="3"/>
    </w:p>
    <w:p w14:paraId="4C66F323" w14:textId="77777777" w:rsidR="00B15FED" w:rsidRPr="00B15FED" w:rsidRDefault="00B15FED" w:rsidP="00E82EEF"/>
    <w:p w14:paraId="29825BAA" w14:textId="5A8C1434" w:rsidR="00B15FED" w:rsidRDefault="00B15FED" w:rsidP="006363EA">
      <w:pPr>
        <w:pStyle w:val="Default"/>
        <w:numPr>
          <w:ilvl w:val="1"/>
          <w:numId w:val="7"/>
        </w:numPr>
        <w:spacing w:before="24" w:after="24" w:line="288" w:lineRule="auto"/>
      </w:pPr>
      <w:r>
        <w:t xml:space="preserve">The use of the defence </w:t>
      </w:r>
      <w:r w:rsidR="00C468FB">
        <w:t>disproportionally</w:t>
      </w:r>
      <w:r w:rsidRPr="00596BB4">
        <w:t xml:space="preserve"> </w:t>
      </w:r>
      <w:r>
        <w:t>a</w:t>
      </w:r>
      <w:r w:rsidRPr="00596BB4">
        <w:t xml:space="preserve">ffects women and </w:t>
      </w:r>
      <w:r>
        <w:t>girls. It is recorded that 60 of those 67 killed in the UK and three killed in N</w:t>
      </w:r>
      <w:r w:rsidR="008B5CBE">
        <w:t xml:space="preserve">orthern </w:t>
      </w:r>
      <w:r>
        <w:t>I</w:t>
      </w:r>
      <w:r w:rsidR="008B5CBE">
        <w:t>reland</w:t>
      </w:r>
      <w:r>
        <w:t xml:space="preserve"> where the </w:t>
      </w:r>
      <w:r w:rsidR="00C03C09">
        <w:t xml:space="preserve">defence has been used </w:t>
      </w:r>
      <w:r>
        <w:t xml:space="preserve">were women and girls and </w:t>
      </w:r>
      <w:r w:rsidRPr="00596BB4">
        <w:t>al</w:t>
      </w:r>
      <w:r>
        <w:t>l suspects in these killings were</w:t>
      </w:r>
      <w:r w:rsidRPr="00596BB4">
        <w:t xml:space="preserve"> male</w:t>
      </w:r>
      <w:r w:rsidRPr="00705088">
        <w:t>.</w:t>
      </w:r>
      <w:r>
        <w:rPr>
          <w:rStyle w:val="FootnoteReference"/>
        </w:rPr>
        <w:footnoteReference w:id="37"/>
      </w:r>
      <w:r w:rsidRPr="00705088">
        <w:t xml:space="preserve"> </w:t>
      </w:r>
      <w:r w:rsidR="007B1109">
        <w:t xml:space="preserve">The current law </w:t>
      </w:r>
      <w:r>
        <w:t>fails to</w:t>
      </w:r>
      <w:r w:rsidRPr="00705088">
        <w:t xml:space="preserve"> recogni</w:t>
      </w:r>
      <w:r>
        <w:t>se</w:t>
      </w:r>
      <w:r w:rsidRPr="00705088">
        <w:t xml:space="preserve"> the gendered dimension </w:t>
      </w:r>
      <w:r>
        <w:t>of the violence associated with the defence</w:t>
      </w:r>
      <w:r w:rsidRPr="00705088">
        <w:t>.</w:t>
      </w:r>
    </w:p>
    <w:p w14:paraId="682FA4DE" w14:textId="77777777" w:rsidR="00DE17AF" w:rsidRDefault="00DE17AF" w:rsidP="00B15FED">
      <w:pPr>
        <w:pStyle w:val="Default"/>
        <w:spacing w:before="24" w:after="24" w:line="288" w:lineRule="auto"/>
        <w:rPr>
          <w:rFonts w:cs="Arial"/>
          <w:color w:val="auto"/>
        </w:rPr>
      </w:pPr>
    </w:p>
    <w:p w14:paraId="06D4D2EF" w14:textId="08E59829" w:rsidR="002959C8" w:rsidRDefault="002959C8" w:rsidP="006363EA">
      <w:pPr>
        <w:pStyle w:val="Default"/>
        <w:numPr>
          <w:ilvl w:val="1"/>
          <w:numId w:val="7"/>
        </w:numPr>
        <w:spacing w:before="24" w:after="24" w:line="288" w:lineRule="auto"/>
        <w:rPr>
          <w:rFonts w:cs="Arial"/>
          <w:color w:val="auto"/>
        </w:rPr>
      </w:pPr>
      <w:r>
        <w:rPr>
          <w:rFonts w:cs="Arial"/>
          <w:color w:val="auto"/>
        </w:rPr>
        <w:t xml:space="preserve">The </w:t>
      </w:r>
      <w:r w:rsidRPr="002959C8">
        <w:rPr>
          <w:rFonts w:cs="Arial"/>
          <w:color w:val="auto"/>
        </w:rPr>
        <w:t xml:space="preserve">UN Committee on the Elimination of Discrimination against Women (UN CEDAW Committee) </w:t>
      </w:r>
      <w:r>
        <w:rPr>
          <w:rFonts w:cs="Arial"/>
          <w:color w:val="auto"/>
        </w:rPr>
        <w:t xml:space="preserve">and the UN Committee against Torture (UN CAT Committee) have </w:t>
      </w:r>
      <w:r w:rsidRPr="0034653A">
        <w:rPr>
          <w:rFonts w:cs="Arial"/>
          <w:color w:val="auto"/>
        </w:rPr>
        <w:t>highlight</w:t>
      </w:r>
      <w:r>
        <w:rPr>
          <w:rFonts w:cs="Arial"/>
          <w:color w:val="auto"/>
        </w:rPr>
        <w:t>ed</w:t>
      </w:r>
      <w:r w:rsidRPr="0034653A">
        <w:rPr>
          <w:rFonts w:cs="Arial"/>
          <w:color w:val="auto"/>
        </w:rPr>
        <w:t xml:space="preserve"> </w:t>
      </w:r>
      <w:r w:rsidR="006D516C">
        <w:rPr>
          <w:rFonts w:cs="Arial"/>
          <w:color w:val="auto"/>
        </w:rPr>
        <w:t>gender-based</w:t>
      </w:r>
      <w:r>
        <w:rPr>
          <w:rFonts w:cs="Arial"/>
          <w:color w:val="auto"/>
        </w:rPr>
        <w:t xml:space="preserve"> </w:t>
      </w:r>
      <w:r w:rsidRPr="0034653A">
        <w:rPr>
          <w:rFonts w:cs="Arial"/>
          <w:color w:val="auto"/>
        </w:rPr>
        <w:t>violence</w:t>
      </w:r>
      <w:r>
        <w:rPr>
          <w:rFonts w:cs="Arial"/>
          <w:color w:val="auto"/>
        </w:rPr>
        <w:t xml:space="preserve"> </w:t>
      </w:r>
      <w:r w:rsidRPr="0034653A">
        <w:rPr>
          <w:rFonts w:cs="Arial"/>
          <w:color w:val="auto"/>
        </w:rPr>
        <w:t xml:space="preserve">as </w:t>
      </w:r>
      <w:r>
        <w:rPr>
          <w:rFonts w:cs="Arial"/>
          <w:color w:val="auto"/>
        </w:rPr>
        <w:t>a persistent issue in the UK, including Northern Ireland.</w:t>
      </w:r>
      <w:r>
        <w:rPr>
          <w:rStyle w:val="FootnoteReference"/>
          <w:rFonts w:cs="Arial"/>
          <w:color w:val="auto"/>
        </w:rPr>
        <w:footnoteReference w:id="38"/>
      </w:r>
      <w:r>
        <w:rPr>
          <w:rFonts w:cs="Arial"/>
          <w:color w:val="auto"/>
        </w:rPr>
        <w:t xml:space="preserve"> Both UN Committees have also highlighted</w:t>
      </w:r>
      <w:r w:rsidRPr="0034653A">
        <w:rPr>
          <w:rFonts w:cs="Arial"/>
          <w:color w:val="auto"/>
        </w:rPr>
        <w:t xml:space="preserve"> th</w:t>
      </w:r>
      <w:r>
        <w:rPr>
          <w:rFonts w:cs="Arial"/>
          <w:color w:val="auto"/>
        </w:rPr>
        <w:t xml:space="preserve">e </w:t>
      </w:r>
      <w:r w:rsidRPr="0034653A">
        <w:rPr>
          <w:rFonts w:cs="Arial"/>
          <w:color w:val="auto"/>
        </w:rPr>
        <w:t>disproportionat</w:t>
      </w:r>
      <w:r>
        <w:rPr>
          <w:rFonts w:cs="Arial"/>
          <w:color w:val="auto"/>
        </w:rPr>
        <w:t>e impact</w:t>
      </w:r>
      <w:r w:rsidRPr="0034653A">
        <w:rPr>
          <w:rFonts w:cs="Arial"/>
          <w:color w:val="auto"/>
        </w:rPr>
        <w:t xml:space="preserve"> </w:t>
      </w:r>
      <w:r>
        <w:rPr>
          <w:rFonts w:cs="Arial"/>
          <w:color w:val="auto"/>
        </w:rPr>
        <w:t xml:space="preserve">on </w:t>
      </w:r>
      <w:r w:rsidRPr="0034653A">
        <w:rPr>
          <w:rFonts w:cs="Arial"/>
          <w:color w:val="auto"/>
        </w:rPr>
        <w:t>women</w:t>
      </w:r>
      <w:r>
        <w:rPr>
          <w:rFonts w:cs="Arial"/>
          <w:color w:val="auto"/>
        </w:rPr>
        <w:t xml:space="preserve"> and the need for gender sensitive policies to provide protection, prosecution and redress.</w:t>
      </w:r>
      <w:r>
        <w:rPr>
          <w:rStyle w:val="FootnoteReference"/>
          <w:rFonts w:cs="Arial"/>
          <w:color w:val="auto"/>
        </w:rPr>
        <w:footnoteReference w:id="39"/>
      </w:r>
    </w:p>
    <w:p w14:paraId="2DACDF16" w14:textId="47FB93EB" w:rsidR="002959C8" w:rsidRPr="006D516C" w:rsidRDefault="002959C8" w:rsidP="009A1F12">
      <w:pPr>
        <w:pStyle w:val="Default"/>
        <w:spacing w:before="24" w:after="24" w:line="288" w:lineRule="auto"/>
        <w:rPr>
          <w:rFonts w:cs="Arial"/>
          <w:color w:val="auto"/>
        </w:rPr>
      </w:pPr>
    </w:p>
    <w:p w14:paraId="5BF714AD" w14:textId="77777777" w:rsidR="00E757DA" w:rsidRDefault="00BA5D37" w:rsidP="006363EA">
      <w:pPr>
        <w:pStyle w:val="Default"/>
        <w:numPr>
          <w:ilvl w:val="1"/>
          <w:numId w:val="7"/>
        </w:numPr>
        <w:spacing w:before="24" w:after="24" w:line="288" w:lineRule="auto"/>
        <w:rPr>
          <w:rFonts w:cs="Arial"/>
          <w:color w:val="auto"/>
        </w:rPr>
      </w:pPr>
      <w:r>
        <w:rPr>
          <w:rFonts w:cs="Arial"/>
          <w:color w:val="auto"/>
        </w:rPr>
        <w:t>Article 1 of the UN CEDAW ensures that g</w:t>
      </w:r>
      <w:r w:rsidR="00E757DA" w:rsidRPr="00E757DA">
        <w:rPr>
          <w:rFonts w:cs="Arial"/>
          <w:color w:val="auto"/>
        </w:rPr>
        <w:t>ender-based violence against women constitutes discrimination</w:t>
      </w:r>
      <w:r w:rsidR="00E757DA">
        <w:rPr>
          <w:rFonts w:cs="Arial"/>
          <w:color w:val="auto"/>
        </w:rPr>
        <w:t xml:space="preserve"> against </w:t>
      </w:r>
      <w:r w:rsidR="00E757DA" w:rsidRPr="00E757DA">
        <w:rPr>
          <w:rFonts w:cs="Arial"/>
          <w:color w:val="auto"/>
        </w:rPr>
        <w:t>women and therefore engages all obligations under the Convention.</w:t>
      </w:r>
      <w:r w:rsidR="00E373A8">
        <w:rPr>
          <w:rStyle w:val="FootnoteReference"/>
          <w:rFonts w:cs="Arial"/>
          <w:color w:val="auto"/>
        </w:rPr>
        <w:footnoteReference w:id="40"/>
      </w:r>
      <w:r w:rsidR="00E757DA" w:rsidRPr="00E757DA">
        <w:rPr>
          <w:rFonts w:cs="Arial"/>
          <w:color w:val="auto"/>
        </w:rPr>
        <w:t xml:space="preserve"> Article 2 </w:t>
      </w:r>
      <w:r w:rsidR="00FD1EDD">
        <w:rPr>
          <w:rFonts w:cs="Arial"/>
          <w:color w:val="auto"/>
        </w:rPr>
        <w:t xml:space="preserve">UN CEDAW </w:t>
      </w:r>
      <w:r w:rsidR="00E757DA" w:rsidRPr="00E757DA">
        <w:rPr>
          <w:rFonts w:cs="Arial"/>
          <w:color w:val="auto"/>
        </w:rPr>
        <w:t>provides that the overarching obligation of States parties is to pursue by all appropriate means and without delay a policy of eliminating discrimination against women, including gender-based violence against women.</w:t>
      </w:r>
      <w:r w:rsidR="00E373A8">
        <w:rPr>
          <w:rStyle w:val="FootnoteReference"/>
          <w:rFonts w:cs="Arial"/>
          <w:color w:val="auto"/>
        </w:rPr>
        <w:footnoteReference w:id="41"/>
      </w:r>
      <w:r w:rsidR="00E757DA" w:rsidRPr="00E757DA">
        <w:rPr>
          <w:rFonts w:cs="Arial"/>
          <w:color w:val="auto"/>
        </w:rPr>
        <w:t xml:space="preserve"> </w:t>
      </w:r>
    </w:p>
    <w:p w14:paraId="30E107D7" w14:textId="77777777" w:rsidR="00E757DA" w:rsidRDefault="00E757DA" w:rsidP="0087693B">
      <w:pPr>
        <w:pStyle w:val="Default"/>
        <w:spacing w:before="24" w:after="24" w:line="288" w:lineRule="auto"/>
        <w:ind w:left="720"/>
        <w:rPr>
          <w:rFonts w:cs="Arial"/>
          <w:color w:val="auto"/>
        </w:rPr>
      </w:pPr>
    </w:p>
    <w:p w14:paraId="43F69886" w14:textId="639D9A8C" w:rsidR="00E757DA" w:rsidRPr="00E757DA" w:rsidRDefault="00E757DA" w:rsidP="006363EA">
      <w:pPr>
        <w:pStyle w:val="Default"/>
        <w:numPr>
          <w:ilvl w:val="1"/>
          <w:numId w:val="7"/>
        </w:numPr>
        <w:spacing w:before="24" w:after="24" w:line="288" w:lineRule="auto"/>
        <w:rPr>
          <w:rFonts w:cs="Arial"/>
          <w:color w:val="auto"/>
        </w:rPr>
      </w:pPr>
      <w:r w:rsidRPr="00E757DA">
        <w:rPr>
          <w:rFonts w:cs="Arial"/>
          <w:color w:val="auto"/>
          <w:lang w:val="en-GB"/>
        </w:rPr>
        <w:t xml:space="preserve">Under the </w:t>
      </w:r>
      <w:r w:rsidR="00BA5D37">
        <w:rPr>
          <w:rFonts w:cs="Arial"/>
          <w:color w:val="auto"/>
          <w:lang w:val="en-GB"/>
        </w:rPr>
        <w:t>UN CEDAW</w:t>
      </w:r>
      <w:r w:rsidR="006D516C">
        <w:rPr>
          <w:rFonts w:cs="Arial"/>
          <w:color w:val="auto"/>
          <w:lang w:val="en-GB"/>
        </w:rPr>
        <w:t>,</w:t>
      </w:r>
      <w:r w:rsidRPr="00E757DA">
        <w:rPr>
          <w:rFonts w:cs="Arial"/>
          <w:color w:val="auto"/>
          <w:lang w:val="en-GB"/>
        </w:rPr>
        <w:t xml:space="preserve"> </w:t>
      </w:r>
      <w:r w:rsidR="00CA5D46">
        <w:rPr>
          <w:rFonts w:cs="Arial"/>
          <w:color w:val="auto"/>
          <w:lang w:val="en-GB"/>
        </w:rPr>
        <w:t>the Northern Ireland Executive</w:t>
      </w:r>
      <w:r w:rsidRPr="00E757DA">
        <w:rPr>
          <w:rFonts w:cs="Arial"/>
          <w:color w:val="auto"/>
          <w:lang w:val="en-GB"/>
        </w:rPr>
        <w:t xml:space="preserve"> is responsible for acts or omissions of its organs and agents that constitute gender</w:t>
      </w:r>
      <w:r>
        <w:rPr>
          <w:rFonts w:cs="Arial"/>
          <w:color w:val="auto"/>
          <w:lang w:val="en-GB"/>
        </w:rPr>
        <w:t xml:space="preserve"> based violence against women, </w:t>
      </w:r>
      <w:r w:rsidRPr="00E757DA">
        <w:rPr>
          <w:rFonts w:cs="Arial"/>
          <w:color w:val="auto"/>
          <w:lang w:val="en-GB"/>
        </w:rPr>
        <w:t>which include the acts or omissions of officials in its executive, legislative and judicial branches.</w:t>
      </w:r>
      <w:r w:rsidR="00E373A8">
        <w:rPr>
          <w:rStyle w:val="FootnoteReference"/>
          <w:rFonts w:cs="Arial"/>
          <w:color w:val="auto"/>
          <w:lang w:val="en-GB"/>
        </w:rPr>
        <w:footnoteReference w:id="42"/>
      </w:r>
      <w:r w:rsidRPr="00E757DA">
        <w:rPr>
          <w:rFonts w:cs="Arial"/>
          <w:color w:val="auto"/>
          <w:lang w:val="en-GB"/>
        </w:rPr>
        <w:t xml:space="preserve"> Article 2(d) of the </w:t>
      </w:r>
      <w:r w:rsidR="00CA5D46">
        <w:rPr>
          <w:rFonts w:cs="Arial"/>
          <w:color w:val="auto"/>
          <w:lang w:val="en-GB"/>
        </w:rPr>
        <w:t>UN CEDAW</w:t>
      </w:r>
      <w:r w:rsidR="00CA5D46" w:rsidRPr="00E757DA">
        <w:rPr>
          <w:rFonts w:cs="Arial"/>
          <w:color w:val="auto"/>
          <w:lang w:val="en-GB"/>
        </w:rPr>
        <w:t xml:space="preserve"> </w:t>
      </w:r>
      <w:r w:rsidRPr="00E757DA">
        <w:rPr>
          <w:rFonts w:cs="Arial"/>
          <w:color w:val="auto"/>
          <w:lang w:val="en-GB"/>
        </w:rPr>
        <w:t xml:space="preserve">provides that </w:t>
      </w:r>
      <w:r w:rsidR="00CA5D46">
        <w:rPr>
          <w:rFonts w:cs="Arial"/>
          <w:color w:val="auto"/>
          <w:lang w:val="en-GB"/>
        </w:rPr>
        <w:t>the Northern Ireland Executive</w:t>
      </w:r>
      <w:r w:rsidRPr="00E757DA">
        <w:rPr>
          <w:rFonts w:cs="Arial"/>
          <w:color w:val="auto"/>
          <w:lang w:val="en-GB"/>
        </w:rPr>
        <w:t xml:space="preserve">, and </w:t>
      </w:r>
      <w:r w:rsidR="008B5CBE">
        <w:rPr>
          <w:rFonts w:cs="Arial"/>
          <w:color w:val="auto"/>
          <w:lang w:val="en-GB"/>
        </w:rPr>
        <w:t>its</w:t>
      </w:r>
      <w:r w:rsidRPr="00E757DA">
        <w:rPr>
          <w:rFonts w:cs="Arial"/>
          <w:color w:val="auto"/>
          <w:lang w:val="en-GB"/>
        </w:rPr>
        <w:t xml:space="preserve"> organs and agents, are to refrain from engaging in any act or practice of direct or indirect discrimination against women and ensure that public authorities and institutions act in conformity with that obligation.</w:t>
      </w:r>
      <w:r w:rsidR="00FD1EDD">
        <w:rPr>
          <w:rStyle w:val="FootnoteReference"/>
          <w:rFonts w:cs="Arial"/>
          <w:color w:val="auto"/>
          <w:lang w:val="en-GB"/>
        </w:rPr>
        <w:footnoteReference w:id="43"/>
      </w:r>
      <w:r w:rsidRPr="00E757DA">
        <w:rPr>
          <w:rFonts w:cs="Arial"/>
          <w:color w:val="auto"/>
          <w:lang w:val="en-GB"/>
        </w:rPr>
        <w:t xml:space="preserve"> </w:t>
      </w:r>
    </w:p>
    <w:p w14:paraId="66462937" w14:textId="77777777" w:rsidR="00474054" w:rsidRPr="00474054" w:rsidRDefault="00474054" w:rsidP="0087693B">
      <w:pPr>
        <w:pStyle w:val="Default"/>
        <w:spacing w:before="24" w:after="24" w:line="288" w:lineRule="auto"/>
        <w:rPr>
          <w:rFonts w:cs="Arial"/>
          <w:color w:val="auto"/>
        </w:rPr>
      </w:pPr>
    </w:p>
    <w:p w14:paraId="2CA80956" w14:textId="30CEF141" w:rsidR="00C9454D" w:rsidRDefault="00474054" w:rsidP="006363EA">
      <w:pPr>
        <w:pStyle w:val="ListParagraph"/>
        <w:numPr>
          <w:ilvl w:val="1"/>
          <w:numId w:val="7"/>
        </w:numPr>
        <w:spacing w:before="24" w:after="24"/>
      </w:pPr>
      <w:r w:rsidRPr="00474054">
        <w:rPr>
          <w:rFonts w:cs="Arial"/>
        </w:rPr>
        <w:t>The UN CEDAW Committee</w:t>
      </w:r>
      <w:r w:rsidR="008B5CBE">
        <w:rPr>
          <w:rFonts w:cs="Arial"/>
        </w:rPr>
        <w:t>,</w:t>
      </w:r>
      <w:r w:rsidRPr="00474054">
        <w:rPr>
          <w:rFonts w:cs="Arial"/>
        </w:rPr>
        <w:t xml:space="preserve"> in its 2019 Concluding Observations on the UK, noted “with particular concern the inadequacy of laws and policies to protect women in Northern Ireland (from gender-based violence)”</w:t>
      </w:r>
      <w:r w:rsidR="00CA5D46">
        <w:rPr>
          <w:rFonts w:cs="Arial"/>
        </w:rPr>
        <w:t>.</w:t>
      </w:r>
      <w:r w:rsidR="00CA5D46">
        <w:rPr>
          <w:rStyle w:val="FootnoteReference"/>
          <w:rFonts w:cs="Arial"/>
        </w:rPr>
        <w:footnoteReference w:id="44"/>
      </w:r>
      <w:r w:rsidR="00CA5D46">
        <w:rPr>
          <w:rFonts w:cs="Arial"/>
        </w:rPr>
        <w:t xml:space="preserve"> The UN CEDAW Committee also</w:t>
      </w:r>
      <w:r w:rsidR="00C9454D">
        <w:rPr>
          <w:rFonts w:cs="Arial"/>
        </w:rPr>
        <w:t xml:space="preserve"> </w:t>
      </w:r>
      <w:r w:rsidR="00C9454D">
        <w:t xml:space="preserve">made specific reference to the need to ensure that the UK’s “laws and policies effectively protect women with disabilities </w:t>
      </w:r>
      <w:r w:rsidR="00C9454D">
        <w:lastRenderedPageBreak/>
        <w:t>from all forms of gender-based violence, and in particular violence perpetrated by their caregivers”.</w:t>
      </w:r>
      <w:r w:rsidR="00C9454D">
        <w:rPr>
          <w:rStyle w:val="FootnoteReference"/>
        </w:rPr>
        <w:footnoteReference w:id="45"/>
      </w:r>
    </w:p>
    <w:p w14:paraId="457AE05D" w14:textId="77777777" w:rsidR="002959C8" w:rsidRDefault="002959C8" w:rsidP="0087693B">
      <w:pPr>
        <w:pStyle w:val="ListParagraph"/>
        <w:spacing w:before="24" w:after="24"/>
        <w:rPr>
          <w:rFonts w:cs="Arial"/>
        </w:rPr>
      </w:pPr>
    </w:p>
    <w:p w14:paraId="15FE2B80" w14:textId="7FDBEA91" w:rsidR="009F0894" w:rsidRPr="009F0894" w:rsidRDefault="002959C8" w:rsidP="006363EA">
      <w:pPr>
        <w:pStyle w:val="Default"/>
        <w:numPr>
          <w:ilvl w:val="1"/>
          <w:numId w:val="7"/>
        </w:numPr>
        <w:spacing w:before="24" w:after="24" w:line="288" w:lineRule="auto"/>
        <w:rPr>
          <w:rFonts w:cs="Arial"/>
          <w:color w:val="auto"/>
        </w:rPr>
      </w:pPr>
      <w:r w:rsidRPr="00E757DA">
        <w:rPr>
          <w:rFonts w:cs="Arial"/>
          <w:color w:val="auto"/>
        </w:rPr>
        <w:t>Gender-based violence against women may amount to torture or cruel,</w:t>
      </w:r>
      <w:r w:rsidR="00FD1EDD">
        <w:rPr>
          <w:rFonts w:cs="Arial"/>
          <w:color w:val="auto"/>
        </w:rPr>
        <w:t xml:space="preserve"> </w:t>
      </w:r>
      <w:r w:rsidRPr="00FD1EDD">
        <w:rPr>
          <w:rFonts w:cs="Arial"/>
          <w:color w:val="auto"/>
        </w:rPr>
        <w:t>inhuman or degrading treatment in certain circumstances, including in cases of rape, domestic violence or harmful practices.</w:t>
      </w:r>
      <w:r w:rsidR="009F0894">
        <w:rPr>
          <w:rFonts w:cs="Arial"/>
          <w:color w:val="auto"/>
        </w:rPr>
        <w:t xml:space="preserve"> Article 1 of the UN </w:t>
      </w:r>
      <w:r w:rsidR="008B5CBE">
        <w:rPr>
          <w:rFonts w:cs="Arial"/>
          <w:color w:val="auto"/>
        </w:rPr>
        <w:t>CAT</w:t>
      </w:r>
      <w:r w:rsidR="009F0894">
        <w:rPr>
          <w:rFonts w:cs="Arial"/>
          <w:color w:val="auto"/>
        </w:rPr>
        <w:t xml:space="preserve"> defines the term "torture" as</w:t>
      </w:r>
      <w:r w:rsidR="009F0894" w:rsidRPr="009F0894">
        <w:rPr>
          <w:rFonts w:cs="Arial"/>
          <w:color w:val="auto"/>
        </w:rPr>
        <w:t xml:space="preserve"> any act by which severe pain or suffering, whether physical or mental, is intentionally inflicted on a person</w:t>
      </w:r>
      <w:r w:rsidR="009F0894">
        <w:rPr>
          <w:rFonts w:cs="Arial"/>
          <w:color w:val="auto"/>
        </w:rPr>
        <w:t>.</w:t>
      </w:r>
      <w:r w:rsidR="009F0894">
        <w:rPr>
          <w:rStyle w:val="FootnoteReference"/>
          <w:rFonts w:cs="Arial"/>
          <w:color w:val="auto"/>
        </w:rPr>
        <w:footnoteReference w:id="46"/>
      </w:r>
      <w:r w:rsidR="009F0894">
        <w:rPr>
          <w:rFonts w:cs="Arial"/>
          <w:color w:val="auto"/>
        </w:rPr>
        <w:t xml:space="preserve"> </w:t>
      </w:r>
      <w:r w:rsidR="009F0894" w:rsidRPr="009F0894">
        <w:rPr>
          <w:rFonts w:cs="Arial"/>
          <w:color w:val="auto"/>
        </w:rPr>
        <w:t xml:space="preserve">Article 2 of the </w:t>
      </w:r>
      <w:r w:rsidR="009F0894">
        <w:rPr>
          <w:rFonts w:cs="Arial"/>
          <w:color w:val="auto"/>
        </w:rPr>
        <w:t xml:space="preserve">UN CAT provides that the </w:t>
      </w:r>
      <w:r w:rsidR="008B5CBE">
        <w:rPr>
          <w:rFonts w:cs="Arial"/>
          <w:color w:val="auto"/>
        </w:rPr>
        <w:t>S</w:t>
      </w:r>
      <w:r w:rsidR="009F0894">
        <w:rPr>
          <w:rFonts w:cs="Arial"/>
          <w:color w:val="auto"/>
        </w:rPr>
        <w:t>tate should “</w:t>
      </w:r>
      <w:r w:rsidR="009F0894" w:rsidRPr="009F0894">
        <w:rPr>
          <w:rFonts w:cs="Arial"/>
          <w:color w:val="auto"/>
        </w:rPr>
        <w:t>take effective legislative, administrative, judicial or other measures to prevent acts of torture in any t</w:t>
      </w:r>
      <w:r w:rsidR="009F0894">
        <w:rPr>
          <w:rFonts w:cs="Arial"/>
          <w:color w:val="auto"/>
        </w:rPr>
        <w:t>erritory under its jurisdiction”.</w:t>
      </w:r>
      <w:r w:rsidR="009F0894">
        <w:rPr>
          <w:rStyle w:val="FootnoteReference"/>
          <w:rFonts w:cs="Arial"/>
          <w:color w:val="auto"/>
        </w:rPr>
        <w:footnoteReference w:id="47"/>
      </w:r>
    </w:p>
    <w:p w14:paraId="52D78D90" w14:textId="77777777" w:rsidR="009F0894" w:rsidRDefault="009F0894" w:rsidP="0087693B">
      <w:pPr>
        <w:pStyle w:val="ListParagraph"/>
        <w:spacing w:before="24" w:after="24"/>
        <w:rPr>
          <w:rFonts w:cs="Arial"/>
        </w:rPr>
      </w:pPr>
    </w:p>
    <w:p w14:paraId="5CF686CA" w14:textId="70836C54" w:rsidR="00BB24FC" w:rsidRDefault="002959C8" w:rsidP="006363EA">
      <w:pPr>
        <w:pStyle w:val="Default"/>
        <w:numPr>
          <w:ilvl w:val="1"/>
          <w:numId w:val="7"/>
        </w:numPr>
        <w:spacing w:before="24" w:after="24" w:line="288" w:lineRule="auto"/>
      </w:pPr>
      <w:r w:rsidRPr="00FD1EDD">
        <w:rPr>
          <w:rFonts w:cs="Arial"/>
          <w:color w:val="auto"/>
        </w:rPr>
        <w:t>The UN CAT Committee</w:t>
      </w:r>
      <w:r w:rsidR="008B5CBE">
        <w:rPr>
          <w:rFonts w:cs="Arial"/>
          <w:color w:val="auto"/>
        </w:rPr>
        <w:t>,</w:t>
      </w:r>
      <w:r w:rsidRPr="00FD1EDD">
        <w:rPr>
          <w:rFonts w:cs="Arial"/>
          <w:color w:val="auto"/>
        </w:rPr>
        <w:t xml:space="preserve"> in its 2019 Concluding Observations on the UK</w:t>
      </w:r>
      <w:r w:rsidR="008B5CBE">
        <w:rPr>
          <w:rFonts w:cs="Arial"/>
          <w:color w:val="auto"/>
        </w:rPr>
        <w:t>,</w:t>
      </w:r>
      <w:r w:rsidRPr="00FD1EDD">
        <w:rPr>
          <w:rFonts w:cs="Arial"/>
          <w:color w:val="auto"/>
        </w:rPr>
        <w:t xml:space="preserve"> raised concerns of sexual and gender-based viol</w:t>
      </w:r>
      <w:r w:rsidR="00E243C4">
        <w:rPr>
          <w:rFonts w:cs="Arial"/>
          <w:color w:val="auto"/>
        </w:rPr>
        <w:t>ence and stated concerns</w:t>
      </w:r>
      <w:r w:rsidRPr="00FD1EDD">
        <w:rPr>
          <w:rFonts w:cs="Arial"/>
          <w:color w:val="auto"/>
        </w:rPr>
        <w:t xml:space="preserve"> about reports that </w:t>
      </w:r>
      <w:r w:rsidR="00CA5D46">
        <w:rPr>
          <w:rFonts w:cs="Arial"/>
          <w:color w:val="auto"/>
        </w:rPr>
        <w:t>within the UK, including Northern Ireland, there are</w:t>
      </w:r>
      <w:r w:rsidRPr="00FD1EDD">
        <w:rPr>
          <w:rFonts w:cs="Arial"/>
          <w:color w:val="auto"/>
        </w:rPr>
        <w:t xml:space="preserve"> increasing numbers of domestic abuse crimes and sexual offences, mainly against women, </w:t>
      </w:r>
      <w:r w:rsidR="00731D0D">
        <w:rPr>
          <w:rFonts w:cs="Arial"/>
          <w:color w:val="auto"/>
        </w:rPr>
        <w:t>being recorded and yet the</w:t>
      </w:r>
      <w:r w:rsidRPr="00FD1EDD">
        <w:rPr>
          <w:rFonts w:cs="Arial"/>
          <w:color w:val="auto"/>
        </w:rPr>
        <w:t xml:space="preserve"> prosecution and conviction rates in these cases</w:t>
      </w:r>
      <w:r w:rsidR="00CA5D46">
        <w:rPr>
          <w:rFonts w:cs="Arial"/>
          <w:color w:val="auto"/>
        </w:rPr>
        <w:t xml:space="preserve"> remain low</w:t>
      </w:r>
      <w:r w:rsidRPr="00FD1EDD">
        <w:rPr>
          <w:rFonts w:cs="Arial"/>
          <w:color w:val="auto"/>
        </w:rPr>
        <w:t>.</w:t>
      </w:r>
      <w:r w:rsidR="00E17E60">
        <w:rPr>
          <w:rStyle w:val="FootnoteReference"/>
          <w:rFonts w:cs="Arial"/>
          <w:color w:val="auto"/>
        </w:rPr>
        <w:footnoteReference w:id="48"/>
      </w:r>
    </w:p>
    <w:p w14:paraId="58EF978D" w14:textId="77777777" w:rsidR="00C9454D" w:rsidRPr="00E82EEF" w:rsidRDefault="00C9454D" w:rsidP="00E82EEF">
      <w:pPr>
        <w:shd w:val="clear" w:color="auto" w:fill="FFFFFF"/>
        <w:spacing w:before="24" w:after="24"/>
        <w:jc w:val="both"/>
        <w:rPr>
          <w:rFonts w:eastAsia="Times New Roman" w:cs="Arial"/>
          <w:bCs/>
          <w:color w:val="161616"/>
          <w:lang w:eastAsia="en-GB"/>
        </w:rPr>
      </w:pPr>
    </w:p>
    <w:p w14:paraId="115AB2D4" w14:textId="6B9799E0" w:rsidR="00355283" w:rsidRDefault="00C9454D" w:rsidP="006363EA">
      <w:pPr>
        <w:pStyle w:val="ListParagraph"/>
        <w:numPr>
          <w:ilvl w:val="1"/>
          <w:numId w:val="7"/>
        </w:numPr>
        <w:shd w:val="clear" w:color="auto" w:fill="FFFFFF"/>
        <w:spacing w:before="24" w:after="24"/>
        <w:jc w:val="both"/>
        <w:rPr>
          <w:rFonts w:eastAsia="Times New Roman" w:cs="Arial"/>
          <w:bCs/>
          <w:color w:val="161616"/>
          <w:lang w:eastAsia="en-GB"/>
        </w:rPr>
      </w:pPr>
      <w:r w:rsidRPr="00C9454D">
        <w:rPr>
          <w:rFonts w:eastAsia="Times New Roman" w:cs="Arial"/>
          <w:bCs/>
          <w:color w:val="161616"/>
          <w:lang w:eastAsia="en-GB"/>
        </w:rPr>
        <w:t>The UN CEDAW Committee</w:t>
      </w:r>
      <w:r w:rsidR="008B5CBE">
        <w:rPr>
          <w:rFonts w:eastAsia="Times New Roman" w:cs="Arial"/>
          <w:bCs/>
          <w:color w:val="161616"/>
          <w:lang w:eastAsia="en-GB"/>
        </w:rPr>
        <w:t>,</w:t>
      </w:r>
      <w:r w:rsidRPr="00C9454D">
        <w:rPr>
          <w:rFonts w:eastAsia="Times New Roman" w:cs="Arial"/>
          <w:bCs/>
          <w:color w:val="161616"/>
          <w:lang w:eastAsia="en-GB"/>
        </w:rPr>
        <w:t xml:space="preserve"> in its 2019 Concluding Observations</w:t>
      </w:r>
      <w:r w:rsidR="008B5CBE">
        <w:rPr>
          <w:rFonts w:eastAsia="Times New Roman" w:cs="Arial"/>
          <w:bCs/>
          <w:color w:val="161616"/>
          <w:lang w:eastAsia="en-GB"/>
        </w:rPr>
        <w:t>,</w:t>
      </w:r>
      <w:r w:rsidRPr="00C9454D">
        <w:rPr>
          <w:rFonts w:eastAsia="Times New Roman" w:cs="Arial"/>
          <w:bCs/>
          <w:color w:val="161616"/>
          <w:lang w:eastAsia="en-GB"/>
        </w:rPr>
        <w:t xml:space="preserve"> </w:t>
      </w:r>
      <w:r w:rsidR="006D516C">
        <w:rPr>
          <w:rFonts w:eastAsia="Times New Roman" w:cs="Arial"/>
          <w:bCs/>
          <w:color w:val="161616"/>
          <w:lang w:eastAsia="en-GB"/>
        </w:rPr>
        <w:t xml:space="preserve">recommended the UK </w:t>
      </w:r>
      <w:r w:rsidR="006D516C" w:rsidRPr="006D516C">
        <w:rPr>
          <w:rFonts w:eastAsia="Times New Roman" w:cs="Arial"/>
        </w:rPr>
        <w:t>ratify the Istanbul Convention.</w:t>
      </w:r>
      <w:r w:rsidR="006D516C" w:rsidRPr="006D516C">
        <w:rPr>
          <w:rFonts w:eastAsia="Times New Roman" w:cs="Arial"/>
          <w:vertAlign w:val="superscript"/>
        </w:rPr>
        <w:footnoteReference w:id="49"/>
      </w:r>
      <w:r w:rsidR="006D516C">
        <w:rPr>
          <w:rFonts w:eastAsia="Times New Roman" w:cs="Arial"/>
          <w:bCs/>
          <w:color w:val="161616"/>
          <w:lang w:eastAsia="en-GB"/>
        </w:rPr>
        <w:t xml:space="preserve"> </w:t>
      </w:r>
      <w:r w:rsidR="008B5CBE">
        <w:rPr>
          <w:rFonts w:eastAsia="Times New Roman" w:cs="Arial"/>
          <w:bCs/>
          <w:color w:val="161616"/>
          <w:lang w:eastAsia="en-GB"/>
        </w:rPr>
        <w:t>The</w:t>
      </w:r>
      <w:r w:rsidR="00C468FB">
        <w:rPr>
          <w:rFonts w:eastAsia="Times New Roman" w:cs="Arial"/>
          <w:bCs/>
          <w:color w:val="161616"/>
          <w:lang w:eastAsia="en-GB"/>
        </w:rPr>
        <w:t xml:space="preserve"> </w:t>
      </w:r>
      <w:r w:rsidR="008B5CBE" w:rsidRPr="00BF73BC">
        <w:rPr>
          <w:rFonts w:eastAsia="Times New Roman" w:cs="Arial"/>
          <w:bCs/>
          <w:color w:val="161616"/>
          <w:lang w:eastAsia="en-GB"/>
        </w:rPr>
        <w:t>Council of Europe Convention on preventing and combating violence against women and domestic violence</w:t>
      </w:r>
      <w:r w:rsidR="008B5CBE">
        <w:rPr>
          <w:rFonts w:eastAsia="Times New Roman" w:cs="Arial"/>
          <w:bCs/>
          <w:color w:val="161616"/>
          <w:lang w:eastAsia="en-GB"/>
        </w:rPr>
        <w:t xml:space="preserve"> (Istanbul Convention) provides a </w:t>
      </w:r>
      <w:r w:rsidR="008B5CBE" w:rsidRPr="00BF73BC">
        <w:rPr>
          <w:rFonts w:eastAsia="Times New Roman" w:cs="Arial"/>
          <w:bCs/>
          <w:color w:val="161616"/>
          <w:lang w:eastAsia="en-GB"/>
        </w:rPr>
        <w:t>legal framework at pan-European level to protect women against all forms of violence, and prevent, prosecute and eliminate violence against women and domestic violence.</w:t>
      </w:r>
      <w:r w:rsidR="008B5CBE">
        <w:rPr>
          <w:rFonts w:eastAsia="Times New Roman" w:cs="Arial"/>
          <w:bCs/>
          <w:color w:val="161616"/>
          <w:lang w:eastAsia="en-GB"/>
        </w:rPr>
        <w:t xml:space="preserve"> </w:t>
      </w:r>
      <w:r w:rsidR="00355283">
        <w:rPr>
          <w:rFonts w:eastAsia="Times New Roman" w:cs="Arial"/>
          <w:bCs/>
          <w:color w:val="161616"/>
          <w:lang w:eastAsia="en-GB"/>
        </w:rPr>
        <w:t>The UK Government has made it clear that it intends to ratify the Istanbul Convention and is currently in the process of addressing existing areas of non-compliance, such as extending its protections regardless of immigration status, criminalisation of psychological control across the UK, ensuring extraterritorial application, and protecting those that are reliant on spousal/partner support for residence status.</w:t>
      </w:r>
      <w:r w:rsidR="00355283">
        <w:rPr>
          <w:rStyle w:val="FootnoteReference"/>
          <w:rFonts w:eastAsia="Times New Roman" w:cs="Arial"/>
          <w:bCs/>
          <w:color w:val="161616"/>
          <w:lang w:eastAsia="en-GB"/>
        </w:rPr>
        <w:footnoteReference w:id="50"/>
      </w:r>
    </w:p>
    <w:p w14:paraId="16C4F17B" w14:textId="77777777" w:rsidR="00355283" w:rsidRDefault="00355283" w:rsidP="00355283">
      <w:pPr>
        <w:pStyle w:val="ListParagraph"/>
        <w:rPr>
          <w:lang w:eastAsia="en-GB"/>
        </w:rPr>
      </w:pPr>
    </w:p>
    <w:p w14:paraId="12D523D9" w14:textId="10F3D83F" w:rsidR="00E17E60" w:rsidRPr="00355283" w:rsidRDefault="00C9454D" w:rsidP="006363EA">
      <w:pPr>
        <w:pStyle w:val="ListParagraph"/>
        <w:numPr>
          <w:ilvl w:val="1"/>
          <w:numId w:val="7"/>
        </w:numPr>
        <w:shd w:val="clear" w:color="auto" w:fill="FFFFFF"/>
        <w:spacing w:before="24" w:after="24"/>
        <w:jc w:val="both"/>
        <w:rPr>
          <w:rFonts w:eastAsia="Times New Roman" w:cs="Arial"/>
          <w:bCs/>
          <w:color w:val="161616"/>
          <w:lang w:eastAsia="en-GB"/>
        </w:rPr>
      </w:pPr>
      <w:r w:rsidRPr="00E82EEF">
        <w:rPr>
          <w:lang w:eastAsia="en-GB"/>
        </w:rPr>
        <w:lastRenderedPageBreak/>
        <w:t xml:space="preserve">The Istanbul Convention </w:t>
      </w:r>
      <w:r w:rsidR="008805E8" w:rsidRPr="00E82EEF">
        <w:rPr>
          <w:lang w:eastAsia="en-GB"/>
        </w:rPr>
        <w:t>is specific to protecting women and girls from violence</w:t>
      </w:r>
      <w:r w:rsidR="007B1109">
        <w:rPr>
          <w:lang w:eastAsia="en-GB"/>
        </w:rPr>
        <w:t>.</w:t>
      </w:r>
      <w:r w:rsidR="008805E8" w:rsidRPr="00E82EEF">
        <w:rPr>
          <w:lang w:eastAsia="en-GB"/>
        </w:rPr>
        <w:t xml:space="preserve"> </w:t>
      </w:r>
      <w:r w:rsidR="007B1109">
        <w:rPr>
          <w:lang w:eastAsia="en-GB"/>
        </w:rPr>
        <w:t xml:space="preserve">It can also </w:t>
      </w:r>
      <w:r w:rsidR="008805E8" w:rsidRPr="00E82EEF">
        <w:rPr>
          <w:lang w:eastAsia="en-GB"/>
        </w:rPr>
        <w:t>be used as</w:t>
      </w:r>
      <w:r w:rsidR="007B1109">
        <w:rPr>
          <w:lang w:eastAsia="en-GB"/>
        </w:rPr>
        <w:t xml:space="preserve"> an</w:t>
      </w:r>
      <w:r w:rsidR="008805E8" w:rsidRPr="00E82EEF">
        <w:rPr>
          <w:lang w:eastAsia="en-GB"/>
        </w:rPr>
        <w:t xml:space="preserve"> indicator of best practice more broadly in providing</w:t>
      </w:r>
      <w:r w:rsidR="00E17E60" w:rsidRPr="00E82EEF">
        <w:rPr>
          <w:lang w:eastAsia="en-GB"/>
        </w:rPr>
        <w:t xml:space="preserve"> guidance </w:t>
      </w:r>
      <w:r w:rsidR="008805E8" w:rsidRPr="00E82EEF">
        <w:rPr>
          <w:lang w:eastAsia="en-GB"/>
        </w:rPr>
        <w:t>on how to</w:t>
      </w:r>
      <w:r w:rsidR="00B042B1" w:rsidRPr="00E82EEF">
        <w:rPr>
          <w:lang w:eastAsia="en-GB"/>
        </w:rPr>
        <w:t xml:space="preserve"> develop </w:t>
      </w:r>
      <w:r w:rsidR="00E17E60" w:rsidRPr="00E82EEF">
        <w:rPr>
          <w:lang w:eastAsia="en-GB"/>
        </w:rPr>
        <w:t>legislation to</w:t>
      </w:r>
      <w:r w:rsidR="00B042B1" w:rsidRPr="00E82EEF">
        <w:rPr>
          <w:lang w:eastAsia="en-GB"/>
        </w:rPr>
        <w:t xml:space="preserve"> outlaw</w:t>
      </w:r>
      <w:r w:rsidR="00E17E60" w:rsidRPr="00E82EEF">
        <w:rPr>
          <w:lang w:eastAsia="en-GB"/>
        </w:rPr>
        <w:t xml:space="preserve"> </w:t>
      </w:r>
      <w:r w:rsidR="00B042B1" w:rsidRPr="00E82EEF">
        <w:rPr>
          <w:lang w:eastAsia="en-GB"/>
        </w:rPr>
        <w:t>consent to serious harm for sexual gratification as a defence and in relation to</w:t>
      </w:r>
      <w:r w:rsidR="008805E8" w:rsidRPr="00E82EEF">
        <w:rPr>
          <w:lang w:eastAsia="en-GB"/>
        </w:rPr>
        <w:t xml:space="preserve"> developing</w:t>
      </w:r>
      <w:r w:rsidR="00B042B1" w:rsidRPr="00E82EEF">
        <w:rPr>
          <w:lang w:eastAsia="en-GB"/>
        </w:rPr>
        <w:t xml:space="preserve"> appropriate prosecution measures in relation to gender based violence. </w:t>
      </w:r>
    </w:p>
    <w:p w14:paraId="15CCF322" w14:textId="77777777" w:rsidR="00E17E60" w:rsidRPr="00E243C4" w:rsidRDefault="00E17E60" w:rsidP="0087693B">
      <w:pPr>
        <w:pStyle w:val="ListParagraph"/>
        <w:spacing w:before="24" w:after="24"/>
        <w:rPr>
          <w:rFonts w:eastAsia="Times New Roman" w:cs="Arial"/>
          <w:bCs/>
          <w:color w:val="161616"/>
          <w:lang w:eastAsia="en-GB"/>
        </w:rPr>
      </w:pPr>
    </w:p>
    <w:p w14:paraId="729814C6" w14:textId="38E073AA" w:rsidR="00E243C4" w:rsidRDefault="00463C22" w:rsidP="006363EA">
      <w:pPr>
        <w:pStyle w:val="ListParagraph"/>
        <w:numPr>
          <w:ilvl w:val="1"/>
          <w:numId w:val="7"/>
        </w:numPr>
        <w:shd w:val="clear" w:color="auto" w:fill="FFFFFF"/>
        <w:spacing w:before="24" w:after="24"/>
        <w:jc w:val="both"/>
        <w:rPr>
          <w:rFonts w:eastAsia="Times New Roman" w:cs="Arial"/>
          <w:color w:val="161616"/>
          <w:lang w:eastAsia="en-GB"/>
        </w:rPr>
      </w:pPr>
      <w:r w:rsidRPr="00E243C4">
        <w:rPr>
          <w:rFonts w:eastAsia="Times New Roman" w:cs="Arial"/>
          <w:bCs/>
          <w:color w:val="161616"/>
          <w:lang w:eastAsia="en-GB"/>
        </w:rPr>
        <w:t xml:space="preserve">Article 18 </w:t>
      </w:r>
      <w:r w:rsidR="00E17E60" w:rsidRPr="00E243C4">
        <w:rPr>
          <w:rFonts w:eastAsia="Times New Roman" w:cs="Arial"/>
          <w:bCs/>
          <w:color w:val="161616"/>
          <w:lang w:eastAsia="en-GB"/>
        </w:rPr>
        <w:t xml:space="preserve">of the Istanbul Convention provides that the </w:t>
      </w:r>
      <w:r w:rsidR="008805E8">
        <w:rPr>
          <w:rFonts w:eastAsia="Times New Roman" w:cs="Arial"/>
          <w:bCs/>
          <w:color w:val="161616"/>
          <w:lang w:eastAsia="en-GB"/>
        </w:rPr>
        <w:t>S</w:t>
      </w:r>
      <w:r w:rsidR="00E17E60" w:rsidRPr="00E243C4">
        <w:rPr>
          <w:rFonts w:eastAsia="Times New Roman" w:cs="Arial"/>
          <w:bCs/>
          <w:color w:val="161616"/>
          <w:lang w:eastAsia="en-GB"/>
        </w:rPr>
        <w:t>tate should</w:t>
      </w:r>
      <w:r w:rsidR="00E243C4">
        <w:rPr>
          <w:rFonts w:eastAsia="Times New Roman" w:cs="Arial"/>
          <w:bCs/>
          <w:color w:val="161616"/>
          <w:lang w:eastAsia="en-GB"/>
        </w:rPr>
        <w:t xml:space="preserve"> </w:t>
      </w:r>
      <w:r w:rsidRPr="00980B64">
        <w:rPr>
          <w:lang w:eastAsia="en-GB"/>
        </w:rPr>
        <w:t xml:space="preserve">take the necessary legislative </w:t>
      </w:r>
      <w:r w:rsidR="00E243C4">
        <w:rPr>
          <w:lang w:eastAsia="en-GB"/>
        </w:rPr>
        <w:t xml:space="preserve">measures </w:t>
      </w:r>
      <w:r w:rsidRPr="00980B64">
        <w:rPr>
          <w:lang w:eastAsia="en-GB"/>
        </w:rPr>
        <w:t>to ensure that there are appropriate mechanisms to provide for effective co-operation between all relevant state agencies, including the judiciary, public prosecu</w:t>
      </w:r>
      <w:r w:rsidR="00E243C4">
        <w:rPr>
          <w:lang w:eastAsia="en-GB"/>
        </w:rPr>
        <w:t xml:space="preserve">tors, law enforcement agencies </w:t>
      </w:r>
      <w:r w:rsidRPr="00980B64">
        <w:rPr>
          <w:lang w:eastAsia="en-GB"/>
        </w:rPr>
        <w:t>in protecting and supporting victims and witn</w:t>
      </w:r>
      <w:r w:rsidR="00E17E60">
        <w:rPr>
          <w:lang w:eastAsia="en-GB"/>
        </w:rPr>
        <w:t>esses of all forms of violence</w:t>
      </w:r>
      <w:r w:rsidR="007B1109">
        <w:rPr>
          <w:lang w:eastAsia="en-GB"/>
        </w:rPr>
        <w:t>. It also</w:t>
      </w:r>
      <w:r w:rsidR="00E243C4">
        <w:rPr>
          <w:lang w:eastAsia="en-GB"/>
        </w:rPr>
        <w:t xml:space="preserve"> ensure</w:t>
      </w:r>
      <w:r w:rsidR="007B1109">
        <w:rPr>
          <w:lang w:eastAsia="en-GB"/>
        </w:rPr>
        <w:t>s</w:t>
      </w:r>
      <w:r w:rsidR="00E243C4">
        <w:rPr>
          <w:lang w:eastAsia="en-GB"/>
        </w:rPr>
        <w:t xml:space="preserve"> this is based </w:t>
      </w:r>
      <w:r w:rsidRPr="00E243C4">
        <w:rPr>
          <w:rFonts w:eastAsia="Times New Roman" w:cs="Arial"/>
          <w:color w:val="161616"/>
          <w:lang w:eastAsia="en-GB"/>
        </w:rPr>
        <w:t>on a gendered understandi</w:t>
      </w:r>
      <w:r w:rsidR="00E243C4">
        <w:rPr>
          <w:rFonts w:eastAsia="Times New Roman" w:cs="Arial"/>
          <w:color w:val="161616"/>
          <w:lang w:eastAsia="en-GB"/>
        </w:rPr>
        <w:t>ng of violence against women</w:t>
      </w:r>
      <w:r w:rsidRPr="00E243C4">
        <w:rPr>
          <w:rFonts w:eastAsia="Times New Roman" w:cs="Arial"/>
          <w:color w:val="161616"/>
          <w:lang w:eastAsia="en-GB"/>
        </w:rPr>
        <w:t xml:space="preserve"> and focus</w:t>
      </w:r>
      <w:r w:rsidR="007B1109">
        <w:rPr>
          <w:rFonts w:eastAsia="Times New Roman" w:cs="Arial"/>
          <w:color w:val="161616"/>
          <w:lang w:eastAsia="en-GB"/>
        </w:rPr>
        <w:t>es</w:t>
      </w:r>
      <w:r w:rsidRPr="00E243C4">
        <w:rPr>
          <w:rFonts w:eastAsia="Times New Roman" w:cs="Arial"/>
          <w:color w:val="161616"/>
          <w:lang w:eastAsia="en-GB"/>
        </w:rPr>
        <w:t xml:space="preserve"> on the human </w:t>
      </w:r>
      <w:r w:rsidR="00E243C4">
        <w:rPr>
          <w:rFonts w:eastAsia="Times New Roman" w:cs="Arial"/>
          <w:color w:val="161616"/>
          <w:lang w:eastAsia="en-GB"/>
        </w:rPr>
        <w:t>rights and safety of the victim.</w:t>
      </w:r>
    </w:p>
    <w:p w14:paraId="4F61DD53" w14:textId="77777777" w:rsidR="00E243C4" w:rsidRPr="00E243C4" w:rsidRDefault="00E243C4" w:rsidP="0087693B">
      <w:pPr>
        <w:pStyle w:val="ListParagraph"/>
        <w:spacing w:before="24" w:after="24"/>
        <w:rPr>
          <w:rFonts w:eastAsia="Times New Roman" w:cs="Arial"/>
          <w:bCs/>
          <w:color w:val="161616"/>
          <w:lang w:eastAsia="en-GB"/>
        </w:rPr>
      </w:pPr>
    </w:p>
    <w:p w14:paraId="78749A7B" w14:textId="5B07D45E" w:rsidR="00E243C4" w:rsidRPr="00E243C4" w:rsidRDefault="00463C22" w:rsidP="006363EA">
      <w:pPr>
        <w:pStyle w:val="ListParagraph"/>
        <w:numPr>
          <w:ilvl w:val="1"/>
          <w:numId w:val="7"/>
        </w:numPr>
        <w:shd w:val="clear" w:color="auto" w:fill="FFFFFF"/>
        <w:spacing w:before="24" w:after="24"/>
        <w:jc w:val="both"/>
        <w:rPr>
          <w:rFonts w:eastAsia="Times New Roman" w:cs="Arial"/>
          <w:color w:val="161616"/>
          <w:lang w:eastAsia="en-GB"/>
        </w:rPr>
      </w:pPr>
      <w:r w:rsidRPr="00E243C4">
        <w:rPr>
          <w:rFonts w:eastAsia="Times New Roman" w:cs="Arial"/>
          <w:bCs/>
          <w:color w:val="161616"/>
          <w:lang w:eastAsia="en-GB"/>
        </w:rPr>
        <w:t xml:space="preserve">Article 29 </w:t>
      </w:r>
      <w:r w:rsidR="00B653E2">
        <w:rPr>
          <w:rFonts w:eastAsia="Times New Roman" w:cs="Arial"/>
          <w:bCs/>
          <w:color w:val="161616"/>
          <w:lang w:eastAsia="en-GB"/>
        </w:rPr>
        <w:t xml:space="preserve">of the </w:t>
      </w:r>
      <w:r w:rsidR="008805E8">
        <w:rPr>
          <w:rFonts w:eastAsia="Times New Roman" w:cs="Arial"/>
          <w:bCs/>
          <w:color w:val="161616"/>
          <w:lang w:eastAsia="en-GB"/>
        </w:rPr>
        <w:t xml:space="preserve">Istanbul </w:t>
      </w:r>
      <w:r w:rsidR="00B653E2">
        <w:rPr>
          <w:rFonts w:eastAsia="Times New Roman" w:cs="Arial"/>
          <w:bCs/>
          <w:color w:val="161616"/>
          <w:lang w:eastAsia="en-GB"/>
        </w:rPr>
        <w:t xml:space="preserve">Convention </w:t>
      </w:r>
      <w:r w:rsidR="00E243C4" w:rsidRPr="00E243C4">
        <w:rPr>
          <w:rFonts w:eastAsia="Times New Roman" w:cs="Arial"/>
          <w:bCs/>
          <w:color w:val="161616"/>
          <w:lang w:eastAsia="en-GB"/>
        </w:rPr>
        <w:t xml:space="preserve">provides that the </w:t>
      </w:r>
      <w:r w:rsidR="008805E8">
        <w:rPr>
          <w:rFonts w:eastAsia="Times New Roman" w:cs="Arial"/>
          <w:bCs/>
          <w:color w:val="161616"/>
          <w:lang w:eastAsia="en-GB"/>
        </w:rPr>
        <w:t>S</w:t>
      </w:r>
      <w:r w:rsidR="00E243C4" w:rsidRPr="00E243C4">
        <w:rPr>
          <w:rFonts w:eastAsia="Times New Roman" w:cs="Arial"/>
          <w:bCs/>
          <w:color w:val="161616"/>
          <w:lang w:eastAsia="en-GB"/>
        </w:rPr>
        <w:t xml:space="preserve">tate </w:t>
      </w:r>
      <w:r w:rsidRPr="00E243C4">
        <w:rPr>
          <w:rFonts w:eastAsia="Times New Roman" w:cs="Arial"/>
          <w:color w:val="161616"/>
          <w:lang w:eastAsia="en-GB"/>
        </w:rPr>
        <w:t>shall take the necessary legislative or other measures to provide victims with adequate civil remedies against the perpetrator.</w:t>
      </w:r>
    </w:p>
    <w:p w14:paraId="2C575F04" w14:textId="77777777" w:rsidR="00E243C4" w:rsidRPr="00E243C4" w:rsidRDefault="00E243C4" w:rsidP="0087693B">
      <w:pPr>
        <w:pStyle w:val="ListParagraph"/>
        <w:spacing w:before="24" w:after="24"/>
        <w:rPr>
          <w:rFonts w:eastAsia="Times New Roman" w:cs="Arial"/>
          <w:bCs/>
          <w:color w:val="161616"/>
          <w:lang w:eastAsia="en-GB"/>
        </w:rPr>
      </w:pPr>
    </w:p>
    <w:p w14:paraId="2EE4D985" w14:textId="4AECD3B1" w:rsidR="00980B64" w:rsidRPr="00E243C4" w:rsidRDefault="00463C22" w:rsidP="006363EA">
      <w:pPr>
        <w:pStyle w:val="ListParagraph"/>
        <w:numPr>
          <w:ilvl w:val="1"/>
          <w:numId w:val="7"/>
        </w:numPr>
        <w:shd w:val="clear" w:color="auto" w:fill="FFFFFF"/>
        <w:spacing w:before="24" w:after="24"/>
        <w:jc w:val="both"/>
        <w:rPr>
          <w:rFonts w:eastAsia="Times New Roman" w:cs="Arial"/>
          <w:color w:val="161616"/>
          <w:lang w:eastAsia="en-GB"/>
        </w:rPr>
      </w:pPr>
      <w:r w:rsidRPr="00E243C4">
        <w:rPr>
          <w:rFonts w:eastAsia="Times New Roman" w:cs="Arial"/>
          <w:bCs/>
          <w:color w:val="161616"/>
          <w:lang w:eastAsia="en-GB"/>
        </w:rPr>
        <w:t>Article</w:t>
      </w:r>
      <w:r w:rsidR="00E243C4" w:rsidRPr="00E243C4">
        <w:rPr>
          <w:rFonts w:eastAsia="Times New Roman" w:cs="Arial"/>
          <w:bCs/>
          <w:color w:val="161616"/>
          <w:lang w:eastAsia="en-GB"/>
        </w:rPr>
        <w:t>s</w:t>
      </w:r>
      <w:r w:rsidRPr="00E243C4">
        <w:rPr>
          <w:rFonts w:eastAsia="Times New Roman" w:cs="Arial"/>
          <w:bCs/>
          <w:color w:val="161616"/>
          <w:lang w:eastAsia="en-GB"/>
        </w:rPr>
        <w:t xml:space="preserve"> 35</w:t>
      </w:r>
      <w:r w:rsidR="00E243C4" w:rsidRPr="00E243C4">
        <w:rPr>
          <w:rFonts w:eastAsia="Times New Roman" w:cs="Arial"/>
          <w:bCs/>
          <w:color w:val="161616"/>
          <w:lang w:eastAsia="en-GB"/>
        </w:rPr>
        <w:t xml:space="preserve"> and 36 </w:t>
      </w:r>
      <w:r w:rsidR="00B653E2">
        <w:rPr>
          <w:rFonts w:eastAsia="Times New Roman" w:cs="Arial"/>
          <w:bCs/>
          <w:color w:val="161616"/>
          <w:lang w:eastAsia="en-GB"/>
        </w:rPr>
        <w:t>of the</w:t>
      </w:r>
      <w:r w:rsidR="00C03C09">
        <w:rPr>
          <w:rFonts w:eastAsia="Times New Roman" w:cs="Arial"/>
          <w:bCs/>
          <w:color w:val="161616"/>
          <w:lang w:eastAsia="en-GB"/>
        </w:rPr>
        <w:t xml:space="preserve"> Istanbul</w:t>
      </w:r>
      <w:r w:rsidR="00B653E2">
        <w:rPr>
          <w:rFonts w:eastAsia="Times New Roman" w:cs="Arial"/>
          <w:bCs/>
          <w:color w:val="161616"/>
          <w:lang w:eastAsia="en-GB"/>
        </w:rPr>
        <w:t xml:space="preserve"> Convention </w:t>
      </w:r>
      <w:r w:rsidR="00E243C4" w:rsidRPr="00E243C4">
        <w:rPr>
          <w:rFonts w:eastAsia="Times New Roman" w:cs="Arial"/>
          <w:bCs/>
          <w:color w:val="161616"/>
          <w:lang w:eastAsia="en-GB"/>
        </w:rPr>
        <w:t xml:space="preserve">ensure protection against </w:t>
      </w:r>
      <w:r w:rsidR="00B653E2">
        <w:rPr>
          <w:rFonts w:eastAsia="Times New Roman" w:cs="Arial"/>
          <w:bCs/>
          <w:color w:val="161616"/>
          <w:lang w:eastAsia="en-GB"/>
        </w:rPr>
        <w:t>p</w:t>
      </w:r>
      <w:r w:rsidRPr="00E243C4">
        <w:rPr>
          <w:rFonts w:eastAsia="Times New Roman" w:cs="Arial"/>
          <w:bCs/>
          <w:color w:val="161616"/>
          <w:lang w:eastAsia="en-GB"/>
        </w:rPr>
        <w:t>hysical violence</w:t>
      </w:r>
      <w:r w:rsidR="00E243C4" w:rsidRPr="00E243C4">
        <w:rPr>
          <w:rFonts w:eastAsia="Times New Roman" w:cs="Arial"/>
          <w:bCs/>
          <w:color w:val="161616"/>
          <w:lang w:eastAsia="en-GB"/>
        </w:rPr>
        <w:t xml:space="preserve"> and sexual violence including rape. </w:t>
      </w:r>
      <w:r w:rsidR="007B1109">
        <w:rPr>
          <w:rFonts w:eastAsia="Times New Roman" w:cs="Arial"/>
          <w:color w:val="161616"/>
          <w:lang w:eastAsia="en-GB"/>
        </w:rPr>
        <w:t>It p</w:t>
      </w:r>
      <w:r w:rsidR="00B653E2">
        <w:rPr>
          <w:rFonts w:eastAsia="Times New Roman" w:cs="Arial"/>
          <w:color w:val="161616"/>
          <w:lang w:eastAsia="en-GB"/>
        </w:rPr>
        <w:t>rovid</w:t>
      </w:r>
      <w:r w:rsidR="007B1109">
        <w:rPr>
          <w:rFonts w:eastAsia="Times New Roman" w:cs="Arial"/>
          <w:color w:val="161616"/>
          <w:lang w:eastAsia="en-GB"/>
        </w:rPr>
        <w:t>es that</w:t>
      </w:r>
      <w:r w:rsidR="00B653E2">
        <w:rPr>
          <w:rFonts w:eastAsia="Times New Roman" w:cs="Arial"/>
          <w:color w:val="161616"/>
          <w:lang w:eastAsia="en-GB"/>
        </w:rPr>
        <w:t xml:space="preserve"> the state s</w:t>
      </w:r>
      <w:r w:rsidRPr="00E243C4">
        <w:rPr>
          <w:rFonts w:eastAsia="Times New Roman" w:cs="Arial"/>
          <w:color w:val="161616"/>
          <w:lang w:eastAsia="en-GB"/>
        </w:rPr>
        <w:t>hall take the necessary legislative or other measures to ensure that the intentional conduct of committing acts of physical violence against another person is criminalised.</w:t>
      </w:r>
      <w:r w:rsidR="00976246" w:rsidRPr="00E243C4">
        <w:rPr>
          <w:rFonts w:eastAsia="Times New Roman" w:cs="Arial"/>
          <w:color w:val="161616"/>
          <w:lang w:eastAsia="en-GB"/>
        </w:rPr>
        <w:t xml:space="preserve"> </w:t>
      </w:r>
      <w:r w:rsidR="00E243C4" w:rsidRPr="00E243C4">
        <w:rPr>
          <w:rFonts w:eastAsia="Times New Roman" w:cs="Arial"/>
          <w:color w:val="161616"/>
          <w:lang w:eastAsia="en-GB"/>
        </w:rPr>
        <w:t>Consent must be given voluntarily as the result of the person’s free will assessed in the context of the surrounding circumstances.</w:t>
      </w:r>
    </w:p>
    <w:p w14:paraId="1C799E95" w14:textId="77777777" w:rsidR="00E243C4" w:rsidRPr="00E243C4" w:rsidRDefault="00E243C4" w:rsidP="0087693B">
      <w:pPr>
        <w:pStyle w:val="ListParagraph"/>
        <w:spacing w:before="24" w:after="24"/>
        <w:rPr>
          <w:rFonts w:eastAsia="Times New Roman" w:cs="Arial"/>
          <w:color w:val="161616"/>
          <w:lang w:eastAsia="en-GB"/>
        </w:rPr>
      </w:pPr>
    </w:p>
    <w:p w14:paraId="00C576C0" w14:textId="7A8217FF" w:rsidR="00E243C4" w:rsidRPr="00E243C4" w:rsidRDefault="00463C22" w:rsidP="006363EA">
      <w:pPr>
        <w:pStyle w:val="ListParagraph"/>
        <w:numPr>
          <w:ilvl w:val="1"/>
          <w:numId w:val="7"/>
        </w:numPr>
        <w:shd w:val="clear" w:color="auto" w:fill="FFFFFF"/>
        <w:spacing w:before="24" w:after="24"/>
        <w:jc w:val="both"/>
        <w:rPr>
          <w:rFonts w:eastAsia="Times New Roman" w:cs="Arial"/>
          <w:color w:val="161616"/>
          <w:lang w:eastAsia="en-GB"/>
        </w:rPr>
      </w:pPr>
      <w:r w:rsidRPr="00E243C4">
        <w:rPr>
          <w:rFonts w:cs="Arial"/>
          <w:color w:val="232120"/>
        </w:rPr>
        <w:t xml:space="preserve">Article 43 </w:t>
      </w:r>
      <w:r w:rsidR="00B653E2">
        <w:rPr>
          <w:rFonts w:cs="Arial"/>
          <w:color w:val="232120"/>
        </w:rPr>
        <w:t xml:space="preserve">of the </w:t>
      </w:r>
      <w:r w:rsidR="00C03C09">
        <w:rPr>
          <w:rFonts w:cs="Arial"/>
          <w:color w:val="232120"/>
        </w:rPr>
        <w:t xml:space="preserve">Istanbul </w:t>
      </w:r>
      <w:r w:rsidR="00B653E2">
        <w:rPr>
          <w:rFonts w:cs="Arial"/>
          <w:color w:val="232120"/>
        </w:rPr>
        <w:t xml:space="preserve">Convention </w:t>
      </w:r>
      <w:r w:rsidR="00E243C4" w:rsidRPr="00E243C4">
        <w:rPr>
          <w:rFonts w:cs="Arial"/>
          <w:color w:val="232120"/>
        </w:rPr>
        <w:t xml:space="preserve">provides that </w:t>
      </w:r>
      <w:r w:rsidRPr="00E243C4">
        <w:rPr>
          <w:rFonts w:cs="Arial"/>
          <w:color w:val="232120"/>
        </w:rPr>
        <w:t>offences established in</w:t>
      </w:r>
      <w:r w:rsidR="00E243C4" w:rsidRPr="00E243C4">
        <w:rPr>
          <w:rFonts w:cs="Arial"/>
          <w:color w:val="232120"/>
        </w:rPr>
        <w:t xml:space="preserve"> accordance with the</w:t>
      </w:r>
      <w:r w:rsidRPr="00E243C4">
        <w:rPr>
          <w:rFonts w:cs="Arial"/>
          <w:color w:val="232120"/>
        </w:rPr>
        <w:t xml:space="preserve"> Convention shall apply </w:t>
      </w:r>
      <w:r w:rsidR="007B1109">
        <w:rPr>
          <w:rFonts w:cs="Arial"/>
          <w:color w:val="232120"/>
        </w:rPr>
        <w:t xml:space="preserve">regardless </w:t>
      </w:r>
      <w:r w:rsidRPr="00E243C4">
        <w:rPr>
          <w:rFonts w:cs="Arial"/>
          <w:color w:val="232120"/>
        </w:rPr>
        <w:t>of the nature of the relationship</w:t>
      </w:r>
      <w:r w:rsidR="00E243C4" w:rsidRPr="00E243C4">
        <w:rPr>
          <w:rFonts w:cs="Arial"/>
          <w:color w:val="232120"/>
        </w:rPr>
        <w:t xml:space="preserve"> between victim and perpetrator. </w:t>
      </w:r>
      <w:r w:rsidR="008805E8">
        <w:rPr>
          <w:rFonts w:cs="Arial"/>
          <w:color w:val="232120"/>
        </w:rPr>
        <w:t>T</w:t>
      </w:r>
      <w:r w:rsidR="00E243C4">
        <w:rPr>
          <w:rFonts w:cs="Arial"/>
          <w:color w:val="232120"/>
        </w:rPr>
        <w:t xml:space="preserve">his </w:t>
      </w:r>
      <w:r w:rsidR="008805E8">
        <w:rPr>
          <w:rFonts w:cs="Arial"/>
          <w:color w:val="232120"/>
        </w:rPr>
        <w:t xml:space="preserve">is an important </w:t>
      </w:r>
      <w:r w:rsidR="00E243C4">
        <w:rPr>
          <w:rFonts w:cs="Arial"/>
          <w:color w:val="232120"/>
        </w:rPr>
        <w:t xml:space="preserve">Article as in many of the reported cases where the defence has been used </w:t>
      </w:r>
      <w:r w:rsidR="00B653E2">
        <w:rPr>
          <w:rFonts w:cs="Arial"/>
          <w:color w:val="232120"/>
        </w:rPr>
        <w:t>the perpetrator and victim have been in a relationship and the sexual behaviour has been deemed as part of their normal sexual relationship</w:t>
      </w:r>
      <w:r w:rsidR="0087693B">
        <w:rPr>
          <w:rFonts w:cs="Arial"/>
          <w:color w:val="232120"/>
        </w:rPr>
        <w:t xml:space="preserve"> which has been used in support of the defence</w:t>
      </w:r>
      <w:r w:rsidR="00B653E2">
        <w:rPr>
          <w:rFonts w:cs="Arial"/>
          <w:color w:val="232120"/>
        </w:rPr>
        <w:t xml:space="preserve">. </w:t>
      </w:r>
    </w:p>
    <w:p w14:paraId="32695534" w14:textId="77777777" w:rsidR="00E243C4" w:rsidRPr="00E243C4" w:rsidRDefault="00E243C4" w:rsidP="0087693B">
      <w:pPr>
        <w:pStyle w:val="ListParagraph"/>
        <w:spacing w:before="24" w:after="24"/>
        <w:rPr>
          <w:rFonts w:cs="Arial"/>
          <w:color w:val="232120"/>
        </w:rPr>
      </w:pPr>
    </w:p>
    <w:p w14:paraId="0DF6813D" w14:textId="03D22203" w:rsidR="00B042B1" w:rsidRPr="00B042B1" w:rsidRDefault="00B042B1" w:rsidP="006363EA">
      <w:pPr>
        <w:pStyle w:val="ListParagraph"/>
        <w:numPr>
          <w:ilvl w:val="1"/>
          <w:numId w:val="7"/>
        </w:numPr>
        <w:shd w:val="clear" w:color="auto" w:fill="FFFFFF"/>
        <w:spacing w:before="24" w:after="24"/>
        <w:jc w:val="both"/>
        <w:rPr>
          <w:rFonts w:eastAsia="Times New Roman" w:cs="Arial"/>
          <w:color w:val="161616"/>
          <w:lang w:eastAsia="en-GB"/>
        </w:rPr>
      </w:pPr>
      <w:r>
        <w:rPr>
          <w:rFonts w:cs="Arial"/>
          <w:color w:val="232120"/>
        </w:rPr>
        <w:t xml:space="preserve">Article 45 of the </w:t>
      </w:r>
      <w:r w:rsidR="00C03C09">
        <w:rPr>
          <w:rFonts w:cs="Arial"/>
          <w:color w:val="232120"/>
        </w:rPr>
        <w:t xml:space="preserve">Istanbul </w:t>
      </w:r>
      <w:r>
        <w:rPr>
          <w:rFonts w:cs="Arial"/>
          <w:color w:val="232120"/>
        </w:rPr>
        <w:t>Convention</w:t>
      </w:r>
      <w:r w:rsidR="00463C22" w:rsidRPr="00E243C4">
        <w:rPr>
          <w:rFonts w:cs="Arial"/>
          <w:color w:val="232120"/>
        </w:rPr>
        <w:t xml:space="preserve"> </w:t>
      </w:r>
      <w:r w:rsidR="00463C22" w:rsidRPr="009B6CCF">
        <w:rPr>
          <w:rFonts w:cs="Arial"/>
          <w:color w:val="232120"/>
        </w:rPr>
        <w:t>ensure</w:t>
      </w:r>
      <w:r>
        <w:rPr>
          <w:rFonts w:cs="Arial"/>
          <w:color w:val="232120"/>
        </w:rPr>
        <w:t>s</w:t>
      </w:r>
      <w:r w:rsidR="00463C22" w:rsidRPr="009B6CCF">
        <w:rPr>
          <w:rFonts w:cs="Arial"/>
          <w:color w:val="232120"/>
        </w:rPr>
        <w:t xml:space="preserve"> that the offences are punishable by effective, proportionate and dissuasive sanctions, taking into account their seriousness. </w:t>
      </w:r>
    </w:p>
    <w:p w14:paraId="44C8BBDE" w14:textId="77777777" w:rsidR="00B042B1" w:rsidRPr="00B042B1" w:rsidRDefault="00B042B1" w:rsidP="0087693B">
      <w:pPr>
        <w:pStyle w:val="ListParagraph"/>
        <w:spacing w:before="24" w:after="24"/>
        <w:rPr>
          <w:rFonts w:cs="Arial"/>
          <w:color w:val="232120"/>
        </w:rPr>
      </w:pPr>
    </w:p>
    <w:p w14:paraId="63DC0668" w14:textId="606AE41D" w:rsidR="009B6CCF" w:rsidRPr="00B042B1" w:rsidRDefault="00B042B1" w:rsidP="006363EA">
      <w:pPr>
        <w:pStyle w:val="ListParagraph"/>
        <w:numPr>
          <w:ilvl w:val="1"/>
          <w:numId w:val="7"/>
        </w:numPr>
        <w:shd w:val="clear" w:color="auto" w:fill="FFFFFF"/>
        <w:spacing w:before="24" w:after="24"/>
        <w:jc w:val="both"/>
        <w:rPr>
          <w:rFonts w:eastAsia="Times New Roman" w:cs="Arial"/>
          <w:color w:val="161616"/>
          <w:lang w:eastAsia="en-GB"/>
        </w:rPr>
      </w:pPr>
      <w:r>
        <w:rPr>
          <w:rFonts w:cs="Arial"/>
          <w:color w:val="232120"/>
        </w:rPr>
        <w:lastRenderedPageBreak/>
        <w:t xml:space="preserve">Article 48 of the </w:t>
      </w:r>
      <w:r w:rsidR="00C03C09">
        <w:rPr>
          <w:rFonts w:cs="Arial"/>
          <w:color w:val="232120"/>
        </w:rPr>
        <w:t xml:space="preserve">Istanbul </w:t>
      </w:r>
      <w:r>
        <w:rPr>
          <w:rFonts w:cs="Arial"/>
          <w:color w:val="232120"/>
        </w:rPr>
        <w:t xml:space="preserve">Convention </w:t>
      </w:r>
      <w:r w:rsidRPr="00B042B1">
        <w:rPr>
          <w:rFonts w:cs="Arial"/>
          <w:color w:val="232120"/>
        </w:rPr>
        <w:t>provides for the p</w:t>
      </w:r>
      <w:r w:rsidR="00463C22" w:rsidRPr="00B042B1">
        <w:rPr>
          <w:rFonts w:cs="Arial"/>
          <w:color w:val="232120"/>
        </w:rPr>
        <w:t>rohibition of mandatory alternative dispute resolution processes or sentencing</w:t>
      </w:r>
      <w:r w:rsidR="00C468FB">
        <w:rPr>
          <w:rFonts w:cs="Arial"/>
          <w:color w:val="232120"/>
        </w:rPr>
        <w:t>.</w:t>
      </w:r>
      <w:r w:rsidR="009B6CCF" w:rsidRPr="00B042B1">
        <w:rPr>
          <w:rFonts w:cs="Arial"/>
          <w:color w:val="232120"/>
        </w:rPr>
        <w:t xml:space="preserve"> </w:t>
      </w:r>
      <w:r w:rsidR="00463C22" w:rsidRPr="00B042B1">
        <w:rPr>
          <w:rFonts w:cs="Arial"/>
          <w:color w:val="232120"/>
        </w:rPr>
        <w:t>Parties shall take the necessary legislative or other measures to prohibit mandatory alternative dispute resolution processes, including mediation and conciliation, in relation to all forms of violence covered by the scope of this Convention.</w:t>
      </w:r>
    </w:p>
    <w:p w14:paraId="0AEEA258" w14:textId="77777777" w:rsidR="009B6CCF" w:rsidRPr="009B6CCF" w:rsidRDefault="009B6CCF" w:rsidP="0087693B">
      <w:pPr>
        <w:pStyle w:val="ListParagraph"/>
        <w:spacing w:before="24" w:after="24"/>
        <w:rPr>
          <w:rFonts w:cs="Arial"/>
          <w:color w:val="232120"/>
        </w:rPr>
      </w:pPr>
    </w:p>
    <w:p w14:paraId="79E0E162" w14:textId="69802404" w:rsidR="00C03C09" w:rsidRPr="00E82EEF" w:rsidRDefault="00B042B1" w:rsidP="006363EA">
      <w:pPr>
        <w:pStyle w:val="ListParagraph"/>
        <w:numPr>
          <w:ilvl w:val="1"/>
          <w:numId w:val="7"/>
        </w:numPr>
        <w:shd w:val="clear" w:color="auto" w:fill="FFFFFF"/>
        <w:spacing w:before="24" w:after="24"/>
        <w:jc w:val="both"/>
        <w:rPr>
          <w:rFonts w:cs="Arial"/>
          <w:color w:val="232120"/>
        </w:rPr>
      </w:pPr>
      <w:r>
        <w:rPr>
          <w:rFonts w:cs="Arial"/>
          <w:color w:val="232120"/>
        </w:rPr>
        <w:t xml:space="preserve">Article 49 of the </w:t>
      </w:r>
      <w:r w:rsidR="00C03C09">
        <w:rPr>
          <w:rFonts w:cs="Arial"/>
          <w:color w:val="232120"/>
        </w:rPr>
        <w:t xml:space="preserve">Istanbul </w:t>
      </w:r>
      <w:r>
        <w:rPr>
          <w:rFonts w:cs="Arial"/>
          <w:color w:val="232120"/>
        </w:rPr>
        <w:t xml:space="preserve">Convention provides that the </w:t>
      </w:r>
      <w:r w:rsidR="008805E8">
        <w:rPr>
          <w:rFonts w:cs="Arial"/>
          <w:color w:val="232120"/>
        </w:rPr>
        <w:t>S</w:t>
      </w:r>
      <w:r>
        <w:rPr>
          <w:rFonts w:cs="Arial"/>
          <w:color w:val="232120"/>
        </w:rPr>
        <w:t xml:space="preserve">tate should </w:t>
      </w:r>
      <w:r w:rsidR="00487AC2" w:rsidRPr="009B6CCF">
        <w:rPr>
          <w:rFonts w:cs="Arial"/>
          <w:color w:val="232120"/>
        </w:rPr>
        <w:t xml:space="preserve">take the necessary legislative or other measures, in conformity </w:t>
      </w:r>
      <w:r w:rsidR="00487AC2" w:rsidRPr="009B6CCF">
        <w:rPr>
          <w:rFonts w:cs="Arial"/>
        </w:rPr>
        <w:t>with the fundamental principles of human rights and having regard to the gendered understanding of violence, to ensure the effective investigation and prosecution of offences established in accordance with this Convention.</w:t>
      </w:r>
    </w:p>
    <w:p w14:paraId="0C705239" w14:textId="77777777" w:rsidR="00C03C09" w:rsidRPr="009B6CCF" w:rsidRDefault="00C03C09" w:rsidP="00E82EEF">
      <w:pPr>
        <w:pStyle w:val="ListParagraph"/>
        <w:shd w:val="clear" w:color="auto" w:fill="FFFFFF"/>
        <w:spacing w:before="24" w:after="24"/>
        <w:jc w:val="both"/>
        <w:rPr>
          <w:rFonts w:cs="Arial"/>
          <w:color w:val="232120"/>
        </w:rPr>
      </w:pPr>
    </w:p>
    <w:p w14:paraId="6D81C0D3" w14:textId="3243F416" w:rsidR="00EC0348" w:rsidRPr="00E82EEF" w:rsidRDefault="00C03C09" w:rsidP="006363EA">
      <w:pPr>
        <w:pStyle w:val="ListParagraph"/>
        <w:numPr>
          <w:ilvl w:val="1"/>
          <w:numId w:val="7"/>
        </w:numPr>
        <w:shd w:val="clear" w:color="auto" w:fill="FFFFFF"/>
        <w:spacing w:before="24" w:after="24"/>
        <w:jc w:val="both"/>
        <w:rPr>
          <w:rFonts w:cs="Arial"/>
          <w:b/>
        </w:rPr>
      </w:pPr>
      <w:r w:rsidRPr="00E82EEF">
        <w:rPr>
          <w:rFonts w:cs="Arial"/>
          <w:b/>
        </w:rPr>
        <w:t xml:space="preserve">The NIHRC recommends </w:t>
      </w:r>
      <w:r w:rsidR="008A5EF2" w:rsidRPr="00E82EEF">
        <w:rPr>
          <w:rFonts w:cs="Arial"/>
          <w:b/>
        </w:rPr>
        <w:t>that the proposed legislation should include an element that protects against gender</w:t>
      </w:r>
      <w:r w:rsidR="008A5EF2">
        <w:rPr>
          <w:rFonts w:cs="Arial"/>
          <w:b/>
        </w:rPr>
        <w:t>-</w:t>
      </w:r>
      <w:r w:rsidR="008A5EF2" w:rsidRPr="00E82EEF">
        <w:rPr>
          <w:rFonts w:cs="Arial"/>
          <w:b/>
        </w:rPr>
        <w:t xml:space="preserve">based violence, using </w:t>
      </w:r>
      <w:r w:rsidR="00355283">
        <w:rPr>
          <w:rFonts w:cs="Arial"/>
          <w:b/>
        </w:rPr>
        <w:t xml:space="preserve">the </w:t>
      </w:r>
      <w:r w:rsidR="008A5EF2" w:rsidRPr="00E82EEF">
        <w:rPr>
          <w:rFonts w:cs="Arial"/>
          <w:b/>
        </w:rPr>
        <w:t>UN CEDAW, UN CAT and Istanbul Convention as a guide.</w:t>
      </w:r>
    </w:p>
    <w:p w14:paraId="1B82F6D5" w14:textId="77777777" w:rsidR="00EC0348" w:rsidRDefault="00EC0348" w:rsidP="0087693B">
      <w:pPr>
        <w:pStyle w:val="BasicParagraph"/>
        <w:suppressAutoHyphens/>
        <w:spacing w:before="24" w:after="24"/>
        <w:rPr>
          <w:rFonts w:ascii="Verdana" w:hAnsi="Verdana" w:cs="Arial"/>
          <w:color w:val="auto"/>
        </w:rPr>
      </w:pPr>
    </w:p>
    <w:p w14:paraId="0A43FC2F" w14:textId="6BBD2CFA" w:rsidR="00E373A8" w:rsidRPr="000D1B4E" w:rsidRDefault="00693E79" w:rsidP="00804055">
      <w:pPr>
        <w:pStyle w:val="Heading1"/>
        <w:numPr>
          <w:ilvl w:val="0"/>
          <w:numId w:val="1"/>
        </w:numPr>
        <w:spacing w:before="24" w:after="24"/>
        <w:rPr>
          <w:rFonts w:cs="Arial"/>
        </w:rPr>
      </w:pPr>
      <w:bookmarkStart w:id="4" w:name="_Toc61268493"/>
      <w:r w:rsidRPr="000D1B4E">
        <w:t>A Parallel P</w:t>
      </w:r>
      <w:r w:rsidR="00E373A8" w:rsidRPr="000D1B4E">
        <w:t xml:space="preserve">rogramme </w:t>
      </w:r>
      <w:r w:rsidRPr="000D1B4E">
        <w:t>of E</w:t>
      </w:r>
      <w:r w:rsidR="00E373A8" w:rsidRPr="000D1B4E">
        <w:t>ducation</w:t>
      </w:r>
      <w:bookmarkEnd w:id="4"/>
    </w:p>
    <w:p w14:paraId="6D2E5064" w14:textId="77777777" w:rsidR="006A100A" w:rsidRDefault="006A100A" w:rsidP="0087693B">
      <w:pPr>
        <w:pStyle w:val="BasicParagraph"/>
        <w:suppressAutoHyphens/>
        <w:spacing w:before="24" w:after="24"/>
        <w:rPr>
          <w:rFonts w:ascii="Verdana" w:hAnsi="Verdana" w:cs="Arial"/>
          <w:color w:val="auto"/>
        </w:rPr>
      </w:pPr>
    </w:p>
    <w:p w14:paraId="24CF0ACF" w14:textId="6E0571DD" w:rsidR="00580CFD" w:rsidRDefault="00693E79" w:rsidP="00804055">
      <w:pPr>
        <w:pStyle w:val="BasicParagraph"/>
        <w:numPr>
          <w:ilvl w:val="1"/>
          <w:numId w:val="12"/>
        </w:numPr>
        <w:suppressAutoHyphens/>
        <w:spacing w:before="24" w:after="24"/>
        <w:rPr>
          <w:rFonts w:ascii="Verdana" w:hAnsi="Verdana" w:cs="Arial"/>
          <w:color w:val="auto"/>
        </w:rPr>
      </w:pPr>
      <w:r>
        <w:rPr>
          <w:rFonts w:ascii="Verdana" w:hAnsi="Verdana" w:cs="Arial"/>
          <w:color w:val="auto"/>
        </w:rPr>
        <w:t xml:space="preserve">The NIHRC </w:t>
      </w:r>
      <w:r w:rsidR="00B32960">
        <w:rPr>
          <w:rFonts w:ascii="Verdana" w:hAnsi="Verdana" w:cs="Arial"/>
          <w:color w:val="auto"/>
        </w:rPr>
        <w:t>support</w:t>
      </w:r>
      <w:r w:rsidR="008805E8">
        <w:rPr>
          <w:rFonts w:ascii="Verdana" w:hAnsi="Verdana" w:cs="Arial"/>
          <w:color w:val="auto"/>
        </w:rPr>
        <w:t>s</w:t>
      </w:r>
      <w:r w:rsidR="00B32960">
        <w:rPr>
          <w:rFonts w:ascii="Verdana" w:hAnsi="Verdana" w:cs="Arial"/>
          <w:color w:val="auto"/>
        </w:rPr>
        <w:t xml:space="preserve"> the Department</w:t>
      </w:r>
      <w:r w:rsidR="00940BE9">
        <w:rPr>
          <w:rFonts w:ascii="Verdana" w:hAnsi="Verdana" w:cs="Arial"/>
          <w:color w:val="auto"/>
        </w:rPr>
        <w:t xml:space="preserve"> of Justice</w:t>
      </w:r>
      <w:r w:rsidR="00B32960">
        <w:rPr>
          <w:rFonts w:ascii="Verdana" w:hAnsi="Verdana" w:cs="Arial"/>
          <w:color w:val="auto"/>
        </w:rPr>
        <w:t xml:space="preserve">’s inclusion of </w:t>
      </w:r>
      <w:r w:rsidR="00E373A8" w:rsidRPr="00E373A8">
        <w:rPr>
          <w:rFonts w:ascii="Verdana" w:hAnsi="Verdana" w:cs="Arial"/>
          <w:color w:val="auto"/>
        </w:rPr>
        <w:t>awareness</w:t>
      </w:r>
      <w:r w:rsidR="007B1109">
        <w:rPr>
          <w:rFonts w:ascii="Verdana" w:hAnsi="Verdana" w:cs="Arial"/>
          <w:color w:val="auto"/>
        </w:rPr>
        <w:t xml:space="preserve"> raising</w:t>
      </w:r>
      <w:r w:rsidR="00E373A8" w:rsidRPr="00E373A8">
        <w:rPr>
          <w:rFonts w:ascii="Verdana" w:hAnsi="Verdana" w:cs="Arial"/>
          <w:color w:val="auto"/>
        </w:rPr>
        <w:t xml:space="preserve"> </w:t>
      </w:r>
      <w:r w:rsidR="007B1109">
        <w:rPr>
          <w:rFonts w:ascii="Verdana" w:hAnsi="Verdana" w:cs="Arial"/>
          <w:color w:val="auto"/>
        </w:rPr>
        <w:t>of</w:t>
      </w:r>
      <w:r w:rsidR="00E373A8" w:rsidRPr="00E373A8">
        <w:rPr>
          <w:rFonts w:ascii="Verdana" w:hAnsi="Verdana" w:cs="Arial"/>
          <w:color w:val="auto"/>
        </w:rPr>
        <w:t xml:space="preserve"> the dangers of rough sex, </w:t>
      </w:r>
      <w:r w:rsidR="00B32960">
        <w:rPr>
          <w:rFonts w:ascii="Verdana" w:hAnsi="Verdana" w:cs="Arial"/>
          <w:color w:val="auto"/>
        </w:rPr>
        <w:t xml:space="preserve">and </w:t>
      </w:r>
      <w:r w:rsidR="00580CFD">
        <w:rPr>
          <w:rFonts w:ascii="Verdana" w:hAnsi="Verdana" w:cs="Arial"/>
          <w:color w:val="auto"/>
        </w:rPr>
        <w:t>the meaning of consent, a</w:t>
      </w:r>
      <w:r w:rsidR="00B32960" w:rsidRPr="00580CFD">
        <w:rPr>
          <w:rFonts w:ascii="Verdana" w:hAnsi="Verdana" w:cs="Arial"/>
          <w:color w:val="auto"/>
        </w:rPr>
        <w:t>s well as the inclusion of raising</w:t>
      </w:r>
      <w:r w:rsidR="00E373A8" w:rsidRPr="00580CFD">
        <w:rPr>
          <w:rFonts w:ascii="Verdana" w:hAnsi="Verdana" w:cs="Arial"/>
          <w:color w:val="auto"/>
        </w:rPr>
        <w:t xml:space="preserve"> awareness within the criminal justice system to recognise and deal appropriately with the issue </w:t>
      </w:r>
      <w:r w:rsidR="00B32960" w:rsidRPr="00580CFD">
        <w:rPr>
          <w:rFonts w:ascii="Verdana" w:hAnsi="Verdana" w:cs="Arial"/>
          <w:color w:val="auto"/>
        </w:rPr>
        <w:t xml:space="preserve">when a victim makes a complaint. </w:t>
      </w:r>
    </w:p>
    <w:p w14:paraId="35DE720E" w14:textId="77777777" w:rsidR="00580CFD" w:rsidRDefault="00580CFD" w:rsidP="0087693B">
      <w:pPr>
        <w:pStyle w:val="BasicParagraph"/>
        <w:suppressAutoHyphens/>
        <w:spacing w:before="24" w:after="24"/>
        <w:ind w:left="720"/>
        <w:rPr>
          <w:rFonts w:ascii="Verdana" w:hAnsi="Verdana" w:cs="Arial"/>
          <w:color w:val="auto"/>
        </w:rPr>
      </w:pPr>
    </w:p>
    <w:p w14:paraId="77F4E83D" w14:textId="78F0CD9C" w:rsidR="006232D8" w:rsidRPr="00795423" w:rsidRDefault="00580CFD" w:rsidP="00804055">
      <w:pPr>
        <w:pStyle w:val="BasicParagraph"/>
        <w:numPr>
          <w:ilvl w:val="1"/>
          <w:numId w:val="12"/>
        </w:numPr>
        <w:suppressAutoHyphens/>
        <w:spacing w:before="24" w:after="24"/>
        <w:rPr>
          <w:rFonts w:ascii="Verdana" w:hAnsi="Verdana" w:cs="Arial"/>
          <w:color w:val="auto"/>
        </w:rPr>
      </w:pPr>
      <w:r w:rsidRPr="00580CFD">
        <w:rPr>
          <w:rFonts w:ascii="Verdana" w:hAnsi="Verdana" w:cs="Arial"/>
          <w:color w:val="auto"/>
        </w:rPr>
        <w:t>The UN CAT Committee</w:t>
      </w:r>
      <w:r w:rsidR="00355283">
        <w:rPr>
          <w:rFonts w:ascii="Verdana" w:hAnsi="Verdana" w:cs="Arial"/>
          <w:color w:val="auto"/>
        </w:rPr>
        <w:t>,</w:t>
      </w:r>
      <w:r w:rsidRPr="00580CFD">
        <w:rPr>
          <w:rFonts w:ascii="Verdana" w:hAnsi="Verdana" w:cs="Arial"/>
          <w:color w:val="auto"/>
        </w:rPr>
        <w:t xml:space="preserve"> in its 2019 Concluding Observations</w:t>
      </w:r>
      <w:r w:rsidR="00355283">
        <w:rPr>
          <w:rFonts w:ascii="Verdana" w:hAnsi="Verdana" w:cs="Arial"/>
          <w:color w:val="auto"/>
        </w:rPr>
        <w:t>,</w:t>
      </w:r>
      <w:r w:rsidRPr="00580CFD">
        <w:rPr>
          <w:rFonts w:ascii="Verdana" w:hAnsi="Verdana" w:cs="Arial"/>
          <w:color w:val="auto"/>
        </w:rPr>
        <w:t xml:space="preserve"> made specific reference to the need for training </w:t>
      </w:r>
      <w:r w:rsidR="007B1109">
        <w:rPr>
          <w:rFonts w:ascii="Verdana" w:hAnsi="Verdana" w:cs="Arial"/>
          <w:color w:val="auto"/>
        </w:rPr>
        <w:t xml:space="preserve">on </w:t>
      </w:r>
      <w:r w:rsidRPr="00580CFD">
        <w:rPr>
          <w:rFonts w:ascii="Verdana" w:hAnsi="Verdana" w:cs="Arial"/>
          <w:color w:val="auto"/>
        </w:rPr>
        <w:t>domestic violence and gender based violence</w:t>
      </w:r>
      <w:r w:rsidR="00355283">
        <w:rPr>
          <w:rFonts w:ascii="Verdana" w:hAnsi="Verdana" w:cs="Arial"/>
          <w:color w:val="auto"/>
        </w:rPr>
        <w:t xml:space="preserve">. It recommended that </w:t>
      </w:r>
      <w:r w:rsidRPr="00580CFD">
        <w:rPr>
          <w:rFonts w:ascii="Verdana" w:hAnsi="Verdana" w:cs="Arial"/>
          <w:color w:val="auto"/>
        </w:rPr>
        <w:t xml:space="preserve">the </w:t>
      </w:r>
      <w:r w:rsidR="00795423">
        <w:rPr>
          <w:rFonts w:ascii="Verdana" w:hAnsi="Verdana" w:cs="Arial"/>
          <w:color w:val="auto"/>
        </w:rPr>
        <w:t xml:space="preserve">UK Government should </w:t>
      </w:r>
      <w:r w:rsidR="00795423" w:rsidRPr="00795423">
        <w:rPr>
          <w:rFonts w:ascii="Verdana" w:hAnsi="Verdana" w:cs="Arial"/>
          <w:color w:val="auto"/>
        </w:rPr>
        <w:t>“p</w:t>
      </w:r>
      <w:r w:rsidRPr="00795423">
        <w:rPr>
          <w:rFonts w:ascii="Verdana" w:hAnsi="Verdana"/>
        </w:rPr>
        <w:t>rovide mandatory training on the prosecution of gender-based violence to all justice officials and law enforcement personnel and continue awareness-raising campaigns on all forms of violence against women</w:t>
      </w:r>
      <w:r w:rsidR="00795423" w:rsidRPr="00795423">
        <w:rPr>
          <w:rFonts w:ascii="Verdana" w:hAnsi="Verdana"/>
        </w:rPr>
        <w:t>"</w:t>
      </w:r>
      <w:r w:rsidRPr="00795423">
        <w:rPr>
          <w:rFonts w:ascii="Verdana" w:hAnsi="Verdana"/>
        </w:rPr>
        <w:t>.</w:t>
      </w:r>
      <w:r w:rsidRPr="00795423">
        <w:rPr>
          <w:rStyle w:val="FootnoteReference"/>
          <w:rFonts w:ascii="Verdana" w:hAnsi="Verdana"/>
        </w:rPr>
        <w:footnoteReference w:id="51"/>
      </w:r>
    </w:p>
    <w:p w14:paraId="097E6C11" w14:textId="77777777" w:rsidR="006232D8" w:rsidRPr="006232D8" w:rsidRDefault="006232D8" w:rsidP="0087693B">
      <w:pPr>
        <w:spacing w:before="24" w:after="24"/>
      </w:pPr>
    </w:p>
    <w:p w14:paraId="52047E0C" w14:textId="14E79722" w:rsidR="008D3BD8" w:rsidRDefault="0053135F" w:rsidP="00804055">
      <w:pPr>
        <w:pStyle w:val="ListParagraph"/>
        <w:numPr>
          <w:ilvl w:val="1"/>
          <w:numId w:val="12"/>
        </w:numPr>
        <w:spacing w:before="24" w:after="24"/>
      </w:pPr>
      <w:r>
        <w:t xml:space="preserve">The </w:t>
      </w:r>
      <w:r w:rsidR="008D3BD8">
        <w:t>UN CEDAW</w:t>
      </w:r>
      <w:r w:rsidR="00A06388">
        <w:t xml:space="preserve"> Committee</w:t>
      </w:r>
      <w:r w:rsidR="008D3BD8">
        <w:t xml:space="preserve"> </w:t>
      </w:r>
      <w:r>
        <w:t xml:space="preserve">within its </w:t>
      </w:r>
      <w:r w:rsidR="00795423">
        <w:t>G</w:t>
      </w:r>
      <w:r w:rsidR="008D3BD8">
        <w:t>eneral</w:t>
      </w:r>
      <w:r w:rsidRPr="0053135F">
        <w:t xml:space="preserve"> </w:t>
      </w:r>
      <w:r w:rsidR="00795423">
        <w:t>R</w:t>
      </w:r>
      <w:r>
        <w:t xml:space="preserve">ecommendation No 35 on gender-based violence </w:t>
      </w:r>
      <w:r w:rsidR="00A06388">
        <w:t>against women, regarding preventative</w:t>
      </w:r>
      <w:r w:rsidR="0011778F">
        <w:t xml:space="preserve"> measures</w:t>
      </w:r>
      <w:r w:rsidR="00355283">
        <w:t>,</w:t>
      </w:r>
      <w:r w:rsidR="00A06388">
        <w:t xml:space="preserve"> </w:t>
      </w:r>
      <w:r w:rsidR="000554E2">
        <w:t xml:space="preserve">recommended </w:t>
      </w:r>
      <w:r w:rsidR="00795423">
        <w:t>that S</w:t>
      </w:r>
      <w:r w:rsidR="00A06388">
        <w:t xml:space="preserve">tates should </w:t>
      </w:r>
      <w:r w:rsidR="008D3BD8">
        <w:t>“p</w:t>
      </w:r>
      <w:r w:rsidR="008D3BD8" w:rsidRPr="000F7343">
        <w:t xml:space="preserve">rovide mandatory, recurrent and </w:t>
      </w:r>
      <w:r w:rsidR="008D3BD8" w:rsidRPr="000F7343">
        <w:lastRenderedPageBreak/>
        <w:t>effective capacity-building, education and training for members of the judiciary, lawye</w:t>
      </w:r>
      <w:r w:rsidR="008D3BD8">
        <w:t>rs and law enforcement officers”</w:t>
      </w:r>
      <w:r w:rsidR="008D3BD8" w:rsidRPr="000F7343">
        <w:t>.</w:t>
      </w:r>
      <w:r w:rsidR="008D3BD8">
        <w:rPr>
          <w:rStyle w:val="FootnoteReference"/>
        </w:rPr>
        <w:footnoteReference w:id="52"/>
      </w:r>
    </w:p>
    <w:p w14:paraId="4047B868" w14:textId="77777777" w:rsidR="00043CF4" w:rsidRDefault="00043CF4" w:rsidP="00E82EEF"/>
    <w:p w14:paraId="66B34F70" w14:textId="6E8AEC3B" w:rsidR="00043CF4" w:rsidRDefault="00043CF4" w:rsidP="00804055">
      <w:pPr>
        <w:pStyle w:val="ListParagraph"/>
        <w:numPr>
          <w:ilvl w:val="1"/>
          <w:numId w:val="12"/>
        </w:numPr>
        <w:spacing w:before="24" w:after="24"/>
      </w:pPr>
      <w:r>
        <w:t>The Gillen R</w:t>
      </w:r>
      <w:r w:rsidRPr="00043CF4">
        <w:t xml:space="preserve">eview </w:t>
      </w:r>
      <w:r>
        <w:t xml:space="preserve">Report also made </w:t>
      </w:r>
      <w:r w:rsidRPr="00043CF4">
        <w:t xml:space="preserve">recommendations </w:t>
      </w:r>
      <w:r w:rsidR="00355283">
        <w:t xml:space="preserve">concerning </w:t>
      </w:r>
      <w:r>
        <w:t>trainin</w:t>
      </w:r>
      <w:r w:rsidR="00521570">
        <w:t>g</w:t>
      </w:r>
      <w:r>
        <w:t xml:space="preserve"> and education. </w:t>
      </w:r>
      <w:r w:rsidRPr="00043CF4">
        <w:t>Recommendation 4 of the Gillen Review Report states</w:t>
      </w:r>
      <w:r w:rsidR="00355283">
        <w:t xml:space="preserve"> that</w:t>
      </w:r>
      <w:r w:rsidRPr="00043CF4">
        <w:t xml:space="preserve"> “measures should be introduced at the outset of the trial to combat rape myths for example, jury educational material, a short video and written judicial directions. In the wider context</w:t>
      </w:r>
      <w:r w:rsidR="00CF3450">
        <w:t>,</w:t>
      </w:r>
      <w:r w:rsidRPr="00043CF4">
        <w:t xml:space="preserve"> there is a need for an extensive public awareness and school education campaign”.</w:t>
      </w:r>
      <w:r>
        <w:rPr>
          <w:rStyle w:val="FootnoteReference"/>
        </w:rPr>
        <w:footnoteReference w:id="53"/>
      </w:r>
    </w:p>
    <w:p w14:paraId="580A2A7F" w14:textId="1590FE12" w:rsidR="003B7D0E" w:rsidRDefault="003B7D0E" w:rsidP="00E82EEF">
      <w:pPr>
        <w:pStyle w:val="ListParagraph"/>
        <w:spacing w:before="24" w:after="24"/>
      </w:pPr>
    </w:p>
    <w:p w14:paraId="0664075E" w14:textId="0F18297B" w:rsidR="00043CF4" w:rsidRDefault="005F395E" w:rsidP="00804055">
      <w:pPr>
        <w:pStyle w:val="ListParagraph"/>
        <w:numPr>
          <w:ilvl w:val="1"/>
          <w:numId w:val="12"/>
        </w:numPr>
        <w:spacing w:before="24" w:after="24"/>
      </w:pPr>
      <w:r>
        <w:t>E</w:t>
      </w:r>
      <w:r w:rsidR="00043CF4" w:rsidRPr="00E82EEF">
        <w:t xml:space="preserve">ducation </w:t>
      </w:r>
      <w:r>
        <w:t xml:space="preserve">on healthy relationships </w:t>
      </w:r>
      <w:r w:rsidR="00043CF4" w:rsidRPr="00E82EEF">
        <w:t xml:space="preserve">and prevention </w:t>
      </w:r>
      <w:r>
        <w:t>of gender-based violence requires a cross-departmental approach</w:t>
      </w:r>
      <w:r w:rsidR="00043CF4">
        <w:t>. The UN</w:t>
      </w:r>
      <w:r w:rsidR="00355283">
        <w:t xml:space="preserve"> </w:t>
      </w:r>
      <w:r w:rsidR="00043CF4">
        <w:t xml:space="preserve">CEDAW Committee has made several recommendations on mandatory, standardised reproductive and sexual education in NI. In </w:t>
      </w:r>
      <w:r w:rsidR="00355283">
        <w:t xml:space="preserve">its </w:t>
      </w:r>
      <w:r w:rsidR="00043CF4">
        <w:t xml:space="preserve">2019 </w:t>
      </w:r>
      <w:r w:rsidR="00355283">
        <w:t>c</w:t>
      </w:r>
      <w:r w:rsidR="00043CF4">
        <w:t xml:space="preserve">oncluding observations </w:t>
      </w:r>
      <w:r w:rsidR="00355283">
        <w:t>,</w:t>
      </w:r>
      <w:r w:rsidR="00043CF4">
        <w:t xml:space="preserve">the UN CEDAW Committee recommended the UK </w:t>
      </w:r>
      <w:r w:rsidR="00355283">
        <w:t xml:space="preserve">Government </w:t>
      </w:r>
      <w:r w:rsidR="00043CF4">
        <w:t xml:space="preserve">and NI </w:t>
      </w:r>
      <w:r w:rsidR="00355283">
        <w:t>Executive</w:t>
      </w:r>
      <w:r w:rsidR="00134B6B">
        <w:t xml:space="preserve"> </w:t>
      </w:r>
      <w:r w:rsidR="00043CF4">
        <w:t xml:space="preserve">to: </w:t>
      </w:r>
    </w:p>
    <w:p w14:paraId="1FF95652" w14:textId="77777777" w:rsidR="00043CF4" w:rsidRDefault="00043CF4" w:rsidP="00E82EEF">
      <w:pPr>
        <w:pStyle w:val="ListParagraph"/>
        <w:spacing w:before="24" w:after="24"/>
      </w:pPr>
    </w:p>
    <w:p w14:paraId="49C36BCD" w14:textId="1C54D13F" w:rsidR="00043CF4" w:rsidRPr="00E82EEF" w:rsidRDefault="00355283" w:rsidP="00E82EEF">
      <w:pPr>
        <w:pStyle w:val="Quote"/>
        <w:spacing w:before="24" w:after="24"/>
      </w:pPr>
      <w:r>
        <w:t>t</w:t>
      </w:r>
      <w:r w:rsidR="00043CF4" w:rsidRPr="00043CF4">
        <w:t xml:space="preserve">ake measures to introduce into school curricula mandatory, age </w:t>
      </w:r>
      <w:r w:rsidR="00043CF4" w:rsidRPr="00043CF4">
        <w:rPr>
          <w:rFonts w:ascii="Cambria Math" w:hAnsi="Cambria Math" w:cs="Cambria Math"/>
        </w:rPr>
        <w:t>‑</w:t>
      </w:r>
      <w:r w:rsidR="00043CF4" w:rsidRPr="00043CF4">
        <w:t xml:space="preserve"> appropriate education on sexual and reproductive rights, including issues such as gender relations and responsible sexual behaviour, throughout the State party</w:t>
      </w:r>
      <w:r w:rsidR="00043CF4">
        <w:t>.</w:t>
      </w:r>
      <w:r w:rsidR="00043CF4">
        <w:rPr>
          <w:rStyle w:val="FootnoteReference"/>
        </w:rPr>
        <w:footnoteReference w:id="54"/>
      </w:r>
    </w:p>
    <w:p w14:paraId="18134B52" w14:textId="77777777" w:rsidR="00043CF4" w:rsidRDefault="00043CF4" w:rsidP="00E82EEF">
      <w:pPr>
        <w:rPr>
          <w:rFonts w:ascii="Verdana" w:hAnsi="Verdana" w:cs="Times New Roman"/>
        </w:rPr>
      </w:pPr>
    </w:p>
    <w:p w14:paraId="51CCB329" w14:textId="4A787808" w:rsidR="00043CF4" w:rsidRPr="00E82EEF" w:rsidRDefault="00521570" w:rsidP="00804055">
      <w:pPr>
        <w:pStyle w:val="ListParagraph"/>
        <w:numPr>
          <w:ilvl w:val="1"/>
          <w:numId w:val="12"/>
        </w:numPr>
      </w:pPr>
      <w:r>
        <w:t xml:space="preserve">Within the </w:t>
      </w:r>
      <w:r w:rsidR="00043CF4" w:rsidRPr="00E82EEF">
        <w:t>UN CEDAW Committee</w:t>
      </w:r>
      <w:r>
        <w:t xml:space="preserve">’s Inquiry Report into abortion in NI </w:t>
      </w:r>
      <w:r w:rsidR="00355283">
        <w:t>it</w:t>
      </w:r>
      <w:r>
        <w:t xml:space="preserve"> recommended </w:t>
      </w:r>
      <w:r w:rsidR="00355283">
        <w:t xml:space="preserve">that </w:t>
      </w:r>
      <w:r>
        <w:t xml:space="preserve">the </w:t>
      </w:r>
      <w:r w:rsidR="005F395E" w:rsidRPr="005F395E">
        <w:t>NI Executive urgently</w:t>
      </w:r>
      <w:r w:rsidR="00043CF4" w:rsidRPr="00E82EEF">
        <w:t>:</w:t>
      </w:r>
    </w:p>
    <w:p w14:paraId="159B6F9E" w14:textId="77777777" w:rsidR="0087693B" w:rsidRPr="006232D8" w:rsidRDefault="0087693B" w:rsidP="00E82EEF">
      <w:pPr>
        <w:pStyle w:val="ListParagraph"/>
      </w:pPr>
    </w:p>
    <w:p w14:paraId="7750C657" w14:textId="68072B5B" w:rsidR="00043CF4" w:rsidRPr="00043CF4" w:rsidRDefault="006232D8">
      <w:pPr>
        <w:pStyle w:val="Quote"/>
        <w:spacing w:before="24" w:after="24"/>
      </w:pPr>
      <w:r w:rsidRPr="006232D8">
        <w:t xml:space="preserve">make age-appropriate, comprehensive and scientifically accurate education on sexual and reproductive health and rights a compulsory component of curriculum for adolescents, covering prevention of early pregnancy and access to abortion, </w:t>
      </w:r>
      <w:r w:rsidR="008E26E9">
        <w:t>and monitor its implementation.</w:t>
      </w:r>
      <w:r w:rsidR="008E26E9">
        <w:rPr>
          <w:rStyle w:val="FootnoteReference"/>
        </w:rPr>
        <w:footnoteReference w:id="55"/>
      </w:r>
    </w:p>
    <w:p w14:paraId="6AEC78A4" w14:textId="77777777" w:rsidR="00580CFD" w:rsidRDefault="00580CFD" w:rsidP="00E82EEF">
      <w:pPr>
        <w:spacing w:before="24" w:after="24"/>
      </w:pPr>
    </w:p>
    <w:p w14:paraId="4145D5BB" w14:textId="521F1D29" w:rsidR="00043CF4" w:rsidRPr="00E82EEF" w:rsidRDefault="00521570" w:rsidP="00804055">
      <w:pPr>
        <w:pStyle w:val="ListParagraph"/>
        <w:numPr>
          <w:ilvl w:val="1"/>
          <w:numId w:val="12"/>
        </w:numPr>
        <w:spacing w:before="24" w:after="24"/>
      </w:pPr>
      <w:r w:rsidRPr="00521570">
        <w:t xml:space="preserve">The NI (Executive Formation etc) Act 2019 committed the UK Government </w:t>
      </w:r>
      <w:r w:rsidR="00355283">
        <w:t>implementing</w:t>
      </w:r>
      <w:r w:rsidRPr="00521570">
        <w:t xml:space="preserve"> the UN CEDAW Committee’s </w:t>
      </w:r>
      <w:r w:rsidR="00355283">
        <w:t xml:space="preserve">inquiry report </w:t>
      </w:r>
      <w:r w:rsidRPr="00521570">
        <w:t xml:space="preserve">recommendations </w:t>
      </w:r>
      <w:r w:rsidR="00355283">
        <w:t xml:space="preserve">on reproductive healthcare education </w:t>
      </w:r>
      <w:r>
        <w:t xml:space="preserve">in NI. However, the NIHRC </w:t>
      </w:r>
      <w:r>
        <w:lastRenderedPageBreak/>
        <w:t xml:space="preserve">understands that no </w:t>
      </w:r>
      <w:r w:rsidR="00355283">
        <w:t xml:space="preserve">specific </w:t>
      </w:r>
      <w:r>
        <w:t>action has been taken to implement this recommendation.</w:t>
      </w:r>
    </w:p>
    <w:p w14:paraId="75123C73" w14:textId="77777777" w:rsidR="00043CF4" w:rsidRDefault="00043CF4" w:rsidP="00E82EEF">
      <w:pPr>
        <w:pStyle w:val="ListParagraph"/>
        <w:spacing w:before="24" w:after="24"/>
        <w:rPr>
          <w:b/>
        </w:rPr>
      </w:pPr>
    </w:p>
    <w:p w14:paraId="0CDD29FC" w14:textId="5C7B4F72" w:rsidR="00580CFD" w:rsidRDefault="00580CFD" w:rsidP="00804055">
      <w:pPr>
        <w:pStyle w:val="ListParagraph"/>
        <w:numPr>
          <w:ilvl w:val="1"/>
          <w:numId w:val="12"/>
        </w:numPr>
        <w:spacing w:before="24" w:after="24"/>
        <w:rPr>
          <w:b/>
        </w:rPr>
      </w:pPr>
      <w:r w:rsidRPr="00580CFD">
        <w:rPr>
          <w:b/>
        </w:rPr>
        <w:t>The NIHRC recommends that the Department</w:t>
      </w:r>
      <w:r w:rsidR="00940BE9">
        <w:rPr>
          <w:b/>
        </w:rPr>
        <w:t xml:space="preserve"> of Justice</w:t>
      </w:r>
      <w:r w:rsidRPr="00580CFD">
        <w:rPr>
          <w:b/>
        </w:rPr>
        <w:t xml:space="preserve"> </w:t>
      </w:r>
      <w:r w:rsidR="00355283">
        <w:rPr>
          <w:b/>
        </w:rPr>
        <w:t xml:space="preserve">works with the Department of Education to </w:t>
      </w:r>
      <w:r w:rsidRPr="00580CFD">
        <w:rPr>
          <w:b/>
        </w:rPr>
        <w:t>provide a parallel programme for education</w:t>
      </w:r>
      <w:r w:rsidR="00866AB4">
        <w:rPr>
          <w:b/>
        </w:rPr>
        <w:t xml:space="preserve"> alongside the legislation</w:t>
      </w:r>
      <w:r w:rsidR="000D1B4E">
        <w:rPr>
          <w:b/>
        </w:rPr>
        <w:t xml:space="preserve">. The NIHRC recommends that the programme for education specifically references human rights standards and considers </w:t>
      </w:r>
      <w:r w:rsidR="00C9454D">
        <w:rPr>
          <w:b/>
        </w:rPr>
        <w:t xml:space="preserve">recommendations of </w:t>
      </w:r>
      <w:r w:rsidR="00355283">
        <w:rPr>
          <w:b/>
        </w:rPr>
        <w:t xml:space="preserve">the </w:t>
      </w:r>
      <w:r w:rsidR="0022630A">
        <w:rPr>
          <w:b/>
        </w:rPr>
        <w:t>UN CEDAW</w:t>
      </w:r>
      <w:r w:rsidR="00355283">
        <w:rPr>
          <w:b/>
        </w:rPr>
        <w:t xml:space="preserve"> Committee and Gillen Review</w:t>
      </w:r>
      <w:r w:rsidR="0022630A">
        <w:rPr>
          <w:b/>
        </w:rPr>
        <w:t xml:space="preserve">. </w:t>
      </w:r>
    </w:p>
    <w:p w14:paraId="1BA06C82" w14:textId="77777777" w:rsidR="00C9454D" w:rsidRDefault="00C9454D" w:rsidP="0087693B">
      <w:pPr>
        <w:pStyle w:val="ListParagraph"/>
        <w:spacing w:before="24" w:after="24"/>
        <w:rPr>
          <w:b/>
        </w:rPr>
      </w:pPr>
    </w:p>
    <w:p w14:paraId="746F8766" w14:textId="6F00F6B7" w:rsidR="00C9454D" w:rsidRDefault="00C9454D" w:rsidP="00804055">
      <w:pPr>
        <w:pStyle w:val="ListParagraph"/>
        <w:numPr>
          <w:ilvl w:val="1"/>
          <w:numId w:val="12"/>
        </w:numPr>
        <w:spacing w:before="24" w:after="24"/>
        <w:rPr>
          <w:b/>
        </w:rPr>
      </w:pPr>
      <w:r>
        <w:rPr>
          <w:b/>
        </w:rPr>
        <w:t xml:space="preserve">The NIHRC continues to call on the UK </w:t>
      </w:r>
      <w:r w:rsidR="00355283">
        <w:rPr>
          <w:b/>
        </w:rPr>
        <w:t>G</w:t>
      </w:r>
      <w:r>
        <w:rPr>
          <w:b/>
        </w:rPr>
        <w:t xml:space="preserve">overnment and NI </w:t>
      </w:r>
      <w:r w:rsidR="0087693B">
        <w:rPr>
          <w:b/>
        </w:rPr>
        <w:t>Executive</w:t>
      </w:r>
      <w:r w:rsidR="00940BE9">
        <w:rPr>
          <w:b/>
        </w:rPr>
        <w:t xml:space="preserve"> to fulfil their</w:t>
      </w:r>
      <w:r>
        <w:rPr>
          <w:b/>
        </w:rPr>
        <w:t xml:space="preserve"> obligations </w:t>
      </w:r>
      <w:r w:rsidR="005660C9">
        <w:rPr>
          <w:b/>
        </w:rPr>
        <w:t xml:space="preserve">outlined in the NI </w:t>
      </w:r>
      <w:r w:rsidR="00355283">
        <w:rPr>
          <w:b/>
        </w:rPr>
        <w:t>(</w:t>
      </w:r>
      <w:r w:rsidR="005660C9">
        <w:rPr>
          <w:b/>
        </w:rPr>
        <w:t xml:space="preserve">Executive </w:t>
      </w:r>
      <w:r w:rsidR="00355283">
        <w:rPr>
          <w:b/>
        </w:rPr>
        <w:t xml:space="preserve">Formation etc) </w:t>
      </w:r>
      <w:r w:rsidR="005660C9">
        <w:rPr>
          <w:b/>
        </w:rPr>
        <w:t>Act</w:t>
      </w:r>
      <w:r w:rsidR="00355283">
        <w:rPr>
          <w:b/>
        </w:rPr>
        <w:t xml:space="preserve"> 2019</w:t>
      </w:r>
      <w:r w:rsidR="005660C9">
        <w:rPr>
          <w:b/>
        </w:rPr>
        <w:t xml:space="preserve">. </w:t>
      </w:r>
      <w:r w:rsidR="00731D0D">
        <w:rPr>
          <w:b/>
        </w:rPr>
        <w:t xml:space="preserve">The NIHRC continues to recommend the </w:t>
      </w:r>
      <w:r w:rsidR="00731D0D" w:rsidRPr="00731D0D">
        <w:rPr>
          <w:b/>
        </w:rPr>
        <w:t>introduc</w:t>
      </w:r>
      <w:r w:rsidR="00731D0D">
        <w:rPr>
          <w:b/>
        </w:rPr>
        <w:t>tion</w:t>
      </w:r>
      <w:r w:rsidR="00731D0D" w:rsidRPr="00731D0D">
        <w:rPr>
          <w:b/>
        </w:rPr>
        <w:t xml:space="preserve"> age appropriate and scientifically based reproductive and sexual health education that addresses the meaning of consent, healthy relationships and prevention of gender based violence. This will require cr</w:t>
      </w:r>
      <w:r w:rsidR="00731D0D">
        <w:rPr>
          <w:b/>
        </w:rPr>
        <w:t>oss departmental collaboration.</w:t>
      </w:r>
    </w:p>
    <w:p w14:paraId="75AA3B87" w14:textId="77777777" w:rsidR="00580CFD" w:rsidRDefault="00580CFD" w:rsidP="0087693B">
      <w:pPr>
        <w:spacing w:before="24" w:after="24"/>
        <w:rPr>
          <w:rFonts w:ascii="Verdana" w:eastAsia="MS Mincho" w:hAnsi="Verdana" w:cs="Times New Roman"/>
          <w:b/>
        </w:rPr>
      </w:pPr>
    </w:p>
    <w:p w14:paraId="1EBAA467" w14:textId="77777777" w:rsidR="008D3BD8" w:rsidRPr="008D3BD8" w:rsidRDefault="008D3BD8" w:rsidP="0087693B">
      <w:pPr>
        <w:spacing w:before="24" w:after="24"/>
        <w:rPr>
          <w:b/>
        </w:rPr>
      </w:pPr>
    </w:p>
    <w:p w14:paraId="7941CEB8" w14:textId="32DB4C92" w:rsidR="006E414C" w:rsidRDefault="006E414C" w:rsidP="006363EA">
      <w:pPr>
        <w:pStyle w:val="Heading1"/>
        <w:numPr>
          <w:ilvl w:val="0"/>
          <w:numId w:val="5"/>
        </w:numPr>
        <w:spacing w:before="24" w:after="24"/>
      </w:pPr>
      <w:bookmarkStart w:id="5" w:name="_Toc61268494"/>
      <w:r>
        <w:t>Additional Considerations</w:t>
      </w:r>
      <w:bookmarkEnd w:id="5"/>
      <w:r>
        <w:t xml:space="preserve"> </w:t>
      </w:r>
    </w:p>
    <w:p w14:paraId="6CA457BC" w14:textId="77777777" w:rsidR="006E414C" w:rsidRPr="006E414C" w:rsidRDefault="006E414C" w:rsidP="0087693B">
      <w:pPr>
        <w:spacing w:before="24" w:after="24"/>
      </w:pPr>
    </w:p>
    <w:p w14:paraId="77C6C0E7" w14:textId="77777777" w:rsidR="006E414C" w:rsidRPr="006E414C" w:rsidRDefault="006E414C" w:rsidP="0087693B">
      <w:pPr>
        <w:pStyle w:val="Heading2"/>
        <w:spacing w:before="24" w:after="24"/>
      </w:pPr>
      <w:bookmarkStart w:id="6" w:name="_Toc61268495"/>
      <w:r w:rsidRPr="006E414C">
        <w:t>Non-fatal strangulation</w:t>
      </w:r>
      <w:bookmarkEnd w:id="6"/>
      <w:r w:rsidRPr="006E414C">
        <w:t xml:space="preserve"> </w:t>
      </w:r>
    </w:p>
    <w:p w14:paraId="1EE356A1" w14:textId="77777777" w:rsidR="006E414C" w:rsidRPr="006E414C" w:rsidRDefault="006E414C" w:rsidP="0087693B">
      <w:pPr>
        <w:pStyle w:val="BasicParagraph"/>
        <w:spacing w:before="24" w:after="24"/>
        <w:rPr>
          <w:rFonts w:ascii="Verdana" w:hAnsi="Verdana" w:cs="Arial"/>
          <w:color w:val="auto"/>
        </w:rPr>
      </w:pPr>
    </w:p>
    <w:p w14:paraId="253EBC25" w14:textId="34E06F12" w:rsidR="00C03C09" w:rsidRDefault="006E414C" w:rsidP="006363EA">
      <w:pPr>
        <w:pStyle w:val="BasicParagraph"/>
        <w:numPr>
          <w:ilvl w:val="1"/>
          <w:numId w:val="5"/>
        </w:numPr>
        <w:spacing w:before="24" w:after="24"/>
        <w:rPr>
          <w:rFonts w:ascii="Verdana" w:hAnsi="Verdana" w:cs="Arial"/>
        </w:rPr>
      </w:pPr>
      <w:r w:rsidRPr="006E414C">
        <w:rPr>
          <w:rFonts w:ascii="Verdana" w:hAnsi="Verdana" w:cs="Arial"/>
          <w:color w:val="auto"/>
        </w:rPr>
        <w:t xml:space="preserve">The offence of choking, suffocation or strangulation is </w:t>
      </w:r>
      <w:r w:rsidR="00795423">
        <w:rPr>
          <w:rFonts w:ascii="Verdana" w:hAnsi="Verdana" w:cs="Arial"/>
          <w:color w:val="auto"/>
        </w:rPr>
        <w:t>legislated for</w:t>
      </w:r>
      <w:r w:rsidR="00795423" w:rsidRPr="006E414C">
        <w:rPr>
          <w:rFonts w:ascii="Verdana" w:hAnsi="Verdana" w:cs="Arial"/>
          <w:color w:val="auto"/>
        </w:rPr>
        <w:t xml:space="preserve"> </w:t>
      </w:r>
      <w:r w:rsidRPr="006E414C">
        <w:rPr>
          <w:rFonts w:ascii="Verdana" w:hAnsi="Verdana" w:cs="Arial"/>
          <w:color w:val="auto"/>
        </w:rPr>
        <w:t xml:space="preserve">in the Offences </w:t>
      </w:r>
      <w:r w:rsidR="00866AB4" w:rsidRPr="006E414C">
        <w:rPr>
          <w:rFonts w:ascii="Verdana" w:hAnsi="Verdana" w:cs="Arial"/>
          <w:color w:val="auto"/>
        </w:rPr>
        <w:t>against</w:t>
      </w:r>
      <w:r w:rsidRPr="006E414C">
        <w:rPr>
          <w:rFonts w:ascii="Verdana" w:hAnsi="Verdana" w:cs="Arial"/>
          <w:color w:val="auto"/>
        </w:rPr>
        <w:t xml:space="preserve"> the Person Act 1861. It can only be tried in the Crown Court and carries a maximum penalty of a life sentence. A component part of the offence is that the offender also intended to commit a further indictable offence. The impact of this is that most strangulation cases are</w:t>
      </w:r>
      <w:r w:rsidR="00C03C09">
        <w:rPr>
          <w:rFonts w:ascii="Verdana" w:hAnsi="Verdana" w:cs="Arial"/>
          <w:color w:val="auto"/>
        </w:rPr>
        <w:t xml:space="preserve"> </w:t>
      </w:r>
      <w:r w:rsidRPr="006E414C">
        <w:rPr>
          <w:rFonts w:ascii="Verdana" w:hAnsi="Verdana" w:cs="Arial"/>
          <w:color w:val="auto"/>
        </w:rPr>
        <w:t xml:space="preserve">progressed under alternative charges. </w:t>
      </w:r>
      <w:r w:rsidR="00CA16D8">
        <w:rPr>
          <w:rFonts w:ascii="Verdana" w:hAnsi="Verdana" w:cs="Arial"/>
          <w:color w:val="auto"/>
        </w:rPr>
        <w:t>Therefore, n</w:t>
      </w:r>
      <w:r w:rsidR="009277A9" w:rsidRPr="009277A9">
        <w:rPr>
          <w:rFonts w:ascii="Verdana" w:hAnsi="Verdana" w:cs="Arial"/>
          <w:color w:val="auto"/>
        </w:rPr>
        <w:t xml:space="preserve">on-fatal strangulation </w:t>
      </w:r>
      <w:r w:rsidR="00CA16D8">
        <w:rPr>
          <w:rFonts w:ascii="Verdana" w:hAnsi="Verdana" w:cs="Arial"/>
          <w:color w:val="auto"/>
        </w:rPr>
        <w:t xml:space="preserve">is </w:t>
      </w:r>
      <w:r w:rsidR="009277A9" w:rsidRPr="009277A9">
        <w:rPr>
          <w:rFonts w:ascii="Verdana" w:hAnsi="Verdana" w:cs="Arial"/>
          <w:color w:val="auto"/>
        </w:rPr>
        <w:t>commonly charged as Common Assault</w:t>
      </w:r>
      <w:r w:rsidR="00355283">
        <w:rPr>
          <w:rFonts w:ascii="Verdana" w:hAnsi="Verdana" w:cs="Arial"/>
          <w:color w:val="auto"/>
        </w:rPr>
        <w:t xml:space="preserve">, </w:t>
      </w:r>
      <w:r w:rsidR="009277A9">
        <w:rPr>
          <w:rFonts w:ascii="Verdana" w:hAnsi="Verdana" w:cs="Arial"/>
          <w:color w:val="auto"/>
        </w:rPr>
        <w:t xml:space="preserve">where consent </w:t>
      </w:r>
      <w:r w:rsidR="00CA16D8">
        <w:rPr>
          <w:rFonts w:ascii="Verdana" w:hAnsi="Verdana" w:cs="Arial"/>
          <w:color w:val="auto"/>
        </w:rPr>
        <w:t>for sexual gratification can be</w:t>
      </w:r>
      <w:r w:rsidR="009277A9">
        <w:rPr>
          <w:rFonts w:ascii="Verdana" w:hAnsi="Verdana" w:cs="Arial"/>
          <w:color w:val="auto"/>
        </w:rPr>
        <w:t xml:space="preserve"> used as a defence</w:t>
      </w:r>
      <w:r w:rsidR="009277A9" w:rsidRPr="009277A9">
        <w:rPr>
          <w:rFonts w:ascii="Verdana" w:hAnsi="Verdana" w:cs="Arial"/>
          <w:color w:val="auto"/>
        </w:rPr>
        <w:t xml:space="preserve">. </w:t>
      </w:r>
      <w:r w:rsidR="00CA16D8">
        <w:rPr>
          <w:rFonts w:ascii="Verdana" w:hAnsi="Verdana" w:cs="Arial"/>
          <w:color w:val="auto"/>
        </w:rPr>
        <w:t>The NIHRC is aware that the Department</w:t>
      </w:r>
      <w:r w:rsidR="00940BE9">
        <w:rPr>
          <w:rFonts w:ascii="Verdana" w:hAnsi="Verdana" w:cs="Arial"/>
          <w:color w:val="auto"/>
        </w:rPr>
        <w:t xml:space="preserve"> of Justice</w:t>
      </w:r>
      <w:r w:rsidR="00CA16D8">
        <w:rPr>
          <w:rFonts w:ascii="Verdana" w:hAnsi="Verdana" w:cs="Arial"/>
          <w:color w:val="auto"/>
        </w:rPr>
        <w:t xml:space="preserve"> is currently </w:t>
      </w:r>
      <w:r w:rsidR="00E045F5" w:rsidRPr="00E045F5">
        <w:rPr>
          <w:rFonts w:ascii="Verdana" w:hAnsi="Verdana" w:cs="Arial"/>
          <w:color w:val="auto"/>
        </w:rPr>
        <w:t>reviewing the law on non-fatal strangulation</w:t>
      </w:r>
      <w:r w:rsidR="00CA16D8">
        <w:rPr>
          <w:rFonts w:ascii="Verdana" w:hAnsi="Verdana" w:cs="Arial"/>
          <w:color w:val="auto"/>
        </w:rPr>
        <w:t xml:space="preserve">. </w:t>
      </w:r>
    </w:p>
    <w:p w14:paraId="3B95712F" w14:textId="77777777" w:rsidR="00C03C09" w:rsidRDefault="00C03C09" w:rsidP="00E82EEF">
      <w:pPr>
        <w:pStyle w:val="BasicParagraph"/>
        <w:spacing w:before="24" w:after="24"/>
        <w:ind w:left="720"/>
        <w:rPr>
          <w:rFonts w:ascii="Verdana" w:hAnsi="Verdana" w:cs="Arial"/>
        </w:rPr>
      </w:pPr>
    </w:p>
    <w:p w14:paraId="335108FC" w14:textId="490CDCDF" w:rsidR="009277A9" w:rsidRPr="009277A9" w:rsidRDefault="00C03C09" w:rsidP="006363EA">
      <w:pPr>
        <w:pStyle w:val="BasicParagraph"/>
        <w:numPr>
          <w:ilvl w:val="1"/>
          <w:numId w:val="5"/>
        </w:numPr>
        <w:spacing w:before="24" w:after="24"/>
        <w:rPr>
          <w:rFonts w:ascii="Verdana" w:hAnsi="Verdana"/>
        </w:rPr>
      </w:pPr>
      <w:r w:rsidRPr="00E82EEF">
        <w:rPr>
          <w:rFonts w:ascii="Verdana" w:hAnsi="Verdana"/>
        </w:rPr>
        <w:t>Strangulation is a feature of most of the homicides</w:t>
      </w:r>
      <w:r w:rsidR="0022630A">
        <w:rPr>
          <w:rFonts w:ascii="Verdana" w:hAnsi="Verdana"/>
        </w:rPr>
        <w:t xml:space="preserve"> </w:t>
      </w:r>
      <w:r w:rsidRPr="00E82EEF">
        <w:rPr>
          <w:rFonts w:ascii="Verdana" w:hAnsi="Verdana"/>
        </w:rPr>
        <w:t xml:space="preserve">and non-fatal assaults </w:t>
      </w:r>
      <w:r w:rsidR="00355283">
        <w:rPr>
          <w:rFonts w:ascii="Verdana" w:hAnsi="Verdana"/>
        </w:rPr>
        <w:t xml:space="preserve">that </w:t>
      </w:r>
      <w:r w:rsidR="00CA16D8">
        <w:rPr>
          <w:rFonts w:ascii="Verdana" w:hAnsi="Verdana"/>
        </w:rPr>
        <w:t>have involved the use of the</w:t>
      </w:r>
      <w:r w:rsidR="0022630A">
        <w:rPr>
          <w:rFonts w:ascii="Verdana" w:hAnsi="Verdana"/>
        </w:rPr>
        <w:t xml:space="preserve"> rough sex defence</w:t>
      </w:r>
      <w:r w:rsidR="00CA16D8">
        <w:rPr>
          <w:rFonts w:ascii="Verdana" w:hAnsi="Verdana"/>
        </w:rPr>
        <w:t xml:space="preserve"> by the perpetrator</w:t>
      </w:r>
      <w:r w:rsidRPr="00E82EEF">
        <w:rPr>
          <w:rFonts w:ascii="Verdana" w:hAnsi="Verdana"/>
        </w:rPr>
        <w:t>.</w:t>
      </w:r>
      <w:r w:rsidR="0022630A">
        <w:rPr>
          <w:rStyle w:val="FootnoteReference"/>
          <w:rFonts w:ascii="Verdana" w:hAnsi="Verdana"/>
        </w:rPr>
        <w:footnoteReference w:id="56"/>
      </w:r>
      <w:r w:rsidRPr="00E82EEF">
        <w:rPr>
          <w:rFonts w:ascii="Verdana" w:hAnsi="Verdana"/>
        </w:rPr>
        <w:t xml:space="preserve"> </w:t>
      </w:r>
      <w:r w:rsidR="009277A9">
        <w:rPr>
          <w:rFonts w:ascii="Verdana" w:hAnsi="Verdana"/>
        </w:rPr>
        <w:t>This has been the case in several incidents in Northern Ireland</w:t>
      </w:r>
      <w:r w:rsidR="00355283">
        <w:rPr>
          <w:rFonts w:ascii="Verdana" w:hAnsi="Verdana"/>
        </w:rPr>
        <w:t>,</w:t>
      </w:r>
      <w:r w:rsidR="009277A9" w:rsidRPr="009277A9">
        <w:rPr>
          <w:rFonts w:ascii="Verdana" w:hAnsi="Verdana"/>
        </w:rPr>
        <w:t xml:space="preserve"> </w:t>
      </w:r>
      <w:r w:rsidR="00CF3450">
        <w:rPr>
          <w:rFonts w:ascii="Verdana" w:hAnsi="Verdana"/>
        </w:rPr>
        <w:t xml:space="preserve">for </w:t>
      </w:r>
      <w:r w:rsidR="00CF3450">
        <w:rPr>
          <w:rFonts w:ascii="Verdana" w:hAnsi="Verdana"/>
        </w:rPr>
        <w:lastRenderedPageBreak/>
        <w:t xml:space="preserve">example, </w:t>
      </w:r>
      <w:r w:rsidR="00CA16D8">
        <w:rPr>
          <w:rFonts w:ascii="Verdana" w:hAnsi="Verdana"/>
        </w:rPr>
        <w:t>by a</w:t>
      </w:r>
      <w:r w:rsidR="009277A9" w:rsidRPr="009277A9">
        <w:rPr>
          <w:rFonts w:ascii="Verdana" w:hAnsi="Verdana"/>
        </w:rPr>
        <w:t xml:space="preserve"> Lisburn man in 2019</w:t>
      </w:r>
      <w:r w:rsidR="00CA16D8">
        <w:rPr>
          <w:rFonts w:ascii="Verdana" w:hAnsi="Verdana"/>
        </w:rPr>
        <w:t xml:space="preserve"> and three men in Co</w:t>
      </w:r>
      <w:r w:rsidR="005F395E">
        <w:rPr>
          <w:rFonts w:ascii="Verdana" w:hAnsi="Verdana"/>
        </w:rPr>
        <w:t>unty</w:t>
      </w:r>
      <w:r w:rsidR="00CA16D8">
        <w:rPr>
          <w:rFonts w:ascii="Verdana" w:hAnsi="Verdana"/>
        </w:rPr>
        <w:t xml:space="preserve"> Antrim in 2020.</w:t>
      </w:r>
      <w:r w:rsidR="00CA16D8">
        <w:rPr>
          <w:rStyle w:val="FootnoteReference"/>
          <w:rFonts w:ascii="Verdana" w:hAnsi="Verdana"/>
        </w:rPr>
        <w:footnoteReference w:id="57"/>
      </w:r>
    </w:p>
    <w:p w14:paraId="12A39AB5" w14:textId="040349F7" w:rsidR="00ED024F" w:rsidRDefault="00ED024F" w:rsidP="00E82EEF"/>
    <w:p w14:paraId="59228C9B" w14:textId="53776EFA" w:rsidR="00ED024F" w:rsidRPr="00E82EEF" w:rsidRDefault="00E045F5" w:rsidP="006363EA">
      <w:pPr>
        <w:pStyle w:val="ListParagraph"/>
        <w:numPr>
          <w:ilvl w:val="1"/>
          <w:numId w:val="5"/>
        </w:numPr>
      </w:pPr>
      <w:r>
        <w:rPr>
          <w:rFonts w:eastAsiaTheme="minorEastAsia" w:cs="MinionPro-Regular"/>
          <w:color w:val="000000"/>
        </w:rPr>
        <w:t>G</w:t>
      </w:r>
      <w:r w:rsidR="00897129">
        <w:rPr>
          <w:rFonts w:eastAsiaTheme="minorEastAsia" w:cs="MinionPro-Regular"/>
          <w:color w:val="000000"/>
        </w:rPr>
        <w:t xml:space="preserve">iven </w:t>
      </w:r>
      <w:r w:rsidR="00897129" w:rsidRPr="00897129">
        <w:rPr>
          <w:rFonts w:eastAsiaTheme="minorEastAsia" w:cs="MinionPro-Regular"/>
          <w:color w:val="000000"/>
        </w:rPr>
        <w:t xml:space="preserve">the </w:t>
      </w:r>
      <w:r>
        <w:rPr>
          <w:rFonts w:eastAsiaTheme="minorEastAsia" w:cs="MinionPro-Regular"/>
          <w:color w:val="000000"/>
        </w:rPr>
        <w:t>Department</w:t>
      </w:r>
      <w:r w:rsidR="00940BE9">
        <w:rPr>
          <w:rFonts w:eastAsiaTheme="minorEastAsia" w:cs="MinionPro-Regular"/>
          <w:color w:val="000000"/>
        </w:rPr>
        <w:t xml:space="preserve"> of Justice</w:t>
      </w:r>
      <w:r w:rsidR="00897129">
        <w:rPr>
          <w:rFonts w:eastAsiaTheme="minorEastAsia" w:cs="MinionPro-Regular"/>
          <w:color w:val="000000"/>
        </w:rPr>
        <w:t xml:space="preserve"> is reviewing the law on non-</w:t>
      </w:r>
      <w:r w:rsidR="00897129" w:rsidRPr="00897129">
        <w:rPr>
          <w:rFonts w:eastAsiaTheme="minorEastAsia" w:cs="MinionPro-Regular"/>
          <w:color w:val="000000"/>
        </w:rPr>
        <w:t xml:space="preserve">fatal strangulation, </w:t>
      </w:r>
      <w:r>
        <w:rPr>
          <w:rFonts w:eastAsiaTheme="minorEastAsia" w:cs="MinionPro-Regular"/>
          <w:color w:val="000000"/>
        </w:rPr>
        <w:t xml:space="preserve">any proposal for legislation on </w:t>
      </w:r>
      <w:r w:rsidR="00897129" w:rsidRPr="00897129">
        <w:rPr>
          <w:rFonts w:eastAsiaTheme="minorEastAsia" w:cs="MinionPro-Regular"/>
          <w:color w:val="000000"/>
        </w:rPr>
        <w:t>consent to sexual gra</w:t>
      </w:r>
      <w:r w:rsidR="00897129">
        <w:rPr>
          <w:rFonts w:eastAsiaTheme="minorEastAsia" w:cs="MinionPro-Regular"/>
          <w:color w:val="000000"/>
        </w:rPr>
        <w:t>tification must ensure that</w:t>
      </w:r>
      <w:r w:rsidR="00CF3450">
        <w:rPr>
          <w:rFonts w:eastAsiaTheme="minorEastAsia" w:cs="MinionPro-Regular"/>
          <w:color w:val="000000"/>
        </w:rPr>
        <w:t xml:space="preserve"> perpetrators of</w:t>
      </w:r>
      <w:r w:rsidR="00897129">
        <w:rPr>
          <w:rFonts w:eastAsiaTheme="minorEastAsia" w:cs="MinionPro-Regular"/>
          <w:color w:val="000000"/>
        </w:rPr>
        <w:t xml:space="preserve"> non-</w:t>
      </w:r>
      <w:r w:rsidR="00897129" w:rsidRPr="00897129">
        <w:rPr>
          <w:rFonts w:eastAsiaTheme="minorEastAsia" w:cs="MinionPro-Regular"/>
          <w:color w:val="000000"/>
        </w:rPr>
        <w:t>fatal str</w:t>
      </w:r>
      <w:r>
        <w:rPr>
          <w:rFonts w:eastAsiaTheme="minorEastAsia" w:cs="MinionPro-Regular"/>
          <w:color w:val="000000"/>
        </w:rPr>
        <w:t xml:space="preserve">angulation assaults cannot </w:t>
      </w:r>
      <w:r w:rsidR="00CF3450">
        <w:rPr>
          <w:rFonts w:eastAsiaTheme="minorEastAsia" w:cs="MinionPro-Regular"/>
          <w:color w:val="000000"/>
        </w:rPr>
        <w:t>use</w:t>
      </w:r>
      <w:r w:rsidR="00897129" w:rsidRPr="00897129">
        <w:rPr>
          <w:rFonts w:eastAsiaTheme="minorEastAsia" w:cs="MinionPro-Regular"/>
          <w:color w:val="000000"/>
        </w:rPr>
        <w:t xml:space="preserve"> cons</w:t>
      </w:r>
      <w:r>
        <w:rPr>
          <w:rFonts w:eastAsiaTheme="minorEastAsia" w:cs="MinionPro-Regular"/>
          <w:color w:val="000000"/>
        </w:rPr>
        <w:t>ent</w:t>
      </w:r>
      <w:r w:rsidR="00CF3450">
        <w:rPr>
          <w:rFonts w:eastAsiaTheme="minorEastAsia" w:cs="MinionPro-Regular"/>
          <w:color w:val="000000"/>
        </w:rPr>
        <w:t xml:space="preserve"> as a defence</w:t>
      </w:r>
      <w:r>
        <w:rPr>
          <w:rFonts w:eastAsiaTheme="minorEastAsia" w:cs="MinionPro-Regular"/>
          <w:color w:val="000000"/>
        </w:rPr>
        <w:t xml:space="preserve">. </w:t>
      </w:r>
    </w:p>
    <w:p w14:paraId="3378D905" w14:textId="77777777" w:rsidR="006E414C" w:rsidRDefault="006E414C" w:rsidP="00E82EEF">
      <w:pPr>
        <w:pStyle w:val="BasicParagraph"/>
        <w:spacing w:before="24" w:after="24"/>
        <w:rPr>
          <w:rFonts w:ascii="Verdana" w:hAnsi="Verdana" w:cs="Arial"/>
          <w:color w:val="auto"/>
        </w:rPr>
      </w:pPr>
    </w:p>
    <w:p w14:paraId="69FB76A5" w14:textId="2E721175" w:rsidR="00155ECC" w:rsidRDefault="00155ECC" w:rsidP="006363EA">
      <w:pPr>
        <w:pStyle w:val="BasicParagraph"/>
        <w:numPr>
          <w:ilvl w:val="1"/>
          <w:numId w:val="5"/>
        </w:numPr>
        <w:spacing w:before="24" w:after="24"/>
        <w:rPr>
          <w:rFonts w:ascii="Verdana" w:hAnsi="Verdana" w:cs="Arial"/>
          <w:b/>
          <w:color w:val="auto"/>
        </w:rPr>
      </w:pPr>
      <w:r w:rsidRPr="00155ECC">
        <w:rPr>
          <w:rFonts w:ascii="Verdana" w:hAnsi="Verdana" w:cs="Arial"/>
          <w:b/>
          <w:color w:val="auto"/>
        </w:rPr>
        <w:t>The NIHRC recommends the Department</w:t>
      </w:r>
      <w:r w:rsidR="00940BE9">
        <w:rPr>
          <w:rFonts w:ascii="Verdana" w:hAnsi="Verdana" w:cs="Arial"/>
          <w:b/>
          <w:color w:val="auto"/>
        </w:rPr>
        <w:t xml:space="preserve"> of Justice</w:t>
      </w:r>
      <w:r w:rsidRPr="00155ECC">
        <w:rPr>
          <w:rFonts w:ascii="Verdana" w:hAnsi="Verdana" w:cs="Arial"/>
          <w:b/>
          <w:color w:val="auto"/>
        </w:rPr>
        <w:t xml:space="preserve"> bring</w:t>
      </w:r>
      <w:r w:rsidR="00BE5C90">
        <w:rPr>
          <w:rFonts w:ascii="Verdana" w:hAnsi="Verdana" w:cs="Arial"/>
          <w:b/>
          <w:color w:val="auto"/>
        </w:rPr>
        <w:t>s</w:t>
      </w:r>
      <w:r w:rsidRPr="00155ECC">
        <w:rPr>
          <w:rFonts w:ascii="Verdana" w:hAnsi="Verdana" w:cs="Arial"/>
          <w:b/>
          <w:color w:val="auto"/>
        </w:rPr>
        <w:t xml:space="preserve"> forward appropriate legislative change as soon as is practicable for non-fatal strangulation </w:t>
      </w:r>
      <w:r w:rsidR="00BE5C90">
        <w:rPr>
          <w:rFonts w:ascii="Verdana" w:hAnsi="Verdana" w:cs="Arial"/>
          <w:b/>
          <w:color w:val="auto"/>
        </w:rPr>
        <w:t xml:space="preserve">to be regarded </w:t>
      </w:r>
      <w:r w:rsidRPr="00155ECC">
        <w:rPr>
          <w:rFonts w:ascii="Verdana" w:hAnsi="Verdana" w:cs="Arial"/>
          <w:b/>
          <w:color w:val="auto"/>
        </w:rPr>
        <w:t>as a standalone offence.</w:t>
      </w:r>
      <w:r w:rsidR="00BE5C90">
        <w:rPr>
          <w:rFonts w:ascii="Verdana" w:hAnsi="Verdana" w:cs="Arial"/>
          <w:b/>
          <w:color w:val="auto"/>
        </w:rPr>
        <w:t xml:space="preserve"> Any legislative change should be clear that the defence of consent to harm for sexual gratification can no longer be used.</w:t>
      </w:r>
    </w:p>
    <w:p w14:paraId="7AAACE4E" w14:textId="77777777" w:rsidR="003B7D0E" w:rsidRDefault="003B7D0E" w:rsidP="0087693B">
      <w:pPr>
        <w:pStyle w:val="BasicParagraph"/>
        <w:suppressAutoHyphens/>
        <w:spacing w:before="24" w:after="24"/>
        <w:rPr>
          <w:rFonts w:ascii="Verdana" w:hAnsi="Verdana" w:cs="Arial"/>
          <w:color w:val="3C3C3B"/>
          <w:sz w:val="20"/>
          <w:szCs w:val="20"/>
        </w:rPr>
      </w:pPr>
    </w:p>
    <w:p w14:paraId="05B9906F" w14:textId="77777777" w:rsidR="006E414C" w:rsidRDefault="006E414C" w:rsidP="0087693B">
      <w:pPr>
        <w:pStyle w:val="Heading2"/>
        <w:spacing w:before="24" w:after="24"/>
      </w:pPr>
      <w:bookmarkStart w:id="7" w:name="_Toc61268496"/>
      <w:r>
        <w:t>Gillen Review</w:t>
      </w:r>
      <w:bookmarkEnd w:id="7"/>
      <w:r>
        <w:t xml:space="preserve"> </w:t>
      </w:r>
    </w:p>
    <w:p w14:paraId="3AE69CCF" w14:textId="77777777" w:rsidR="003B7D0E" w:rsidRPr="00580CFD" w:rsidRDefault="003B7D0E" w:rsidP="0087693B">
      <w:pPr>
        <w:pStyle w:val="BasicParagraph"/>
        <w:suppressAutoHyphens/>
        <w:spacing w:before="24" w:after="24"/>
        <w:jc w:val="center"/>
        <w:rPr>
          <w:rFonts w:ascii="Verdana" w:hAnsi="Verdana" w:cs="Arial"/>
          <w:b/>
          <w:color w:val="3C3C3B"/>
          <w:sz w:val="20"/>
          <w:szCs w:val="20"/>
        </w:rPr>
      </w:pPr>
    </w:p>
    <w:p w14:paraId="3C1A8AAA" w14:textId="182451F2" w:rsidR="00976246" w:rsidRDefault="00976246" w:rsidP="006363EA">
      <w:pPr>
        <w:pStyle w:val="ListParagraph"/>
        <w:numPr>
          <w:ilvl w:val="1"/>
          <w:numId w:val="5"/>
        </w:numPr>
        <w:spacing w:before="24" w:after="24"/>
      </w:pPr>
      <w:r>
        <w:t xml:space="preserve">The </w:t>
      </w:r>
      <w:r w:rsidR="00795423">
        <w:t xml:space="preserve">NIHRC </w:t>
      </w:r>
      <w:r>
        <w:t xml:space="preserve">continues to </w:t>
      </w:r>
      <w:r w:rsidR="00795423">
        <w:t xml:space="preserve">support the </w:t>
      </w:r>
      <w:r>
        <w:t>recommend</w:t>
      </w:r>
      <w:r w:rsidR="00795423">
        <w:t>ations made</w:t>
      </w:r>
      <w:r>
        <w:t xml:space="preserve"> </w:t>
      </w:r>
      <w:r w:rsidR="00795423">
        <w:t>in the</w:t>
      </w:r>
      <w:r>
        <w:t xml:space="preserve"> Gillen Review</w:t>
      </w:r>
      <w:r w:rsidRPr="00F71118">
        <w:t xml:space="preserve"> </w:t>
      </w:r>
      <w:r>
        <w:t>into the law and procedures in serious sexual offences in Northern Ireland</w:t>
      </w:r>
      <w:r w:rsidRPr="00F71118">
        <w:t xml:space="preserve">. </w:t>
      </w:r>
      <w:r>
        <w:t xml:space="preserve">Relevant recommendations in relation to this consultation include </w:t>
      </w:r>
      <w:r w:rsidR="00795423">
        <w:t>R</w:t>
      </w:r>
      <w:r>
        <w:t>ecommendation 6</w:t>
      </w:r>
      <w:r w:rsidR="00795423">
        <w:t>,</w:t>
      </w:r>
      <w:r>
        <w:t xml:space="preserve"> which requires “a more robust judicial attitude and case management approach to prevent improper cross-examination about previous sexual history”</w:t>
      </w:r>
      <w:r w:rsidR="00795423">
        <w:t>.</w:t>
      </w:r>
      <w:r w:rsidR="00E045F5">
        <w:rPr>
          <w:rStyle w:val="FootnoteReference"/>
        </w:rPr>
        <w:footnoteReference w:id="58"/>
      </w:r>
      <w:r w:rsidR="00BE5C90">
        <w:t xml:space="preserve"> Also</w:t>
      </w:r>
      <w:r w:rsidR="00795423">
        <w:t xml:space="preserve"> </w:t>
      </w:r>
      <w:r w:rsidR="0022630A">
        <w:t>Recommendation 9</w:t>
      </w:r>
      <w:r w:rsidR="00BE5C90">
        <w:t>,</w:t>
      </w:r>
      <w:r w:rsidR="0022630A">
        <w:t xml:space="preserve"> </w:t>
      </w:r>
      <w:r w:rsidR="00897129">
        <w:t xml:space="preserve">which requires </w:t>
      </w:r>
      <w:r w:rsidR="0022630A">
        <w:t>“</w:t>
      </w:r>
      <w:r w:rsidR="00897129">
        <w:t>a</w:t>
      </w:r>
      <w:r w:rsidR="0022630A">
        <w:t>mendments to the Sexual Offences (Northern Ireland) Order 2008 to ensure juries do not bring sexual stereotypes into play and to impose a discernible shift</w:t>
      </w:r>
      <w:r w:rsidR="00BC4066">
        <w:t xml:space="preserve"> </w:t>
      </w:r>
      <w:r w:rsidR="0022630A">
        <w:t>towards a measure of affirmative expression of consent”.</w:t>
      </w:r>
      <w:r w:rsidR="0022630A">
        <w:rPr>
          <w:rStyle w:val="FootnoteReference"/>
        </w:rPr>
        <w:footnoteReference w:id="59"/>
      </w:r>
      <w:r w:rsidR="0022630A">
        <w:t xml:space="preserve"> </w:t>
      </w:r>
    </w:p>
    <w:p w14:paraId="614670F3" w14:textId="77777777" w:rsidR="00976246" w:rsidRPr="00976246" w:rsidRDefault="00976246" w:rsidP="00E82EEF">
      <w:pPr>
        <w:pStyle w:val="BasicParagraph"/>
        <w:suppressAutoHyphens/>
        <w:spacing w:before="24" w:after="24"/>
        <w:rPr>
          <w:rFonts w:ascii="Verdana" w:hAnsi="Verdana" w:cs="Arial"/>
          <w:color w:val="auto"/>
        </w:rPr>
      </w:pPr>
    </w:p>
    <w:p w14:paraId="66680845" w14:textId="3C9EE9F3" w:rsidR="00EC0348" w:rsidRPr="00E82EEF" w:rsidRDefault="00EC0348" w:rsidP="006363EA">
      <w:pPr>
        <w:pStyle w:val="BasicParagraph"/>
        <w:numPr>
          <w:ilvl w:val="1"/>
          <w:numId w:val="5"/>
        </w:numPr>
        <w:suppressAutoHyphens/>
        <w:spacing w:before="24" w:after="24"/>
        <w:rPr>
          <w:rFonts w:ascii="Verdana" w:hAnsi="Verdana" w:cs="Arial"/>
          <w:b/>
          <w:color w:val="auto"/>
        </w:rPr>
      </w:pPr>
      <w:r w:rsidRPr="008156D2">
        <w:rPr>
          <w:rFonts w:ascii="Verdana" w:hAnsi="Verdana" w:cs="Arial"/>
          <w:b/>
          <w:color w:val="auto"/>
        </w:rPr>
        <w:t xml:space="preserve">The </w:t>
      </w:r>
      <w:r w:rsidR="00795423" w:rsidRPr="008156D2">
        <w:rPr>
          <w:rFonts w:ascii="Verdana" w:hAnsi="Verdana" w:cs="Arial"/>
          <w:b/>
          <w:color w:val="auto"/>
        </w:rPr>
        <w:t xml:space="preserve">NIHRC </w:t>
      </w:r>
      <w:r w:rsidRPr="008156D2">
        <w:rPr>
          <w:rFonts w:ascii="Verdana" w:hAnsi="Verdana" w:cs="Arial"/>
          <w:b/>
          <w:color w:val="auto"/>
        </w:rPr>
        <w:t>recommends</w:t>
      </w:r>
      <w:r w:rsidR="00795423" w:rsidRPr="008156D2">
        <w:rPr>
          <w:rFonts w:ascii="Verdana" w:hAnsi="Verdana" w:cs="Arial"/>
          <w:b/>
          <w:color w:val="auto"/>
        </w:rPr>
        <w:t xml:space="preserve"> that</w:t>
      </w:r>
      <w:r w:rsidRPr="008156D2">
        <w:rPr>
          <w:rFonts w:ascii="Verdana" w:hAnsi="Verdana" w:cs="Arial"/>
          <w:b/>
          <w:color w:val="auto"/>
        </w:rPr>
        <w:t xml:space="preserve"> the Department of Justice take</w:t>
      </w:r>
      <w:r w:rsidR="00795423" w:rsidRPr="008156D2">
        <w:rPr>
          <w:rFonts w:ascii="Verdana" w:hAnsi="Verdana" w:cs="Arial"/>
          <w:b/>
          <w:color w:val="auto"/>
        </w:rPr>
        <w:t>s</w:t>
      </w:r>
      <w:r w:rsidRPr="008156D2">
        <w:rPr>
          <w:rFonts w:ascii="Verdana" w:hAnsi="Verdana" w:cs="Arial"/>
          <w:b/>
          <w:color w:val="auto"/>
        </w:rPr>
        <w:t xml:space="preserve"> effective steps to promptly implement the recommendations of the Gillen Review in Northern Ireland</w:t>
      </w:r>
      <w:r w:rsidRPr="00E82EEF">
        <w:rPr>
          <w:rFonts w:ascii="Verdana" w:hAnsi="Verdana" w:cs="Arial"/>
          <w:b/>
          <w:color w:val="auto"/>
        </w:rPr>
        <w:t>.</w:t>
      </w:r>
      <w:r w:rsidR="00155ECC">
        <w:rPr>
          <w:rFonts w:ascii="Verdana" w:hAnsi="Verdana" w:cs="Arial"/>
          <w:b/>
          <w:color w:val="auto"/>
        </w:rPr>
        <w:t xml:space="preserve"> In particular</w:t>
      </w:r>
      <w:r w:rsidR="00BE5C90">
        <w:rPr>
          <w:rFonts w:ascii="Verdana" w:hAnsi="Verdana" w:cs="Arial"/>
          <w:b/>
          <w:color w:val="auto"/>
        </w:rPr>
        <w:t>,</w:t>
      </w:r>
      <w:r w:rsidR="00155ECC">
        <w:rPr>
          <w:rFonts w:ascii="Verdana" w:hAnsi="Verdana" w:cs="Arial"/>
          <w:b/>
          <w:color w:val="auto"/>
        </w:rPr>
        <w:t xml:space="preserve"> </w:t>
      </w:r>
      <w:r w:rsidR="00BC4066" w:rsidRPr="00E82EEF">
        <w:rPr>
          <w:rFonts w:ascii="Verdana" w:hAnsi="Verdana" w:cs="Arial"/>
          <w:b/>
          <w:color w:val="auto"/>
        </w:rPr>
        <w:t xml:space="preserve">recommendations </w:t>
      </w:r>
      <w:r w:rsidR="00155ECC">
        <w:rPr>
          <w:rFonts w:ascii="Verdana" w:hAnsi="Verdana" w:cs="Arial"/>
          <w:b/>
          <w:color w:val="auto"/>
        </w:rPr>
        <w:t>6 and 9</w:t>
      </w:r>
      <w:r w:rsidR="00BE5C90">
        <w:rPr>
          <w:rFonts w:ascii="Verdana" w:hAnsi="Verdana" w:cs="Arial"/>
          <w:b/>
          <w:color w:val="auto"/>
        </w:rPr>
        <w:t>,</w:t>
      </w:r>
      <w:r w:rsidR="00155ECC">
        <w:rPr>
          <w:rFonts w:ascii="Verdana" w:hAnsi="Verdana" w:cs="Arial"/>
          <w:b/>
          <w:color w:val="auto"/>
        </w:rPr>
        <w:t xml:space="preserve"> which would assist in dispelling the rough sex defence narrative used by perpetrators.</w:t>
      </w:r>
    </w:p>
    <w:p w14:paraId="6BB3FC60" w14:textId="77777777" w:rsidR="004D49F6" w:rsidRDefault="004D49F6" w:rsidP="00E82EEF">
      <w:pPr>
        <w:pStyle w:val="Heading2"/>
      </w:pPr>
    </w:p>
    <w:p w14:paraId="34BB5F64" w14:textId="286C9A80" w:rsidR="004D49F6" w:rsidRDefault="004D49F6" w:rsidP="00E82EEF">
      <w:pPr>
        <w:pStyle w:val="Heading2"/>
      </w:pPr>
      <w:bookmarkStart w:id="8" w:name="_Toc61268497"/>
      <w:r>
        <w:t>Data Collection</w:t>
      </w:r>
      <w:bookmarkEnd w:id="8"/>
      <w:r>
        <w:t xml:space="preserve"> </w:t>
      </w:r>
    </w:p>
    <w:p w14:paraId="401231C8" w14:textId="69EF3F87" w:rsidR="003B7D0E" w:rsidRDefault="003B7D0E" w:rsidP="00EC0348">
      <w:pPr>
        <w:pStyle w:val="BasicParagraph"/>
        <w:suppressAutoHyphens/>
        <w:rPr>
          <w:rFonts w:ascii="Verdana" w:hAnsi="Verdana" w:cs="Arial"/>
          <w:color w:val="3C3C3B"/>
          <w:sz w:val="20"/>
          <w:szCs w:val="20"/>
        </w:rPr>
      </w:pPr>
    </w:p>
    <w:p w14:paraId="1A6514E2" w14:textId="4B8C2902" w:rsidR="004D49F6" w:rsidRPr="008156D2" w:rsidRDefault="0065163C" w:rsidP="006363EA">
      <w:pPr>
        <w:pStyle w:val="ListParagraph"/>
        <w:numPr>
          <w:ilvl w:val="1"/>
          <w:numId w:val="5"/>
        </w:numPr>
      </w:pPr>
      <w:r>
        <w:lastRenderedPageBreak/>
        <w:t>Currently,</w:t>
      </w:r>
      <w:r w:rsidR="00897129" w:rsidRPr="00E82EEF">
        <w:t xml:space="preserve"> </w:t>
      </w:r>
      <w:r>
        <w:t xml:space="preserve">the </w:t>
      </w:r>
      <w:r w:rsidR="00897129">
        <w:t>We Can’t Consent to This</w:t>
      </w:r>
      <w:r w:rsidR="004D49F6" w:rsidRPr="00E82EEF">
        <w:t xml:space="preserve"> campaign is the</w:t>
      </w:r>
      <w:r w:rsidR="004D49F6">
        <w:t xml:space="preserve"> </w:t>
      </w:r>
      <w:r w:rsidR="004D49F6" w:rsidRPr="00E82EEF">
        <w:t>only organisation</w:t>
      </w:r>
      <w:r w:rsidR="00897129" w:rsidRPr="00E82EEF">
        <w:t xml:space="preserve"> collecting data on</w:t>
      </w:r>
      <w:r w:rsidR="00897129">
        <w:t xml:space="preserve"> the use of the </w:t>
      </w:r>
      <w:r w:rsidR="00897129" w:rsidRPr="00E82EEF">
        <w:t>rough sex</w:t>
      </w:r>
      <w:r w:rsidR="00897129">
        <w:t xml:space="preserve"> defence claim. </w:t>
      </w:r>
      <w:r w:rsidR="00BE5C90">
        <w:t xml:space="preserve">Reflecting Recommendation 11 of the Gilllen Review, disaggregated </w:t>
      </w:r>
      <w:r w:rsidR="008156D2" w:rsidRPr="008156D2">
        <w:t xml:space="preserve">data collection </w:t>
      </w:r>
      <w:r w:rsidR="00BE5C90">
        <w:t>and wider research to aid monitoring of</w:t>
      </w:r>
      <w:r w:rsidR="00BE5C90" w:rsidRPr="008156D2">
        <w:t xml:space="preserve"> </w:t>
      </w:r>
      <w:r w:rsidR="008156D2" w:rsidRPr="008156D2">
        <w:t>the use of the rough sex defenc</w:t>
      </w:r>
      <w:r w:rsidR="008156D2">
        <w:t xml:space="preserve">e specifically in Northern Ireland is required. </w:t>
      </w:r>
      <w:r w:rsidR="00BE5C90">
        <w:t xml:space="preserve">This recommendation requires </w:t>
      </w:r>
      <w:r w:rsidR="00BE5C90" w:rsidRPr="008156D2">
        <w:t>“the Department of Justice should commission individual research projects to gather knowledge and data in Northern Ireland on the prevalence, extent, nature and experiences of serious sexual offences”.</w:t>
      </w:r>
      <w:r w:rsidR="00BE5C90">
        <w:rPr>
          <w:rStyle w:val="FootnoteReference"/>
        </w:rPr>
        <w:footnoteReference w:id="60"/>
      </w:r>
    </w:p>
    <w:p w14:paraId="509834EB" w14:textId="25CECAA6" w:rsidR="00897129" w:rsidRDefault="00897129" w:rsidP="00134B6B"/>
    <w:p w14:paraId="76E2BA82" w14:textId="1F90E435" w:rsidR="00897129" w:rsidRPr="00E82EEF" w:rsidRDefault="00897129" w:rsidP="006363EA">
      <w:pPr>
        <w:pStyle w:val="ListParagraph"/>
        <w:numPr>
          <w:ilvl w:val="1"/>
          <w:numId w:val="5"/>
        </w:numPr>
        <w:rPr>
          <w:b/>
        </w:rPr>
      </w:pPr>
      <w:r w:rsidRPr="00E82EEF">
        <w:rPr>
          <w:b/>
        </w:rPr>
        <w:t>The NIHRC recommends the Dep</w:t>
      </w:r>
      <w:r w:rsidR="008156D2" w:rsidRPr="00E82EEF">
        <w:rPr>
          <w:b/>
        </w:rPr>
        <w:t>artment</w:t>
      </w:r>
      <w:r w:rsidR="00940BE9">
        <w:rPr>
          <w:b/>
        </w:rPr>
        <w:t xml:space="preserve"> of Justice</w:t>
      </w:r>
      <w:r w:rsidR="008156D2" w:rsidRPr="00E82EEF">
        <w:rPr>
          <w:b/>
        </w:rPr>
        <w:t xml:space="preserve"> </w:t>
      </w:r>
      <w:r w:rsidR="00BE5C90">
        <w:rPr>
          <w:b/>
        </w:rPr>
        <w:t>gather</w:t>
      </w:r>
      <w:r w:rsidR="00940BE9">
        <w:rPr>
          <w:b/>
        </w:rPr>
        <w:t>s</w:t>
      </w:r>
      <w:r w:rsidR="00BE5C90">
        <w:rPr>
          <w:b/>
        </w:rPr>
        <w:t xml:space="preserve"> disaggregated, comprehensive </w:t>
      </w:r>
      <w:r w:rsidR="0065163C">
        <w:rPr>
          <w:b/>
        </w:rPr>
        <w:t xml:space="preserve">data on the use of the </w:t>
      </w:r>
      <w:r w:rsidR="00BE5C90">
        <w:rPr>
          <w:b/>
        </w:rPr>
        <w:t xml:space="preserve">rough sex </w:t>
      </w:r>
      <w:r w:rsidR="0065163C">
        <w:rPr>
          <w:b/>
        </w:rPr>
        <w:t>defence in Northern Ireland</w:t>
      </w:r>
      <w:r w:rsidR="00BE5C90">
        <w:rPr>
          <w:b/>
        </w:rPr>
        <w:t xml:space="preserve"> and that this data is published in accessible formats and effectively monitored</w:t>
      </w:r>
      <w:r w:rsidR="0065163C">
        <w:rPr>
          <w:b/>
        </w:rPr>
        <w:t xml:space="preserve">. </w:t>
      </w:r>
      <w:r w:rsidR="00BE5C90">
        <w:rPr>
          <w:b/>
        </w:rPr>
        <w:t xml:space="preserve">This data should be used to identify areas where further research is required and be used to establish </w:t>
      </w:r>
      <w:r w:rsidRPr="00E82EEF">
        <w:rPr>
          <w:b/>
        </w:rPr>
        <w:t xml:space="preserve">the effectiveness of </w:t>
      </w:r>
      <w:r w:rsidR="00155ECC">
        <w:rPr>
          <w:b/>
        </w:rPr>
        <w:t xml:space="preserve">the law </w:t>
      </w:r>
      <w:r w:rsidR="00155ECC" w:rsidRPr="00E82EEF">
        <w:rPr>
          <w:b/>
        </w:rPr>
        <w:t>and whether further measures</w:t>
      </w:r>
      <w:r w:rsidR="00155ECC">
        <w:rPr>
          <w:b/>
        </w:rPr>
        <w:t xml:space="preserve">, </w:t>
      </w:r>
      <w:r w:rsidR="008156D2" w:rsidRPr="00E82EEF">
        <w:rPr>
          <w:b/>
        </w:rPr>
        <w:t xml:space="preserve">training or guidelines </w:t>
      </w:r>
      <w:r w:rsidR="00155ECC" w:rsidRPr="00E82EEF">
        <w:rPr>
          <w:b/>
        </w:rPr>
        <w:t xml:space="preserve">are </w:t>
      </w:r>
      <w:r w:rsidR="00155ECC">
        <w:rPr>
          <w:b/>
        </w:rPr>
        <w:t>required</w:t>
      </w:r>
      <w:r w:rsidR="008156D2" w:rsidRPr="00E82EEF">
        <w:rPr>
          <w:b/>
        </w:rPr>
        <w:t>.</w:t>
      </w:r>
      <w:r w:rsidR="0065163C">
        <w:rPr>
          <w:b/>
        </w:rPr>
        <w:t xml:space="preserve"> </w:t>
      </w:r>
    </w:p>
    <w:p w14:paraId="20D6B6BC" w14:textId="77777777" w:rsidR="003B7D0E" w:rsidRDefault="003B7D0E" w:rsidP="00E82EEF">
      <w:pPr>
        <w:pStyle w:val="BasicParagraph"/>
        <w:suppressAutoHyphens/>
        <w:rPr>
          <w:rFonts w:ascii="Verdana" w:hAnsi="Verdana" w:cs="Arial"/>
          <w:color w:val="3C3C3B"/>
          <w:sz w:val="20"/>
          <w:szCs w:val="20"/>
        </w:rPr>
      </w:pPr>
    </w:p>
    <w:p w14:paraId="682CFB73" w14:textId="77777777" w:rsidR="003B7D0E" w:rsidRDefault="003B7D0E" w:rsidP="003B7D0E">
      <w:pPr>
        <w:pStyle w:val="BasicParagraph"/>
        <w:suppressAutoHyphens/>
        <w:jc w:val="center"/>
        <w:rPr>
          <w:rFonts w:ascii="Verdana" w:hAnsi="Verdana" w:cs="Arial"/>
          <w:color w:val="3C3C3B"/>
          <w:sz w:val="20"/>
          <w:szCs w:val="20"/>
        </w:rPr>
      </w:pPr>
    </w:p>
    <w:p w14:paraId="20B74A9D" w14:textId="77777777" w:rsidR="003B7D0E" w:rsidRDefault="003B7D0E" w:rsidP="003B7D0E">
      <w:pPr>
        <w:pStyle w:val="BasicParagraph"/>
        <w:suppressAutoHyphens/>
        <w:jc w:val="center"/>
        <w:rPr>
          <w:rFonts w:ascii="Verdana" w:hAnsi="Verdana" w:cs="Arial"/>
          <w:color w:val="3C3C3B"/>
          <w:sz w:val="20"/>
          <w:szCs w:val="20"/>
        </w:rPr>
      </w:pPr>
    </w:p>
    <w:p w14:paraId="32B628BA" w14:textId="77777777" w:rsidR="003B7D0E" w:rsidRDefault="003B7D0E" w:rsidP="003B7D0E">
      <w:pPr>
        <w:pStyle w:val="BasicParagraph"/>
        <w:suppressAutoHyphens/>
        <w:jc w:val="center"/>
        <w:rPr>
          <w:rFonts w:ascii="Verdana" w:hAnsi="Verdana" w:cs="Arial"/>
          <w:color w:val="3C3C3B"/>
          <w:sz w:val="20"/>
          <w:szCs w:val="20"/>
        </w:rPr>
      </w:pPr>
    </w:p>
    <w:p w14:paraId="11452A2F" w14:textId="77777777" w:rsidR="00C158A9" w:rsidRDefault="00C158A9" w:rsidP="003B7D0E">
      <w:pPr>
        <w:pStyle w:val="BasicParagraph"/>
        <w:suppressAutoHyphens/>
        <w:jc w:val="center"/>
        <w:rPr>
          <w:rFonts w:ascii="Verdana" w:hAnsi="Verdana" w:cs="Arial"/>
          <w:color w:val="3C3C3B"/>
          <w:sz w:val="20"/>
          <w:szCs w:val="20"/>
        </w:rPr>
      </w:pPr>
    </w:p>
    <w:p w14:paraId="257012E9" w14:textId="77777777" w:rsidR="00C158A9" w:rsidRDefault="00C158A9" w:rsidP="003B7D0E">
      <w:pPr>
        <w:pStyle w:val="BasicParagraph"/>
        <w:suppressAutoHyphens/>
        <w:jc w:val="center"/>
        <w:rPr>
          <w:rFonts w:ascii="Verdana" w:hAnsi="Verdana" w:cs="Arial"/>
          <w:color w:val="3C3C3B"/>
          <w:sz w:val="20"/>
          <w:szCs w:val="20"/>
        </w:rPr>
      </w:pPr>
    </w:p>
    <w:p w14:paraId="57923335" w14:textId="77777777" w:rsidR="00866AB4" w:rsidRDefault="00866AB4" w:rsidP="00B042B1">
      <w:pPr>
        <w:pStyle w:val="BasicParagraph"/>
        <w:suppressAutoHyphens/>
        <w:rPr>
          <w:rFonts w:ascii="Verdana" w:hAnsi="Verdana" w:cs="Arial"/>
          <w:color w:val="3C3C3B"/>
          <w:sz w:val="20"/>
          <w:szCs w:val="20"/>
        </w:rPr>
      </w:pPr>
    </w:p>
    <w:p w14:paraId="1EC36BCC" w14:textId="77777777" w:rsidR="00B042B1" w:rsidRDefault="00B042B1" w:rsidP="00B042B1">
      <w:pPr>
        <w:pStyle w:val="BasicParagraph"/>
        <w:suppressAutoHyphens/>
        <w:rPr>
          <w:rFonts w:ascii="Verdana" w:hAnsi="Verdana" w:cs="Arial"/>
          <w:color w:val="3C3C3B"/>
          <w:sz w:val="20"/>
          <w:szCs w:val="20"/>
        </w:rPr>
      </w:pPr>
    </w:p>
    <w:p w14:paraId="4A0B2808" w14:textId="77777777" w:rsidR="00B042B1" w:rsidRDefault="00B042B1" w:rsidP="00B042B1">
      <w:pPr>
        <w:pStyle w:val="BasicParagraph"/>
        <w:suppressAutoHyphens/>
        <w:rPr>
          <w:rFonts w:ascii="Verdana" w:hAnsi="Verdana" w:cs="Arial"/>
          <w:color w:val="3C3C3B"/>
          <w:sz w:val="20"/>
          <w:szCs w:val="20"/>
        </w:rPr>
      </w:pPr>
    </w:p>
    <w:p w14:paraId="290B9A37" w14:textId="77777777" w:rsidR="005660C9" w:rsidRDefault="005660C9" w:rsidP="00B042B1">
      <w:pPr>
        <w:pStyle w:val="BasicParagraph"/>
        <w:suppressAutoHyphens/>
        <w:rPr>
          <w:rFonts w:ascii="Verdana" w:hAnsi="Verdana" w:cs="Arial"/>
          <w:color w:val="3C3C3B"/>
          <w:sz w:val="20"/>
          <w:szCs w:val="20"/>
        </w:rPr>
      </w:pPr>
    </w:p>
    <w:p w14:paraId="3D280B9E" w14:textId="77777777" w:rsidR="005660C9" w:rsidRDefault="005660C9" w:rsidP="00B042B1">
      <w:pPr>
        <w:pStyle w:val="BasicParagraph"/>
        <w:suppressAutoHyphens/>
        <w:rPr>
          <w:rFonts w:ascii="Verdana" w:hAnsi="Verdana" w:cs="Arial"/>
          <w:color w:val="3C3C3B"/>
          <w:sz w:val="20"/>
          <w:szCs w:val="20"/>
        </w:rPr>
      </w:pPr>
    </w:p>
    <w:p w14:paraId="44528BDB" w14:textId="489D7E31" w:rsidR="005660C9" w:rsidRDefault="005660C9" w:rsidP="00B042B1">
      <w:pPr>
        <w:pStyle w:val="BasicParagraph"/>
        <w:suppressAutoHyphens/>
        <w:rPr>
          <w:rFonts w:ascii="Verdana" w:hAnsi="Verdana" w:cs="Arial"/>
          <w:color w:val="3C3C3B"/>
          <w:sz w:val="20"/>
          <w:szCs w:val="20"/>
        </w:rPr>
      </w:pPr>
    </w:p>
    <w:p w14:paraId="5CFF0A5F" w14:textId="0BC0C6B6" w:rsidR="0065163C" w:rsidRDefault="0065163C" w:rsidP="00B042B1">
      <w:pPr>
        <w:pStyle w:val="BasicParagraph"/>
        <w:suppressAutoHyphens/>
        <w:rPr>
          <w:rFonts w:ascii="Verdana" w:hAnsi="Verdana" w:cs="Arial"/>
          <w:color w:val="3C3C3B"/>
          <w:sz w:val="20"/>
          <w:szCs w:val="20"/>
        </w:rPr>
      </w:pPr>
    </w:p>
    <w:p w14:paraId="7D93F407" w14:textId="18D46863" w:rsidR="0065163C" w:rsidRDefault="0065163C" w:rsidP="00B042B1">
      <w:pPr>
        <w:pStyle w:val="BasicParagraph"/>
        <w:suppressAutoHyphens/>
        <w:rPr>
          <w:rFonts w:ascii="Verdana" w:hAnsi="Verdana" w:cs="Arial"/>
          <w:color w:val="3C3C3B"/>
          <w:sz w:val="20"/>
          <w:szCs w:val="20"/>
        </w:rPr>
      </w:pPr>
    </w:p>
    <w:p w14:paraId="27B5617A" w14:textId="164144A3" w:rsidR="0065163C" w:rsidRDefault="0065163C" w:rsidP="00B042B1">
      <w:pPr>
        <w:pStyle w:val="BasicParagraph"/>
        <w:suppressAutoHyphens/>
        <w:rPr>
          <w:rFonts w:ascii="Verdana" w:hAnsi="Verdana" w:cs="Arial"/>
          <w:color w:val="3C3C3B"/>
          <w:sz w:val="20"/>
          <w:szCs w:val="20"/>
        </w:rPr>
      </w:pPr>
    </w:p>
    <w:p w14:paraId="60F2E88B" w14:textId="31C570AC" w:rsidR="0065163C" w:rsidRDefault="0065163C" w:rsidP="00B042B1">
      <w:pPr>
        <w:pStyle w:val="BasicParagraph"/>
        <w:suppressAutoHyphens/>
        <w:rPr>
          <w:rFonts w:ascii="Verdana" w:hAnsi="Verdana" w:cs="Arial"/>
          <w:color w:val="3C3C3B"/>
          <w:sz w:val="20"/>
          <w:szCs w:val="20"/>
        </w:rPr>
      </w:pPr>
    </w:p>
    <w:p w14:paraId="7E803FD6" w14:textId="781817E8" w:rsidR="0065163C" w:rsidRDefault="0065163C" w:rsidP="00B042B1">
      <w:pPr>
        <w:pStyle w:val="BasicParagraph"/>
        <w:suppressAutoHyphens/>
        <w:rPr>
          <w:rFonts w:ascii="Verdana" w:hAnsi="Verdana" w:cs="Arial"/>
          <w:color w:val="3C3C3B"/>
          <w:sz w:val="20"/>
          <w:szCs w:val="20"/>
        </w:rPr>
      </w:pPr>
    </w:p>
    <w:p w14:paraId="1BF3B335" w14:textId="01662D66" w:rsidR="0065163C" w:rsidRDefault="0065163C" w:rsidP="00B042B1">
      <w:pPr>
        <w:pStyle w:val="BasicParagraph"/>
        <w:suppressAutoHyphens/>
        <w:rPr>
          <w:rFonts w:ascii="Verdana" w:hAnsi="Verdana" w:cs="Arial"/>
          <w:color w:val="3C3C3B"/>
          <w:sz w:val="20"/>
          <w:szCs w:val="20"/>
        </w:rPr>
      </w:pPr>
    </w:p>
    <w:p w14:paraId="63362943" w14:textId="4F235CF5" w:rsidR="0065163C" w:rsidRDefault="0065163C" w:rsidP="00B042B1">
      <w:pPr>
        <w:pStyle w:val="BasicParagraph"/>
        <w:suppressAutoHyphens/>
        <w:rPr>
          <w:rFonts w:ascii="Verdana" w:hAnsi="Verdana" w:cs="Arial"/>
          <w:color w:val="3C3C3B"/>
          <w:sz w:val="20"/>
          <w:szCs w:val="20"/>
        </w:rPr>
      </w:pPr>
    </w:p>
    <w:p w14:paraId="485E0017" w14:textId="77777777" w:rsidR="00070E5B" w:rsidRDefault="00070E5B" w:rsidP="00B653E2">
      <w:pPr>
        <w:pStyle w:val="BasicParagraph"/>
        <w:suppressAutoHyphens/>
        <w:rPr>
          <w:rFonts w:ascii="Verdana" w:hAnsi="Verdana" w:cs="Arial"/>
          <w:color w:val="3C3C3B"/>
          <w:sz w:val="20"/>
          <w:szCs w:val="20"/>
        </w:rPr>
      </w:pPr>
    </w:p>
    <w:p w14:paraId="7B242223" w14:textId="77777777" w:rsidR="00BE5C90" w:rsidRDefault="00BE5C90">
      <w:pPr>
        <w:rPr>
          <w:rFonts w:ascii="Verdana" w:hAnsi="Verdana" w:cs="Arial"/>
          <w:b/>
          <w:bCs/>
          <w:color w:val="77328A"/>
          <w:sz w:val="36"/>
          <w:szCs w:val="36"/>
        </w:rPr>
      </w:pPr>
      <w:r>
        <w:rPr>
          <w:rFonts w:ascii="Verdana" w:hAnsi="Verdana" w:cs="Arial"/>
          <w:b/>
          <w:bCs/>
          <w:color w:val="77328A"/>
          <w:sz w:val="36"/>
          <w:szCs w:val="36"/>
        </w:rPr>
        <w:br w:type="page"/>
      </w:r>
    </w:p>
    <w:p w14:paraId="6D08BDAD" w14:textId="77777777" w:rsidR="00BE5C90" w:rsidRDefault="00BE5C90" w:rsidP="00331C61">
      <w:pPr>
        <w:pStyle w:val="BasicParagraph"/>
        <w:suppressAutoHyphens/>
        <w:jc w:val="center"/>
        <w:rPr>
          <w:rFonts w:ascii="Verdana" w:hAnsi="Verdana" w:cs="Arial"/>
          <w:b/>
          <w:bCs/>
          <w:color w:val="77328A"/>
          <w:sz w:val="36"/>
          <w:szCs w:val="36"/>
        </w:rPr>
      </w:pPr>
    </w:p>
    <w:p w14:paraId="4B5A4D09" w14:textId="77777777" w:rsidR="00BE5C90" w:rsidRDefault="00BE5C90" w:rsidP="00331C61">
      <w:pPr>
        <w:pStyle w:val="BasicParagraph"/>
        <w:suppressAutoHyphens/>
        <w:jc w:val="center"/>
        <w:rPr>
          <w:rFonts w:ascii="Verdana" w:hAnsi="Verdana" w:cs="Arial"/>
          <w:b/>
          <w:bCs/>
          <w:color w:val="77328A"/>
          <w:sz w:val="36"/>
          <w:szCs w:val="36"/>
        </w:rPr>
      </w:pPr>
    </w:p>
    <w:p w14:paraId="3A738685" w14:textId="77777777" w:rsidR="00BE5C90" w:rsidRDefault="00BE5C90" w:rsidP="00331C61">
      <w:pPr>
        <w:pStyle w:val="BasicParagraph"/>
        <w:suppressAutoHyphens/>
        <w:jc w:val="center"/>
        <w:rPr>
          <w:rFonts w:ascii="Verdana" w:hAnsi="Verdana" w:cs="Arial"/>
          <w:b/>
          <w:bCs/>
          <w:color w:val="77328A"/>
          <w:sz w:val="36"/>
          <w:szCs w:val="36"/>
        </w:rPr>
      </w:pPr>
    </w:p>
    <w:p w14:paraId="4B52AF19" w14:textId="77777777" w:rsidR="00BE5C90" w:rsidRDefault="00BE5C90" w:rsidP="00331C61">
      <w:pPr>
        <w:pStyle w:val="BasicParagraph"/>
        <w:suppressAutoHyphens/>
        <w:jc w:val="center"/>
        <w:rPr>
          <w:rFonts w:ascii="Verdana" w:hAnsi="Verdana" w:cs="Arial"/>
          <w:b/>
          <w:bCs/>
          <w:color w:val="77328A"/>
          <w:sz w:val="36"/>
          <w:szCs w:val="36"/>
        </w:rPr>
      </w:pPr>
    </w:p>
    <w:p w14:paraId="7DD5780A" w14:textId="77777777" w:rsidR="00BE5C90" w:rsidRDefault="00BE5C90" w:rsidP="00331C61">
      <w:pPr>
        <w:pStyle w:val="BasicParagraph"/>
        <w:suppressAutoHyphens/>
        <w:jc w:val="center"/>
        <w:rPr>
          <w:rFonts w:ascii="Verdana" w:hAnsi="Verdana" w:cs="Arial"/>
          <w:b/>
          <w:bCs/>
          <w:color w:val="77328A"/>
          <w:sz w:val="36"/>
          <w:szCs w:val="36"/>
        </w:rPr>
      </w:pPr>
    </w:p>
    <w:p w14:paraId="1C262D84" w14:textId="77777777" w:rsidR="00BE5C90" w:rsidRDefault="00BE5C90" w:rsidP="00331C61">
      <w:pPr>
        <w:pStyle w:val="BasicParagraph"/>
        <w:suppressAutoHyphens/>
        <w:jc w:val="center"/>
        <w:rPr>
          <w:rFonts w:ascii="Verdana" w:hAnsi="Verdana" w:cs="Arial"/>
          <w:b/>
          <w:bCs/>
          <w:color w:val="77328A"/>
          <w:sz w:val="36"/>
          <w:szCs w:val="36"/>
        </w:rPr>
      </w:pPr>
    </w:p>
    <w:p w14:paraId="59365A82" w14:textId="1AFDF82A" w:rsidR="00331C61" w:rsidRDefault="00705833" w:rsidP="00331C61">
      <w:pPr>
        <w:pStyle w:val="BasicParagraph"/>
        <w:suppressAutoHyphens/>
        <w:jc w:val="center"/>
        <w:rPr>
          <w:rFonts w:ascii="Verdana" w:hAnsi="Verdana" w:cs="Arial"/>
          <w:b/>
          <w:bCs/>
          <w:color w:val="77328A"/>
          <w:sz w:val="36"/>
          <w:szCs w:val="36"/>
        </w:rPr>
      </w:pPr>
      <w:r w:rsidRPr="00331C61">
        <w:rPr>
          <w:rFonts w:ascii="Verdana" w:hAnsi="Verdana" w:cs="Arial"/>
          <w:b/>
          <w:bCs/>
          <w:color w:val="77328A"/>
          <w:sz w:val="36"/>
          <w:szCs w:val="36"/>
        </w:rPr>
        <w:t>Co</w:t>
      </w:r>
      <w:r w:rsidR="0096459E">
        <w:rPr>
          <w:rFonts w:ascii="Verdana" w:hAnsi="Verdana" w:cs="Arial"/>
          <w:b/>
          <w:bCs/>
          <w:color w:val="77328A"/>
          <w:sz w:val="36"/>
          <w:szCs w:val="36"/>
        </w:rPr>
        <w:t xml:space="preserve">ntact us </w:t>
      </w:r>
    </w:p>
    <w:p w14:paraId="153B00C6" w14:textId="77777777" w:rsidR="00C158A9" w:rsidRPr="00331C61" w:rsidRDefault="00C158A9" w:rsidP="00331C61">
      <w:pPr>
        <w:pStyle w:val="BasicParagraph"/>
        <w:suppressAutoHyphens/>
        <w:jc w:val="center"/>
        <w:rPr>
          <w:rFonts w:ascii="Verdana" w:hAnsi="Verdana" w:cs="Arial"/>
          <w:b/>
          <w:color w:val="77328A"/>
          <w:sz w:val="36"/>
          <w:szCs w:val="36"/>
        </w:rPr>
      </w:pPr>
    </w:p>
    <w:p w14:paraId="00F8E769" w14:textId="11A49A35" w:rsidR="00070E5B" w:rsidRPr="00134B6B" w:rsidRDefault="00BE5C90" w:rsidP="003B7D0E">
      <w:pPr>
        <w:spacing w:line="288" w:lineRule="auto"/>
        <w:jc w:val="center"/>
        <w:rPr>
          <w:rFonts w:ascii="Verdana" w:hAnsi="Verdana" w:cs="Arial"/>
          <w:color w:val="232120"/>
        </w:rPr>
      </w:pPr>
      <w:r w:rsidRPr="00134B6B">
        <w:rPr>
          <w:rFonts w:ascii="Verdana" w:hAnsi="Verdana" w:cs="Arial"/>
          <w:color w:val="232120"/>
        </w:rPr>
        <w:t xml:space="preserve">For queries please contact: </w:t>
      </w:r>
      <w:hyperlink r:id="rId9" w:history="1">
        <w:r w:rsidRPr="00134B6B">
          <w:rPr>
            <w:rStyle w:val="Hyperlink"/>
            <w:rFonts w:ascii="Verdana" w:hAnsi="Verdana" w:cs="Arial"/>
          </w:rPr>
          <w:t>Rhyannon.Blythe@nihrc.org</w:t>
        </w:r>
      </w:hyperlink>
    </w:p>
    <w:p w14:paraId="200D6FC0" w14:textId="77777777" w:rsidR="00BE5C90" w:rsidRPr="00BE5C90" w:rsidRDefault="00BE5C90" w:rsidP="003B7D0E">
      <w:pPr>
        <w:spacing w:line="288" w:lineRule="auto"/>
        <w:jc w:val="center"/>
        <w:rPr>
          <w:rFonts w:ascii="Verdana" w:hAnsi="Verdana" w:cs="Arial"/>
          <w:color w:val="232120"/>
          <w:sz w:val="30"/>
          <w:szCs w:val="30"/>
        </w:rPr>
      </w:pPr>
    </w:p>
    <w:p w14:paraId="67D255E6" w14:textId="77777777" w:rsidR="00331C61" w:rsidRPr="00331C61" w:rsidRDefault="00331C61" w:rsidP="003B7D0E">
      <w:pPr>
        <w:spacing w:line="288" w:lineRule="auto"/>
        <w:jc w:val="center"/>
        <w:rPr>
          <w:rFonts w:ascii="Verdana" w:hAnsi="Verdana" w:cs="Arial"/>
          <w:b/>
          <w:color w:val="232120"/>
          <w:sz w:val="30"/>
          <w:szCs w:val="30"/>
        </w:rPr>
      </w:pPr>
    </w:p>
    <w:p w14:paraId="0B363F96" w14:textId="77777777" w:rsidR="00331C61" w:rsidRPr="00331C61" w:rsidRDefault="00D7289A" w:rsidP="00331C61">
      <w:pPr>
        <w:spacing w:line="288" w:lineRule="auto"/>
        <w:jc w:val="center"/>
        <w:rPr>
          <w:rFonts w:ascii="Verdana" w:hAnsi="Verdana" w:cs="Arial"/>
          <w:color w:val="232120"/>
          <w:sz w:val="28"/>
          <w:szCs w:val="28"/>
        </w:rPr>
      </w:pPr>
      <w:hyperlink r:id="rId10" w:history="1">
        <w:r w:rsidR="00331C61" w:rsidRPr="00331C61">
          <w:rPr>
            <w:rStyle w:val="Hyperlink"/>
            <w:rFonts w:ascii="Verdana" w:hAnsi="Verdana" w:cs="Arial"/>
            <w:color w:val="232120"/>
            <w:sz w:val="28"/>
            <w:szCs w:val="28"/>
            <w:u w:val="none"/>
            <w:lang w:val="en-US"/>
          </w:rPr>
          <w:t>www.nihrc.org</w:t>
        </w:r>
      </w:hyperlink>
      <w:r w:rsidR="00331C61" w:rsidRPr="00331C61">
        <w:rPr>
          <w:rFonts w:ascii="Verdana" w:hAnsi="Verdana" w:cs="Arial"/>
          <w:color w:val="232120"/>
          <w:sz w:val="28"/>
          <w:szCs w:val="28"/>
          <w:lang w:val="en-US"/>
        </w:rPr>
        <w:t xml:space="preserve">  | </w:t>
      </w:r>
      <w:r w:rsidR="00070E5B">
        <w:rPr>
          <w:rFonts w:ascii="Verdana" w:hAnsi="Verdana" w:cs="Arial"/>
          <w:color w:val="232120"/>
          <w:sz w:val="28"/>
          <w:szCs w:val="28"/>
          <w:lang w:val="en-US"/>
        </w:rPr>
        <w:t xml:space="preserve"> </w:t>
      </w:r>
      <w:hyperlink r:id="rId11" w:history="1">
        <w:r w:rsidR="00331C61" w:rsidRPr="00331C61">
          <w:rPr>
            <w:rStyle w:val="Hyperlink"/>
            <w:rFonts w:ascii="Verdana" w:hAnsi="Verdana" w:cs="Arial"/>
            <w:color w:val="232120"/>
            <w:sz w:val="28"/>
            <w:szCs w:val="28"/>
            <w:u w:val="none"/>
            <w:lang w:val="en-US"/>
          </w:rPr>
          <w:t>info@nihrc.org</w:t>
        </w:r>
      </w:hyperlink>
      <w:r w:rsidR="00331C61" w:rsidRPr="00331C61">
        <w:rPr>
          <w:rFonts w:ascii="Verdana" w:hAnsi="Verdana" w:cs="Arial"/>
          <w:color w:val="232120"/>
          <w:sz w:val="28"/>
          <w:szCs w:val="28"/>
          <w:lang w:val="en-US"/>
        </w:rPr>
        <w:t xml:space="preserve">  |  +44 (0)28 9024 3987</w:t>
      </w:r>
    </w:p>
    <w:p w14:paraId="3B321311" w14:textId="77777777" w:rsidR="00F56C78" w:rsidRPr="00331C61" w:rsidRDefault="00D16532" w:rsidP="00331C61">
      <w:pPr>
        <w:spacing w:line="288" w:lineRule="auto"/>
        <w:jc w:val="center"/>
        <w:rPr>
          <w:rFonts w:ascii="Verdana" w:hAnsi="Verdana" w:cs="Arial"/>
          <w:color w:val="232120"/>
          <w:sz w:val="28"/>
          <w:szCs w:val="28"/>
        </w:rPr>
      </w:pPr>
      <w:r>
        <w:rPr>
          <w:rFonts w:ascii="Verdana" w:hAnsi="Verdana" w:cs="Arial"/>
          <w:color w:val="232120"/>
          <w:sz w:val="28"/>
          <w:szCs w:val="28"/>
          <w:lang w:val="en-US"/>
        </w:rPr>
        <w:t>4</w:t>
      </w:r>
      <w:r w:rsidRPr="00D16532">
        <w:rPr>
          <w:rFonts w:ascii="Verdana" w:hAnsi="Verdana" w:cs="Arial"/>
          <w:color w:val="232120"/>
          <w:sz w:val="28"/>
          <w:szCs w:val="28"/>
          <w:vertAlign w:val="superscript"/>
          <w:lang w:val="en-US"/>
        </w:rPr>
        <w:t>th</w:t>
      </w:r>
      <w:r>
        <w:rPr>
          <w:rFonts w:ascii="Verdana" w:hAnsi="Verdana" w:cs="Arial"/>
          <w:color w:val="232120"/>
          <w:sz w:val="28"/>
          <w:szCs w:val="28"/>
          <w:lang w:val="en-US"/>
        </w:rPr>
        <w:t xml:space="preserve"> Floor, Alfred House, 19-21 Alfred Street, Belfast, BT2 8ED</w:t>
      </w:r>
    </w:p>
    <w:p w14:paraId="0B124826" w14:textId="77777777" w:rsidR="00F56C78" w:rsidRPr="00331C61" w:rsidRDefault="00F56C78" w:rsidP="003B7D0E">
      <w:pPr>
        <w:spacing w:line="288" w:lineRule="auto"/>
        <w:jc w:val="center"/>
        <w:rPr>
          <w:rFonts w:ascii="Verdana" w:hAnsi="Verdana" w:cs="Arial"/>
          <w:b/>
          <w:color w:val="232120"/>
          <w:sz w:val="28"/>
          <w:szCs w:val="28"/>
        </w:rPr>
      </w:pPr>
    </w:p>
    <w:p w14:paraId="57668C88" w14:textId="77777777" w:rsidR="00F56C78" w:rsidRPr="00331C61" w:rsidRDefault="00F56C78" w:rsidP="003B7D0E">
      <w:pPr>
        <w:spacing w:line="288" w:lineRule="auto"/>
        <w:jc w:val="center"/>
        <w:rPr>
          <w:rFonts w:ascii="Verdana" w:hAnsi="Verdana" w:cs="Arial"/>
          <w:color w:val="232120"/>
          <w:sz w:val="20"/>
          <w:szCs w:val="20"/>
        </w:rPr>
      </w:pPr>
    </w:p>
    <w:p w14:paraId="142A1620" w14:textId="77777777" w:rsidR="00705833" w:rsidRPr="00331C61" w:rsidRDefault="00F56C78" w:rsidP="003B7D0E">
      <w:pPr>
        <w:pStyle w:val="BasicParagraph"/>
        <w:suppressAutoHyphens/>
        <w:spacing w:line="240" w:lineRule="auto"/>
        <w:jc w:val="center"/>
        <w:rPr>
          <w:rFonts w:ascii="Verdana" w:hAnsi="Verdana" w:cs="Arial"/>
          <w:color w:val="232120"/>
          <w:sz w:val="28"/>
          <w:szCs w:val="28"/>
        </w:rPr>
      </w:pPr>
      <w:r w:rsidRPr="00331C61">
        <w:rPr>
          <w:rFonts w:ascii="Verdana" w:hAnsi="Verdana" w:cs="Arial"/>
          <w:noProof/>
          <w:color w:val="232120"/>
          <w:sz w:val="28"/>
          <w:szCs w:val="28"/>
          <w:lang w:eastAsia="en-GB"/>
        </w:rPr>
        <w:drawing>
          <wp:inline distT="0" distB="0" distL="0" distR="0" wp14:anchorId="089D34CB" wp14:editId="11FF039A">
            <wp:extent cx="1515406" cy="274540"/>
            <wp:effectExtent l="0" t="0" r="8890" b="508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1554" cy="275654"/>
                    </a:xfrm>
                    <a:prstGeom prst="rect">
                      <a:avLst/>
                    </a:prstGeom>
                    <a:noFill/>
                    <a:ln>
                      <a:noFill/>
                    </a:ln>
                  </pic:spPr>
                </pic:pic>
              </a:graphicData>
            </a:graphic>
          </wp:inline>
        </w:drawing>
      </w:r>
    </w:p>
    <w:sectPr w:rsidR="00705833" w:rsidRPr="00331C61" w:rsidSect="003B7D0E">
      <w:footerReference w:type="default" r:id="rId13"/>
      <w:footerReference w:type="first" r:id="rId14"/>
      <w:pgSz w:w="11900" w:h="16820"/>
      <w:pgMar w:top="1021" w:right="1021" w:bottom="1021" w:left="1021" w:header="1021"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D35693" w14:textId="77777777" w:rsidR="005B508D" w:rsidRDefault="005B508D" w:rsidP="00962B2B">
      <w:r>
        <w:separator/>
      </w:r>
    </w:p>
  </w:endnote>
  <w:endnote w:type="continuationSeparator" w:id="0">
    <w:p w14:paraId="5B9C7C5A" w14:textId="77777777" w:rsidR="005B508D" w:rsidRDefault="005B508D" w:rsidP="00962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2928482"/>
      <w:docPartObj>
        <w:docPartGallery w:val="Page Numbers (Bottom of Page)"/>
        <w:docPartUnique/>
      </w:docPartObj>
    </w:sdtPr>
    <w:sdtEndPr>
      <w:rPr>
        <w:rFonts w:ascii="Verdana" w:hAnsi="Verdana"/>
        <w:noProof/>
        <w:color w:val="7030A0"/>
      </w:rPr>
    </w:sdtEndPr>
    <w:sdtContent>
      <w:p w14:paraId="7222346A" w14:textId="2AFE1898" w:rsidR="00134B6B" w:rsidRPr="00134B6B" w:rsidRDefault="00134B6B">
        <w:pPr>
          <w:pStyle w:val="Footer"/>
          <w:jc w:val="right"/>
          <w:rPr>
            <w:rFonts w:ascii="Verdana" w:hAnsi="Verdana"/>
            <w:color w:val="7030A0"/>
          </w:rPr>
        </w:pPr>
        <w:r w:rsidRPr="00134B6B">
          <w:rPr>
            <w:rFonts w:ascii="Verdana" w:hAnsi="Verdana"/>
            <w:color w:val="7030A0"/>
          </w:rPr>
          <w:fldChar w:fldCharType="begin"/>
        </w:r>
        <w:r w:rsidRPr="00134B6B">
          <w:rPr>
            <w:rFonts w:ascii="Verdana" w:hAnsi="Verdana"/>
            <w:color w:val="7030A0"/>
          </w:rPr>
          <w:instrText xml:space="preserve"> PAGE   \* MERGEFORMAT </w:instrText>
        </w:r>
        <w:r w:rsidRPr="00134B6B">
          <w:rPr>
            <w:rFonts w:ascii="Verdana" w:hAnsi="Verdana"/>
            <w:color w:val="7030A0"/>
          </w:rPr>
          <w:fldChar w:fldCharType="separate"/>
        </w:r>
        <w:r w:rsidR="00D7289A">
          <w:rPr>
            <w:rFonts w:ascii="Verdana" w:hAnsi="Verdana"/>
            <w:noProof/>
            <w:color w:val="7030A0"/>
          </w:rPr>
          <w:t>19</w:t>
        </w:r>
        <w:r w:rsidRPr="00134B6B">
          <w:rPr>
            <w:rFonts w:ascii="Verdana" w:hAnsi="Verdana"/>
            <w:noProof/>
            <w:color w:val="7030A0"/>
          </w:rPr>
          <w:fldChar w:fldCharType="end"/>
        </w:r>
      </w:p>
    </w:sdtContent>
  </w:sdt>
  <w:p w14:paraId="1C0BE46C" w14:textId="03807557" w:rsidR="00251954" w:rsidRPr="00134B6B" w:rsidRDefault="00251954" w:rsidP="00656ECD">
    <w:pPr>
      <w:pStyle w:val="Footer"/>
      <w:jc w:val="right"/>
      <w:rPr>
        <w:rFonts w:ascii="Verdana" w:hAnsi="Verdana" w:cs="Arial"/>
        <w:color w:val="77328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7EB30" w14:textId="77777777" w:rsidR="00251954" w:rsidRDefault="00251954" w:rsidP="00046705">
    <w:pPr>
      <w:pStyle w:val="Footer"/>
      <w:jc w:val="right"/>
      <w:rPr>
        <w:rStyle w:val="PageNumber"/>
        <w:rFonts w:ascii="Arial" w:hAnsi="Arial" w:cs="Arial"/>
        <w:b/>
        <w:sz w:val="16"/>
        <w:szCs w:val="16"/>
      </w:rPr>
    </w:pPr>
  </w:p>
  <w:p w14:paraId="3B964ACF" w14:textId="77777777" w:rsidR="00251954" w:rsidRPr="00D12EF8" w:rsidRDefault="00251954" w:rsidP="00046705">
    <w:pPr>
      <w:pStyle w:val="Footer"/>
      <w:jc w:val="right"/>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65F34" w14:textId="77777777" w:rsidR="005B508D" w:rsidRDefault="005B508D" w:rsidP="00B96D34">
      <w:r>
        <w:continuationSeparator/>
      </w:r>
    </w:p>
    <w:p w14:paraId="63AF0436" w14:textId="77777777" w:rsidR="005B508D" w:rsidRPr="00B96D34" w:rsidRDefault="005B508D" w:rsidP="00B96D34">
      <w:pPr>
        <w:pStyle w:val="Footer"/>
      </w:pPr>
    </w:p>
  </w:footnote>
  <w:footnote w:type="continuationSeparator" w:id="0">
    <w:p w14:paraId="07D4D488" w14:textId="77777777" w:rsidR="005B508D" w:rsidRDefault="005B508D" w:rsidP="00962B2B">
      <w:r>
        <w:continuationSeparator/>
      </w:r>
    </w:p>
  </w:footnote>
  <w:footnote w:type="continuationNotice" w:id="1">
    <w:p w14:paraId="50D232E5" w14:textId="77777777" w:rsidR="005B508D" w:rsidRDefault="005B508D"/>
  </w:footnote>
  <w:footnote w:id="2">
    <w:p w14:paraId="067631D4" w14:textId="77777777" w:rsidR="00251954" w:rsidRPr="006549A6" w:rsidRDefault="00251954" w:rsidP="006549A6">
      <w:pPr>
        <w:pStyle w:val="FootnoteText"/>
        <w:rPr>
          <w:rFonts w:ascii="Verdana" w:hAnsi="Verdana" w:cs="Times New Roman"/>
          <w:color w:val="7030A0"/>
          <w:sz w:val="16"/>
          <w:szCs w:val="16"/>
        </w:rPr>
      </w:pPr>
      <w:r w:rsidRPr="006549A6">
        <w:rPr>
          <w:rStyle w:val="FootnoteReference"/>
          <w:rFonts w:ascii="Verdana" w:hAnsi="Verdana"/>
          <w:color w:val="7030A0"/>
          <w:sz w:val="16"/>
          <w:szCs w:val="16"/>
        </w:rPr>
        <w:footnoteRef/>
      </w:r>
      <w:r w:rsidRPr="006549A6">
        <w:rPr>
          <w:rFonts w:ascii="Verdana" w:hAnsi="Verdana"/>
          <w:color w:val="7030A0"/>
          <w:sz w:val="16"/>
          <w:szCs w:val="16"/>
        </w:rPr>
        <w:t xml:space="preserve"> Ratified by the UK 1951. Further guidance is also taken from the body of case law from the European Court of Human</w:t>
      </w:r>
    </w:p>
    <w:p w14:paraId="7F624CAE" w14:textId="77777777" w:rsidR="00251954" w:rsidRPr="006549A6" w:rsidRDefault="00251954" w:rsidP="006549A6">
      <w:pPr>
        <w:pStyle w:val="FootnoteText"/>
        <w:rPr>
          <w:rFonts w:ascii="Verdana" w:hAnsi="Verdana"/>
          <w:color w:val="7030A0"/>
          <w:sz w:val="16"/>
          <w:szCs w:val="16"/>
        </w:rPr>
      </w:pPr>
      <w:r w:rsidRPr="006549A6">
        <w:rPr>
          <w:rFonts w:ascii="Verdana" w:hAnsi="Verdana"/>
          <w:color w:val="7030A0"/>
          <w:sz w:val="16"/>
          <w:szCs w:val="16"/>
        </w:rPr>
        <w:t>Rights (ECtHR).</w:t>
      </w:r>
    </w:p>
  </w:footnote>
  <w:footnote w:id="3">
    <w:p w14:paraId="7924B807" w14:textId="77777777" w:rsidR="00251954" w:rsidRPr="006549A6" w:rsidRDefault="00251954" w:rsidP="006549A6">
      <w:pPr>
        <w:pStyle w:val="FootnoteText"/>
        <w:rPr>
          <w:rFonts w:ascii="Verdana" w:hAnsi="Verdana"/>
          <w:color w:val="7030A0"/>
          <w:sz w:val="16"/>
          <w:szCs w:val="16"/>
        </w:rPr>
      </w:pPr>
      <w:r w:rsidRPr="006549A6">
        <w:rPr>
          <w:rStyle w:val="FootnoteReference"/>
          <w:rFonts w:ascii="Verdana" w:hAnsi="Verdana"/>
          <w:color w:val="7030A0"/>
          <w:sz w:val="16"/>
          <w:szCs w:val="16"/>
        </w:rPr>
        <w:footnoteRef/>
      </w:r>
      <w:r w:rsidRPr="006549A6">
        <w:rPr>
          <w:rFonts w:ascii="Verdana" w:hAnsi="Verdana"/>
          <w:color w:val="7030A0"/>
          <w:sz w:val="16"/>
          <w:szCs w:val="16"/>
        </w:rPr>
        <w:t xml:space="preserve"> Council of Europe Convention on preventing and combating violence against women and domestic violence (Istanbul Convention), 11 April 2011.</w:t>
      </w:r>
    </w:p>
  </w:footnote>
  <w:footnote w:id="4">
    <w:p w14:paraId="10B4D876" w14:textId="77777777" w:rsidR="00251954" w:rsidRPr="006549A6" w:rsidRDefault="00251954" w:rsidP="006549A6">
      <w:pPr>
        <w:pStyle w:val="FootnoteText"/>
        <w:rPr>
          <w:rFonts w:ascii="Verdana" w:hAnsi="Verdana"/>
          <w:color w:val="7030A0"/>
          <w:sz w:val="16"/>
          <w:szCs w:val="16"/>
        </w:rPr>
      </w:pPr>
      <w:r w:rsidRPr="006549A6">
        <w:rPr>
          <w:rStyle w:val="FootnoteReference"/>
          <w:rFonts w:ascii="Verdana" w:hAnsi="Verdana"/>
          <w:color w:val="7030A0"/>
          <w:sz w:val="16"/>
          <w:szCs w:val="16"/>
        </w:rPr>
        <w:footnoteRef/>
      </w:r>
      <w:r w:rsidRPr="006549A6">
        <w:rPr>
          <w:rFonts w:ascii="Verdana" w:hAnsi="Verdana"/>
          <w:color w:val="7030A0"/>
          <w:sz w:val="16"/>
          <w:szCs w:val="16"/>
        </w:rPr>
        <w:t xml:space="preserve"> Ratified by the UK 1966. </w:t>
      </w:r>
    </w:p>
  </w:footnote>
  <w:footnote w:id="5">
    <w:p w14:paraId="04E0DA59" w14:textId="77777777" w:rsidR="00251954" w:rsidRPr="006549A6" w:rsidRDefault="00251954" w:rsidP="006549A6">
      <w:pPr>
        <w:pStyle w:val="FootnoteText"/>
        <w:rPr>
          <w:rFonts w:ascii="Verdana" w:hAnsi="Verdana"/>
          <w:color w:val="7030A0"/>
          <w:sz w:val="16"/>
          <w:szCs w:val="16"/>
        </w:rPr>
      </w:pPr>
      <w:r w:rsidRPr="006549A6">
        <w:rPr>
          <w:rStyle w:val="FootnoteReference"/>
          <w:rFonts w:ascii="Verdana" w:hAnsi="Verdana"/>
          <w:color w:val="7030A0"/>
          <w:sz w:val="16"/>
          <w:szCs w:val="16"/>
        </w:rPr>
        <w:footnoteRef/>
      </w:r>
      <w:r w:rsidRPr="006549A6">
        <w:rPr>
          <w:rFonts w:ascii="Verdana" w:hAnsi="Verdana"/>
          <w:color w:val="7030A0"/>
          <w:sz w:val="16"/>
          <w:szCs w:val="16"/>
        </w:rPr>
        <w:t xml:space="preserve"> Ratified by the UK 1986.</w:t>
      </w:r>
    </w:p>
  </w:footnote>
  <w:footnote w:id="6">
    <w:p w14:paraId="412533A4" w14:textId="77777777" w:rsidR="00251954" w:rsidRPr="006549A6" w:rsidRDefault="00251954" w:rsidP="006549A6">
      <w:pPr>
        <w:pStyle w:val="FootnoteText"/>
        <w:rPr>
          <w:rFonts w:ascii="Verdana" w:hAnsi="Verdana"/>
          <w:color w:val="7030A0"/>
          <w:sz w:val="16"/>
          <w:szCs w:val="16"/>
        </w:rPr>
      </w:pPr>
      <w:r w:rsidRPr="006549A6">
        <w:rPr>
          <w:rStyle w:val="FootnoteReference"/>
          <w:rFonts w:ascii="Verdana" w:hAnsi="Verdana"/>
          <w:color w:val="7030A0"/>
          <w:sz w:val="16"/>
          <w:szCs w:val="16"/>
        </w:rPr>
        <w:footnoteRef/>
      </w:r>
      <w:r w:rsidRPr="006549A6">
        <w:rPr>
          <w:rFonts w:ascii="Verdana" w:hAnsi="Verdana"/>
          <w:color w:val="7030A0"/>
          <w:sz w:val="16"/>
          <w:szCs w:val="16"/>
        </w:rPr>
        <w:t xml:space="preserve"> Ratified by the UK 1988. </w:t>
      </w:r>
    </w:p>
  </w:footnote>
  <w:footnote w:id="7">
    <w:p w14:paraId="4B3AF3F8" w14:textId="77777777" w:rsidR="00251954" w:rsidRPr="006549A6" w:rsidRDefault="00251954" w:rsidP="006549A6">
      <w:pPr>
        <w:pStyle w:val="FootnoteText"/>
        <w:rPr>
          <w:rFonts w:ascii="Verdana" w:hAnsi="Verdana"/>
          <w:color w:val="7030A0"/>
          <w:sz w:val="16"/>
          <w:szCs w:val="16"/>
        </w:rPr>
      </w:pPr>
      <w:r w:rsidRPr="006549A6">
        <w:rPr>
          <w:rStyle w:val="FootnoteReference"/>
          <w:rFonts w:ascii="Verdana" w:hAnsi="Verdana"/>
          <w:color w:val="7030A0"/>
          <w:sz w:val="16"/>
          <w:szCs w:val="16"/>
        </w:rPr>
        <w:footnoteRef/>
      </w:r>
      <w:r w:rsidRPr="006549A6">
        <w:rPr>
          <w:rFonts w:ascii="Verdana" w:hAnsi="Verdana"/>
          <w:color w:val="7030A0"/>
          <w:sz w:val="16"/>
          <w:szCs w:val="16"/>
        </w:rPr>
        <w:t xml:space="preserve"> Ratified by the UK 1989.</w:t>
      </w:r>
    </w:p>
  </w:footnote>
  <w:footnote w:id="8">
    <w:p w14:paraId="2FAE3F52" w14:textId="77777777" w:rsidR="00251954" w:rsidRPr="006549A6" w:rsidRDefault="00251954" w:rsidP="006549A6">
      <w:pPr>
        <w:pStyle w:val="FootnoteText"/>
        <w:rPr>
          <w:rFonts w:ascii="Verdana" w:hAnsi="Verdana"/>
          <w:color w:val="7030A0"/>
          <w:sz w:val="16"/>
          <w:szCs w:val="16"/>
        </w:rPr>
      </w:pPr>
      <w:r w:rsidRPr="006549A6">
        <w:rPr>
          <w:rStyle w:val="FootnoteReference"/>
          <w:rFonts w:ascii="Verdana" w:hAnsi="Verdana"/>
          <w:color w:val="7030A0"/>
          <w:sz w:val="16"/>
          <w:szCs w:val="16"/>
        </w:rPr>
        <w:footnoteRef/>
      </w:r>
      <w:r w:rsidRPr="006549A6">
        <w:rPr>
          <w:rFonts w:ascii="Verdana" w:hAnsi="Verdana"/>
          <w:color w:val="7030A0"/>
          <w:sz w:val="16"/>
          <w:szCs w:val="16"/>
        </w:rPr>
        <w:t xml:space="preserve"> Ratified by the UK in 2009.</w:t>
      </w:r>
    </w:p>
  </w:footnote>
  <w:footnote w:id="9">
    <w:p w14:paraId="4ABFF88B" w14:textId="77777777" w:rsidR="00251954" w:rsidRPr="006549A6" w:rsidRDefault="00251954" w:rsidP="006549A6">
      <w:pPr>
        <w:pStyle w:val="FootnoteText"/>
        <w:rPr>
          <w:rFonts w:ascii="Verdana" w:hAnsi="Verdana"/>
          <w:color w:val="7030A0"/>
          <w:sz w:val="16"/>
          <w:szCs w:val="16"/>
        </w:rPr>
      </w:pPr>
      <w:r w:rsidRPr="006549A6">
        <w:rPr>
          <w:rStyle w:val="FootnoteReference"/>
          <w:rFonts w:ascii="Verdana" w:hAnsi="Verdana"/>
          <w:color w:val="7030A0"/>
          <w:sz w:val="16"/>
          <w:szCs w:val="16"/>
        </w:rPr>
        <w:footnoteRef/>
      </w:r>
      <w:r w:rsidRPr="006549A6">
        <w:rPr>
          <w:rFonts w:ascii="Verdana" w:hAnsi="Verdana"/>
          <w:color w:val="7030A0"/>
          <w:sz w:val="16"/>
          <w:szCs w:val="16"/>
        </w:rPr>
        <w:t xml:space="preserve"> CAT/C/GBR/CO/6, ‘UN CAT Committee Concluding Observations on the Sixth Periodic Report of the UK of Great Britain and NI’, 7 June 2019.</w:t>
      </w:r>
    </w:p>
  </w:footnote>
  <w:footnote w:id="10">
    <w:p w14:paraId="41AEB879" w14:textId="77777777" w:rsidR="00251954" w:rsidRPr="006549A6" w:rsidRDefault="00251954" w:rsidP="006549A6">
      <w:pPr>
        <w:pStyle w:val="FootnoteText"/>
        <w:rPr>
          <w:rFonts w:ascii="Verdana" w:hAnsi="Verdana"/>
          <w:color w:val="7030A0"/>
          <w:sz w:val="16"/>
          <w:szCs w:val="16"/>
        </w:rPr>
      </w:pPr>
      <w:r w:rsidRPr="006549A6">
        <w:rPr>
          <w:rStyle w:val="FootnoteReference"/>
          <w:rFonts w:ascii="Verdana" w:hAnsi="Verdana"/>
          <w:color w:val="7030A0"/>
          <w:sz w:val="16"/>
          <w:szCs w:val="16"/>
        </w:rPr>
        <w:footnoteRef/>
      </w:r>
      <w:r w:rsidRPr="006549A6">
        <w:rPr>
          <w:rFonts w:ascii="Verdana" w:hAnsi="Verdana"/>
          <w:color w:val="7030A0"/>
          <w:sz w:val="16"/>
          <w:szCs w:val="16"/>
        </w:rPr>
        <w:t xml:space="preserve"> CEDAW/C/GBR/CO/8, ‘UN CEDAW Committee Concluding Observations on the UK Eighth Periodic Report’, 8 March 2019.</w:t>
      </w:r>
    </w:p>
  </w:footnote>
  <w:footnote w:id="11">
    <w:p w14:paraId="66E7DAD6" w14:textId="25869252" w:rsidR="00251954" w:rsidRPr="006549A6" w:rsidRDefault="00251954" w:rsidP="006549A6">
      <w:pPr>
        <w:pStyle w:val="FootnoteText"/>
        <w:rPr>
          <w:rFonts w:ascii="Verdana" w:hAnsi="Verdana"/>
          <w:color w:val="7030A0"/>
          <w:sz w:val="16"/>
          <w:szCs w:val="16"/>
        </w:rPr>
      </w:pPr>
      <w:r w:rsidRPr="006549A6">
        <w:rPr>
          <w:rStyle w:val="FootnoteReference"/>
          <w:rFonts w:ascii="Verdana" w:hAnsi="Verdana"/>
          <w:color w:val="7030A0"/>
          <w:sz w:val="16"/>
          <w:szCs w:val="16"/>
        </w:rPr>
        <w:footnoteRef/>
      </w:r>
      <w:r w:rsidRPr="006549A6">
        <w:rPr>
          <w:rFonts w:ascii="Verdana" w:hAnsi="Verdana"/>
          <w:color w:val="7030A0"/>
          <w:sz w:val="16"/>
          <w:szCs w:val="16"/>
        </w:rPr>
        <w:t xml:space="preserve"> CEDAW/C/GC/35, ‘UN CEDAW Committee General </w:t>
      </w:r>
      <w:r w:rsidR="00D72DF4" w:rsidRPr="006549A6">
        <w:rPr>
          <w:rFonts w:ascii="Verdana" w:hAnsi="Verdana"/>
          <w:color w:val="7030A0"/>
          <w:sz w:val="16"/>
          <w:szCs w:val="16"/>
        </w:rPr>
        <w:t>R</w:t>
      </w:r>
      <w:r w:rsidRPr="006549A6">
        <w:rPr>
          <w:rFonts w:ascii="Verdana" w:hAnsi="Verdana"/>
          <w:color w:val="7030A0"/>
          <w:sz w:val="16"/>
          <w:szCs w:val="16"/>
        </w:rPr>
        <w:t>ecommendation No 35</w:t>
      </w:r>
      <w:r w:rsidR="00D72DF4" w:rsidRPr="006549A6">
        <w:rPr>
          <w:rFonts w:ascii="Verdana" w:hAnsi="Verdana"/>
          <w:color w:val="7030A0"/>
          <w:sz w:val="16"/>
          <w:szCs w:val="16"/>
        </w:rPr>
        <w:t>:G</w:t>
      </w:r>
      <w:r w:rsidRPr="006549A6">
        <w:rPr>
          <w:rFonts w:ascii="Verdana" w:hAnsi="Verdana"/>
          <w:color w:val="7030A0"/>
          <w:sz w:val="16"/>
          <w:szCs w:val="16"/>
        </w:rPr>
        <w:t xml:space="preserve">ender-based </w:t>
      </w:r>
      <w:r w:rsidR="00D72DF4" w:rsidRPr="006549A6">
        <w:rPr>
          <w:rFonts w:ascii="Verdana" w:hAnsi="Verdana"/>
          <w:color w:val="7030A0"/>
          <w:sz w:val="16"/>
          <w:szCs w:val="16"/>
        </w:rPr>
        <w:t>V</w:t>
      </w:r>
    </w:p>
    <w:p w14:paraId="67C33E9F" w14:textId="360E16E3" w:rsidR="00251954" w:rsidRPr="006549A6" w:rsidRDefault="00251954" w:rsidP="006549A6">
      <w:pPr>
        <w:pStyle w:val="FootnoteText"/>
        <w:rPr>
          <w:rFonts w:ascii="Verdana" w:hAnsi="Verdana"/>
          <w:color w:val="7030A0"/>
          <w:sz w:val="16"/>
          <w:szCs w:val="16"/>
        </w:rPr>
      </w:pPr>
      <w:r w:rsidRPr="006549A6">
        <w:rPr>
          <w:rFonts w:ascii="Verdana" w:hAnsi="Verdana"/>
          <w:color w:val="7030A0"/>
          <w:sz w:val="16"/>
          <w:szCs w:val="16"/>
        </w:rPr>
        <w:t xml:space="preserve">against </w:t>
      </w:r>
      <w:r w:rsidR="00D72DF4" w:rsidRPr="006549A6">
        <w:rPr>
          <w:rFonts w:ascii="Verdana" w:hAnsi="Verdana"/>
          <w:color w:val="7030A0"/>
          <w:sz w:val="16"/>
          <w:szCs w:val="16"/>
        </w:rPr>
        <w:t>W</w:t>
      </w:r>
      <w:r w:rsidRPr="006549A6">
        <w:rPr>
          <w:rFonts w:ascii="Verdana" w:hAnsi="Verdana"/>
          <w:color w:val="7030A0"/>
          <w:sz w:val="16"/>
          <w:szCs w:val="16"/>
        </w:rPr>
        <w:t>omen</w:t>
      </w:r>
      <w:r w:rsidR="00D72DF4" w:rsidRPr="006549A6">
        <w:rPr>
          <w:rFonts w:ascii="Verdana" w:hAnsi="Verdana"/>
          <w:color w:val="7030A0"/>
          <w:sz w:val="16"/>
          <w:szCs w:val="16"/>
        </w:rPr>
        <w:t>’</w:t>
      </w:r>
      <w:r w:rsidRPr="006549A6">
        <w:rPr>
          <w:rFonts w:ascii="Verdana" w:hAnsi="Verdana"/>
          <w:color w:val="7030A0"/>
          <w:sz w:val="16"/>
          <w:szCs w:val="16"/>
        </w:rPr>
        <w:t xml:space="preserve">, 26 July 2017. </w:t>
      </w:r>
    </w:p>
  </w:footnote>
  <w:footnote w:id="12">
    <w:p w14:paraId="484655C5" w14:textId="77777777" w:rsidR="00251954" w:rsidRPr="006549A6" w:rsidRDefault="00251954" w:rsidP="006549A6">
      <w:pPr>
        <w:pStyle w:val="FootnoteText"/>
        <w:rPr>
          <w:rFonts w:ascii="Verdana" w:hAnsi="Verdana"/>
          <w:color w:val="7030A0"/>
          <w:sz w:val="16"/>
          <w:szCs w:val="16"/>
        </w:rPr>
      </w:pPr>
      <w:r w:rsidRPr="006549A6">
        <w:rPr>
          <w:rStyle w:val="FootnoteReference"/>
          <w:rFonts w:ascii="Verdana" w:hAnsi="Verdana"/>
          <w:color w:val="7030A0"/>
          <w:sz w:val="16"/>
          <w:szCs w:val="16"/>
        </w:rPr>
        <w:footnoteRef/>
      </w:r>
      <w:r w:rsidRPr="006549A6">
        <w:rPr>
          <w:rFonts w:ascii="Verdana" w:hAnsi="Verdana"/>
          <w:color w:val="7030A0"/>
          <w:sz w:val="16"/>
          <w:szCs w:val="16"/>
        </w:rPr>
        <w:t xml:space="preserve"> CCPR/C/GC/32, ‘UN Human Rights Committee General Comment No 32: Article 14 on the Right to Equality Before the Courts and Tribunals and to a Fair Trial’, 23 August 2007, at para 29.</w:t>
      </w:r>
    </w:p>
  </w:footnote>
  <w:footnote w:id="13">
    <w:p w14:paraId="4D5531A5" w14:textId="77777777" w:rsidR="00251954" w:rsidRPr="006549A6" w:rsidRDefault="00251954" w:rsidP="006549A6">
      <w:pPr>
        <w:pStyle w:val="FootnoteText"/>
        <w:rPr>
          <w:rFonts w:ascii="Verdana" w:hAnsi="Verdana"/>
          <w:color w:val="7030A0"/>
          <w:sz w:val="16"/>
          <w:szCs w:val="16"/>
        </w:rPr>
      </w:pPr>
      <w:r w:rsidRPr="006549A6">
        <w:rPr>
          <w:rStyle w:val="FootnoteReference"/>
          <w:rFonts w:ascii="Verdana" w:hAnsi="Verdana"/>
          <w:color w:val="7030A0"/>
          <w:sz w:val="16"/>
          <w:szCs w:val="16"/>
        </w:rPr>
        <w:footnoteRef/>
      </w:r>
      <w:r w:rsidRPr="006549A6">
        <w:rPr>
          <w:rFonts w:ascii="Verdana" w:hAnsi="Verdana"/>
          <w:color w:val="7030A0"/>
          <w:sz w:val="16"/>
          <w:szCs w:val="16"/>
        </w:rPr>
        <w:t xml:space="preserve"> UN General Assembly, ‘Declaration on the Elimination of Violence against Women’, 20 December 1993.</w:t>
      </w:r>
    </w:p>
  </w:footnote>
  <w:footnote w:id="14">
    <w:p w14:paraId="7F4F0003" w14:textId="77777777" w:rsidR="00251954" w:rsidRPr="006549A6" w:rsidRDefault="00251954" w:rsidP="006549A6">
      <w:pPr>
        <w:pStyle w:val="FootnoteText"/>
        <w:rPr>
          <w:rFonts w:ascii="Verdana" w:hAnsi="Verdana"/>
          <w:color w:val="7030A0"/>
          <w:sz w:val="16"/>
          <w:szCs w:val="16"/>
        </w:rPr>
      </w:pPr>
      <w:r w:rsidRPr="006549A6">
        <w:rPr>
          <w:rStyle w:val="FootnoteReference"/>
          <w:rFonts w:ascii="Verdana" w:hAnsi="Verdana"/>
          <w:color w:val="7030A0"/>
          <w:sz w:val="16"/>
          <w:szCs w:val="16"/>
        </w:rPr>
        <w:footnoteRef/>
      </w:r>
      <w:r w:rsidRPr="006549A6">
        <w:rPr>
          <w:rFonts w:ascii="Verdana" w:hAnsi="Verdana"/>
          <w:color w:val="7030A0"/>
          <w:sz w:val="16"/>
          <w:szCs w:val="16"/>
        </w:rPr>
        <w:t xml:space="preserve"> Article 2 ECHR; Article 3 ECHR. </w:t>
      </w:r>
    </w:p>
  </w:footnote>
  <w:footnote w:id="15">
    <w:p w14:paraId="14C06ECD" w14:textId="77777777" w:rsidR="00251954" w:rsidRPr="006549A6" w:rsidRDefault="00251954" w:rsidP="006549A6">
      <w:pPr>
        <w:pStyle w:val="FootnoteText"/>
        <w:rPr>
          <w:rFonts w:ascii="Verdana" w:hAnsi="Verdana"/>
          <w:color w:val="7030A0"/>
          <w:sz w:val="16"/>
          <w:szCs w:val="16"/>
        </w:rPr>
      </w:pPr>
      <w:r w:rsidRPr="006549A6">
        <w:rPr>
          <w:rStyle w:val="FootnoteReference"/>
          <w:rFonts w:ascii="Verdana" w:hAnsi="Verdana"/>
          <w:color w:val="7030A0"/>
          <w:sz w:val="16"/>
          <w:szCs w:val="16"/>
        </w:rPr>
        <w:footnoteRef/>
      </w:r>
      <w:r w:rsidRPr="006549A6">
        <w:rPr>
          <w:rFonts w:ascii="Verdana" w:hAnsi="Verdana"/>
          <w:color w:val="7030A0"/>
          <w:sz w:val="16"/>
          <w:szCs w:val="16"/>
        </w:rPr>
        <w:t xml:space="preserve"> </w:t>
      </w:r>
      <w:r w:rsidRPr="006549A6">
        <w:rPr>
          <w:rFonts w:ascii="Verdana" w:hAnsi="Verdana"/>
          <w:i/>
          <w:color w:val="7030A0"/>
          <w:sz w:val="16"/>
          <w:szCs w:val="16"/>
        </w:rPr>
        <w:t>Case of Centre for Legal Resources on Behalf of Valentin Campeanu v Romania</w:t>
      </w:r>
      <w:r w:rsidRPr="006549A6">
        <w:rPr>
          <w:rFonts w:ascii="Verdana" w:hAnsi="Verdana"/>
          <w:color w:val="7030A0"/>
          <w:sz w:val="16"/>
          <w:szCs w:val="16"/>
        </w:rPr>
        <w:t xml:space="preserve"> (2014) ECHR 14.</w:t>
      </w:r>
    </w:p>
  </w:footnote>
  <w:footnote w:id="16">
    <w:p w14:paraId="1457FDDC" w14:textId="633A9909" w:rsidR="00251954" w:rsidRPr="006549A6" w:rsidRDefault="00251954" w:rsidP="006549A6">
      <w:pPr>
        <w:pStyle w:val="FootnoteText"/>
        <w:rPr>
          <w:rFonts w:ascii="Verdana" w:hAnsi="Verdana"/>
          <w:color w:val="7030A0"/>
          <w:sz w:val="16"/>
          <w:szCs w:val="16"/>
        </w:rPr>
      </w:pPr>
      <w:r w:rsidRPr="006549A6">
        <w:rPr>
          <w:rStyle w:val="FootnoteReference"/>
          <w:rFonts w:ascii="Verdana" w:hAnsi="Verdana"/>
          <w:color w:val="7030A0"/>
          <w:sz w:val="16"/>
          <w:szCs w:val="16"/>
        </w:rPr>
        <w:footnoteRef/>
      </w:r>
      <w:r w:rsidRPr="006549A6">
        <w:rPr>
          <w:rFonts w:ascii="Verdana" w:hAnsi="Verdana"/>
          <w:color w:val="7030A0"/>
          <w:sz w:val="16"/>
          <w:szCs w:val="16"/>
        </w:rPr>
        <w:t xml:space="preserve"> </w:t>
      </w:r>
      <w:r w:rsidRPr="006549A6">
        <w:rPr>
          <w:rFonts w:ascii="Verdana" w:hAnsi="Verdana"/>
          <w:i/>
          <w:color w:val="7030A0"/>
          <w:sz w:val="16"/>
          <w:szCs w:val="16"/>
        </w:rPr>
        <w:t>Osman v UK</w:t>
      </w:r>
      <w:r w:rsidRPr="006549A6">
        <w:rPr>
          <w:rFonts w:ascii="Verdana" w:hAnsi="Verdana"/>
          <w:color w:val="7030A0"/>
          <w:sz w:val="16"/>
          <w:szCs w:val="16"/>
        </w:rPr>
        <w:t xml:space="preserve"> (1998) ECHR 101, at para 116.</w:t>
      </w:r>
    </w:p>
  </w:footnote>
  <w:footnote w:id="17">
    <w:p w14:paraId="35675DC1" w14:textId="57FB02BA" w:rsidR="00251954" w:rsidRPr="006549A6" w:rsidRDefault="00251954" w:rsidP="006549A6">
      <w:pPr>
        <w:pStyle w:val="FootnoteText"/>
        <w:rPr>
          <w:rFonts w:ascii="Verdana" w:hAnsi="Verdana"/>
          <w:color w:val="7030A0"/>
          <w:sz w:val="16"/>
          <w:szCs w:val="16"/>
        </w:rPr>
      </w:pPr>
      <w:r w:rsidRPr="006549A6">
        <w:rPr>
          <w:rStyle w:val="FootnoteReference"/>
          <w:rFonts w:ascii="Verdana" w:hAnsi="Verdana"/>
          <w:color w:val="7030A0"/>
          <w:sz w:val="16"/>
          <w:szCs w:val="16"/>
        </w:rPr>
        <w:footnoteRef/>
      </w:r>
      <w:r w:rsidRPr="006549A6">
        <w:rPr>
          <w:rFonts w:ascii="Verdana" w:hAnsi="Verdana"/>
          <w:color w:val="7030A0"/>
          <w:sz w:val="16"/>
          <w:szCs w:val="16"/>
        </w:rPr>
        <w:t xml:space="preserve"> </w:t>
      </w:r>
      <w:r w:rsidRPr="006549A6">
        <w:rPr>
          <w:rFonts w:ascii="Verdana" w:hAnsi="Verdana"/>
          <w:i/>
          <w:color w:val="7030A0"/>
          <w:sz w:val="16"/>
          <w:szCs w:val="16"/>
        </w:rPr>
        <w:t>Chahal v UK</w:t>
      </w:r>
      <w:r w:rsidR="00134B6B">
        <w:rPr>
          <w:rFonts w:ascii="Verdana" w:hAnsi="Verdana"/>
          <w:i/>
          <w:color w:val="7030A0"/>
          <w:sz w:val="16"/>
          <w:szCs w:val="16"/>
        </w:rPr>
        <w:t xml:space="preserve"> </w:t>
      </w:r>
      <w:r w:rsidRPr="006549A6">
        <w:rPr>
          <w:rFonts w:ascii="Verdana" w:hAnsi="Verdana"/>
          <w:color w:val="7030A0"/>
          <w:sz w:val="16"/>
          <w:szCs w:val="16"/>
        </w:rPr>
        <w:t xml:space="preserve">(1996) ECHR 413. </w:t>
      </w:r>
    </w:p>
  </w:footnote>
  <w:footnote w:id="18">
    <w:p w14:paraId="59848031" w14:textId="77777777" w:rsidR="00251954" w:rsidRPr="006549A6" w:rsidRDefault="00251954" w:rsidP="006549A6">
      <w:pPr>
        <w:pStyle w:val="FootnoteText"/>
        <w:rPr>
          <w:rFonts w:ascii="Verdana" w:hAnsi="Verdana"/>
          <w:color w:val="7030A0"/>
          <w:sz w:val="16"/>
          <w:szCs w:val="16"/>
        </w:rPr>
      </w:pPr>
      <w:r w:rsidRPr="006549A6">
        <w:rPr>
          <w:rStyle w:val="FootnoteReference"/>
          <w:rFonts w:ascii="Verdana" w:hAnsi="Verdana"/>
          <w:color w:val="7030A0"/>
          <w:sz w:val="16"/>
          <w:szCs w:val="16"/>
        </w:rPr>
        <w:footnoteRef/>
      </w:r>
      <w:r w:rsidRPr="006549A6">
        <w:rPr>
          <w:rFonts w:ascii="Verdana" w:hAnsi="Verdana"/>
          <w:color w:val="7030A0"/>
          <w:sz w:val="16"/>
          <w:szCs w:val="16"/>
        </w:rPr>
        <w:t xml:space="preserve"> Article 8 ECHR; Article 14 ECHR.</w:t>
      </w:r>
    </w:p>
  </w:footnote>
  <w:footnote w:id="19">
    <w:p w14:paraId="4B36B1CA" w14:textId="77777777" w:rsidR="00251954" w:rsidRPr="006549A6" w:rsidRDefault="00251954" w:rsidP="006549A6">
      <w:pPr>
        <w:pStyle w:val="FootnoteText"/>
        <w:rPr>
          <w:rFonts w:ascii="Verdana" w:hAnsi="Verdana"/>
          <w:color w:val="7030A0"/>
          <w:sz w:val="16"/>
          <w:szCs w:val="16"/>
        </w:rPr>
      </w:pPr>
      <w:r w:rsidRPr="006549A6">
        <w:rPr>
          <w:rStyle w:val="FootnoteReference"/>
          <w:rFonts w:ascii="Verdana" w:hAnsi="Verdana"/>
          <w:color w:val="7030A0"/>
          <w:sz w:val="16"/>
          <w:szCs w:val="16"/>
        </w:rPr>
        <w:footnoteRef/>
      </w:r>
      <w:r w:rsidRPr="006549A6">
        <w:rPr>
          <w:rFonts w:ascii="Verdana" w:hAnsi="Verdana"/>
          <w:color w:val="7030A0"/>
          <w:sz w:val="16"/>
          <w:szCs w:val="16"/>
        </w:rPr>
        <w:t xml:space="preserve"> </w:t>
      </w:r>
      <w:r w:rsidRPr="006549A6">
        <w:rPr>
          <w:rFonts w:ascii="Verdana" w:hAnsi="Verdana"/>
          <w:i/>
          <w:color w:val="7030A0"/>
          <w:sz w:val="16"/>
          <w:szCs w:val="16"/>
        </w:rPr>
        <w:t>Dudgeon v UK</w:t>
      </w:r>
      <w:r w:rsidRPr="006549A6">
        <w:rPr>
          <w:rFonts w:ascii="Verdana" w:hAnsi="Verdana"/>
          <w:color w:val="7030A0"/>
          <w:sz w:val="16"/>
          <w:szCs w:val="16"/>
        </w:rPr>
        <w:t xml:space="preserve"> (1981) ECHR 22. </w:t>
      </w:r>
    </w:p>
  </w:footnote>
  <w:footnote w:id="20">
    <w:p w14:paraId="0C4F71FF" w14:textId="437B8EB2" w:rsidR="00251954" w:rsidRPr="006549A6" w:rsidRDefault="00251954" w:rsidP="006549A6">
      <w:pPr>
        <w:pStyle w:val="FootnoteText"/>
        <w:rPr>
          <w:rFonts w:ascii="Verdana" w:hAnsi="Verdana"/>
          <w:i/>
          <w:color w:val="7030A0"/>
          <w:sz w:val="16"/>
          <w:szCs w:val="16"/>
        </w:rPr>
      </w:pPr>
      <w:r w:rsidRPr="006549A6">
        <w:rPr>
          <w:rStyle w:val="FootnoteReference"/>
          <w:rFonts w:ascii="Verdana" w:hAnsi="Verdana"/>
          <w:color w:val="7030A0"/>
          <w:sz w:val="16"/>
          <w:szCs w:val="16"/>
        </w:rPr>
        <w:footnoteRef/>
      </w:r>
      <w:r w:rsidRPr="006549A6">
        <w:rPr>
          <w:rFonts w:ascii="Verdana" w:hAnsi="Verdana"/>
          <w:color w:val="7030A0"/>
          <w:sz w:val="16"/>
          <w:szCs w:val="16"/>
        </w:rPr>
        <w:t xml:space="preserve"> </w:t>
      </w:r>
      <w:r w:rsidR="00134B6B">
        <w:rPr>
          <w:rFonts w:ascii="Verdana" w:hAnsi="Verdana"/>
          <w:i/>
          <w:color w:val="7030A0"/>
          <w:sz w:val="16"/>
          <w:szCs w:val="16"/>
        </w:rPr>
        <w:t>Milićević v</w:t>
      </w:r>
      <w:r w:rsidRPr="006549A6">
        <w:rPr>
          <w:rFonts w:ascii="Verdana" w:hAnsi="Verdana"/>
          <w:i/>
          <w:color w:val="7030A0"/>
          <w:sz w:val="16"/>
          <w:szCs w:val="16"/>
        </w:rPr>
        <w:t xml:space="preserve"> Montenegro </w:t>
      </w:r>
      <w:r w:rsidRPr="006549A6">
        <w:rPr>
          <w:rFonts w:ascii="Verdana" w:hAnsi="Verdana"/>
          <w:color w:val="7030A0"/>
          <w:sz w:val="16"/>
          <w:szCs w:val="16"/>
        </w:rPr>
        <w:t xml:space="preserve">(2018) ECHR 6; </w:t>
      </w:r>
      <w:r w:rsidRPr="006549A6">
        <w:rPr>
          <w:rFonts w:ascii="Verdana" w:hAnsi="Verdana"/>
          <w:i/>
          <w:color w:val="7030A0"/>
          <w:sz w:val="16"/>
          <w:szCs w:val="16"/>
        </w:rPr>
        <w:t>ES. and Others v. Slovakia</w:t>
      </w:r>
      <w:r w:rsidRPr="006549A6">
        <w:rPr>
          <w:rFonts w:ascii="Verdana" w:hAnsi="Verdana"/>
          <w:color w:val="7030A0"/>
          <w:sz w:val="16"/>
          <w:szCs w:val="16"/>
        </w:rPr>
        <w:t xml:space="preserve"> (2009).</w:t>
      </w:r>
    </w:p>
  </w:footnote>
  <w:footnote w:id="21">
    <w:p w14:paraId="5ED4EE6B" w14:textId="77777777" w:rsidR="00251954" w:rsidRPr="006549A6" w:rsidRDefault="00251954" w:rsidP="006549A6">
      <w:pPr>
        <w:pStyle w:val="FootnoteText"/>
        <w:rPr>
          <w:rFonts w:ascii="Verdana" w:hAnsi="Verdana"/>
          <w:color w:val="7030A0"/>
          <w:sz w:val="16"/>
          <w:szCs w:val="16"/>
        </w:rPr>
      </w:pPr>
      <w:r w:rsidRPr="006549A6">
        <w:rPr>
          <w:rStyle w:val="FootnoteReference"/>
          <w:rFonts w:ascii="Verdana" w:hAnsi="Verdana"/>
          <w:color w:val="7030A0"/>
          <w:sz w:val="16"/>
          <w:szCs w:val="16"/>
        </w:rPr>
        <w:footnoteRef/>
      </w:r>
      <w:r w:rsidRPr="006549A6">
        <w:rPr>
          <w:rFonts w:ascii="Verdana" w:hAnsi="Verdana"/>
          <w:color w:val="7030A0"/>
          <w:sz w:val="16"/>
          <w:szCs w:val="16"/>
        </w:rPr>
        <w:t xml:space="preserve"> </w:t>
      </w:r>
      <w:r w:rsidRPr="006549A6">
        <w:rPr>
          <w:rFonts w:ascii="Verdana" w:hAnsi="Verdana" w:cs="Arial"/>
          <w:i/>
          <w:color w:val="7030A0"/>
          <w:sz w:val="16"/>
          <w:szCs w:val="16"/>
        </w:rPr>
        <w:t xml:space="preserve">Sandra Janković v. Croatia </w:t>
      </w:r>
      <w:r w:rsidRPr="006549A6">
        <w:rPr>
          <w:rFonts w:ascii="Verdana" w:hAnsi="Verdana" w:cs="Arial"/>
          <w:color w:val="7030A0"/>
          <w:sz w:val="16"/>
          <w:szCs w:val="16"/>
        </w:rPr>
        <w:t>(2008) ECHR 24.</w:t>
      </w:r>
      <w:r w:rsidRPr="006549A6">
        <w:rPr>
          <w:rFonts w:ascii="Verdana" w:hAnsi="Verdana" w:cs="Arial"/>
          <w:i/>
          <w:color w:val="7030A0"/>
          <w:sz w:val="16"/>
          <w:szCs w:val="16"/>
        </w:rPr>
        <w:t xml:space="preserve"> </w:t>
      </w:r>
    </w:p>
  </w:footnote>
  <w:footnote w:id="22">
    <w:p w14:paraId="29CB7436" w14:textId="7E42FFD7" w:rsidR="00251954" w:rsidRPr="006549A6" w:rsidRDefault="00251954" w:rsidP="006549A6">
      <w:pPr>
        <w:pStyle w:val="FootnoteText"/>
        <w:rPr>
          <w:rFonts w:ascii="Verdana" w:hAnsi="Verdana"/>
          <w:color w:val="7030A0"/>
          <w:sz w:val="16"/>
          <w:szCs w:val="16"/>
        </w:rPr>
      </w:pPr>
      <w:r w:rsidRPr="006549A6">
        <w:rPr>
          <w:rStyle w:val="FootnoteReference"/>
          <w:rFonts w:ascii="Verdana" w:hAnsi="Verdana"/>
          <w:color w:val="7030A0"/>
          <w:sz w:val="16"/>
          <w:szCs w:val="16"/>
        </w:rPr>
        <w:footnoteRef/>
      </w:r>
      <w:r w:rsidRPr="006549A6">
        <w:rPr>
          <w:rFonts w:ascii="Verdana" w:hAnsi="Verdana"/>
          <w:color w:val="7030A0"/>
          <w:sz w:val="16"/>
          <w:szCs w:val="16"/>
        </w:rPr>
        <w:t xml:space="preserve"> </w:t>
      </w:r>
      <w:r w:rsidRPr="006549A6">
        <w:rPr>
          <w:rFonts w:ascii="Verdana" w:hAnsi="Verdana"/>
          <w:i/>
          <w:color w:val="7030A0"/>
          <w:sz w:val="16"/>
          <w:szCs w:val="16"/>
        </w:rPr>
        <w:t xml:space="preserve">MC v Bulgaria </w:t>
      </w:r>
      <w:r w:rsidRPr="006549A6">
        <w:rPr>
          <w:rFonts w:ascii="Verdana" w:hAnsi="Verdana"/>
          <w:color w:val="7030A0"/>
          <w:sz w:val="16"/>
          <w:szCs w:val="16"/>
        </w:rPr>
        <w:t>(2003) ECHR 646.</w:t>
      </w:r>
    </w:p>
  </w:footnote>
  <w:footnote w:id="23">
    <w:p w14:paraId="7274597F" w14:textId="4C7B5093" w:rsidR="00251954" w:rsidRPr="006549A6" w:rsidRDefault="00251954" w:rsidP="006549A6">
      <w:pPr>
        <w:pStyle w:val="FootnoteText"/>
        <w:rPr>
          <w:rFonts w:ascii="Verdana" w:hAnsi="Verdana"/>
          <w:color w:val="7030A0"/>
          <w:sz w:val="16"/>
          <w:szCs w:val="16"/>
        </w:rPr>
      </w:pPr>
      <w:r w:rsidRPr="006549A6">
        <w:rPr>
          <w:rStyle w:val="FootnoteReference"/>
          <w:rFonts w:ascii="Verdana" w:hAnsi="Verdana"/>
          <w:color w:val="7030A0"/>
          <w:sz w:val="16"/>
          <w:szCs w:val="16"/>
        </w:rPr>
        <w:footnoteRef/>
      </w:r>
      <w:r w:rsidRPr="006549A6">
        <w:rPr>
          <w:rFonts w:ascii="Verdana" w:hAnsi="Verdana"/>
          <w:color w:val="7030A0"/>
          <w:sz w:val="16"/>
          <w:szCs w:val="16"/>
        </w:rPr>
        <w:t xml:space="preserve"> </w:t>
      </w:r>
      <w:r w:rsidR="00134B6B" w:rsidRPr="006549A6">
        <w:rPr>
          <w:rFonts w:ascii="Verdana" w:hAnsi="Verdana"/>
          <w:i/>
          <w:color w:val="7030A0"/>
          <w:sz w:val="16"/>
          <w:szCs w:val="16"/>
        </w:rPr>
        <w:t xml:space="preserve">MC v Bulgaria </w:t>
      </w:r>
      <w:r w:rsidR="00134B6B">
        <w:rPr>
          <w:rFonts w:ascii="Verdana" w:hAnsi="Verdana"/>
          <w:color w:val="7030A0"/>
          <w:sz w:val="16"/>
          <w:szCs w:val="16"/>
        </w:rPr>
        <w:t>(2003) ECHR 646, at para 166.</w:t>
      </w:r>
    </w:p>
  </w:footnote>
  <w:footnote w:id="24">
    <w:p w14:paraId="7D71CC95" w14:textId="77777777" w:rsidR="00251954" w:rsidRPr="006549A6" w:rsidRDefault="00251954" w:rsidP="006549A6">
      <w:pPr>
        <w:pStyle w:val="FootnoteText"/>
        <w:rPr>
          <w:rFonts w:ascii="Verdana" w:hAnsi="Verdana"/>
          <w:color w:val="7030A0"/>
          <w:sz w:val="16"/>
          <w:szCs w:val="16"/>
        </w:rPr>
      </w:pPr>
      <w:r w:rsidRPr="006549A6">
        <w:rPr>
          <w:rStyle w:val="FootnoteReference"/>
          <w:rFonts w:ascii="Verdana" w:hAnsi="Verdana"/>
          <w:color w:val="7030A0"/>
          <w:sz w:val="16"/>
          <w:szCs w:val="16"/>
        </w:rPr>
        <w:footnoteRef/>
      </w:r>
      <w:r w:rsidRPr="006549A6">
        <w:rPr>
          <w:rFonts w:ascii="Verdana" w:hAnsi="Verdana"/>
          <w:color w:val="7030A0"/>
          <w:sz w:val="16"/>
          <w:szCs w:val="16"/>
        </w:rPr>
        <w:t xml:space="preserve"> </w:t>
      </w:r>
      <w:r w:rsidRPr="006549A6">
        <w:rPr>
          <w:rFonts w:ascii="Verdana" w:hAnsi="Verdana"/>
          <w:i/>
          <w:color w:val="7030A0"/>
          <w:sz w:val="16"/>
          <w:szCs w:val="16"/>
        </w:rPr>
        <w:t xml:space="preserve">MC v Bulgaria </w:t>
      </w:r>
      <w:r w:rsidRPr="006549A6">
        <w:rPr>
          <w:rFonts w:ascii="Verdana" w:hAnsi="Verdana"/>
          <w:color w:val="7030A0"/>
          <w:sz w:val="16"/>
          <w:szCs w:val="16"/>
        </w:rPr>
        <w:t>(2003) ECHR 646.</w:t>
      </w:r>
    </w:p>
  </w:footnote>
  <w:footnote w:id="25">
    <w:p w14:paraId="1BB75FA6" w14:textId="77777777" w:rsidR="00251954" w:rsidRPr="006549A6" w:rsidRDefault="00251954" w:rsidP="006549A6">
      <w:pPr>
        <w:pStyle w:val="FootnoteText"/>
        <w:rPr>
          <w:rFonts w:ascii="Verdana" w:hAnsi="Verdana"/>
          <w:color w:val="7030A0"/>
          <w:sz w:val="16"/>
          <w:szCs w:val="16"/>
        </w:rPr>
      </w:pPr>
      <w:r w:rsidRPr="006549A6">
        <w:rPr>
          <w:rStyle w:val="FootnoteReference"/>
          <w:rFonts w:ascii="Verdana" w:hAnsi="Verdana"/>
          <w:color w:val="7030A0"/>
          <w:sz w:val="16"/>
          <w:szCs w:val="16"/>
        </w:rPr>
        <w:footnoteRef/>
      </w:r>
      <w:r w:rsidRPr="006549A6">
        <w:rPr>
          <w:rFonts w:ascii="Verdana" w:hAnsi="Verdana"/>
          <w:color w:val="7030A0"/>
          <w:sz w:val="16"/>
          <w:szCs w:val="16"/>
        </w:rPr>
        <w:t xml:space="preserve"> </w:t>
      </w:r>
      <w:r w:rsidRPr="006549A6">
        <w:rPr>
          <w:rFonts w:ascii="Verdana" w:hAnsi="Verdana"/>
          <w:i/>
          <w:color w:val="7030A0"/>
          <w:sz w:val="16"/>
          <w:szCs w:val="16"/>
        </w:rPr>
        <w:t xml:space="preserve">MC v Bulgaria </w:t>
      </w:r>
      <w:r w:rsidRPr="006549A6">
        <w:rPr>
          <w:rFonts w:ascii="Verdana" w:hAnsi="Verdana"/>
          <w:color w:val="7030A0"/>
          <w:sz w:val="16"/>
          <w:szCs w:val="16"/>
        </w:rPr>
        <w:t>(2003), ECHR 646 at para 166.</w:t>
      </w:r>
    </w:p>
  </w:footnote>
  <w:footnote w:id="26">
    <w:p w14:paraId="64DD2191" w14:textId="77777777" w:rsidR="00251954" w:rsidRPr="006549A6" w:rsidRDefault="00251954" w:rsidP="006549A6">
      <w:pPr>
        <w:pStyle w:val="FootnoteText"/>
        <w:rPr>
          <w:rFonts w:ascii="Verdana" w:hAnsi="Verdana"/>
          <w:color w:val="7030A0"/>
          <w:sz w:val="16"/>
          <w:szCs w:val="16"/>
        </w:rPr>
      </w:pPr>
      <w:r w:rsidRPr="006549A6">
        <w:rPr>
          <w:rStyle w:val="FootnoteReference"/>
          <w:rFonts w:ascii="Verdana" w:hAnsi="Verdana"/>
          <w:color w:val="7030A0"/>
          <w:sz w:val="16"/>
          <w:szCs w:val="16"/>
        </w:rPr>
        <w:footnoteRef/>
      </w:r>
      <w:r w:rsidRPr="006549A6">
        <w:rPr>
          <w:rFonts w:ascii="Verdana" w:hAnsi="Verdana"/>
          <w:color w:val="7030A0"/>
          <w:sz w:val="16"/>
          <w:szCs w:val="16"/>
        </w:rPr>
        <w:t xml:space="preserve"> </w:t>
      </w:r>
      <w:r w:rsidRPr="006549A6">
        <w:rPr>
          <w:rFonts w:ascii="Verdana" w:hAnsi="Verdana"/>
          <w:i/>
          <w:color w:val="7030A0"/>
          <w:sz w:val="16"/>
          <w:szCs w:val="16"/>
        </w:rPr>
        <w:t xml:space="preserve">MC v Bulgaria </w:t>
      </w:r>
      <w:r w:rsidRPr="006549A6">
        <w:rPr>
          <w:rFonts w:ascii="Verdana" w:hAnsi="Verdana"/>
          <w:color w:val="7030A0"/>
          <w:sz w:val="16"/>
          <w:szCs w:val="16"/>
        </w:rPr>
        <w:t xml:space="preserve">(2003), ECHR 646. </w:t>
      </w:r>
    </w:p>
  </w:footnote>
  <w:footnote w:id="27">
    <w:p w14:paraId="125DB5B5" w14:textId="77777777" w:rsidR="00251954" w:rsidRPr="006549A6" w:rsidRDefault="00251954" w:rsidP="006549A6">
      <w:pPr>
        <w:pStyle w:val="FootnoteText"/>
        <w:rPr>
          <w:rFonts w:ascii="Verdana" w:hAnsi="Verdana"/>
          <w:color w:val="7030A0"/>
          <w:sz w:val="16"/>
          <w:szCs w:val="16"/>
        </w:rPr>
      </w:pPr>
      <w:r w:rsidRPr="006549A6">
        <w:rPr>
          <w:rStyle w:val="FootnoteReference"/>
          <w:rFonts w:ascii="Verdana" w:hAnsi="Verdana"/>
          <w:color w:val="7030A0"/>
          <w:sz w:val="16"/>
          <w:szCs w:val="16"/>
        </w:rPr>
        <w:footnoteRef/>
      </w:r>
      <w:r w:rsidRPr="006549A6">
        <w:rPr>
          <w:rFonts w:ascii="Verdana" w:hAnsi="Verdana"/>
          <w:color w:val="7030A0"/>
          <w:sz w:val="16"/>
          <w:szCs w:val="16"/>
        </w:rPr>
        <w:t xml:space="preserve"> </w:t>
      </w:r>
      <w:r w:rsidRPr="006549A6">
        <w:rPr>
          <w:rFonts w:ascii="Verdana" w:hAnsi="Verdana"/>
          <w:i/>
          <w:color w:val="7030A0"/>
          <w:sz w:val="16"/>
          <w:szCs w:val="16"/>
        </w:rPr>
        <w:t>MA v Slovenia</w:t>
      </w:r>
      <w:r w:rsidRPr="006549A6">
        <w:rPr>
          <w:rFonts w:ascii="Verdana" w:hAnsi="Verdana"/>
          <w:color w:val="7030A0"/>
          <w:sz w:val="16"/>
          <w:szCs w:val="16"/>
        </w:rPr>
        <w:t xml:space="preserve"> (2015) ECHR 31; </w:t>
      </w:r>
      <w:r w:rsidRPr="006549A6">
        <w:rPr>
          <w:rFonts w:ascii="Verdana" w:hAnsi="Verdana"/>
          <w:i/>
          <w:color w:val="7030A0"/>
          <w:sz w:val="16"/>
          <w:szCs w:val="16"/>
        </w:rPr>
        <w:t>ND v Slovenia</w:t>
      </w:r>
      <w:r w:rsidRPr="006549A6">
        <w:rPr>
          <w:rFonts w:ascii="Verdana" w:hAnsi="Verdana"/>
          <w:color w:val="7030A0"/>
          <w:sz w:val="16"/>
          <w:szCs w:val="16"/>
        </w:rPr>
        <w:t xml:space="preserve"> (2015) ECHR 15. </w:t>
      </w:r>
    </w:p>
  </w:footnote>
  <w:footnote w:id="28">
    <w:p w14:paraId="3010A829" w14:textId="77777777" w:rsidR="00251954" w:rsidRPr="006549A6" w:rsidRDefault="00251954" w:rsidP="006549A6">
      <w:pPr>
        <w:pStyle w:val="FootnoteText"/>
        <w:rPr>
          <w:rFonts w:ascii="Verdana" w:hAnsi="Verdana"/>
          <w:color w:val="7030A0"/>
          <w:sz w:val="16"/>
          <w:szCs w:val="16"/>
        </w:rPr>
      </w:pPr>
      <w:r w:rsidRPr="006549A6">
        <w:rPr>
          <w:rStyle w:val="FootnoteReference"/>
          <w:rFonts w:ascii="Verdana" w:hAnsi="Verdana"/>
          <w:color w:val="7030A0"/>
          <w:sz w:val="16"/>
          <w:szCs w:val="16"/>
        </w:rPr>
        <w:footnoteRef/>
      </w:r>
      <w:r w:rsidRPr="006549A6">
        <w:rPr>
          <w:rFonts w:ascii="Verdana" w:hAnsi="Verdana"/>
          <w:color w:val="7030A0"/>
          <w:sz w:val="16"/>
          <w:szCs w:val="16"/>
        </w:rPr>
        <w:t xml:space="preserve"> </w:t>
      </w:r>
      <w:r w:rsidRPr="006549A6">
        <w:rPr>
          <w:rFonts w:ascii="Verdana" w:hAnsi="Verdana"/>
          <w:i/>
          <w:color w:val="7030A0"/>
          <w:sz w:val="16"/>
          <w:szCs w:val="16"/>
        </w:rPr>
        <w:t>MA v Slovenia</w:t>
      </w:r>
      <w:r w:rsidRPr="006549A6">
        <w:rPr>
          <w:rFonts w:ascii="Verdana" w:hAnsi="Verdana"/>
          <w:color w:val="7030A0"/>
          <w:sz w:val="16"/>
          <w:szCs w:val="16"/>
        </w:rPr>
        <w:t xml:space="preserve"> (2015) ECHR 31 at para 47. </w:t>
      </w:r>
    </w:p>
  </w:footnote>
  <w:footnote w:id="29">
    <w:p w14:paraId="0A100AB5" w14:textId="77777777" w:rsidR="00251954" w:rsidRPr="006549A6" w:rsidRDefault="00251954" w:rsidP="006549A6">
      <w:pPr>
        <w:pStyle w:val="FootnoteText"/>
        <w:rPr>
          <w:rFonts w:ascii="Verdana" w:hAnsi="Verdana"/>
          <w:color w:val="7030A0"/>
          <w:sz w:val="16"/>
          <w:szCs w:val="16"/>
        </w:rPr>
      </w:pPr>
      <w:r w:rsidRPr="006549A6">
        <w:rPr>
          <w:rStyle w:val="FootnoteReference"/>
          <w:rFonts w:ascii="Verdana" w:hAnsi="Verdana"/>
          <w:color w:val="7030A0"/>
          <w:sz w:val="16"/>
          <w:szCs w:val="16"/>
        </w:rPr>
        <w:footnoteRef/>
      </w:r>
      <w:r w:rsidRPr="006549A6">
        <w:rPr>
          <w:rFonts w:ascii="Verdana" w:hAnsi="Verdana"/>
          <w:color w:val="7030A0"/>
          <w:sz w:val="16"/>
          <w:szCs w:val="16"/>
        </w:rPr>
        <w:t xml:space="preserve"> </w:t>
      </w:r>
      <w:r w:rsidRPr="006549A6">
        <w:rPr>
          <w:rFonts w:ascii="Verdana" w:hAnsi="Verdana"/>
          <w:i/>
          <w:color w:val="7030A0"/>
          <w:sz w:val="16"/>
          <w:szCs w:val="16"/>
        </w:rPr>
        <w:t xml:space="preserve">MC v Bulgaria </w:t>
      </w:r>
      <w:r w:rsidRPr="006549A6">
        <w:rPr>
          <w:rFonts w:ascii="Verdana" w:hAnsi="Verdana"/>
          <w:color w:val="7030A0"/>
          <w:sz w:val="16"/>
          <w:szCs w:val="16"/>
        </w:rPr>
        <w:t xml:space="preserve">(2003), ECHR 646 at para 181. </w:t>
      </w:r>
    </w:p>
  </w:footnote>
  <w:footnote w:id="30">
    <w:p w14:paraId="585E60EE" w14:textId="2867ECFB" w:rsidR="00251954" w:rsidRPr="006549A6" w:rsidRDefault="00251954" w:rsidP="006549A6">
      <w:pPr>
        <w:pStyle w:val="FootnoteText"/>
        <w:rPr>
          <w:rFonts w:ascii="Verdana" w:hAnsi="Verdana"/>
          <w:color w:val="7030A0"/>
          <w:sz w:val="16"/>
          <w:szCs w:val="16"/>
        </w:rPr>
      </w:pPr>
      <w:r w:rsidRPr="006549A6">
        <w:rPr>
          <w:rStyle w:val="FootnoteReference"/>
          <w:rFonts w:ascii="Verdana" w:hAnsi="Verdana"/>
          <w:color w:val="7030A0"/>
          <w:sz w:val="16"/>
          <w:szCs w:val="16"/>
        </w:rPr>
        <w:footnoteRef/>
      </w:r>
      <w:r w:rsidRPr="006549A6">
        <w:rPr>
          <w:rFonts w:ascii="Verdana" w:hAnsi="Verdana"/>
          <w:color w:val="7030A0"/>
          <w:sz w:val="16"/>
          <w:szCs w:val="16"/>
        </w:rPr>
        <w:t xml:space="preserve"> </w:t>
      </w:r>
      <w:r w:rsidR="00D72DF4" w:rsidRPr="006549A6">
        <w:rPr>
          <w:rFonts w:ascii="Verdana" w:hAnsi="Verdana"/>
          <w:color w:val="7030A0"/>
          <w:sz w:val="16"/>
          <w:szCs w:val="16"/>
        </w:rPr>
        <w:t>House of Commons Public Bill Committee, ‘</w:t>
      </w:r>
      <w:r w:rsidRPr="006549A6">
        <w:rPr>
          <w:rFonts w:ascii="Verdana" w:hAnsi="Verdana"/>
          <w:color w:val="7030A0"/>
          <w:sz w:val="16"/>
          <w:szCs w:val="16"/>
        </w:rPr>
        <w:t>Evidence for the Public Bill Committee</w:t>
      </w:r>
      <w:r w:rsidR="00D72DF4" w:rsidRPr="006549A6">
        <w:rPr>
          <w:rFonts w:ascii="Verdana" w:hAnsi="Verdana"/>
          <w:color w:val="7030A0"/>
          <w:sz w:val="16"/>
          <w:szCs w:val="16"/>
        </w:rPr>
        <w:t xml:space="preserve"> - We Can’t Consent To This - </w:t>
      </w:r>
      <w:r w:rsidRPr="006549A6">
        <w:rPr>
          <w:rFonts w:ascii="Verdana" w:hAnsi="Verdana"/>
          <w:color w:val="7030A0"/>
          <w:sz w:val="16"/>
          <w:szCs w:val="16"/>
        </w:rPr>
        <w:t xml:space="preserve"> Domestic Abuse Bill 2019-21</w:t>
      </w:r>
      <w:r w:rsidR="00D72DF4" w:rsidRPr="006549A6">
        <w:rPr>
          <w:rFonts w:ascii="Verdana" w:hAnsi="Verdana"/>
          <w:color w:val="7030A0"/>
          <w:sz w:val="16"/>
          <w:szCs w:val="16"/>
        </w:rPr>
        <w:t>’ (HoC, 2020).</w:t>
      </w:r>
      <w:r w:rsidRPr="006549A6">
        <w:rPr>
          <w:rFonts w:ascii="Verdana" w:hAnsi="Verdana"/>
          <w:color w:val="7030A0"/>
          <w:sz w:val="16"/>
          <w:szCs w:val="16"/>
        </w:rPr>
        <w:t xml:space="preserve"> </w:t>
      </w:r>
    </w:p>
  </w:footnote>
  <w:footnote w:id="31">
    <w:p w14:paraId="28B5AA45" w14:textId="3B9D7C3C" w:rsidR="008B5CBE" w:rsidRPr="006549A6" w:rsidRDefault="008B5CBE" w:rsidP="006549A6">
      <w:pPr>
        <w:pStyle w:val="FootnoteText"/>
        <w:rPr>
          <w:rFonts w:ascii="Verdana" w:hAnsi="Verdana"/>
          <w:color w:val="7030A0"/>
          <w:sz w:val="16"/>
          <w:szCs w:val="16"/>
        </w:rPr>
      </w:pPr>
      <w:r w:rsidRPr="006549A6">
        <w:rPr>
          <w:rStyle w:val="FootnoteReference"/>
          <w:rFonts w:ascii="Verdana" w:hAnsi="Verdana"/>
          <w:color w:val="7030A0"/>
          <w:sz w:val="16"/>
          <w:szCs w:val="16"/>
        </w:rPr>
        <w:footnoteRef/>
      </w:r>
      <w:r w:rsidRPr="006549A6">
        <w:rPr>
          <w:rFonts w:ascii="Verdana" w:hAnsi="Verdana"/>
          <w:color w:val="7030A0"/>
          <w:sz w:val="16"/>
          <w:szCs w:val="16"/>
        </w:rPr>
        <w:t xml:space="preserve"> </w:t>
      </w:r>
      <w:r w:rsidRPr="006549A6">
        <w:rPr>
          <w:rFonts w:ascii="Verdana" w:hAnsi="Verdana"/>
          <w:i/>
          <w:color w:val="7030A0"/>
          <w:sz w:val="16"/>
          <w:szCs w:val="16"/>
        </w:rPr>
        <w:t>R v Brown</w:t>
      </w:r>
      <w:r w:rsidRPr="006549A6">
        <w:rPr>
          <w:rFonts w:ascii="Verdana" w:hAnsi="Verdana"/>
          <w:color w:val="7030A0"/>
          <w:sz w:val="16"/>
          <w:szCs w:val="16"/>
        </w:rPr>
        <w:t xml:space="preserve"> (1993) UKHL 19.</w:t>
      </w:r>
    </w:p>
  </w:footnote>
  <w:footnote w:id="32">
    <w:p w14:paraId="4BDF77A4" w14:textId="77777777" w:rsidR="00251954" w:rsidRPr="006549A6" w:rsidRDefault="00251954" w:rsidP="006549A6">
      <w:pPr>
        <w:pStyle w:val="FootnoteText"/>
        <w:rPr>
          <w:rFonts w:ascii="Verdana" w:hAnsi="Verdana"/>
          <w:color w:val="7030A0"/>
          <w:sz w:val="16"/>
          <w:szCs w:val="16"/>
        </w:rPr>
      </w:pPr>
      <w:r w:rsidRPr="006549A6">
        <w:rPr>
          <w:rStyle w:val="FootnoteReference"/>
          <w:rFonts w:ascii="Verdana" w:hAnsi="Verdana"/>
          <w:color w:val="7030A0"/>
          <w:sz w:val="16"/>
          <w:szCs w:val="16"/>
        </w:rPr>
        <w:footnoteRef/>
      </w:r>
      <w:r w:rsidRPr="006549A6">
        <w:rPr>
          <w:rFonts w:ascii="Verdana" w:hAnsi="Verdana"/>
          <w:color w:val="7030A0"/>
          <w:sz w:val="16"/>
          <w:szCs w:val="16"/>
        </w:rPr>
        <w:t xml:space="preserve"> </w:t>
      </w:r>
      <w:r w:rsidRPr="006549A6">
        <w:rPr>
          <w:rFonts w:ascii="Verdana" w:hAnsi="Verdana"/>
          <w:i/>
          <w:color w:val="7030A0"/>
          <w:sz w:val="16"/>
          <w:szCs w:val="16"/>
        </w:rPr>
        <w:t>R v Brown</w:t>
      </w:r>
      <w:r w:rsidRPr="006549A6">
        <w:rPr>
          <w:rFonts w:ascii="Verdana" w:hAnsi="Verdana"/>
          <w:color w:val="7030A0"/>
          <w:sz w:val="16"/>
          <w:szCs w:val="16"/>
        </w:rPr>
        <w:t xml:space="preserve"> (1993) UKHL 19.</w:t>
      </w:r>
    </w:p>
  </w:footnote>
  <w:footnote w:id="33">
    <w:p w14:paraId="52C08686" w14:textId="77777777" w:rsidR="00251954" w:rsidRPr="006549A6" w:rsidRDefault="00251954" w:rsidP="006549A6">
      <w:pPr>
        <w:pStyle w:val="FootnoteText"/>
        <w:rPr>
          <w:rFonts w:ascii="Verdana" w:hAnsi="Verdana"/>
          <w:color w:val="7030A0"/>
          <w:sz w:val="16"/>
          <w:szCs w:val="16"/>
        </w:rPr>
      </w:pPr>
      <w:r w:rsidRPr="006549A6">
        <w:rPr>
          <w:rStyle w:val="FootnoteReference"/>
          <w:rFonts w:ascii="Verdana" w:hAnsi="Verdana"/>
          <w:color w:val="7030A0"/>
          <w:sz w:val="16"/>
          <w:szCs w:val="16"/>
        </w:rPr>
        <w:footnoteRef/>
      </w:r>
      <w:r w:rsidRPr="006549A6">
        <w:rPr>
          <w:rFonts w:ascii="Verdana" w:hAnsi="Verdana"/>
          <w:color w:val="7030A0"/>
          <w:sz w:val="16"/>
          <w:szCs w:val="16"/>
        </w:rPr>
        <w:t xml:space="preserve"> </w:t>
      </w:r>
      <w:r w:rsidRPr="006549A6">
        <w:rPr>
          <w:rFonts w:ascii="Verdana" w:hAnsi="Verdana"/>
          <w:i/>
          <w:color w:val="7030A0"/>
          <w:sz w:val="16"/>
          <w:szCs w:val="16"/>
        </w:rPr>
        <w:t>R v Brown</w:t>
      </w:r>
      <w:r w:rsidRPr="006549A6">
        <w:rPr>
          <w:rFonts w:ascii="Verdana" w:hAnsi="Verdana"/>
          <w:color w:val="7030A0"/>
          <w:sz w:val="16"/>
          <w:szCs w:val="16"/>
        </w:rPr>
        <w:t xml:space="preserve"> (1993) UKHL 19.</w:t>
      </w:r>
    </w:p>
  </w:footnote>
  <w:footnote w:id="34">
    <w:p w14:paraId="627CCAF4" w14:textId="53A20069" w:rsidR="00251954" w:rsidRPr="006549A6" w:rsidRDefault="00251954" w:rsidP="006549A6">
      <w:pPr>
        <w:pStyle w:val="Heading1"/>
        <w:shd w:val="clear" w:color="auto" w:fill="FFFFFF"/>
        <w:spacing w:before="0"/>
        <w:rPr>
          <w:rFonts w:eastAsia="Times New Roman" w:cs="Segoe UI"/>
          <w:color w:val="7030A0"/>
          <w:kern w:val="36"/>
          <w:sz w:val="16"/>
          <w:szCs w:val="16"/>
          <w:lang w:eastAsia="en-GB"/>
        </w:rPr>
      </w:pPr>
      <w:r w:rsidRPr="006549A6">
        <w:rPr>
          <w:rStyle w:val="FootnoteReference"/>
          <w:color w:val="7030A0"/>
          <w:sz w:val="16"/>
          <w:szCs w:val="16"/>
        </w:rPr>
        <w:footnoteRef/>
      </w:r>
      <w:r w:rsidRPr="006549A6">
        <w:rPr>
          <w:color w:val="7030A0"/>
          <w:sz w:val="16"/>
          <w:szCs w:val="16"/>
        </w:rPr>
        <w:t xml:space="preserve"> </w:t>
      </w:r>
      <w:r w:rsidRPr="006549A6">
        <w:rPr>
          <w:rFonts w:eastAsia="Times New Roman" w:cs="Segoe UI"/>
          <w:b w:val="0"/>
          <w:i/>
          <w:color w:val="7030A0"/>
          <w:kern w:val="36"/>
          <w:sz w:val="16"/>
          <w:szCs w:val="16"/>
          <w:lang w:eastAsia="en-GB"/>
        </w:rPr>
        <w:t>R v Slingsby</w:t>
      </w:r>
      <w:r w:rsidRPr="006549A6">
        <w:rPr>
          <w:rFonts w:eastAsia="Times New Roman" w:cs="Segoe UI"/>
          <w:b w:val="0"/>
          <w:color w:val="7030A0"/>
          <w:kern w:val="36"/>
          <w:sz w:val="16"/>
          <w:szCs w:val="16"/>
          <w:lang w:eastAsia="en-GB"/>
        </w:rPr>
        <w:t xml:space="preserve"> (1995) Crim LR 570.</w:t>
      </w:r>
    </w:p>
  </w:footnote>
  <w:footnote w:id="35">
    <w:p w14:paraId="455A794A" w14:textId="2F7C77E3" w:rsidR="00251954" w:rsidRPr="006549A6" w:rsidRDefault="00251954" w:rsidP="006549A6">
      <w:pPr>
        <w:pStyle w:val="FootnoteText"/>
        <w:rPr>
          <w:rFonts w:ascii="Verdana" w:hAnsi="Verdana"/>
          <w:color w:val="7030A0"/>
          <w:sz w:val="16"/>
          <w:szCs w:val="16"/>
        </w:rPr>
      </w:pPr>
      <w:r w:rsidRPr="006549A6">
        <w:rPr>
          <w:rStyle w:val="FootnoteReference"/>
          <w:rFonts w:ascii="Verdana" w:hAnsi="Verdana"/>
          <w:color w:val="7030A0"/>
          <w:sz w:val="16"/>
          <w:szCs w:val="16"/>
        </w:rPr>
        <w:footnoteRef/>
      </w:r>
      <w:r w:rsidRPr="006549A6">
        <w:rPr>
          <w:rFonts w:ascii="Verdana" w:hAnsi="Verdana"/>
          <w:color w:val="7030A0"/>
          <w:sz w:val="16"/>
          <w:szCs w:val="16"/>
        </w:rPr>
        <w:t xml:space="preserve"> </w:t>
      </w:r>
      <w:r w:rsidRPr="006549A6">
        <w:rPr>
          <w:rFonts w:ascii="Verdana" w:hAnsi="Verdana"/>
          <w:i/>
          <w:color w:val="7030A0"/>
          <w:sz w:val="16"/>
          <w:szCs w:val="16"/>
        </w:rPr>
        <w:t>R v Broadhurst</w:t>
      </w:r>
      <w:r w:rsidRPr="006549A6">
        <w:rPr>
          <w:rFonts w:ascii="Verdana" w:hAnsi="Verdana"/>
          <w:color w:val="7030A0"/>
          <w:sz w:val="16"/>
          <w:szCs w:val="16"/>
        </w:rPr>
        <w:t xml:space="preserve"> (2018) EWCA Crim 2026. </w:t>
      </w:r>
    </w:p>
  </w:footnote>
  <w:footnote w:id="36">
    <w:p w14:paraId="48396E04" w14:textId="6654541B" w:rsidR="00251954" w:rsidRPr="006549A6" w:rsidRDefault="00251954" w:rsidP="006549A6">
      <w:pPr>
        <w:pStyle w:val="FootnoteText"/>
        <w:rPr>
          <w:rFonts w:ascii="Verdana" w:hAnsi="Verdana"/>
          <w:color w:val="7030A0"/>
          <w:sz w:val="16"/>
          <w:szCs w:val="16"/>
        </w:rPr>
      </w:pPr>
      <w:r w:rsidRPr="006549A6">
        <w:rPr>
          <w:rStyle w:val="FootnoteReference"/>
          <w:rFonts w:ascii="Verdana" w:hAnsi="Verdana"/>
          <w:color w:val="7030A0"/>
          <w:sz w:val="16"/>
          <w:szCs w:val="16"/>
        </w:rPr>
        <w:footnoteRef/>
      </w:r>
      <w:r w:rsidRPr="006549A6">
        <w:rPr>
          <w:rFonts w:ascii="Verdana" w:hAnsi="Verdana"/>
          <w:color w:val="7030A0"/>
          <w:sz w:val="16"/>
          <w:szCs w:val="16"/>
        </w:rPr>
        <w:t xml:space="preserve"> We Can’t Consent to This, ‘Northern Ireland Consultation on </w:t>
      </w:r>
      <w:r w:rsidR="00D72DF4" w:rsidRPr="006549A6">
        <w:rPr>
          <w:rFonts w:ascii="Verdana" w:hAnsi="Verdana"/>
          <w:color w:val="7030A0"/>
          <w:sz w:val="16"/>
          <w:szCs w:val="16"/>
        </w:rPr>
        <w:t>C</w:t>
      </w:r>
      <w:r w:rsidRPr="006549A6">
        <w:rPr>
          <w:rFonts w:ascii="Verdana" w:hAnsi="Verdana"/>
          <w:color w:val="7030A0"/>
          <w:sz w:val="16"/>
          <w:szCs w:val="16"/>
        </w:rPr>
        <w:t xml:space="preserve">hanging the </w:t>
      </w:r>
      <w:r w:rsidR="00D72DF4" w:rsidRPr="006549A6">
        <w:rPr>
          <w:rFonts w:ascii="Verdana" w:hAnsi="Verdana"/>
          <w:color w:val="7030A0"/>
          <w:sz w:val="16"/>
          <w:szCs w:val="16"/>
        </w:rPr>
        <w:t>L</w:t>
      </w:r>
      <w:r w:rsidRPr="006549A6">
        <w:rPr>
          <w:rFonts w:ascii="Verdana" w:hAnsi="Verdana"/>
          <w:color w:val="7030A0"/>
          <w:sz w:val="16"/>
          <w:szCs w:val="16"/>
        </w:rPr>
        <w:t>aw on ‘</w:t>
      </w:r>
      <w:r w:rsidR="00D72DF4" w:rsidRPr="006549A6">
        <w:rPr>
          <w:rFonts w:ascii="Verdana" w:hAnsi="Verdana"/>
          <w:color w:val="7030A0"/>
          <w:sz w:val="16"/>
          <w:szCs w:val="16"/>
        </w:rPr>
        <w:t>R</w:t>
      </w:r>
      <w:r w:rsidRPr="006549A6">
        <w:rPr>
          <w:rFonts w:ascii="Verdana" w:hAnsi="Verdana"/>
          <w:color w:val="7030A0"/>
          <w:sz w:val="16"/>
          <w:szCs w:val="16"/>
        </w:rPr>
        <w:t xml:space="preserve">ough </w:t>
      </w:r>
      <w:r w:rsidR="00D72DF4" w:rsidRPr="006549A6">
        <w:rPr>
          <w:rFonts w:ascii="Verdana" w:hAnsi="Verdana"/>
          <w:color w:val="7030A0"/>
          <w:sz w:val="16"/>
          <w:szCs w:val="16"/>
        </w:rPr>
        <w:t>S</w:t>
      </w:r>
      <w:r w:rsidRPr="006549A6">
        <w:rPr>
          <w:rFonts w:ascii="Verdana" w:hAnsi="Verdana"/>
          <w:color w:val="7030A0"/>
          <w:sz w:val="16"/>
          <w:szCs w:val="16"/>
        </w:rPr>
        <w:t>ex’ Defences’</w:t>
      </w:r>
      <w:r w:rsidR="00D72DF4" w:rsidRPr="006549A6">
        <w:rPr>
          <w:rFonts w:ascii="Verdana" w:hAnsi="Verdana"/>
          <w:color w:val="7030A0"/>
          <w:sz w:val="16"/>
          <w:szCs w:val="16"/>
        </w:rPr>
        <w:t xml:space="preserve"> (We Can’t Consent to This, 2020).</w:t>
      </w:r>
    </w:p>
  </w:footnote>
  <w:footnote w:id="37">
    <w:p w14:paraId="0839D201" w14:textId="6F34E06E" w:rsidR="00251954" w:rsidRPr="006549A6" w:rsidRDefault="00251954" w:rsidP="006549A6">
      <w:pPr>
        <w:pStyle w:val="FootnoteText"/>
        <w:rPr>
          <w:rFonts w:ascii="Verdana" w:hAnsi="Verdana"/>
          <w:color w:val="7030A0"/>
          <w:sz w:val="16"/>
          <w:szCs w:val="16"/>
        </w:rPr>
      </w:pPr>
      <w:r w:rsidRPr="006549A6">
        <w:rPr>
          <w:rStyle w:val="FootnoteReference"/>
          <w:rFonts w:ascii="Verdana" w:hAnsi="Verdana"/>
          <w:color w:val="7030A0"/>
          <w:sz w:val="16"/>
          <w:szCs w:val="16"/>
        </w:rPr>
        <w:footnoteRef/>
      </w:r>
      <w:r w:rsidRPr="006549A6">
        <w:rPr>
          <w:rFonts w:ascii="Verdana" w:hAnsi="Verdana"/>
          <w:color w:val="7030A0"/>
          <w:sz w:val="16"/>
          <w:szCs w:val="16"/>
        </w:rPr>
        <w:t xml:space="preserve"> We Can’t Consent To This, ‘Women and Girls from Northern Ireland’. Available at: </w:t>
      </w:r>
      <w:hyperlink r:id="rId1" w:history="1">
        <w:r w:rsidRPr="006549A6">
          <w:rPr>
            <w:rStyle w:val="Hyperlink"/>
            <w:rFonts w:ascii="Verdana" w:hAnsi="Verdana"/>
            <w:color w:val="7030A0"/>
            <w:sz w:val="16"/>
            <w:szCs w:val="16"/>
          </w:rPr>
          <w:t>https://wecantconsenttothis.uk/northern-ireland</w:t>
        </w:r>
      </w:hyperlink>
      <w:r w:rsidRPr="006549A6">
        <w:rPr>
          <w:rFonts w:ascii="Verdana" w:hAnsi="Verdana"/>
          <w:color w:val="7030A0"/>
          <w:sz w:val="16"/>
          <w:szCs w:val="16"/>
        </w:rPr>
        <w:t xml:space="preserve"> </w:t>
      </w:r>
    </w:p>
  </w:footnote>
  <w:footnote w:id="38">
    <w:p w14:paraId="19C15BF6" w14:textId="77777777" w:rsidR="00251954" w:rsidRPr="006549A6" w:rsidRDefault="00251954" w:rsidP="006549A6">
      <w:pPr>
        <w:pStyle w:val="FootnoteText"/>
        <w:rPr>
          <w:rFonts w:ascii="Verdana" w:hAnsi="Verdana"/>
          <w:color w:val="7030A0"/>
          <w:sz w:val="16"/>
          <w:szCs w:val="16"/>
        </w:rPr>
      </w:pPr>
      <w:r w:rsidRPr="006549A6">
        <w:rPr>
          <w:rStyle w:val="FootnoteReference"/>
          <w:rFonts w:ascii="Verdana" w:hAnsi="Verdana"/>
          <w:color w:val="7030A0"/>
          <w:sz w:val="16"/>
          <w:szCs w:val="16"/>
        </w:rPr>
        <w:footnoteRef/>
      </w:r>
      <w:r w:rsidRPr="006549A6">
        <w:rPr>
          <w:rFonts w:ascii="Verdana" w:hAnsi="Verdana"/>
          <w:color w:val="7030A0"/>
          <w:sz w:val="16"/>
          <w:szCs w:val="16"/>
        </w:rPr>
        <w:t xml:space="preserve"> CAT/C/GBR/CO/6, ‘UN CAT Committee Concluding Observations on the Sixth Periodic Report of the UK of Great Britain and NI’, 7 June 2019, at para 56; CEDAW/C/GBR/CO/8, ‘UN CEDAW Committee Concluding Observations on the Eighth Periodic Report of the UK of Great Britain and NI’, 14 March 2019, at para 29.</w:t>
      </w:r>
    </w:p>
  </w:footnote>
  <w:footnote w:id="39">
    <w:p w14:paraId="29F1998D" w14:textId="150587A0" w:rsidR="00251954" w:rsidRPr="006549A6" w:rsidRDefault="00251954" w:rsidP="006549A6">
      <w:pPr>
        <w:pStyle w:val="FootnoteText"/>
        <w:rPr>
          <w:rFonts w:ascii="Verdana" w:hAnsi="Verdana"/>
          <w:color w:val="7030A0"/>
          <w:sz w:val="16"/>
          <w:szCs w:val="16"/>
        </w:rPr>
      </w:pPr>
      <w:r w:rsidRPr="006549A6">
        <w:rPr>
          <w:rStyle w:val="FootnoteReference"/>
          <w:rFonts w:ascii="Verdana" w:hAnsi="Verdana"/>
          <w:color w:val="7030A0"/>
          <w:sz w:val="16"/>
          <w:szCs w:val="16"/>
        </w:rPr>
        <w:footnoteRef/>
      </w:r>
      <w:r w:rsidRPr="006549A6">
        <w:rPr>
          <w:rFonts w:ascii="Verdana" w:hAnsi="Verdana"/>
          <w:color w:val="7030A0"/>
          <w:sz w:val="16"/>
          <w:szCs w:val="16"/>
        </w:rPr>
        <w:t xml:space="preserve">  </w:t>
      </w:r>
      <w:r w:rsidR="00E3688C" w:rsidRPr="006549A6">
        <w:rPr>
          <w:rFonts w:ascii="Verdana" w:hAnsi="Verdana"/>
          <w:color w:val="7030A0"/>
          <w:sz w:val="16"/>
          <w:szCs w:val="16"/>
        </w:rPr>
        <w:t>CAT/C/GBR/CO/6, ‘UN CAT Committee Concluding Observations on the Sixth Periodic Report of the UK of Great Britain and NI’, 7 June 2019, at para 56; CEDAW/C/GBR/CO/8, ‘UN CEDAW Committee Concluding Observations on the Eighth Periodic Report of the UK of Great Britain and NI’, 14 March 2019, at para 29</w:t>
      </w:r>
      <w:r w:rsidRPr="006549A6">
        <w:rPr>
          <w:rFonts w:ascii="Verdana" w:hAnsi="Verdana"/>
          <w:color w:val="7030A0"/>
          <w:sz w:val="16"/>
          <w:szCs w:val="16"/>
        </w:rPr>
        <w:t>.</w:t>
      </w:r>
    </w:p>
  </w:footnote>
  <w:footnote w:id="40">
    <w:p w14:paraId="349C7E01" w14:textId="77777777" w:rsidR="00251954" w:rsidRPr="006549A6" w:rsidRDefault="00251954" w:rsidP="006549A6">
      <w:pPr>
        <w:pStyle w:val="FootnoteText"/>
        <w:rPr>
          <w:rFonts w:ascii="Verdana" w:hAnsi="Verdana"/>
          <w:color w:val="7030A0"/>
          <w:sz w:val="16"/>
          <w:szCs w:val="16"/>
        </w:rPr>
      </w:pPr>
      <w:r w:rsidRPr="006549A6">
        <w:rPr>
          <w:rStyle w:val="FootnoteReference"/>
          <w:rFonts w:ascii="Verdana" w:hAnsi="Verdana"/>
          <w:color w:val="7030A0"/>
          <w:sz w:val="16"/>
          <w:szCs w:val="16"/>
        </w:rPr>
        <w:footnoteRef/>
      </w:r>
      <w:r w:rsidRPr="006549A6">
        <w:rPr>
          <w:rFonts w:ascii="Verdana" w:hAnsi="Verdana"/>
          <w:color w:val="7030A0"/>
          <w:sz w:val="16"/>
          <w:szCs w:val="16"/>
        </w:rPr>
        <w:t xml:space="preserve"> Article 1, UN CEDAW. Ratified by the UK 1986.</w:t>
      </w:r>
    </w:p>
  </w:footnote>
  <w:footnote w:id="41">
    <w:p w14:paraId="729AC6A6" w14:textId="77777777" w:rsidR="00251954" w:rsidRPr="006549A6" w:rsidRDefault="00251954" w:rsidP="006549A6">
      <w:pPr>
        <w:pStyle w:val="FootnoteText"/>
        <w:rPr>
          <w:rFonts w:ascii="Verdana" w:hAnsi="Verdana"/>
          <w:color w:val="7030A0"/>
          <w:sz w:val="16"/>
          <w:szCs w:val="16"/>
        </w:rPr>
      </w:pPr>
      <w:r w:rsidRPr="006549A6">
        <w:rPr>
          <w:rStyle w:val="FootnoteReference"/>
          <w:rFonts w:ascii="Verdana" w:hAnsi="Verdana"/>
          <w:color w:val="7030A0"/>
          <w:sz w:val="16"/>
          <w:szCs w:val="16"/>
        </w:rPr>
        <w:footnoteRef/>
      </w:r>
      <w:r w:rsidRPr="006549A6">
        <w:rPr>
          <w:rFonts w:ascii="Verdana" w:hAnsi="Verdana"/>
          <w:color w:val="7030A0"/>
          <w:sz w:val="16"/>
          <w:szCs w:val="16"/>
        </w:rPr>
        <w:t xml:space="preserve"> Article 2, UN CEDAW. Ratified by the UK 1986.</w:t>
      </w:r>
    </w:p>
  </w:footnote>
  <w:footnote w:id="42">
    <w:p w14:paraId="3C7E515D" w14:textId="319853B4" w:rsidR="00251954" w:rsidRPr="006549A6" w:rsidRDefault="00251954" w:rsidP="006549A6">
      <w:pPr>
        <w:pStyle w:val="FootnoteText"/>
        <w:rPr>
          <w:rFonts w:ascii="Verdana" w:hAnsi="Verdana"/>
          <w:color w:val="7030A0"/>
          <w:sz w:val="16"/>
          <w:szCs w:val="16"/>
        </w:rPr>
      </w:pPr>
      <w:r w:rsidRPr="006549A6">
        <w:rPr>
          <w:rStyle w:val="FootnoteReference"/>
          <w:rFonts w:ascii="Verdana" w:hAnsi="Verdana"/>
          <w:color w:val="7030A0"/>
          <w:sz w:val="16"/>
          <w:szCs w:val="16"/>
        </w:rPr>
        <w:footnoteRef/>
      </w:r>
      <w:r w:rsidRPr="006549A6">
        <w:rPr>
          <w:rFonts w:ascii="Verdana" w:hAnsi="Verdana"/>
          <w:color w:val="7030A0"/>
          <w:sz w:val="16"/>
          <w:szCs w:val="16"/>
        </w:rPr>
        <w:t xml:space="preserve"> CEDAW/C/GC/35, ‘UN CEDAW Committee General </w:t>
      </w:r>
      <w:r w:rsidR="00E3688C" w:rsidRPr="006549A6">
        <w:rPr>
          <w:rFonts w:ascii="Verdana" w:hAnsi="Verdana"/>
          <w:color w:val="7030A0"/>
          <w:sz w:val="16"/>
          <w:szCs w:val="16"/>
        </w:rPr>
        <w:t>R</w:t>
      </w:r>
      <w:r w:rsidRPr="006549A6">
        <w:rPr>
          <w:rFonts w:ascii="Verdana" w:hAnsi="Verdana"/>
          <w:color w:val="7030A0"/>
          <w:sz w:val="16"/>
          <w:szCs w:val="16"/>
        </w:rPr>
        <w:t>ecommendation No 35</w:t>
      </w:r>
      <w:r w:rsidR="00E3688C" w:rsidRPr="006549A6">
        <w:rPr>
          <w:rFonts w:ascii="Verdana" w:hAnsi="Verdana"/>
          <w:color w:val="7030A0"/>
          <w:sz w:val="16"/>
          <w:szCs w:val="16"/>
        </w:rPr>
        <w:t>:</w:t>
      </w:r>
      <w:r w:rsidRPr="006549A6">
        <w:rPr>
          <w:rFonts w:ascii="Verdana" w:hAnsi="Verdana"/>
          <w:color w:val="7030A0"/>
          <w:sz w:val="16"/>
          <w:szCs w:val="16"/>
        </w:rPr>
        <w:t xml:space="preserve"> </w:t>
      </w:r>
      <w:r w:rsidR="00E3688C" w:rsidRPr="006549A6">
        <w:rPr>
          <w:rFonts w:ascii="Verdana" w:hAnsi="Verdana"/>
          <w:color w:val="7030A0"/>
          <w:sz w:val="16"/>
          <w:szCs w:val="16"/>
        </w:rPr>
        <w:t>G</w:t>
      </w:r>
      <w:r w:rsidRPr="006549A6">
        <w:rPr>
          <w:rFonts w:ascii="Verdana" w:hAnsi="Verdana"/>
          <w:color w:val="7030A0"/>
          <w:sz w:val="16"/>
          <w:szCs w:val="16"/>
        </w:rPr>
        <w:t xml:space="preserve">ender-based </w:t>
      </w:r>
      <w:r w:rsidR="00E3688C" w:rsidRPr="006549A6">
        <w:rPr>
          <w:rFonts w:ascii="Verdana" w:hAnsi="Verdana"/>
          <w:color w:val="7030A0"/>
          <w:sz w:val="16"/>
          <w:szCs w:val="16"/>
        </w:rPr>
        <w:t>V</w:t>
      </w:r>
      <w:r w:rsidRPr="006549A6">
        <w:rPr>
          <w:rFonts w:ascii="Verdana" w:hAnsi="Verdana"/>
          <w:color w:val="7030A0"/>
          <w:sz w:val="16"/>
          <w:szCs w:val="16"/>
        </w:rPr>
        <w:t>iolence</w:t>
      </w:r>
    </w:p>
    <w:p w14:paraId="36C3C9CA" w14:textId="7F80C573" w:rsidR="00251954" w:rsidRPr="006549A6" w:rsidRDefault="00251954" w:rsidP="006549A6">
      <w:pPr>
        <w:pStyle w:val="FootnoteText"/>
        <w:rPr>
          <w:rFonts w:ascii="Verdana" w:hAnsi="Verdana"/>
          <w:color w:val="7030A0"/>
          <w:sz w:val="16"/>
          <w:szCs w:val="16"/>
        </w:rPr>
      </w:pPr>
      <w:r w:rsidRPr="006549A6">
        <w:rPr>
          <w:rFonts w:ascii="Verdana" w:hAnsi="Verdana"/>
          <w:color w:val="7030A0"/>
          <w:sz w:val="16"/>
          <w:szCs w:val="16"/>
        </w:rPr>
        <w:t xml:space="preserve">against </w:t>
      </w:r>
      <w:r w:rsidR="00E3688C" w:rsidRPr="006549A6">
        <w:rPr>
          <w:rFonts w:ascii="Verdana" w:hAnsi="Verdana"/>
          <w:color w:val="7030A0"/>
          <w:sz w:val="16"/>
          <w:szCs w:val="16"/>
        </w:rPr>
        <w:t>W</w:t>
      </w:r>
      <w:r w:rsidRPr="006549A6">
        <w:rPr>
          <w:rFonts w:ascii="Verdana" w:hAnsi="Verdana"/>
          <w:color w:val="7030A0"/>
          <w:sz w:val="16"/>
          <w:szCs w:val="16"/>
        </w:rPr>
        <w:t xml:space="preserve">omen’, 26 July 2017. </w:t>
      </w:r>
    </w:p>
  </w:footnote>
  <w:footnote w:id="43">
    <w:p w14:paraId="10210B0D" w14:textId="77777777" w:rsidR="00251954" w:rsidRPr="006549A6" w:rsidRDefault="00251954" w:rsidP="006549A6">
      <w:pPr>
        <w:pStyle w:val="FootnoteText"/>
        <w:rPr>
          <w:rFonts w:ascii="Verdana" w:hAnsi="Verdana"/>
          <w:color w:val="7030A0"/>
          <w:sz w:val="16"/>
          <w:szCs w:val="16"/>
        </w:rPr>
      </w:pPr>
      <w:r w:rsidRPr="006549A6">
        <w:rPr>
          <w:rStyle w:val="FootnoteReference"/>
          <w:rFonts w:ascii="Verdana" w:hAnsi="Verdana"/>
          <w:color w:val="7030A0"/>
          <w:sz w:val="16"/>
          <w:szCs w:val="16"/>
        </w:rPr>
        <w:footnoteRef/>
      </w:r>
      <w:r w:rsidRPr="006549A6">
        <w:rPr>
          <w:rFonts w:ascii="Verdana" w:hAnsi="Verdana"/>
          <w:color w:val="7030A0"/>
          <w:sz w:val="16"/>
          <w:szCs w:val="16"/>
        </w:rPr>
        <w:t xml:space="preserve"> Article 2(d), UN CEDAW. Ratified by the UK 1986.</w:t>
      </w:r>
    </w:p>
  </w:footnote>
  <w:footnote w:id="44">
    <w:p w14:paraId="00CF49C5" w14:textId="104947EA" w:rsidR="00251954" w:rsidRPr="006549A6" w:rsidRDefault="00251954" w:rsidP="006549A6">
      <w:pPr>
        <w:pStyle w:val="FootnoteText"/>
        <w:rPr>
          <w:rFonts w:ascii="Verdana" w:hAnsi="Verdana"/>
          <w:color w:val="7030A0"/>
          <w:sz w:val="16"/>
          <w:szCs w:val="16"/>
        </w:rPr>
      </w:pPr>
      <w:r w:rsidRPr="006549A6">
        <w:rPr>
          <w:rStyle w:val="FootnoteReference"/>
          <w:rFonts w:ascii="Verdana" w:hAnsi="Verdana"/>
          <w:color w:val="7030A0"/>
          <w:sz w:val="16"/>
          <w:szCs w:val="16"/>
        </w:rPr>
        <w:footnoteRef/>
      </w:r>
      <w:r w:rsidRPr="006549A6">
        <w:rPr>
          <w:rFonts w:ascii="Verdana" w:hAnsi="Verdana"/>
          <w:color w:val="7030A0"/>
          <w:sz w:val="16"/>
          <w:szCs w:val="16"/>
        </w:rPr>
        <w:t xml:space="preserve"> CEDAW/C/GBR/CO/8, ‘UN CEDAW Committee Concluding Observations on the UK Eighth Periodic Report’, 8 March 2019, at para 29. </w:t>
      </w:r>
    </w:p>
  </w:footnote>
  <w:footnote w:id="45">
    <w:p w14:paraId="5EB19BD5" w14:textId="77777777" w:rsidR="00251954" w:rsidRPr="006549A6" w:rsidRDefault="00251954" w:rsidP="006549A6">
      <w:pPr>
        <w:pStyle w:val="FootnoteText"/>
        <w:rPr>
          <w:rFonts w:ascii="Verdana" w:hAnsi="Verdana"/>
          <w:color w:val="7030A0"/>
          <w:sz w:val="16"/>
          <w:szCs w:val="16"/>
        </w:rPr>
      </w:pPr>
      <w:r w:rsidRPr="006549A6">
        <w:rPr>
          <w:rStyle w:val="FootnoteReference"/>
          <w:rFonts w:ascii="Verdana" w:hAnsi="Verdana"/>
          <w:color w:val="7030A0"/>
          <w:sz w:val="16"/>
          <w:szCs w:val="16"/>
        </w:rPr>
        <w:footnoteRef/>
      </w:r>
      <w:r w:rsidRPr="006549A6">
        <w:rPr>
          <w:rFonts w:ascii="Verdana" w:hAnsi="Verdana"/>
          <w:color w:val="7030A0"/>
          <w:sz w:val="16"/>
          <w:szCs w:val="16"/>
        </w:rPr>
        <w:t xml:space="preserve"> CEDAW/C/GBR/CO/8, ‘UN CEDAW Committee Concluding Observations on the UK Eighth Periodic Report’, 8 March 2019, at para 29(b). </w:t>
      </w:r>
    </w:p>
  </w:footnote>
  <w:footnote w:id="46">
    <w:p w14:paraId="5EB4175D" w14:textId="77777777" w:rsidR="00251954" w:rsidRPr="006549A6" w:rsidRDefault="00251954" w:rsidP="006549A6">
      <w:pPr>
        <w:pStyle w:val="FootnoteText"/>
        <w:rPr>
          <w:rFonts w:ascii="Verdana" w:hAnsi="Verdana"/>
          <w:color w:val="7030A0"/>
          <w:sz w:val="16"/>
          <w:szCs w:val="16"/>
        </w:rPr>
      </w:pPr>
      <w:r w:rsidRPr="006549A6">
        <w:rPr>
          <w:rStyle w:val="FootnoteReference"/>
          <w:rFonts w:ascii="Verdana" w:hAnsi="Verdana"/>
          <w:color w:val="7030A0"/>
          <w:sz w:val="16"/>
          <w:szCs w:val="16"/>
        </w:rPr>
        <w:footnoteRef/>
      </w:r>
      <w:r w:rsidRPr="006549A6">
        <w:rPr>
          <w:rFonts w:ascii="Verdana" w:hAnsi="Verdana"/>
          <w:color w:val="7030A0"/>
          <w:sz w:val="16"/>
          <w:szCs w:val="16"/>
        </w:rPr>
        <w:t xml:space="preserve"> Article 1, UN CAT. </w:t>
      </w:r>
    </w:p>
  </w:footnote>
  <w:footnote w:id="47">
    <w:p w14:paraId="3DF13496" w14:textId="77777777" w:rsidR="00251954" w:rsidRPr="006549A6" w:rsidRDefault="00251954" w:rsidP="006549A6">
      <w:pPr>
        <w:pStyle w:val="FootnoteText"/>
        <w:rPr>
          <w:rFonts w:ascii="Verdana" w:hAnsi="Verdana"/>
          <w:color w:val="7030A0"/>
          <w:sz w:val="16"/>
          <w:szCs w:val="16"/>
        </w:rPr>
      </w:pPr>
      <w:r w:rsidRPr="006549A6">
        <w:rPr>
          <w:rStyle w:val="FootnoteReference"/>
          <w:rFonts w:ascii="Verdana" w:hAnsi="Verdana"/>
          <w:color w:val="7030A0"/>
          <w:sz w:val="16"/>
          <w:szCs w:val="16"/>
        </w:rPr>
        <w:footnoteRef/>
      </w:r>
      <w:r w:rsidRPr="006549A6">
        <w:rPr>
          <w:rFonts w:ascii="Verdana" w:hAnsi="Verdana"/>
          <w:color w:val="7030A0"/>
          <w:sz w:val="16"/>
          <w:szCs w:val="16"/>
        </w:rPr>
        <w:t xml:space="preserve"> Article 2, UN CAT. </w:t>
      </w:r>
    </w:p>
  </w:footnote>
  <w:footnote w:id="48">
    <w:p w14:paraId="697B2440" w14:textId="77777777" w:rsidR="00251954" w:rsidRPr="006549A6" w:rsidRDefault="00251954" w:rsidP="006549A6">
      <w:pPr>
        <w:pStyle w:val="FootnoteText"/>
        <w:rPr>
          <w:rFonts w:ascii="Verdana" w:hAnsi="Verdana"/>
          <w:color w:val="7030A0"/>
          <w:sz w:val="16"/>
          <w:szCs w:val="16"/>
        </w:rPr>
      </w:pPr>
      <w:r w:rsidRPr="006549A6">
        <w:rPr>
          <w:rStyle w:val="FootnoteReference"/>
          <w:rFonts w:ascii="Verdana" w:hAnsi="Verdana"/>
          <w:color w:val="7030A0"/>
          <w:sz w:val="16"/>
          <w:szCs w:val="16"/>
        </w:rPr>
        <w:footnoteRef/>
      </w:r>
      <w:r w:rsidRPr="006549A6">
        <w:rPr>
          <w:rFonts w:ascii="Verdana" w:hAnsi="Verdana"/>
          <w:color w:val="7030A0"/>
          <w:sz w:val="16"/>
          <w:szCs w:val="16"/>
        </w:rPr>
        <w:t xml:space="preserve"> CAT/C/GBR/CO/6, ‘UN CAT Committee Concluding Observations on the Sixth Periodic Report of the UK of Great Britain and NI’, 7 June 2019 at para 56.</w:t>
      </w:r>
    </w:p>
  </w:footnote>
  <w:footnote w:id="49">
    <w:p w14:paraId="6D7D1D60" w14:textId="77777777" w:rsidR="00251954" w:rsidRPr="006549A6" w:rsidRDefault="00251954" w:rsidP="006549A6">
      <w:pPr>
        <w:pStyle w:val="FootnoteText"/>
        <w:rPr>
          <w:rFonts w:ascii="Verdana" w:hAnsi="Verdana"/>
          <w:color w:val="7030A0"/>
          <w:sz w:val="16"/>
          <w:szCs w:val="16"/>
        </w:rPr>
      </w:pPr>
      <w:r w:rsidRPr="006549A6">
        <w:rPr>
          <w:rStyle w:val="FootnoteReference"/>
          <w:rFonts w:ascii="Verdana" w:hAnsi="Verdana" w:cs="Arial"/>
          <w:color w:val="7030A0"/>
          <w:sz w:val="16"/>
          <w:szCs w:val="16"/>
        </w:rPr>
        <w:footnoteRef/>
      </w:r>
      <w:r w:rsidRPr="006549A6">
        <w:rPr>
          <w:rFonts w:ascii="Verdana" w:hAnsi="Verdana"/>
          <w:color w:val="7030A0"/>
          <w:sz w:val="16"/>
          <w:szCs w:val="16"/>
        </w:rPr>
        <w:t xml:space="preserve"> CEDAW/C/GBR/CO/8, ‘UN CEDAW Committee Concluding Observations on the Eighth Periodic Report of the UK of Great Britain and NI’, 14 March 2019, at para 29. </w:t>
      </w:r>
    </w:p>
  </w:footnote>
  <w:footnote w:id="50">
    <w:p w14:paraId="5E21E58D" w14:textId="78E587D5" w:rsidR="00355283" w:rsidRPr="006549A6" w:rsidRDefault="00355283" w:rsidP="006549A6">
      <w:pPr>
        <w:pStyle w:val="FootnoteText"/>
        <w:rPr>
          <w:rFonts w:ascii="Verdana" w:hAnsi="Verdana"/>
          <w:color w:val="7030A0"/>
          <w:sz w:val="16"/>
          <w:szCs w:val="16"/>
        </w:rPr>
      </w:pPr>
      <w:r w:rsidRPr="006549A6">
        <w:rPr>
          <w:rStyle w:val="FootnoteReference"/>
          <w:rFonts w:ascii="Verdana" w:hAnsi="Verdana"/>
          <w:color w:val="7030A0"/>
          <w:sz w:val="16"/>
          <w:szCs w:val="16"/>
        </w:rPr>
        <w:footnoteRef/>
      </w:r>
      <w:r w:rsidRPr="006549A6">
        <w:rPr>
          <w:rFonts w:ascii="Verdana" w:hAnsi="Verdana"/>
          <w:color w:val="7030A0"/>
          <w:sz w:val="16"/>
          <w:szCs w:val="16"/>
        </w:rPr>
        <w:t xml:space="preserve"> </w:t>
      </w:r>
      <w:r w:rsidRPr="006549A6">
        <w:rPr>
          <w:rFonts w:ascii="Verdana" w:eastAsia="Verdana" w:hAnsi="Verdana" w:cs="Verdana"/>
          <w:color w:val="7030A0"/>
          <w:sz w:val="16"/>
          <w:szCs w:val="16"/>
        </w:rPr>
        <w:t xml:space="preserve">Preventing and Combating Violence against Women and Domestic Violence (Ratification of Convention) Act 2017; </w:t>
      </w:r>
      <w:r w:rsidRPr="006549A6">
        <w:rPr>
          <w:rFonts w:ascii="Verdana" w:hAnsi="Verdana"/>
          <w:color w:val="7030A0"/>
          <w:sz w:val="16"/>
          <w:szCs w:val="16"/>
        </w:rPr>
        <w:t>Home Office, ‘Ratification of the CoE Convention on Combating Violence against Women and Girls and Domestic Violence (Istanbul Convention) – 2020 Report on Progress’ (HO, 2020), at Annex A.</w:t>
      </w:r>
    </w:p>
  </w:footnote>
  <w:footnote w:id="51">
    <w:p w14:paraId="3D106F27" w14:textId="77777777" w:rsidR="00251954" w:rsidRPr="006549A6" w:rsidRDefault="00251954" w:rsidP="006549A6">
      <w:pPr>
        <w:pStyle w:val="FootnoteText"/>
        <w:rPr>
          <w:rFonts w:ascii="Verdana" w:hAnsi="Verdana"/>
          <w:color w:val="7030A0"/>
          <w:sz w:val="16"/>
          <w:szCs w:val="16"/>
        </w:rPr>
      </w:pPr>
      <w:r w:rsidRPr="006549A6">
        <w:rPr>
          <w:rStyle w:val="FootnoteReference"/>
          <w:rFonts w:ascii="Verdana" w:hAnsi="Verdana"/>
          <w:color w:val="7030A0"/>
          <w:sz w:val="16"/>
          <w:szCs w:val="16"/>
        </w:rPr>
        <w:footnoteRef/>
      </w:r>
      <w:r w:rsidRPr="006549A6">
        <w:rPr>
          <w:rFonts w:ascii="Verdana" w:hAnsi="Verdana"/>
          <w:color w:val="7030A0"/>
          <w:sz w:val="16"/>
          <w:szCs w:val="16"/>
        </w:rPr>
        <w:t xml:space="preserve"> CAT/C/GBR/CO/6, ‘UN CAT Committee Concluding Observations on the Sixth Periodic Report of the UK of Great Britain and NI’, 7 June 2019 at para 56.</w:t>
      </w:r>
    </w:p>
  </w:footnote>
  <w:footnote w:id="52">
    <w:p w14:paraId="3A84FFFD" w14:textId="176A1596" w:rsidR="00251954" w:rsidRPr="006549A6" w:rsidRDefault="00251954" w:rsidP="006549A6">
      <w:pPr>
        <w:pStyle w:val="FootnoteText"/>
        <w:rPr>
          <w:rFonts w:ascii="Verdana" w:hAnsi="Verdana"/>
          <w:color w:val="7030A0"/>
          <w:sz w:val="16"/>
          <w:szCs w:val="16"/>
        </w:rPr>
      </w:pPr>
      <w:r w:rsidRPr="006549A6">
        <w:rPr>
          <w:rStyle w:val="FootnoteReference"/>
          <w:rFonts w:ascii="Verdana" w:hAnsi="Verdana"/>
          <w:color w:val="7030A0"/>
          <w:sz w:val="16"/>
          <w:szCs w:val="16"/>
        </w:rPr>
        <w:footnoteRef/>
      </w:r>
      <w:r w:rsidRPr="006549A6">
        <w:rPr>
          <w:rFonts w:ascii="Verdana" w:hAnsi="Verdana"/>
          <w:color w:val="7030A0"/>
          <w:sz w:val="16"/>
          <w:szCs w:val="16"/>
        </w:rPr>
        <w:t xml:space="preserve"> CEDAW/C/GC/35, ‘UN CEDAW Committee General </w:t>
      </w:r>
      <w:r w:rsidR="00E3688C" w:rsidRPr="006549A6">
        <w:rPr>
          <w:rFonts w:ascii="Verdana" w:hAnsi="Verdana"/>
          <w:color w:val="7030A0"/>
          <w:sz w:val="16"/>
          <w:szCs w:val="16"/>
        </w:rPr>
        <w:t>R</w:t>
      </w:r>
      <w:r w:rsidRPr="006549A6">
        <w:rPr>
          <w:rFonts w:ascii="Verdana" w:hAnsi="Verdana"/>
          <w:color w:val="7030A0"/>
          <w:sz w:val="16"/>
          <w:szCs w:val="16"/>
        </w:rPr>
        <w:t>ecommendation No 35</w:t>
      </w:r>
      <w:r w:rsidR="00E3688C" w:rsidRPr="006549A6">
        <w:rPr>
          <w:rFonts w:ascii="Verdana" w:hAnsi="Verdana"/>
          <w:color w:val="7030A0"/>
          <w:sz w:val="16"/>
          <w:szCs w:val="16"/>
        </w:rPr>
        <w:t>:</w:t>
      </w:r>
      <w:r w:rsidRPr="006549A6">
        <w:rPr>
          <w:rFonts w:ascii="Verdana" w:hAnsi="Verdana"/>
          <w:color w:val="7030A0"/>
          <w:sz w:val="16"/>
          <w:szCs w:val="16"/>
        </w:rPr>
        <w:t xml:space="preserve"> </w:t>
      </w:r>
      <w:r w:rsidR="00E3688C" w:rsidRPr="006549A6">
        <w:rPr>
          <w:rFonts w:ascii="Verdana" w:hAnsi="Verdana"/>
          <w:color w:val="7030A0"/>
          <w:sz w:val="16"/>
          <w:szCs w:val="16"/>
        </w:rPr>
        <w:t>G</w:t>
      </w:r>
      <w:r w:rsidRPr="006549A6">
        <w:rPr>
          <w:rFonts w:ascii="Verdana" w:hAnsi="Verdana"/>
          <w:color w:val="7030A0"/>
          <w:sz w:val="16"/>
          <w:szCs w:val="16"/>
        </w:rPr>
        <w:t xml:space="preserve">ender-based </w:t>
      </w:r>
      <w:r w:rsidR="00E3688C" w:rsidRPr="006549A6">
        <w:rPr>
          <w:rFonts w:ascii="Verdana" w:hAnsi="Verdana"/>
          <w:color w:val="7030A0"/>
          <w:sz w:val="16"/>
          <w:szCs w:val="16"/>
        </w:rPr>
        <w:t>V</w:t>
      </w:r>
      <w:r w:rsidRPr="006549A6">
        <w:rPr>
          <w:rFonts w:ascii="Verdana" w:hAnsi="Verdana"/>
          <w:color w:val="7030A0"/>
          <w:sz w:val="16"/>
          <w:szCs w:val="16"/>
        </w:rPr>
        <w:t>iolence</w:t>
      </w:r>
    </w:p>
    <w:p w14:paraId="1B5D5811" w14:textId="55647584" w:rsidR="00251954" w:rsidRPr="006549A6" w:rsidRDefault="00251954" w:rsidP="006549A6">
      <w:pPr>
        <w:pStyle w:val="FootnoteText"/>
        <w:rPr>
          <w:rFonts w:ascii="Verdana" w:hAnsi="Verdana"/>
          <w:color w:val="7030A0"/>
          <w:sz w:val="16"/>
          <w:szCs w:val="16"/>
        </w:rPr>
      </w:pPr>
      <w:r w:rsidRPr="006549A6">
        <w:rPr>
          <w:rFonts w:ascii="Verdana" w:hAnsi="Verdana"/>
          <w:color w:val="7030A0"/>
          <w:sz w:val="16"/>
          <w:szCs w:val="16"/>
        </w:rPr>
        <w:t xml:space="preserve">against </w:t>
      </w:r>
      <w:r w:rsidR="00E3688C" w:rsidRPr="006549A6">
        <w:rPr>
          <w:rFonts w:ascii="Verdana" w:hAnsi="Verdana"/>
          <w:color w:val="7030A0"/>
          <w:sz w:val="16"/>
          <w:szCs w:val="16"/>
        </w:rPr>
        <w:t>W</w:t>
      </w:r>
      <w:r w:rsidRPr="006549A6">
        <w:rPr>
          <w:rFonts w:ascii="Verdana" w:hAnsi="Verdana"/>
          <w:color w:val="7030A0"/>
          <w:sz w:val="16"/>
          <w:szCs w:val="16"/>
        </w:rPr>
        <w:t xml:space="preserve">omen’, 26 July 2017 at para 30(e). </w:t>
      </w:r>
    </w:p>
  </w:footnote>
  <w:footnote w:id="53">
    <w:p w14:paraId="525EC562" w14:textId="161CFC8D" w:rsidR="00251954" w:rsidRPr="006549A6" w:rsidRDefault="00251954" w:rsidP="006549A6">
      <w:pPr>
        <w:pStyle w:val="FootnoteText"/>
        <w:rPr>
          <w:rFonts w:ascii="Verdana" w:hAnsi="Verdana"/>
          <w:color w:val="7030A0"/>
          <w:sz w:val="16"/>
          <w:szCs w:val="16"/>
        </w:rPr>
      </w:pPr>
      <w:r w:rsidRPr="006549A6">
        <w:rPr>
          <w:rStyle w:val="FootnoteReference"/>
          <w:rFonts w:ascii="Verdana" w:hAnsi="Verdana"/>
          <w:color w:val="7030A0"/>
          <w:sz w:val="16"/>
          <w:szCs w:val="16"/>
        </w:rPr>
        <w:footnoteRef/>
      </w:r>
      <w:r w:rsidRPr="006549A6">
        <w:rPr>
          <w:rFonts w:ascii="Verdana" w:hAnsi="Verdana"/>
          <w:color w:val="7030A0"/>
          <w:sz w:val="16"/>
          <w:szCs w:val="16"/>
        </w:rPr>
        <w:t xml:space="preserve"> John Gillen, ‘Gillen Review Report into the Law and Procedures in Serious Sexual Offences in Northern Ireland Recommendations’ (DoJ, 2019).</w:t>
      </w:r>
    </w:p>
  </w:footnote>
  <w:footnote w:id="54">
    <w:p w14:paraId="4540DA41" w14:textId="00D1E133" w:rsidR="00251954" w:rsidRPr="006549A6" w:rsidRDefault="00251954" w:rsidP="006549A6">
      <w:pPr>
        <w:pStyle w:val="FootnoteText"/>
        <w:rPr>
          <w:rFonts w:ascii="Verdana" w:hAnsi="Verdana"/>
          <w:color w:val="7030A0"/>
          <w:sz w:val="16"/>
          <w:szCs w:val="16"/>
        </w:rPr>
      </w:pPr>
      <w:r w:rsidRPr="006549A6">
        <w:rPr>
          <w:rStyle w:val="FootnoteReference"/>
          <w:rFonts w:ascii="Verdana" w:hAnsi="Verdana"/>
          <w:color w:val="7030A0"/>
          <w:sz w:val="16"/>
          <w:szCs w:val="16"/>
        </w:rPr>
        <w:footnoteRef/>
      </w:r>
      <w:r w:rsidRPr="006549A6">
        <w:rPr>
          <w:rFonts w:ascii="Verdana" w:hAnsi="Verdana"/>
          <w:color w:val="7030A0"/>
          <w:sz w:val="16"/>
          <w:szCs w:val="16"/>
        </w:rPr>
        <w:t xml:space="preserve"> CEDAW/C/GBR/CO/8, ‘UN CEDAW Committee Concluding Observations on the Eighth Periodic Report of the UK of Great Britain and NI’, 14 March 2019, at para 42(c).</w:t>
      </w:r>
    </w:p>
  </w:footnote>
  <w:footnote w:id="55">
    <w:p w14:paraId="425CE70E" w14:textId="77777777" w:rsidR="00251954" w:rsidRPr="006549A6" w:rsidRDefault="00251954" w:rsidP="006549A6">
      <w:pPr>
        <w:pStyle w:val="FootnoteText"/>
        <w:rPr>
          <w:rFonts w:ascii="Verdana" w:hAnsi="Verdana"/>
          <w:color w:val="7030A0"/>
          <w:sz w:val="16"/>
          <w:szCs w:val="16"/>
        </w:rPr>
      </w:pPr>
      <w:r w:rsidRPr="006549A6">
        <w:rPr>
          <w:rStyle w:val="FootnoteReference"/>
          <w:rFonts w:ascii="Verdana" w:hAnsi="Verdana"/>
          <w:color w:val="7030A0"/>
          <w:sz w:val="16"/>
          <w:szCs w:val="16"/>
        </w:rPr>
        <w:footnoteRef/>
      </w:r>
      <w:r w:rsidRPr="006549A6">
        <w:rPr>
          <w:rFonts w:ascii="Verdana" w:hAnsi="Verdana"/>
          <w:color w:val="7030A0"/>
          <w:sz w:val="16"/>
          <w:szCs w:val="16"/>
        </w:rPr>
        <w:t xml:space="preserve"> CEDAW/C/OP.8/GBR/1, ‘UN CEDAW Committee Inquiry Concerning the United Kingdom of Great Britain and Northern Ireland under Article 8 of the Optional Protocol to the UN CEDAW Report of the Committee’, 6 March 2018, at para 86(d).</w:t>
      </w:r>
    </w:p>
  </w:footnote>
  <w:footnote w:id="56">
    <w:p w14:paraId="12014F58" w14:textId="03F295C9" w:rsidR="00251954" w:rsidRPr="006549A6" w:rsidRDefault="00251954" w:rsidP="006549A6">
      <w:pPr>
        <w:pStyle w:val="FootnoteText"/>
        <w:rPr>
          <w:rFonts w:ascii="Verdana" w:hAnsi="Verdana"/>
          <w:color w:val="7030A0"/>
          <w:sz w:val="16"/>
          <w:szCs w:val="16"/>
        </w:rPr>
      </w:pPr>
      <w:r w:rsidRPr="006549A6">
        <w:rPr>
          <w:rStyle w:val="FootnoteReference"/>
          <w:rFonts w:ascii="Verdana" w:hAnsi="Verdana"/>
          <w:color w:val="7030A0"/>
          <w:sz w:val="16"/>
          <w:szCs w:val="16"/>
        </w:rPr>
        <w:footnoteRef/>
      </w:r>
      <w:r w:rsidRPr="006549A6">
        <w:rPr>
          <w:rFonts w:ascii="Verdana" w:hAnsi="Verdana"/>
          <w:color w:val="7030A0"/>
          <w:sz w:val="16"/>
          <w:szCs w:val="16"/>
        </w:rPr>
        <w:t xml:space="preserve"> </w:t>
      </w:r>
      <w:r w:rsidR="00E3688C" w:rsidRPr="006549A6">
        <w:rPr>
          <w:rFonts w:ascii="Verdana" w:hAnsi="Verdana"/>
          <w:color w:val="7030A0"/>
          <w:sz w:val="16"/>
          <w:szCs w:val="16"/>
        </w:rPr>
        <w:t>We Can’t Consent to This, ‘Northern Ireland Consultation on Changing the Law on ‘Rough Sex’ Defences’ (We Can’t Consent to This, 2020).</w:t>
      </w:r>
    </w:p>
  </w:footnote>
  <w:footnote w:id="57">
    <w:p w14:paraId="4550F059" w14:textId="63A512B3" w:rsidR="00251954" w:rsidRPr="006549A6" w:rsidRDefault="00251954" w:rsidP="006549A6">
      <w:pPr>
        <w:pStyle w:val="FootnoteText"/>
        <w:rPr>
          <w:rFonts w:ascii="Verdana" w:hAnsi="Verdana"/>
          <w:color w:val="7030A0"/>
          <w:sz w:val="16"/>
          <w:szCs w:val="16"/>
        </w:rPr>
      </w:pPr>
      <w:r w:rsidRPr="006549A6">
        <w:rPr>
          <w:rStyle w:val="FootnoteReference"/>
          <w:rFonts w:ascii="Verdana" w:hAnsi="Verdana"/>
          <w:color w:val="7030A0"/>
          <w:sz w:val="16"/>
          <w:szCs w:val="16"/>
        </w:rPr>
        <w:footnoteRef/>
      </w:r>
      <w:r w:rsidRPr="006549A6">
        <w:rPr>
          <w:rFonts w:ascii="Verdana" w:hAnsi="Verdana"/>
          <w:color w:val="7030A0"/>
          <w:sz w:val="16"/>
          <w:szCs w:val="16"/>
        </w:rPr>
        <w:t xml:space="preserve"> </w:t>
      </w:r>
      <w:r w:rsidR="00E3688C" w:rsidRPr="006549A6">
        <w:rPr>
          <w:rFonts w:ascii="Verdana" w:hAnsi="Verdana"/>
          <w:color w:val="7030A0"/>
          <w:sz w:val="16"/>
          <w:szCs w:val="16"/>
        </w:rPr>
        <w:t>We Can’t Consent to This, ‘Northern Ireland Consultation on Changing the Law on ‘Rough Sex’ Defences’ (We Can’t Consent to This, 2020).</w:t>
      </w:r>
    </w:p>
  </w:footnote>
  <w:footnote w:id="58">
    <w:p w14:paraId="1EB855DF" w14:textId="00763F86" w:rsidR="00251954" w:rsidRPr="006549A6" w:rsidRDefault="00251954" w:rsidP="006549A6">
      <w:pPr>
        <w:pStyle w:val="FootnoteText"/>
        <w:rPr>
          <w:rFonts w:ascii="Verdana" w:hAnsi="Verdana"/>
          <w:color w:val="7030A0"/>
          <w:sz w:val="16"/>
          <w:szCs w:val="16"/>
        </w:rPr>
      </w:pPr>
      <w:r w:rsidRPr="006549A6">
        <w:rPr>
          <w:rStyle w:val="FootnoteReference"/>
          <w:rFonts w:ascii="Verdana" w:hAnsi="Verdana"/>
          <w:color w:val="7030A0"/>
          <w:sz w:val="16"/>
          <w:szCs w:val="16"/>
        </w:rPr>
        <w:footnoteRef/>
      </w:r>
      <w:r w:rsidRPr="006549A6">
        <w:rPr>
          <w:rFonts w:ascii="Verdana" w:hAnsi="Verdana"/>
          <w:color w:val="7030A0"/>
          <w:sz w:val="16"/>
          <w:szCs w:val="16"/>
        </w:rPr>
        <w:t xml:space="preserve"> John Gillen, ‘Gillen Review Report into the Law and Procedures in Serious Sexual Offences in Northern Ireland Recommendations’ (DoJ, 2019).</w:t>
      </w:r>
    </w:p>
  </w:footnote>
  <w:footnote w:id="59">
    <w:p w14:paraId="575A977A" w14:textId="31A1BE50" w:rsidR="00251954" w:rsidRPr="006549A6" w:rsidRDefault="00251954" w:rsidP="006549A6">
      <w:pPr>
        <w:pStyle w:val="FootnoteText"/>
        <w:rPr>
          <w:rFonts w:ascii="Verdana" w:hAnsi="Verdana"/>
          <w:color w:val="7030A0"/>
          <w:sz w:val="16"/>
          <w:szCs w:val="16"/>
        </w:rPr>
      </w:pPr>
      <w:r w:rsidRPr="006549A6">
        <w:rPr>
          <w:rStyle w:val="FootnoteReference"/>
          <w:rFonts w:ascii="Verdana" w:hAnsi="Verdana"/>
          <w:color w:val="7030A0"/>
          <w:sz w:val="16"/>
          <w:szCs w:val="16"/>
        </w:rPr>
        <w:footnoteRef/>
      </w:r>
      <w:r w:rsidRPr="006549A6">
        <w:rPr>
          <w:rFonts w:ascii="Verdana" w:hAnsi="Verdana"/>
          <w:color w:val="7030A0"/>
          <w:sz w:val="16"/>
          <w:szCs w:val="16"/>
        </w:rPr>
        <w:t xml:space="preserve"> John Gillen, ‘Gillen Review Report into the Law and Procedures in Serious Sexual Offences in Northern Ireland Recommendations’ (DoJ, 2019).</w:t>
      </w:r>
    </w:p>
  </w:footnote>
  <w:footnote w:id="60">
    <w:p w14:paraId="1C9DC78B" w14:textId="0A074A9D" w:rsidR="00BE5C90" w:rsidRPr="006549A6" w:rsidRDefault="00BE5C90" w:rsidP="006549A6">
      <w:pPr>
        <w:pStyle w:val="FootnoteText"/>
        <w:rPr>
          <w:rFonts w:ascii="Verdana" w:hAnsi="Verdana"/>
          <w:color w:val="7030A0"/>
          <w:sz w:val="16"/>
          <w:szCs w:val="16"/>
        </w:rPr>
      </w:pPr>
      <w:r w:rsidRPr="006549A6">
        <w:rPr>
          <w:rStyle w:val="FootnoteReference"/>
          <w:rFonts w:ascii="Verdana" w:hAnsi="Verdana"/>
          <w:color w:val="7030A0"/>
          <w:sz w:val="16"/>
          <w:szCs w:val="16"/>
        </w:rPr>
        <w:footnoteRef/>
      </w:r>
      <w:r w:rsidRPr="006549A6">
        <w:rPr>
          <w:rFonts w:ascii="Verdana" w:hAnsi="Verdana"/>
          <w:color w:val="7030A0"/>
          <w:sz w:val="16"/>
          <w:szCs w:val="16"/>
        </w:rPr>
        <w:t xml:space="preserve"> John Gillen, ‘Gillen Review Report into the Law and Procedures in Serious Sexual Offences in Northern Ireland Recommendations’ (DoJ,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B56F7"/>
    <w:multiLevelType w:val="multilevel"/>
    <w:tmpl w:val="9566F098"/>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3D74158"/>
    <w:multiLevelType w:val="hybridMultilevel"/>
    <w:tmpl w:val="378A0B96"/>
    <w:lvl w:ilvl="0" w:tplc="08090001">
      <w:start w:val="1"/>
      <w:numFmt w:val="bullet"/>
      <w:lvlText w:val=""/>
      <w:lvlJc w:val="left"/>
      <w:pPr>
        <w:ind w:left="1494" w:hanging="360"/>
      </w:pPr>
      <w:rPr>
        <w:rFonts w:ascii="Symbol" w:hAnsi="Symbol" w:hint="default"/>
      </w:rPr>
    </w:lvl>
    <w:lvl w:ilvl="1" w:tplc="08090003">
      <w:start w:val="1"/>
      <w:numFmt w:val="bullet"/>
      <w:lvlText w:val="o"/>
      <w:lvlJc w:val="left"/>
      <w:pPr>
        <w:ind w:left="2214" w:hanging="360"/>
      </w:pPr>
      <w:rPr>
        <w:rFonts w:ascii="Courier New" w:hAnsi="Courier New" w:cs="Courier New" w:hint="default"/>
      </w:rPr>
    </w:lvl>
    <w:lvl w:ilvl="2" w:tplc="08090005">
      <w:start w:val="1"/>
      <w:numFmt w:val="bullet"/>
      <w:lvlText w:val=""/>
      <w:lvlJc w:val="left"/>
      <w:pPr>
        <w:ind w:left="2934" w:hanging="360"/>
      </w:pPr>
      <w:rPr>
        <w:rFonts w:ascii="Wingdings" w:hAnsi="Wingdings" w:hint="default"/>
      </w:rPr>
    </w:lvl>
    <w:lvl w:ilvl="3" w:tplc="08090001">
      <w:start w:val="1"/>
      <w:numFmt w:val="bullet"/>
      <w:lvlText w:val=""/>
      <w:lvlJc w:val="left"/>
      <w:pPr>
        <w:ind w:left="3654" w:hanging="360"/>
      </w:pPr>
      <w:rPr>
        <w:rFonts w:ascii="Symbol" w:hAnsi="Symbol" w:hint="default"/>
      </w:rPr>
    </w:lvl>
    <w:lvl w:ilvl="4" w:tplc="08090003">
      <w:start w:val="1"/>
      <w:numFmt w:val="bullet"/>
      <w:lvlText w:val="o"/>
      <w:lvlJc w:val="left"/>
      <w:pPr>
        <w:ind w:left="4374" w:hanging="360"/>
      </w:pPr>
      <w:rPr>
        <w:rFonts w:ascii="Courier New" w:hAnsi="Courier New" w:cs="Courier New" w:hint="default"/>
      </w:rPr>
    </w:lvl>
    <w:lvl w:ilvl="5" w:tplc="08090005">
      <w:start w:val="1"/>
      <w:numFmt w:val="bullet"/>
      <w:lvlText w:val=""/>
      <w:lvlJc w:val="left"/>
      <w:pPr>
        <w:ind w:left="5094" w:hanging="360"/>
      </w:pPr>
      <w:rPr>
        <w:rFonts w:ascii="Wingdings" w:hAnsi="Wingdings" w:hint="default"/>
      </w:rPr>
    </w:lvl>
    <w:lvl w:ilvl="6" w:tplc="08090001">
      <w:start w:val="1"/>
      <w:numFmt w:val="bullet"/>
      <w:lvlText w:val=""/>
      <w:lvlJc w:val="left"/>
      <w:pPr>
        <w:ind w:left="5814" w:hanging="360"/>
      </w:pPr>
      <w:rPr>
        <w:rFonts w:ascii="Symbol" w:hAnsi="Symbol" w:hint="default"/>
      </w:rPr>
    </w:lvl>
    <w:lvl w:ilvl="7" w:tplc="08090003">
      <w:start w:val="1"/>
      <w:numFmt w:val="bullet"/>
      <w:lvlText w:val="o"/>
      <w:lvlJc w:val="left"/>
      <w:pPr>
        <w:ind w:left="6534" w:hanging="360"/>
      </w:pPr>
      <w:rPr>
        <w:rFonts w:ascii="Courier New" w:hAnsi="Courier New" w:cs="Courier New" w:hint="default"/>
      </w:rPr>
    </w:lvl>
    <w:lvl w:ilvl="8" w:tplc="08090005">
      <w:start w:val="1"/>
      <w:numFmt w:val="bullet"/>
      <w:lvlText w:val=""/>
      <w:lvlJc w:val="left"/>
      <w:pPr>
        <w:ind w:left="7254" w:hanging="360"/>
      </w:pPr>
      <w:rPr>
        <w:rFonts w:ascii="Wingdings" w:hAnsi="Wingdings" w:hint="default"/>
      </w:rPr>
    </w:lvl>
  </w:abstractNum>
  <w:abstractNum w:abstractNumId="2" w15:restartNumberingAfterBreak="0">
    <w:nsid w:val="219F0E29"/>
    <w:multiLevelType w:val="multilevel"/>
    <w:tmpl w:val="4B0C73EE"/>
    <w:lvl w:ilvl="0">
      <w:start w:val="4"/>
      <w:numFmt w:val="decimal"/>
      <w:lvlText w:val="%1"/>
      <w:lvlJc w:val="left"/>
      <w:pPr>
        <w:ind w:left="390" w:hanging="390"/>
      </w:pPr>
      <w:rPr>
        <w:rFonts w:hint="default"/>
      </w:rPr>
    </w:lvl>
    <w:lvl w:ilv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25224CCB"/>
    <w:multiLevelType w:val="multilevel"/>
    <w:tmpl w:val="A92817D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73226C"/>
    <w:multiLevelType w:val="multilevel"/>
    <w:tmpl w:val="8CD2BD7C"/>
    <w:lvl w:ilvl="0">
      <w:start w:val="5"/>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5" w15:restartNumberingAfterBreak="0">
    <w:nsid w:val="5456381F"/>
    <w:multiLevelType w:val="multilevel"/>
    <w:tmpl w:val="9566F09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9FC7315"/>
    <w:multiLevelType w:val="multilevel"/>
    <w:tmpl w:val="AF62C5B2"/>
    <w:lvl w:ilvl="0">
      <w:start w:val="2"/>
      <w:numFmt w:val="decimal"/>
      <w:lvlText w:val="%1"/>
      <w:lvlJc w:val="left"/>
      <w:pPr>
        <w:ind w:left="510" w:hanging="510"/>
      </w:pPr>
      <w:rPr>
        <w:rFonts w:hint="default"/>
      </w:rPr>
    </w:lvl>
    <w:lvl w:ilvl="1">
      <w:start w:val="14"/>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A464472"/>
    <w:multiLevelType w:val="multilevel"/>
    <w:tmpl w:val="C2166B60"/>
    <w:lvl w:ilvl="0">
      <w:start w:val="1"/>
      <w:numFmt w:val="decimal"/>
      <w:lvlText w:val="%1.0"/>
      <w:lvlJc w:val="left"/>
      <w:pPr>
        <w:ind w:left="720" w:hanging="720"/>
      </w:pPr>
      <w:rPr>
        <w:rFonts w:hint="default"/>
        <w:color w:val="77328A"/>
      </w:rPr>
    </w:lvl>
    <w:lvl w:ilvl="1">
      <w:numFmt w:val="decimal"/>
      <w:lvlText w:val="%1.%2"/>
      <w:lvlJc w:val="left"/>
      <w:pPr>
        <w:ind w:left="720" w:hanging="720"/>
      </w:pPr>
      <w:rPr>
        <w:rFonts w:hint="default"/>
        <w:b w:val="0"/>
        <w:color w:val="auto"/>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8" w15:restartNumberingAfterBreak="0">
    <w:nsid w:val="6A731CA0"/>
    <w:multiLevelType w:val="multilevel"/>
    <w:tmpl w:val="9940B694"/>
    <w:lvl w:ilvl="0">
      <w:start w:val="3"/>
      <w:numFmt w:val="decimal"/>
      <w:lvlText w:val="%1"/>
      <w:lvlJc w:val="left"/>
      <w:pPr>
        <w:ind w:left="585" w:hanging="585"/>
      </w:pPr>
      <w:rPr>
        <w:rFonts w:hint="default"/>
      </w:rPr>
    </w:lvl>
    <w:lvl w:ilvl="1">
      <w:start w:val="17"/>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 w15:restartNumberingAfterBreak="0">
    <w:nsid w:val="712B47C3"/>
    <w:multiLevelType w:val="multilevel"/>
    <w:tmpl w:val="9D266012"/>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79D94424"/>
    <w:multiLevelType w:val="multilevel"/>
    <w:tmpl w:val="CB3A288E"/>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7CD83C24"/>
    <w:multiLevelType w:val="hybridMultilevel"/>
    <w:tmpl w:val="F640AA6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abstractNumId w:val="7"/>
  </w:num>
  <w:num w:numId="2">
    <w:abstractNumId w:val="1"/>
  </w:num>
  <w:num w:numId="3">
    <w:abstractNumId w:val="11"/>
  </w:num>
  <w:num w:numId="4">
    <w:abstractNumId w:val="2"/>
  </w:num>
  <w:num w:numId="5">
    <w:abstractNumId w:val="4"/>
  </w:num>
  <w:num w:numId="6">
    <w:abstractNumId w:val="3"/>
  </w:num>
  <w:num w:numId="7">
    <w:abstractNumId w:val="10"/>
  </w:num>
  <w:num w:numId="8">
    <w:abstractNumId w:val="6"/>
  </w:num>
  <w:num w:numId="9">
    <w:abstractNumId w:val="8"/>
  </w:num>
  <w:num w:numId="10">
    <w:abstractNumId w:val="0"/>
  </w:num>
  <w:num w:numId="11">
    <w:abstractNumId w:val="5"/>
  </w:num>
  <w:num w:numId="12">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formatting="1" w:enforcement="1"/>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532"/>
    <w:rsid w:val="000033EB"/>
    <w:rsid w:val="00033C4D"/>
    <w:rsid w:val="00036628"/>
    <w:rsid w:val="00043CF4"/>
    <w:rsid w:val="00046705"/>
    <w:rsid w:val="0005379E"/>
    <w:rsid w:val="000554E2"/>
    <w:rsid w:val="00055B41"/>
    <w:rsid w:val="00070E5B"/>
    <w:rsid w:val="00072FD7"/>
    <w:rsid w:val="00080B78"/>
    <w:rsid w:val="000A1542"/>
    <w:rsid w:val="000D1B4E"/>
    <w:rsid w:val="000E1F61"/>
    <w:rsid w:val="000E7F0C"/>
    <w:rsid w:val="000F7343"/>
    <w:rsid w:val="0011778F"/>
    <w:rsid w:val="00127B7D"/>
    <w:rsid w:val="00134B6B"/>
    <w:rsid w:val="00155CF2"/>
    <w:rsid w:val="00155ECC"/>
    <w:rsid w:val="00173FD3"/>
    <w:rsid w:val="00185347"/>
    <w:rsid w:val="001A3118"/>
    <w:rsid w:val="001C07AC"/>
    <w:rsid w:val="001E79A9"/>
    <w:rsid w:val="00213B8A"/>
    <w:rsid w:val="00224140"/>
    <w:rsid w:val="0022630A"/>
    <w:rsid w:val="002351CB"/>
    <w:rsid w:val="002428EC"/>
    <w:rsid w:val="00242FE1"/>
    <w:rsid w:val="00251954"/>
    <w:rsid w:val="00277765"/>
    <w:rsid w:val="002804A8"/>
    <w:rsid w:val="002804C7"/>
    <w:rsid w:val="00292869"/>
    <w:rsid w:val="002959C8"/>
    <w:rsid w:val="002B1272"/>
    <w:rsid w:val="00306317"/>
    <w:rsid w:val="00331C61"/>
    <w:rsid w:val="00341BFE"/>
    <w:rsid w:val="00355283"/>
    <w:rsid w:val="003631F6"/>
    <w:rsid w:val="00367CCA"/>
    <w:rsid w:val="003B2AE3"/>
    <w:rsid w:val="003B54E1"/>
    <w:rsid w:val="003B7D0E"/>
    <w:rsid w:val="003C44D1"/>
    <w:rsid w:val="003C4FC6"/>
    <w:rsid w:val="003D09D2"/>
    <w:rsid w:val="003D1D97"/>
    <w:rsid w:val="003E04E9"/>
    <w:rsid w:val="0043337F"/>
    <w:rsid w:val="00460A46"/>
    <w:rsid w:val="00463C22"/>
    <w:rsid w:val="00463D6B"/>
    <w:rsid w:val="00466A2E"/>
    <w:rsid w:val="004672AC"/>
    <w:rsid w:val="00474054"/>
    <w:rsid w:val="00475056"/>
    <w:rsid w:val="00483A9E"/>
    <w:rsid w:val="00487AC2"/>
    <w:rsid w:val="00495503"/>
    <w:rsid w:val="004A0959"/>
    <w:rsid w:val="004B07BB"/>
    <w:rsid w:val="004B6E4E"/>
    <w:rsid w:val="004D49F6"/>
    <w:rsid w:val="004E478C"/>
    <w:rsid w:val="00521570"/>
    <w:rsid w:val="0053135F"/>
    <w:rsid w:val="00533A55"/>
    <w:rsid w:val="00546A50"/>
    <w:rsid w:val="00547465"/>
    <w:rsid w:val="00551B5A"/>
    <w:rsid w:val="00552293"/>
    <w:rsid w:val="005651FC"/>
    <w:rsid w:val="005660C9"/>
    <w:rsid w:val="00566574"/>
    <w:rsid w:val="00580CFD"/>
    <w:rsid w:val="00596BB4"/>
    <w:rsid w:val="005B508D"/>
    <w:rsid w:val="005B723E"/>
    <w:rsid w:val="005D5D29"/>
    <w:rsid w:val="005E2BBD"/>
    <w:rsid w:val="005F395E"/>
    <w:rsid w:val="006232D8"/>
    <w:rsid w:val="006363EA"/>
    <w:rsid w:val="0065163C"/>
    <w:rsid w:val="006549A6"/>
    <w:rsid w:val="00656ECD"/>
    <w:rsid w:val="0067645C"/>
    <w:rsid w:val="00693E79"/>
    <w:rsid w:val="00694BBF"/>
    <w:rsid w:val="006A100A"/>
    <w:rsid w:val="006C4A88"/>
    <w:rsid w:val="006D516C"/>
    <w:rsid w:val="006E414C"/>
    <w:rsid w:val="006F0B59"/>
    <w:rsid w:val="00705088"/>
    <w:rsid w:val="00705833"/>
    <w:rsid w:val="00713CBC"/>
    <w:rsid w:val="00731D0D"/>
    <w:rsid w:val="007321B4"/>
    <w:rsid w:val="00745EB5"/>
    <w:rsid w:val="007569C1"/>
    <w:rsid w:val="00795423"/>
    <w:rsid w:val="007A572B"/>
    <w:rsid w:val="007B1109"/>
    <w:rsid w:val="007C55C7"/>
    <w:rsid w:val="007D4A5F"/>
    <w:rsid w:val="007F266D"/>
    <w:rsid w:val="007F3BD9"/>
    <w:rsid w:val="00804055"/>
    <w:rsid w:val="00812D47"/>
    <w:rsid w:val="008156D2"/>
    <w:rsid w:val="008159E8"/>
    <w:rsid w:val="00866AB4"/>
    <w:rsid w:val="0087161B"/>
    <w:rsid w:val="00872187"/>
    <w:rsid w:val="00875E68"/>
    <w:rsid w:val="0087693B"/>
    <w:rsid w:val="008805E8"/>
    <w:rsid w:val="00897129"/>
    <w:rsid w:val="008A5EF2"/>
    <w:rsid w:val="008B5CBE"/>
    <w:rsid w:val="008C165D"/>
    <w:rsid w:val="008D3BD8"/>
    <w:rsid w:val="008D7C32"/>
    <w:rsid w:val="008E26E9"/>
    <w:rsid w:val="008E5D26"/>
    <w:rsid w:val="00912319"/>
    <w:rsid w:val="009277A9"/>
    <w:rsid w:val="00940BE9"/>
    <w:rsid w:val="00962B2B"/>
    <w:rsid w:val="0096459E"/>
    <w:rsid w:val="00976246"/>
    <w:rsid w:val="00980B64"/>
    <w:rsid w:val="00991F97"/>
    <w:rsid w:val="009A1F12"/>
    <w:rsid w:val="009A6292"/>
    <w:rsid w:val="009B66F7"/>
    <w:rsid w:val="009B6A2A"/>
    <w:rsid w:val="009B6CCF"/>
    <w:rsid w:val="009C6395"/>
    <w:rsid w:val="009F0894"/>
    <w:rsid w:val="009F727B"/>
    <w:rsid w:val="00A06388"/>
    <w:rsid w:val="00A33337"/>
    <w:rsid w:val="00A349F7"/>
    <w:rsid w:val="00A81F87"/>
    <w:rsid w:val="00AB03B5"/>
    <w:rsid w:val="00B042B1"/>
    <w:rsid w:val="00B07D51"/>
    <w:rsid w:val="00B15FED"/>
    <w:rsid w:val="00B263C0"/>
    <w:rsid w:val="00B32960"/>
    <w:rsid w:val="00B46718"/>
    <w:rsid w:val="00B47D14"/>
    <w:rsid w:val="00B637FB"/>
    <w:rsid w:val="00B653E2"/>
    <w:rsid w:val="00B84986"/>
    <w:rsid w:val="00B96D34"/>
    <w:rsid w:val="00BA5D37"/>
    <w:rsid w:val="00BB24FC"/>
    <w:rsid w:val="00BC4066"/>
    <w:rsid w:val="00BD6DA4"/>
    <w:rsid w:val="00BE5849"/>
    <w:rsid w:val="00BE5C90"/>
    <w:rsid w:val="00BE753F"/>
    <w:rsid w:val="00BF2ADB"/>
    <w:rsid w:val="00BF73BC"/>
    <w:rsid w:val="00C03C09"/>
    <w:rsid w:val="00C158A9"/>
    <w:rsid w:val="00C2725D"/>
    <w:rsid w:val="00C468FB"/>
    <w:rsid w:val="00C6588F"/>
    <w:rsid w:val="00C75B10"/>
    <w:rsid w:val="00C76E49"/>
    <w:rsid w:val="00C9454D"/>
    <w:rsid w:val="00CA16D8"/>
    <w:rsid w:val="00CA5D46"/>
    <w:rsid w:val="00CB3157"/>
    <w:rsid w:val="00CC1A29"/>
    <w:rsid w:val="00CE3039"/>
    <w:rsid w:val="00CF0261"/>
    <w:rsid w:val="00CF3450"/>
    <w:rsid w:val="00D12EF8"/>
    <w:rsid w:val="00D16532"/>
    <w:rsid w:val="00D2106F"/>
    <w:rsid w:val="00D2770F"/>
    <w:rsid w:val="00D56842"/>
    <w:rsid w:val="00D7289A"/>
    <w:rsid w:val="00D72DF4"/>
    <w:rsid w:val="00D84EE1"/>
    <w:rsid w:val="00DB0823"/>
    <w:rsid w:val="00DE17AF"/>
    <w:rsid w:val="00DE6F0B"/>
    <w:rsid w:val="00DE78A3"/>
    <w:rsid w:val="00E045F5"/>
    <w:rsid w:val="00E17E60"/>
    <w:rsid w:val="00E243C4"/>
    <w:rsid w:val="00E3688C"/>
    <w:rsid w:val="00E373A8"/>
    <w:rsid w:val="00E52902"/>
    <w:rsid w:val="00E57866"/>
    <w:rsid w:val="00E757DA"/>
    <w:rsid w:val="00E82EEF"/>
    <w:rsid w:val="00EA12CE"/>
    <w:rsid w:val="00EA2EB7"/>
    <w:rsid w:val="00EC0348"/>
    <w:rsid w:val="00EC1571"/>
    <w:rsid w:val="00ED024F"/>
    <w:rsid w:val="00F11A24"/>
    <w:rsid w:val="00F31387"/>
    <w:rsid w:val="00F43CE4"/>
    <w:rsid w:val="00F56C78"/>
    <w:rsid w:val="00F649FC"/>
    <w:rsid w:val="00F81AA6"/>
    <w:rsid w:val="00FD1EDD"/>
    <w:rsid w:val="00FF3CBA"/>
    <w:rsid w:val="00FF440A"/>
    <w:rsid w:val="00FF607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7FDD97"/>
  <w14:defaultImageDpi w14:val="300"/>
  <w15:docId w15:val="{A6A5610F-19B3-49BC-920C-D95676A3E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D1B4E"/>
    <w:pPr>
      <w:keepNext/>
      <w:keepLines/>
      <w:spacing w:before="240"/>
      <w:outlineLvl w:val="0"/>
    </w:pPr>
    <w:rPr>
      <w:rFonts w:ascii="Verdana" w:eastAsiaTheme="majorEastAsia" w:hAnsi="Verdana" w:cstheme="majorBidi"/>
      <w:b/>
      <w:color w:val="77328A"/>
      <w:sz w:val="30"/>
      <w:szCs w:val="32"/>
    </w:rPr>
  </w:style>
  <w:style w:type="paragraph" w:styleId="Heading2">
    <w:name w:val="heading 2"/>
    <w:basedOn w:val="Normal"/>
    <w:next w:val="Normal"/>
    <w:link w:val="Heading2Char"/>
    <w:uiPriority w:val="9"/>
    <w:unhideWhenUsed/>
    <w:qFormat/>
    <w:rsid w:val="000D1B4E"/>
    <w:pPr>
      <w:keepNext/>
      <w:keepLines/>
      <w:spacing w:before="40"/>
      <w:outlineLvl w:val="1"/>
    </w:pPr>
    <w:rPr>
      <w:rFonts w:ascii="Verdana" w:eastAsiaTheme="majorEastAsia" w:hAnsi="Verdana" w:cstheme="majorBidi"/>
      <w:b/>
      <w:szCs w:val="26"/>
    </w:rPr>
  </w:style>
  <w:style w:type="paragraph" w:styleId="Heading6">
    <w:name w:val="heading 6"/>
    <w:basedOn w:val="Normal"/>
    <w:next w:val="Normal"/>
    <w:link w:val="Heading6Char"/>
    <w:uiPriority w:val="9"/>
    <w:semiHidden/>
    <w:unhideWhenUsed/>
    <w:qFormat/>
    <w:rsid w:val="0022414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B2B"/>
    <w:pPr>
      <w:tabs>
        <w:tab w:val="center" w:pos="4320"/>
        <w:tab w:val="right" w:pos="8640"/>
      </w:tabs>
    </w:pPr>
  </w:style>
  <w:style w:type="character" w:customStyle="1" w:styleId="HeaderChar">
    <w:name w:val="Header Char"/>
    <w:basedOn w:val="DefaultParagraphFont"/>
    <w:link w:val="Header"/>
    <w:uiPriority w:val="99"/>
    <w:rsid w:val="00962B2B"/>
  </w:style>
  <w:style w:type="paragraph" w:styleId="Footer">
    <w:name w:val="footer"/>
    <w:basedOn w:val="Normal"/>
    <w:link w:val="FooterChar"/>
    <w:uiPriority w:val="99"/>
    <w:unhideWhenUsed/>
    <w:rsid w:val="00962B2B"/>
    <w:pPr>
      <w:tabs>
        <w:tab w:val="center" w:pos="4320"/>
        <w:tab w:val="right" w:pos="8640"/>
      </w:tabs>
    </w:pPr>
  </w:style>
  <w:style w:type="character" w:customStyle="1" w:styleId="FooterChar">
    <w:name w:val="Footer Char"/>
    <w:basedOn w:val="DefaultParagraphFont"/>
    <w:link w:val="Footer"/>
    <w:uiPriority w:val="99"/>
    <w:rsid w:val="00962B2B"/>
  </w:style>
  <w:style w:type="paragraph" w:styleId="BalloonText">
    <w:name w:val="Balloon Text"/>
    <w:basedOn w:val="Normal"/>
    <w:link w:val="BalloonTextChar"/>
    <w:uiPriority w:val="99"/>
    <w:semiHidden/>
    <w:unhideWhenUsed/>
    <w:rsid w:val="00962B2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2B2B"/>
    <w:rPr>
      <w:rFonts w:ascii="Lucida Grande" w:hAnsi="Lucida Grande" w:cs="Lucida Grande"/>
      <w:sz w:val="18"/>
      <w:szCs w:val="18"/>
    </w:rPr>
  </w:style>
  <w:style w:type="paragraph" w:customStyle="1" w:styleId="BasicParagraph">
    <w:name w:val="[Basic Paragraph]"/>
    <w:basedOn w:val="Normal"/>
    <w:uiPriority w:val="99"/>
    <w:rsid w:val="00962B2B"/>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Body">
    <w:name w:val="Body"/>
    <w:basedOn w:val="Normal"/>
    <w:rsid w:val="007F266D"/>
    <w:rPr>
      <w:rFonts w:ascii="Helvetica" w:eastAsiaTheme="minorHAnsi" w:hAnsi="Helvetica" w:cs="Helvetica"/>
      <w:color w:val="000000"/>
      <w:sz w:val="22"/>
      <w:szCs w:val="22"/>
      <w:lang w:eastAsia="en-GB"/>
    </w:rPr>
  </w:style>
  <w:style w:type="paragraph" w:styleId="FootnoteText">
    <w:name w:val="footnote text"/>
    <w:basedOn w:val="Normal"/>
    <w:link w:val="FootnoteTextChar"/>
    <w:uiPriority w:val="99"/>
    <w:unhideWhenUsed/>
    <w:rsid w:val="00224140"/>
  </w:style>
  <w:style w:type="character" w:customStyle="1" w:styleId="FootnoteTextChar">
    <w:name w:val="Footnote Text Char"/>
    <w:basedOn w:val="DefaultParagraphFont"/>
    <w:link w:val="FootnoteText"/>
    <w:uiPriority w:val="99"/>
    <w:rsid w:val="00224140"/>
  </w:style>
  <w:style w:type="character" w:styleId="FootnoteReference">
    <w:name w:val="footnote reference"/>
    <w:basedOn w:val="DefaultParagraphFont"/>
    <w:uiPriority w:val="99"/>
    <w:unhideWhenUsed/>
    <w:rsid w:val="00224140"/>
    <w:rPr>
      <w:vertAlign w:val="superscript"/>
    </w:rPr>
  </w:style>
  <w:style w:type="character" w:styleId="PageNumber">
    <w:name w:val="page number"/>
    <w:basedOn w:val="DefaultParagraphFont"/>
    <w:uiPriority w:val="99"/>
    <w:semiHidden/>
    <w:unhideWhenUsed/>
    <w:rsid w:val="00D12EF8"/>
  </w:style>
  <w:style w:type="character" w:customStyle="1" w:styleId="Heading6Char">
    <w:name w:val="Heading 6 Char"/>
    <w:basedOn w:val="DefaultParagraphFont"/>
    <w:link w:val="Heading6"/>
    <w:uiPriority w:val="9"/>
    <w:semiHidden/>
    <w:rsid w:val="00224140"/>
    <w:rPr>
      <w:rFonts w:asciiTheme="majorHAnsi" w:eastAsiaTheme="majorEastAsia" w:hAnsiTheme="majorHAnsi" w:cstheme="majorBidi"/>
      <w:i/>
      <w:iCs/>
      <w:color w:val="243F60" w:themeColor="accent1" w:themeShade="7F"/>
    </w:rPr>
  </w:style>
  <w:style w:type="paragraph" w:customStyle="1" w:styleId="Default">
    <w:name w:val="Default"/>
    <w:rsid w:val="00552293"/>
    <w:pPr>
      <w:widowControl w:val="0"/>
      <w:autoSpaceDE w:val="0"/>
      <w:autoSpaceDN w:val="0"/>
      <w:adjustRightInd w:val="0"/>
    </w:pPr>
    <w:rPr>
      <w:rFonts w:ascii="Verdana" w:hAnsi="Verdana" w:cs="Verdana"/>
      <w:color w:val="000000"/>
      <w:lang w:val="en-US"/>
    </w:rPr>
  </w:style>
  <w:style w:type="paragraph" w:styleId="NormalWeb">
    <w:name w:val="Normal (Web)"/>
    <w:basedOn w:val="Normal"/>
    <w:uiPriority w:val="99"/>
    <w:unhideWhenUsed/>
    <w:rsid w:val="005B723E"/>
    <w:pPr>
      <w:spacing w:before="100" w:beforeAutospacing="1" w:after="100" w:afterAutospacing="1"/>
    </w:pPr>
    <w:rPr>
      <w:rFonts w:ascii="Times" w:hAnsi="Times" w:cs="Times New Roman"/>
      <w:sz w:val="20"/>
      <w:szCs w:val="20"/>
    </w:rPr>
  </w:style>
  <w:style w:type="paragraph" w:customStyle="1" w:styleId="NIHRCFootnotes">
    <w:name w:val="NIHRC Footnotes"/>
    <w:basedOn w:val="Normal"/>
    <w:qFormat/>
    <w:rsid w:val="004672AC"/>
    <w:pPr>
      <w:tabs>
        <w:tab w:val="left" w:pos="284"/>
      </w:tabs>
    </w:pPr>
    <w:rPr>
      <w:rFonts w:ascii="Verdana" w:hAnsi="Verdana" w:cs="Arial"/>
      <w:color w:val="77328A"/>
      <w:sz w:val="16"/>
      <w:szCs w:val="16"/>
    </w:rPr>
  </w:style>
  <w:style w:type="character" w:styleId="Hyperlink">
    <w:name w:val="Hyperlink"/>
    <w:basedOn w:val="DefaultParagraphFont"/>
    <w:uiPriority w:val="99"/>
    <w:unhideWhenUsed/>
    <w:rsid w:val="00331C61"/>
    <w:rPr>
      <w:color w:val="0000FF" w:themeColor="hyperlink"/>
      <w:u w:val="single"/>
    </w:rPr>
  </w:style>
  <w:style w:type="paragraph" w:styleId="ListParagraph">
    <w:name w:val="List Paragraph"/>
    <w:basedOn w:val="Normal"/>
    <w:uiPriority w:val="34"/>
    <w:qFormat/>
    <w:rsid w:val="00475056"/>
    <w:pPr>
      <w:spacing w:line="288" w:lineRule="auto"/>
      <w:ind w:left="720"/>
      <w:contextualSpacing/>
    </w:pPr>
    <w:rPr>
      <w:rFonts w:ascii="Verdana" w:eastAsia="MS Mincho" w:hAnsi="Verdana" w:cs="Times New Roman"/>
    </w:rPr>
  </w:style>
  <w:style w:type="paragraph" w:styleId="Subtitle">
    <w:name w:val="Subtitle"/>
    <w:basedOn w:val="Normal"/>
    <w:next w:val="Normal"/>
    <w:link w:val="SubtitleChar"/>
    <w:autoRedefine/>
    <w:uiPriority w:val="11"/>
    <w:qFormat/>
    <w:rsid w:val="000D1B4E"/>
    <w:pPr>
      <w:numPr>
        <w:ilvl w:val="1"/>
      </w:numPr>
      <w:spacing w:before="24" w:after="24"/>
    </w:pPr>
    <w:rPr>
      <w:rFonts w:ascii="Verdana" w:hAnsi="Verdana"/>
      <w:b/>
      <w:spacing w:val="15"/>
      <w:szCs w:val="22"/>
      <w:lang w:val="en-US"/>
    </w:rPr>
  </w:style>
  <w:style w:type="character" w:customStyle="1" w:styleId="SubtitleChar">
    <w:name w:val="Subtitle Char"/>
    <w:basedOn w:val="DefaultParagraphFont"/>
    <w:link w:val="Subtitle"/>
    <w:uiPriority w:val="11"/>
    <w:rsid w:val="000D1B4E"/>
    <w:rPr>
      <w:rFonts w:ascii="Verdana" w:hAnsi="Verdana"/>
      <w:b/>
      <w:spacing w:val="15"/>
      <w:szCs w:val="22"/>
      <w:lang w:val="en-US"/>
    </w:rPr>
  </w:style>
  <w:style w:type="paragraph" w:styleId="Title">
    <w:name w:val="Title"/>
    <w:basedOn w:val="Normal"/>
    <w:next w:val="Normal"/>
    <w:link w:val="TitleChar"/>
    <w:uiPriority w:val="10"/>
    <w:qFormat/>
    <w:rsid w:val="009B66F7"/>
    <w:pPr>
      <w:contextualSpacing/>
    </w:pPr>
    <w:rPr>
      <w:rFonts w:ascii="Verdana" w:eastAsiaTheme="majorEastAsia" w:hAnsi="Verdana" w:cstheme="majorBidi"/>
      <w:b/>
      <w:color w:val="77328A"/>
      <w:spacing w:val="-10"/>
      <w:kern w:val="28"/>
      <w:sz w:val="30"/>
      <w:szCs w:val="56"/>
    </w:rPr>
  </w:style>
  <w:style w:type="character" w:customStyle="1" w:styleId="TitleChar">
    <w:name w:val="Title Char"/>
    <w:basedOn w:val="DefaultParagraphFont"/>
    <w:link w:val="Title"/>
    <w:uiPriority w:val="10"/>
    <w:rsid w:val="009B66F7"/>
    <w:rPr>
      <w:rFonts w:ascii="Verdana" w:eastAsiaTheme="majorEastAsia" w:hAnsi="Verdana" w:cstheme="majorBidi"/>
      <w:b/>
      <w:color w:val="77328A"/>
      <w:spacing w:val="-10"/>
      <w:kern w:val="28"/>
      <w:sz w:val="30"/>
      <w:szCs w:val="56"/>
    </w:rPr>
  </w:style>
  <w:style w:type="paragraph" w:styleId="Quote">
    <w:name w:val="Quote"/>
    <w:basedOn w:val="Normal"/>
    <w:next w:val="Normal"/>
    <w:link w:val="QuoteChar"/>
    <w:uiPriority w:val="29"/>
    <w:qFormat/>
    <w:rsid w:val="008B5CBE"/>
    <w:pPr>
      <w:spacing w:line="288" w:lineRule="auto"/>
      <w:ind w:left="873" w:right="873"/>
    </w:pPr>
    <w:rPr>
      <w:rFonts w:ascii="Verdana" w:hAnsi="Verdana"/>
      <w:iCs/>
    </w:rPr>
  </w:style>
  <w:style w:type="character" w:customStyle="1" w:styleId="QuoteChar">
    <w:name w:val="Quote Char"/>
    <w:basedOn w:val="DefaultParagraphFont"/>
    <w:link w:val="Quote"/>
    <w:uiPriority w:val="29"/>
    <w:rsid w:val="008B5CBE"/>
    <w:rPr>
      <w:rFonts w:ascii="Verdana" w:hAnsi="Verdana"/>
      <w:iCs/>
    </w:rPr>
  </w:style>
  <w:style w:type="character" w:customStyle="1" w:styleId="Heading1Char">
    <w:name w:val="Heading 1 Char"/>
    <w:basedOn w:val="DefaultParagraphFont"/>
    <w:link w:val="Heading1"/>
    <w:uiPriority w:val="9"/>
    <w:rsid w:val="000D1B4E"/>
    <w:rPr>
      <w:rFonts w:ascii="Verdana" w:eastAsiaTheme="majorEastAsia" w:hAnsi="Verdana" w:cstheme="majorBidi"/>
      <w:b/>
      <w:color w:val="77328A"/>
      <w:sz w:val="30"/>
      <w:szCs w:val="32"/>
    </w:rPr>
  </w:style>
  <w:style w:type="paragraph" w:styleId="TOCHeading">
    <w:name w:val="TOC Heading"/>
    <w:basedOn w:val="Heading1"/>
    <w:next w:val="Normal"/>
    <w:uiPriority w:val="39"/>
    <w:unhideWhenUsed/>
    <w:qFormat/>
    <w:rsid w:val="000D1B4E"/>
    <w:pPr>
      <w:spacing w:line="259" w:lineRule="auto"/>
      <w:outlineLvl w:val="9"/>
    </w:pPr>
    <w:rPr>
      <w:lang w:val="en-US"/>
    </w:rPr>
  </w:style>
  <w:style w:type="character" w:customStyle="1" w:styleId="Heading2Char">
    <w:name w:val="Heading 2 Char"/>
    <w:basedOn w:val="DefaultParagraphFont"/>
    <w:link w:val="Heading2"/>
    <w:uiPriority w:val="9"/>
    <w:rsid w:val="000D1B4E"/>
    <w:rPr>
      <w:rFonts w:ascii="Verdana" w:eastAsiaTheme="majorEastAsia" w:hAnsi="Verdana" w:cstheme="majorBidi"/>
      <w:b/>
      <w:szCs w:val="26"/>
    </w:rPr>
  </w:style>
  <w:style w:type="paragraph" w:styleId="TOC1">
    <w:name w:val="toc 1"/>
    <w:basedOn w:val="Normal"/>
    <w:next w:val="Normal"/>
    <w:autoRedefine/>
    <w:uiPriority w:val="39"/>
    <w:unhideWhenUsed/>
    <w:rsid w:val="009A1F12"/>
    <w:pPr>
      <w:tabs>
        <w:tab w:val="left" w:pos="660"/>
        <w:tab w:val="right" w:leader="dot" w:pos="9848"/>
      </w:tabs>
      <w:spacing w:after="100"/>
    </w:pPr>
    <w:rPr>
      <w:rFonts w:ascii="Verdana" w:hAnsi="Verdana" w:cs="Arial"/>
      <w:b/>
      <w:noProof/>
    </w:rPr>
  </w:style>
  <w:style w:type="paragraph" w:styleId="TOC2">
    <w:name w:val="toc 2"/>
    <w:basedOn w:val="Normal"/>
    <w:next w:val="Normal"/>
    <w:autoRedefine/>
    <w:uiPriority w:val="39"/>
    <w:unhideWhenUsed/>
    <w:rsid w:val="000D1B4E"/>
    <w:pPr>
      <w:spacing w:after="100"/>
      <w:ind w:left="240"/>
    </w:pPr>
  </w:style>
  <w:style w:type="character" w:styleId="CommentReference">
    <w:name w:val="annotation reference"/>
    <w:basedOn w:val="DefaultParagraphFont"/>
    <w:uiPriority w:val="99"/>
    <w:semiHidden/>
    <w:unhideWhenUsed/>
    <w:rsid w:val="0087693B"/>
    <w:rPr>
      <w:sz w:val="16"/>
      <w:szCs w:val="16"/>
    </w:rPr>
  </w:style>
  <w:style w:type="paragraph" w:styleId="CommentText">
    <w:name w:val="annotation text"/>
    <w:basedOn w:val="Normal"/>
    <w:link w:val="CommentTextChar"/>
    <w:uiPriority w:val="99"/>
    <w:semiHidden/>
    <w:unhideWhenUsed/>
    <w:rsid w:val="0087693B"/>
    <w:rPr>
      <w:sz w:val="20"/>
      <w:szCs w:val="20"/>
    </w:rPr>
  </w:style>
  <w:style w:type="character" w:customStyle="1" w:styleId="CommentTextChar">
    <w:name w:val="Comment Text Char"/>
    <w:basedOn w:val="DefaultParagraphFont"/>
    <w:link w:val="CommentText"/>
    <w:uiPriority w:val="99"/>
    <w:semiHidden/>
    <w:rsid w:val="0087693B"/>
    <w:rPr>
      <w:sz w:val="20"/>
      <w:szCs w:val="20"/>
    </w:rPr>
  </w:style>
  <w:style w:type="paragraph" w:styleId="CommentSubject">
    <w:name w:val="annotation subject"/>
    <w:basedOn w:val="CommentText"/>
    <w:next w:val="CommentText"/>
    <w:link w:val="CommentSubjectChar"/>
    <w:uiPriority w:val="99"/>
    <w:semiHidden/>
    <w:unhideWhenUsed/>
    <w:rsid w:val="0087693B"/>
    <w:rPr>
      <w:b/>
      <w:bCs/>
    </w:rPr>
  </w:style>
  <w:style w:type="character" w:customStyle="1" w:styleId="CommentSubjectChar">
    <w:name w:val="Comment Subject Char"/>
    <w:basedOn w:val="CommentTextChar"/>
    <w:link w:val="CommentSubject"/>
    <w:uiPriority w:val="99"/>
    <w:semiHidden/>
    <w:rsid w:val="0087693B"/>
    <w:rPr>
      <w:b/>
      <w:bCs/>
      <w:sz w:val="20"/>
      <w:szCs w:val="20"/>
    </w:rPr>
  </w:style>
  <w:style w:type="table" w:styleId="TableGrid">
    <w:name w:val="Table Grid"/>
    <w:basedOn w:val="TableNormal"/>
    <w:uiPriority w:val="59"/>
    <w:rsid w:val="00055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F44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621399">
      <w:bodyDiv w:val="1"/>
      <w:marLeft w:val="0"/>
      <w:marRight w:val="0"/>
      <w:marTop w:val="0"/>
      <w:marBottom w:val="0"/>
      <w:divBdr>
        <w:top w:val="none" w:sz="0" w:space="0" w:color="auto"/>
        <w:left w:val="none" w:sz="0" w:space="0" w:color="auto"/>
        <w:bottom w:val="none" w:sz="0" w:space="0" w:color="auto"/>
        <w:right w:val="none" w:sz="0" w:space="0" w:color="auto"/>
      </w:divBdr>
    </w:div>
    <w:div w:id="291178726">
      <w:bodyDiv w:val="1"/>
      <w:marLeft w:val="0"/>
      <w:marRight w:val="0"/>
      <w:marTop w:val="0"/>
      <w:marBottom w:val="0"/>
      <w:divBdr>
        <w:top w:val="none" w:sz="0" w:space="0" w:color="auto"/>
        <w:left w:val="none" w:sz="0" w:space="0" w:color="auto"/>
        <w:bottom w:val="none" w:sz="0" w:space="0" w:color="auto"/>
        <w:right w:val="none" w:sz="0" w:space="0" w:color="auto"/>
      </w:divBdr>
      <w:divsChild>
        <w:div w:id="1881284927">
          <w:blockQuote w:val="1"/>
          <w:marLeft w:val="-450"/>
          <w:marRight w:val="0"/>
          <w:marTop w:val="0"/>
          <w:marBottom w:val="0"/>
          <w:divBdr>
            <w:top w:val="none" w:sz="0" w:space="0" w:color="auto"/>
            <w:left w:val="none" w:sz="0" w:space="0" w:color="auto"/>
            <w:bottom w:val="none" w:sz="0" w:space="0" w:color="auto"/>
            <w:right w:val="none" w:sz="0" w:space="0" w:color="auto"/>
          </w:divBdr>
        </w:div>
      </w:divsChild>
    </w:div>
    <w:div w:id="497965596">
      <w:bodyDiv w:val="1"/>
      <w:marLeft w:val="0"/>
      <w:marRight w:val="0"/>
      <w:marTop w:val="0"/>
      <w:marBottom w:val="0"/>
      <w:divBdr>
        <w:top w:val="none" w:sz="0" w:space="0" w:color="auto"/>
        <w:left w:val="none" w:sz="0" w:space="0" w:color="auto"/>
        <w:bottom w:val="none" w:sz="0" w:space="0" w:color="auto"/>
        <w:right w:val="none" w:sz="0" w:space="0" w:color="auto"/>
      </w:divBdr>
    </w:div>
    <w:div w:id="598568565">
      <w:bodyDiv w:val="1"/>
      <w:marLeft w:val="0"/>
      <w:marRight w:val="0"/>
      <w:marTop w:val="0"/>
      <w:marBottom w:val="0"/>
      <w:divBdr>
        <w:top w:val="none" w:sz="0" w:space="0" w:color="auto"/>
        <w:left w:val="none" w:sz="0" w:space="0" w:color="auto"/>
        <w:bottom w:val="none" w:sz="0" w:space="0" w:color="auto"/>
        <w:right w:val="none" w:sz="0" w:space="0" w:color="auto"/>
      </w:divBdr>
    </w:div>
    <w:div w:id="624242124">
      <w:bodyDiv w:val="1"/>
      <w:marLeft w:val="0"/>
      <w:marRight w:val="0"/>
      <w:marTop w:val="0"/>
      <w:marBottom w:val="0"/>
      <w:divBdr>
        <w:top w:val="none" w:sz="0" w:space="0" w:color="auto"/>
        <w:left w:val="none" w:sz="0" w:space="0" w:color="auto"/>
        <w:bottom w:val="none" w:sz="0" w:space="0" w:color="auto"/>
        <w:right w:val="none" w:sz="0" w:space="0" w:color="auto"/>
      </w:divBdr>
    </w:div>
    <w:div w:id="1014530040">
      <w:bodyDiv w:val="1"/>
      <w:marLeft w:val="0"/>
      <w:marRight w:val="0"/>
      <w:marTop w:val="0"/>
      <w:marBottom w:val="0"/>
      <w:divBdr>
        <w:top w:val="none" w:sz="0" w:space="0" w:color="auto"/>
        <w:left w:val="none" w:sz="0" w:space="0" w:color="auto"/>
        <w:bottom w:val="none" w:sz="0" w:space="0" w:color="auto"/>
        <w:right w:val="none" w:sz="0" w:space="0" w:color="auto"/>
      </w:divBdr>
    </w:div>
    <w:div w:id="1153988160">
      <w:bodyDiv w:val="1"/>
      <w:marLeft w:val="0"/>
      <w:marRight w:val="0"/>
      <w:marTop w:val="0"/>
      <w:marBottom w:val="0"/>
      <w:divBdr>
        <w:top w:val="none" w:sz="0" w:space="0" w:color="auto"/>
        <w:left w:val="none" w:sz="0" w:space="0" w:color="auto"/>
        <w:bottom w:val="none" w:sz="0" w:space="0" w:color="auto"/>
        <w:right w:val="none" w:sz="0" w:space="0" w:color="auto"/>
      </w:divBdr>
      <w:divsChild>
        <w:div w:id="1028986289">
          <w:marLeft w:val="0"/>
          <w:marRight w:val="0"/>
          <w:marTop w:val="0"/>
          <w:marBottom w:val="0"/>
          <w:divBdr>
            <w:top w:val="none" w:sz="0" w:space="0" w:color="auto"/>
            <w:left w:val="none" w:sz="0" w:space="0" w:color="auto"/>
            <w:bottom w:val="none" w:sz="0" w:space="0" w:color="auto"/>
            <w:right w:val="none" w:sz="0" w:space="0" w:color="auto"/>
          </w:divBdr>
          <w:divsChild>
            <w:div w:id="1795251692">
              <w:marLeft w:val="0"/>
              <w:marRight w:val="0"/>
              <w:marTop w:val="0"/>
              <w:marBottom w:val="0"/>
              <w:divBdr>
                <w:top w:val="none" w:sz="0" w:space="0" w:color="auto"/>
                <w:left w:val="none" w:sz="0" w:space="0" w:color="auto"/>
                <w:bottom w:val="none" w:sz="0" w:space="0" w:color="auto"/>
                <w:right w:val="none" w:sz="0" w:space="0" w:color="auto"/>
              </w:divBdr>
              <w:divsChild>
                <w:div w:id="146692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992847">
      <w:bodyDiv w:val="1"/>
      <w:marLeft w:val="0"/>
      <w:marRight w:val="0"/>
      <w:marTop w:val="0"/>
      <w:marBottom w:val="0"/>
      <w:divBdr>
        <w:top w:val="none" w:sz="0" w:space="0" w:color="auto"/>
        <w:left w:val="none" w:sz="0" w:space="0" w:color="auto"/>
        <w:bottom w:val="none" w:sz="0" w:space="0" w:color="auto"/>
        <w:right w:val="none" w:sz="0" w:space="0" w:color="auto"/>
      </w:divBdr>
    </w:div>
    <w:div w:id="1398361561">
      <w:bodyDiv w:val="1"/>
      <w:marLeft w:val="0"/>
      <w:marRight w:val="0"/>
      <w:marTop w:val="0"/>
      <w:marBottom w:val="0"/>
      <w:divBdr>
        <w:top w:val="none" w:sz="0" w:space="0" w:color="auto"/>
        <w:left w:val="none" w:sz="0" w:space="0" w:color="auto"/>
        <w:bottom w:val="none" w:sz="0" w:space="0" w:color="auto"/>
        <w:right w:val="none" w:sz="0" w:space="0" w:color="auto"/>
      </w:divBdr>
    </w:div>
    <w:div w:id="1465585121">
      <w:bodyDiv w:val="1"/>
      <w:marLeft w:val="0"/>
      <w:marRight w:val="0"/>
      <w:marTop w:val="0"/>
      <w:marBottom w:val="0"/>
      <w:divBdr>
        <w:top w:val="none" w:sz="0" w:space="0" w:color="auto"/>
        <w:left w:val="none" w:sz="0" w:space="0" w:color="auto"/>
        <w:bottom w:val="none" w:sz="0" w:space="0" w:color="auto"/>
        <w:right w:val="none" w:sz="0" w:space="0" w:color="auto"/>
      </w:divBdr>
    </w:div>
    <w:div w:id="1845588385">
      <w:bodyDiv w:val="1"/>
      <w:marLeft w:val="0"/>
      <w:marRight w:val="0"/>
      <w:marTop w:val="0"/>
      <w:marBottom w:val="0"/>
      <w:divBdr>
        <w:top w:val="none" w:sz="0" w:space="0" w:color="auto"/>
        <w:left w:val="none" w:sz="0" w:space="0" w:color="auto"/>
        <w:bottom w:val="none" w:sz="0" w:space="0" w:color="auto"/>
        <w:right w:val="none" w:sz="0" w:space="0" w:color="auto"/>
      </w:divBdr>
    </w:div>
    <w:div w:id="2006592875">
      <w:bodyDiv w:val="1"/>
      <w:marLeft w:val="0"/>
      <w:marRight w:val="0"/>
      <w:marTop w:val="0"/>
      <w:marBottom w:val="0"/>
      <w:divBdr>
        <w:top w:val="none" w:sz="0" w:space="0" w:color="auto"/>
        <w:left w:val="none" w:sz="0" w:space="0" w:color="auto"/>
        <w:bottom w:val="none" w:sz="0" w:space="0" w:color="auto"/>
        <w:right w:val="none" w:sz="0" w:space="0" w:color="auto"/>
      </w:divBdr>
    </w:div>
    <w:div w:id="2129470764">
      <w:bodyDiv w:val="1"/>
      <w:marLeft w:val="0"/>
      <w:marRight w:val="0"/>
      <w:marTop w:val="0"/>
      <w:marBottom w:val="0"/>
      <w:divBdr>
        <w:top w:val="none" w:sz="0" w:space="0" w:color="auto"/>
        <w:left w:val="none" w:sz="0" w:space="0" w:color="auto"/>
        <w:bottom w:val="none" w:sz="0" w:space="0" w:color="auto"/>
        <w:right w:val="none" w:sz="0" w:space="0" w:color="auto"/>
      </w:divBdr>
      <w:divsChild>
        <w:div w:id="608201235">
          <w:marLeft w:val="0"/>
          <w:marRight w:val="0"/>
          <w:marTop w:val="0"/>
          <w:marBottom w:val="0"/>
          <w:divBdr>
            <w:top w:val="none" w:sz="0" w:space="0" w:color="auto"/>
            <w:left w:val="none" w:sz="0" w:space="0" w:color="auto"/>
            <w:bottom w:val="none" w:sz="0" w:space="0" w:color="auto"/>
            <w:right w:val="none" w:sz="0" w:space="0" w:color="auto"/>
          </w:divBdr>
          <w:divsChild>
            <w:div w:id="248193691">
              <w:marLeft w:val="0"/>
              <w:marRight w:val="0"/>
              <w:marTop w:val="0"/>
              <w:marBottom w:val="0"/>
              <w:divBdr>
                <w:top w:val="none" w:sz="0" w:space="0" w:color="auto"/>
                <w:left w:val="none" w:sz="0" w:space="0" w:color="auto"/>
                <w:bottom w:val="none" w:sz="0" w:space="0" w:color="auto"/>
                <w:right w:val="none" w:sz="0" w:space="0" w:color="auto"/>
              </w:divBdr>
              <w:divsChild>
                <w:div w:id="91771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nihrc.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ihrc.org" TargetMode="External"/><Relationship Id="rId4" Type="http://schemas.openxmlformats.org/officeDocument/2006/relationships/settings" Target="settings.xml"/><Relationship Id="rId9" Type="http://schemas.openxmlformats.org/officeDocument/2006/relationships/hyperlink" Target="mailto:Rhyannon.Blythe@nihrc.org"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ecantconsenttothis.uk/northern-ire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FA26F-7E72-4ADF-89EC-75522A3E6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4328</Words>
  <Characters>24673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Whitenoise</Company>
  <LinksUpToDate>false</LinksUpToDate>
  <CharactersWithSpaces>28944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McKeown</dc:creator>
  <cp:keywords/>
  <dc:description/>
  <cp:lastModifiedBy>Helena Begley</cp:lastModifiedBy>
  <cp:revision>2</cp:revision>
  <cp:lastPrinted>2018-04-20T11:30:00Z</cp:lastPrinted>
  <dcterms:created xsi:type="dcterms:W3CDTF">2021-03-17T11:33:00Z</dcterms:created>
  <dcterms:modified xsi:type="dcterms:W3CDTF">2021-03-17T11:33:00Z</dcterms:modified>
</cp:coreProperties>
</file>