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EAAA" w14:textId="73FF58C8" w:rsidR="00150CDE" w:rsidRDefault="009E1CCB" w:rsidP="008569C5">
      <w:r w:rsidRPr="000721E4">
        <w:rPr>
          <w:noProof/>
          <w:lang w:eastAsia="en-GB"/>
        </w:rPr>
        <w:drawing>
          <wp:anchor distT="0" distB="0" distL="114300" distR="114300" simplePos="0" relativeHeight="251659264" behindDoc="0" locked="0" layoutInCell="1" allowOverlap="1" wp14:anchorId="4808952E" wp14:editId="31106A30">
            <wp:simplePos x="0" y="0"/>
            <wp:positionH relativeFrom="column">
              <wp:posOffset>496101</wp:posOffset>
            </wp:positionH>
            <wp:positionV relativeFrom="paragraph">
              <wp:posOffset>176530</wp:posOffset>
            </wp:positionV>
            <wp:extent cx="2269490" cy="1043940"/>
            <wp:effectExtent l="0" t="0" r="0" b="3810"/>
            <wp:wrapNone/>
            <wp:docPr id="3" name="Picture 3"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ebsi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949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F65D" w14:textId="01CEC244" w:rsidR="00975C44" w:rsidRPr="000835C7" w:rsidRDefault="009E1CCB" w:rsidP="00975C44">
      <w:pPr>
        <w:pStyle w:val="BasicParagraph"/>
        <w:tabs>
          <w:tab w:val="left" w:pos="4820"/>
        </w:tabs>
        <w:suppressAutoHyphens/>
        <w:jc w:val="center"/>
        <w:rPr>
          <w:rFonts w:ascii="Verdana" w:hAnsi="Verdana" w:cs="Arial"/>
          <w:b/>
          <w:bCs/>
          <w:color w:val="734791"/>
          <w:sz w:val="36"/>
          <w:szCs w:val="36"/>
        </w:rPr>
      </w:pPr>
      <w:r>
        <w:rPr>
          <w:rFonts w:ascii="Arial" w:hAnsi="Arial" w:cs="Arial"/>
          <w:noProof/>
          <w:szCs w:val="28"/>
          <w:lang w:eastAsia="en-GB"/>
        </w:rPr>
        <w:drawing>
          <wp:anchor distT="0" distB="0" distL="114300" distR="114300" simplePos="0" relativeHeight="251657216" behindDoc="0" locked="0" layoutInCell="1" allowOverlap="1" wp14:anchorId="36657D08" wp14:editId="6EBB9BBC">
            <wp:simplePos x="0" y="0"/>
            <wp:positionH relativeFrom="column">
              <wp:posOffset>2929337</wp:posOffset>
            </wp:positionH>
            <wp:positionV relativeFrom="paragraph">
              <wp:posOffset>161815</wp:posOffset>
            </wp:positionV>
            <wp:extent cx="2802835" cy="720140"/>
            <wp:effectExtent l="0" t="0" r="0" b="381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02835" cy="720140"/>
                    </a:xfrm>
                    <a:prstGeom prst="rect">
                      <a:avLst/>
                    </a:prstGeom>
                  </pic:spPr>
                </pic:pic>
              </a:graphicData>
            </a:graphic>
            <wp14:sizeRelH relativeFrom="page">
              <wp14:pctWidth>0</wp14:pctWidth>
            </wp14:sizeRelH>
            <wp14:sizeRelV relativeFrom="page">
              <wp14:pctHeight>0</wp14:pctHeight>
            </wp14:sizeRelV>
          </wp:anchor>
        </w:drawing>
      </w:r>
    </w:p>
    <w:p w14:paraId="6C0E452C" w14:textId="4D812AF0" w:rsidR="008569C5" w:rsidRDefault="008569C5" w:rsidP="001566DA">
      <w:pPr>
        <w:pStyle w:val="ListParagraph"/>
      </w:pPr>
    </w:p>
    <w:p w14:paraId="0A404A0F" w14:textId="77777777" w:rsidR="00150CDE" w:rsidRDefault="00150CDE" w:rsidP="00E438D7"/>
    <w:p w14:paraId="18BFF5A3" w14:textId="77777777" w:rsidR="009E1CCB" w:rsidRDefault="009E1CCB" w:rsidP="008569C5">
      <w:pPr>
        <w:pStyle w:val="ListParagraph"/>
        <w:jc w:val="center"/>
        <w:rPr>
          <w:rFonts w:cstheme="minorHAnsi"/>
          <w:b/>
          <w:bCs/>
          <w:sz w:val="56"/>
          <w:szCs w:val="56"/>
        </w:rPr>
      </w:pPr>
    </w:p>
    <w:p w14:paraId="6631871F" w14:textId="77777777" w:rsidR="009E1CCB" w:rsidRDefault="009E1CCB" w:rsidP="008569C5">
      <w:pPr>
        <w:pStyle w:val="ListParagraph"/>
        <w:jc w:val="center"/>
        <w:rPr>
          <w:rFonts w:cstheme="minorHAnsi"/>
          <w:b/>
          <w:bCs/>
          <w:sz w:val="56"/>
          <w:szCs w:val="56"/>
        </w:rPr>
      </w:pPr>
    </w:p>
    <w:p w14:paraId="3D15F8B7" w14:textId="77777777" w:rsidR="009E1CCB" w:rsidRDefault="009E1CCB" w:rsidP="008569C5">
      <w:pPr>
        <w:pStyle w:val="ListParagraph"/>
        <w:jc w:val="center"/>
        <w:rPr>
          <w:rFonts w:cstheme="minorHAnsi"/>
          <w:b/>
          <w:bCs/>
          <w:sz w:val="56"/>
          <w:szCs w:val="56"/>
        </w:rPr>
      </w:pPr>
    </w:p>
    <w:p w14:paraId="248C11C3" w14:textId="5A93411A" w:rsidR="00150CDE" w:rsidRPr="00C60046" w:rsidRDefault="00150CDE" w:rsidP="008569C5">
      <w:pPr>
        <w:pStyle w:val="ListParagraph"/>
        <w:jc w:val="center"/>
        <w:rPr>
          <w:rFonts w:cstheme="minorHAnsi"/>
          <w:b/>
          <w:bCs/>
          <w:sz w:val="56"/>
          <w:szCs w:val="56"/>
        </w:rPr>
      </w:pPr>
      <w:r w:rsidRPr="00C60046">
        <w:rPr>
          <w:rFonts w:cstheme="minorHAnsi"/>
          <w:b/>
          <w:bCs/>
          <w:sz w:val="56"/>
          <w:szCs w:val="56"/>
        </w:rPr>
        <w:t xml:space="preserve">Submission of the </w:t>
      </w:r>
      <w:r w:rsidR="00C34AD8">
        <w:rPr>
          <w:rFonts w:cstheme="minorHAnsi"/>
          <w:b/>
          <w:bCs/>
          <w:sz w:val="56"/>
          <w:szCs w:val="56"/>
        </w:rPr>
        <w:t>NIHRC</w:t>
      </w:r>
      <w:r w:rsidR="00F72F09" w:rsidRPr="00C60046">
        <w:rPr>
          <w:rFonts w:cstheme="minorHAnsi"/>
          <w:b/>
          <w:bCs/>
          <w:sz w:val="56"/>
          <w:szCs w:val="56"/>
        </w:rPr>
        <w:t xml:space="preserve"> and </w:t>
      </w:r>
      <w:r w:rsidRPr="00C60046">
        <w:rPr>
          <w:rFonts w:cstheme="minorHAnsi"/>
          <w:b/>
          <w:bCs/>
          <w:sz w:val="56"/>
          <w:szCs w:val="56"/>
        </w:rPr>
        <w:t xml:space="preserve">ECNI to the House of Lords Sub-Committee on the Protocol’s call for </w:t>
      </w:r>
      <w:r w:rsidR="008569C5" w:rsidRPr="00C60046">
        <w:rPr>
          <w:rFonts w:cstheme="minorHAnsi"/>
          <w:b/>
          <w:bCs/>
          <w:sz w:val="56"/>
          <w:szCs w:val="56"/>
        </w:rPr>
        <w:t>e</w:t>
      </w:r>
      <w:r w:rsidRPr="00C60046">
        <w:rPr>
          <w:rFonts w:cstheme="minorHAnsi"/>
          <w:b/>
          <w:bCs/>
          <w:sz w:val="56"/>
          <w:szCs w:val="56"/>
        </w:rPr>
        <w:t xml:space="preserve">vidence for its inquiry </w:t>
      </w:r>
      <w:r w:rsidR="003A0D6C">
        <w:rPr>
          <w:rFonts w:cstheme="minorHAnsi"/>
          <w:b/>
          <w:bCs/>
          <w:sz w:val="56"/>
          <w:szCs w:val="56"/>
        </w:rPr>
        <w:t>on the Windsor Framework</w:t>
      </w:r>
    </w:p>
    <w:p w14:paraId="38119E18" w14:textId="16EACDD9" w:rsidR="00C2558C" w:rsidRPr="00527BED" w:rsidRDefault="00C2558C" w:rsidP="008569C5">
      <w:pPr>
        <w:pStyle w:val="ListParagraph"/>
        <w:jc w:val="center"/>
        <w:rPr>
          <w:rFonts w:cstheme="minorHAnsi"/>
          <w:b/>
          <w:bCs/>
          <w:sz w:val="32"/>
          <w:szCs w:val="32"/>
        </w:rPr>
      </w:pPr>
    </w:p>
    <w:p w14:paraId="6010E07E" w14:textId="028131A5" w:rsidR="00150CDE" w:rsidRPr="00527BED" w:rsidRDefault="00150CDE" w:rsidP="00527BED">
      <w:pPr>
        <w:rPr>
          <w:rFonts w:cstheme="minorHAnsi"/>
          <w:b/>
          <w:bCs/>
          <w:sz w:val="32"/>
          <w:szCs w:val="32"/>
        </w:rPr>
      </w:pPr>
    </w:p>
    <w:p w14:paraId="315A41B0" w14:textId="4F667E32" w:rsidR="00150CDE" w:rsidRPr="00E438D7" w:rsidRDefault="002A660B" w:rsidP="008569C5">
      <w:pPr>
        <w:pStyle w:val="ListParagraph"/>
        <w:jc w:val="center"/>
        <w:rPr>
          <w:rFonts w:cstheme="minorHAnsi"/>
          <w:b/>
          <w:bCs/>
          <w:sz w:val="56"/>
          <w:szCs w:val="56"/>
        </w:rPr>
      </w:pPr>
      <w:r>
        <w:rPr>
          <w:rFonts w:cstheme="minorHAnsi"/>
          <w:b/>
          <w:bCs/>
          <w:sz w:val="36"/>
          <w:szCs w:val="36"/>
        </w:rPr>
        <w:t>2 May</w:t>
      </w:r>
      <w:r w:rsidR="003A0D6C">
        <w:rPr>
          <w:rFonts w:cstheme="minorHAnsi"/>
          <w:b/>
          <w:bCs/>
          <w:sz w:val="36"/>
          <w:szCs w:val="36"/>
        </w:rPr>
        <w:t xml:space="preserve"> </w:t>
      </w:r>
      <w:r w:rsidR="00150CDE" w:rsidRPr="00E438D7">
        <w:rPr>
          <w:rFonts w:cstheme="minorHAnsi"/>
          <w:b/>
          <w:bCs/>
          <w:sz w:val="36"/>
          <w:szCs w:val="36"/>
        </w:rPr>
        <w:t>202</w:t>
      </w:r>
      <w:r w:rsidR="003A0D6C">
        <w:rPr>
          <w:rFonts w:cstheme="minorHAnsi"/>
          <w:b/>
          <w:bCs/>
          <w:sz w:val="36"/>
          <w:szCs w:val="36"/>
        </w:rPr>
        <w:t>3</w:t>
      </w:r>
    </w:p>
    <w:p w14:paraId="751A3A17" w14:textId="77777777" w:rsidR="00BA78B6" w:rsidRPr="00527BED" w:rsidRDefault="00BA78B6" w:rsidP="00BA78B6">
      <w:pPr>
        <w:rPr>
          <w:rFonts w:cstheme="minorHAnsi"/>
        </w:rPr>
        <w:sectPr w:rsidR="00BA78B6" w:rsidRPr="00527BE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sdt>
      <w:sdtPr>
        <w:rPr>
          <w:b w:val="0"/>
          <w:bCs w:val="0"/>
          <w:sz w:val="28"/>
          <w:szCs w:val="24"/>
          <w:lang w:val="en-GB"/>
        </w:rPr>
        <w:id w:val="276294631"/>
        <w:docPartObj>
          <w:docPartGallery w:val="Table of Contents"/>
          <w:docPartUnique/>
        </w:docPartObj>
      </w:sdtPr>
      <w:sdtEndPr>
        <w:rPr>
          <w:noProof/>
        </w:rPr>
      </w:sdtEndPr>
      <w:sdtContent>
        <w:p w14:paraId="40C4514E" w14:textId="51536AF9" w:rsidR="00996313" w:rsidRPr="00996313" w:rsidRDefault="00996313" w:rsidP="00996313">
          <w:pPr>
            <w:pStyle w:val="TOCHeading"/>
            <w:numPr>
              <w:ilvl w:val="0"/>
              <w:numId w:val="0"/>
            </w:numPr>
            <w:rPr>
              <w:rStyle w:val="TitleChar"/>
            </w:rPr>
          </w:pPr>
          <w:r w:rsidRPr="00996313">
            <w:rPr>
              <w:rStyle w:val="TitleChar"/>
            </w:rPr>
            <w:t>Contents</w:t>
          </w:r>
        </w:p>
        <w:p w14:paraId="1F74D473" w14:textId="2F301843" w:rsidR="00B40E91" w:rsidRDefault="00996313">
          <w:pPr>
            <w:pStyle w:val="TOC2"/>
            <w:tabs>
              <w:tab w:val="right" w:leader="dot" w:pos="9016"/>
            </w:tabs>
            <w:rPr>
              <w:rFonts w:eastAsiaTheme="minorEastAsia" w:cstheme="minorBidi"/>
              <w:noProof/>
              <w:sz w:val="22"/>
              <w:szCs w:val="22"/>
              <w:lang w:eastAsia="en-GB"/>
            </w:rPr>
          </w:pPr>
          <w:r>
            <w:fldChar w:fldCharType="begin"/>
          </w:r>
          <w:r>
            <w:instrText xml:space="preserve"> TOC \o "1-3" \h \z \u </w:instrText>
          </w:r>
          <w:r>
            <w:fldChar w:fldCharType="separate"/>
          </w:r>
          <w:hyperlink w:anchor="_Toc133911779" w:history="1">
            <w:r w:rsidR="00B40E91" w:rsidRPr="003A478E">
              <w:rPr>
                <w:rStyle w:val="Hyperlink"/>
                <w:rFonts w:eastAsia="Times New Roman"/>
                <w:noProof/>
                <w:lang w:eastAsia="en-GB"/>
              </w:rPr>
              <w:t>Summary of Recommendations</w:t>
            </w:r>
            <w:r w:rsidR="00B40E91">
              <w:rPr>
                <w:noProof/>
                <w:webHidden/>
              </w:rPr>
              <w:tab/>
            </w:r>
            <w:r w:rsidR="00B40E91">
              <w:rPr>
                <w:noProof/>
                <w:webHidden/>
              </w:rPr>
              <w:fldChar w:fldCharType="begin"/>
            </w:r>
            <w:r w:rsidR="00B40E91">
              <w:rPr>
                <w:noProof/>
                <w:webHidden/>
              </w:rPr>
              <w:instrText xml:space="preserve"> PAGEREF _Toc133911779 \h </w:instrText>
            </w:r>
            <w:r w:rsidR="00B40E91">
              <w:rPr>
                <w:noProof/>
                <w:webHidden/>
              </w:rPr>
            </w:r>
            <w:r w:rsidR="00B40E91">
              <w:rPr>
                <w:noProof/>
                <w:webHidden/>
              </w:rPr>
              <w:fldChar w:fldCharType="separate"/>
            </w:r>
            <w:r w:rsidR="00B40E91">
              <w:rPr>
                <w:noProof/>
                <w:webHidden/>
              </w:rPr>
              <w:t>1</w:t>
            </w:r>
            <w:r w:rsidR="00B40E91">
              <w:rPr>
                <w:noProof/>
                <w:webHidden/>
              </w:rPr>
              <w:fldChar w:fldCharType="end"/>
            </w:r>
          </w:hyperlink>
        </w:p>
        <w:p w14:paraId="600705C2" w14:textId="5E988F39" w:rsidR="00B40E91" w:rsidRDefault="00B40E91">
          <w:pPr>
            <w:pStyle w:val="TOC1"/>
            <w:rPr>
              <w:rFonts w:eastAsiaTheme="minorEastAsia" w:cstheme="minorBidi"/>
              <w:noProof/>
              <w:sz w:val="22"/>
              <w:szCs w:val="22"/>
              <w:lang w:eastAsia="en-GB"/>
            </w:rPr>
          </w:pPr>
          <w:hyperlink w:anchor="_Toc133911780" w:history="1">
            <w:r w:rsidRPr="003A478E">
              <w:rPr>
                <w:rStyle w:val="Hyperlink"/>
                <w:noProof/>
              </w:rPr>
              <w:t>1.0</w:t>
            </w:r>
            <w:r>
              <w:rPr>
                <w:rFonts w:eastAsiaTheme="minorEastAsia" w:cstheme="minorBidi"/>
                <w:noProof/>
                <w:sz w:val="22"/>
                <w:szCs w:val="22"/>
                <w:lang w:eastAsia="en-GB"/>
              </w:rPr>
              <w:tab/>
            </w:r>
            <w:r w:rsidRPr="003A478E">
              <w:rPr>
                <w:rStyle w:val="Hyperlink"/>
                <w:noProof/>
              </w:rPr>
              <w:t>Introduction</w:t>
            </w:r>
            <w:r>
              <w:rPr>
                <w:noProof/>
                <w:webHidden/>
              </w:rPr>
              <w:tab/>
            </w:r>
            <w:r>
              <w:rPr>
                <w:noProof/>
                <w:webHidden/>
              </w:rPr>
              <w:fldChar w:fldCharType="begin"/>
            </w:r>
            <w:r>
              <w:rPr>
                <w:noProof/>
                <w:webHidden/>
              </w:rPr>
              <w:instrText xml:space="preserve"> PAGEREF _Toc133911780 \h </w:instrText>
            </w:r>
            <w:r>
              <w:rPr>
                <w:noProof/>
                <w:webHidden/>
              </w:rPr>
            </w:r>
            <w:r>
              <w:rPr>
                <w:noProof/>
                <w:webHidden/>
              </w:rPr>
              <w:fldChar w:fldCharType="separate"/>
            </w:r>
            <w:r>
              <w:rPr>
                <w:noProof/>
                <w:webHidden/>
              </w:rPr>
              <w:t>4</w:t>
            </w:r>
            <w:r>
              <w:rPr>
                <w:noProof/>
                <w:webHidden/>
              </w:rPr>
              <w:fldChar w:fldCharType="end"/>
            </w:r>
          </w:hyperlink>
        </w:p>
        <w:p w14:paraId="0874D658" w14:textId="0ED06DED" w:rsidR="00B40E91" w:rsidRDefault="00B40E91">
          <w:pPr>
            <w:pStyle w:val="TOC1"/>
            <w:rPr>
              <w:rFonts w:eastAsiaTheme="minorEastAsia" w:cstheme="minorBidi"/>
              <w:noProof/>
              <w:sz w:val="22"/>
              <w:szCs w:val="22"/>
              <w:lang w:eastAsia="en-GB"/>
            </w:rPr>
          </w:pPr>
          <w:hyperlink w:anchor="_Toc133911781" w:history="1">
            <w:r w:rsidRPr="003A478E">
              <w:rPr>
                <w:rStyle w:val="Hyperlink"/>
                <w:noProof/>
              </w:rPr>
              <w:t>2.0</w:t>
            </w:r>
            <w:r>
              <w:rPr>
                <w:rFonts w:eastAsiaTheme="minorEastAsia" w:cstheme="minorBidi"/>
                <w:noProof/>
                <w:sz w:val="22"/>
                <w:szCs w:val="22"/>
                <w:lang w:eastAsia="en-GB"/>
              </w:rPr>
              <w:tab/>
            </w:r>
            <w:r w:rsidRPr="003A478E">
              <w:rPr>
                <w:rStyle w:val="Hyperlink"/>
                <w:noProof/>
              </w:rPr>
              <w:t>Responses to Questions</w:t>
            </w:r>
            <w:r>
              <w:rPr>
                <w:noProof/>
                <w:webHidden/>
              </w:rPr>
              <w:tab/>
            </w:r>
            <w:r>
              <w:rPr>
                <w:noProof/>
                <w:webHidden/>
              </w:rPr>
              <w:fldChar w:fldCharType="begin"/>
            </w:r>
            <w:r>
              <w:rPr>
                <w:noProof/>
                <w:webHidden/>
              </w:rPr>
              <w:instrText xml:space="preserve"> PAGEREF _Toc133911781 \h </w:instrText>
            </w:r>
            <w:r>
              <w:rPr>
                <w:noProof/>
                <w:webHidden/>
              </w:rPr>
            </w:r>
            <w:r>
              <w:rPr>
                <w:noProof/>
                <w:webHidden/>
              </w:rPr>
              <w:fldChar w:fldCharType="separate"/>
            </w:r>
            <w:r>
              <w:rPr>
                <w:noProof/>
                <w:webHidden/>
              </w:rPr>
              <w:t>5</w:t>
            </w:r>
            <w:r>
              <w:rPr>
                <w:noProof/>
                <w:webHidden/>
              </w:rPr>
              <w:fldChar w:fldCharType="end"/>
            </w:r>
          </w:hyperlink>
        </w:p>
        <w:p w14:paraId="054FB2E8" w14:textId="6201A2F3" w:rsidR="00B40E91" w:rsidRDefault="00B40E91">
          <w:pPr>
            <w:pStyle w:val="TOC3"/>
            <w:tabs>
              <w:tab w:val="right" w:leader="dot" w:pos="9016"/>
            </w:tabs>
            <w:rPr>
              <w:rFonts w:eastAsiaTheme="minorEastAsia" w:cstheme="minorBidi"/>
              <w:noProof/>
              <w:sz w:val="22"/>
              <w:szCs w:val="22"/>
              <w:lang w:eastAsia="en-GB"/>
            </w:rPr>
          </w:pPr>
          <w:hyperlink w:anchor="_Toc133911782" w:history="1">
            <w:r w:rsidRPr="003A478E">
              <w:rPr>
                <w:rStyle w:val="Hyperlink"/>
                <w:bCs/>
                <w:noProof/>
              </w:rPr>
              <w:t>Overall Questions</w:t>
            </w:r>
            <w:r>
              <w:rPr>
                <w:noProof/>
                <w:webHidden/>
              </w:rPr>
              <w:tab/>
            </w:r>
            <w:r>
              <w:rPr>
                <w:noProof/>
                <w:webHidden/>
              </w:rPr>
              <w:fldChar w:fldCharType="begin"/>
            </w:r>
            <w:r>
              <w:rPr>
                <w:noProof/>
                <w:webHidden/>
              </w:rPr>
              <w:instrText xml:space="preserve"> PAGEREF _Toc133911782 \h </w:instrText>
            </w:r>
            <w:r>
              <w:rPr>
                <w:noProof/>
                <w:webHidden/>
              </w:rPr>
            </w:r>
            <w:r>
              <w:rPr>
                <w:noProof/>
                <w:webHidden/>
              </w:rPr>
              <w:fldChar w:fldCharType="separate"/>
            </w:r>
            <w:r>
              <w:rPr>
                <w:noProof/>
                <w:webHidden/>
              </w:rPr>
              <w:t>5</w:t>
            </w:r>
            <w:r>
              <w:rPr>
                <w:noProof/>
                <w:webHidden/>
              </w:rPr>
              <w:fldChar w:fldCharType="end"/>
            </w:r>
          </w:hyperlink>
        </w:p>
        <w:p w14:paraId="5D8F25F4" w14:textId="621A4F28" w:rsidR="00B40E91" w:rsidRDefault="00B40E91">
          <w:pPr>
            <w:pStyle w:val="TOC3"/>
            <w:tabs>
              <w:tab w:val="right" w:leader="dot" w:pos="9016"/>
            </w:tabs>
            <w:rPr>
              <w:rFonts w:eastAsiaTheme="minorEastAsia" w:cstheme="minorBidi"/>
              <w:noProof/>
              <w:sz w:val="22"/>
              <w:szCs w:val="22"/>
              <w:lang w:eastAsia="en-GB"/>
            </w:rPr>
          </w:pPr>
          <w:hyperlink w:anchor="_Toc133911783" w:history="1">
            <w:r w:rsidRPr="003A478E">
              <w:rPr>
                <w:rStyle w:val="Hyperlink"/>
                <w:noProof/>
              </w:rPr>
              <w:t>Customs procedures and the movement of goods</w:t>
            </w:r>
            <w:r>
              <w:rPr>
                <w:noProof/>
                <w:webHidden/>
              </w:rPr>
              <w:tab/>
            </w:r>
            <w:r>
              <w:rPr>
                <w:noProof/>
                <w:webHidden/>
              </w:rPr>
              <w:fldChar w:fldCharType="begin"/>
            </w:r>
            <w:r>
              <w:rPr>
                <w:noProof/>
                <w:webHidden/>
              </w:rPr>
              <w:instrText xml:space="preserve"> PAGEREF _Toc133911783 \h </w:instrText>
            </w:r>
            <w:r>
              <w:rPr>
                <w:noProof/>
                <w:webHidden/>
              </w:rPr>
            </w:r>
            <w:r>
              <w:rPr>
                <w:noProof/>
                <w:webHidden/>
              </w:rPr>
              <w:fldChar w:fldCharType="separate"/>
            </w:r>
            <w:r>
              <w:rPr>
                <w:noProof/>
                <w:webHidden/>
              </w:rPr>
              <w:t>6</w:t>
            </w:r>
            <w:r>
              <w:rPr>
                <w:noProof/>
                <w:webHidden/>
              </w:rPr>
              <w:fldChar w:fldCharType="end"/>
            </w:r>
          </w:hyperlink>
        </w:p>
        <w:p w14:paraId="57AFD9E8" w14:textId="0D51A0E6" w:rsidR="00B40E91" w:rsidRDefault="00B40E91">
          <w:pPr>
            <w:pStyle w:val="TOC3"/>
            <w:tabs>
              <w:tab w:val="right" w:leader="dot" w:pos="9016"/>
            </w:tabs>
            <w:rPr>
              <w:rFonts w:eastAsiaTheme="minorEastAsia" w:cstheme="minorBidi"/>
              <w:noProof/>
              <w:sz w:val="22"/>
              <w:szCs w:val="22"/>
              <w:lang w:eastAsia="en-GB"/>
            </w:rPr>
          </w:pPr>
          <w:hyperlink w:anchor="_Toc133911784" w:history="1">
            <w:r w:rsidRPr="003A478E">
              <w:rPr>
                <w:rStyle w:val="Hyperlink"/>
                <w:noProof/>
              </w:rPr>
              <w:t>Medicines</w:t>
            </w:r>
            <w:r>
              <w:rPr>
                <w:noProof/>
                <w:webHidden/>
              </w:rPr>
              <w:tab/>
            </w:r>
            <w:r>
              <w:rPr>
                <w:noProof/>
                <w:webHidden/>
              </w:rPr>
              <w:fldChar w:fldCharType="begin"/>
            </w:r>
            <w:r>
              <w:rPr>
                <w:noProof/>
                <w:webHidden/>
              </w:rPr>
              <w:instrText xml:space="preserve"> PAGEREF _Toc133911784 \h </w:instrText>
            </w:r>
            <w:r>
              <w:rPr>
                <w:noProof/>
                <w:webHidden/>
              </w:rPr>
            </w:r>
            <w:r>
              <w:rPr>
                <w:noProof/>
                <w:webHidden/>
              </w:rPr>
              <w:fldChar w:fldCharType="separate"/>
            </w:r>
            <w:r>
              <w:rPr>
                <w:noProof/>
                <w:webHidden/>
              </w:rPr>
              <w:t>7</w:t>
            </w:r>
            <w:r>
              <w:rPr>
                <w:noProof/>
                <w:webHidden/>
              </w:rPr>
              <w:fldChar w:fldCharType="end"/>
            </w:r>
          </w:hyperlink>
        </w:p>
        <w:p w14:paraId="10477213" w14:textId="2D194238" w:rsidR="00B40E91" w:rsidRDefault="00B40E91">
          <w:pPr>
            <w:pStyle w:val="TOC3"/>
            <w:tabs>
              <w:tab w:val="right" w:leader="dot" w:pos="9016"/>
            </w:tabs>
            <w:rPr>
              <w:rFonts w:eastAsiaTheme="minorEastAsia" w:cstheme="minorBidi"/>
              <w:noProof/>
              <w:sz w:val="22"/>
              <w:szCs w:val="22"/>
              <w:lang w:eastAsia="en-GB"/>
            </w:rPr>
          </w:pPr>
          <w:hyperlink w:anchor="_Toc133911785" w:history="1">
            <w:r w:rsidRPr="003A478E">
              <w:rPr>
                <w:rStyle w:val="Hyperlink"/>
                <w:noProof/>
              </w:rPr>
              <w:t>Movement of pets</w:t>
            </w:r>
            <w:r>
              <w:rPr>
                <w:noProof/>
                <w:webHidden/>
              </w:rPr>
              <w:tab/>
            </w:r>
            <w:r>
              <w:rPr>
                <w:noProof/>
                <w:webHidden/>
              </w:rPr>
              <w:fldChar w:fldCharType="begin"/>
            </w:r>
            <w:r>
              <w:rPr>
                <w:noProof/>
                <w:webHidden/>
              </w:rPr>
              <w:instrText xml:space="preserve"> PAGEREF _Toc133911785 \h </w:instrText>
            </w:r>
            <w:r>
              <w:rPr>
                <w:noProof/>
                <w:webHidden/>
              </w:rPr>
            </w:r>
            <w:r>
              <w:rPr>
                <w:noProof/>
                <w:webHidden/>
              </w:rPr>
              <w:fldChar w:fldCharType="separate"/>
            </w:r>
            <w:r>
              <w:rPr>
                <w:noProof/>
                <w:webHidden/>
              </w:rPr>
              <w:t>8</w:t>
            </w:r>
            <w:r>
              <w:rPr>
                <w:noProof/>
                <w:webHidden/>
              </w:rPr>
              <w:fldChar w:fldCharType="end"/>
            </w:r>
          </w:hyperlink>
        </w:p>
        <w:p w14:paraId="1FEFFFBF" w14:textId="606AB40B" w:rsidR="00B40E91" w:rsidRDefault="00B40E91">
          <w:pPr>
            <w:pStyle w:val="TOC3"/>
            <w:tabs>
              <w:tab w:val="right" w:leader="dot" w:pos="9016"/>
            </w:tabs>
            <w:rPr>
              <w:rFonts w:eastAsiaTheme="minorEastAsia" w:cstheme="minorBidi"/>
              <w:noProof/>
              <w:sz w:val="22"/>
              <w:szCs w:val="22"/>
              <w:lang w:eastAsia="en-GB"/>
            </w:rPr>
          </w:pPr>
          <w:hyperlink w:anchor="_Toc133911786" w:history="1">
            <w:r w:rsidRPr="003A478E">
              <w:rPr>
                <w:rStyle w:val="Hyperlink"/>
                <w:noProof/>
              </w:rPr>
              <w:t>Regulatory divergence</w:t>
            </w:r>
            <w:r>
              <w:rPr>
                <w:noProof/>
                <w:webHidden/>
              </w:rPr>
              <w:tab/>
            </w:r>
            <w:r>
              <w:rPr>
                <w:noProof/>
                <w:webHidden/>
              </w:rPr>
              <w:fldChar w:fldCharType="begin"/>
            </w:r>
            <w:r>
              <w:rPr>
                <w:noProof/>
                <w:webHidden/>
              </w:rPr>
              <w:instrText xml:space="preserve"> PAGEREF _Toc133911786 \h </w:instrText>
            </w:r>
            <w:r>
              <w:rPr>
                <w:noProof/>
                <w:webHidden/>
              </w:rPr>
            </w:r>
            <w:r>
              <w:rPr>
                <w:noProof/>
                <w:webHidden/>
              </w:rPr>
              <w:fldChar w:fldCharType="separate"/>
            </w:r>
            <w:r>
              <w:rPr>
                <w:noProof/>
                <w:webHidden/>
              </w:rPr>
              <w:t>9</w:t>
            </w:r>
            <w:r>
              <w:rPr>
                <w:noProof/>
                <w:webHidden/>
              </w:rPr>
              <w:fldChar w:fldCharType="end"/>
            </w:r>
          </w:hyperlink>
        </w:p>
        <w:p w14:paraId="553308BE" w14:textId="05B7052E" w:rsidR="00B40E91" w:rsidRDefault="00B40E91">
          <w:pPr>
            <w:pStyle w:val="TOC3"/>
            <w:tabs>
              <w:tab w:val="right" w:leader="dot" w:pos="9016"/>
            </w:tabs>
            <w:rPr>
              <w:rFonts w:eastAsiaTheme="minorEastAsia" w:cstheme="minorBidi"/>
              <w:noProof/>
              <w:sz w:val="22"/>
              <w:szCs w:val="22"/>
              <w:lang w:eastAsia="en-GB"/>
            </w:rPr>
          </w:pPr>
          <w:hyperlink w:anchor="_Toc133911787" w:history="1">
            <w:r w:rsidRPr="003A478E">
              <w:rPr>
                <w:rStyle w:val="Hyperlink"/>
                <w:noProof/>
              </w:rPr>
              <w:t>The democratic deficit and the ‘Stormont Brake’</w:t>
            </w:r>
            <w:r>
              <w:rPr>
                <w:noProof/>
                <w:webHidden/>
              </w:rPr>
              <w:tab/>
            </w:r>
            <w:r>
              <w:rPr>
                <w:noProof/>
                <w:webHidden/>
              </w:rPr>
              <w:fldChar w:fldCharType="begin"/>
            </w:r>
            <w:r>
              <w:rPr>
                <w:noProof/>
                <w:webHidden/>
              </w:rPr>
              <w:instrText xml:space="preserve"> PAGEREF _Toc133911787 \h </w:instrText>
            </w:r>
            <w:r>
              <w:rPr>
                <w:noProof/>
                <w:webHidden/>
              </w:rPr>
            </w:r>
            <w:r>
              <w:rPr>
                <w:noProof/>
                <w:webHidden/>
              </w:rPr>
              <w:fldChar w:fldCharType="separate"/>
            </w:r>
            <w:r>
              <w:rPr>
                <w:noProof/>
                <w:webHidden/>
              </w:rPr>
              <w:t>11</w:t>
            </w:r>
            <w:r>
              <w:rPr>
                <w:noProof/>
                <w:webHidden/>
              </w:rPr>
              <w:fldChar w:fldCharType="end"/>
            </w:r>
          </w:hyperlink>
        </w:p>
        <w:p w14:paraId="21E3505E" w14:textId="6DCD32ED" w:rsidR="00B40E91" w:rsidRDefault="00B40E91">
          <w:pPr>
            <w:pStyle w:val="TOC3"/>
            <w:tabs>
              <w:tab w:val="right" w:leader="dot" w:pos="9016"/>
            </w:tabs>
            <w:rPr>
              <w:rFonts w:eastAsiaTheme="minorEastAsia" w:cstheme="minorBidi"/>
              <w:noProof/>
              <w:sz w:val="22"/>
              <w:szCs w:val="22"/>
              <w:lang w:eastAsia="en-GB"/>
            </w:rPr>
          </w:pPr>
          <w:hyperlink w:anchor="_Toc133911788" w:history="1">
            <w:r w:rsidRPr="003A478E">
              <w:rPr>
                <w:rStyle w:val="Hyperlink"/>
                <w:noProof/>
              </w:rPr>
              <w:t>New structures for UK-EU cooperation</w:t>
            </w:r>
            <w:r>
              <w:rPr>
                <w:noProof/>
                <w:webHidden/>
              </w:rPr>
              <w:tab/>
            </w:r>
            <w:r>
              <w:rPr>
                <w:noProof/>
                <w:webHidden/>
              </w:rPr>
              <w:fldChar w:fldCharType="begin"/>
            </w:r>
            <w:r>
              <w:rPr>
                <w:noProof/>
                <w:webHidden/>
              </w:rPr>
              <w:instrText xml:space="preserve"> PAGEREF _Toc133911788 \h </w:instrText>
            </w:r>
            <w:r>
              <w:rPr>
                <w:noProof/>
                <w:webHidden/>
              </w:rPr>
            </w:r>
            <w:r>
              <w:rPr>
                <w:noProof/>
                <w:webHidden/>
              </w:rPr>
              <w:fldChar w:fldCharType="separate"/>
            </w:r>
            <w:r>
              <w:rPr>
                <w:noProof/>
                <w:webHidden/>
              </w:rPr>
              <w:t>16</w:t>
            </w:r>
            <w:r>
              <w:rPr>
                <w:noProof/>
                <w:webHidden/>
              </w:rPr>
              <w:fldChar w:fldCharType="end"/>
            </w:r>
          </w:hyperlink>
        </w:p>
        <w:p w14:paraId="288EFCD8" w14:textId="59859005" w:rsidR="00B40E91" w:rsidRDefault="00B40E91">
          <w:pPr>
            <w:pStyle w:val="TOC3"/>
            <w:tabs>
              <w:tab w:val="right" w:leader="dot" w:pos="9016"/>
            </w:tabs>
            <w:rPr>
              <w:rFonts w:eastAsiaTheme="minorEastAsia" w:cstheme="minorBidi"/>
              <w:noProof/>
              <w:sz w:val="22"/>
              <w:szCs w:val="22"/>
              <w:lang w:eastAsia="en-GB"/>
            </w:rPr>
          </w:pPr>
          <w:hyperlink w:anchor="_Toc133911789" w:history="1">
            <w:r w:rsidRPr="003A478E">
              <w:rPr>
                <w:rStyle w:val="Hyperlink"/>
                <w:noProof/>
              </w:rPr>
              <w:t>Engagement with Northern Ireland stakeholders</w:t>
            </w:r>
            <w:r>
              <w:rPr>
                <w:noProof/>
                <w:webHidden/>
              </w:rPr>
              <w:tab/>
            </w:r>
            <w:r>
              <w:rPr>
                <w:noProof/>
                <w:webHidden/>
              </w:rPr>
              <w:fldChar w:fldCharType="begin"/>
            </w:r>
            <w:r>
              <w:rPr>
                <w:noProof/>
                <w:webHidden/>
              </w:rPr>
              <w:instrText xml:space="preserve"> PAGEREF _Toc133911789 \h </w:instrText>
            </w:r>
            <w:r>
              <w:rPr>
                <w:noProof/>
                <w:webHidden/>
              </w:rPr>
            </w:r>
            <w:r>
              <w:rPr>
                <w:noProof/>
                <w:webHidden/>
              </w:rPr>
              <w:fldChar w:fldCharType="separate"/>
            </w:r>
            <w:r>
              <w:rPr>
                <w:noProof/>
                <w:webHidden/>
              </w:rPr>
              <w:t>17</w:t>
            </w:r>
            <w:r>
              <w:rPr>
                <w:noProof/>
                <w:webHidden/>
              </w:rPr>
              <w:fldChar w:fldCharType="end"/>
            </w:r>
          </w:hyperlink>
        </w:p>
        <w:p w14:paraId="1086A404" w14:textId="5FD66368" w:rsidR="00B40E91" w:rsidRDefault="00B40E91">
          <w:pPr>
            <w:pStyle w:val="TOC1"/>
            <w:rPr>
              <w:rFonts w:eastAsiaTheme="minorEastAsia" w:cstheme="minorBidi"/>
              <w:noProof/>
              <w:sz w:val="22"/>
              <w:szCs w:val="22"/>
              <w:lang w:eastAsia="en-GB"/>
            </w:rPr>
          </w:pPr>
          <w:hyperlink w:anchor="_Toc133911790" w:history="1">
            <w:r w:rsidRPr="003A478E">
              <w:rPr>
                <w:rStyle w:val="Hyperlink"/>
                <w:noProof/>
              </w:rPr>
              <w:t>3.0</w:t>
            </w:r>
            <w:r>
              <w:rPr>
                <w:rFonts w:eastAsiaTheme="minorEastAsia" w:cstheme="minorBidi"/>
                <w:noProof/>
                <w:sz w:val="22"/>
                <w:szCs w:val="22"/>
                <w:lang w:eastAsia="en-GB"/>
              </w:rPr>
              <w:tab/>
            </w:r>
            <w:r w:rsidRPr="003A478E">
              <w:rPr>
                <w:rStyle w:val="Hyperlink"/>
                <w:noProof/>
              </w:rPr>
              <w:t>Consideration of compliance with Windsor Framework Article 2</w:t>
            </w:r>
            <w:r>
              <w:rPr>
                <w:noProof/>
                <w:webHidden/>
              </w:rPr>
              <w:tab/>
            </w:r>
            <w:r>
              <w:rPr>
                <w:noProof/>
                <w:webHidden/>
              </w:rPr>
              <w:fldChar w:fldCharType="begin"/>
            </w:r>
            <w:r>
              <w:rPr>
                <w:noProof/>
                <w:webHidden/>
              </w:rPr>
              <w:instrText xml:space="preserve"> PAGEREF _Toc133911790 \h </w:instrText>
            </w:r>
            <w:r>
              <w:rPr>
                <w:noProof/>
                <w:webHidden/>
              </w:rPr>
            </w:r>
            <w:r>
              <w:rPr>
                <w:noProof/>
                <w:webHidden/>
              </w:rPr>
              <w:fldChar w:fldCharType="separate"/>
            </w:r>
            <w:r>
              <w:rPr>
                <w:noProof/>
                <w:webHidden/>
              </w:rPr>
              <w:t>20</w:t>
            </w:r>
            <w:r>
              <w:rPr>
                <w:noProof/>
                <w:webHidden/>
              </w:rPr>
              <w:fldChar w:fldCharType="end"/>
            </w:r>
          </w:hyperlink>
        </w:p>
        <w:p w14:paraId="4670054A" w14:textId="184EF41D" w:rsidR="00996313" w:rsidRDefault="00996313">
          <w:r>
            <w:rPr>
              <w:b/>
              <w:bCs/>
              <w:noProof/>
            </w:rPr>
            <w:fldChar w:fldCharType="end"/>
          </w:r>
        </w:p>
      </w:sdtContent>
    </w:sdt>
    <w:p w14:paraId="0CAB20C1" w14:textId="77777777" w:rsidR="00996313" w:rsidRDefault="00996313" w:rsidP="005A77CB">
      <w:pPr>
        <w:pStyle w:val="Heading2"/>
        <w:rPr>
          <w:rFonts w:eastAsia="Times New Roman"/>
          <w:lang w:eastAsia="en-GB"/>
        </w:rPr>
        <w:sectPr w:rsidR="00996313" w:rsidSect="00073A60">
          <w:footerReference w:type="default" r:id="rId19"/>
          <w:pgSz w:w="11906" w:h="16838"/>
          <w:pgMar w:top="1440" w:right="1440" w:bottom="1440" w:left="1440" w:header="708" w:footer="708" w:gutter="0"/>
          <w:pgNumType w:start="0"/>
          <w:cols w:space="708"/>
          <w:docGrid w:linePitch="360"/>
        </w:sectPr>
      </w:pPr>
    </w:p>
    <w:p w14:paraId="0D30D1A6" w14:textId="1D538EBC" w:rsidR="005A3A32" w:rsidRDefault="00F37824" w:rsidP="005A77CB">
      <w:pPr>
        <w:pStyle w:val="Heading2"/>
        <w:rPr>
          <w:lang w:eastAsia="en-GB"/>
        </w:rPr>
      </w:pPr>
      <w:bookmarkStart w:id="0" w:name="_Toc133911779"/>
      <w:r>
        <w:rPr>
          <w:rFonts w:eastAsia="Times New Roman"/>
          <w:lang w:eastAsia="en-GB"/>
        </w:rPr>
        <w:lastRenderedPageBreak/>
        <w:t>Summary of Recommendations</w:t>
      </w:r>
      <w:bookmarkEnd w:id="0"/>
    </w:p>
    <w:p w14:paraId="739687BE" w14:textId="327CE2D1" w:rsidR="00BD27A1" w:rsidRDefault="00BD27A1" w:rsidP="00F37824">
      <w:pPr>
        <w:spacing w:after="240"/>
        <w:rPr>
          <w:rFonts w:ascii="Calibri" w:eastAsia="Times New Roman" w:hAnsi="Calibri" w:cs="Times New Roman"/>
          <w:szCs w:val="28"/>
          <w:lang w:eastAsia="en-GB"/>
        </w:rPr>
      </w:pPr>
      <w:r w:rsidRPr="00EB4B5F">
        <w:rPr>
          <w:rFonts w:ascii="Calibri" w:eastAsia="Times New Roman" w:hAnsi="Calibri" w:cs="Times New Roman"/>
          <w:szCs w:val="28"/>
          <w:lang w:eastAsia="en-GB"/>
        </w:rPr>
        <w:t>In summary, the Commissions recommend that:</w:t>
      </w:r>
    </w:p>
    <w:p w14:paraId="062F96E7" w14:textId="6F1B3544" w:rsidR="001B1F07" w:rsidRPr="005A77CB" w:rsidRDefault="001B1F07"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the UK</w:t>
      </w:r>
      <w:r w:rsidR="00FA12D4">
        <w:rPr>
          <w:rFonts w:eastAsiaTheme="minorEastAsia" w:cstheme="minorHAnsi"/>
          <w:szCs w:val="28"/>
        </w:rPr>
        <w:t xml:space="preserve"> </w:t>
      </w:r>
      <w:r w:rsidRPr="005A77CB">
        <w:rPr>
          <w:rFonts w:eastAsiaTheme="minorEastAsia" w:cstheme="minorHAnsi"/>
          <w:szCs w:val="28"/>
        </w:rPr>
        <w:t>G</w:t>
      </w:r>
      <w:r w:rsidR="00FA12D4">
        <w:rPr>
          <w:rFonts w:eastAsiaTheme="minorEastAsia" w:cstheme="minorHAnsi"/>
          <w:szCs w:val="28"/>
        </w:rPr>
        <w:t>overnment</w:t>
      </w:r>
      <w:r w:rsidRPr="005A77CB">
        <w:rPr>
          <w:rFonts w:eastAsiaTheme="minorEastAsia" w:cstheme="minorHAnsi"/>
          <w:szCs w:val="28"/>
        </w:rPr>
        <w:t xml:space="preserve"> and the NI Executive monitor the impact on equality and human rights in NI, of any divergence of rights on the island of Ireland resulting from the Stormont Brake being applied to block EU legislation which would have, if introduced, strengthened equality or human rights</w:t>
      </w:r>
      <w:r w:rsidR="00FA12D4">
        <w:rPr>
          <w:rFonts w:eastAsiaTheme="minorEastAsia" w:cstheme="minorHAnsi"/>
          <w:szCs w:val="28"/>
        </w:rPr>
        <w:t>;</w:t>
      </w:r>
      <w:r w:rsidRPr="005A77CB">
        <w:rPr>
          <w:rFonts w:eastAsiaTheme="minorEastAsia" w:cstheme="minorHAnsi"/>
          <w:szCs w:val="28"/>
        </w:rPr>
        <w:t xml:space="preserve"> </w:t>
      </w:r>
    </w:p>
    <w:p w14:paraId="6ABCDA08" w14:textId="36EDFE70" w:rsidR="001B1F07" w:rsidRPr="005A77CB" w:rsidRDefault="001B1F07"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the Sub-Committee considers the recommendations set out in the</w:t>
      </w:r>
      <w:r w:rsidR="005E28FF">
        <w:rPr>
          <w:rFonts w:eastAsiaTheme="minorEastAsia" w:cstheme="minorHAnsi"/>
          <w:szCs w:val="28"/>
        </w:rPr>
        <w:t xml:space="preserve"> Commissions’</w:t>
      </w:r>
      <w:r w:rsidR="00035CD3">
        <w:rPr>
          <w:rFonts w:eastAsiaTheme="minorEastAsia" w:cstheme="minorHAnsi"/>
          <w:szCs w:val="28"/>
        </w:rPr>
        <w:t xml:space="preserve"> </w:t>
      </w:r>
      <w:r w:rsidRPr="005A77CB">
        <w:rPr>
          <w:i/>
          <w:iCs/>
        </w:rPr>
        <w:t>Policy recommendations: EU developments in equality and human rights</w:t>
      </w:r>
      <w:r w:rsidR="00E5466E">
        <w:rPr>
          <w:rStyle w:val="FootnoteReference"/>
          <w:rFonts w:eastAsiaTheme="minorEastAsia" w:cstheme="minorHAnsi"/>
          <w:szCs w:val="28"/>
        </w:rPr>
        <w:footnoteReference w:id="2"/>
      </w:r>
      <w:r w:rsidRPr="005A77CB">
        <w:rPr>
          <w:rFonts w:eastAsiaTheme="minorEastAsia" w:cstheme="minorHAnsi"/>
          <w:szCs w:val="28"/>
        </w:rPr>
        <w:t xml:space="preserve"> which relate to the broader context of the increasing divergence of equality and human rights on the island of Ireland post </w:t>
      </w:r>
      <w:proofErr w:type="gramStart"/>
      <w:r w:rsidRPr="005A77CB">
        <w:rPr>
          <w:rFonts w:eastAsiaTheme="minorEastAsia" w:cstheme="minorHAnsi"/>
          <w:szCs w:val="28"/>
        </w:rPr>
        <w:t>Brexit</w:t>
      </w:r>
      <w:r w:rsidR="00FA12D4">
        <w:rPr>
          <w:rFonts w:eastAsiaTheme="minorEastAsia" w:cstheme="minorHAnsi"/>
          <w:szCs w:val="28"/>
        </w:rPr>
        <w:t>;</w:t>
      </w:r>
      <w:proofErr w:type="gramEnd"/>
      <w:r w:rsidRPr="005A77CB">
        <w:rPr>
          <w:rFonts w:eastAsiaTheme="minorEastAsia" w:cstheme="minorHAnsi"/>
          <w:szCs w:val="28"/>
        </w:rPr>
        <w:t xml:space="preserve"> </w:t>
      </w:r>
    </w:p>
    <w:p w14:paraId="40EB64E7" w14:textId="129FE534" w:rsidR="00CF0763" w:rsidRPr="005A77CB" w:rsidRDefault="00CF0763"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 xml:space="preserve">equality and human rights considerations are built into all key stages of the ‘Stormont Brake’ mechanism, including inquiries by the </w:t>
      </w:r>
      <w:r w:rsidR="00216CBF">
        <w:rPr>
          <w:rFonts w:eastAsiaTheme="minorEastAsia" w:cstheme="minorHAnsi"/>
          <w:szCs w:val="28"/>
        </w:rPr>
        <w:t xml:space="preserve">Windsor Framework Democratic Scrutiny </w:t>
      </w:r>
      <w:r w:rsidR="00216CBF">
        <w:rPr>
          <w:rFonts w:eastAsiaTheme="minorEastAsia" w:cstheme="minorHAnsi"/>
          <w:szCs w:val="28"/>
        </w:rPr>
        <w:t>(</w:t>
      </w:r>
      <w:r w:rsidRPr="005A77CB">
        <w:rPr>
          <w:rFonts w:eastAsiaTheme="minorEastAsia" w:cstheme="minorHAnsi"/>
          <w:szCs w:val="28"/>
        </w:rPr>
        <w:t>WFDS</w:t>
      </w:r>
      <w:r w:rsidR="00216CBF">
        <w:rPr>
          <w:rFonts w:eastAsiaTheme="minorEastAsia" w:cstheme="minorHAnsi"/>
          <w:szCs w:val="28"/>
        </w:rPr>
        <w:t>)</w:t>
      </w:r>
      <w:r w:rsidRPr="005A77CB">
        <w:rPr>
          <w:rFonts w:eastAsiaTheme="minorEastAsia" w:cstheme="minorHAnsi"/>
          <w:szCs w:val="28"/>
        </w:rPr>
        <w:t xml:space="preserve"> </w:t>
      </w:r>
      <w:proofErr w:type="gramStart"/>
      <w:r w:rsidRPr="005A77CB">
        <w:rPr>
          <w:rFonts w:eastAsiaTheme="minorEastAsia" w:cstheme="minorHAnsi"/>
          <w:szCs w:val="28"/>
        </w:rPr>
        <w:t>Committee</w:t>
      </w:r>
      <w:r w:rsidR="00FA12D4">
        <w:rPr>
          <w:rFonts w:eastAsiaTheme="minorEastAsia" w:cstheme="minorHAnsi"/>
          <w:szCs w:val="28"/>
        </w:rPr>
        <w:t>;</w:t>
      </w:r>
      <w:proofErr w:type="gramEnd"/>
    </w:p>
    <w:p w14:paraId="218AD1FA" w14:textId="68FD80C8" w:rsidR="00CF0763" w:rsidRPr="005A77CB" w:rsidRDefault="00CF0763"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 xml:space="preserve">the WFDS Committee undertakes meaningful and timely engagement with equality and human rights groups in NI and the Commissions in relation to a proposed EU measure, or a replacement EU act, so as to seek their views on the implications for the promotion and protection of equality and human rights in </w:t>
      </w:r>
      <w:proofErr w:type="gramStart"/>
      <w:r w:rsidRPr="005A77CB">
        <w:rPr>
          <w:rFonts w:eastAsiaTheme="minorEastAsia" w:cstheme="minorHAnsi"/>
          <w:szCs w:val="28"/>
        </w:rPr>
        <w:t>NI</w:t>
      </w:r>
      <w:r w:rsidR="00FA12D4">
        <w:rPr>
          <w:rFonts w:eastAsiaTheme="minorEastAsia" w:cstheme="minorHAnsi"/>
          <w:szCs w:val="28"/>
        </w:rPr>
        <w:t>;</w:t>
      </w:r>
      <w:proofErr w:type="gramEnd"/>
    </w:p>
    <w:p w14:paraId="3CCFDEEB" w14:textId="728AD5BB" w:rsidR="00CF0763" w:rsidRPr="005A77CB" w:rsidRDefault="00CF0763"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 xml:space="preserve">the word ‘communities’ is interpretated </w:t>
      </w:r>
      <w:r w:rsidRPr="005A77CB">
        <w:rPr>
          <w:rFonts w:eastAsia="Times New Roman"/>
        </w:rPr>
        <w:t>broadly to include a consideration of, for example, equality and human rights impacts including the impacts, for example, on Section 75 equality groups</w:t>
      </w:r>
      <w:r w:rsidR="00FA12D4">
        <w:rPr>
          <w:rFonts w:eastAsia="Times New Roman"/>
        </w:rPr>
        <w:t>;</w:t>
      </w:r>
    </w:p>
    <w:p w14:paraId="0DA7A9BA" w14:textId="62E47185" w:rsidR="00CF0763" w:rsidRPr="005A77CB" w:rsidRDefault="00CF0763"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equality and human rights considerations are built into the revised process under original Protocol Article 13(4)</w:t>
      </w:r>
      <w:r w:rsidR="00FA12D4">
        <w:rPr>
          <w:rFonts w:eastAsiaTheme="minorEastAsia" w:cstheme="minorHAnsi"/>
          <w:szCs w:val="28"/>
        </w:rPr>
        <w:t>;</w:t>
      </w:r>
    </w:p>
    <w:p w14:paraId="25745886" w14:textId="5FB27CD3" w:rsidR="00297166" w:rsidRPr="00114DC0" w:rsidRDefault="00CF0763" w:rsidP="00297166">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szCs w:val="28"/>
        </w:rPr>
        <w:t xml:space="preserve">the NI Assembly, in advance of passing an applicability motion regarding the addition of a new measure to an Annex of the Windsor Framework, should give consideration to meaningful and timely engagement with the Commissions and equality and human rights </w:t>
      </w:r>
      <w:proofErr w:type="gramStart"/>
      <w:r w:rsidRPr="005A77CB">
        <w:rPr>
          <w:rFonts w:eastAsiaTheme="minorEastAsia" w:cstheme="minorHAnsi"/>
          <w:szCs w:val="28"/>
        </w:rPr>
        <w:t>stakeholders</w:t>
      </w:r>
      <w:r w:rsidR="00FA12D4">
        <w:rPr>
          <w:rFonts w:eastAsiaTheme="minorEastAsia" w:cstheme="minorHAnsi"/>
          <w:szCs w:val="28"/>
        </w:rPr>
        <w:t>;</w:t>
      </w:r>
      <w:proofErr w:type="gramEnd"/>
    </w:p>
    <w:p w14:paraId="5CB58846" w14:textId="029292C2" w:rsidR="00CF0763" w:rsidRPr="005A77CB" w:rsidRDefault="00CF0763" w:rsidP="005A77CB">
      <w:pPr>
        <w:pStyle w:val="ListParagraph"/>
        <w:numPr>
          <w:ilvl w:val="1"/>
          <w:numId w:val="45"/>
        </w:numPr>
        <w:spacing w:after="240"/>
        <w:contextualSpacing w:val="0"/>
        <w:rPr>
          <w:rFonts w:eastAsiaTheme="minorEastAsia" w:cstheme="minorHAnsi"/>
          <w:szCs w:val="28"/>
        </w:rPr>
      </w:pPr>
      <w:r w:rsidRPr="005A77CB">
        <w:rPr>
          <w:rFonts w:eastAsiaTheme="minorEastAsia" w:cstheme="minorHAnsi"/>
          <w:color w:val="000000"/>
          <w:szCs w:val="28"/>
        </w:rPr>
        <w:lastRenderedPageBreak/>
        <w:t>the development of “structured sub-groups” within the J</w:t>
      </w:r>
      <w:r w:rsidR="00FA12D4">
        <w:rPr>
          <w:rFonts w:eastAsiaTheme="minorEastAsia" w:cstheme="minorHAnsi"/>
          <w:color w:val="000000"/>
          <w:szCs w:val="28"/>
        </w:rPr>
        <w:t>oint Consultative Working Group (J</w:t>
      </w:r>
      <w:r w:rsidRPr="005A77CB">
        <w:rPr>
          <w:rFonts w:eastAsiaTheme="minorEastAsia" w:cstheme="minorHAnsi"/>
          <w:color w:val="000000"/>
          <w:szCs w:val="28"/>
        </w:rPr>
        <w:t>CWG</w:t>
      </w:r>
      <w:r w:rsidR="00FA12D4">
        <w:rPr>
          <w:rFonts w:eastAsiaTheme="minorEastAsia" w:cstheme="minorHAnsi"/>
          <w:color w:val="000000"/>
          <w:szCs w:val="28"/>
        </w:rPr>
        <w:t>)</w:t>
      </w:r>
      <w:r w:rsidRPr="005A77CB">
        <w:rPr>
          <w:rFonts w:eastAsiaTheme="minorEastAsia" w:cstheme="minorHAnsi"/>
          <w:color w:val="000000"/>
          <w:szCs w:val="28"/>
        </w:rPr>
        <w:t xml:space="preserve"> includes establishing a group that focuses on issues relating to Windsor Framework Article 2 and equality and human rights in NI</w:t>
      </w:r>
      <w:r w:rsidR="00FA12D4">
        <w:rPr>
          <w:rFonts w:eastAsiaTheme="minorEastAsia" w:cstheme="minorHAnsi"/>
          <w:color w:val="000000"/>
          <w:szCs w:val="28"/>
        </w:rPr>
        <w:t>;</w:t>
      </w:r>
    </w:p>
    <w:p w14:paraId="5BF67B61" w14:textId="6AB0DD9B" w:rsidR="00A60494" w:rsidRPr="005A77CB" w:rsidRDefault="00A60494"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the UK Government and EU work together to ensure that there are timely updates and relevant information exchange on developments in European Union law, to aid the effective implementation of Windsor Framework Article 2</w:t>
      </w:r>
      <w:r w:rsidR="00FA12D4">
        <w:rPr>
          <w:rFonts w:cstheme="minorHAnsi"/>
          <w:szCs w:val="28"/>
        </w:rPr>
        <w:t>;</w:t>
      </w:r>
    </w:p>
    <w:p w14:paraId="19E81A06" w14:textId="7CF52FAF" w:rsidR="00A60494" w:rsidRPr="005A77CB" w:rsidRDefault="00A60494"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the EU (and UK Government) ensure the Commissions are given early notice of relevant EU law and policy developments and that the Commissions have opportunities to highlight in advance any implications of those developments for equality and human rights law in Northern Ireland</w:t>
      </w:r>
      <w:r w:rsidR="00FA12D4">
        <w:rPr>
          <w:rFonts w:cstheme="minorHAnsi"/>
          <w:szCs w:val="28"/>
        </w:rPr>
        <w:t>;</w:t>
      </w:r>
    </w:p>
    <w:p w14:paraId="783B0D3A" w14:textId="13500CA9" w:rsidR="00A60494" w:rsidRPr="005A77CB" w:rsidRDefault="00A60494"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 xml:space="preserve">the </w:t>
      </w:r>
      <w:r w:rsidR="008C52A9" w:rsidRPr="00CE5436">
        <w:rPr>
          <w:rFonts w:cstheme="minorHAnsi"/>
          <w:szCs w:val="28"/>
        </w:rPr>
        <w:t>E</w:t>
      </w:r>
      <w:r w:rsidR="008C52A9">
        <w:rPr>
          <w:rFonts w:cstheme="minorHAnsi"/>
          <w:szCs w:val="28"/>
        </w:rPr>
        <w:t xml:space="preserve">uropean </w:t>
      </w:r>
      <w:r w:rsidR="008C52A9" w:rsidRPr="00CE5436">
        <w:rPr>
          <w:rFonts w:cstheme="minorHAnsi"/>
          <w:szCs w:val="28"/>
        </w:rPr>
        <w:t>C</w:t>
      </w:r>
      <w:r w:rsidR="008C52A9">
        <w:rPr>
          <w:rFonts w:cstheme="minorHAnsi"/>
          <w:szCs w:val="28"/>
        </w:rPr>
        <w:t>ommission</w:t>
      </w:r>
      <w:r w:rsidRPr="005A77CB">
        <w:rPr>
          <w:rFonts w:cstheme="minorHAnsi"/>
          <w:szCs w:val="28"/>
        </w:rPr>
        <w:t>’s engagement with NI stakeholders includes timely, targeted, and structured engagement, both with the Commissions, as the dedicated mechanism, and also with equality and human rights groups in NI on EU proposals that have implications for equality and human rights in NI</w:t>
      </w:r>
      <w:r w:rsidR="00FA12D4">
        <w:rPr>
          <w:rFonts w:cstheme="minorHAnsi"/>
          <w:szCs w:val="28"/>
        </w:rPr>
        <w:t>;</w:t>
      </w:r>
    </w:p>
    <w:p w14:paraId="0C775AFE" w14:textId="60427795" w:rsidR="00A60494" w:rsidRPr="005A77CB" w:rsidRDefault="00A60494"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 xml:space="preserve">the </w:t>
      </w:r>
      <w:r w:rsidR="008C52A9" w:rsidRPr="00CE5436">
        <w:rPr>
          <w:rFonts w:cstheme="minorHAnsi"/>
          <w:szCs w:val="28"/>
        </w:rPr>
        <w:t>E</w:t>
      </w:r>
      <w:r w:rsidR="008C52A9">
        <w:rPr>
          <w:rFonts w:cstheme="minorHAnsi"/>
          <w:szCs w:val="28"/>
        </w:rPr>
        <w:t xml:space="preserve">uropean </w:t>
      </w:r>
      <w:r w:rsidR="008C52A9" w:rsidRPr="00CE5436">
        <w:rPr>
          <w:rFonts w:cstheme="minorHAnsi"/>
          <w:szCs w:val="28"/>
        </w:rPr>
        <w:t>C</w:t>
      </w:r>
      <w:r w:rsidR="008C52A9">
        <w:rPr>
          <w:rFonts w:cstheme="minorHAnsi"/>
          <w:szCs w:val="28"/>
        </w:rPr>
        <w:t>ommission</w:t>
      </w:r>
      <w:r w:rsidRPr="005A77CB">
        <w:rPr>
          <w:rFonts w:cstheme="minorHAnsi"/>
          <w:szCs w:val="28"/>
        </w:rPr>
        <w:t>’s impact assessment</w:t>
      </w:r>
      <w:r w:rsidR="00FA12D4">
        <w:rPr>
          <w:rFonts w:cstheme="minorHAnsi"/>
          <w:szCs w:val="28"/>
        </w:rPr>
        <w:t xml:space="preserve">, </w:t>
      </w:r>
      <w:r w:rsidR="00D93607">
        <w:rPr>
          <w:rFonts w:cstheme="minorHAnsi"/>
          <w:szCs w:val="28"/>
        </w:rPr>
        <w:t>as regards</w:t>
      </w:r>
      <w:r w:rsidR="00FA12D4">
        <w:rPr>
          <w:rFonts w:cstheme="minorHAnsi"/>
          <w:szCs w:val="28"/>
        </w:rPr>
        <w:t xml:space="preserve"> NI,</w:t>
      </w:r>
      <w:r w:rsidRPr="005A77CB">
        <w:rPr>
          <w:rFonts w:cstheme="minorHAnsi"/>
          <w:szCs w:val="28"/>
        </w:rPr>
        <w:t xml:space="preserve"> on draft EU proposals includes a specific assessment of the impact on the promotion and protection of equality and human rights, including any issues of relevance to the UKG’s compliance with Windsor Framework Article </w:t>
      </w:r>
      <w:proofErr w:type="gramStart"/>
      <w:r w:rsidRPr="005A77CB">
        <w:rPr>
          <w:rFonts w:cstheme="minorHAnsi"/>
          <w:szCs w:val="28"/>
        </w:rPr>
        <w:t>2</w:t>
      </w:r>
      <w:r w:rsidR="00FA12D4">
        <w:rPr>
          <w:rFonts w:cstheme="minorHAnsi"/>
          <w:szCs w:val="28"/>
        </w:rPr>
        <w:t>;</w:t>
      </w:r>
      <w:proofErr w:type="gramEnd"/>
    </w:p>
    <w:p w14:paraId="4C9F3AAB" w14:textId="0156F803" w:rsidR="0091045E" w:rsidRPr="005A77CB" w:rsidRDefault="0091045E"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compliance with Windsor Framework Article 2 be considered from the earliest stages in the development of policy and legislation</w:t>
      </w:r>
      <w:r w:rsidR="00FA12D4">
        <w:rPr>
          <w:rFonts w:cstheme="minorHAnsi"/>
          <w:szCs w:val="28"/>
        </w:rPr>
        <w:t>;</w:t>
      </w:r>
    </w:p>
    <w:p w14:paraId="139A9900" w14:textId="073506EE" w:rsidR="0091045E" w:rsidRPr="005A77CB" w:rsidRDefault="0091045E"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the UK Government and NI Executive ensure that Explanatory Memoranda on draft UK and NI legislative proposals that are likely to engage Windsor Framework Article 2 set</w:t>
      </w:r>
      <w:r w:rsidR="00A869F1">
        <w:rPr>
          <w:rFonts w:cstheme="minorHAnsi"/>
          <w:szCs w:val="28"/>
        </w:rPr>
        <w:t>s</w:t>
      </w:r>
      <w:r w:rsidRPr="005A77CB">
        <w:rPr>
          <w:rFonts w:cstheme="minorHAnsi"/>
          <w:szCs w:val="28"/>
        </w:rPr>
        <w:t xml:space="preserve"> out what consideration has been given to ensuring conformity with Windsor Framework Article </w:t>
      </w:r>
      <w:proofErr w:type="gramStart"/>
      <w:r w:rsidRPr="005A77CB">
        <w:rPr>
          <w:rFonts w:cstheme="minorHAnsi"/>
          <w:szCs w:val="28"/>
        </w:rPr>
        <w:t>2</w:t>
      </w:r>
      <w:r w:rsidR="00FA12D4">
        <w:rPr>
          <w:rFonts w:cstheme="minorHAnsi"/>
          <w:szCs w:val="28"/>
        </w:rPr>
        <w:t>;</w:t>
      </w:r>
      <w:proofErr w:type="gramEnd"/>
      <w:r w:rsidRPr="005A77CB">
        <w:rPr>
          <w:rFonts w:cstheme="minorHAnsi"/>
          <w:szCs w:val="28"/>
        </w:rPr>
        <w:t xml:space="preserve"> </w:t>
      </w:r>
    </w:p>
    <w:p w14:paraId="2CEC578A" w14:textId="4C01DFAC" w:rsidR="0091045E" w:rsidRPr="005A77CB" w:rsidRDefault="0091045E"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 xml:space="preserve">the </w:t>
      </w:r>
      <w:r w:rsidR="00A869F1">
        <w:rPr>
          <w:rFonts w:cstheme="minorHAnsi"/>
          <w:szCs w:val="28"/>
        </w:rPr>
        <w:t>Sub-</w:t>
      </w:r>
      <w:r w:rsidRPr="005A77CB">
        <w:rPr>
          <w:rFonts w:cstheme="minorHAnsi"/>
          <w:szCs w:val="28"/>
        </w:rPr>
        <w:t xml:space="preserve">Committee ask the NI Secretary of State to set out, in detail, what consideration was given to compliance with Windsor Framework Article </w:t>
      </w:r>
      <w:r w:rsidRPr="005A77CB">
        <w:rPr>
          <w:rFonts w:cstheme="minorHAnsi"/>
          <w:szCs w:val="28"/>
        </w:rPr>
        <w:lastRenderedPageBreak/>
        <w:t xml:space="preserve">2 in the development of the Windsor Framework (Democratic Scrutiny) Regulations </w:t>
      </w:r>
      <w:proofErr w:type="gramStart"/>
      <w:r w:rsidRPr="005A77CB">
        <w:rPr>
          <w:rFonts w:cstheme="minorHAnsi"/>
          <w:szCs w:val="28"/>
        </w:rPr>
        <w:t>2023</w:t>
      </w:r>
      <w:r w:rsidR="00FA12D4">
        <w:rPr>
          <w:rFonts w:cstheme="minorHAnsi"/>
          <w:szCs w:val="28"/>
        </w:rPr>
        <w:t>;</w:t>
      </w:r>
      <w:proofErr w:type="gramEnd"/>
    </w:p>
    <w:p w14:paraId="5CF84DDC" w14:textId="7C4F0AA8" w:rsidR="00CF0763" w:rsidRPr="005A77CB" w:rsidRDefault="0091045E" w:rsidP="005A77CB">
      <w:pPr>
        <w:pStyle w:val="ListParagraph"/>
        <w:numPr>
          <w:ilvl w:val="1"/>
          <w:numId w:val="45"/>
        </w:numPr>
        <w:spacing w:after="240"/>
        <w:contextualSpacing w:val="0"/>
        <w:rPr>
          <w:rFonts w:eastAsiaTheme="minorEastAsia" w:cstheme="minorHAnsi"/>
          <w:szCs w:val="28"/>
        </w:rPr>
      </w:pPr>
      <w:r w:rsidRPr="005A77CB">
        <w:rPr>
          <w:rFonts w:cstheme="minorHAnsi"/>
          <w:szCs w:val="28"/>
        </w:rPr>
        <w:t xml:space="preserve">the </w:t>
      </w:r>
      <w:r w:rsidR="00A869F1">
        <w:rPr>
          <w:rFonts w:cstheme="minorHAnsi"/>
          <w:szCs w:val="28"/>
        </w:rPr>
        <w:t>Sub-</w:t>
      </w:r>
      <w:r w:rsidRPr="005A77CB">
        <w:rPr>
          <w:rFonts w:cstheme="minorHAnsi"/>
          <w:szCs w:val="28"/>
        </w:rPr>
        <w:t xml:space="preserve">Committee ask the Leader of the House of Commons for an update in terms of the development of guidance, relating to how consideration of Windsor Framework Article 2 can be built into the Whitehall legislative drafting processes and procedures. </w:t>
      </w:r>
    </w:p>
    <w:p w14:paraId="248C998C" w14:textId="77777777" w:rsidR="00CF0763" w:rsidRPr="0017799E" w:rsidRDefault="00CF0763" w:rsidP="0091045E">
      <w:pPr>
        <w:pStyle w:val="ListParagraph"/>
        <w:spacing w:after="240"/>
        <w:contextualSpacing w:val="0"/>
        <w:rPr>
          <w:rFonts w:eastAsiaTheme="minorEastAsia" w:cstheme="minorHAnsi"/>
          <w:b/>
          <w:bCs/>
          <w:szCs w:val="28"/>
        </w:rPr>
      </w:pPr>
    </w:p>
    <w:p w14:paraId="2C95CDC2" w14:textId="60FFAB66" w:rsidR="00D13CE5" w:rsidRPr="00735B6D" w:rsidRDefault="00D13CE5" w:rsidP="00735B6D">
      <w:pPr>
        <w:rPr>
          <w:rFonts w:eastAsiaTheme="minorEastAsia" w:cstheme="minorHAnsi"/>
          <w:b/>
          <w:szCs w:val="28"/>
        </w:rPr>
      </w:pPr>
      <w:r>
        <w:rPr>
          <w:rFonts w:eastAsiaTheme="minorEastAsia" w:cstheme="minorHAnsi"/>
          <w:b/>
          <w:szCs w:val="28"/>
        </w:rPr>
        <w:br w:type="page"/>
      </w:r>
    </w:p>
    <w:p w14:paraId="45BDC8A7" w14:textId="3D62BE8B" w:rsidR="00F94757" w:rsidRPr="00114DC0" w:rsidRDefault="00F94757" w:rsidP="00F94757">
      <w:pPr>
        <w:pStyle w:val="Heading1"/>
        <w:ind w:left="426" w:hanging="426"/>
      </w:pPr>
      <w:bookmarkStart w:id="1" w:name="_Toc133911780"/>
      <w:r w:rsidRPr="00DA748E">
        <w:lastRenderedPageBreak/>
        <w:t>Introduction</w:t>
      </w:r>
      <w:bookmarkEnd w:id="1"/>
    </w:p>
    <w:p w14:paraId="2FE5541A" w14:textId="77777777" w:rsidR="00AB2F89" w:rsidRPr="00AB2F89" w:rsidRDefault="00AB2F89" w:rsidP="00AB2F89">
      <w:pPr>
        <w:pStyle w:val="ListParagraph"/>
        <w:numPr>
          <w:ilvl w:val="0"/>
          <w:numId w:val="8"/>
        </w:numPr>
        <w:spacing w:after="240"/>
        <w:contextualSpacing w:val="0"/>
        <w:rPr>
          <w:rFonts w:eastAsiaTheme="minorEastAsia" w:cstheme="minorHAnsi"/>
          <w:vanish/>
          <w:szCs w:val="28"/>
        </w:rPr>
      </w:pPr>
    </w:p>
    <w:p w14:paraId="0776C293" w14:textId="54252410" w:rsidR="003A0D6C" w:rsidRPr="003A0D6C" w:rsidRDefault="003A0D6C" w:rsidP="00AB2F89">
      <w:pPr>
        <w:pStyle w:val="ListParagraph"/>
        <w:numPr>
          <w:ilvl w:val="1"/>
          <w:numId w:val="8"/>
        </w:numPr>
        <w:spacing w:after="240"/>
        <w:ind w:left="709" w:hanging="709"/>
        <w:contextualSpacing w:val="0"/>
        <w:rPr>
          <w:rFonts w:eastAsiaTheme="minorEastAsia" w:cstheme="minorHAnsi"/>
          <w:szCs w:val="28"/>
        </w:rPr>
      </w:pPr>
      <w:r w:rsidRPr="00527BED">
        <w:rPr>
          <w:rFonts w:eastAsiaTheme="minorEastAsia" w:cstheme="minorHAnsi"/>
          <w:szCs w:val="28"/>
        </w:rPr>
        <w:t>The Equality Commission for Northern Ireland (</w:t>
      </w:r>
      <w:r w:rsidR="00DB1D2C">
        <w:rPr>
          <w:rFonts w:eastAsiaTheme="minorEastAsia" w:cstheme="minorHAnsi"/>
          <w:szCs w:val="28"/>
        </w:rPr>
        <w:t>‘</w:t>
      </w:r>
      <w:r w:rsidRPr="00527BED">
        <w:rPr>
          <w:rFonts w:eastAsiaTheme="minorEastAsia" w:cstheme="minorHAnsi"/>
          <w:szCs w:val="28"/>
        </w:rPr>
        <w:t>ECNI</w:t>
      </w:r>
      <w:r w:rsidR="00DB1D2C">
        <w:rPr>
          <w:rFonts w:eastAsiaTheme="minorEastAsia" w:cstheme="minorHAnsi"/>
          <w:szCs w:val="28"/>
        </w:rPr>
        <w:t>’</w:t>
      </w:r>
      <w:r w:rsidRPr="00527BED">
        <w:rPr>
          <w:rFonts w:eastAsiaTheme="minorEastAsia" w:cstheme="minorHAnsi"/>
          <w:szCs w:val="28"/>
        </w:rPr>
        <w:t>) is an independent public body established under the Northern Ireland Act 1998. Its powers and duties derive from a number of equality statutes providing protection against discrimination on the grounds of age, disability, race, religion and political opinion, sex and sexual orientation. Its remit also includes overseeing the statutory duties on public authorities to promote equality of opportunity and good relations under Section 75 of the Northern Ireland Act 1998.</w:t>
      </w:r>
    </w:p>
    <w:p w14:paraId="438D0CC7" w14:textId="0BE833A1" w:rsidR="00B00BFF" w:rsidRPr="00527BED" w:rsidRDefault="00B00BFF"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Northern Ireland Human Rights Commission (</w:t>
      </w:r>
      <w:r w:rsidR="00DB1D2C">
        <w:rPr>
          <w:rFonts w:eastAsiaTheme="minorEastAsia" w:cstheme="minorHAnsi"/>
          <w:szCs w:val="28"/>
        </w:rPr>
        <w:t>‘</w:t>
      </w:r>
      <w:r w:rsidRPr="00527BED">
        <w:rPr>
          <w:rFonts w:eastAsiaTheme="minorEastAsia" w:cstheme="minorHAnsi"/>
          <w:szCs w:val="28"/>
        </w:rPr>
        <w:t>NIHRC</w:t>
      </w:r>
      <w:r w:rsidR="00DB1D2C">
        <w:rPr>
          <w:rFonts w:eastAsiaTheme="minorEastAsia" w:cstheme="minorHAnsi"/>
          <w:szCs w:val="28"/>
        </w:rPr>
        <w:t>’</w:t>
      </w:r>
      <w:r w:rsidRPr="00527BED">
        <w:rPr>
          <w:rFonts w:eastAsiaTheme="minorEastAsia" w:cstheme="minorHAnsi"/>
          <w:szCs w:val="28"/>
        </w:rPr>
        <w:t xml:space="preserve">), pursuant to section 69(1) </w:t>
      </w:r>
      <w:r w:rsidR="00383037">
        <w:rPr>
          <w:rFonts w:eastAsiaTheme="minorEastAsia" w:cstheme="minorHAnsi"/>
          <w:szCs w:val="28"/>
        </w:rPr>
        <w:t xml:space="preserve">of </w:t>
      </w:r>
      <w:r w:rsidRPr="00527BED">
        <w:rPr>
          <w:rFonts w:eastAsiaTheme="minorEastAsia" w:cstheme="minorHAnsi"/>
          <w:szCs w:val="28"/>
        </w:rPr>
        <w:t xml:space="preserve">the Northern Ireland Act 1998, reviews the adequacy and effectiveness of law and practice relating to the protection of human rights in Northern Ireland. </w:t>
      </w:r>
    </w:p>
    <w:p w14:paraId="73C882E0" w14:textId="3911A4E8" w:rsidR="00B00BFF" w:rsidRPr="00527BED" w:rsidRDefault="00B00BFF"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527BED">
        <w:rPr>
          <w:rFonts w:eastAsiaTheme="minorEastAsia" w:cstheme="minorHAnsi"/>
          <w:szCs w:val="28"/>
        </w:rPr>
        <w:t>CoE</w:t>
      </w:r>
      <w:proofErr w:type="spellEnd"/>
      <w:r w:rsidRPr="00527BED">
        <w:rPr>
          <w:rFonts w:eastAsiaTheme="minorEastAsia" w:cstheme="minorHAnsi"/>
          <w:szCs w:val="28"/>
        </w:rPr>
        <w:t xml:space="preserve">) and United Nations (UN) systems. In addition to these treaty standards, there exists a body of ‘soft law’ developed by the human rights bodies of the </w:t>
      </w:r>
      <w:proofErr w:type="spellStart"/>
      <w:r w:rsidRPr="00527BED">
        <w:rPr>
          <w:rFonts w:eastAsiaTheme="minorEastAsia" w:cstheme="minorHAnsi"/>
          <w:szCs w:val="28"/>
        </w:rPr>
        <w:t>CoE</w:t>
      </w:r>
      <w:proofErr w:type="spellEnd"/>
      <w:r w:rsidRPr="00527BED">
        <w:rPr>
          <w:rFonts w:eastAsiaTheme="minorEastAsia" w:cstheme="minorHAnsi"/>
          <w:szCs w:val="28"/>
        </w:rPr>
        <w:t xml:space="preserve"> and UN. These declarations and principles are non-binding but provide further guidance in respect of specific areas.</w:t>
      </w:r>
    </w:p>
    <w:p w14:paraId="74EBB038" w14:textId="37D47D7A" w:rsidR="00F94757" w:rsidRPr="00527BED"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The </w:t>
      </w:r>
      <w:r w:rsidR="00383037">
        <w:rPr>
          <w:rFonts w:eastAsiaTheme="minorEastAsia" w:cstheme="minorHAnsi"/>
          <w:szCs w:val="28"/>
        </w:rPr>
        <w:t xml:space="preserve">NIHRC and </w:t>
      </w:r>
      <w:r w:rsidR="001A4CA5" w:rsidRPr="00527BED">
        <w:rPr>
          <w:rFonts w:eastAsiaTheme="minorEastAsia" w:cstheme="minorHAnsi"/>
          <w:szCs w:val="28"/>
        </w:rPr>
        <w:t>ECNI</w:t>
      </w:r>
      <w:r w:rsidRPr="00527BED">
        <w:rPr>
          <w:rFonts w:eastAsiaTheme="minorEastAsia" w:cstheme="minorHAnsi"/>
          <w:szCs w:val="28"/>
        </w:rPr>
        <w:t xml:space="preserve"> </w:t>
      </w:r>
      <w:r w:rsidR="00383037">
        <w:rPr>
          <w:rFonts w:eastAsiaTheme="minorEastAsia" w:cstheme="minorHAnsi"/>
          <w:szCs w:val="28"/>
        </w:rPr>
        <w:t>(</w:t>
      </w:r>
      <w:r w:rsidR="00DB1D2C">
        <w:rPr>
          <w:rFonts w:eastAsiaTheme="minorEastAsia" w:cstheme="minorHAnsi"/>
          <w:szCs w:val="28"/>
        </w:rPr>
        <w:t>‘</w:t>
      </w:r>
      <w:r w:rsidRPr="00527BED">
        <w:rPr>
          <w:rFonts w:eastAsiaTheme="minorEastAsia" w:cstheme="minorHAnsi"/>
          <w:szCs w:val="28"/>
        </w:rPr>
        <w:t>the Commissions</w:t>
      </w:r>
      <w:r w:rsidR="00DB1D2C">
        <w:rPr>
          <w:rFonts w:eastAsiaTheme="minorEastAsia" w:cstheme="minorHAnsi"/>
          <w:szCs w:val="28"/>
        </w:rPr>
        <w:t>’</w:t>
      </w:r>
      <w:r w:rsidR="00383037">
        <w:rPr>
          <w:rFonts w:eastAsiaTheme="minorEastAsia" w:cstheme="minorHAnsi"/>
          <w:szCs w:val="28"/>
        </w:rPr>
        <w:t>)</w:t>
      </w:r>
      <w:r w:rsidR="009572A6" w:rsidRPr="00527BED">
        <w:rPr>
          <w:rFonts w:eastAsiaTheme="minorEastAsia" w:cstheme="minorHAnsi"/>
          <w:szCs w:val="28"/>
        </w:rPr>
        <w:t>,</w:t>
      </w:r>
      <w:r w:rsidRPr="00527BED">
        <w:rPr>
          <w:rFonts w:eastAsiaTheme="minorEastAsia" w:cstheme="minorHAnsi"/>
          <w:szCs w:val="28"/>
        </w:rPr>
        <w:t xml:space="preserve"> </w:t>
      </w:r>
      <w:r w:rsidR="00383037">
        <w:rPr>
          <w:rFonts w:eastAsiaTheme="minorEastAsia" w:cstheme="minorHAnsi"/>
          <w:szCs w:val="28"/>
        </w:rPr>
        <w:t>pursuant to sections 78A(1) and 78B(1) respectively of the</w:t>
      </w:r>
      <w:r w:rsidR="00383037" w:rsidRPr="00383037">
        <w:rPr>
          <w:rFonts w:eastAsiaTheme="minorEastAsia" w:cstheme="minorHAnsi"/>
          <w:szCs w:val="28"/>
        </w:rPr>
        <w:t xml:space="preserve"> </w:t>
      </w:r>
      <w:r w:rsidR="00383037" w:rsidRPr="00527BED">
        <w:rPr>
          <w:rFonts w:eastAsiaTheme="minorEastAsia" w:cstheme="minorHAnsi"/>
          <w:szCs w:val="28"/>
        </w:rPr>
        <w:t>Northern Ireland Act 1998</w:t>
      </w:r>
      <w:r w:rsidR="00663C48">
        <w:rPr>
          <w:rFonts w:eastAsiaTheme="minorEastAsia" w:cstheme="minorHAnsi"/>
          <w:szCs w:val="28"/>
        </w:rPr>
        <w:t>,</w:t>
      </w:r>
      <w:r w:rsidR="00383037">
        <w:rPr>
          <w:rFonts w:eastAsiaTheme="minorEastAsia" w:cstheme="minorHAnsi"/>
          <w:szCs w:val="28"/>
        </w:rPr>
        <w:t xml:space="preserve"> </w:t>
      </w:r>
      <w:r w:rsidRPr="00527BED">
        <w:rPr>
          <w:rFonts w:eastAsiaTheme="minorEastAsia" w:cstheme="minorHAnsi"/>
          <w:szCs w:val="28"/>
        </w:rPr>
        <w:t>monitor the</w:t>
      </w:r>
      <w:r w:rsidR="009572A6" w:rsidRPr="00527BED">
        <w:rPr>
          <w:rFonts w:eastAsiaTheme="minorEastAsia" w:cstheme="minorHAnsi"/>
          <w:szCs w:val="28"/>
        </w:rPr>
        <w:t xml:space="preserve"> </w:t>
      </w:r>
      <w:r w:rsidRPr="00527BED">
        <w:rPr>
          <w:rFonts w:eastAsiaTheme="minorEastAsia" w:cstheme="minorHAnsi"/>
          <w:szCs w:val="28"/>
        </w:rPr>
        <w:t>implementation of Article 2(1) of the Ireland/Northern Ireland Protocol (‘the</w:t>
      </w:r>
      <w:r w:rsidR="009572A6" w:rsidRPr="00527BED">
        <w:rPr>
          <w:rFonts w:eastAsiaTheme="minorEastAsia" w:cstheme="minorHAnsi"/>
          <w:szCs w:val="28"/>
        </w:rPr>
        <w:t xml:space="preserve"> </w:t>
      </w:r>
      <w:r w:rsidRPr="00527BED">
        <w:rPr>
          <w:rFonts w:eastAsiaTheme="minorEastAsia" w:cstheme="minorHAnsi"/>
          <w:szCs w:val="28"/>
        </w:rPr>
        <w:t>Protocol’) to the UK-EU Withdrawal Agreement</w:t>
      </w:r>
      <w:r w:rsidR="007610C9">
        <w:rPr>
          <w:rStyle w:val="FootnoteReference"/>
          <w:rFonts w:eastAsiaTheme="minorEastAsia" w:cstheme="minorHAnsi"/>
          <w:szCs w:val="28"/>
        </w:rPr>
        <w:footnoteReference w:id="3"/>
      </w:r>
      <w:r w:rsidRPr="00527BED">
        <w:rPr>
          <w:rFonts w:eastAsiaTheme="minorEastAsia" w:cstheme="minorHAnsi"/>
          <w:szCs w:val="28"/>
        </w:rPr>
        <w:t>.</w:t>
      </w:r>
      <w:r w:rsidR="00F722EE">
        <w:rPr>
          <w:rFonts w:eastAsiaTheme="minorEastAsia" w:cstheme="minorHAnsi"/>
          <w:szCs w:val="28"/>
        </w:rPr>
        <w:t xml:space="preserve"> </w:t>
      </w:r>
      <w:r w:rsidR="000C16A9">
        <w:rPr>
          <w:rFonts w:eastAsiaTheme="minorEastAsia" w:cstheme="minorHAnsi"/>
          <w:szCs w:val="28"/>
        </w:rPr>
        <w:t xml:space="preserve">As the Committee will be aware, the EU and UK has </w:t>
      </w:r>
      <w:r w:rsidR="0071082D">
        <w:rPr>
          <w:rFonts w:eastAsiaTheme="minorEastAsia" w:cstheme="minorHAnsi"/>
          <w:szCs w:val="28"/>
        </w:rPr>
        <w:t xml:space="preserve">now </w:t>
      </w:r>
      <w:r w:rsidR="000C16A9">
        <w:rPr>
          <w:rFonts w:eastAsiaTheme="minorEastAsia" w:cstheme="minorHAnsi"/>
          <w:szCs w:val="28"/>
        </w:rPr>
        <w:t xml:space="preserve">agreed to </w:t>
      </w:r>
      <w:r w:rsidR="0071082D">
        <w:rPr>
          <w:rFonts w:eastAsiaTheme="minorEastAsia" w:cstheme="minorHAnsi"/>
          <w:szCs w:val="28"/>
        </w:rPr>
        <w:t xml:space="preserve">refer to </w:t>
      </w:r>
      <w:r w:rsidR="000C16A9">
        <w:rPr>
          <w:rFonts w:eastAsiaTheme="minorEastAsia" w:cstheme="minorHAnsi"/>
          <w:szCs w:val="28"/>
        </w:rPr>
        <w:t>the Protocol</w:t>
      </w:r>
      <w:r w:rsidR="0071082D">
        <w:rPr>
          <w:rFonts w:eastAsiaTheme="minorEastAsia" w:cstheme="minorHAnsi"/>
          <w:szCs w:val="28"/>
        </w:rPr>
        <w:t xml:space="preserve"> as </w:t>
      </w:r>
      <w:r w:rsidR="0071082D">
        <w:rPr>
          <w:rFonts w:eastAsiaTheme="minorEastAsia" w:cstheme="minorHAnsi"/>
          <w:szCs w:val="28"/>
        </w:rPr>
        <w:lastRenderedPageBreak/>
        <w:t xml:space="preserve">‘the Windsor Framework’. </w:t>
      </w:r>
      <w:r w:rsidR="007154F9">
        <w:rPr>
          <w:rFonts w:eastAsiaTheme="minorEastAsia" w:cstheme="minorHAnsi"/>
          <w:szCs w:val="28"/>
        </w:rPr>
        <w:t>Consequently, Article 2 of the Protocol is</w:t>
      </w:r>
      <w:r w:rsidR="009F07AC">
        <w:rPr>
          <w:rFonts w:eastAsiaTheme="minorEastAsia" w:cstheme="minorHAnsi"/>
          <w:szCs w:val="28"/>
        </w:rPr>
        <w:t xml:space="preserve"> </w:t>
      </w:r>
      <w:r w:rsidR="007154F9">
        <w:rPr>
          <w:rFonts w:eastAsiaTheme="minorEastAsia" w:cstheme="minorHAnsi"/>
          <w:szCs w:val="28"/>
        </w:rPr>
        <w:t>referred to</w:t>
      </w:r>
      <w:r w:rsidR="009F07AC">
        <w:rPr>
          <w:rFonts w:eastAsiaTheme="minorEastAsia" w:cstheme="minorHAnsi"/>
          <w:szCs w:val="28"/>
        </w:rPr>
        <w:t xml:space="preserve"> below</w:t>
      </w:r>
      <w:r w:rsidR="007154F9">
        <w:rPr>
          <w:rFonts w:eastAsiaTheme="minorEastAsia" w:cstheme="minorHAnsi"/>
          <w:szCs w:val="28"/>
        </w:rPr>
        <w:t xml:space="preserve"> as ‘Article 2 of the Windsor Framework’.</w:t>
      </w:r>
    </w:p>
    <w:p w14:paraId="392479FE" w14:textId="1132CCDA" w:rsidR="00F94757" w:rsidRPr="000B7EB6"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welcome this opportunity to respond to the call for evidence</w:t>
      </w:r>
      <w:r w:rsidR="00F72F09" w:rsidRPr="00527BED">
        <w:rPr>
          <w:rFonts w:eastAsiaTheme="minorEastAsia" w:cstheme="minorHAnsi"/>
          <w:szCs w:val="28"/>
        </w:rPr>
        <w:t xml:space="preserve"> </w:t>
      </w:r>
      <w:r w:rsidRPr="00527BED">
        <w:rPr>
          <w:rFonts w:eastAsiaTheme="minorEastAsia" w:cstheme="minorHAnsi"/>
          <w:szCs w:val="28"/>
        </w:rPr>
        <w:t>by the House of Lords</w:t>
      </w:r>
      <w:r w:rsidR="00F72F09" w:rsidRPr="00527BED">
        <w:rPr>
          <w:rFonts w:eastAsiaTheme="minorEastAsia" w:cstheme="minorHAnsi"/>
          <w:szCs w:val="28"/>
        </w:rPr>
        <w:t xml:space="preserve"> </w:t>
      </w:r>
      <w:r w:rsidRPr="00527BED">
        <w:rPr>
          <w:rFonts w:eastAsiaTheme="minorEastAsia" w:cstheme="minorHAnsi"/>
          <w:szCs w:val="28"/>
        </w:rPr>
        <w:t xml:space="preserve">Sub-Committee on the Protocol (‘the Sub-Committee’) </w:t>
      </w:r>
      <w:r w:rsidR="00ED46C2">
        <w:rPr>
          <w:rFonts w:eastAsiaTheme="minorEastAsia" w:cstheme="minorHAnsi"/>
          <w:szCs w:val="28"/>
        </w:rPr>
        <w:t>on</w:t>
      </w:r>
      <w:r w:rsidR="00BC188B" w:rsidRPr="00527BED">
        <w:rPr>
          <w:rFonts w:eastAsiaTheme="minorEastAsia" w:cstheme="minorHAnsi"/>
          <w:szCs w:val="28"/>
        </w:rPr>
        <w:t xml:space="preserve"> its </w:t>
      </w:r>
      <w:r w:rsidR="00CB6DFB" w:rsidRPr="00527BED">
        <w:rPr>
          <w:rFonts w:eastAsiaTheme="minorEastAsia" w:cstheme="minorHAnsi"/>
          <w:szCs w:val="28"/>
        </w:rPr>
        <w:t>inquiry into the</w:t>
      </w:r>
      <w:r w:rsidR="003A0D6C">
        <w:rPr>
          <w:rFonts w:eastAsiaTheme="minorEastAsia" w:cstheme="minorHAnsi"/>
          <w:szCs w:val="28"/>
        </w:rPr>
        <w:t xml:space="preserve"> </w:t>
      </w:r>
      <w:r w:rsidR="00253B65">
        <w:rPr>
          <w:rFonts w:eastAsiaTheme="minorEastAsia" w:cstheme="minorHAnsi"/>
          <w:szCs w:val="28"/>
        </w:rPr>
        <w:t>Windsor Framework</w:t>
      </w:r>
      <w:r w:rsidR="003C29DF">
        <w:rPr>
          <w:rFonts w:eastAsiaTheme="minorEastAsia" w:cstheme="minorHAnsi"/>
          <w:szCs w:val="28"/>
        </w:rPr>
        <w:t xml:space="preserve">. </w:t>
      </w:r>
      <w:r w:rsidR="003C29DF" w:rsidRPr="000B7EB6">
        <w:rPr>
          <w:rFonts w:eastAsiaTheme="minorEastAsia" w:cstheme="minorHAnsi"/>
          <w:szCs w:val="28"/>
        </w:rPr>
        <w:t xml:space="preserve">The Commissions </w:t>
      </w:r>
      <w:r w:rsidRPr="000B7EB6">
        <w:rPr>
          <w:rFonts w:eastAsiaTheme="minorEastAsia" w:cstheme="minorHAnsi"/>
          <w:szCs w:val="28"/>
        </w:rPr>
        <w:t>are available to</w:t>
      </w:r>
      <w:r w:rsidR="00F72F09" w:rsidRPr="000B7EB6">
        <w:rPr>
          <w:rFonts w:eastAsiaTheme="minorEastAsia" w:cstheme="minorHAnsi"/>
          <w:szCs w:val="28"/>
        </w:rPr>
        <w:t xml:space="preserve"> </w:t>
      </w:r>
      <w:r w:rsidRPr="000B7EB6">
        <w:rPr>
          <w:rFonts w:eastAsiaTheme="minorEastAsia" w:cstheme="minorHAnsi"/>
          <w:szCs w:val="28"/>
        </w:rPr>
        <w:t>provide an oral briefing if this could provide further assistance to the</w:t>
      </w:r>
      <w:r w:rsidR="00F72F09" w:rsidRPr="000B7EB6">
        <w:rPr>
          <w:rFonts w:eastAsiaTheme="minorEastAsia" w:cstheme="minorHAnsi"/>
          <w:szCs w:val="28"/>
        </w:rPr>
        <w:t xml:space="preserve"> </w:t>
      </w:r>
      <w:r w:rsidRPr="000B7EB6">
        <w:rPr>
          <w:rFonts w:eastAsiaTheme="minorEastAsia" w:cstheme="minorHAnsi"/>
          <w:szCs w:val="28"/>
        </w:rPr>
        <w:t>Committee.</w:t>
      </w:r>
    </w:p>
    <w:p w14:paraId="139BF3B8" w14:textId="472EE9E4" w:rsidR="00F37824" w:rsidRPr="00735B6D" w:rsidRDefault="00C2558C" w:rsidP="00F37824">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In this briefing, </w:t>
      </w:r>
      <w:r w:rsidR="00CF6CC5" w:rsidRPr="00527BED">
        <w:rPr>
          <w:rFonts w:eastAsiaTheme="minorEastAsia" w:cstheme="minorHAnsi"/>
          <w:szCs w:val="28"/>
        </w:rPr>
        <w:t>the Commissions have focused on addressing only those questions in the Sub-Committee’s call for evidence which fall within the scope of our respective roles and remit</w:t>
      </w:r>
      <w:r w:rsidR="003C29DF">
        <w:rPr>
          <w:rFonts w:eastAsiaTheme="minorEastAsia" w:cstheme="minorHAnsi"/>
          <w:szCs w:val="28"/>
        </w:rPr>
        <w:t>s</w:t>
      </w:r>
      <w:r w:rsidR="00CF6CC5" w:rsidRPr="00527BED">
        <w:rPr>
          <w:rFonts w:eastAsiaTheme="minorEastAsia" w:cstheme="minorHAnsi"/>
          <w:szCs w:val="28"/>
        </w:rPr>
        <w:t xml:space="preserve">. </w:t>
      </w:r>
    </w:p>
    <w:p w14:paraId="40A119D6" w14:textId="3653B544" w:rsidR="004B676C" w:rsidRPr="00DA748E" w:rsidRDefault="004232D8" w:rsidP="00626361">
      <w:pPr>
        <w:pStyle w:val="Heading1"/>
        <w:ind w:left="426" w:hanging="426"/>
      </w:pPr>
      <w:bookmarkStart w:id="2" w:name="_Toc133911781"/>
      <w:r>
        <w:t>Responses to Questions</w:t>
      </w:r>
      <w:bookmarkEnd w:id="2"/>
    </w:p>
    <w:p w14:paraId="329F82CA" w14:textId="35371294" w:rsidR="007947DE" w:rsidRDefault="00626361" w:rsidP="006568DA">
      <w:pPr>
        <w:rPr>
          <w:b/>
          <w:bCs/>
        </w:rPr>
      </w:pPr>
      <w:bookmarkStart w:id="3" w:name="_Toc133911782"/>
      <w:r w:rsidRPr="00996313">
        <w:rPr>
          <w:rStyle w:val="Heading3Char"/>
          <w:b w:val="0"/>
          <w:bCs/>
        </w:rPr>
        <w:t>Overall Questions</w:t>
      </w:r>
      <w:bookmarkEnd w:id="3"/>
      <w:r w:rsidRPr="00626361">
        <w:rPr>
          <w:b/>
          <w:bCs/>
          <w:u w:val="single"/>
        </w:rPr>
        <w:t>:</w:t>
      </w:r>
      <w:r>
        <w:rPr>
          <w:b/>
          <w:bCs/>
        </w:rPr>
        <w:t xml:space="preserve"> </w:t>
      </w:r>
      <w:r w:rsidR="007031A5">
        <w:rPr>
          <w:b/>
          <w:bCs/>
        </w:rPr>
        <w:t xml:space="preserve">Question 2: </w:t>
      </w:r>
      <w:r w:rsidR="007031A5" w:rsidRPr="007031A5">
        <w:rPr>
          <w:b/>
          <w:bCs/>
        </w:rPr>
        <w:t>How would you assess the Windsor Framework against the UK and EU’s joint commitment to protect the Belfast/Good Friday Agreement, “including its subsequent implementation agreements and arrangements, in all its dimensions and in all its strands”?</w:t>
      </w:r>
    </w:p>
    <w:p w14:paraId="08B5DC29" w14:textId="2E0CF881" w:rsidR="00626361" w:rsidRDefault="00626361" w:rsidP="001C2909">
      <w:pPr>
        <w:rPr>
          <w:b/>
          <w:bCs/>
        </w:rPr>
      </w:pPr>
      <w:r w:rsidRPr="00626361">
        <w:rPr>
          <w:b/>
          <w:bCs/>
        </w:rPr>
        <w:t xml:space="preserve">Response </w:t>
      </w:r>
    </w:p>
    <w:p w14:paraId="3CAF0A99" w14:textId="77777777" w:rsidR="00AB2F89" w:rsidRPr="00AB2F89" w:rsidRDefault="00AB2F89" w:rsidP="00AB2F89">
      <w:pPr>
        <w:pStyle w:val="ListParagraph"/>
        <w:numPr>
          <w:ilvl w:val="0"/>
          <w:numId w:val="8"/>
        </w:numPr>
        <w:spacing w:after="240"/>
        <w:contextualSpacing w:val="0"/>
        <w:rPr>
          <w:vanish/>
        </w:rPr>
      </w:pPr>
    </w:p>
    <w:p w14:paraId="42A62F7A" w14:textId="6F4ECA2D" w:rsidR="00626361" w:rsidRPr="00743994" w:rsidRDefault="00B37D4B" w:rsidP="001C4A2F">
      <w:pPr>
        <w:pStyle w:val="ListParagraph"/>
        <w:numPr>
          <w:ilvl w:val="1"/>
          <w:numId w:val="8"/>
        </w:numPr>
        <w:spacing w:after="240"/>
        <w:ind w:left="709" w:hanging="709"/>
        <w:contextualSpacing w:val="0"/>
        <w:rPr>
          <w:rFonts w:eastAsiaTheme="minorEastAsia" w:cstheme="minorHAnsi"/>
          <w:szCs w:val="28"/>
        </w:rPr>
      </w:pPr>
      <w:r w:rsidRPr="00C6497F">
        <w:t>As the Sub Committee will be aware</w:t>
      </w:r>
      <w:r w:rsidR="00C00154">
        <w:t>,</w:t>
      </w:r>
      <w:r w:rsidRPr="00C6497F">
        <w:t xml:space="preserve"> </w:t>
      </w:r>
      <w:r w:rsidR="007610C9" w:rsidRPr="00C6497F">
        <w:t xml:space="preserve">the </w:t>
      </w:r>
      <w:r w:rsidR="00B119C1">
        <w:t>UK Government (‘UKG’)</w:t>
      </w:r>
      <w:r w:rsidR="007610C9" w:rsidRPr="00C6497F">
        <w:t xml:space="preserve"> has committed</w:t>
      </w:r>
      <w:r w:rsidR="009528BA" w:rsidRPr="00C6497F">
        <w:t>, under Article 2 of the Windsor Framework,</w:t>
      </w:r>
      <w:r w:rsidR="007610C9" w:rsidRPr="00C6497F">
        <w:t xml:space="preserve"> to </w:t>
      </w:r>
      <w:r w:rsidR="009528BA" w:rsidRPr="00C6497F">
        <w:t xml:space="preserve">ensuring </w:t>
      </w:r>
      <w:r w:rsidR="007610C9" w:rsidRPr="00C6497F">
        <w:t>no</w:t>
      </w:r>
      <w:r w:rsidR="009528BA" w:rsidRPr="00C6497F">
        <w:t xml:space="preserve"> </w:t>
      </w:r>
      <w:r w:rsidR="007610C9" w:rsidRPr="00C6497F">
        <w:t xml:space="preserve">diminution </w:t>
      </w:r>
      <w:r w:rsidR="009528BA" w:rsidRPr="00C6497F">
        <w:t>of the rights, safeguards or equality of opportunity set out in that part of the Belfast</w:t>
      </w:r>
      <w:r w:rsidR="00357327">
        <w:t xml:space="preserve"> (</w:t>
      </w:r>
      <w:r w:rsidR="009528BA" w:rsidRPr="00C6497F">
        <w:t>Good Friday</w:t>
      </w:r>
      <w:r w:rsidR="00357327">
        <w:t>)</w:t>
      </w:r>
      <w:r w:rsidR="009528BA" w:rsidRPr="00C6497F">
        <w:t xml:space="preserve"> Agreement entitled Rights, Safeguards and Equality of Opportunity</w:t>
      </w:r>
      <w:r w:rsidR="00905DAA">
        <w:t>,</w:t>
      </w:r>
      <w:r w:rsidR="009528BA" w:rsidRPr="00C6497F">
        <w:t xml:space="preserve"> results from its withdrawal from the EU. </w:t>
      </w:r>
      <w:r w:rsidR="00B119C1">
        <w:t>T</w:t>
      </w:r>
      <w:r w:rsidR="00DA6A5C" w:rsidRPr="00C6497F">
        <w:t xml:space="preserve">he </w:t>
      </w:r>
      <w:r w:rsidR="007610C9" w:rsidRPr="00C6497F">
        <w:t xml:space="preserve">UKG </w:t>
      </w:r>
      <w:r w:rsidR="00B119C1">
        <w:t xml:space="preserve">has acknowledged the </w:t>
      </w:r>
      <w:r w:rsidR="00552B38" w:rsidRPr="00C6497F">
        <w:t xml:space="preserve">importance of the rights and equality protections set out in the </w:t>
      </w:r>
      <w:r w:rsidR="007610C9" w:rsidRPr="00C6497F">
        <w:t>Belfast</w:t>
      </w:r>
      <w:r w:rsidR="00B119C1">
        <w:t xml:space="preserve"> (</w:t>
      </w:r>
      <w:r w:rsidR="007610C9" w:rsidRPr="00C6497F">
        <w:t>Good Friday</w:t>
      </w:r>
      <w:r w:rsidR="00B119C1">
        <w:t>)</w:t>
      </w:r>
      <w:r w:rsidR="007610C9" w:rsidRPr="00C6497F">
        <w:t xml:space="preserve"> </w:t>
      </w:r>
      <w:r w:rsidR="00552B38" w:rsidRPr="00C6497F">
        <w:t>Agreement, which recognise the unique circumstances of Northern Ireland’s history and the need to put rights and equality central to creating a peaceful and shared future in Northern Ireland.</w:t>
      </w:r>
      <w:r w:rsidR="009528BA" w:rsidRPr="00C6497F">
        <w:rPr>
          <w:rStyle w:val="FootnoteReference"/>
        </w:rPr>
        <w:footnoteReference w:id="4"/>
      </w:r>
    </w:p>
    <w:p w14:paraId="4AFF7365" w14:textId="7988F0D2" w:rsidR="00743994" w:rsidRPr="00743994" w:rsidRDefault="001B4498" w:rsidP="00743994">
      <w:pPr>
        <w:pStyle w:val="ListParagraph"/>
        <w:numPr>
          <w:ilvl w:val="1"/>
          <w:numId w:val="8"/>
        </w:numPr>
        <w:spacing w:after="240"/>
        <w:ind w:left="720" w:hanging="720"/>
        <w:contextualSpacing w:val="0"/>
        <w:rPr>
          <w:rFonts w:eastAsiaTheme="minorEastAsia" w:cstheme="minorHAnsi"/>
          <w:szCs w:val="28"/>
        </w:rPr>
      </w:pPr>
      <w:r w:rsidRPr="00743994">
        <w:rPr>
          <w:szCs w:val="28"/>
        </w:rPr>
        <w:t xml:space="preserve">Prior to the Windsor Framework </w:t>
      </w:r>
      <w:r w:rsidR="00196E4F">
        <w:rPr>
          <w:szCs w:val="28"/>
        </w:rPr>
        <w:t>agreement</w:t>
      </w:r>
      <w:r w:rsidRPr="00743994">
        <w:rPr>
          <w:szCs w:val="28"/>
        </w:rPr>
        <w:t>, t</w:t>
      </w:r>
      <w:r w:rsidR="000619F6" w:rsidRPr="00743994">
        <w:rPr>
          <w:szCs w:val="28"/>
        </w:rPr>
        <w:t>he Commissions ha</w:t>
      </w:r>
      <w:r w:rsidRPr="00743994">
        <w:rPr>
          <w:szCs w:val="28"/>
        </w:rPr>
        <w:t xml:space="preserve">d </w:t>
      </w:r>
      <w:r w:rsidR="000619F6" w:rsidRPr="00743994">
        <w:rPr>
          <w:szCs w:val="28"/>
        </w:rPr>
        <w:t xml:space="preserve">consistently </w:t>
      </w:r>
      <w:r w:rsidR="002836FE">
        <w:rPr>
          <w:szCs w:val="28"/>
        </w:rPr>
        <w:t xml:space="preserve">recommended </w:t>
      </w:r>
      <w:r w:rsidR="000619F6" w:rsidRPr="00743994">
        <w:rPr>
          <w:szCs w:val="28"/>
        </w:rPr>
        <w:t>that the UKG ensure</w:t>
      </w:r>
      <w:r w:rsidR="002836FE">
        <w:rPr>
          <w:szCs w:val="28"/>
        </w:rPr>
        <w:t>s</w:t>
      </w:r>
      <w:r w:rsidR="000619F6" w:rsidRPr="00743994">
        <w:rPr>
          <w:szCs w:val="28"/>
        </w:rPr>
        <w:t xml:space="preserve"> that there are no </w:t>
      </w:r>
      <w:r w:rsidR="000619F6" w:rsidRPr="00743994">
        <w:rPr>
          <w:szCs w:val="28"/>
        </w:rPr>
        <w:lastRenderedPageBreak/>
        <w:t xml:space="preserve">changes to the Protocol that would result in a weakening of either the Article 2 commitment or rights, safeguards and oversight mechanisms relating to this commitment. </w:t>
      </w:r>
      <w:r w:rsidR="00F560BC">
        <w:rPr>
          <w:szCs w:val="28"/>
        </w:rPr>
        <w:t>It is</w:t>
      </w:r>
      <w:r w:rsidR="00F560BC" w:rsidRPr="00743994">
        <w:rPr>
          <w:szCs w:val="28"/>
        </w:rPr>
        <w:t xml:space="preserve"> </w:t>
      </w:r>
      <w:r w:rsidR="000619F6" w:rsidRPr="00743994">
        <w:rPr>
          <w:szCs w:val="28"/>
        </w:rPr>
        <w:t xml:space="preserve">therefore </w:t>
      </w:r>
      <w:r w:rsidR="000619F6" w:rsidRPr="00743994">
        <w:rPr>
          <w:b/>
          <w:bCs/>
          <w:szCs w:val="28"/>
        </w:rPr>
        <w:t>welcome</w:t>
      </w:r>
      <w:r w:rsidR="000619F6" w:rsidRPr="00743994">
        <w:rPr>
          <w:szCs w:val="28"/>
        </w:rPr>
        <w:t xml:space="preserve"> that the changes</w:t>
      </w:r>
      <w:r w:rsidR="00770A71" w:rsidRPr="00743994">
        <w:rPr>
          <w:szCs w:val="28"/>
        </w:rPr>
        <w:t>,</w:t>
      </w:r>
      <w:r w:rsidR="000619F6" w:rsidRPr="00743994">
        <w:rPr>
          <w:szCs w:val="28"/>
        </w:rPr>
        <w:t xml:space="preserve"> </w:t>
      </w:r>
      <w:r w:rsidR="00770A71" w:rsidRPr="00743994">
        <w:rPr>
          <w:szCs w:val="28"/>
        </w:rPr>
        <w:t xml:space="preserve">under the Windsor Framework, </w:t>
      </w:r>
      <w:r w:rsidR="000619F6" w:rsidRPr="00743994">
        <w:rPr>
          <w:szCs w:val="28"/>
        </w:rPr>
        <w:t xml:space="preserve">to </w:t>
      </w:r>
      <w:r w:rsidR="00770A71" w:rsidRPr="00743994">
        <w:rPr>
          <w:szCs w:val="28"/>
        </w:rPr>
        <w:t xml:space="preserve">the original </w:t>
      </w:r>
      <w:r w:rsidR="000619F6" w:rsidRPr="00743994">
        <w:rPr>
          <w:szCs w:val="28"/>
        </w:rPr>
        <w:t xml:space="preserve">Protocol Article 13 </w:t>
      </w:r>
      <w:r w:rsidR="00A81C02" w:rsidRPr="00743994">
        <w:rPr>
          <w:szCs w:val="28"/>
        </w:rPr>
        <w:t>do</w:t>
      </w:r>
      <w:r w:rsidR="000619F6" w:rsidRPr="00743994">
        <w:rPr>
          <w:szCs w:val="28"/>
        </w:rPr>
        <w:t xml:space="preserve"> not apply to the </w:t>
      </w:r>
      <w:r w:rsidR="00770A71" w:rsidRPr="00743994">
        <w:rPr>
          <w:szCs w:val="28"/>
        </w:rPr>
        <w:t xml:space="preserve">Windsor Framework </w:t>
      </w:r>
      <w:r w:rsidR="000619F6" w:rsidRPr="00743994">
        <w:rPr>
          <w:szCs w:val="28"/>
        </w:rPr>
        <w:t xml:space="preserve">Annex 1 equality Directives. </w:t>
      </w:r>
    </w:p>
    <w:p w14:paraId="07AAD14E" w14:textId="794BDAD9" w:rsidR="00B551E5" w:rsidRDefault="00483B76" w:rsidP="001C4A2F">
      <w:pPr>
        <w:pStyle w:val="ListParagraph"/>
        <w:numPr>
          <w:ilvl w:val="1"/>
          <w:numId w:val="8"/>
        </w:numPr>
        <w:ind w:left="709" w:hanging="709"/>
        <w:rPr>
          <w:szCs w:val="28"/>
        </w:rPr>
      </w:pPr>
      <w:r w:rsidRPr="00735B6D">
        <w:rPr>
          <w:szCs w:val="28"/>
        </w:rPr>
        <w:t xml:space="preserve">Further, the Commissions had identified a number of concerns about the impact of certain provisions of the Protocol Bill on the implementation of Windsor Framework Article 2. We therefore </w:t>
      </w:r>
      <w:r w:rsidRPr="00735B6D">
        <w:rPr>
          <w:b/>
          <w:bCs/>
          <w:szCs w:val="28"/>
        </w:rPr>
        <w:t>welcome</w:t>
      </w:r>
      <w:r w:rsidRPr="00735B6D">
        <w:rPr>
          <w:szCs w:val="28"/>
        </w:rPr>
        <w:t xml:space="preserve"> </w:t>
      </w:r>
      <w:r w:rsidR="007327C6" w:rsidRPr="00735B6D">
        <w:rPr>
          <w:szCs w:val="28"/>
        </w:rPr>
        <w:t xml:space="preserve">the fact </w:t>
      </w:r>
      <w:r w:rsidRPr="00735B6D">
        <w:rPr>
          <w:szCs w:val="28"/>
        </w:rPr>
        <w:t xml:space="preserve">that those provisions </w:t>
      </w:r>
      <w:r w:rsidR="00063461" w:rsidRPr="00735B6D">
        <w:rPr>
          <w:szCs w:val="28"/>
        </w:rPr>
        <w:t>will fall</w:t>
      </w:r>
      <w:r w:rsidRPr="00735B6D">
        <w:rPr>
          <w:szCs w:val="28"/>
        </w:rPr>
        <w:t xml:space="preserve">, as a result of </w:t>
      </w:r>
      <w:r w:rsidR="00DF135C" w:rsidRPr="00735B6D">
        <w:rPr>
          <w:szCs w:val="28"/>
        </w:rPr>
        <w:t xml:space="preserve">agreement on the Protocol Bill under </w:t>
      </w:r>
      <w:r w:rsidRPr="00735B6D">
        <w:rPr>
          <w:szCs w:val="28"/>
        </w:rPr>
        <w:t xml:space="preserve">the Windsor </w:t>
      </w:r>
      <w:r w:rsidR="00C2466B" w:rsidRPr="00735B6D">
        <w:rPr>
          <w:szCs w:val="28"/>
        </w:rPr>
        <w:t>Political Declaration</w:t>
      </w:r>
      <w:r w:rsidRPr="00735B6D">
        <w:rPr>
          <w:szCs w:val="28"/>
        </w:rPr>
        <w:t xml:space="preserve">. </w:t>
      </w:r>
    </w:p>
    <w:p w14:paraId="1F84FE0E" w14:textId="77777777" w:rsidR="00735B6D" w:rsidRPr="00735B6D" w:rsidRDefault="00735B6D" w:rsidP="00735B6D">
      <w:pPr>
        <w:pStyle w:val="ListParagraph"/>
        <w:ind w:left="792"/>
        <w:rPr>
          <w:szCs w:val="28"/>
        </w:rPr>
      </w:pPr>
    </w:p>
    <w:p w14:paraId="41253DC9" w14:textId="1EE5257A" w:rsidR="007B7351" w:rsidRPr="00735B6D" w:rsidRDefault="00770A71" w:rsidP="005C780D">
      <w:pPr>
        <w:pStyle w:val="ListParagraph"/>
        <w:numPr>
          <w:ilvl w:val="1"/>
          <w:numId w:val="8"/>
        </w:numPr>
        <w:spacing w:after="240"/>
        <w:ind w:left="720" w:hanging="720"/>
        <w:contextualSpacing w:val="0"/>
        <w:rPr>
          <w:rFonts w:eastAsiaTheme="minorEastAsia" w:cstheme="minorHAnsi"/>
          <w:szCs w:val="28"/>
        </w:rPr>
      </w:pPr>
      <w:r w:rsidRPr="00743994">
        <w:rPr>
          <w:szCs w:val="28"/>
        </w:rPr>
        <w:t xml:space="preserve">However, </w:t>
      </w:r>
      <w:r w:rsidR="00C626C7" w:rsidRPr="00743994">
        <w:rPr>
          <w:szCs w:val="28"/>
        </w:rPr>
        <w:t xml:space="preserve">whilst </w:t>
      </w:r>
      <w:r w:rsidR="007F3925" w:rsidRPr="00743994">
        <w:rPr>
          <w:szCs w:val="28"/>
        </w:rPr>
        <w:t>the above</w:t>
      </w:r>
      <w:r w:rsidR="00C626C7" w:rsidRPr="00743994">
        <w:rPr>
          <w:szCs w:val="28"/>
        </w:rPr>
        <w:t xml:space="preserve"> </w:t>
      </w:r>
      <w:r w:rsidR="007F3925" w:rsidRPr="00743994">
        <w:rPr>
          <w:szCs w:val="28"/>
        </w:rPr>
        <w:t xml:space="preserve">are </w:t>
      </w:r>
      <w:r w:rsidR="003C501F" w:rsidRPr="00743994">
        <w:rPr>
          <w:szCs w:val="28"/>
        </w:rPr>
        <w:t xml:space="preserve">to be </w:t>
      </w:r>
      <w:r w:rsidR="00C626C7" w:rsidRPr="00743994">
        <w:rPr>
          <w:szCs w:val="28"/>
        </w:rPr>
        <w:t xml:space="preserve">welcomed, we </w:t>
      </w:r>
      <w:r w:rsidR="00115F36" w:rsidRPr="00743994">
        <w:rPr>
          <w:szCs w:val="28"/>
        </w:rPr>
        <w:t xml:space="preserve">have concerns in relation to </w:t>
      </w:r>
      <w:r w:rsidR="00602C9E" w:rsidRPr="00743994">
        <w:rPr>
          <w:szCs w:val="28"/>
        </w:rPr>
        <w:t xml:space="preserve">the potential </w:t>
      </w:r>
      <w:r w:rsidR="00F63FCC" w:rsidRPr="00743994">
        <w:rPr>
          <w:szCs w:val="28"/>
        </w:rPr>
        <w:t xml:space="preserve">implications of </w:t>
      </w:r>
      <w:r w:rsidR="00B9490D" w:rsidRPr="00743994">
        <w:rPr>
          <w:szCs w:val="28"/>
        </w:rPr>
        <w:t>a number of</w:t>
      </w:r>
      <w:r w:rsidR="007F3925" w:rsidRPr="00743994">
        <w:rPr>
          <w:szCs w:val="28"/>
        </w:rPr>
        <w:t xml:space="preserve"> </w:t>
      </w:r>
      <w:r w:rsidR="00D05EAC" w:rsidRPr="00743994">
        <w:rPr>
          <w:szCs w:val="28"/>
        </w:rPr>
        <w:t xml:space="preserve">changes introduced by the </w:t>
      </w:r>
      <w:r w:rsidR="00F63FCC" w:rsidRPr="00743994">
        <w:rPr>
          <w:szCs w:val="28"/>
        </w:rPr>
        <w:t xml:space="preserve">Windsor Framework </w:t>
      </w:r>
      <w:r w:rsidR="00602C9E" w:rsidRPr="00743994">
        <w:rPr>
          <w:szCs w:val="28"/>
        </w:rPr>
        <w:t xml:space="preserve">on equality and human rights in </w:t>
      </w:r>
      <w:r w:rsidR="009E2C1A" w:rsidRPr="00743994">
        <w:rPr>
          <w:szCs w:val="28"/>
        </w:rPr>
        <w:t>Northern Ireland (‘</w:t>
      </w:r>
      <w:r w:rsidR="00602C9E" w:rsidRPr="00743994">
        <w:rPr>
          <w:szCs w:val="28"/>
        </w:rPr>
        <w:t>NI</w:t>
      </w:r>
      <w:r w:rsidR="009E2C1A" w:rsidRPr="00743994">
        <w:rPr>
          <w:szCs w:val="28"/>
        </w:rPr>
        <w:t>’)</w:t>
      </w:r>
      <w:r w:rsidR="00602C9E" w:rsidRPr="00743994">
        <w:rPr>
          <w:szCs w:val="28"/>
        </w:rPr>
        <w:t xml:space="preserve">; as well as in relation to </w:t>
      </w:r>
      <w:r w:rsidR="00D05EAC" w:rsidRPr="00743994">
        <w:rPr>
          <w:szCs w:val="28"/>
        </w:rPr>
        <w:t>processes adopted in bringing about those changes.</w:t>
      </w:r>
    </w:p>
    <w:p w14:paraId="0BD22000" w14:textId="4C8CA304" w:rsidR="009236C5" w:rsidRPr="0091045E" w:rsidRDefault="009236C5" w:rsidP="009236C5">
      <w:pPr>
        <w:spacing w:after="240"/>
        <w:rPr>
          <w:rFonts w:eastAsiaTheme="minorEastAsia" w:cstheme="minorHAnsi"/>
          <w:b/>
          <w:bCs/>
          <w:szCs w:val="28"/>
        </w:rPr>
      </w:pPr>
      <w:bookmarkStart w:id="4" w:name="_Toc133911783"/>
      <w:r w:rsidRPr="0069712D">
        <w:rPr>
          <w:rStyle w:val="Heading3Char"/>
        </w:rPr>
        <w:t>Customs procedures and the movement of goods</w:t>
      </w:r>
      <w:bookmarkEnd w:id="4"/>
      <w:r w:rsidRPr="0091045E">
        <w:rPr>
          <w:rFonts w:eastAsiaTheme="minorEastAsia" w:cstheme="minorHAnsi"/>
          <w:b/>
          <w:bCs/>
          <w:szCs w:val="28"/>
        </w:rPr>
        <w:t>: Question 5. What is your assessment of the Windsor Framework’s provisions in relation to customs procedures and the movement of goods between Great Britain and Northern Ireland, including the arrangements for ‘green’ and ‘red’ lanes, an enhanced Trusted Trader Scheme, handling of Tariff Rate Quotas and the system of commercial data-sharing?</w:t>
      </w:r>
    </w:p>
    <w:p w14:paraId="4A56B010" w14:textId="7C0BC9D6" w:rsidR="00227BF8" w:rsidRPr="00A4685A" w:rsidRDefault="00227BF8" w:rsidP="000A4D4B">
      <w:pPr>
        <w:spacing w:after="240"/>
        <w:rPr>
          <w:rFonts w:eastAsiaTheme="minorEastAsia" w:cstheme="minorHAnsi"/>
          <w:b/>
          <w:bCs/>
          <w:szCs w:val="28"/>
        </w:rPr>
      </w:pPr>
      <w:r w:rsidRPr="00A4685A">
        <w:rPr>
          <w:rFonts w:eastAsiaTheme="minorEastAsia" w:cstheme="minorHAnsi"/>
          <w:b/>
          <w:bCs/>
          <w:szCs w:val="28"/>
        </w:rPr>
        <w:t>Response</w:t>
      </w:r>
    </w:p>
    <w:p w14:paraId="1AFA8038" w14:textId="4D29C9AF" w:rsidR="009236C5" w:rsidRDefault="009236C5" w:rsidP="001C4A2F">
      <w:pPr>
        <w:pStyle w:val="ListParagraph"/>
        <w:numPr>
          <w:ilvl w:val="1"/>
          <w:numId w:val="8"/>
        </w:numPr>
        <w:spacing w:after="240"/>
        <w:ind w:left="709" w:hanging="709"/>
        <w:contextualSpacing w:val="0"/>
        <w:rPr>
          <w:rFonts w:eastAsiaTheme="minorEastAsia" w:cstheme="minorHAnsi"/>
          <w:szCs w:val="28"/>
        </w:rPr>
      </w:pPr>
      <w:r w:rsidRPr="00527BED">
        <w:rPr>
          <w:rFonts w:eastAsiaTheme="minorEastAsia" w:cstheme="minorHAnsi"/>
          <w:szCs w:val="28"/>
        </w:rPr>
        <w:t xml:space="preserve">The Commissions have </w:t>
      </w:r>
      <w:r>
        <w:rPr>
          <w:rFonts w:eastAsiaTheme="minorEastAsia" w:cstheme="minorHAnsi"/>
          <w:szCs w:val="28"/>
        </w:rPr>
        <w:t xml:space="preserve">previously </w:t>
      </w:r>
      <w:r w:rsidRPr="00527BED">
        <w:rPr>
          <w:rFonts w:eastAsiaTheme="minorEastAsia" w:cstheme="minorHAnsi"/>
          <w:szCs w:val="28"/>
        </w:rPr>
        <w:t xml:space="preserve">raised </w:t>
      </w:r>
      <w:r>
        <w:rPr>
          <w:rFonts w:eastAsiaTheme="minorEastAsia" w:cstheme="minorHAnsi"/>
          <w:szCs w:val="28"/>
        </w:rPr>
        <w:t xml:space="preserve">in submissions to the Sub-Committee </w:t>
      </w:r>
      <w:r w:rsidR="00227BF8">
        <w:rPr>
          <w:rFonts w:eastAsiaTheme="minorEastAsia" w:cstheme="minorHAnsi"/>
          <w:szCs w:val="28"/>
        </w:rPr>
        <w:t xml:space="preserve">their </w:t>
      </w:r>
      <w:r w:rsidRPr="00527BED">
        <w:rPr>
          <w:rFonts w:eastAsiaTheme="minorEastAsia" w:cstheme="minorHAnsi"/>
          <w:szCs w:val="28"/>
        </w:rPr>
        <w:t>concerns over the impact of Brexit on the sourcing of halal and kosher meat products and ritual items on Muslim and Jewish communities in</w:t>
      </w:r>
      <w:r w:rsidR="009E2C1A">
        <w:rPr>
          <w:rFonts w:eastAsiaTheme="minorEastAsia" w:cstheme="minorHAnsi"/>
          <w:szCs w:val="28"/>
        </w:rPr>
        <w:t xml:space="preserve"> NI</w:t>
      </w:r>
      <w:r w:rsidR="00CB7116" w:rsidRPr="00413725">
        <w:rPr>
          <w:rFonts w:eastAsiaTheme="minorEastAsia" w:cstheme="minorHAnsi"/>
          <w:szCs w:val="28"/>
          <w:vertAlign w:val="superscript"/>
        </w:rPr>
        <w:footnoteReference w:id="5"/>
      </w:r>
      <w:r>
        <w:rPr>
          <w:rFonts w:eastAsiaTheme="minorEastAsia" w:cstheme="minorHAnsi"/>
          <w:szCs w:val="28"/>
        </w:rPr>
        <w:t xml:space="preserve">. </w:t>
      </w:r>
    </w:p>
    <w:p w14:paraId="1715A502" w14:textId="70F283CA" w:rsidR="009236C5" w:rsidRDefault="009236C5" w:rsidP="009236C5">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lastRenderedPageBreak/>
        <w:t>The Commissions ha</w:t>
      </w:r>
      <w:r w:rsidR="00B05E6C">
        <w:rPr>
          <w:rFonts w:eastAsiaTheme="minorEastAsia" w:cstheme="minorHAnsi"/>
          <w:szCs w:val="28"/>
        </w:rPr>
        <w:t>d</w:t>
      </w:r>
      <w:r w:rsidRPr="00527BED">
        <w:rPr>
          <w:rFonts w:eastAsiaTheme="minorEastAsia" w:cstheme="minorHAnsi"/>
          <w:szCs w:val="28"/>
        </w:rPr>
        <w:t xml:space="preserve"> raised concerns on access to, cost, and the availability of halal and kosher food and ritual items</w:t>
      </w:r>
      <w:r>
        <w:rPr>
          <w:rFonts w:eastAsiaTheme="minorEastAsia" w:cstheme="minorHAnsi"/>
          <w:szCs w:val="28"/>
        </w:rPr>
        <w:t>, including</w:t>
      </w:r>
      <w:r w:rsidRPr="00527BED">
        <w:rPr>
          <w:rFonts w:eastAsiaTheme="minorEastAsia" w:cstheme="minorHAnsi"/>
          <w:szCs w:val="28"/>
        </w:rPr>
        <w:t xml:space="preserve"> the potential impact on lower income groups, such as students</w:t>
      </w:r>
      <w:r w:rsidR="00A43C5E">
        <w:rPr>
          <w:rFonts w:eastAsiaTheme="minorEastAsia" w:cstheme="minorHAnsi"/>
          <w:szCs w:val="28"/>
        </w:rPr>
        <w:t>,</w:t>
      </w:r>
      <w:r w:rsidRPr="00527BED">
        <w:rPr>
          <w:rFonts w:eastAsiaTheme="minorEastAsia" w:cstheme="minorHAnsi"/>
          <w:szCs w:val="28"/>
        </w:rPr>
        <w:t xml:space="preserve"> </w:t>
      </w:r>
      <w:proofErr w:type="gramStart"/>
      <w:r w:rsidRPr="00527BED">
        <w:rPr>
          <w:rFonts w:eastAsiaTheme="minorEastAsia" w:cstheme="minorHAnsi"/>
          <w:szCs w:val="28"/>
        </w:rPr>
        <w:t>refugees</w:t>
      </w:r>
      <w:proofErr w:type="gramEnd"/>
      <w:r w:rsidRPr="00527BED">
        <w:rPr>
          <w:rFonts w:eastAsiaTheme="minorEastAsia" w:cstheme="minorHAnsi"/>
          <w:szCs w:val="28"/>
        </w:rPr>
        <w:t xml:space="preserve"> and asylum seekers. </w:t>
      </w:r>
    </w:p>
    <w:p w14:paraId="34680E33" w14:textId="24DC9D5F" w:rsidR="009236C5" w:rsidRDefault="009236C5" w:rsidP="009236C5">
      <w:pPr>
        <w:pStyle w:val="ListParagraph"/>
        <w:numPr>
          <w:ilvl w:val="1"/>
          <w:numId w:val="8"/>
        </w:numPr>
        <w:spacing w:after="240"/>
        <w:ind w:left="720" w:hanging="720"/>
        <w:contextualSpacing w:val="0"/>
        <w:rPr>
          <w:rFonts w:eastAsiaTheme="minorEastAsia" w:cstheme="minorHAnsi"/>
          <w:szCs w:val="28"/>
        </w:rPr>
      </w:pPr>
      <w:r>
        <w:rPr>
          <w:rFonts w:eastAsiaTheme="minorEastAsia" w:cstheme="minorHAnsi"/>
          <w:szCs w:val="28"/>
        </w:rPr>
        <w:t xml:space="preserve">We </w:t>
      </w:r>
      <w:r w:rsidRPr="00D10EBC">
        <w:rPr>
          <w:rFonts w:eastAsiaTheme="minorEastAsia" w:cstheme="minorHAnsi"/>
          <w:szCs w:val="28"/>
        </w:rPr>
        <w:t>had recommend</w:t>
      </w:r>
      <w:r w:rsidR="00E1504D">
        <w:rPr>
          <w:rFonts w:eastAsiaTheme="minorEastAsia" w:cstheme="minorHAnsi"/>
          <w:szCs w:val="28"/>
        </w:rPr>
        <w:t>ed</w:t>
      </w:r>
      <w:r w:rsidRPr="00D10EBC">
        <w:rPr>
          <w:rFonts w:eastAsiaTheme="minorEastAsia" w:cstheme="minorHAnsi"/>
          <w:szCs w:val="28"/>
        </w:rPr>
        <w:t xml:space="preserve"> that the UK</w:t>
      </w:r>
      <w:r w:rsidR="000C3DC9">
        <w:rPr>
          <w:rFonts w:eastAsiaTheme="minorEastAsia" w:cstheme="minorHAnsi"/>
          <w:szCs w:val="28"/>
        </w:rPr>
        <w:t>G</w:t>
      </w:r>
      <w:r w:rsidRPr="00D10EBC">
        <w:rPr>
          <w:rFonts w:eastAsiaTheme="minorEastAsia" w:cstheme="minorHAnsi"/>
          <w:szCs w:val="28"/>
        </w:rPr>
        <w:t xml:space="preserve"> work with the EU Commission to find a long-term solution which ensures Muslim and Jewish communities in NI are able to access halal and kosher food products and ritual items respectively.</w:t>
      </w:r>
    </w:p>
    <w:p w14:paraId="16F59784" w14:textId="68E43701" w:rsidR="009236C5" w:rsidRDefault="009236C5" w:rsidP="009236C5">
      <w:pPr>
        <w:pStyle w:val="ListParagraph"/>
        <w:numPr>
          <w:ilvl w:val="1"/>
          <w:numId w:val="8"/>
        </w:numPr>
        <w:spacing w:after="240"/>
        <w:ind w:left="720" w:hanging="720"/>
        <w:contextualSpacing w:val="0"/>
        <w:rPr>
          <w:rFonts w:eastAsiaTheme="minorEastAsia" w:cstheme="minorHAnsi"/>
          <w:szCs w:val="28"/>
        </w:rPr>
      </w:pPr>
      <w:r w:rsidRPr="00D10EBC">
        <w:rPr>
          <w:rFonts w:eastAsiaTheme="minorEastAsia" w:cstheme="minorHAnsi"/>
          <w:szCs w:val="28"/>
        </w:rPr>
        <w:t>We note that there are changes under the Windsor Framework aimed at improving arrangements for the flow of goods between G</w:t>
      </w:r>
      <w:r w:rsidR="000C3DC9">
        <w:rPr>
          <w:rFonts w:eastAsiaTheme="minorEastAsia" w:cstheme="minorHAnsi"/>
          <w:szCs w:val="28"/>
        </w:rPr>
        <w:t xml:space="preserve">reat </w:t>
      </w:r>
      <w:r w:rsidRPr="00D10EBC">
        <w:rPr>
          <w:rFonts w:eastAsiaTheme="minorEastAsia" w:cstheme="minorHAnsi"/>
          <w:szCs w:val="28"/>
        </w:rPr>
        <w:t>B</w:t>
      </w:r>
      <w:r w:rsidR="000C3DC9">
        <w:rPr>
          <w:rFonts w:eastAsiaTheme="minorEastAsia" w:cstheme="minorHAnsi"/>
          <w:szCs w:val="28"/>
        </w:rPr>
        <w:t>ritain</w:t>
      </w:r>
      <w:r w:rsidR="00BE51A8">
        <w:rPr>
          <w:rFonts w:eastAsiaTheme="minorEastAsia" w:cstheme="minorHAnsi"/>
          <w:szCs w:val="28"/>
        </w:rPr>
        <w:t xml:space="preserve"> (‘GB’)</w:t>
      </w:r>
      <w:r w:rsidR="000C3DC9">
        <w:rPr>
          <w:rFonts w:eastAsiaTheme="minorEastAsia" w:cstheme="minorHAnsi"/>
          <w:szCs w:val="28"/>
        </w:rPr>
        <w:t xml:space="preserve"> </w:t>
      </w:r>
      <w:r w:rsidRPr="00D10EBC">
        <w:rPr>
          <w:rFonts w:eastAsiaTheme="minorEastAsia" w:cstheme="minorHAnsi"/>
          <w:szCs w:val="28"/>
        </w:rPr>
        <w:t>and NI</w:t>
      </w:r>
      <w:r w:rsidR="003A38C8">
        <w:rPr>
          <w:rFonts w:eastAsiaTheme="minorEastAsia" w:cstheme="minorHAnsi"/>
          <w:szCs w:val="28"/>
        </w:rPr>
        <w:t xml:space="preserve">. However, </w:t>
      </w:r>
      <w:r w:rsidR="00B52CFB">
        <w:rPr>
          <w:rFonts w:eastAsiaTheme="minorEastAsia" w:cstheme="minorHAnsi"/>
          <w:szCs w:val="28"/>
        </w:rPr>
        <w:t>i</w:t>
      </w:r>
      <w:r w:rsidRPr="00D10EBC">
        <w:rPr>
          <w:rFonts w:eastAsiaTheme="minorEastAsia" w:cstheme="minorHAnsi"/>
          <w:szCs w:val="28"/>
        </w:rPr>
        <w:t xml:space="preserve">t is not clear at this stage whether the alleviation of administrative obligations around food and goods coming into NI will address </w:t>
      </w:r>
      <w:r w:rsidR="000C3DC9">
        <w:rPr>
          <w:rFonts w:eastAsiaTheme="minorEastAsia" w:cstheme="minorHAnsi"/>
          <w:szCs w:val="28"/>
        </w:rPr>
        <w:t xml:space="preserve">these </w:t>
      </w:r>
      <w:r w:rsidRPr="00D10EBC">
        <w:rPr>
          <w:rFonts w:eastAsiaTheme="minorEastAsia" w:cstheme="minorHAnsi"/>
          <w:szCs w:val="28"/>
        </w:rPr>
        <w:t>issues satisfactorily.</w:t>
      </w:r>
    </w:p>
    <w:p w14:paraId="1ED60A56" w14:textId="06642CEF" w:rsidR="00C971BC" w:rsidRPr="00735B6D" w:rsidRDefault="009236C5" w:rsidP="005C780D">
      <w:pPr>
        <w:pStyle w:val="ListParagraph"/>
        <w:numPr>
          <w:ilvl w:val="1"/>
          <w:numId w:val="8"/>
        </w:numPr>
        <w:spacing w:after="240"/>
        <w:ind w:left="720" w:hanging="720"/>
        <w:contextualSpacing w:val="0"/>
        <w:rPr>
          <w:rFonts w:eastAsiaTheme="minorEastAsia" w:cstheme="minorHAnsi"/>
          <w:szCs w:val="28"/>
        </w:rPr>
      </w:pPr>
      <w:r w:rsidRPr="00D10EBC">
        <w:rPr>
          <w:rFonts w:eastAsiaTheme="minorEastAsia" w:cstheme="minorHAnsi"/>
          <w:szCs w:val="28"/>
        </w:rPr>
        <w:t>We will monitor the impact of the developments in the Windsor Framework which the UK</w:t>
      </w:r>
      <w:r w:rsidR="00BE51A8">
        <w:rPr>
          <w:rFonts w:eastAsiaTheme="minorEastAsia" w:cstheme="minorHAnsi"/>
          <w:szCs w:val="28"/>
        </w:rPr>
        <w:t>G</w:t>
      </w:r>
      <w:r w:rsidRPr="00D10EBC">
        <w:rPr>
          <w:rFonts w:eastAsiaTheme="minorEastAsia" w:cstheme="minorHAnsi"/>
          <w:szCs w:val="28"/>
        </w:rPr>
        <w:t xml:space="preserve"> has indicated will facilitate goods coming into NI from GB but still ensure NI exports can move freely into the EU, in terms of the ability of these communities to access these food products and ritual items. </w:t>
      </w:r>
    </w:p>
    <w:p w14:paraId="0435B7C4" w14:textId="1440CB8E" w:rsidR="00A504B9" w:rsidRDefault="005C780D" w:rsidP="00FE21CC">
      <w:pPr>
        <w:rPr>
          <w:b/>
          <w:bCs/>
        </w:rPr>
      </w:pPr>
      <w:bookmarkStart w:id="5" w:name="_Toc133911784"/>
      <w:r w:rsidRPr="0069712D">
        <w:rPr>
          <w:rStyle w:val="Heading3Char"/>
        </w:rPr>
        <w:t>Medicines</w:t>
      </w:r>
      <w:bookmarkEnd w:id="5"/>
      <w:r w:rsidR="00626361" w:rsidRPr="00626361">
        <w:rPr>
          <w:b/>
          <w:bCs/>
          <w:u w:val="single"/>
        </w:rPr>
        <w:t>:</w:t>
      </w:r>
      <w:r w:rsidR="00626361">
        <w:rPr>
          <w:b/>
          <w:bCs/>
        </w:rPr>
        <w:t xml:space="preserve"> </w:t>
      </w:r>
      <w:r>
        <w:rPr>
          <w:b/>
          <w:bCs/>
        </w:rPr>
        <w:t xml:space="preserve">Question </w:t>
      </w:r>
      <w:r w:rsidRPr="005C780D">
        <w:rPr>
          <w:b/>
          <w:bCs/>
        </w:rPr>
        <w:t>9. What is your assessment of the Windsor Framework’s provisions on the supply of human medicines to Northern Ireland? Do they deal sufficiently with the issues previously raised by industry in relation to the Protocol?</w:t>
      </w:r>
    </w:p>
    <w:p w14:paraId="4DA0D150" w14:textId="3CA79617" w:rsidR="00C155F4" w:rsidRDefault="00C155F4" w:rsidP="001C2909">
      <w:pPr>
        <w:rPr>
          <w:b/>
          <w:bCs/>
        </w:rPr>
      </w:pPr>
      <w:r>
        <w:rPr>
          <w:b/>
          <w:bCs/>
        </w:rPr>
        <w:t>Response</w:t>
      </w:r>
    </w:p>
    <w:p w14:paraId="5F0AD1D7" w14:textId="4A1A1851" w:rsidR="008F0CA4" w:rsidRPr="008F0CA4" w:rsidRDefault="004E0767" w:rsidP="00FE21CC">
      <w:pPr>
        <w:pStyle w:val="ListParagraph"/>
        <w:numPr>
          <w:ilvl w:val="1"/>
          <w:numId w:val="8"/>
        </w:numPr>
        <w:spacing w:after="240"/>
        <w:ind w:left="720" w:hanging="720"/>
        <w:contextualSpacing w:val="0"/>
        <w:rPr>
          <w:rFonts w:eastAsiaTheme="minorEastAsia" w:cstheme="minorHAnsi"/>
          <w:szCs w:val="28"/>
        </w:rPr>
      </w:pPr>
      <w:r w:rsidRPr="004E0767">
        <w:t>The Commissions had previously highlighted to the Sub-Committee that under the original Protocol, N</w:t>
      </w:r>
      <w:r w:rsidR="003A38C8">
        <w:t>I</w:t>
      </w:r>
      <w:r w:rsidRPr="004E0767">
        <w:t xml:space="preserve"> remained aligned to EU regulations and legislation on medicines and their supply, and that following the end of the ‘grace period’, which had been due to end on 31 December 2021, it </w:t>
      </w:r>
      <w:r w:rsidRPr="004E0767">
        <w:lastRenderedPageBreak/>
        <w:t xml:space="preserve">would have been required that all medicines imported to Northern Ireland from GB follow EU rules and regulations. </w:t>
      </w:r>
    </w:p>
    <w:p w14:paraId="67A6AFD3" w14:textId="1924007E" w:rsidR="008F0CA4" w:rsidRPr="008F0CA4" w:rsidRDefault="004E0767" w:rsidP="00FE21CC">
      <w:pPr>
        <w:pStyle w:val="ListParagraph"/>
        <w:numPr>
          <w:ilvl w:val="1"/>
          <w:numId w:val="8"/>
        </w:numPr>
        <w:spacing w:after="240"/>
        <w:ind w:left="720" w:hanging="720"/>
        <w:contextualSpacing w:val="0"/>
        <w:rPr>
          <w:rFonts w:eastAsiaTheme="minorEastAsia" w:cstheme="minorHAnsi"/>
          <w:szCs w:val="28"/>
        </w:rPr>
      </w:pPr>
      <w:r w:rsidRPr="004E0767">
        <w:t>We highlighted that as a result, suppliers had raised concerns about the viability of supplying items to N</w:t>
      </w:r>
      <w:r w:rsidR="00384D8D">
        <w:t>I</w:t>
      </w:r>
      <w:r w:rsidRPr="004E0767">
        <w:t xml:space="preserve"> in the longer term.</w:t>
      </w:r>
      <w:r w:rsidRPr="008F0CA4">
        <w:rPr>
          <w:b/>
          <w:bCs/>
        </w:rPr>
        <w:t xml:space="preserve"> </w:t>
      </w:r>
      <w:r>
        <w:t xml:space="preserve">We had </w:t>
      </w:r>
      <w:r w:rsidR="00DB0E28" w:rsidRPr="00DB0E28">
        <w:t>raised concerns that this could result in N</w:t>
      </w:r>
      <w:r w:rsidR="00384D8D">
        <w:t>I</w:t>
      </w:r>
      <w:r w:rsidR="00DB0E28" w:rsidRPr="00DB0E28">
        <w:t xml:space="preserve"> facing continued and intensified disruption in relation to medicines supply.  </w:t>
      </w:r>
    </w:p>
    <w:p w14:paraId="08D21774" w14:textId="22B6D578" w:rsidR="00FE21CC" w:rsidRPr="008F0CA4" w:rsidRDefault="00DB0E28" w:rsidP="00FE21CC">
      <w:pPr>
        <w:pStyle w:val="ListParagraph"/>
        <w:numPr>
          <w:ilvl w:val="1"/>
          <w:numId w:val="8"/>
        </w:numPr>
        <w:spacing w:after="240"/>
        <w:ind w:left="720" w:hanging="720"/>
        <w:contextualSpacing w:val="0"/>
        <w:rPr>
          <w:rFonts w:eastAsiaTheme="minorEastAsia" w:cstheme="minorHAnsi"/>
          <w:szCs w:val="28"/>
        </w:rPr>
      </w:pPr>
      <w:r w:rsidRPr="00DB0E28">
        <w:t>We highlighted the potential equality and human rights implications and negative impacts on the day to day lives of disabled people in N</w:t>
      </w:r>
      <w:r w:rsidR="00384D8D">
        <w:t>I</w:t>
      </w:r>
      <w:r w:rsidRPr="00DB0E28">
        <w:t>; and emphasised that there should be no</w:t>
      </w:r>
      <w:r w:rsidR="00525279">
        <w:t xml:space="preserve"> </w:t>
      </w:r>
      <w:r w:rsidRPr="00DB0E28">
        <w:t>diminution of rights for disabled people in relation to their access to health and treatment.</w:t>
      </w:r>
      <w:r w:rsidR="004C3A68">
        <w:rPr>
          <w:rStyle w:val="FootnoteReference"/>
        </w:rPr>
        <w:footnoteReference w:id="6"/>
      </w:r>
    </w:p>
    <w:p w14:paraId="7055E064" w14:textId="34F9A766" w:rsidR="004E0767" w:rsidRPr="008F0CA4" w:rsidRDefault="00FE21CC" w:rsidP="008F0CA4">
      <w:pPr>
        <w:pStyle w:val="ListParagraph"/>
        <w:numPr>
          <w:ilvl w:val="1"/>
          <w:numId w:val="8"/>
        </w:numPr>
        <w:spacing w:after="240"/>
        <w:ind w:left="720" w:hanging="720"/>
        <w:contextualSpacing w:val="0"/>
        <w:rPr>
          <w:rFonts w:eastAsiaTheme="minorEastAsia" w:cstheme="minorHAnsi"/>
          <w:szCs w:val="28"/>
        </w:rPr>
      </w:pPr>
      <w:r>
        <w:t xml:space="preserve">We </w:t>
      </w:r>
      <w:r w:rsidRPr="00B30399">
        <w:t>had recommended that the UK</w:t>
      </w:r>
      <w:r w:rsidR="00F170D8">
        <w:t>G</w:t>
      </w:r>
      <w:r w:rsidRPr="00B30399">
        <w:t>, working with the EU</w:t>
      </w:r>
      <w:r w:rsidR="008F75A7">
        <w:t>,</w:t>
      </w:r>
      <w:r w:rsidRPr="00B30399">
        <w:t xml:space="preserve"> continues to monitor and address any outstanding issues relating to the supply of medicines from G</w:t>
      </w:r>
      <w:r w:rsidR="00F170D8">
        <w:t>B</w:t>
      </w:r>
      <w:r w:rsidRPr="00B30399">
        <w:t xml:space="preserve"> to NI to guarantee no </w:t>
      </w:r>
      <w:r w:rsidR="008F75A7">
        <w:t>reduction</w:t>
      </w:r>
      <w:r w:rsidR="008F75A7" w:rsidRPr="00B30399">
        <w:t xml:space="preserve"> </w:t>
      </w:r>
      <w:r w:rsidR="00460403">
        <w:t>in</w:t>
      </w:r>
      <w:r w:rsidR="00460403" w:rsidRPr="00B30399">
        <w:t xml:space="preserve"> </w:t>
      </w:r>
      <w:r w:rsidRPr="00B30399">
        <w:t xml:space="preserve">the current provision, including for disabled people, and to protect the highest attainable standard of health. </w:t>
      </w:r>
    </w:p>
    <w:p w14:paraId="2A498E94" w14:textId="1FA71206" w:rsidR="00C971BC" w:rsidRPr="00384D8D" w:rsidRDefault="00FE21CC" w:rsidP="007947DE">
      <w:pPr>
        <w:pStyle w:val="ListParagraph"/>
        <w:numPr>
          <w:ilvl w:val="1"/>
          <w:numId w:val="8"/>
        </w:numPr>
        <w:spacing w:after="240"/>
        <w:ind w:left="720" w:hanging="720"/>
        <w:contextualSpacing w:val="0"/>
        <w:rPr>
          <w:rFonts w:eastAsiaTheme="minorEastAsia" w:cstheme="minorHAnsi"/>
          <w:szCs w:val="28"/>
        </w:rPr>
      </w:pPr>
      <w:r w:rsidRPr="00B30399">
        <w:t xml:space="preserve">We note the changes to </w:t>
      </w:r>
      <w:r w:rsidR="00A22489">
        <w:t xml:space="preserve">the </w:t>
      </w:r>
      <w:r w:rsidR="00A22489" w:rsidRPr="00A22489">
        <w:t xml:space="preserve">provisions on the supply of medicines to Northern Ireland </w:t>
      </w:r>
      <w:r w:rsidRPr="00B30399">
        <w:t xml:space="preserve">set out in the Windsor Framework, </w:t>
      </w:r>
      <w:r>
        <w:t>and</w:t>
      </w:r>
      <w:r w:rsidRPr="00B30399">
        <w:t xml:space="preserve"> therefore welcome any </w:t>
      </w:r>
      <w:r w:rsidR="00C155F4">
        <w:t xml:space="preserve">of these </w:t>
      </w:r>
      <w:r w:rsidRPr="00B30399">
        <w:t>developments that address those issues</w:t>
      </w:r>
      <w:r>
        <w:t xml:space="preserve"> for disabled people in NI in terms of access to medicines</w:t>
      </w:r>
      <w:r w:rsidRPr="00B30399">
        <w:t>.</w:t>
      </w:r>
      <w:r>
        <w:t xml:space="preserve"> </w:t>
      </w:r>
    </w:p>
    <w:p w14:paraId="5D9413C7" w14:textId="45122CB2" w:rsidR="007947DE" w:rsidRDefault="007947DE" w:rsidP="007947DE">
      <w:pPr>
        <w:rPr>
          <w:b/>
          <w:bCs/>
        </w:rPr>
      </w:pPr>
      <w:bookmarkStart w:id="6" w:name="_Toc133911785"/>
      <w:r w:rsidRPr="0069712D">
        <w:rPr>
          <w:rStyle w:val="Heading3Char"/>
        </w:rPr>
        <w:t>Movement of pets</w:t>
      </w:r>
      <w:bookmarkEnd w:id="6"/>
      <w:r w:rsidR="00626361">
        <w:rPr>
          <w:b/>
          <w:bCs/>
        </w:rPr>
        <w:t xml:space="preserve">: </w:t>
      </w:r>
      <w:r>
        <w:rPr>
          <w:b/>
          <w:bCs/>
        </w:rPr>
        <w:t xml:space="preserve">Question </w:t>
      </w:r>
      <w:r w:rsidRPr="007947DE">
        <w:rPr>
          <w:b/>
          <w:bCs/>
        </w:rPr>
        <w:t>12. What is your assessment of the proposals on pets, including a pet travel document and owner declaration for pets moving from Great Britain to Northern Ireland, and microchip identification for pets moving from Northern Ireland to Great Britain and back?</w:t>
      </w:r>
    </w:p>
    <w:p w14:paraId="0D05C4EF" w14:textId="4987F269" w:rsidR="00293E96" w:rsidRDefault="00293E96" w:rsidP="00B07A3E">
      <w:pPr>
        <w:rPr>
          <w:b/>
          <w:bCs/>
        </w:rPr>
      </w:pPr>
      <w:r>
        <w:rPr>
          <w:b/>
          <w:bCs/>
        </w:rPr>
        <w:t>Response</w:t>
      </w:r>
    </w:p>
    <w:p w14:paraId="2D5BA77E" w14:textId="77777777" w:rsidR="008F0CA4" w:rsidRPr="008F0CA4" w:rsidRDefault="006D4B03" w:rsidP="007947DE">
      <w:pPr>
        <w:pStyle w:val="ListParagraph"/>
        <w:numPr>
          <w:ilvl w:val="1"/>
          <w:numId w:val="8"/>
        </w:numPr>
        <w:spacing w:after="240"/>
        <w:ind w:left="720" w:hanging="720"/>
        <w:contextualSpacing w:val="0"/>
        <w:rPr>
          <w:rFonts w:eastAsiaTheme="minorEastAsia" w:cstheme="minorHAnsi"/>
          <w:szCs w:val="28"/>
        </w:rPr>
      </w:pPr>
      <w:r w:rsidRPr="006D4B03">
        <w:t>The Commissions have previously highlighted to the Sub-Committee that the issue of travel arrangements for assistance dogs between G</w:t>
      </w:r>
      <w:r w:rsidR="00715573">
        <w:t>B</w:t>
      </w:r>
      <w:r w:rsidRPr="006D4B03">
        <w:t xml:space="preserve"> and N</w:t>
      </w:r>
      <w:r w:rsidR="00715573">
        <w:t>I</w:t>
      </w:r>
      <w:r w:rsidRPr="006D4B03">
        <w:t xml:space="preserve"> </w:t>
      </w:r>
      <w:r w:rsidRPr="006D4B03">
        <w:lastRenderedPageBreak/>
        <w:t xml:space="preserve">may have potential equality and human rights implications both domestically and internationally. </w:t>
      </w:r>
    </w:p>
    <w:p w14:paraId="25E30DB0" w14:textId="71EDAA9E" w:rsidR="00FC1249" w:rsidRPr="008F0CA4" w:rsidRDefault="006D4B03" w:rsidP="007947DE">
      <w:pPr>
        <w:pStyle w:val="ListParagraph"/>
        <w:numPr>
          <w:ilvl w:val="1"/>
          <w:numId w:val="8"/>
        </w:numPr>
        <w:spacing w:after="240"/>
        <w:ind w:left="720" w:hanging="720"/>
        <w:contextualSpacing w:val="0"/>
        <w:rPr>
          <w:rFonts w:eastAsiaTheme="minorEastAsia" w:cstheme="minorHAnsi"/>
          <w:szCs w:val="28"/>
        </w:rPr>
      </w:pPr>
      <w:r w:rsidRPr="006D4B03">
        <w:t xml:space="preserve">We have also highlighted the need to ensure that there are no adverse impacts on </w:t>
      </w:r>
      <w:r w:rsidR="006F1C59">
        <w:t>a</w:t>
      </w:r>
      <w:r w:rsidRPr="006D4B03">
        <w:t xml:space="preserve">ssistance </w:t>
      </w:r>
      <w:r w:rsidR="006F1C59">
        <w:t>d</w:t>
      </w:r>
      <w:r w:rsidRPr="006D4B03">
        <w:t xml:space="preserve">og </w:t>
      </w:r>
      <w:r w:rsidR="006F1C59">
        <w:t>o</w:t>
      </w:r>
      <w:r w:rsidRPr="006D4B03">
        <w:t>wners in N</w:t>
      </w:r>
      <w:r w:rsidR="00715573">
        <w:t>I</w:t>
      </w:r>
      <w:r w:rsidRPr="006D4B03">
        <w:t xml:space="preserve"> in terms of requirements on pet passport arrangements post Brexit. </w:t>
      </w:r>
      <w:r w:rsidR="000336A1">
        <w:t xml:space="preserve">We </w:t>
      </w:r>
      <w:r w:rsidR="00293E96" w:rsidRPr="00293E96">
        <w:t>had recommended that the UK Government work with the EU Commission to find a long-term solution which minimises checks on assistance dog owners travelling between G</w:t>
      </w:r>
      <w:r w:rsidR="00715573">
        <w:t>B</w:t>
      </w:r>
      <w:r w:rsidR="00293E96" w:rsidRPr="00293E96">
        <w:t xml:space="preserve"> and NI. </w:t>
      </w:r>
    </w:p>
    <w:p w14:paraId="1920A965" w14:textId="5D139279" w:rsidR="0099509C" w:rsidRPr="00735B6D" w:rsidRDefault="00293E96" w:rsidP="006568DA">
      <w:pPr>
        <w:pStyle w:val="ListParagraph"/>
        <w:numPr>
          <w:ilvl w:val="1"/>
          <w:numId w:val="8"/>
        </w:numPr>
        <w:spacing w:after="240"/>
        <w:ind w:left="720" w:hanging="720"/>
        <w:contextualSpacing w:val="0"/>
        <w:rPr>
          <w:rFonts w:eastAsiaTheme="minorEastAsia" w:cstheme="minorHAnsi"/>
          <w:szCs w:val="28"/>
        </w:rPr>
      </w:pPr>
      <w:r w:rsidRPr="00293E96">
        <w:t>We note the changes to pet requirements travelling between GB and NI set out in the Windsor Framework, and therefore welcome any such developments that will remove or reduce those checks on assistance dog owners. We also welcome that the UK</w:t>
      </w:r>
      <w:r w:rsidR="00715573">
        <w:t>G</w:t>
      </w:r>
      <w:r w:rsidRPr="00293E96">
        <w:t xml:space="preserve"> has indicated that it will work with ferry companies to ensure that their online guidance reflects these new arrangements and gives travellers confidence to travel once again with their pets. </w:t>
      </w:r>
    </w:p>
    <w:p w14:paraId="1B33AF5E" w14:textId="199AB2AE" w:rsidR="00C971BC" w:rsidRPr="00735B6D" w:rsidRDefault="0099509C" w:rsidP="006568DA">
      <w:pPr>
        <w:rPr>
          <w:b/>
          <w:bCs/>
        </w:rPr>
      </w:pPr>
      <w:bookmarkStart w:id="7" w:name="_Toc133911786"/>
      <w:r w:rsidRPr="0069712D">
        <w:rPr>
          <w:rStyle w:val="Heading3Char"/>
        </w:rPr>
        <w:t>Regulatory divergence</w:t>
      </w:r>
      <w:bookmarkEnd w:id="7"/>
      <w:r w:rsidRPr="005567EC">
        <w:rPr>
          <w:b/>
          <w:bCs/>
        </w:rPr>
        <w:t xml:space="preserve">: </w:t>
      </w:r>
      <w:r w:rsidRPr="0099509C">
        <w:rPr>
          <w:b/>
          <w:bCs/>
        </w:rPr>
        <w:t>Question14.</w:t>
      </w:r>
      <w:r w:rsidRPr="005567EC">
        <w:rPr>
          <w:b/>
          <w:bCs/>
        </w:rPr>
        <w:t xml:space="preserve"> </w:t>
      </w:r>
      <w:r w:rsidRPr="0099509C">
        <w:rPr>
          <w:b/>
          <w:bCs/>
        </w:rPr>
        <w:t>What is the significance of the Windsor Framework for regulatory divergence a) East-West, between Northern Ireland and Great Britain and b) North-South, on the island of Ireland? What is your assessment of the mechanisms to manage divergence, including the new Special Goods Body and the role of the Office of the Internal Market? Should a record be kept of such divergence, and if so, by who</w:t>
      </w:r>
      <w:r w:rsidR="00DC6447">
        <w:rPr>
          <w:b/>
          <w:bCs/>
        </w:rPr>
        <w:t>m</w:t>
      </w:r>
      <w:r w:rsidRPr="0099509C">
        <w:rPr>
          <w:b/>
          <w:bCs/>
        </w:rPr>
        <w:t>?</w:t>
      </w:r>
    </w:p>
    <w:p w14:paraId="6CE38B9F" w14:textId="430C3F6D" w:rsidR="0099509C" w:rsidRPr="00735B6D" w:rsidRDefault="002D2CE6" w:rsidP="00B07A3E">
      <w:pPr>
        <w:rPr>
          <w:b/>
          <w:bCs/>
        </w:rPr>
      </w:pPr>
      <w:r w:rsidRPr="00735B6D">
        <w:rPr>
          <w:b/>
          <w:bCs/>
        </w:rPr>
        <w:t>Response</w:t>
      </w:r>
    </w:p>
    <w:p w14:paraId="7E945BC3" w14:textId="71DA47B5" w:rsidR="00CB3BA7" w:rsidRDefault="00CF5107" w:rsidP="006568DA">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t>As set out below, under provisions in the original Protocol, any future EU changes to a number of EU Regulations/Directives listed in Windsor Framework Annex 2</w:t>
      </w:r>
      <w:r w:rsidR="00F85C4B" w:rsidRPr="008F0CA4">
        <w:rPr>
          <w:rFonts w:eastAsiaTheme="minorEastAsia" w:cstheme="minorHAnsi"/>
          <w:szCs w:val="28"/>
        </w:rPr>
        <w:t xml:space="preserve"> </w:t>
      </w:r>
      <w:r w:rsidR="008A7B20" w:rsidRPr="008F0CA4">
        <w:rPr>
          <w:rFonts w:eastAsiaTheme="minorEastAsia" w:cstheme="minorHAnsi"/>
          <w:szCs w:val="28"/>
        </w:rPr>
        <w:t xml:space="preserve">and </w:t>
      </w:r>
      <w:r w:rsidRPr="008F0CA4">
        <w:rPr>
          <w:rFonts w:eastAsiaTheme="minorEastAsia" w:cstheme="minorHAnsi"/>
          <w:szCs w:val="28"/>
        </w:rPr>
        <w:t>which have equality and human rights i</w:t>
      </w:r>
      <w:r w:rsidR="007A7A10" w:rsidRPr="008F0CA4">
        <w:rPr>
          <w:rFonts w:eastAsiaTheme="minorEastAsia" w:cstheme="minorHAnsi"/>
          <w:szCs w:val="28"/>
        </w:rPr>
        <w:t xml:space="preserve">mplications, </w:t>
      </w:r>
      <w:r w:rsidRPr="008F0CA4">
        <w:rPr>
          <w:rFonts w:eastAsiaTheme="minorEastAsia" w:cstheme="minorHAnsi"/>
          <w:szCs w:val="28"/>
        </w:rPr>
        <w:t xml:space="preserve">would have been subject to the ‘keeping pace’ requirement under </w:t>
      </w:r>
      <w:r w:rsidR="008A7B20" w:rsidRPr="008F0CA4">
        <w:rPr>
          <w:rFonts w:eastAsiaTheme="minorEastAsia" w:cstheme="minorHAnsi"/>
          <w:szCs w:val="28"/>
        </w:rPr>
        <w:t xml:space="preserve">the </w:t>
      </w:r>
      <w:r w:rsidRPr="008F0CA4">
        <w:rPr>
          <w:rFonts w:eastAsiaTheme="minorEastAsia" w:cstheme="minorHAnsi"/>
          <w:szCs w:val="28"/>
        </w:rPr>
        <w:t>original Protocol Article 13 (3) and automatically applied to NI; though subject to the democratic consent arrangements that applied in the original Protocol.</w:t>
      </w:r>
    </w:p>
    <w:p w14:paraId="0DD9706F" w14:textId="25C0C513" w:rsidR="00156547" w:rsidRDefault="00CB3BA7" w:rsidP="000B094A">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t xml:space="preserve">There is now the potential for the Stormont Brake mechanism to apply to these </w:t>
      </w:r>
      <w:r w:rsidR="00F12EA1" w:rsidRPr="008F0CA4">
        <w:rPr>
          <w:rFonts w:eastAsiaTheme="minorEastAsia" w:cstheme="minorHAnsi"/>
          <w:szCs w:val="28"/>
        </w:rPr>
        <w:t xml:space="preserve">EU law </w:t>
      </w:r>
      <w:r w:rsidRPr="008F0CA4">
        <w:rPr>
          <w:rFonts w:eastAsiaTheme="minorEastAsia" w:cstheme="minorHAnsi"/>
          <w:szCs w:val="28"/>
        </w:rPr>
        <w:t>provisions</w:t>
      </w:r>
      <w:r w:rsidR="006E6A79" w:rsidRPr="008F0CA4">
        <w:rPr>
          <w:rFonts w:eastAsiaTheme="minorEastAsia" w:cstheme="minorHAnsi"/>
          <w:szCs w:val="28"/>
        </w:rPr>
        <w:t>,</w:t>
      </w:r>
      <w:r w:rsidRPr="008F0CA4">
        <w:rPr>
          <w:rFonts w:eastAsiaTheme="minorEastAsia" w:cstheme="minorHAnsi"/>
          <w:szCs w:val="28"/>
        </w:rPr>
        <w:t xml:space="preserve"> </w:t>
      </w:r>
      <w:r w:rsidR="00C52B5F" w:rsidRPr="008F0CA4">
        <w:rPr>
          <w:rFonts w:eastAsiaTheme="minorEastAsia" w:cstheme="minorHAnsi"/>
          <w:szCs w:val="28"/>
        </w:rPr>
        <w:t>which</w:t>
      </w:r>
      <w:r w:rsidR="006E6A79" w:rsidRPr="008F0CA4">
        <w:rPr>
          <w:rFonts w:eastAsiaTheme="minorEastAsia" w:cstheme="minorHAnsi"/>
          <w:szCs w:val="28"/>
        </w:rPr>
        <w:t xml:space="preserve"> largely apply to goods and products, </w:t>
      </w:r>
      <w:r w:rsidRPr="008F0CA4">
        <w:rPr>
          <w:rFonts w:eastAsiaTheme="minorEastAsia" w:cstheme="minorHAnsi"/>
          <w:szCs w:val="28"/>
        </w:rPr>
        <w:t>and for the UK</w:t>
      </w:r>
      <w:r w:rsidR="008A7B20" w:rsidRPr="008F0CA4">
        <w:rPr>
          <w:rFonts w:eastAsiaTheme="minorEastAsia" w:cstheme="minorHAnsi"/>
          <w:szCs w:val="28"/>
        </w:rPr>
        <w:t>G</w:t>
      </w:r>
      <w:r w:rsidRPr="008F0CA4">
        <w:rPr>
          <w:rFonts w:eastAsiaTheme="minorEastAsia" w:cstheme="minorHAnsi"/>
          <w:szCs w:val="28"/>
        </w:rPr>
        <w:t xml:space="preserve"> to block</w:t>
      </w:r>
      <w:r w:rsidR="00D74DDE">
        <w:rPr>
          <w:rFonts w:eastAsiaTheme="minorEastAsia" w:cstheme="minorHAnsi"/>
          <w:szCs w:val="28"/>
        </w:rPr>
        <w:t xml:space="preserve"> </w:t>
      </w:r>
      <w:r w:rsidR="000D22A0">
        <w:rPr>
          <w:rFonts w:eastAsiaTheme="minorEastAsia" w:cstheme="minorHAnsi"/>
          <w:szCs w:val="28"/>
        </w:rPr>
        <w:t xml:space="preserve">subject to a finding of non-compliance </w:t>
      </w:r>
      <w:r w:rsidR="000D22A0" w:rsidRPr="008F0CA4">
        <w:rPr>
          <w:rFonts w:eastAsiaTheme="minorEastAsia" w:cstheme="minorHAnsi"/>
          <w:szCs w:val="28"/>
        </w:rPr>
        <w:t xml:space="preserve">by the </w:t>
      </w:r>
      <w:r w:rsidR="000D22A0" w:rsidRPr="008F0CA4">
        <w:rPr>
          <w:rFonts w:eastAsiaTheme="minorEastAsia" w:cstheme="minorHAnsi"/>
          <w:szCs w:val="28"/>
        </w:rPr>
        <w:lastRenderedPageBreak/>
        <w:t>arbitration panel</w:t>
      </w:r>
      <w:r w:rsidR="00D73694">
        <w:rPr>
          <w:rStyle w:val="FootnoteReference"/>
          <w:rFonts w:eastAsiaTheme="minorEastAsia" w:cstheme="minorHAnsi"/>
          <w:szCs w:val="28"/>
        </w:rPr>
        <w:footnoteReference w:id="7"/>
      </w:r>
      <w:r w:rsidR="000D22A0">
        <w:rPr>
          <w:rFonts w:eastAsiaTheme="minorEastAsia" w:cstheme="minorHAnsi"/>
          <w:szCs w:val="28"/>
        </w:rPr>
        <w:t xml:space="preserve">, </w:t>
      </w:r>
      <w:r w:rsidR="00E819BF" w:rsidRPr="008F0CA4">
        <w:rPr>
          <w:rFonts w:eastAsiaTheme="minorEastAsia" w:cstheme="minorHAnsi"/>
          <w:szCs w:val="28"/>
        </w:rPr>
        <w:t>the application of an EU rule that amends/ replaces such EU law</w:t>
      </w:r>
      <w:r w:rsidRPr="008F0CA4">
        <w:rPr>
          <w:rFonts w:eastAsiaTheme="minorEastAsia" w:cstheme="minorHAnsi"/>
          <w:szCs w:val="28"/>
        </w:rPr>
        <w:t>.</w:t>
      </w:r>
      <w:r w:rsidR="006B448D" w:rsidRPr="008F0CA4">
        <w:rPr>
          <w:rFonts w:eastAsiaTheme="minorEastAsia" w:cstheme="minorHAnsi"/>
          <w:szCs w:val="28"/>
        </w:rPr>
        <w:t xml:space="preserve"> </w:t>
      </w:r>
      <w:r w:rsidRPr="008F0CA4">
        <w:rPr>
          <w:rFonts w:eastAsiaTheme="minorEastAsia" w:cstheme="minorHAnsi"/>
          <w:szCs w:val="28"/>
        </w:rPr>
        <w:t xml:space="preserve">Should this take place, </w:t>
      </w:r>
      <w:r w:rsidR="00436FF4">
        <w:rPr>
          <w:rFonts w:eastAsiaTheme="minorEastAsia" w:cstheme="minorHAnsi"/>
          <w:szCs w:val="28"/>
        </w:rPr>
        <w:t>it</w:t>
      </w:r>
      <w:r w:rsidR="00436FF4" w:rsidRPr="008F0CA4">
        <w:rPr>
          <w:rFonts w:eastAsiaTheme="minorEastAsia" w:cstheme="minorHAnsi"/>
          <w:szCs w:val="28"/>
        </w:rPr>
        <w:t xml:space="preserve"> </w:t>
      </w:r>
      <w:r w:rsidRPr="008F0CA4">
        <w:rPr>
          <w:rFonts w:eastAsiaTheme="minorEastAsia" w:cstheme="minorHAnsi"/>
          <w:szCs w:val="28"/>
        </w:rPr>
        <w:t xml:space="preserve">will result in increasing divergence of equality and human rights </w:t>
      </w:r>
      <w:r w:rsidR="00D97763" w:rsidRPr="008F0CA4">
        <w:rPr>
          <w:rFonts w:eastAsiaTheme="minorEastAsia" w:cstheme="minorHAnsi"/>
          <w:szCs w:val="28"/>
        </w:rPr>
        <w:t xml:space="preserve">in these areas </w:t>
      </w:r>
      <w:r w:rsidRPr="008F0CA4">
        <w:rPr>
          <w:rFonts w:eastAsiaTheme="minorEastAsia" w:cstheme="minorHAnsi"/>
          <w:szCs w:val="28"/>
        </w:rPr>
        <w:t xml:space="preserve">on the island of Ireland post Brexit. </w:t>
      </w:r>
      <w:r w:rsidR="00156547" w:rsidRPr="008F0CA4">
        <w:rPr>
          <w:rFonts w:eastAsiaTheme="minorEastAsia" w:cstheme="minorHAnsi"/>
          <w:szCs w:val="28"/>
        </w:rPr>
        <w:t>It is important</w:t>
      </w:r>
      <w:r w:rsidR="00AD5221" w:rsidRPr="008F0CA4">
        <w:rPr>
          <w:rFonts w:eastAsiaTheme="minorEastAsia" w:cstheme="minorHAnsi"/>
          <w:szCs w:val="28"/>
        </w:rPr>
        <w:t xml:space="preserve">, in those circumstances, </w:t>
      </w:r>
      <w:r w:rsidR="00156547" w:rsidRPr="008F0CA4">
        <w:rPr>
          <w:rFonts w:eastAsiaTheme="minorEastAsia" w:cstheme="minorHAnsi"/>
          <w:szCs w:val="28"/>
        </w:rPr>
        <w:t xml:space="preserve">that </w:t>
      </w:r>
      <w:r w:rsidR="0057543B">
        <w:rPr>
          <w:rFonts w:eastAsiaTheme="minorEastAsia" w:cstheme="minorHAnsi"/>
          <w:szCs w:val="28"/>
        </w:rPr>
        <w:t>any</w:t>
      </w:r>
      <w:r w:rsidR="000C472C">
        <w:rPr>
          <w:rFonts w:eastAsiaTheme="minorEastAsia" w:cstheme="minorHAnsi"/>
          <w:szCs w:val="28"/>
        </w:rPr>
        <w:t xml:space="preserve"> resulting </w:t>
      </w:r>
      <w:r w:rsidR="002C6673">
        <w:rPr>
          <w:rFonts w:eastAsiaTheme="minorEastAsia" w:cstheme="minorHAnsi"/>
          <w:szCs w:val="28"/>
        </w:rPr>
        <w:t>equality or human rights</w:t>
      </w:r>
      <w:r w:rsidR="00195A61">
        <w:rPr>
          <w:rFonts w:eastAsiaTheme="minorEastAsia" w:cstheme="minorHAnsi"/>
          <w:szCs w:val="28"/>
        </w:rPr>
        <w:t xml:space="preserve"> impact </w:t>
      </w:r>
      <w:r w:rsidR="007B69E6">
        <w:rPr>
          <w:rFonts w:eastAsiaTheme="minorEastAsia" w:cstheme="minorHAnsi"/>
          <w:szCs w:val="28"/>
        </w:rPr>
        <w:t xml:space="preserve">in NI, </w:t>
      </w:r>
      <w:r w:rsidR="00156547" w:rsidRPr="008F0CA4">
        <w:rPr>
          <w:rFonts w:eastAsiaTheme="minorEastAsia" w:cstheme="minorHAnsi"/>
          <w:szCs w:val="28"/>
        </w:rPr>
        <w:t xml:space="preserve">is monitored. </w:t>
      </w:r>
    </w:p>
    <w:p w14:paraId="0545A85E" w14:textId="21E9426F" w:rsidR="00014DA8" w:rsidRDefault="00014DA8" w:rsidP="000B094A">
      <w:pPr>
        <w:pStyle w:val="ListParagraph"/>
        <w:numPr>
          <w:ilvl w:val="1"/>
          <w:numId w:val="8"/>
        </w:numPr>
        <w:spacing w:after="240"/>
        <w:ind w:left="720" w:hanging="720"/>
        <w:contextualSpacing w:val="0"/>
        <w:rPr>
          <w:rFonts w:eastAsiaTheme="minorEastAsia" w:cstheme="minorHAnsi"/>
          <w:szCs w:val="28"/>
        </w:rPr>
      </w:pPr>
      <w:r>
        <w:rPr>
          <w:rFonts w:eastAsiaTheme="minorEastAsia" w:cstheme="minorHAnsi"/>
          <w:szCs w:val="28"/>
        </w:rPr>
        <w:t>It is important however, that our recommendation set out below, on the need for monitoring</w:t>
      </w:r>
      <w:r w:rsidR="00B82693">
        <w:rPr>
          <w:rFonts w:eastAsiaTheme="minorEastAsia" w:cstheme="minorHAnsi"/>
          <w:szCs w:val="28"/>
        </w:rPr>
        <w:t xml:space="preserve"> for such divergence</w:t>
      </w:r>
      <w:r>
        <w:rPr>
          <w:rFonts w:eastAsiaTheme="minorEastAsia" w:cstheme="minorHAnsi"/>
          <w:szCs w:val="28"/>
        </w:rPr>
        <w:t>, is not considered in isolation</w:t>
      </w:r>
      <w:r w:rsidR="00B82693">
        <w:rPr>
          <w:rFonts w:eastAsiaTheme="minorEastAsia" w:cstheme="minorHAnsi"/>
          <w:szCs w:val="28"/>
        </w:rPr>
        <w:t>, as the</w:t>
      </w:r>
      <w:r w:rsidRPr="00014DA8">
        <w:rPr>
          <w:rFonts w:eastAsiaTheme="minorEastAsia" w:cstheme="minorHAnsi"/>
          <w:szCs w:val="28"/>
        </w:rPr>
        <w:t xml:space="preserve"> Commissions </w:t>
      </w:r>
      <w:r w:rsidR="00B82693">
        <w:rPr>
          <w:rFonts w:eastAsiaTheme="minorEastAsia" w:cstheme="minorHAnsi"/>
          <w:szCs w:val="28"/>
        </w:rPr>
        <w:t xml:space="preserve">also stress the importance of </w:t>
      </w:r>
      <w:r w:rsidRPr="00014DA8">
        <w:rPr>
          <w:rFonts w:eastAsiaTheme="minorEastAsia" w:cstheme="minorHAnsi"/>
          <w:szCs w:val="28"/>
        </w:rPr>
        <w:t xml:space="preserve">equality and human rights considerations </w:t>
      </w:r>
      <w:r w:rsidR="00B82693">
        <w:rPr>
          <w:rFonts w:eastAsiaTheme="minorEastAsia" w:cstheme="minorHAnsi"/>
          <w:szCs w:val="28"/>
        </w:rPr>
        <w:t>being</w:t>
      </w:r>
      <w:r w:rsidRPr="00014DA8">
        <w:rPr>
          <w:rFonts w:eastAsiaTheme="minorEastAsia" w:cstheme="minorHAnsi"/>
          <w:szCs w:val="28"/>
        </w:rPr>
        <w:t xml:space="preserve"> built into all key stages of the ‘Stormont Brake’ mechanism, including inquiries by the </w:t>
      </w:r>
      <w:r w:rsidR="007D29B1" w:rsidRPr="007D29B1">
        <w:rPr>
          <w:rFonts w:eastAsiaTheme="minorEastAsia" w:cstheme="minorHAnsi"/>
          <w:szCs w:val="28"/>
        </w:rPr>
        <w:t xml:space="preserve">Windsor Framework Democratic Scrutiny Committee </w:t>
      </w:r>
      <w:r w:rsidR="007D29B1">
        <w:rPr>
          <w:rFonts w:eastAsiaTheme="minorEastAsia" w:cstheme="minorHAnsi"/>
          <w:szCs w:val="28"/>
        </w:rPr>
        <w:t>(‘</w:t>
      </w:r>
      <w:r w:rsidRPr="00014DA8">
        <w:rPr>
          <w:rFonts w:eastAsiaTheme="minorEastAsia" w:cstheme="minorHAnsi"/>
          <w:szCs w:val="28"/>
        </w:rPr>
        <w:t>WFDS</w:t>
      </w:r>
      <w:r w:rsidR="007D29B1">
        <w:rPr>
          <w:rFonts w:eastAsiaTheme="minorEastAsia" w:cstheme="minorHAnsi"/>
          <w:szCs w:val="28"/>
        </w:rPr>
        <w:t>’)</w:t>
      </w:r>
      <w:r w:rsidRPr="00014DA8">
        <w:rPr>
          <w:rFonts w:eastAsiaTheme="minorEastAsia" w:cstheme="minorHAnsi"/>
          <w:szCs w:val="28"/>
        </w:rPr>
        <w:t xml:space="preserve"> Committee</w:t>
      </w:r>
      <w:r w:rsidR="00B82693">
        <w:rPr>
          <w:rFonts w:eastAsiaTheme="minorEastAsia" w:cstheme="minorHAnsi"/>
          <w:szCs w:val="28"/>
        </w:rPr>
        <w:t xml:space="preserve"> (see below on Stormont brake).</w:t>
      </w:r>
    </w:p>
    <w:p w14:paraId="5958A36E" w14:textId="5B282473" w:rsidR="008F0CA4" w:rsidRDefault="003A4FC2" w:rsidP="000B094A">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t xml:space="preserve">More generally, </w:t>
      </w:r>
      <w:r w:rsidR="006B448D" w:rsidRPr="008F0CA4">
        <w:rPr>
          <w:rFonts w:eastAsiaTheme="minorEastAsia" w:cstheme="minorHAnsi"/>
          <w:szCs w:val="28"/>
        </w:rPr>
        <w:t xml:space="preserve">the Commissions consider that long-term North-South equivalence of rights and equality protections is important to ensure there is no </w:t>
      </w:r>
      <w:r w:rsidR="00681E5F">
        <w:rPr>
          <w:rFonts w:eastAsiaTheme="minorEastAsia" w:cstheme="minorHAnsi"/>
          <w:szCs w:val="28"/>
        </w:rPr>
        <w:t xml:space="preserve">lowering </w:t>
      </w:r>
      <w:r w:rsidR="006B448D" w:rsidRPr="008F0CA4">
        <w:rPr>
          <w:rFonts w:eastAsiaTheme="minorEastAsia" w:cstheme="minorHAnsi"/>
          <w:szCs w:val="28"/>
        </w:rPr>
        <w:t>of rights in N</w:t>
      </w:r>
      <w:r w:rsidR="002D503A">
        <w:rPr>
          <w:rFonts w:eastAsiaTheme="minorEastAsia" w:cstheme="minorHAnsi"/>
          <w:szCs w:val="28"/>
        </w:rPr>
        <w:t>I</w:t>
      </w:r>
      <w:r w:rsidR="006B448D" w:rsidRPr="008F0CA4">
        <w:rPr>
          <w:rFonts w:eastAsiaTheme="minorEastAsia" w:cstheme="minorHAnsi"/>
          <w:szCs w:val="28"/>
        </w:rPr>
        <w:t xml:space="preserve"> and to ensure that human rights and equality protections are subject to continual improvement</w:t>
      </w:r>
      <w:r w:rsidR="00D4042D">
        <w:rPr>
          <w:rFonts w:eastAsiaTheme="minorEastAsia" w:cstheme="minorHAnsi"/>
          <w:szCs w:val="28"/>
        </w:rPr>
        <w:t xml:space="preserve"> and reflect international human rights standards and best practice</w:t>
      </w:r>
      <w:r w:rsidR="0063006B">
        <w:rPr>
          <w:rFonts w:eastAsiaTheme="minorEastAsia" w:cstheme="minorHAnsi"/>
          <w:szCs w:val="28"/>
        </w:rPr>
        <w:t>, including in Ireland</w:t>
      </w:r>
      <w:r w:rsidR="006B448D" w:rsidRPr="008F0CA4">
        <w:rPr>
          <w:rFonts w:eastAsiaTheme="minorEastAsia" w:cstheme="minorHAnsi"/>
          <w:szCs w:val="28"/>
        </w:rPr>
        <w:t xml:space="preserve">. </w:t>
      </w:r>
    </w:p>
    <w:p w14:paraId="3315CE18" w14:textId="658885FD" w:rsidR="001F54E4" w:rsidRDefault="006B448D" w:rsidP="000B094A">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t>W</w:t>
      </w:r>
      <w:r w:rsidR="00EE5BF0" w:rsidRPr="008F0CA4">
        <w:rPr>
          <w:rFonts w:eastAsiaTheme="minorEastAsia" w:cstheme="minorHAnsi"/>
          <w:szCs w:val="28"/>
        </w:rPr>
        <w:t xml:space="preserve">e ask the </w:t>
      </w:r>
      <w:r w:rsidR="009463E8">
        <w:rPr>
          <w:rFonts w:eastAsiaTheme="minorEastAsia" w:cstheme="minorHAnsi"/>
          <w:szCs w:val="28"/>
        </w:rPr>
        <w:t>Committee</w:t>
      </w:r>
      <w:r w:rsidR="009463E8" w:rsidRPr="008F0CA4">
        <w:rPr>
          <w:rFonts w:eastAsiaTheme="minorEastAsia" w:cstheme="minorHAnsi"/>
          <w:szCs w:val="28"/>
        </w:rPr>
        <w:t xml:space="preserve"> </w:t>
      </w:r>
      <w:r w:rsidR="00EE5BF0" w:rsidRPr="008F0CA4">
        <w:rPr>
          <w:rFonts w:eastAsiaTheme="minorEastAsia" w:cstheme="minorHAnsi"/>
          <w:szCs w:val="28"/>
        </w:rPr>
        <w:t xml:space="preserve">to note </w:t>
      </w:r>
      <w:r w:rsidR="00F07AE0" w:rsidRPr="008F0CA4">
        <w:rPr>
          <w:rFonts w:eastAsiaTheme="minorEastAsia" w:cstheme="minorHAnsi"/>
          <w:szCs w:val="28"/>
        </w:rPr>
        <w:t xml:space="preserve">that </w:t>
      </w:r>
      <w:r w:rsidR="00EE5BF0" w:rsidRPr="008F0CA4">
        <w:rPr>
          <w:rFonts w:eastAsiaTheme="minorEastAsia" w:cstheme="minorHAnsi"/>
          <w:szCs w:val="28"/>
        </w:rPr>
        <w:t>the Commissions</w:t>
      </w:r>
      <w:r w:rsidR="00F07AE0" w:rsidRPr="008F0CA4">
        <w:rPr>
          <w:rFonts w:eastAsiaTheme="minorEastAsia" w:cstheme="minorHAnsi"/>
          <w:szCs w:val="28"/>
        </w:rPr>
        <w:t xml:space="preserve">, together with </w:t>
      </w:r>
      <w:r w:rsidR="00157D5F" w:rsidRPr="008F0CA4">
        <w:rPr>
          <w:rFonts w:eastAsiaTheme="minorEastAsia" w:cstheme="minorHAnsi"/>
          <w:szCs w:val="28"/>
        </w:rPr>
        <w:t>the Irish Human Rights and Equality Commission (‘</w:t>
      </w:r>
      <w:r w:rsidR="00F07AE0" w:rsidRPr="008F0CA4">
        <w:rPr>
          <w:rFonts w:eastAsiaTheme="minorEastAsia" w:cstheme="minorHAnsi"/>
          <w:szCs w:val="28"/>
        </w:rPr>
        <w:t>IHREC</w:t>
      </w:r>
      <w:r w:rsidR="00157D5F" w:rsidRPr="008F0CA4">
        <w:rPr>
          <w:rFonts w:eastAsiaTheme="minorEastAsia" w:cstheme="minorHAnsi"/>
          <w:szCs w:val="28"/>
        </w:rPr>
        <w:t>’)</w:t>
      </w:r>
      <w:r w:rsidR="00F07AE0" w:rsidRPr="008F0CA4">
        <w:rPr>
          <w:rFonts w:eastAsiaTheme="minorEastAsia" w:cstheme="minorHAnsi"/>
          <w:szCs w:val="28"/>
        </w:rPr>
        <w:t xml:space="preserve">, </w:t>
      </w:r>
      <w:r w:rsidR="00EE5BF0" w:rsidRPr="008F0CA4">
        <w:rPr>
          <w:rFonts w:eastAsiaTheme="minorEastAsia" w:cstheme="minorHAnsi"/>
          <w:szCs w:val="28"/>
        </w:rPr>
        <w:t>have published an independent research report</w:t>
      </w:r>
      <w:r w:rsidR="003C4BDF">
        <w:rPr>
          <w:rStyle w:val="FootnoteReference"/>
          <w:rFonts w:eastAsiaTheme="minorEastAsia" w:cstheme="minorHAnsi"/>
          <w:szCs w:val="28"/>
        </w:rPr>
        <w:footnoteReference w:id="8"/>
      </w:r>
      <w:r w:rsidR="00EE5BF0" w:rsidRPr="008F0CA4">
        <w:rPr>
          <w:rFonts w:eastAsiaTheme="minorEastAsia" w:cstheme="minorHAnsi"/>
          <w:szCs w:val="28"/>
        </w:rPr>
        <w:t>, together with the Commissions’ policy recommendations</w:t>
      </w:r>
      <w:r w:rsidR="003C4BDF">
        <w:rPr>
          <w:rStyle w:val="FootnoteReference"/>
          <w:rFonts w:eastAsiaTheme="minorEastAsia" w:cstheme="minorHAnsi"/>
          <w:szCs w:val="28"/>
        </w:rPr>
        <w:footnoteReference w:id="9"/>
      </w:r>
      <w:r w:rsidR="00EE5BF0" w:rsidRPr="008F0CA4">
        <w:rPr>
          <w:rFonts w:eastAsiaTheme="minorEastAsia" w:cstheme="minorHAnsi"/>
          <w:szCs w:val="28"/>
        </w:rPr>
        <w:t xml:space="preserve">, </w:t>
      </w:r>
      <w:r w:rsidR="003C4BDF" w:rsidRPr="008F0CA4">
        <w:rPr>
          <w:rFonts w:eastAsiaTheme="minorEastAsia" w:cstheme="minorHAnsi"/>
          <w:szCs w:val="28"/>
        </w:rPr>
        <w:t xml:space="preserve"> which ha</w:t>
      </w:r>
      <w:r w:rsidR="003A4FC2" w:rsidRPr="008F0CA4">
        <w:rPr>
          <w:rFonts w:eastAsiaTheme="minorEastAsia" w:cstheme="minorHAnsi"/>
          <w:szCs w:val="28"/>
        </w:rPr>
        <w:t>ve</w:t>
      </w:r>
      <w:r w:rsidR="003C4BDF" w:rsidRPr="008F0CA4">
        <w:rPr>
          <w:rFonts w:eastAsiaTheme="minorEastAsia" w:cstheme="minorHAnsi"/>
          <w:szCs w:val="28"/>
        </w:rPr>
        <w:t xml:space="preserve"> explored </w:t>
      </w:r>
      <w:r w:rsidR="00EE5BF0" w:rsidRPr="008F0CA4">
        <w:rPr>
          <w:rFonts w:eastAsiaTheme="minorEastAsia" w:cstheme="minorHAnsi"/>
          <w:szCs w:val="28"/>
        </w:rPr>
        <w:t>the impact of Brexit and the widening gaps in rights across the island of Ireland</w:t>
      </w:r>
      <w:r w:rsidR="003A4FC2" w:rsidRPr="008F0CA4">
        <w:rPr>
          <w:rFonts w:eastAsiaTheme="minorEastAsia" w:cstheme="minorHAnsi"/>
          <w:szCs w:val="28"/>
        </w:rPr>
        <w:t>, and made recommendations for the UKG, the NI Executive</w:t>
      </w:r>
      <w:r w:rsidR="00AD6E86" w:rsidRPr="008F0CA4">
        <w:rPr>
          <w:rFonts w:eastAsiaTheme="minorEastAsia" w:cstheme="minorHAnsi"/>
          <w:szCs w:val="28"/>
        </w:rPr>
        <w:t>,</w:t>
      </w:r>
      <w:r w:rsidR="003A4FC2" w:rsidRPr="008F0CA4">
        <w:rPr>
          <w:rFonts w:eastAsiaTheme="minorEastAsia" w:cstheme="minorHAnsi"/>
          <w:szCs w:val="28"/>
        </w:rPr>
        <w:t xml:space="preserve"> and others</w:t>
      </w:r>
      <w:r w:rsidR="00EE5BF0" w:rsidRPr="008F0CA4">
        <w:rPr>
          <w:rFonts w:eastAsiaTheme="minorEastAsia" w:cstheme="minorHAnsi"/>
          <w:szCs w:val="28"/>
        </w:rPr>
        <w:t>.</w:t>
      </w:r>
      <w:r w:rsidR="003C4BDF" w:rsidRPr="008F0CA4">
        <w:rPr>
          <w:rFonts w:eastAsiaTheme="minorEastAsia" w:cstheme="minorHAnsi"/>
          <w:szCs w:val="28"/>
        </w:rPr>
        <w:t xml:space="preserve"> </w:t>
      </w:r>
      <w:r w:rsidR="00204B4E">
        <w:rPr>
          <w:rFonts w:eastAsiaTheme="minorEastAsia" w:cstheme="minorHAnsi"/>
          <w:szCs w:val="28"/>
        </w:rPr>
        <w:t>The Commissions’</w:t>
      </w:r>
      <w:r w:rsidR="00204B4E" w:rsidRPr="00204B4E">
        <w:rPr>
          <w:rFonts w:eastAsiaTheme="minorEastAsia" w:cstheme="minorHAnsi"/>
          <w:szCs w:val="28"/>
        </w:rPr>
        <w:t xml:space="preserve"> policy recommendations also highlight</w:t>
      </w:r>
      <w:r w:rsidR="00204B4E">
        <w:rPr>
          <w:rFonts w:eastAsiaTheme="minorEastAsia" w:cstheme="minorHAnsi"/>
          <w:szCs w:val="28"/>
        </w:rPr>
        <w:t>ed</w:t>
      </w:r>
      <w:r w:rsidR="00204B4E" w:rsidRPr="00204B4E">
        <w:rPr>
          <w:rFonts w:eastAsiaTheme="minorEastAsia" w:cstheme="minorHAnsi"/>
          <w:szCs w:val="28"/>
        </w:rPr>
        <w:t xml:space="preserve"> gaps </w:t>
      </w:r>
      <w:r w:rsidR="00204B4E">
        <w:rPr>
          <w:rFonts w:eastAsiaTheme="minorEastAsia" w:cstheme="minorHAnsi"/>
          <w:szCs w:val="28"/>
        </w:rPr>
        <w:t xml:space="preserve">in equality protections </w:t>
      </w:r>
      <w:r w:rsidR="00204B4E" w:rsidRPr="00204B4E">
        <w:rPr>
          <w:rFonts w:eastAsiaTheme="minorEastAsia" w:cstheme="minorHAnsi"/>
          <w:szCs w:val="28"/>
        </w:rPr>
        <w:t>between NI and GB</w:t>
      </w:r>
      <w:r w:rsidR="005B6013">
        <w:rPr>
          <w:rFonts w:eastAsiaTheme="minorEastAsia" w:cstheme="minorHAnsi"/>
          <w:szCs w:val="28"/>
        </w:rPr>
        <w:t>, and the need to address these</w:t>
      </w:r>
      <w:r w:rsidR="00204B4E" w:rsidRPr="00204B4E">
        <w:rPr>
          <w:rFonts w:eastAsiaTheme="minorEastAsia" w:cstheme="minorHAnsi"/>
          <w:szCs w:val="28"/>
        </w:rPr>
        <w:t>.</w:t>
      </w:r>
    </w:p>
    <w:p w14:paraId="729EFD8B" w14:textId="49C16925" w:rsidR="007730BE" w:rsidRDefault="00D056CE" w:rsidP="000B094A">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lastRenderedPageBreak/>
        <w:t>We would ask the Committee to note</w:t>
      </w:r>
      <w:r w:rsidR="00862190">
        <w:rPr>
          <w:rFonts w:eastAsiaTheme="minorEastAsia" w:cstheme="minorHAnsi"/>
          <w:szCs w:val="28"/>
        </w:rPr>
        <w:t>,</w:t>
      </w:r>
      <w:r w:rsidRPr="008F0CA4">
        <w:rPr>
          <w:rFonts w:eastAsiaTheme="minorEastAsia" w:cstheme="minorHAnsi"/>
          <w:szCs w:val="28"/>
        </w:rPr>
        <w:t xml:space="preserve"> however</w:t>
      </w:r>
      <w:r w:rsidR="00862190">
        <w:rPr>
          <w:rFonts w:eastAsiaTheme="minorEastAsia" w:cstheme="minorHAnsi"/>
          <w:szCs w:val="28"/>
        </w:rPr>
        <w:t>,</w:t>
      </w:r>
      <w:r w:rsidRPr="008F0CA4">
        <w:rPr>
          <w:rFonts w:eastAsiaTheme="minorEastAsia" w:cstheme="minorHAnsi"/>
          <w:szCs w:val="28"/>
        </w:rPr>
        <w:t xml:space="preserve"> that t</w:t>
      </w:r>
      <w:r w:rsidR="00D41B47" w:rsidRPr="008F0CA4">
        <w:rPr>
          <w:rFonts w:eastAsiaTheme="minorEastAsia" w:cstheme="minorHAnsi"/>
          <w:szCs w:val="28"/>
        </w:rPr>
        <w:t xml:space="preserve">hese recommendations </w:t>
      </w:r>
      <w:r w:rsidRPr="008F0CA4">
        <w:rPr>
          <w:rFonts w:eastAsiaTheme="minorEastAsia" w:cstheme="minorHAnsi"/>
          <w:szCs w:val="28"/>
        </w:rPr>
        <w:t xml:space="preserve">relate to </w:t>
      </w:r>
      <w:r w:rsidR="00D75B23" w:rsidRPr="008F0CA4">
        <w:rPr>
          <w:rFonts w:eastAsiaTheme="minorEastAsia" w:cstheme="minorHAnsi"/>
          <w:szCs w:val="28"/>
        </w:rPr>
        <w:t xml:space="preserve">the </w:t>
      </w:r>
      <w:r w:rsidR="00E50658" w:rsidRPr="008F0CA4">
        <w:rPr>
          <w:rFonts w:eastAsiaTheme="minorEastAsia" w:cstheme="minorHAnsi"/>
          <w:szCs w:val="28"/>
        </w:rPr>
        <w:t xml:space="preserve">broader context of the </w:t>
      </w:r>
      <w:r w:rsidR="00D75B23" w:rsidRPr="008F0CA4">
        <w:rPr>
          <w:rFonts w:eastAsiaTheme="minorEastAsia" w:cstheme="minorHAnsi"/>
          <w:szCs w:val="28"/>
        </w:rPr>
        <w:t xml:space="preserve">impact of Brexit on the divergence of rights across the island of Ireland more generally, rather than the </w:t>
      </w:r>
      <w:r w:rsidR="001F54E4" w:rsidRPr="008F0CA4">
        <w:rPr>
          <w:rFonts w:eastAsiaTheme="minorEastAsia" w:cstheme="minorHAnsi"/>
          <w:szCs w:val="28"/>
        </w:rPr>
        <w:t>specific impact of the Windsor Framework developments</w:t>
      </w:r>
      <w:r w:rsidR="00E50658" w:rsidRPr="008F0CA4">
        <w:rPr>
          <w:rFonts w:eastAsiaTheme="minorEastAsia" w:cstheme="minorHAnsi"/>
          <w:szCs w:val="28"/>
        </w:rPr>
        <w:t xml:space="preserve"> on the</w:t>
      </w:r>
      <w:r w:rsidR="00F24F14" w:rsidRPr="008F0CA4">
        <w:rPr>
          <w:rFonts w:eastAsiaTheme="minorEastAsia" w:cstheme="minorHAnsi"/>
          <w:szCs w:val="28"/>
        </w:rPr>
        <w:t xml:space="preserve"> divergence of rights</w:t>
      </w:r>
      <w:r w:rsidR="001F54E4" w:rsidRPr="008F0CA4">
        <w:rPr>
          <w:rFonts w:eastAsiaTheme="minorEastAsia" w:cstheme="minorHAnsi"/>
          <w:szCs w:val="28"/>
        </w:rPr>
        <w:t>.</w:t>
      </w:r>
      <w:r w:rsidR="003E2923" w:rsidRPr="008F0CA4">
        <w:rPr>
          <w:rFonts w:eastAsiaTheme="minorEastAsia" w:cstheme="minorHAnsi"/>
          <w:szCs w:val="28"/>
        </w:rPr>
        <w:t xml:space="preserve"> </w:t>
      </w:r>
    </w:p>
    <w:p w14:paraId="27E49A0E" w14:textId="18398B3A" w:rsidR="00651999" w:rsidRPr="00AE3968" w:rsidRDefault="003C4BDF" w:rsidP="000B094A">
      <w:pPr>
        <w:pStyle w:val="ListParagraph"/>
        <w:numPr>
          <w:ilvl w:val="1"/>
          <w:numId w:val="8"/>
        </w:numPr>
        <w:spacing w:after="240"/>
        <w:ind w:left="720" w:hanging="720"/>
        <w:contextualSpacing w:val="0"/>
        <w:rPr>
          <w:rFonts w:eastAsiaTheme="minorEastAsia" w:cstheme="minorHAnsi"/>
          <w:szCs w:val="28"/>
        </w:rPr>
      </w:pPr>
      <w:r w:rsidRPr="000B7EB6">
        <w:rPr>
          <w:rFonts w:eastAsiaTheme="minorEastAsia" w:cstheme="minorHAnsi"/>
          <w:szCs w:val="28"/>
        </w:rPr>
        <w:t xml:space="preserve">The Commissions are available to provide an oral briefing on </w:t>
      </w:r>
      <w:r w:rsidR="003A4FC2" w:rsidRPr="000B7EB6">
        <w:rPr>
          <w:rFonts w:eastAsiaTheme="minorEastAsia" w:cstheme="minorHAnsi"/>
          <w:szCs w:val="28"/>
        </w:rPr>
        <w:t xml:space="preserve">our policy recommendations in this </w:t>
      </w:r>
      <w:proofErr w:type="gramStart"/>
      <w:r w:rsidR="003A4FC2" w:rsidRPr="000B7EB6">
        <w:rPr>
          <w:rFonts w:eastAsiaTheme="minorEastAsia" w:cstheme="minorHAnsi"/>
          <w:szCs w:val="28"/>
        </w:rPr>
        <w:t>area</w:t>
      </w:r>
      <w:r w:rsidR="000B094A" w:rsidRPr="000B7EB6">
        <w:rPr>
          <w:rFonts w:eastAsiaTheme="minorEastAsia" w:cstheme="minorHAnsi"/>
          <w:szCs w:val="28"/>
        </w:rPr>
        <w:t xml:space="preserve">, </w:t>
      </w:r>
      <w:r w:rsidRPr="000B7EB6">
        <w:rPr>
          <w:rFonts w:eastAsiaTheme="minorEastAsia" w:cstheme="minorHAnsi"/>
          <w:szCs w:val="28"/>
        </w:rPr>
        <w:t>if</w:t>
      </w:r>
      <w:proofErr w:type="gramEnd"/>
      <w:r w:rsidRPr="000B7EB6">
        <w:rPr>
          <w:rFonts w:eastAsiaTheme="minorEastAsia" w:cstheme="minorHAnsi"/>
          <w:szCs w:val="28"/>
        </w:rPr>
        <w:t xml:space="preserve"> this </w:t>
      </w:r>
      <w:r w:rsidR="000B094A" w:rsidRPr="000B7EB6">
        <w:rPr>
          <w:rFonts w:eastAsiaTheme="minorEastAsia" w:cstheme="minorHAnsi"/>
          <w:szCs w:val="28"/>
        </w:rPr>
        <w:t xml:space="preserve">would be of </w:t>
      </w:r>
      <w:r w:rsidRPr="000B7EB6">
        <w:rPr>
          <w:rFonts w:eastAsiaTheme="minorEastAsia" w:cstheme="minorHAnsi"/>
          <w:szCs w:val="28"/>
        </w:rPr>
        <w:t>further assistance to the Committee.</w:t>
      </w:r>
    </w:p>
    <w:p w14:paraId="1FF76B06" w14:textId="49803C77" w:rsidR="008F0CA4" w:rsidRPr="008F0CA4" w:rsidRDefault="008F0CA4" w:rsidP="00A4685A">
      <w:pPr>
        <w:pStyle w:val="ListParagraph"/>
        <w:spacing w:after="240"/>
        <w:ind w:left="360" w:firstLine="360"/>
        <w:rPr>
          <w:rFonts w:eastAsiaTheme="minorEastAsia" w:cstheme="minorHAnsi"/>
          <w:b/>
          <w:bCs/>
          <w:szCs w:val="28"/>
        </w:rPr>
      </w:pPr>
      <w:r w:rsidRPr="008F0CA4">
        <w:rPr>
          <w:rFonts w:eastAsiaTheme="minorEastAsia" w:cstheme="minorHAnsi"/>
          <w:b/>
          <w:bCs/>
          <w:szCs w:val="28"/>
        </w:rPr>
        <w:t>Recommendations</w:t>
      </w:r>
    </w:p>
    <w:p w14:paraId="78C85843" w14:textId="0C076BB4" w:rsidR="00047770" w:rsidRDefault="0063006B" w:rsidP="009368FD">
      <w:pPr>
        <w:pStyle w:val="ListParagraph"/>
        <w:numPr>
          <w:ilvl w:val="1"/>
          <w:numId w:val="8"/>
        </w:numPr>
        <w:spacing w:after="240"/>
        <w:ind w:left="720" w:hanging="720"/>
        <w:contextualSpacing w:val="0"/>
        <w:rPr>
          <w:rFonts w:eastAsiaTheme="minorEastAsia" w:cstheme="minorHAnsi"/>
          <w:b/>
          <w:bCs/>
          <w:szCs w:val="28"/>
        </w:rPr>
      </w:pPr>
      <w:r w:rsidRPr="0063006B">
        <w:rPr>
          <w:rFonts w:eastAsiaTheme="minorEastAsia" w:cstheme="minorHAnsi"/>
          <w:b/>
          <w:bCs/>
          <w:szCs w:val="28"/>
        </w:rPr>
        <w:t>The Commissions recommend that the UKG and the NI Executive monitor the impact on equality and human rights in NI, of any divergence of rights on the island of Ireland</w:t>
      </w:r>
      <w:r>
        <w:rPr>
          <w:rFonts w:eastAsiaTheme="minorEastAsia" w:cstheme="minorHAnsi"/>
          <w:b/>
          <w:bCs/>
          <w:szCs w:val="28"/>
        </w:rPr>
        <w:t xml:space="preserve"> </w:t>
      </w:r>
      <w:r w:rsidRPr="0063006B">
        <w:rPr>
          <w:rFonts w:eastAsiaTheme="minorEastAsia" w:cstheme="minorHAnsi"/>
          <w:b/>
          <w:bCs/>
          <w:szCs w:val="28"/>
        </w:rPr>
        <w:t>resulting from the Stormont Brake being applied to block EU legislation which would have</w:t>
      </w:r>
      <w:r>
        <w:rPr>
          <w:rFonts w:eastAsiaTheme="minorEastAsia" w:cstheme="minorHAnsi"/>
          <w:b/>
          <w:bCs/>
          <w:szCs w:val="28"/>
        </w:rPr>
        <w:t>, if introduced,</w:t>
      </w:r>
      <w:r w:rsidRPr="0063006B">
        <w:rPr>
          <w:rFonts w:eastAsiaTheme="minorEastAsia" w:cstheme="minorHAnsi"/>
          <w:b/>
          <w:bCs/>
          <w:szCs w:val="28"/>
        </w:rPr>
        <w:t xml:space="preserve"> strengthened equality or human rights.  </w:t>
      </w:r>
    </w:p>
    <w:p w14:paraId="37800DF2" w14:textId="2E0B3109" w:rsidR="009D542C" w:rsidRPr="00735B6D" w:rsidRDefault="008D75E8" w:rsidP="00E810F2">
      <w:pPr>
        <w:pStyle w:val="ListParagraph"/>
        <w:numPr>
          <w:ilvl w:val="1"/>
          <w:numId w:val="8"/>
        </w:numPr>
        <w:spacing w:after="240"/>
        <w:ind w:left="720" w:hanging="720"/>
        <w:contextualSpacing w:val="0"/>
        <w:rPr>
          <w:b/>
          <w:bCs/>
          <w:u w:val="single"/>
        </w:rPr>
      </w:pPr>
      <w:r w:rsidRPr="00735B6D">
        <w:rPr>
          <w:rFonts w:eastAsiaTheme="minorEastAsia" w:cstheme="minorHAnsi"/>
          <w:b/>
          <w:bCs/>
          <w:szCs w:val="28"/>
        </w:rPr>
        <w:t xml:space="preserve">The Commissions </w:t>
      </w:r>
      <w:r w:rsidR="00AB4961" w:rsidRPr="00735B6D">
        <w:rPr>
          <w:rFonts w:eastAsiaTheme="minorEastAsia" w:cstheme="minorHAnsi"/>
          <w:b/>
          <w:bCs/>
          <w:szCs w:val="28"/>
        </w:rPr>
        <w:t xml:space="preserve">recommend </w:t>
      </w:r>
      <w:r w:rsidR="00B93B2E" w:rsidRPr="00735B6D">
        <w:rPr>
          <w:rFonts w:eastAsiaTheme="minorEastAsia" w:cstheme="minorHAnsi"/>
          <w:b/>
          <w:bCs/>
          <w:szCs w:val="28"/>
        </w:rPr>
        <w:t xml:space="preserve">that </w:t>
      </w:r>
      <w:r w:rsidR="00AB4961" w:rsidRPr="00735B6D">
        <w:rPr>
          <w:rFonts w:eastAsiaTheme="minorEastAsia" w:cstheme="minorHAnsi"/>
          <w:b/>
          <w:bCs/>
          <w:szCs w:val="28"/>
        </w:rPr>
        <w:t xml:space="preserve">the </w:t>
      </w:r>
      <w:r w:rsidR="00C713BF" w:rsidRPr="00735B6D">
        <w:rPr>
          <w:rFonts w:eastAsiaTheme="minorEastAsia" w:cstheme="minorHAnsi"/>
          <w:b/>
          <w:bCs/>
          <w:szCs w:val="28"/>
        </w:rPr>
        <w:t>Sub-</w:t>
      </w:r>
      <w:r w:rsidRPr="00735B6D">
        <w:rPr>
          <w:rFonts w:eastAsiaTheme="minorEastAsia" w:cstheme="minorHAnsi"/>
          <w:b/>
          <w:bCs/>
          <w:szCs w:val="28"/>
        </w:rPr>
        <w:t>Committee</w:t>
      </w:r>
      <w:r w:rsidR="00AB0AA4" w:rsidRPr="00735B6D">
        <w:rPr>
          <w:rFonts w:eastAsiaTheme="minorEastAsia" w:cstheme="minorHAnsi"/>
          <w:b/>
          <w:bCs/>
          <w:szCs w:val="28"/>
        </w:rPr>
        <w:t xml:space="preserve"> </w:t>
      </w:r>
      <w:r w:rsidR="00AB4961" w:rsidRPr="00735B6D">
        <w:rPr>
          <w:rFonts w:eastAsiaTheme="minorEastAsia" w:cstheme="minorHAnsi"/>
          <w:b/>
          <w:bCs/>
          <w:szCs w:val="28"/>
        </w:rPr>
        <w:t>consider</w:t>
      </w:r>
      <w:r w:rsidR="00C713BF" w:rsidRPr="00735B6D">
        <w:rPr>
          <w:rFonts w:eastAsiaTheme="minorEastAsia" w:cstheme="minorHAnsi"/>
          <w:b/>
          <w:bCs/>
          <w:szCs w:val="28"/>
        </w:rPr>
        <w:t>s</w:t>
      </w:r>
      <w:r w:rsidR="002C016B" w:rsidRPr="00735B6D">
        <w:rPr>
          <w:rFonts w:eastAsiaTheme="minorEastAsia" w:cstheme="minorHAnsi"/>
          <w:b/>
          <w:bCs/>
          <w:szCs w:val="28"/>
        </w:rPr>
        <w:t xml:space="preserve"> the </w:t>
      </w:r>
      <w:r w:rsidR="00A026AF" w:rsidRPr="00735B6D">
        <w:rPr>
          <w:rFonts w:eastAsiaTheme="minorEastAsia" w:cstheme="minorHAnsi"/>
          <w:b/>
          <w:bCs/>
          <w:szCs w:val="28"/>
        </w:rPr>
        <w:t xml:space="preserve">recommendations set out in </w:t>
      </w:r>
      <w:r w:rsidR="00C713BF" w:rsidRPr="00735B6D">
        <w:rPr>
          <w:rFonts w:eastAsiaTheme="minorEastAsia" w:cstheme="minorHAnsi"/>
          <w:b/>
          <w:bCs/>
          <w:szCs w:val="28"/>
        </w:rPr>
        <w:t>their</w:t>
      </w:r>
      <w:r w:rsidR="00A026AF" w:rsidRPr="00735B6D">
        <w:rPr>
          <w:rFonts w:eastAsiaTheme="minorEastAsia" w:cstheme="minorHAnsi"/>
          <w:b/>
          <w:bCs/>
          <w:szCs w:val="28"/>
        </w:rPr>
        <w:t xml:space="preserve"> </w:t>
      </w:r>
      <w:r w:rsidR="000C1399" w:rsidRPr="00735B6D">
        <w:rPr>
          <w:b/>
          <w:bCs/>
          <w:i/>
          <w:iCs/>
        </w:rPr>
        <w:t>Policy recommendations</w:t>
      </w:r>
      <w:r w:rsidR="00C713BF" w:rsidRPr="00735B6D">
        <w:rPr>
          <w:b/>
          <w:bCs/>
          <w:i/>
          <w:iCs/>
        </w:rPr>
        <w:t>:</w:t>
      </w:r>
      <w:r w:rsidR="000C1399" w:rsidRPr="00735B6D">
        <w:rPr>
          <w:b/>
          <w:bCs/>
          <w:i/>
          <w:iCs/>
        </w:rPr>
        <w:t xml:space="preserve"> EU developments in equality and human rights</w:t>
      </w:r>
      <w:r w:rsidR="000C1399" w:rsidRPr="00735B6D">
        <w:rPr>
          <w:rFonts w:eastAsiaTheme="minorEastAsia" w:cstheme="minorHAnsi"/>
          <w:b/>
          <w:bCs/>
          <w:szCs w:val="28"/>
        </w:rPr>
        <w:t xml:space="preserve"> </w:t>
      </w:r>
      <w:r w:rsidR="00FD5FB4" w:rsidRPr="00735B6D">
        <w:rPr>
          <w:rFonts w:eastAsiaTheme="minorEastAsia" w:cstheme="minorHAnsi"/>
          <w:b/>
          <w:bCs/>
          <w:szCs w:val="28"/>
        </w:rPr>
        <w:t xml:space="preserve">which </w:t>
      </w:r>
      <w:r w:rsidR="00F24F14" w:rsidRPr="00735B6D">
        <w:rPr>
          <w:rFonts w:eastAsiaTheme="minorEastAsia" w:cstheme="minorHAnsi"/>
          <w:b/>
          <w:bCs/>
          <w:szCs w:val="28"/>
        </w:rPr>
        <w:t xml:space="preserve">relate to the broader context of the increasing </w:t>
      </w:r>
      <w:r w:rsidR="00505D43" w:rsidRPr="00735B6D">
        <w:rPr>
          <w:rFonts w:eastAsiaTheme="minorEastAsia" w:cstheme="minorHAnsi"/>
          <w:b/>
          <w:bCs/>
          <w:szCs w:val="28"/>
        </w:rPr>
        <w:t xml:space="preserve">divergence of </w:t>
      </w:r>
      <w:r w:rsidR="00B93B2E" w:rsidRPr="00735B6D">
        <w:rPr>
          <w:rFonts w:eastAsiaTheme="minorEastAsia" w:cstheme="minorHAnsi"/>
          <w:b/>
          <w:bCs/>
          <w:szCs w:val="28"/>
        </w:rPr>
        <w:t xml:space="preserve">equality and human </w:t>
      </w:r>
      <w:r w:rsidR="00505D43" w:rsidRPr="00735B6D">
        <w:rPr>
          <w:rFonts w:eastAsiaTheme="minorEastAsia" w:cstheme="minorHAnsi"/>
          <w:b/>
          <w:bCs/>
          <w:szCs w:val="28"/>
        </w:rPr>
        <w:t>rights on the island of Ireland</w:t>
      </w:r>
      <w:r w:rsidR="00F24F14" w:rsidRPr="00735B6D">
        <w:rPr>
          <w:rFonts w:eastAsiaTheme="minorEastAsia" w:cstheme="minorHAnsi"/>
          <w:b/>
          <w:bCs/>
          <w:szCs w:val="28"/>
        </w:rPr>
        <w:t xml:space="preserve"> post Brexit</w:t>
      </w:r>
      <w:r w:rsidR="002C016B" w:rsidRPr="00735B6D">
        <w:rPr>
          <w:rFonts w:eastAsiaTheme="minorEastAsia" w:cstheme="minorHAnsi"/>
          <w:b/>
          <w:bCs/>
          <w:szCs w:val="28"/>
        </w:rPr>
        <w:t>.</w:t>
      </w:r>
      <w:r w:rsidR="003611F3" w:rsidRPr="00735B6D">
        <w:rPr>
          <w:rFonts w:eastAsiaTheme="minorEastAsia" w:cstheme="minorHAnsi"/>
          <w:b/>
          <w:bCs/>
          <w:szCs w:val="28"/>
        </w:rPr>
        <w:t xml:space="preserve"> </w:t>
      </w:r>
    </w:p>
    <w:p w14:paraId="6B9AE3BA" w14:textId="75CF947A" w:rsidR="007B1B2A" w:rsidRPr="00683684" w:rsidRDefault="008F0CA4" w:rsidP="00683684">
      <w:pPr>
        <w:rPr>
          <w:b/>
          <w:bCs/>
        </w:rPr>
      </w:pPr>
      <w:bookmarkStart w:id="8" w:name="_Toc133911787"/>
      <w:r w:rsidRPr="00297166">
        <w:rPr>
          <w:rStyle w:val="Heading3Char"/>
        </w:rPr>
        <w:t>The democratic deficit and the ‘Stormont Brake’</w:t>
      </w:r>
      <w:bookmarkEnd w:id="8"/>
      <w:r w:rsidRPr="00683684">
        <w:rPr>
          <w:b/>
          <w:bCs/>
        </w:rPr>
        <w:t>: Question 16. What is your assessment of the proposed Stormont Brake and the conditions for its use, including that an EU act “would have a significant impact specific to everyday life of communities in Northern Ireland in a way that is liable to persist”? To what extent will this address the democratic deficit under the Protocol? What practical, political and legal factors need to be borne in mind in terms of its use and operation, including the Government’s commitment to bring forward legislation to give effect to the Stormont Brake, and the EU’s ability to take “appropriate remedial measures” in response to a UK veto?</w:t>
      </w:r>
    </w:p>
    <w:p w14:paraId="6765C121" w14:textId="5520EFC3" w:rsidR="00A504B9" w:rsidRPr="00683684" w:rsidRDefault="00A504B9" w:rsidP="00683684">
      <w:pPr>
        <w:spacing w:after="240"/>
        <w:rPr>
          <w:rFonts w:eastAsiaTheme="minorEastAsia" w:cstheme="minorHAnsi"/>
          <w:b/>
          <w:bCs/>
          <w:szCs w:val="28"/>
        </w:rPr>
      </w:pPr>
      <w:r w:rsidRPr="00683684">
        <w:rPr>
          <w:rFonts w:eastAsiaTheme="minorEastAsia" w:cstheme="minorHAnsi"/>
          <w:b/>
          <w:bCs/>
          <w:szCs w:val="28"/>
        </w:rPr>
        <w:t xml:space="preserve">Response </w:t>
      </w:r>
    </w:p>
    <w:p w14:paraId="6D3C6D3C" w14:textId="7E0EC11C" w:rsidR="008F0CA4" w:rsidRDefault="008F0CA4" w:rsidP="008F0CA4">
      <w:pPr>
        <w:pStyle w:val="ListParagraph"/>
        <w:numPr>
          <w:ilvl w:val="1"/>
          <w:numId w:val="8"/>
        </w:numPr>
        <w:spacing w:after="240"/>
        <w:ind w:left="720" w:hanging="720"/>
        <w:contextualSpacing w:val="0"/>
        <w:rPr>
          <w:rFonts w:eastAsiaTheme="minorEastAsia" w:cstheme="minorHAnsi"/>
          <w:szCs w:val="28"/>
        </w:rPr>
      </w:pPr>
      <w:r w:rsidRPr="008F0CA4">
        <w:rPr>
          <w:rFonts w:eastAsiaTheme="minorEastAsia" w:cstheme="minorHAnsi"/>
          <w:szCs w:val="28"/>
        </w:rPr>
        <w:t>W</w:t>
      </w:r>
      <w:r>
        <w:rPr>
          <w:rFonts w:eastAsiaTheme="minorEastAsia" w:cstheme="minorHAnsi"/>
          <w:szCs w:val="28"/>
        </w:rPr>
        <w:t>hilst</w:t>
      </w:r>
      <w:r w:rsidRPr="008F0CA4">
        <w:t xml:space="preserve"> </w:t>
      </w:r>
      <w:r w:rsidRPr="008F0CA4">
        <w:rPr>
          <w:rFonts w:eastAsiaTheme="minorEastAsia" w:cstheme="minorHAnsi"/>
          <w:szCs w:val="28"/>
        </w:rPr>
        <w:t xml:space="preserve">we welcome, as stated above, </w:t>
      </w:r>
      <w:r w:rsidR="00E76AE8">
        <w:rPr>
          <w:rFonts w:eastAsiaTheme="minorEastAsia" w:cstheme="minorHAnsi"/>
          <w:szCs w:val="28"/>
        </w:rPr>
        <w:t xml:space="preserve">the fact </w:t>
      </w:r>
      <w:r w:rsidRPr="008F0CA4">
        <w:rPr>
          <w:rFonts w:eastAsiaTheme="minorEastAsia" w:cstheme="minorHAnsi"/>
          <w:szCs w:val="28"/>
        </w:rPr>
        <w:t xml:space="preserve">that the changes, introduced by the Windsor Framework, to the original Protocol Article 13 do not apply to the Windsor Framework Annex 1 equality Directives, </w:t>
      </w:r>
      <w:r w:rsidRPr="008F0CA4">
        <w:rPr>
          <w:rFonts w:eastAsiaTheme="minorEastAsia" w:cstheme="minorHAnsi"/>
          <w:szCs w:val="28"/>
        </w:rPr>
        <w:lastRenderedPageBreak/>
        <w:t>we consider that there is the potential for the ‘Stormont Brake’ mechanism as regards certain EU law in the Windsor Framework Annex 2 to have implications for equality and human rights in N</w:t>
      </w:r>
      <w:r w:rsidR="008641A2">
        <w:rPr>
          <w:rFonts w:eastAsiaTheme="minorEastAsia" w:cstheme="minorHAnsi"/>
          <w:szCs w:val="28"/>
        </w:rPr>
        <w:t>I</w:t>
      </w:r>
      <w:r w:rsidRPr="008F0CA4">
        <w:rPr>
          <w:rFonts w:eastAsiaTheme="minorEastAsia" w:cstheme="minorHAnsi"/>
          <w:szCs w:val="28"/>
        </w:rPr>
        <w:t>.</w:t>
      </w:r>
    </w:p>
    <w:p w14:paraId="2B573C85" w14:textId="70435BB3" w:rsidR="003A6970" w:rsidRDefault="003A6970" w:rsidP="00A13D49">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In particular, there a number of EU measures (Directives and Reg</w:t>
      </w:r>
      <w:r w:rsidR="000B486B" w:rsidRPr="00A13D49">
        <w:rPr>
          <w:rFonts w:eastAsiaTheme="minorEastAsia" w:cstheme="minorHAnsi"/>
          <w:szCs w:val="28"/>
        </w:rPr>
        <w:t>ulation</w:t>
      </w:r>
      <w:r w:rsidRPr="00A13D49">
        <w:rPr>
          <w:rFonts w:eastAsiaTheme="minorEastAsia" w:cstheme="minorHAnsi"/>
          <w:szCs w:val="28"/>
        </w:rPr>
        <w:t xml:space="preserve">s) listed in </w:t>
      </w:r>
      <w:r w:rsidR="000B486B" w:rsidRPr="00A13D49">
        <w:rPr>
          <w:rFonts w:eastAsiaTheme="minorEastAsia" w:cstheme="minorHAnsi"/>
          <w:szCs w:val="28"/>
        </w:rPr>
        <w:t xml:space="preserve">Windsor Framework </w:t>
      </w:r>
      <w:r w:rsidRPr="00A13D49">
        <w:rPr>
          <w:rFonts w:eastAsiaTheme="minorEastAsia" w:cstheme="minorHAnsi"/>
          <w:szCs w:val="28"/>
        </w:rPr>
        <w:t>Annex 2</w:t>
      </w:r>
      <w:r w:rsidR="0016755C">
        <w:rPr>
          <w:rStyle w:val="FootnoteReference"/>
          <w:rFonts w:eastAsiaTheme="minorEastAsia" w:cstheme="minorHAnsi"/>
          <w:szCs w:val="28"/>
        </w:rPr>
        <w:footnoteReference w:id="10"/>
      </w:r>
      <w:r w:rsidR="003F3C8E">
        <w:rPr>
          <w:rFonts w:eastAsiaTheme="minorEastAsia" w:cstheme="minorHAnsi"/>
          <w:szCs w:val="28"/>
        </w:rPr>
        <w:t>,</w:t>
      </w:r>
      <w:r w:rsidRPr="00A13D49">
        <w:rPr>
          <w:rFonts w:eastAsiaTheme="minorEastAsia" w:cstheme="minorHAnsi"/>
          <w:szCs w:val="28"/>
        </w:rPr>
        <w:t xml:space="preserve">  which will be subject to the Stormont Br</w:t>
      </w:r>
      <w:r w:rsidR="0018457B" w:rsidRPr="00A13D49">
        <w:rPr>
          <w:rFonts w:eastAsiaTheme="minorEastAsia" w:cstheme="minorHAnsi"/>
          <w:szCs w:val="28"/>
        </w:rPr>
        <w:t>a</w:t>
      </w:r>
      <w:r w:rsidRPr="00A13D49">
        <w:rPr>
          <w:rFonts w:eastAsiaTheme="minorEastAsia" w:cstheme="minorHAnsi"/>
          <w:szCs w:val="28"/>
        </w:rPr>
        <w:t>k</w:t>
      </w:r>
      <w:r w:rsidR="0018457B" w:rsidRPr="00A13D49">
        <w:rPr>
          <w:rFonts w:eastAsiaTheme="minorEastAsia" w:cstheme="minorHAnsi"/>
          <w:szCs w:val="28"/>
        </w:rPr>
        <w:t>e</w:t>
      </w:r>
      <w:r w:rsidRPr="00A13D49">
        <w:rPr>
          <w:rFonts w:eastAsiaTheme="minorEastAsia" w:cstheme="minorHAnsi"/>
          <w:szCs w:val="28"/>
        </w:rPr>
        <w:t>, and which the Commission</w:t>
      </w:r>
      <w:r w:rsidR="002834DA" w:rsidRPr="00A13D49">
        <w:rPr>
          <w:rFonts w:eastAsiaTheme="minorEastAsia" w:cstheme="minorHAnsi"/>
          <w:szCs w:val="28"/>
        </w:rPr>
        <w:t xml:space="preserve">s </w:t>
      </w:r>
      <w:r w:rsidRPr="00A13D49">
        <w:rPr>
          <w:rFonts w:eastAsiaTheme="minorEastAsia" w:cstheme="minorHAnsi"/>
          <w:szCs w:val="28"/>
        </w:rPr>
        <w:t>ha</w:t>
      </w:r>
      <w:r w:rsidR="002834DA" w:rsidRPr="00A13D49">
        <w:rPr>
          <w:rFonts w:eastAsiaTheme="minorEastAsia" w:cstheme="minorHAnsi"/>
          <w:szCs w:val="28"/>
        </w:rPr>
        <w:t>ve</w:t>
      </w:r>
      <w:r w:rsidRPr="00A13D49">
        <w:rPr>
          <w:rFonts w:eastAsiaTheme="minorEastAsia" w:cstheme="minorHAnsi"/>
          <w:szCs w:val="28"/>
        </w:rPr>
        <w:t xml:space="preserve"> identified in their </w:t>
      </w:r>
      <w:r w:rsidR="00E35298">
        <w:rPr>
          <w:rFonts w:eastAsiaTheme="minorEastAsia" w:cstheme="minorHAnsi"/>
          <w:szCs w:val="28"/>
        </w:rPr>
        <w:t>W</w:t>
      </w:r>
      <w:r w:rsidRPr="00A13D49">
        <w:rPr>
          <w:rFonts w:eastAsiaTheme="minorEastAsia" w:cstheme="minorHAnsi"/>
          <w:szCs w:val="28"/>
        </w:rPr>
        <w:t>orking paper on the scope of Article 2</w:t>
      </w:r>
      <w:r w:rsidR="002834DA">
        <w:rPr>
          <w:rStyle w:val="FootnoteReference"/>
          <w:rFonts w:eastAsiaTheme="minorEastAsia" w:cstheme="minorHAnsi"/>
          <w:szCs w:val="28"/>
        </w:rPr>
        <w:footnoteReference w:id="11"/>
      </w:r>
      <w:r w:rsidRPr="00A13D49">
        <w:rPr>
          <w:rFonts w:eastAsiaTheme="minorEastAsia" w:cstheme="minorHAnsi"/>
          <w:szCs w:val="28"/>
        </w:rPr>
        <w:t xml:space="preserve">, as </w:t>
      </w:r>
      <w:r w:rsidR="005C38D6">
        <w:rPr>
          <w:rFonts w:eastAsiaTheme="minorEastAsia" w:cstheme="minorHAnsi"/>
          <w:szCs w:val="28"/>
        </w:rPr>
        <w:t>falling</w:t>
      </w:r>
      <w:r w:rsidRPr="00A13D49">
        <w:rPr>
          <w:rFonts w:eastAsiaTheme="minorEastAsia" w:cstheme="minorHAnsi"/>
          <w:szCs w:val="28"/>
        </w:rPr>
        <w:t xml:space="preserve"> within scope of the </w:t>
      </w:r>
      <w:r w:rsidR="00B42ADD" w:rsidRPr="00A13D49">
        <w:rPr>
          <w:rFonts w:eastAsiaTheme="minorEastAsia" w:cstheme="minorHAnsi"/>
          <w:szCs w:val="28"/>
        </w:rPr>
        <w:t xml:space="preserve">Windsor Framework </w:t>
      </w:r>
      <w:r w:rsidRPr="00A13D49">
        <w:rPr>
          <w:rFonts w:eastAsiaTheme="minorEastAsia" w:cstheme="minorHAnsi"/>
          <w:szCs w:val="28"/>
        </w:rPr>
        <w:t xml:space="preserve">Article 2 ‘non-diminution’ commitment. </w:t>
      </w:r>
    </w:p>
    <w:p w14:paraId="1A7554E1" w14:textId="7B60C5FF" w:rsidR="00394C04" w:rsidRDefault="003A6970" w:rsidP="00A13D49">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We had therefore identified </w:t>
      </w:r>
      <w:r w:rsidRPr="00A13D49">
        <w:rPr>
          <w:rFonts w:eastAsiaTheme="minorEastAsia" w:cstheme="minorHAnsi"/>
          <w:i/>
          <w:iCs/>
          <w:szCs w:val="28"/>
        </w:rPr>
        <w:t>some</w:t>
      </w:r>
      <w:r w:rsidRPr="00A13D49">
        <w:rPr>
          <w:rFonts w:eastAsiaTheme="minorEastAsia" w:cstheme="minorHAnsi"/>
          <w:szCs w:val="28"/>
        </w:rPr>
        <w:t xml:space="preserve"> of the provisions of these EU laws </w:t>
      </w:r>
      <w:r w:rsidR="00024858">
        <w:rPr>
          <w:rFonts w:eastAsiaTheme="minorEastAsia" w:cstheme="minorHAnsi"/>
          <w:szCs w:val="28"/>
        </w:rPr>
        <w:t xml:space="preserve">as </w:t>
      </w:r>
      <w:r w:rsidRPr="00A13D49">
        <w:rPr>
          <w:rFonts w:eastAsiaTheme="minorEastAsia" w:cstheme="minorHAnsi"/>
          <w:szCs w:val="28"/>
        </w:rPr>
        <w:t>fall</w:t>
      </w:r>
      <w:r w:rsidR="00024858">
        <w:rPr>
          <w:rFonts w:eastAsiaTheme="minorEastAsia" w:cstheme="minorHAnsi"/>
          <w:szCs w:val="28"/>
        </w:rPr>
        <w:t>ing</w:t>
      </w:r>
      <w:r w:rsidRPr="00A13D49">
        <w:rPr>
          <w:rFonts w:eastAsiaTheme="minorEastAsia" w:cstheme="minorHAnsi"/>
          <w:szCs w:val="28"/>
        </w:rPr>
        <w:t xml:space="preserve"> within the scope of the right to ‘equality of opportunity etc’ in the relevant Chapter of the Belfast</w:t>
      </w:r>
      <w:r w:rsidR="00B42ADD" w:rsidRPr="00A13D49">
        <w:rPr>
          <w:rFonts w:eastAsiaTheme="minorEastAsia" w:cstheme="minorHAnsi"/>
          <w:szCs w:val="28"/>
        </w:rPr>
        <w:t xml:space="preserve"> (</w:t>
      </w:r>
      <w:r w:rsidRPr="00A13D49">
        <w:rPr>
          <w:rFonts w:eastAsiaTheme="minorEastAsia" w:cstheme="minorHAnsi"/>
          <w:szCs w:val="28"/>
        </w:rPr>
        <w:t>Good Friday</w:t>
      </w:r>
      <w:r w:rsidR="00B42ADD" w:rsidRPr="00A13D49">
        <w:rPr>
          <w:rFonts w:eastAsiaTheme="minorEastAsia" w:cstheme="minorHAnsi"/>
          <w:szCs w:val="28"/>
        </w:rPr>
        <w:t>)</w:t>
      </w:r>
      <w:r w:rsidRPr="00A13D49">
        <w:rPr>
          <w:rFonts w:eastAsiaTheme="minorEastAsia" w:cstheme="minorHAnsi"/>
          <w:szCs w:val="28"/>
        </w:rPr>
        <w:t xml:space="preserve"> Agreement, and therefore relevant to the protection of the rights of equality groups; </w:t>
      </w:r>
      <w:r w:rsidR="00394C04" w:rsidRPr="00A13D49">
        <w:rPr>
          <w:rFonts w:eastAsiaTheme="minorEastAsia" w:cstheme="minorHAnsi"/>
          <w:szCs w:val="28"/>
        </w:rPr>
        <w:t xml:space="preserve">including for </w:t>
      </w:r>
      <w:r w:rsidRPr="00A13D49">
        <w:rPr>
          <w:rFonts w:eastAsiaTheme="minorEastAsia" w:cstheme="minorHAnsi"/>
          <w:szCs w:val="28"/>
        </w:rPr>
        <w:t xml:space="preserve">disabled people in terms of accessibility standards. </w:t>
      </w:r>
    </w:p>
    <w:p w14:paraId="4CB97EA7" w14:textId="26119158" w:rsidR="003A6970" w:rsidRDefault="00394C04" w:rsidP="00A13D49">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For</w:t>
      </w:r>
      <w:r w:rsidR="003A6970" w:rsidRPr="00A13D49">
        <w:rPr>
          <w:rFonts w:eastAsiaTheme="minorEastAsia" w:cstheme="minorHAnsi"/>
          <w:szCs w:val="28"/>
        </w:rPr>
        <w:t xml:space="preserve"> example</w:t>
      </w:r>
      <w:r w:rsidRPr="00A13D49">
        <w:rPr>
          <w:rFonts w:eastAsiaTheme="minorEastAsia" w:cstheme="minorHAnsi"/>
          <w:szCs w:val="28"/>
        </w:rPr>
        <w:t xml:space="preserve">, Article 24 of </w:t>
      </w:r>
      <w:r w:rsidR="003A6970" w:rsidRPr="00A13D49">
        <w:rPr>
          <w:rFonts w:eastAsiaTheme="minorEastAsia" w:cstheme="minorHAnsi"/>
          <w:szCs w:val="28"/>
        </w:rPr>
        <w:t>Directive 2006/42/EC of the European Parliament and of the Council of 17 May 2006 on machinery, and amending Directive 95/16/EC</w:t>
      </w:r>
      <w:r w:rsidRPr="00A13D49">
        <w:rPr>
          <w:rFonts w:eastAsiaTheme="minorEastAsia" w:cstheme="minorHAnsi"/>
          <w:szCs w:val="28"/>
        </w:rPr>
        <w:t xml:space="preserve">, </w:t>
      </w:r>
      <w:r w:rsidR="003A6970" w:rsidRPr="00A13D49">
        <w:rPr>
          <w:rFonts w:eastAsiaTheme="minorEastAsia" w:cstheme="minorHAnsi"/>
          <w:szCs w:val="28"/>
        </w:rPr>
        <w:t xml:space="preserve">amends the law on the manufacture of lifts in relation to access for, and use by, disabled people. </w:t>
      </w:r>
    </w:p>
    <w:p w14:paraId="033C9953" w14:textId="02A96F38" w:rsidR="003A6970" w:rsidRDefault="003A6970"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Under provisions in the </w:t>
      </w:r>
      <w:r w:rsidR="00394C04" w:rsidRPr="00A13D49">
        <w:rPr>
          <w:rFonts w:eastAsiaTheme="minorEastAsia" w:cstheme="minorHAnsi"/>
          <w:szCs w:val="28"/>
        </w:rPr>
        <w:t xml:space="preserve">original </w:t>
      </w:r>
      <w:r w:rsidRPr="00A13D49">
        <w:rPr>
          <w:rFonts w:eastAsiaTheme="minorEastAsia" w:cstheme="minorHAnsi"/>
          <w:szCs w:val="28"/>
        </w:rPr>
        <w:t xml:space="preserve">Protocol, any future EU changes to these Regulations/Directives would have been subject to the ‘keeping pace’ </w:t>
      </w:r>
      <w:r w:rsidRPr="00A13D49">
        <w:rPr>
          <w:rFonts w:eastAsiaTheme="minorEastAsia" w:cstheme="minorHAnsi"/>
          <w:szCs w:val="28"/>
        </w:rPr>
        <w:lastRenderedPageBreak/>
        <w:t xml:space="preserve">requirement under </w:t>
      </w:r>
      <w:r w:rsidR="00394C04" w:rsidRPr="00A13D49">
        <w:rPr>
          <w:rFonts w:eastAsiaTheme="minorEastAsia" w:cstheme="minorHAnsi"/>
          <w:szCs w:val="28"/>
        </w:rPr>
        <w:t xml:space="preserve">original </w:t>
      </w:r>
      <w:r w:rsidRPr="00A13D49">
        <w:rPr>
          <w:rFonts w:eastAsiaTheme="minorEastAsia" w:cstheme="minorHAnsi"/>
          <w:szCs w:val="28"/>
        </w:rPr>
        <w:t>Protocol Art</w:t>
      </w:r>
      <w:r w:rsidR="00394C04" w:rsidRPr="00A13D49">
        <w:rPr>
          <w:rFonts w:eastAsiaTheme="minorEastAsia" w:cstheme="minorHAnsi"/>
          <w:szCs w:val="28"/>
        </w:rPr>
        <w:t>icle</w:t>
      </w:r>
      <w:r w:rsidRPr="00A13D49">
        <w:rPr>
          <w:rFonts w:eastAsiaTheme="minorEastAsia" w:cstheme="minorHAnsi"/>
          <w:szCs w:val="28"/>
        </w:rPr>
        <w:t xml:space="preserve"> 13 (3) and automatically applied to NI; though subject to the democratic consent arrangements that applied in the </w:t>
      </w:r>
      <w:r w:rsidR="00394C04" w:rsidRPr="00A13D49">
        <w:rPr>
          <w:rFonts w:eastAsiaTheme="minorEastAsia" w:cstheme="minorHAnsi"/>
          <w:szCs w:val="28"/>
        </w:rPr>
        <w:t xml:space="preserve">original </w:t>
      </w:r>
      <w:r w:rsidRPr="00A13D49">
        <w:rPr>
          <w:rFonts w:eastAsiaTheme="minorEastAsia" w:cstheme="minorHAnsi"/>
          <w:szCs w:val="28"/>
        </w:rPr>
        <w:t xml:space="preserve">Protocol. </w:t>
      </w:r>
    </w:p>
    <w:p w14:paraId="46D2B1A9" w14:textId="282E2367" w:rsidR="003A6970" w:rsidRDefault="003A6970"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Depending on the exact provisions of any future EU changes to these EU laws, this may have resulted in changes to NI law that could have benefitted equality groups. </w:t>
      </w:r>
    </w:p>
    <w:p w14:paraId="1BF67631" w14:textId="622615A0" w:rsidR="003A6970" w:rsidRDefault="003A6970"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As a result of the Windsor Framework, there is the potential for the Stormont Brake mechanism to apply to these provisions and for the UK Government to block, </w:t>
      </w:r>
      <w:r w:rsidR="0063006B">
        <w:rPr>
          <w:rFonts w:eastAsiaTheme="minorEastAsia" w:cstheme="minorHAnsi"/>
          <w:szCs w:val="28"/>
        </w:rPr>
        <w:t xml:space="preserve">subject to a finding of non-compliance </w:t>
      </w:r>
      <w:r w:rsidRPr="00A13D49">
        <w:rPr>
          <w:rFonts w:eastAsiaTheme="minorEastAsia" w:cstheme="minorHAnsi"/>
          <w:szCs w:val="28"/>
        </w:rPr>
        <w:t>by the arbitration panel, the application of a</w:t>
      </w:r>
      <w:r w:rsidR="00725EE5" w:rsidRPr="00A13D49">
        <w:rPr>
          <w:rFonts w:eastAsiaTheme="minorEastAsia" w:cstheme="minorHAnsi"/>
          <w:szCs w:val="28"/>
        </w:rPr>
        <w:t>n</w:t>
      </w:r>
      <w:r w:rsidRPr="00A13D49">
        <w:rPr>
          <w:rFonts w:eastAsiaTheme="minorEastAsia" w:cstheme="minorHAnsi"/>
          <w:szCs w:val="28"/>
        </w:rPr>
        <w:t xml:space="preserve"> EU rule that amends/ replaces certain EU law within </w:t>
      </w:r>
      <w:r w:rsidR="00394C04" w:rsidRPr="00A13D49">
        <w:rPr>
          <w:rFonts w:eastAsiaTheme="minorEastAsia" w:cstheme="minorHAnsi"/>
          <w:szCs w:val="28"/>
        </w:rPr>
        <w:t xml:space="preserve">Windsor Framework </w:t>
      </w:r>
      <w:r w:rsidRPr="00A13D49">
        <w:rPr>
          <w:rFonts w:eastAsiaTheme="minorEastAsia" w:cstheme="minorHAnsi"/>
          <w:szCs w:val="28"/>
        </w:rPr>
        <w:t xml:space="preserve">Annex 2, and the accompanying </w:t>
      </w:r>
      <w:r w:rsidR="00104208" w:rsidRPr="00A13D49">
        <w:rPr>
          <w:rFonts w:eastAsiaTheme="minorEastAsia" w:cstheme="minorHAnsi"/>
          <w:szCs w:val="28"/>
        </w:rPr>
        <w:t>Court of Justice of the EU (</w:t>
      </w:r>
      <w:r w:rsidRPr="00A13D49">
        <w:rPr>
          <w:rFonts w:eastAsiaTheme="minorEastAsia" w:cstheme="minorHAnsi"/>
          <w:szCs w:val="28"/>
        </w:rPr>
        <w:t>CJEU</w:t>
      </w:r>
      <w:r w:rsidR="00104208" w:rsidRPr="00A13D49">
        <w:rPr>
          <w:rFonts w:eastAsiaTheme="minorEastAsia" w:cstheme="minorHAnsi"/>
          <w:szCs w:val="28"/>
        </w:rPr>
        <w:t>)</w:t>
      </w:r>
      <w:r w:rsidRPr="00A13D49">
        <w:rPr>
          <w:rFonts w:eastAsiaTheme="minorEastAsia" w:cstheme="minorHAnsi"/>
          <w:szCs w:val="28"/>
        </w:rPr>
        <w:t xml:space="preserve"> interpretation.</w:t>
      </w:r>
    </w:p>
    <w:p w14:paraId="23C52A39" w14:textId="7CA6E4A6" w:rsidR="005E0FEC" w:rsidRDefault="001773A0"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It is therefore vital </w:t>
      </w:r>
      <w:r w:rsidR="005E0FEC" w:rsidRPr="00A13D49">
        <w:rPr>
          <w:rFonts w:eastAsiaTheme="minorEastAsia" w:cstheme="minorHAnsi"/>
          <w:szCs w:val="28"/>
        </w:rPr>
        <w:t>that equality and human rights considerations are built into all key stages of the ‘Stormont Brake’ mechanism, including inquiries by the WFDS Committee.</w:t>
      </w:r>
    </w:p>
    <w:p w14:paraId="2AF62FAA" w14:textId="647B92D2"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Further, in terms of any </w:t>
      </w:r>
      <w:r w:rsidR="00D603B7" w:rsidRPr="00A13D49">
        <w:rPr>
          <w:rFonts w:eastAsiaTheme="minorEastAsia" w:cstheme="minorHAnsi"/>
          <w:szCs w:val="28"/>
        </w:rPr>
        <w:t xml:space="preserve">WFDS </w:t>
      </w:r>
      <w:r w:rsidRPr="00A13D49">
        <w:rPr>
          <w:rFonts w:eastAsiaTheme="minorEastAsia" w:cstheme="minorHAnsi"/>
          <w:szCs w:val="28"/>
        </w:rPr>
        <w:t>Committee inquiry into a replacement EU act, we note that the Committee must ‘seek substantive discussion and engagement’, ‘to the extent it considers appropriate’ with business and civil society affected.</w:t>
      </w:r>
    </w:p>
    <w:p w14:paraId="418F4C13" w14:textId="150DBBE6"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In deciding who to engage with, </w:t>
      </w:r>
      <w:r w:rsidR="00D603B7" w:rsidRPr="00A13D49">
        <w:rPr>
          <w:rFonts w:eastAsiaTheme="minorEastAsia" w:cstheme="minorHAnsi"/>
          <w:szCs w:val="28"/>
        </w:rPr>
        <w:t xml:space="preserve">it is essential </w:t>
      </w:r>
      <w:r w:rsidRPr="00A13D49">
        <w:rPr>
          <w:rFonts w:eastAsiaTheme="minorEastAsia" w:cstheme="minorHAnsi"/>
          <w:szCs w:val="28"/>
        </w:rPr>
        <w:t xml:space="preserve">that the Committee </w:t>
      </w:r>
      <w:proofErr w:type="gramStart"/>
      <w:r w:rsidRPr="00A13D49">
        <w:rPr>
          <w:rFonts w:eastAsiaTheme="minorEastAsia" w:cstheme="minorHAnsi"/>
          <w:szCs w:val="28"/>
        </w:rPr>
        <w:t>give</w:t>
      </w:r>
      <w:r w:rsidR="00D603B7" w:rsidRPr="00A13D49">
        <w:rPr>
          <w:rFonts w:eastAsiaTheme="minorEastAsia" w:cstheme="minorHAnsi"/>
          <w:szCs w:val="28"/>
        </w:rPr>
        <w:t>s</w:t>
      </w:r>
      <w:r w:rsidRPr="00A13D49">
        <w:rPr>
          <w:rFonts w:eastAsiaTheme="minorEastAsia" w:cstheme="minorHAnsi"/>
          <w:szCs w:val="28"/>
        </w:rPr>
        <w:t xml:space="preserve"> consideration to</w:t>
      </w:r>
      <w:proofErr w:type="gramEnd"/>
      <w:r w:rsidRPr="00A13D49">
        <w:rPr>
          <w:rFonts w:eastAsiaTheme="minorEastAsia" w:cstheme="minorHAnsi"/>
          <w:szCs w:val="28"/>
        </w:rPr>
        <w:t xml:space="preserve"> the impact or potential impact of that replacement EU act on the promotion and protection of equality and human rights in N</w:t>
      </w:r>
      <w:r w:rsidR="00B0003B">
        <w:rPr>
          <w:rFonts w:eastAsiaTheme="minorEastAsia" w:cstheme="minorHAnsi"/>
          <w:szCs w:val="28"/>
        </w:rPr>
        <w:t>I</w:t>
      </w:r>
      <w:r w:rsidRPr="00A13D49">
        <w:rPr>
          <w:rFonts w:eastAsiaTheme="minorEastAsia" w:cstheme="minorHAnsi"/>
          <w:szCs w:val="28"/>
        </w:rPr>
        <w:t xml:space="preserve">. Where there is an impact or potential impact, </w:t>
      </w:r>
      <w:r w:rsidR="00D603B7" w:rsidRPr="00A13D49">
        <w:rPr>
          <w:rFonts w:eastAsiaTheme="minorEastAsia" w:cstheme="minorHAnsi"/>
          <w:szCs w:val="28"/>
        </w:rPr>
        <w:t>it is important</w:t>
      </w:r>
      <w:r w:rsidRPr="00A13D49">
        <w:rPr>
          <w:rFonts w:eastAsiaTheme="minorEastAsia" w:cstheme="minorHAnsi"/>
          <w:szCs w:val="28"/>
        </w:rPr>
        <w:t xml:space="preserve"> that the Committee undertake</w:t>
      </w:r>
      <w:r w:rsidR="00D603B7" w:rsidRPr="00A13D49">
        <w:rPr>
          <w:rFonts w:eastAsiaTheme="minorEastAsia" w:cstheme="minorHAnsi"/>
          <w:szCs w:val="28"/>
        </w:rPr>
        <w:t>s</w:t>
      </w:r>
      <w:r w:rsidRPr="00A13D49">
        <w:rPr>
          <w:rFonts w:eastAsiaTheme="minorEastAsia" w:cstheme="minorHAnsi"/>
          <w:szCs w:val="28"/>
        </w:rPr>
        <w:t xml:space="preserve"> </w:t>
      </w:r>
      <w:r w:rsidR="00D603B7" w:rsidRPr="00A13D49">
        <w:rPr>
          <w:rFonts w:eastAsiaTheme="minorEastAsia" w:cstheme="minorHAnsi"/>
          <w:szCs w:val="28"/>
        </w:rPr>
        <w:t xml:space="preserve">early, </w:t>
      </w:r>
      <w:r w:rsidRPr="00A13D49">
        <w:rPr>
          <w:rFonts w:eastAsiaTheme="minorEastAsia" w:cstheme="minorHAnsi"/>
          <w:szCs w:val="28"/>
        </w:rPr>
        <w:t xml:space="preserve">effective, meaningful, and timely consultation/engagement with both equality and human rights groups in NI and the Commissions as the Dedicated Mechanism, so as to provide them with the opportunity to respond as part of that consultation, should they wish to do so.  </w:t>
      </w:r>
    </w:p>
    <w:p w14:paraId="31663B09" w14:textId="081039E5"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This is important in order to ensure their voices are heard and views taken into consideration, in terms of the implications of the proposed EU measure on the promotion and protection of equality and human rights. </w:t>
      </w:r>
    </w:p>
    <w:p w14:paraId="52B5DCCF" w14:textId="6A189435"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lastRenderedPageBreak/>
        <w:t xml:space="preserve">However, due to the short timelines set out in legislation in terms of the different stages of the Committee scrutiny period as regards replacement EU acts, we have concerns that there will not be sufficient time for meaningful engagement with the Commissions and/or equality and </w:t>
      </w:r>
      <w:r w:rsidR="00D603B7" w:rsidRPr="00A13D49">
        <w:rPr>
          <w:rFonts w:eastAsiaTheme="minorEastAsia" w:cstheme="minorHAnsi"/>
          <w:szCs w:val="28"/>
        </w:rPr>
        <w:t xml:space="preserve">human rights </w:t>
      </w:r>
      <w:r w:rsidRPr="00A13D49">
        <w:rPr>
          <w:rFonts w:eastAsiaTheme="minorEastAsia" w:cstheme="minorHAnsi"/>
          <w:szCs w:val="28"/>
        </w:rPr>
        <w:t>stakeholder</w:t>
      </w:r>
      <w:r w:rsidR="00D363F8">
        <w:rPr>
          <w:rFonts w:eastAsiaTheme="minorEastAsia" w:cstheme="minorHAnsi"/>
          <w:szCs w:val="28"/>
        </w:rPr>
        <w:t>s</w:t>
      </w:r>
      <w:r w:rsidRPr="00A13D49">
        <w:rPr>
          <w:rFonts w:eastAsiaTheme="minorEastAsia" w:cstheme="minorHAnsi"/>
          <w:szCs w:val="28"/>
        </w:rPr>
        <w:t xml:space="preserve">. </w:t>
      </w:r>
    </w:p>
    <w:p w14:paraId="1CFBA683" w14:textId="1C979522"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In order to mitigate this, </w:t>
      </w:r>
      <w:r w:rsidR="00D603B7" w:rsidRPr="00A13D49">
        <w:rPr>
          <w:rFonts w:eastAsiaTheme="minorEastAsia" w:cstheme="minorHAnsi"/>
          <w:szCs w:val="28"/>
        </w:rPr>
        <w:t xml:space="preserve">it is </w:t>
      </w:r>
      <w:r w:rsidR="00A50F93" w:rsidRPr="00A13D49">
        <w:rPr>
          <w:rFonts w:eastAsiaTheme="minorEastAsia" w:cstheme="minorHAnsi"/>
          <w:szCs w:val="28"/>
        </w:rPr>
        <w:t xml:space="preserve">important </w:t>
      </w:r>
      <w:r w:rsidRPr="00A13D49">
        <w:rPr>
          <w:rFonts w:eastAsiaTheme="minorEastAsia" w:cstheme="minorHAnsi"/>
          <w:szCs w:val="28"/>
        </w:rPr>
        <w:t xml:space="preserve">that measures are put in place so that the Committee considers the equality and human rights implications of draft proposed EU </w:t>
      </w:r>
      <w:proofErr w:type="gramStart"/>
      <w:r w:rsidRPr="00A13D49">
        <w:rPr>
          <w:rFonts w:eastAsiaTheme="minorEastAsia" w:cstheme="minorHAnsi"/>
          <w:szCs w:val="28"/>
        </w:rPr>
        <w:t>law, and</w:t>
      </w:r>
      <w:proofErr w:type="gramEnd"/>
      <w:r w:rsidRPr="00A13D49">
        <w:rPr>
          <w:rFonts w:eastAsiaTheme="minorEastAsia" w:cstheme="minorHAnsi"/>
          <w:szCs w:val="28"/>
        </w:rPr>
        <w:t xml:space="preserve"> seeks the views of the Commissions and equality and human rights stakeholders at that early stage.</w:t>
      </w:r>
    </w:p>
    <w:p w14:paraId="29869E38" w14:textId="695E3A36"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Further, we note that the UKG has indicated that the ‘Stormont Brake’ mechanism could potentially be used to stop the application in N</w:t>
      </w:r>
      <w:r w:rsidR="00820106">
        <w:rPr>
          <w:rFonts w:eastAsiaTheme="minorEastAsia" w:cstheme="minorHAnsi"/>
          <w:szCs w:val="28"/>
        </w:rPr>
        <w:t>I</w:t>
      </w:r>
      <w:r w:rsidRPr="00A13D49">
        <w:rPr>
          <w:rFonts w:eastAsiaTheme="minorEastAsia" w:cstheme="minorHAnsi"/>
          <w:szCs w:val="28"/>
        </w:rPr>
        <w:t xml:space="preserve"> of certain amended or replac</w:t>
      </w:r>
      <w:r w:rsidR="00A2713B">
        <w:rPr>
          <w:rFonts w:eastAsiaTheme="minorEastAsia" w:cstheme="minorHAnsi"/>
          <w:szCs w:val="28"/>
        </w:rPr>
        <w:t>ement</w:t>
      </w:r>
      <w:r w:rsidRPr="00A13D49">
        <w:rPr>
          <w:rFonts w:eastAsiaTheme="minorEastAsia" w:cstheme="minorHAnsi"/>
          <w:szCs w:val="28"/>
        </w:rPr>
        <w:t xml:space="preserve"> EU legal provisions, where MLAs have shown that the EU rule has a significant and lasting impact specific to the everyday lives of communities in NI in a way that is liable to persist. We note that the word ‘communities’ has not been defined in the 2023 Regulations. It is not clear, for example, whether the word ‘communities’ includes Section 75 equality groups</w:t>
      </w:r>
      <w:r w:rsidR="00A50F93">
        <w:rPr>
          <w:rStyle w:val="FootnoteReference"/>
          <w:rFonts w:eastAsiaTheme="minorEastAsia" w:cstheme="minorHAnsi"/>
          <w:szCs w:val="28"/>
        </w:rPr>
        <w:footnoteReference w:id="12"/>
      </w:r>
      <w:r w:rsidRPr="00A13D49">
        <w:rPr>
          <w:rFonts w:eastAsiaTheme="minorEastAsia" w:cstheme="minorHAnsi"/>
          <w:szCs w:val="28"/>
        </w:rPr>
        <w:t xml:space="preserve">. </w:t>
      </w:r>
    </w:p>
    <w:p w14:paraId="73B16649" w14:textId="315A9DA9" w:rsidR="00EC0604" w:rsidRDefault="00EC0604" w:rsidP="007B1B2A">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We </w:t>
      </w:r>
      <w:r w:rsidR="00A50F93" w:rsidRPr="00A13D49">
        <w:rPr>
          <w:rFonts w:eastAsiaTheme="minorEastAsia" w:cstheme="minorHAnsi"/>
          <w:szCs w:val="28"/>
        </w:rPr>
        <w:t xml:space="preserve">consider </w:t>
      </w:r>
      <w:r w:rsidRPr="00A13D49">
        <w:rPr>
          <w:rFonts w:eastAsiaTheme="minorEastAsia" w:cstheme="minorHAnsi"/>
          <w:szCs w:val="28"/>
        </w:rPr>
        <w:t xml:space="preserve">that </w:t>
      </w:r>
      <w:r w:rsidR="00010DF6" w:rsidRPr="00A13D49">
        <w:rPr>
          <w:rFonts w:eastAsiaTheme="minorEastAsia" w:cstheme="minorHAnsi"/>
          <w:szCs w:val="28"/>
        </w:rPr>
        <w:t xml:space="preserve">a broad interpretation of </w:t>
      </w:r>
      <w:r w:rsidRPr="00A13D49">
        <w:rPr>
          <w:rFonts w:eastAsiaTheme="minorEastAsia" w:cstheme="minorHAnsi"/>
          <w:szCs w:val="28"/>
        </w:rPr>
        <w:t>the word ‘</w:t>
      </w:r>
      <w:proofErr w:type="gramStart"/>
      <w:r w:rsidRPr="00A13D49">
        <w:rPr>
          <w:rFonts w:eastAsiaTheme="minorEastAsia" w:cstheme="minorHAnsi"/>
          <w:szCs w:val="28"/>
        </w:rPr>
        <w:t>communities’</w:t>
      </w:r>
      <w:proofErr w:type="gramEnd"/>
      <w:r w:rsidRPr="00A13D49">
        <w:rPr>
          <w:rFonts w:eastAsiaTheme="minorEastAsia" w:cstheme="minorHAnsi"/>
          <w:szCs w:val="28"/>
        </w:rPr>
        <w:t xml:space="preserve"> </w:t>
      </w:r>
      <w:r w:rsidR="00E652E5" w:rsidRPr="00A13D49">
        <w:rPr>
          <w:rFonts w:eastAsiaTheme="minorEastAsia" w:cstheme="minorHAnsi"/>
          <w:szCs w:val="28"/>
        </w:rPr>
        <w:t xml:space="preserve">will help ensure that there is </w:t>
      </w:r>
      <w:r w:rsidRPr="00A13D49">
        <w:rPr>
          <w:rFonts w:eastAsiaTheme="minorEastAsia" w:cstheme="minorHAnsi"/>
          <w:szCs w:val="28"/>
        </w:rPr>
        <w:t>consideration</w:t>
      </w:r>
      <w:r w:rsidR="00E652E5" w:rsidRPr="00A13D49">
        <w:rPr>
          <w:rFonts w:eastAsiaTheme="minorEastAsia" w:cstheme="minorHAnsi"/>
          <w:szCs w:val="28"/>
        </w:rPr>
        <w:t xml:space="preserve">, at this </w:t>
      </w:r>
      <w:r w:rsidR="00A140F7" w:rsidRPr="00A13D49">
        <w:rPr>
          <w:rFonts w:eastAsiaTheme="minorEastAsia" w:cstheme="minorHAnsi"/>
          <w:szCs w:val="28"/>
        </w:rPr>
        <w:t xml:space="preserve">critical </w:t>
      </w:r>
      <w:r w:rsidR="00E652E5" w:rsidRPr="00A13D49">
        <w:rPr>
          <w:rFonts w:eastAsiaTheme="minorEastAsia" w:cstheme="minorHAnsi"/>
          <w:szCs w:val="28"/>
        </w:rPr>
        <w:t>stage of the process,</w:t>
      </w:r>
      <w:r w:rsidRPr="00A13D49">
        <w:rPr>
          <w:rFonts w:eastAsiaTheme="minorEastAsia" w:cstheme="minorHAnsi"/>
          <w:szCs w:val="28"/>
        </w:rPr>
        <w:t xml:space="preserve"> of, for example, equality and human rights impacts</w:t>
      </w:r>
      <w:r w:rsidR="007C25EE" w:rsidRPr="00A13D49">
        <w:rPr>
          <w:rFonts w:eastAsiaTheme="minorEastAsia" w:cstheme="minorHAnsi"/>
          <w:szCs w:val="28"/>
        </w:rPr>
        <w:t xml:space="preserve">, including </w:t>
      </w:r>
      <w:r w:rsidR="00E652E5" w:rsidRPr="00A13D49">
        <w:rPr>
          <w:rFonts w:eastAsiaTheme="minorEastAsia" w:cstheme="minorHAnsi"/>
          <w:szCs w:val="28"/>
        </w:rPr>
        <w:t xml:space="preserve">the impacts </w:t>
      </w:r>
      <w:r w:rsidR="007C25EE" w:rsidRPr="00A13D49">
        <w:rPr>
          <w:rFonts w:eastAsiaTheme="minorEastAsia" w:cstheme="minorHAnsi"/>
          <w:szCs w:val="28"/>
        </w:rPr>
        <w:t>on,</w:t>
      </w:r>
      <w:r w:rsidRPr="00A13D49">
        <w:rPr>
          <w:rFonts w:eastAsiaTheme="minorEastAsia" w:cstheme="minorHAnsi"/>
          <w:szCs w:val="28"/>
        </w:rPr>
        <w:t xml:space="preserve"> for example, Section 75 equality groups. </w:t>
      </w:r>
    </w:p>
    <w:p w14:paraId="65F874A5" w14:textId="7C5F24C6" w:rsidR="00EC0604" w:rsidRDefault="00EC0604" w:rsidP="007B1B2A">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However, we wish to stress that our </w:t>
      </w:r>
      <w:r w:rsidR="00921EB0" w:rsidRPr="00A13D49">
        <w:rPr>
          <w:rFonts w:eastAsiaTheme="minorEastAsia" w:cstheme="minorHAnsi"/>
          <w:szCs w:val="28"/>
        </w:rPr>
        <w:t xml:space="preserve">advice </w:t>
      </w:r>
      <w:r w:rsidRPr="00A13D49">
        <w:rPr>
          <w:rFonts w:eastAsiaTheme="minorEastAsia" w:cstheme="minorHAnsi"/>
          <w:szCs w:val="28"/>
        </w:rPr>
        <w:t xml:space="preserve">is aimed at ensuring that MLAs, before taking a decision </w:t>
      </w:r>
      <w:r w:rsidR="00977FB4">
        <w:rPr>
          <w:rFonts w:eastAsiaTheme="minorEastAsia" w:cstheme="minorHAnsi"/>
          <w:szCs w:val="28"/>
        </w:rPr>
        <w:t>on</w:t>
      </w:r>
      <w:r w:rsidRPr="00A13D49">
        <w:rPr>
          <w:rFonts w:eastAsiaTheme="minorEastAsia" w:cstheme="minorHAnsi"/>
          <w:szCs w:val="28"/>
        </w:rPr>
        <w:t xml:space="preserve"> notify</w:t>
      </w:r>
      <w:r w:rsidR="00977FB4">
        <w:rPr>
          <w:rFonts w:eastAsiaTheme="minorEastAsia" w:cstheme="minorHAnsi"/>
          <w:szCs w:val="28"/>
        </w:rPr>
        <w:t>ing</w:t>
      </w:r>
      <w:r w:rsidRPr="00A13D49">
        <w:rPr>
          <w:rFonts w:eastAsiaTheme="minorEastAsia" w:cstheme="minorHAnsi"/>
          <w:szCs w:val="28"/>
        </w:rPr>
        <w:t xml:space="preserve"> the UKG that they wish to trigger the brake, take into consideration whether or not the EU law in question, if introduced, would help to strengthen the rights of particular S</w:t>
      </w:r>
      <w:r w:rsidR="00A50F93" w:rsidRPr="00A13D49">
        <w:rPr>
          <w:rFonts w:eastAsiaTheme="minorEastAsia" w:cstheme="minorHAnsi"/>
          <w:szCs w:val="28"/>
        </w:rPr>
        <w:t xml:space="preserve">ection </w:t>
      </w:r>
      <w:r w:rsidRPr="00A13D49">
        <w:rPr>
          <w:rFonts w:eastAsiaTheme="minorEastAsia" w:cstheme="minorHAnsi"/>
          <w:szCs w:val="28"/>
        </w:rPr>
        <w:t xml:space="preserve">75 equality groups and promote equality and human rights in NI. </w:t>
      </w:r>
    </w:p>
    <w:p w14:paraId="079FD741" w14:textId="297F45DC"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In terms of the introduc</w:t>
      </w:r>
      <w:r w:rsidR="00D05CC3">
        <w:rPr>
          <w:rFonts w:eastAsiaTheme="minorEastAsia" w:cstheme="minorHAnsi"/>
          <w:szCs w:val="28"/>
        </w:rPr>
        <w:t>tion</w:t>
      </w:r>
      <w:r w:rsidRPr="00A13D49">
        <w:rPr>
          <w:rFonts w:eastAsiaTheme="minorEastAsia" w:cstheme="minorHAnsi"/>
          <w:szCs w:val="28"/>
        </w:rPr>
        <w:t xml:space="preserve"> </w:t>
      </w:r>
      <w:r w:rsidR="00D05CC3">
        <w:rPr>
          <w:rFonts w:eastAsiaTheme="minorEastAsia" w:cstheme="minorHAnsi"/>
          <w:szCs w:val="28"/>
        </w:rPr>
        <w:t>of</w:t>
      </w:r>
      <w:r w:rsidRPr="00A13D49">
        <w:rPr>
          <w:rFonts w:eastAsiaTheme="minorEastAsia" w:cstheme="minorHAnsi"/>
          <w:szCs w:val="28"/>
        </w:rPr>
        <w:t xml:space="preserve"> applicability motions, the Commissions advise that these changes could potentially mean that cross-community support is required for the </w:t>
      </w:r>
      <w:r w:rsidR="00670462">
        <w:rPr>
          <w:rFonts w:eastAsiaTheme="minorEastAsia" w:cstheme="minorHAnsi"/>
          <w:szCs w:val="28"/>
        </w:rPr>
        <w:t>inclusion</w:t>
      </w:r>
      <w:r w:rsidR="00670462" w:rsidRPr="00A13D49">
        <w:rPr>
          <w:rFonts w:eastAsiaTheme="minorEastAsia" w:cstheme="minorHAnsi"/>
          <w:szCs w:val="28"/>
        </w:rPr>
        <w:t xml:space="preserve"> </w:t>
      </w:r>
      <w:r w:rsidR="00670462">
        <w:rPr>
          <w:rFonts w:eastAsiaTheme="minorEastAsia" w:cstheme="minorHAnsi"/>
          <w:szCs w:val="28"/>
        </w:rPr>
        <w:t xml:space="preserve">in Annex 1 </w:t>
      </w:r>
      <w:r w:rsidRPr="00A13D49">
        <w:rPr>
          <w:rFonts w:eastAsiaTheme="minorEastAsia" w:cstheme="minorHAnsi"/>
          <w:szCs w:val="28"/>
        </w:rPr>
        <w:t xml:space="preserve">of a new EU act </w:t>
      </w:r>
      <w:r w:rsidR="00670462">
        <w:rPr>
          <w:rFonts w:eastAsiaTheme="minorEastAsia" w:cstheme="minorHAnsi"/>
          <w:szCs w:val="28"/>
        </w:rPr>
        <w:t xml:space="preserve">on </w:t>
      </w:r>
      <w:r w:rsidRPr="00A13D49">
        <w:rPr>
          <w:rFonts w:eastAsiaTheme="minorEastAsia" w:cstheme="minorHAnsi"/>
          <w:szCs w:val="28"/>
        </w:rPr>
        <w:lastRenderedPageBreak/>
        <w:t>equality and/or human rights</w:t>
      </w:r>
      <w:r w:rsidR="007B7FFA">
        <w:rPr>
          <w:rFonts w:eastAsiaTheme="minorEastAsia" w:cstheme="minorHAnsi"/>
          <w:szCs w:val="28"/>
        </w:rPr>
        <w:t>.</w:t>
      </w:r>
      <w:r w:rsidRPr="00A13D49">
        <w:rPr>
          <w:rFonts w:eastAsiaTheme="minorEastAsia" w:cstheme="minorHAnsi"/>
          <w:szCs w:val="28"/>
        </w:rPr>
        <w:t xml:space="preserve"> </w:t>
      </w:r>
      <w:r w:rsidR="007B7FFA">
        <w:rPr>
          <w:rFonts w:eastAsiaTheme="minorEastAsia" w:cstheme="minorHAnsi"/>
          <w:szCs w:val="28"/>
        </w:rPr>
        <w:t>It would also apply in respect of</w:t>
      </w:r>
      <w:r w:rsidR="007B7FFA" w:rsidRPr="00A13D49">
        <w:rPr>
          <w:rFonts w:eastAsiaTheme="minorEastAsia" w:cstheme="minorHAnsi"/>
          <w:szCs w:val="28"/>
        </w:rPr>
        <w:t xml:space="preserve"> </w:t>
      </w:r>
      <w:r w:rsidRPr="00A13D49">
        <w:rPr>
          <w:rFonts w:eastAsiaTheme="minorEastAsia" w:cstheme="minorHAnsi"/>
          <w:szCs w:val="28"/>
        </w:rPr>
        <w:t>amendments</w:t>
      </w:r>
      <w:r w:rsidR="00CA09EC">
        <w:rPr>
          <w:rFonts w:eastAsiaTheme="minorEastAsia" w:cstheme="minorHAnsi"/>
          <w:szCs w:val="28"/>
        </w:rPr>
        <w:t xml:space="preserve"> to </w:t>
      </w:r>
      <w:r w:rsidRPr="00A13D49">
        <w:rPr>
          <w:rFonts w:eastAsiaTheme="minorEastAsia" w:cstheme="minorHAnsi"/>
          <w:szCs w:val="28"/>
        </w:rPr>
        <w:t>/replacement</w:t>
      </w:r>
      <w:r w:rsidR="00CA09EC">
        <w:rPr>
          <w:rFonts w:eastAsiaTheme="minorEastAsia" w:cstheme="minorHAnsi"/>
          <w:szCs w:val="28"/>
        </w:rPr>
        <w:t xml:space="preserve"> of</w:t>
      </w:r>
      <w:r w:rsidRPr="00A13D49">
        <w:rPr>
          <w:rFonts w:eastAsiaTheme="minorEastAsia" w:cstheme="minorHAnsi"/>
          <w:szCs w:val="28"/>
        </w:rPr>
        <w:t xml:space="preserve"> EU acts </w:t>
      </w:r>
      <w:r w:rsidR="00E94CB7">
        <w:rPr>
          <w:rFonts w:eastAsiaTheme="minorEastAsia" w:cstheme="minorHAnsi"/>
          <w:szCs w:val="28"/>
        </w:rPr>
        <w:t xml:space="preserve">in Annex 2, </w:t>
      </w:r>
      <w:r w:rsidRPr="00A13D49">
        <w:rPr>
          <w:rFonts w:eastAsiaTheme="minorEastAsia" w:cstheme="minorHAnsi"/>
          <w:szCs w:val="28"/>
        </w:rPr>
        <w:t>that ha</w:t>
      </w:r>
      <w:r w:rsidR="0066372D">
        <w:rPr>
          <w:rFonts w:eastAsiaTheme="minorEastAsia" w:cstheme="minorHAnsi"/>
          <w:szCs w:val="28"/>
        </w:rPr>
        <w:t>ve</w:t>
      </w:r>
      <w:r w:rsidRPr="00A13D49">
        <w:rPr>
          <w:rFonts w:eastAsiaTheme="minorEastAsia" w:cstheme="minorHAnsi"/>
          <w:szCs w:val="28"/>
        </w:rPr>
        <w:t xml:space="preserve"> equality and human rights implications and to which the Stormont </w:t>
      </w:r>
      <w:r w:rsidR="0066372D">
        <w:rPr>
          <w:rFonts w:eastAsiaTheme="minorEastAsia" w:cstheme="minorHAnsi"/>
          <w:szCs w:val="28"/>
        </w:rPr>
        <w:t>B</w:t>
      </w:r>
      <w:r w:rsidRPr="00A13D49">
        <w:rPr>
          <w:rFonts w:eastAsiaTheme="minorEastAsia" w:cstheme="minorHAnsi"/>
          <w:szCs w:val="28"/>
        </w:rPr>
        <w:t>rake has been applied. We recognise that the UKG can</w:t>
      </w:r>
      <w:r w:rsidR="0075329E">
        <w:rPr>
          <w:rFonts w:eastAsiaTheme="minorEastAsia" w:cstheme="minorHAnsi"/>
          <w:szCs w:val="28"/>
        </w:rPr>
        <w:t>,</w:t>
      </w:r>
      <w:r w:rsidRPr="00A13D49">
        <w:rPr>
          <w:rFonts w:eastAsiaTheme="minorEastAsia" w:cstheme="minorHAnsi"/>
          <w:szCs w:val="28"/>
        </w:rPr>
        <w:t xml:space="preserve"> </w:t>
      </w:r>
      <w:r w:rsidR="0075329E" w:rsidRPr="00A13D49">
        <w:rPr>
          <w:rFonts w:eastAsiaTheme="minorEastAsia" w:cstheme="minorHAnsi"/>
          <w:szCs w:val="28"/>
        </w:rPr>
        <w:t>in certain circumstances</w:t>
      </w:r>
      <w:r w:rsidR="0075329E">
        <w:rPr>
          <w:rFonts w:eastAsiaTheme="minorEastAsia" w:cstheme="minorHAnsi"/>
          <w:szCs w:val="28"/>
        </w:rPr>
        <w:t>,</w:t>
      </w:r>
      <w:r w:rsidR="0075329E" w:rsidRPr="00A13D49">
        <w:rPr>
          <w:rFonts w:eastAsiaTheme="minorEastAsia" w:cstheme="minorHAnsi"/>
          <w:szCs w:val="28"/>
        </w:rPr>
        <w:t xml:space="preserve"> </w:t>
      </w:r>
      <w:r w:rsidRPr="00A13D49">
        <w:rPr>
          <w:rFonts w:eastAsiaTheme="minorEastAsia" w:cstheme="minorHAnsi"/>
          <w:szCs w:val="28"/>
        </w:rPr>
        <w:t xml:space="preserve">proceed </w:t>
      </w:r>
      <w:r w:rsidR="003367E9">
        <w:rPr>
          <w:rFonts w:eastAsiaTheme="minorEastAsia" w:cstheme="minorHAnsi"/>
          <w:szCs w:val="28"/>
        </w:rPr>
        <w:t>in the absence of an applicability motion and</w:t>
      </w:r>
      <w:r w:rsidR="003367E9" w:rsidRPr="00A13D49">
        <w:rPr>
          <w:rFonts w:eastAsiaTheme="minorEastAsia" w:cstheme="minorHAnsi"/>
          <w:szCs w:val="28"/>
        </w:rPr>
        <w:t xml:space="preserve"> </w:t>
      </w:r>
      <w:r w:rsidRPr="00A13D49">
        <w:rPr>
          <w:rFonts w:eastAsiaTheme="minorEastAsia" w:cstheme="minorHAnsi"/>
          <w:szCs w:val="28"/>
        </w:rPr>
        <w:t xml:space="preserve">agree in the Joint Committee </w:t>
      </w:r>
      <w:r w:rsidR="003367E9">
        <w:rPr>
          <w:rFonts w:eastAsiaTheme="minorEastAsia" w:cstheme="minorHAnsi"/>
          <w:szCs w:val="28"/>
        </w:rPr>
        <w:t xml:space="preserve">to </w:t>
      </w:r>
      <w:r w:rsidRPr="00A13D49">
        <w:rPr>
          <w:rFonts w:eastAsiaTheme="minorEastAsia" w:cstheme="minorHAnsi"/>
          <w:szCs w:val="28"/>
        </w:rPr>
        <w:t xml:space="preserve">the </w:t>
      </w:r>
      <w:r w:rsidR="00FD1410">
        <w:rPr>
          <w:rFonts w:eastAsiaTheme="minorEastAsia" w:cstheme="minorHAnsi"/>
          <w:szCs w:val="28"/>
        </w:rPr>
        <w:t xml:space="preserve">inclusion </w:t>
      </w:r>
      <w:r w:rsidRPr="00A13D49">
        <w:rPr>
          <w:rFonts w:eastAsiaTheme="minorEastAsia" w:cstheme="minorHAnsi"/>
          <w:szCs w:val="28"/>
        </w:rPr>
        <w:t xml:space="preserve">of </w:t>
      </w:r>
      <w:r w:rsidR="00FD1410">
        <w:rPr>
          <w:rFonts w:eastAsiaTheme="minorEastAsia" w:cstheme="minorHAnsi"/>
          <w:szCs w:val="28"/>
        </w:rPr>
        <w:t xml:space="preserve">such </w:t>
      </w:r>
      <w:r w:rsidR="00CE1319">
        <w:rPr>
          <w:rFonts w:eastAsiaTheme="minorEastAsia" w:cstheme="minorHAnsi"/>
          <w:szCs w:val="28"/>
        </w:rPr>
        <w:t xml:space="preserve">an </w:t>
      </w:r>
      <w:r w:rsidRPr="00A13D49">
        <w:rPr>
          <w:rFonts w:eastAsiaTheme="minorEastAsia" w:cstheme="minorHAnsi"/>
          <w:szCs w:val="28"/>
        </w:rPr>
        <w:t xml:space="preserve">EU </w:t>
      </w:r>
      <w:r w:rsidR="00FD1410">
        <w:rPr>
          <w:rFonts w:eastAsiaTheme="minorEastAsia" w:cstheme="minorHAnsi"/>
          <w:szCs w:val="28"/>
        </w:rPr>
        <w:t xml:space="preserve">measure </w:t>
      </w:r>
      <w:r w:rsidRPr="00A13D49">
        <w:rPr>
          <w:rFonts w:eastAsiaTheme="minorEastAsia" w:cstheme="minorHAnsi"/>
          <w:szCs w:val="28"/>
        </w:rPr>
        <w:t xml:space="preserve">to </w:t>
      </w:r>
      <w:r w:rsidR="00FD1410">
        <w:rPr>
          <w:rFonts w:eastAsiaTheme="minorEastAsia" w:cstheme="minorHAnsi"/>
          <w:szCs w:val="28"/>
        </w:rPr>
        <w:t xml:space="preserve">the </w:t>
      </w:r>
      <w:r w:rsidR="00CE1319">
        <w:rPr>
          <w:rFonts w:eastAsiaTheme="minorEastAsia" w:cstheme="minorHAnsi"/>
          <w:szCs w:val="28"/>
        </w:rPr>
        <w:t xml:space="preserve">relevant </w:t>
      </w:r>
      <w:r w:rsidR="00FD1410">
        <w:rPr>
          <w:rFonts w:eastAsiaTheme="minorEastAsia" w:cstheme="minorHAnsi"/>
          <w:szCs w:val="28"/>
        </w:rPr>
        <w:t>Annex</w:t>
      </w:r>
      <w:r w:rsidRPr="00A13D49">
        <w:rPr>
          <w:rFonts w:eastAsiaTheme="minorEastAsia" w:cstheme="minorHAnsi"/>
          <w:szCs w:val="28"/>
        </w:rPr>
        <w:t>.</w:t>
      </w:r>
    </w:p>
    <w:p w14:paraId="2EA83AFC" w14:textId="12A7D08E"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We also note that there is a relatively short </w:t>
      </w:r>
      <w:proofErr w:type="gramStart"/>
      <w:r w:rsidRPr="00A13D49">
        <w:rPr>
          <w:rFonts w:eastAsiaTheme="minorEastAsia" w:cstheme="minorHAnsi"/>
          <w:szCs w:val="28"/>
        </w:rPr>
        <w:t>time line</w:t>
      </w:r>
      <w:proofErr w:type="gramEnd"/>
      <w:r w:rsidRPr="00A13D49">
        <w:rPr>
          <w:rFonts w:eastAsiaTheme="minorEastAsia" w:cstheme="minorHAnsi"/>
          <w:szCs w:val="28"/>
        </w:rPr>
        <w:t xml:space="preserve"> for the applicability motion to take place.</w:t>
      </w:r>
      <w:r w:rsidR="007E1BFD" w:rsidRPr="00A13D49">
        <w:rPr>
          <w:rFonts w:eastAsiaTheme="minorEastAsia" w:cstheme="minorHAnsi"/>
          <w:szCs w:val="28"/>
        </w:rPr>
        <w:t xml:space="preserve"> </w:t>
      </w:r>
      <w:r w:rsidRPr="00A13D49">
        <w:rPr>
          <w:rFonts w:eastAsiaTheme="minorEastAsia" w:cstheme="minorHAnsi"/>
          <w:szCs w:val="28"/>
        </w:rPr>
        <w:t xml:space="preserve">In light of </w:t>
      </w:r>
      <w:proofErr w:type="gramStart"/>
      <w:r w:rsidRPr="00A13D49">
        <w:rPr>
          <w:rFonts w:eastAsiaTheme="minorEastAsia" w:cstheme="minorHAnsi"/>
          <w:szCs w:val="28"/>
        </w:rPr>
        <w:t>this, and</w:t>
      </w:r>
      <w:proofErr w:type="gramEnd"/>
      <w:r w:rsidRPr="00A13D49">
        <w:rPr>
          <w:rFonts w:eastAsiaTheme="minorEastAsia" w:cstheme="minorHAnsi"/>
          <w:szCs w:val="28"/>
        </w:rPr>
        <w:t xml:space="preserve"> aligned to our earlier recommendation on building in equality and human rights considerations into key stages of the Stormont </w:t>
      </w:r>
      <w:r w:rsidR="00884547">
        <w:rPr>
          <w:rFonts w:eastAsiaTheme="minorEastAsia" w:cstheme="minorHAnsi"/>
          <w:szCs w:val="28"/>
        </w:rPr>
        <w:t>B</w:t>
      </w:r>
      <w:r w:rsidRPr="00A13D49">
        <w:rPr>
          <w:rFonts w:eastAsiaTheme="minorEastAsia" w:cstheme="minorHAnsi"/>
          <w:szCs w:val="28"/>
        </w:rPr>
        <w:t>rake mechanism</w:t>
      </w:r>
      <w:r w:rsidR="00A13D49">
        <w:rPr>
          <w:rFonts w:eastAsiaTheme="minorEastAsia" w:cstheme="minorHAnsi"/>
          <w:szCs w:val="28"/>
        </w:rPr>
        <w:t xml:space="preserve">, </w:t>
      </w:r>
      <w:r w:rsidR="00A50F93" w:rsidRPr="00A13D49">
        <w:rPr>
          <w:rFonts w:eastAsiaTheme="minorEastAsia" w:cstheme="minorHAnsi"/>
          <w:szCs w:val="28"/>
        </w:rPr>
        <w:t xml:space="preserve">it is </w:t>
      </w:r>
      <w:r w:rsidR="005E4A95">
        <w:rPr>
          <w:rFonts w:eastAsiaTheme="minorEastAsia" w:cstheme="minorHAnsi"/>
          <w:szCs w:val="28"/>
        </w:rPr>
        <w:t xml:space="preserve">crucial </w:t>
      </w:r>
      <w:r w:rsidRPr="00A13D49">
        <w:rPr>
          <w:rFonts w:eastAsiaTheme="minorEastAsia" w:cstheme="minorHAnsi"/>
          <w:szCs w:val="28"/>
        </w:rPr>
        <w:t xml:space="preserve">that equality and human rights considerations are built into the revised process under </w:t>
      </w:r>
      <w:r w:rsidR="00A50F93" w:rsidRPr="00A13D49">
        <w:rPr>
          <w:rFonts w:eastAsiaTheme="minorEastAsia" w:cstheme="minorHAnsi"/>
          <w:szCs w:val="28"/>
        </w:rPr>
        <w:t xml:space="preserve">the </w:t>
      </w:r>
      <w:r w:rsidRPr="00A13D49">
        <w:rPr>
          <w:rFonts w:eastAsiaTheme="minorEastAsia" w:cstheme="minorHAnsi"/>
          <w:szCs w:val="28"/>
        </w:rPr>
        <w:t xml:space="preserve">original Protocol Article 13(4).  </w:t>
      </w:r>
    </w:p>
    <w:p w14:paraId="06EBA7AC" w14:textId="3FD1DAE0" w:rsidR="00EC0604" w:rsidRDefault="00EC060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For example, this could include a consideration by the NI Assembly before passing an ‘applicability motion’, of the impact, if any, of the new EU measure, or the amendment/ replacement EU act/s, on the promotion and protection of equality and human rights in N</w:t>
      </w:r>
      <w:r w:rsidR="00884547">
        <w:rPr>
          <w:rFonts w:eastAsiaTheme="minorEastAsia" w:cstheme="minorHAnsi"/>
          <w:szCs w:val="28"/>
        </w:rPr>
        <w:t>I</w:t>
      </w:r>
      <w:r w:rsidRPr="00A13D49">
        <w:rPr>
          <w:rFonts w:eastAsiaTheme="minorEastAsia" w:cstheme="minorHAnsi"/>
          <w:szCs w:val="28"/>
        </w:rPr>
        <w:t xml:space="preserve">. </w:t>
      </w:r>
      <w:r w:rsidR="00F868BF" w:rsidRPr="00A13D49">
        <w:rPr>
          <w:rFonts w:eastAsiaTheme="minorEastAsia" w:cstheme="minorHAnsi"/>
          <w:szCs w:val="28"/>
        </w:rPr>
        <w:t>By way of example, o</w:t>
      </w:r>
      <w:r w:rsidRPr="00A13D49">
        <w:rPr>
          <w:rFonts w:eastAsiaTheme="minorEastAsia" w:cstheme="minorHAnsi"/>
          <w:szCs w:val="28"/>
        </w:rPr>
        <w:t xml:space="preserve">ne option </w:t>
      </w:r>
      <w:r w:rsidR="001773A0" w:rsidRPr="00A13D49">
        <w:rPr>
          <w:rFonts w:eastAsiaTheme="minorEastAsia" w:cstheme="minorHAnsi"/>
          <w:szCs w:val="28"/>
        </w:rPr>
        <w:t xml:space="preserve">by way this could be achieved </w:t>
      </w:r>
      <w:r w:rsidRPr="00A13D49">
        <w:rPr>
          <w:rFonts w:eastAsiaTheme="minorEastAsia" w:cstheme="minorHAnsi"/>
          <w:szCs w:val="28"/>
        </w:rPr>
        <w:t>is amending the NI Assembly Standing Orders to give effect to</w:t>
      </w:r>
      <w:r w:rsidR="00F868BF" w:rsidRPr="00A13D49">
        <w:rPr>
          <w:rFonts w:eastAsiaTheme="minorEastAsia" w:cstheme="minorHAnsi"/>
          <w:szCs w:val="28"/>
        </w:rPr>
        <w:t xml:space="preserve"> this</w:t>
      </w:r>
      <w:r w:rsidR="001773A0" w:rsidRPr="00A13D49">
        <w:rPr>
          <w:rFonts w:eastAsiaTheme="minorEastAsia" w:cstheme="minorHAnsi"/>
          <w:szCs w:val="28"/>
        </w:rPr>
        <w:t xml:space="preserve"> consideration</w:t>
      </w:r>
      <w:r w:rsidRPr="00A13D49">
        <w:rPr>
          <w:rFonts w:eastAsiaTheme="minorEastAsia" w:cstheme="minorHAnsi"/>
          <w:szCs w:val="28"/>
        </w:rPr>
        <w:t xml:space="preserve">. </w:t>
      </w:r>
    </w:p>
    <w:p w14:paraId="30E5BDDE" w14:textId="4AF8A3F0" w:rsidR="00EC0604" w:rsidRDefault="008F0CA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 xml:space="preserve">It is also important </w:t>
      </w:r>
      <w:r w:rsidR="00EC0604" w:rsidRPr="00A13D49">
        <w:rPr>
          <w:rFonts w:eastAsiaTheme="minorEastAsia" w:cstheme="minorHAnsi"/>
          <w:szCs w:val="28"/>
        </w:rPr>
        <w:t xml:space="preserve">that the NI Assembly </w:t>
      </w:r>
      <w:proofErr w:type="gramStart"/>
      <w:r w:rsidR="00EC0604" w:rsidRPr="00A13D49">
        <w:rPr>
          <w:rFonts w:eastAsiaTheme="minorEastAsia" w:cstheme="minorHAnsi"/>
          <w:szCs w:val="28"/>
        </w:rPr>
        <w:t>give</w:t>
      </w:r>
      <w:r w:rsidR="007E4A25">
        <w:rPr>
          <w:rFonts w:eastAsiaTheme="minorEastAsia" w:cstheme="minorHAnsi"/>
          <w:szCs w:val="28"/>
        </w:rPr>
        <w:t>s</w:t>
      </w:r>
      <w:r w:rsidR="00EC0604" w:rsidRPr="00A13D49">
        <w:rPr>
          <w:rFonts w:eastAsiaTheme="minorEastAsia" w:cstheme="minorHAnsi"/>
          <w:szCs w:val="28"/>
        </w:rPr>
        <w:t xml:space="preserve"> consideration to</w:t>
      </w:r>
      <w:proofErr w:type="gramEnd"/>
      <w:r w:rsidR="00EC0604" w:rsidRPr="00A13D49">
        <w:rPr>
          <w:rFonts w:eastAsiaTheme="minorEastAsia" w:cstheme="minorHAnsi"/>
          <w:szCs w:val="28"/>
        </w:rPr>
        <w:t xml:space="preserve"> engaging with the Commissions and equality and </w:t>
      </w:r>
      <w:r w:rsidRPr="00A13D49">
        <w:rPr>
          <w:rFonts w:eastAsiaTheme="minorEastAsia" w:cstheme="minorHAnsi"/>
          <w:szCs w:val="28"/>
        </w:rPr>
        <w:t>human rights</w:t>
      </w:r>
      <w:r w:rsidR="00EC0604" w:rsidRPr="00A13D49">
        <w:rPr>
          <w:rFonts w:eastAsiaTheme="minorEastAsia" w:cstheme="minorHAnsi"/>
          <w:szCs w:val="28"/>
        </w:rPr>
        <w:t xml:space="preserve"> stakeholders as part of that </w:t>
      </w:r>
      <w:r w:rsidR="00D01FF4">
        <w:rPr>
          <w:rFonts w:eastAsiaTheme="minorEastAsia" w:cstheme="minorHAnsi"/>
          <w:szCs w:val="28"/>
        </w:rPr>
        <w:t>process</w:t>
      </w:r>
      <w:r w:rsidR="00EC0604" w:rsidRPr="00A13D49">
        <w:rPr>
          <w:rFonts w:eastAsiaTheme="minorEastAsia" w:cstheme="minorHAnsi"/>
          <w:szCs w:val="28"/>
        </w:rPr>
        <w:t xml:space="preserve">. </w:t>
      </w:r>
    </w:p>
    <w:p w14:paraId="44886BE7" w14:textId="7C7D61CA" w:rsidR="00743994" w:rsidRDefault="008F0CA4" w:rsidP="008F0CA4">
      <w:pPr>
        <w:pStyle w:val="ListParagraph"/>
        <w:numPr>
          <w:ilvl w:val="1"/>
          <w:numId w:val="8"/>
        </w:numPr>
        <w:spacing w:after="240"/>
        <w:ind w:left="720" w:hanging="720"/>
        <w:contextualSpacing w:val="0"/>
        <w:rPr>
          <w:rFonts w:eastAsiaTheme="minorEastAsia" w:cstheme="minorHAnsi"/>
          <w:szCs w:val="28"/>
        </w:rPr>
      </w:pPr>
      <w:r w:rsidRPr="00A13D49">
        <w:rPr>
          <w:rFonts w:eastAsiaTheme="minorEastAsia" w:cstheme="minorHAnsi"/>
          <w:szCs w:val="28"/>
        </w:rPr>
        <w:t>Finally, w</w:t>
      </w:r>
      <w:r w:rsidR="00743994" w:rsidRPr="00A13D49">
        <w:rPr>
          <w:rFonts w:eastAsiaTheme="minorEastAsia" w:cstheme="minorHAnsi"/>
          <w:szCs w:val="28"/>
        </w:rPr>
        <w:t xml:space="preserve">e are also concerned that there was a very short time frame between the publication of the draft 2023 Regulations and their coming into force. This has meant there has been </w:t>
      </w:r>
      <w:r w:rsidR="00092824" w:rsidRPr="00A13D49">
        <w:rPr>
          <w:rFonts w:eastAsiaTheme="minorEastAsia" w:cstheme="minorHAnsi"/>
          <w:szCs w:val="28"/>
        </w:rPr>
        <w:t xml:space="preserve">very </w:t>
      </w:r>
      <w:r w:rsidR="00743994" w:rsidRPr="00A13D49">
        <w:rPr>
          <w:rFonts w:eastAsiaTheme="minorEastAsia" w:cstheme="minorHAnsi"/>
          <w:szCs w:val="28"/>
        </w:rPr>
        <w:t xml:space="preserve">limited time for effective scrutiny </w:t>
      </w:r>
      <w:r w:rsidR="00CC2D9B" w:rsidRPr="00A13D49">
        <w:rPr>
          <w:rFonts w:eastAsiaTheme="minorEastAsia" w:cstheme="minorHAnsi"/>
          <w:szCs w:val="28"/>
        </w:rPr>
        <w:t>by Parliament</w:t>
      </w:r>
      <w:r w:rsidR="00743994" w:rsidRPr="00A13D49">
        <w:rPr>
          <w:rFonts w:eastAsiaTheme="minorEastAsia" w:cstheme="minorHAnsi"/>
          <w:szCs w:val="28"/>
        </w:rPr>
        <w:t xml:space="preserve">, </w:t>
      </w:r>
      <w:r w:rsidR="00CC2D9B" w:rsidRPr="00A13D49">
        <w:rPr>
          <w:rFonts w:eastAsiaTheme="minorEastAsia" w:cstheme="minorHAnsi"/>
          <w:szCs w:val="28"/>
        </w:rPr>
        <w:t>or</w:t>
      </w:r>
      <w:r w:rsidR="00743994" w:rsidRPr="00A13D49">
        <w:rPr>
          <w:rFonts w:eastAsiaTheme="minorEastAsia" w:cstheme="minorHAnsi"/>
          <w:szCs w:val="28"/>
        </w:rPr>
        <w:t xml:space="preserve"> </w:t>
      </w:r>
      <w:r w:rsidR="00CC2D9B" w:rsidRPr="00A13D49">
        <w:rPr>
          <w:rFonts w:eastAsiaTheme="minorEastAsia" w:cstheme="minorHAnsi"/>
          <w:szCs w:val="28"/>
        </w:rPr>
        <w:t xml:space="preserve">the </w:t>
      </w:r>
      <w:r w:rsidR="00743994" w:rsidRPr="00A13D49">
        <w:rPr>
          <w:rFonts w:eastAsiaTheme="minorEastAsia" w:cstheme="minorHAnsi"/>
          <w:szCs w:val="28"/>
        </w:rPr>
        <w:t xml:space="preserve">opportunity for the Commissions, or others, to provide views </w:t>
      </w:r>
      <w:r w:rsidR="00092824" w:rsidRPr="00A13D49">
        <w:rPr>
          <w:rFonts w:eastAsiaTheme="minorEastAsia" w:cstheme="minorHAnsi"/>
          <w:szCs w:val="28"/>
        </w:rPr>
        <w:t>on</w:t>
      </w:r>
      <w:r w:rsidR="00743994" w:rsidRPr="00A13D49">
        <w:rPr>
          <w:rFonts w:eastAsiaTheme="minorEastAsia" w:cstheme="minorHAnsi"/>
          <w:szCs w:val="28"/>
        </w:rPr>
        <w:t xml:space="preserve"> the draft</w:t>
      </w:r>
      <w:r w:rsidR="00092824" w:rsidRPr="00A13D49">
        <w:rPr>
          <w:rFonts w:eastAsiaTheme="minorEastAsia" w:cstheme="minorHAnsi"/>
          <w:szCs w:val="28"/>
        </w:rPr>
        <w:t xml:space="preserve"> 2023</w:t>
      </w:r>
      <w:r w:rsidR="00743994" w:rsidRPr="00A13D49">
        <w:rPr>
          <w:rFonts w:eastAsiaTheme="minorEastAsia" w:cstheme="minorHAnsi"/>
          <w:szCs w:val="28"/>
        </w:rPr>
        <w:t xml:space="preserve"> Reg</w:t>
      </w:r>
      <w:r w:rsidR="00092824" w:rsidRPr="00A13D49">
        <w:rPr>
          <w:rFonts w:eastAsiaTheme="minorEastAsia" w:cstheme="minorHAnsi"/>
          <w:szCs w:val="28"/>
        </w:rPr>
        <w:t>ulations</w:t>
      </w:r>
      <w:r w:rsidR="00743994" w:rsidRPr="00A13D49">
        <w:rPr>
          <w:rFonts w:eastAsiaTheme="minorEastAsia" w:cstheme="minorHAnsi"/>
          <w:szCs w:val="28"/>
        </w:rPr>
        <w:t xml:space="preserve"> before being passed by Parliament.</w:t>
      </w:r>
    </w:p>
    <w:p w14:paraId="15FAAE66" w14:textId="08954F96" w:rsidR="00A13D49" w:rsidRPr="00A13D49" w:rsidRDefault="00A13D49" w:rsidP="00A13D49">
      <w:pPr>
        <w:pStyle w:val="ListParagraph"/>
        <w:spacing w:after="240"/>
        <w:contextualSpacing w:val="0"/>
        <w:rPr>
          <w:rFonts w:eastAsiaTheme="minorEastAsia" w:cstheme="minorHAnsi"/>
          <w:b/>
          <w:bCs/>
          <w:szCs w:val="28"/>
        </w:rPr>
      </w:pPr>
      <w:r w:rsidRPr="00A13D49">
        <w:rPr>
          <w:rFonts w:eastAsiaTheme="minorEastAsia" w:cstheme="minorHAnsi"/>
          <w:b/>
          <w:bCs/>
          <w:szCs w:val="28"/>
        </w:rPr>
        <w:t>Recommendations</w:t>
      </w:r>
    </w:p>
    <w:p w14:paraId="58F25AA7" w14:textId="5984E1F6" w:rsidR="00BD6DF8" w:rsidRPr="00977548" w:rsidRDefault="00D603B7" w:rsidP="003F6C35">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b/>
          <w:bCs/>
          <w:szCs w:val="28"/>
        </w:rPr>
        <w:t>The Commissions</w:t>
      </w:r>
      <w:r w:rsidR="00075BA3" w:rsidRPr="00977548">
        <w:rPr>
          <w:rFonts w:eastAsiaTheme="minorEastAsia" w:cstheme="minorHAnsi"/>
          <w:b/>
          <w:bCs/>
          <w:szCs w:val="28"/>
        </w:rPr>
        <w:t xml:space="preserve"> recommend that equality and human rights considerations are built into all key stages of the ‘Stormont Brake’ mechanism, including inquiries</w:t>
      </w:r>
      <w:r w:rsidR="004847A7" w:rsidRPr="00977548">
        <w:rPr>
          <w:rFonts w:eastAsiaTheme="minorEastAsia" w:cstheme="minorHAnsi"/>
          <w:b/>
          <w:bCs/>
          <w:szCs w:val="28"/>
        </w:rPr>
        <w:t xml:space="preserve"> by the </w:t>
      </w:r>
      <w:r w:rsidR="00B43B22" w:rsidRPr="00977548">
        <w:rPr>
          <w:rFonts w:eastAsiaTheme="minorEastAsia" w:cstheme="minorHAnsi"/>
          <w:b/>
          <w:bCs/>
          <w:szCs w:val="28"/>
        </w:rPr>
        <w:t>WF</w:t>
      </w:r>
      <w:r w:rsidR="00EB72D0" w:rsidRPr="00977548">
        <w:rPr>
          <w:rFonts w:eastAsiaTheme="minorEastAsia" w:cstheme="minorHAnsi"/>
          <w:b/>
          <w:bCs/>
          <w:szCs w:val="28"/>
        </w:rPr>
        <w:t xml:space="preserve">DS </w:t>
      </w:r>
      <w:r w:rsidR="002B4465" w:rsidRPr="00977548">
        <w:rPr>
          <w:rFonts w:eastAsiaTheme="minorEastAsia" w:cstheme="minorHAnsi"/>
          <w:b/>
          <w:bCs/>
          <w:szCs w:val="28"/>
        </w:rPr>
        <w:t>Committee</w:t>
      </w:r>
      <w:r w:rsidR="004847A7" w:rsidRPr="00977548">
        <w:rPr>
          <w:rFonts w:eastAsiaTheme="minorEastAsia" w:cstheme="minorHAnsi"/>
          <w:b/>
          <w:bCs/>
          <w:szCs w:val="28"/>
        </w:rPr>
        <w:t>.</w:t>
      </w:r>
      <w:r w:rsidR="00BD6DF8" w:rsidRPr="00977548">
        <w:rPr>
          <w:rFonts w:eastAsiaTheme="minorEastAsia" w:cstheme="minorHAnsi"/>
          <w:b/>
          <w:bCs/>
          <w:szCs w:val="28"/>
        </w:rPr>
        <w:t xml:space="preserve"> </w:t>
      </w:r>
    </w:p>
    <w:p w14:paraId="2BE6F788" w14:textId="59DD8943" w:rsidR="006B17AF" w:rsidRPr="00977548" w:rsidRDefault="00D603B7" w:rsidP="003F6C35">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b/>
          <w:bCs/>
          <w:szCs w:val="28"/>
        </w:rPr>
        <w:lastRenderedPageBreak/>
        <w:t>W</w:t>
      </w:r>
      <w:r w:rsidR="00075BA3" w:rsidRPr="00977548">
        <w:rPr>
          <w:rFonts w:eastAsiaTheme="minorEastAsia" w:cstheme="minorHAnsi"/>
          <w:b/>
          <w:bCs/>
          <w:szCs w:val="28"/>
        </w:rPr>
        <w:t xml:space="preserve">e recommend that the </w:t>
      </w:r>
      <w:r w:rsidR="005E0FEC" w:rsidRPr="00977548">
        <w:rPr>
          <w:rFonts w:eastAsiaTheme="minorEastAsia" w:cstheme="minorHAnsi"/>
          <w:b/>
          <w:bCs/>
          <w:szCs w:val="28"/>
        </w:rPr>
        <w:t xml:space="preserve">WFDS </w:t>
      </w:r>
      <w:r w:rsidR="00075BA3" w:rsidRPr="00977548">
        <w:rPr>
          <w:rFonts w:eastAsiaTheme="minorEastAsia" w:cstheme="minorHAnsi"/>
          <w:b/>
          <w:bCs/>
          <w:szCs w:val="28"/>
        </w:rPr>
        <w:t>Committee undertake</w:t>
      </w:r>
      <w:r w:rsidR="005E0FEC" w:rsidRPr="00977548">
        <w:rPr>
          <w:rFonts w:eastAsiaTheme="minorEastAsia" w:cstheme="minorHAnsi"/>
          <w:b/>
          <w:bCs/>
          <w:szCs w:val="28"/>
        </w:rPr>
        <w:t>s</w:t>
      </w:r>
      <w:r w:rsidR="00075BA3" w:rsidRPr="00977548">
        <w:rPr>
          <w:rFonts w:eastAsiaTheme="minorEastAsia" w:cstheme="minorHAnsi"/>
          <w:b/>
          <w:bCs/>
          <w:szCs w:val="28"/>
        </w:rPr>
        <w:t xml:space="preserve"> </w:t>
      </w:r>
      <w:r w:rsidR="00D20DBF" w:rsidRPr="00977548">
        <w:rPr>
          <w:rFonts w:eastAsiaTheme="minorEastAsia" w:cstheme="minorHAnsi"/>
          <w:b/>
          <w:bCs/>
          <w:szCs w:val="28"/>
        </w:rPr>
        <w:t>meaningful</w:t>
      </w:r>
      <w:r w:rsidR="00075BA3" w:rsidRPr="00977548">
        <w:rPr>
          <w:rFonts w:eastAsiaTheme="minorEastAsia" w:cstheme="minorHAnsi"/>
          <w:b/>
          <w:bCs/>
          <w:szCs w:val="28"/>
        </w:rPr>
        <w:t xml:space="preserve"> </w:t>
      </w:r>
      <w:r w:rsidR="00653C7D" w:rsidRPr="00977548">
        <w:rPr>
          <w:rFonts w:eastAsiaTheme="minorEastAsia" w:cstheme="minorHAnsi"/>
          <w:b/>
          <w:bCs/>
          <w:szCs w:val="28"/>
        </w:rPr>
        <w:t xml:space="preserve">and timely </w:t>
      </w:r>
      <w:r w:rsidR="00075BA3" w:rsidRPr="00977548">
        <w:rPr>
          <w:rFonts w:eastAsiaTheme="minorEastAsia" w:cstheme="minorHAnsi"/>
          <w:b/>
          <w:bCs/>
          <w:szCs w:val="28"/>
        </w:rPr>
        <w:t>engagement with equality and human rights groups in NI and the Commissions</w:t>
      </w:r>
      <w:r w:rsidR="000D497C" w:rsidRPr="00977548">
        <w:rPr>
          <w:rFonts w:eastAsiaTheme="minorEastAsia" w:cstheme="minorHAnsi"/>
          <w:b/>
          <w:bCs/>
          <w:szCs w:val="28"/>
        </w:rPr>
        <w:t xml:space="preserve"> </w:t>
      </w:r>
      <w:r w:rsidR="006868A3" w:rsidRPr="00977548">
        <w:rPr>
          <w:rFonts w:eastAsiaTheme="minorEastAsia" w:cstheme="minorHAnsi"/>
          <w:b/>
          <w:bCs/>
          <w:szCs w:val="28"/>
        </w:rPr>
        <w:t xml:space="preserve">in relation to a </w:t>
      </w:r>
      <w:r w:rsidR="00CC47EA" w:rsidRPr="00977548">
        <w:rPr>
          <w:rFonts w:eastAsiaTheme="minorEastAsia" w:cstheme="minorHAnsi"/>
          <w:b/>
          <w:bCs/>
          <w:szCs w:val="28"/>
        </w:rPr>
        <w:t xml:space="preserve">proposed </w:t>
      </w:r>
      <w:r w:rsidR="006868A3" w:rsidRPr="00977548">
        <w:rPr>
          <w:rFonts w:eastAsiaTheme="minorEastAsia" w:cstheme="minorHAnsi"/>
          <w:b/>
          <w:bCs/>
          <w:szCs w:val="28"/>
        </w:rPr>
        <w:t xml:space="preserve">EU measure, </w:t>
      </w:r>
      <w:r w:rsidR="006B17AF" w:rsidRPr="00977548">
        <w:rPr>
          <w:rFonts w:eastAsiaTheme="minorEastAsia" w:cstheme="minorHAnsi"/>
          <w:b/>
          <w:bCs/>
          <w:szCs w:val="28"/>
        </w:rPr>
        <w:t>or</w:t>
      </w:r>
      <w:r w:rsidR="006868A3" w:rsidRPr="00977548">
        <w:rPr>
          <w:rFonts w:eastAsiaTheme="minorEastAsia" w:cstheme="minorHAnsi"/>
          <w:b/>
          <w:bCs/>
          <w:szCs w:val="28"/>
        </w:rPr>
        <w:t xml:space="preserve"> a replacement EU act, </w:t>
      </w:r>
      <w:r w:rsidR="0005424F" w:rsidRPr="00977548">
        <w:rPr>
          <w:rFonts w:eastAsiaTheme="minorEastAsia" w:cstheme="minorHAnsi"/>
          <w:b/>
          <w:bCs/>
          <w:szCs w:val="28"/>
        </w:rPr>
        <w:t xml:space="preserve">so as to seek their views on the </w:t>
      </w:r>
      <w:r w:rsidR="006868A3" w:rsidRPr="00977548">
        <w:rPr>
          <w:rFonts w:eastAsiaTheme="minorEastAsia" w:cstheme="minorHAnsi"/>
          <w:b/>
          <w:bCs/>
          <w:szCs w:val="28"/>
        </w:rPr>
        <w:t xml:space="preserve">implications </w:t>
      </w:r>
      <w:r w:rsidR="001A2530" w:rsidRPr="00977548">
        <w:rPr>
          <w:rFonts w:eastAsiaTheme="minorEastAsia" w:cstheme="minorHAnsi"/>
          <w:b/>
          <w:bCs/>
          <w:szCs w:val="28"/>
        </w:rPr>
        <w:t>for</w:t>
      </w:r>
      <w:r w:rsidR="006868A3" w:rsidRPr="00977548">
        <w:rPr>
          <w:rFonts w:eastAsiaTheme="minorEastAsia" w:cstheme="minorHAnsi"/>
          <w:b/>
          <w:bCs/>
          <w:szCs w:val="28"/>
        </w:rPr>
        <w:t xml:space="preserve"> the promotion and protection of equality and human rights in N</w:t>
      </w:r>
      <w:r w:rsidR="00E6206A">
        <w:rPr>
          <w:rFonts w:eastAsiaTheme="minorEastAsia" w:cstheme="minorHAnsi"/>
          <w:b/>
          <w:bCs/>
          <w:szCs w:val="28"/>
        </w:rPr>
        <w:t>I</w:t>
      </w:r>
      <w:r w:rsidR="006868A3" w:rsidRPr="00977548">
        <w:rPr>
          <w:rFonts w:eastAsiaTheme="minorEastAsia" w:cstheme="minorHAnsi"/>
          <w:b/>
          <w:bCs/>
          <w:szCs w:val="28"/>
        </w:rPr>
        <w:t xml:space="preserve">. </w:t>
      </w:r>
    </w:p>
    <w:p w14:paraId="40B7AB13" w14:textId="22E7A296" w:rsidR="003F78F7" w:rsidRPr="00977548" w:rsidRDefault="00D603B7" w:rsidP="003F6C35">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b/>
          <w:bCs/>
          <w:szCs w:val="28"/>
        </w:rPr>
        <w:t>We</w:t>
      </w:r>
      <w:r w:rsidR="00075BA3" w:rsidRPr="00977548">
        <w:rPr>
          <w:rFonts w:eastAsiaTheme="minorEastAsia" w:cstheme="minorHAnsi"/>
          <w:b/>
          <w:bCs/>
          <w:szCs w:val="28"/>
        </w:rPr>
        <w:t xml:space="preserve"> recommend that the word ‘communities’</w:t>
      </w:r>
      <w:r w:rsidR="008B2559" w:rsidRPr="00977548">
        <w:rPr>
          <w:rFonts w:eastAsiaTheme="minorEastAsia" w:cstheme="minorHAnsi"/>
          <w:b/>
          <w:bCs/>
          <w:szCs w:val="28"/>
        </w:rPr>
        <w:t xml:space="preserve"> is interpretated </w:t>
      </w:r>
      <w:r w:rsidR="008B2559" w:rsidRPr="00977548">
        <w:rPr>
          <w:rFonts w:eastAsia="Times New Roman"/>
          <w:b/>
          <w:bCs/>
        </w:rPr>
        <w:t xml:space="preserve">broadly </w:t>
      </w:r>
      <w:r w:rsidR="001F01CF" w:rsidRPr="00977548">
        <w:rPr>
          <w:rFonts w:eastAsia="Times New Roman"/>
          <w:b/>
          <w:bCs/>
        </w:rPr>
        <w:t>to include</w:t>
      </w:r>
      <w:r w:rsidR="00D15C2F" w:rsidRPr="00977548">
        <w:rPr>
          <w:rFonts w:eastAsia="Times New Roman"/>
          <w:b/>
          <w:bCs/>
        </w:rPr>
        <w:t xml:space="preserve"> a</w:t>
      </w:r>
      <w:r w:rsidR="001F01CF" w:rsidRPr="00977548">
        <w:rPr>
          <w:rFonts w:eastAsia="Times New Roman"/>
          <w:b/>
          <w:bCs/>
        </w:rPr>
        <w:t xml:space="preserve"> consideration of, for example, equality and human rights impacts includ</w:t>
      </w:r>
      <w:r w:rsidR="0064472F" w:rsidRPr="00977548">
        <w:rPr>
          <w:rFonts w:eastAsia="Times New Roman"/>
          <w:b/>
          <w:bCs/>
        </w:rPr>
        <w:t>ing the impacts</w:t>
      </w:r>
      <w:r w:rsidR="001F01CF" w:rsidRPr="00977548">
        <w:rPr>
          <w:rFonts w:eastAsia="Times New Roman"/>
          <w:b/>
          <w:bCs/>
        </w:rPr>
        <w:t xml:space="preserve">, for example, </w:t>
      </w:r>
      <w:r w:rsidR="0064472F" w:rsidRPr="00977548">
        <w:rPr>
          <w:rFonts w:eastAsia="Times New Roman"/>
          <w:b/>
          <w:bCs/>
        </w:rPr>
        <w:t xml:space="preserve">on </w:t>
      </w:r>
      <w:r w:rsidR="00D15C2F" w:rsidRPr="00977548">
        <w:rPr>
          <w:rFonts w:eastAsia="Times New Roman"/>
          <w:b/>
          <w:bCs/>
        </w:rPr>
        <w:t xml:space="preserve">Section 75 equality </w:t>
      </w:r>
      <w:r w:rsidR="001F01CF" w:rsidRPr="00977548">
        <w:rPr>
          <w:rFonts w:eastAsia="Times New Roman"/>
          <w:b/>
          <w:bCs/>
        </w:rPr>
        <w:t>groups</w:t>
      </w:r>
      <w:r w:rsidR="00D15C2F" w:rsidRPr="00977548">
        <w:rPr>
          <w:rFonts w:eastAsia="Times New Roman"/>
          <w:b/>
          <w:bCs/>
        </w:rPr>
        <w:t>.</w:t>
      </w:r>
      <w:r w:rsidR="00D15C2F" w:rsidRPr="00977548">
        <w:rPr>
          <w:b/>
          <w:bCs/>
        </w:rPr>
        <w:t xml:space="preserve"> </w:t>
      </w:r>
    </w:p>
    <w:p w14:paraId="59606A5C" w14:textId="2B5526C4" w:rsidR="000F0BE2" w:rsidRPr="00977548" w:rsidRDefault="00D603B7" w:rsidP="003F6C35">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b/>
          <w:bCs/>
          <w:szCs w:val="28"/>
        </w:rPr>
        <w:t>We</w:t>
      </w:r>
      <w:r w:rsidR="00C072E5" w:rsidRPr="00977548">
        <w:rPr>
          <w:rFonts w:eastAsiaTheme="minorEastAsia" w:cstheme="minorHAnsi"/>
          <w:b/>
          <w:bCs/>
          <w:szCs w:val="28"/>
        </w:rPr>
        <w:t xml:space="preserve"> </w:t>
      </w:r>
      <w:r w:rsidR="00D13CE5" w:rsidRPr="00977548">
        <w:rPr>
          <w:rFonts w:eastAsiaTheme="minorEastAsia" w:cstheme="minorHAnsi"/>
          <w:b/>
          <w:bCs/>
          <w:szCs w:val="28"/>
        </w:rPr>
        <w:t xml:space="preserve">recommend </w:t>
      </w:r>
      <w:r w:rsidR="00075BA3" w:rsidRPr="00977548">
        <w:rPr>
          <w:rFonts w:eastAsiaTheme="minorEastAsia" w:cstheme="minorHAnsi"/>
          <w:b/>
          <w:bCs/>
          <w:szCs w:val="28"/>
        </w:rPr>
        <w:t xml:space="preserve">that equality and </w:t>
      </w:r>
      <w:r w:rsidR="00C072E5" w:rsidRPr="00977548">
        <w:rPr>
          <w:rFonts w:eastAsiaTheme="minorEastAsia" w:cstheme="minorHAnsi"/>
          <w:b/>
          <w:bCs/>
          <w:szCs w:val="28"/>
        </w:rPr>
        <w:t>human rights</w:t>
      </w:r>
      <w:r w:rsidR="00075BA3" w:rsidRPr="00977548">
        <w:rPr>
          <w:rFonts w:eastAsiaTheme="minorEastAsia" w:cstheme="minorHAnsi"/>
          <w:b/>
          <w:bCs/>
          <w:szCs w:val="28"/>
        </w:rPr>
        <w:t xml:space="preserve"> considerations are built into the revised process under </w:t>
      </w:r>
      <w:r w:rsidR="00D13CE5" w:rsidRPr="00977548">
        <w:rPr>
          <w:rFonts w:eastAsiaTheme="minorEastAsia" w:cstheme="minorHAnsi"/>
          <w:b/>
          <w:bCs/>
          <w:szCs w:val="28"/>
        </w:rPr>
        <w:t xml:space="preserve">original </w:t>
      </w:r>
      <w:r w:rsidR="00075BA3" w:rsidRPr="00977548">
        <w:rPr>
          <w:rFonts w:eastAsiaTheme="minorEastAsia" w:cstheme="minorHAnsi"/>
          <w:b/>
          <w:bCs/>
          <w:szCs w:val="28"/>
        </w:rPr>
        <w:t>Protocol Article 13(4).</w:t>
      </w:r>
      <w:r w:rsidR="000F0BE2" w:rsidRPr="000F0BE2">
        <w:t xml:space="preserve"> </w:t>
      </w:r>
    </w:p>
    <w:p w14:paraId="3D058200" w14:textId="7CBCF19C" w:rsidR="00F749B4" w:rsidRPr="00977548" w:rsidRDefault="00D13CE5" w:rsidP="008F0CA4">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b/>
          <w:bCs/>
          <w:szCs w:val="28"/>
        </w:rPr>
        <w:t>We also recommend that t</w:t>
      </w:r>
      <w:r w:rsidR="00075BA3" w:rsidRPr="00977548">
        <w:rPr>
          <w:rFonts w:eastAsiaTheme="minorEastAsia" w:cstheme="minorHAnsi"/>
          <w:b/>
          <w:bCs/>
          <w:szCs w:val="28"/>
        </w:rPr>
        <w:t>he NI Assembly</w:t>
      </w:r>
      <w:r w:rsidR="007E1BFD" w:rsidRPr="00977548">
        <w:rPr>
          <w:rFonts w:eastAsiaTheme="minorEastAsia" w:cstheme="minorHAnsi"/>
          <w:b/>
          <w:bCs/>
          <w:szCs w:val="28"/>
        </w:rPr>
        <w:t xml:space="preserve">, in advance of passing an applicability motion regarding the addition of a new measure to an Annex of the Windsor Framework, </w:t>
      </w:r>
      <w:r w:rsidR="00075BA3" w:rsidRPr="00977548">
        <w:rPr>
          <w:rFonts w:eastAsiaTheme="minorEastAsia" w:cstheme="minorHAnsi"/>
          <w:b/>
          <w:bCs/>
          <w:szCs w:val="28"/>
        </w:rPr>
        <w:t xml:space="preserve">should </w:t>
      </w:r>
      <w:proofErr w:type="gramStart"/>
      <w:r w:rsidR="00075BA3" w:rsidRPr="00977548">
        <w:rPr>
          <w:rFonts w:eastAsiaTheme="minorEastAsia" w:cstheme="minorHAnsi"/>
          <w:b/>
          <w:bCs/>
          <w:szCs w:val="28"/>
        </w:rPr>
        <w:t>give consideration to</w:t>
      </w:r>
      <w:proofErr w:type="gramEnd"/>
      <w:r w:rsidR="00075BA3" w:rsidRPr="00977548">
        <w:rPr>
          <w:rFonts w:eastAsiaTheme="minorEastAsia" w:cstheme="minorHAnsi"/>
          <w:b/>
          <w:bCs/>
          <w:szCs w:val="28"/>
        </w:rPr>
        <w:t xml:space="preserve"> </w:t>
      </w:r>
      <w:r w:rsidR="00C5785B" w:rsidRPr="00977548">
        <w:rPr>
          <w:rFonts w:eastAsiaTheme="minorEastAsia" w:cstheme="minorHAnsi"/>
          <w:b/>
          <w:bCs/>
          <w:szCs w:val="28"/>
        </w:rPr>
        <w:t xml:space="preserve">meaningful and timely engagement </w:t>
      </w:r>
      <w:r w:rsidR="00075BA3" w:rsidRPr="00977548">
        <w:rPr>
          <w:rFonts w:eastAsiaTheme="minorEastAsia" w:cstheme="minorHAnsi"/>
          <w:b/>
          <w:bCs/>
          <w:szCs w:val="28"/>
        </w:rPr>
        <w:t xml:space="preserve">with the Commissions and equality and </w:t>
      </w:r>
      <w:r w:rsidR="00C5785B" w:rsidRPr="00977548">
        <w:rPr>
          <w:rFonts w:eastAsiaTheme="minorEastAsia" w:cstheme="minorHAnsi"/>
          <w:b/>
          <w:bCs/>
          <w:szCs w:val="28"/>
        </w:rPr>
        <w:t>human rights</w:t>
      </w:r>
      <w:r w:rsidR="00075BA3" w:rsidRPr="00977548">
        <w:rPr>
          <w:rFonts w:eastAsiaTheme="minorEastAsia" w:cstheme="minorHAnsi"/>
          <w:b/>
          <w:bCs/>
          <w:szCs w:val="28"/>
        </w:rPr>
        <w:t xml:space="preserve"> stakeholders.</w:t>
      </w:r>
      <w:r w:rsidR="00F749B4" w:rsidRPr="00977548">
        <w:rPr>
          <w:rFonts w:eastAsiaTheme="minorEastAsia" w:cstheme="minorHAnsi"/>
          <w:b/>
          <w:bCs/>
          <w:szCs w:val="28"/>
        </w:rPr>
        <w:t xml:space="preserve"> </w:t>
      </w:r>
    </w:p>
    <w:p w14:paraId="485AFFF1" w14:textId="77777777" w:rsidR="00977548" w:rsidRPr="00977548" w:rsidRDefault="00977548" w:rsidP="00977548">
      <w:pPr>
        <w:spacing w:after="240"/>
        <w:rPr>
          <w:rFonts w:eastAsiaTheme="minorEastAsia" w:cstheme="minorHAnsi"/>
          <w:b/>
          <w:bCs/>
          <w:szCs w:val="28"/>
        </w:rPr>
      </w:pPr>
      <w:bookmarkStart w:id="9" w:name="_Toc133911788"/>
      <w:r w:rsidRPr="00297166">
        <w:rPr>
          <w:rStyle w:val="Heading3Char"/>
        </w:rPr>
        <w:t>New structures for UK-EU cooperation</w:t>
      </w:r>
      <w:bookmarkEnd w:id="9"/>
      <w:r w:rsidRPr="00977548">
        <w:rPr>
          <w:rFonts w:eastAsiaTheme="minorEastAsia" w:cstheme="minorHAnsi"/>
          <w:b/>
          <w:bCs/>
          <w:szCs w:val="28"/>
          <w:u w:val="single"/>
        </w:rPr>
        <w:t xml:space="preserve">: </w:t>
      </w:r>
      <w:r w:rsidRPr="00297166">
        <w:rPr>
          <w:rFonts w:eastAsiaTheme="minorEastAsia" w:cstheme="minorHAnsi"/>
          <w:b/>
          <w:bCs/>
          <w:szCs w:val="28"/>
        </w:rPr>
        <w:t>Question 17</w:t>
      </w:r>
      <w:r w:rsidRPr="00977548">
        <w:rPr>
          <w:rFonts w:eastAsiaTheme="minorEastAsia" w:cstheme="minorHAnsi"/>
          <w:b/>
          <w:bCs/>
          <w:szCs w:val="28"/>
        </w:rPr>
        <w:t>. How would you assess the Framework’s enhanced mechanisms for UK-EU cooperation, including the Special Body on Goods, the Enhanced Coordination Mechanism on VAT and excise, sub-groups to the Joint Consultative Working Group?</w:t>
      </w:r>
    </w:p>
    <w:p w14:paraId="0D97FEAA" w14:textId="6619A302" w:rsidR="00977548" w:rsidRPr="001B1B06" w:rsidRDefault="00977548" w:rsidP="001B1B06">
      <w:pPr>
        <w:spacing w:after="240"/>
        <w:rPr>
          <w:rFonts w:eastAsiaTheme="minorEastAsia" w:cstheme="minorHAnsi"/>
          <w:b/>
          <w:bCs/>
          <w:szCs w:val="28"/>
        </w:rPr>
      </w:pPr>
      <w:r w:rsidRPr="001B1B06">
        <w:rPr>
          <w:rFonts w:eastAsiaTheme="minorEastAsia" w:cstheme="minorHAnsi"/>
          <w:b/>
          <w:bCs/>
          <w:szCs w:val="28"/>
        </w:rPr>
        <w:t>Response</w:t>
      </w:r>
    </w:p>
    <w:p w14:paraId="75EEF015" w14:textId="13E9B814" w:rsidR="009053EB" w:rsidRPr="00977548" w:rsidRDefault="009053EB" w:rsidP="00977548">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color w:val="000000"/>
          <w:szCs w:val="28"/>
        </w:rPr>
        <w:t xml:space="preserve">The Commissions had previously made clear in its evidence to the Sub-Committee that the UK Government should </w:t>
      </w:r>
      <w:proofErr w:type="gramStart"/>
      <w:r w:rsidRPr="00977548">
        <w:rPr>
          <w:rFonts w:eastAsiaTheme="minorEastAsia" w:cstheme="minorHAnsi"/>
          <w:color w:val="000000"/>
          <w:szCs w:val="28"/>
        </w:rPr>
        <w:t>give consideration to</w:t>
      </w:r>
      <w:proofErr w:type="gramEnd"/>
      <w:r w:rsidRPr="00977548">
        <w:rPr>
          <w:rFonts w:eastAsiaTheme="minorEastAsia" w:cstheme="minorHAnsi"/>
          <w:color w:val="000000"/>
          <w:szCs w:val="28"/>
        </w:rPr>
        <w:t xml:space="preserve"> putting in place appropriate arrangements to ensure that there is regular and meaningful engagement between the Joint Consultative Working Group and the Commissions, as well as with equality and human rights stakeholders in </w:t>
      </w:r>
      <w:r w:rsidR="006F4D3B" w:rsidRPr="00977548">
        <w:rPr>
          <w:rFonts w:eastAsiaTheme="minorEastAsia" w:cstheme="minorHAnsi"/>
          <w:color w:val="000000"/>
          <w:szCs w:val="28"/>
        </w:rPr>
        <w:t>NI</w:t>
      </w:r>
      <w:r w:rsidRPr="00977548">
        <w:rPr>
          <w:rFonts w:eastAsiaTheme="minorEastAsia" w:cstheme="minorHAnsi"/>
          <w:color w:val="000000"/>
          <w:szCs w:val="28"/>
        </w:rPr>
        <w:t xml:space="preserve">, in relation to the commitment set out in Article 2 of the Windsor Framework. </w:t>
      </w:r>
    </w:p>
    <w:p w14:paraId="2E74F11C" w14:textId="45E5E023" w:rsidR="009053EB" w:rsidRPr="00977548" w:rsidRDefault="009053EB" w:rsidP="00977548">
      <w:pPr>
        <w:pStyle w:val="ListParagraph"/>
        <w:numPr>
          <w:ilvl w:val="1"/>
          <w:numId w:val="8"/>
        </w:numPr>
        <w:spacing w:after="240"/>
        <w:ind w:left="720" w:hanging="720"/>
        <w:contextualSpacing w:val="0"/>
        <w:rPr>
          <w:rFonts w:eastAsiaTheme="minorEastAsia" w:cstheme="minorHAnsi"/>
          <w:szCs w:val="28"/>
        </w:rPr>
      </w:pPr>
      <w:r w:rsidRPr="00977548">
        <w:rPr>
          <w:rFonts w:eastAsiaTheme="minorEastAsia" w:cstheme="minorHAnsi"/>
          <w:color w:val="000000"/>
          <w:szCs w:val="28"/>
        </w:rPr>
        <w:t xml:space="preserve">We welcome that the Sub-Committee had raised this matter with the Secretary of State for Northern Ireland in its letter on Article 2 (rights of individuals), including stressing the importance of meetings between the </w:t>
      </w:r>
      <w:r w:rsidRPr="00977548">
        <w:rPr>
          <w:rFonts w:eastAsiaTheme="minorEastAsia" w:cstheme="minorHAnsi"/>
          <w:color w:val="000000"/>
          <w:szCs w:val="28"/>
        </w:rPr>
        <w:lastRenderedPageBreak/>
        <w:t xml:space="preserve">Commissions and the JCWG. To date the Commissions have not had the opportunity to meet with the JCWG; though </w:t>
      </w:r>
      <w:r w:rsidR="0086106A">
        <w:rPr>
          <w:rFonts w:eastAsiaTheme="minorEastAsia" w:cstheme="minorHAnsi"/>
          <w:color w:val="000000"/>
          <w:szCs w:val="28"/>
        </w:rPr>
        <w:t>we</w:t>
      </w:r>
      <w:r w:rsidRPr="00977548">
        <w:rPr>
          <w:rFonts w:eastAsiaTheme="minorEastAsia" w:cstheme="minorHAnsi"/>
          <w:color w:val="000000"/>
          <w:szCs w:val="28"/>
        </w:rPr>
        <w:t xml:space="preserve"> ha</w:t>
      </w:r>
      <w:r w:rsidR="0086106A">
        <w:rPr>
          <w:rFonts w:eastAsiaTheme="minorEastAsia" w:cstheme="minorHAnsi"/>
          <w:color w:val="000000"/>
          <w:szCs w:val="28"/>
        </w:rPr>
        <w:t>ve</w:t>
      </w:r>
      <w:r w:rsidRPr="00977548">
        <w:rPr>
          <w:rFonts w:eastAsiaTheme="minorEastAsia" w:cstheme="minorHAnsi"/>
          <w:color w:val="000000"/>
          <w:szCs w:val="28"/>
        </w:rPr>
        <w:t xml:space="preserve"> welcomed the opportunity to meet with the UK co-chair of the JCWG</w:t>
      </w:r>
      <w:r w:rsidR="00D70CE0">
        <w:rPr>
          <w:rFonts w:eastAsiaTheme="minorEastAsia" w:cstheme="minorHAnsi"/>
          <w:color w:val="000000"/>
          <w:szCs w:val="28"/>
        </w:rPr>
        <w:t xml:space="preserve"> and, separately, with the EU co-chair</w:t>
      </w:r>
      <w:r w:rsidRPr="00977548">
        <w:rPr>
          <w:rFonts w:eastAsiaTheme="minorEastAsia" w:cstheme="minorHAnsi"/>
          <w:color w:val="000000"/>
          <w:szCs w:val="28"/>
        </w:rPr>
        <w:t>.</w:t>
      </w:r>
    </w:p>
    <w:p w14:paraId="37BCD453" w14:textId="183921F6" w:rsidR="00223110" w:rsidRPr="00AE6627" w:rsidRDefault="00BA0E2E" w:rsidP="00977548">
      <w:pPr>
        <w:pStyle w:val="ListParagraph"/>
        <w:numPr>
          <w:ilvl w:val="1"/>
          <w:numId w:val="8"/>
        </w:numPr>
        <w:spacing w:after="240"/>
        <w:ind w:left="720" w:hanging="720"/>
        <w:contextualSpacing w:val="0"/>
        <w:rPr>
          <w:rFonts w:eastAsiaTheme="minorEastAsia" w:cstheme="minorHAnsi"/>
          <w:szCs w:val="28"/>
        </w:rPr>
      </w:pPr>
      <w:r>
        <w:t>We would ask the Committee to note that a</w:t>
      </w:r>
      <w:r w:rsidR="00703EE2">
        <w:t xml:space="preserve"> public awareness survey </w:t>
      </w:r>
      <w:r>
        <w:t xml:space="preserve">commissioned </w:t>
      </w:r>
      <w:r w:rsidR="00703EE2">
        <w:t xml:space="preserve">by the Commissions has </w:t>
      </w:r>
      <w:r w:rsidR="00F632BD">
        <w:t xml:space="preserve">indicated that </w:t>
      </w:r>
      <w:r w:rsidR="00C14B82">
        <w:t>n</w:t>
      </w:r>
      <w:r w:rsidR="00C14B82" w:rsidRPr="00C14B82">
        <w:t>early three quarters (72%) of respondents felt that the UK Government’s commitment to ensuring that certain equality and human rights in N</w:t>
      </w:r>
      <w:r w:rsidR="003A2B88">
        <w:t>I</w:t>
      </w:r>
      <w:r w:rsidR="00C14B82" w:rsidRPr="00C14B82">
        <w:t xml:space="preserve"> will not be reduced as a result of Brexit was important</w:t>
      </w:r>
      <w:r w:rsidR="00EC14BA">
        <w:t>,</w:t>
      </w:r>
      <w:r w:rsidR="00C14B82" w:rsidRPr="00C14B82">
        <w:t xml:space="preserve"> or very important</w:t>
      </w:r>
      <w:r w:rsidR="00EC14BA">
        <w:t>,</w:t>
      </w:r>
      <w:r w:rsidR="00C14B82" w:rsidRPr="00C14B82">
        <w:t xml:space="preserve"> to them</w:t>
      </w:r>
      <w:r w:rsidR="00C14B82">
        <w:rPr>
          <w:rStyle w:val="FootnoteReference"/>
        </w:rPr>
        <w:footnoteReference w:id="13"/>
      </w:r>
      <w:r w:rsidR="00C14B82">
        <w:t xml:space="preserve">. Particularly in light of the importance of this commitment to individuals in NI, </w:t>
      </w:r>
      <w:r w:rsidR="00AC12E0">
        <w:t>and the emerging issues relating</w:t>
      </w:r>
      <w:r w:rsidR="00D04FB3">
        <w:t xml:space="preserve"> to the impact of Brexit on equality and human rights in NI, </w:t>
      </w:r>
      <w:r w:rsidR="00C14B82">
        <w:t>we consider that t</w:t>
      </w:r>
      <w:r w:rsidR="00223110">
        <w:t xml:space="preserve">he establishment of an </w:t>
      </w:r>
      <w:proofErr w:type="gramStart"/>
      <w:r w:rsidR="00223110">
        <w:t>Article</w:t>
      </w:r>
      <w:proofErr w:type="gramEnd"/>
      <w:r w:rsidR="00223110">
        <w:t xml:space="preserve"> 2 “structured </w:t>
      </w:r>
      <w:r w:rsidR="00D9698C">
        <w:t>sub-</w:t>
      </w:r>
      <w:r w:rsidR="00223110">
        <w:t>group” within the JCWG</w:t>
      </w:r>
      <w:r w:rsidR="005E4A95">
        <w:rPr>
          <w:rStyle w:val="FootnoteReference"/>
        </w:rPr>
        <w:footnoteReference w:id="14"/>
      </w:r>
      <w:r w:rsidR="00223110">
        <w:t xml:space="preserve"> could assist with ensuring regular and structured engagement and information exchange between the JCWG and the Commissions, as well as wider equality and human rights stakeholders.</w:t>
      </w:r>
    </w:p>
    <w:p w14:paraId="15983813" w14:textId="2032F821" w:rsidR="00AE6627" w:rsidRPr="00AE6627" w:rsidRDefault="00AE6627" w:rsidP="00AE6627">
      <w:pPr>
        <w:pStyle w:val="ListParagraph"/>
        <w:spacing w:after="240"/>
        <w:contextualSpacing w:val="0"/>
        <w:rPr>
          <w:rFonts w:eastAsiaTheme="minorEastAsia" w:cstheme="minorHAnsi"/>
          <w:b/>
          <w:bCs/>
          <w:szCs w:val="28"/>
        </w:rPr>
      </w:pPr>
      <w:r w:rsidRPr="00AE6627">
        <w:rPr>
          <w:b/>
          <w:bCs/>
        </w:rPr>
        <w:t>Recommendation</w:t>
      </w:r>
    </w:p>
    <w:p w14:paraId="66565C6A" w14:textId="162E5CE7" w:rsidR="0079699B" w:rsidRPr="00AE6627" w:rsidRDefault="0079699B" w:rsidP="00AE6627">
      <w:pPr>
        <w:pStyle w:val="ListParagraph"/>
        <w:numPr>
          <w:ilvl w:val="1"/>
          <w:numId w:val="8"/>
        </w:numPr>
        <w:spacing w:after="240"/>
        <w:ind w:left="720" w:hanging="720"/>
        <w:contextualSpacing w:val="0"/>
        <w:rPr>
          <w:rFonts w:eastAsiaTheme="minorEastAsia" w:cstheme="minorHAnsi"/>
          <w:szCs w:val="28"/>
        </w:rPr>
      </w:pPr>
      <w:r w:rsidRPr="00AE6627">
        <w:rPr>
          <w:rFonts w:eastAsiaTheme="minorEastAsia" w:cstheme="minorHAnsi"/>
          <w:b/>
          <w:bCs/>
          <w:color w:val="000000"/>
          <w:szCs w:val="28"/>
        </w:rPr>
        <w:t xml:space="preserve">The Commissions continue to recommend that the development of “structured </w:t>
      </w:r>
      <w:r w:rsidR="00DA0C58">
        <w:rPr>
          <w:rFonts w:eastAsiaTheme="minorEastAsia" w:cstheme="minorHAnsi"/>
          <w:b/>
          <w:bCs/>
          <w:color w:val="000000"/>
          <w:szCs w:val="28"/>
        </w:rPr>
        <w:t>sub-</w:t>
      </w:r>
      <w:r w:rsidRPr="00AE6627">
        <w:rPr>
          <w:rFonts w:eastAsiaTheme="minorEastAsia" w:cstheme="minorHAnsi"/>
          <w:b/>
          <w:bCs/>
          <w:color w:val="000000"/>
          <w:szCs w:val="28"/>
        </w:rPr>
        <w:t xml:space="preserve">groups” within the JCWG includes establishing a group that focuses on issues relating to </w:t>
      </w:r>
      <w:r w:rsidR="006537C5" w:rsidRPr="00AE6627">
        <w:rPr>
          <w:rFonts w:eastAsiaTheme="minorEastAsia" w:cstheme="minorHAnsi"/>
          <w:b/>
          <w:bCs/>
          <w:color w:val="000000"/>
          <w:szCs w:val="28"/>
        </w:rPr>
        <w:t xml:space="preserve">Windsor Framework </w:t>
      </w:r>
      <w:r w:rsidRPr="00AE6627">
        <w:rPr>
          <w:rFonts w:eastAsiaTheme="minorEastAsia" w:cstheme="minorHAnsi"/>
          <w:b/>
          <w:bCs/>
          <w:color w:val="000000"/>
          <w:szCs w:val="28"/>
        </w:rPr>
        <w:t>Article 2 and equality and human rights in N</w:t>
      </w:r>
      <w:r w:rsidR="006537C5" w:rsidRPr="00AE6627">
        <w:rPr>
          <w:rFonts w:eastAsiaTheme="minorEastAsia" w:cstheme="minorHAnsi"/>
          <w:b/>
          <w:bCs/>
          <w:color w:val="000000"/>
          <w:szCs w:val="28"/>
        </w:rPr>
        <w:t>I</w:t>
      </w:r>
      <w:r w:rsidR="00735B6D">
        <w:rPr>
          <w:rFonts w:eastAsiaTheme="minorEastAsia" w:cstheme="minorHAnsi"/>
          <w:b/>
          <w:bCs/>
          <w:color w:val="000000"/>
          <w:szCs w:val="28"/>
        </w:rPr>
        <w:t>.</w:t>
      </w:r>
    </w:p>
    <w:p w14:paraId="68F7F66F" w14:textId="77777777" w:rsidR="00AE6627" w:rsidRPr="00CE5436" w:rsidRDefault="00AE6627" w:rsidP="00AE6627">
      <w:pPr>
        <w:spacing w:after="240"/>
        <w:rPr>
          <w:rFonts w:eastAsiaTheme="minorEastAsia" w:cstheme="minorHAnsi"/>
          <w:b/>
          <w:bCs/>
          <w:szCs w:val="28"/>
          <w:u w:val="single"/>
        </w:rPr>
      </w:pPr>
      <w:bookmarkStart w:id="10" w:name="_Toc133911789"/>
      <w:r w:rsidRPr="00297166">
        <w:rPr>
          <w:rStyle w:val="Heading3Char"/>
        </w:rPr>
        <w:t>Engagement with Northern Ireland stakeholders</w:t>
      </w:r>
      <w:bookmarkEnd w:id="10"/>
      <w:r w:rsidRPr="00CE5436">
        <w:rPr>
          <w:rFonts w:eastAsiaTheme="minorEastAsia" w:cstheme="minorHAnsi"/>
          <w:b/>
          <w:bCs/>
          <w:szCs w:val="28"/>
          <w:u w:val="single"/>
        </w:rPr>
        <w:t xml:space="preserve">: </w:t>
      </w:r>
    </w:p>
    <w:p w14:paraId="5F2DF900" w14:textId="18FA8289" w:rsidR="00AE6627" w:rsidRPr="00CE5436" w:rsidRDefault="00AE6627" w:rsidP="00CE5436">
      <w:pPr>
        <w:spacing w:after="240"/>
        <w:rPr>
          <w:rFonts w:eastAsiaTheme="minorEastAsia" w:cstheme="minorHAnsi"/>
          <w:b/>
          <w:bCs/>
          <w:szCs w:val="28"/>
        </w:rPr>
      </w:pPr>
      <w:r w:rsidRPr="001B1B06">
        <w:rPr>
          <w:rFonts w:eastAsiaTheme="minorEastAsia" w:cstheme="minorHAnsi"/>
          <w:b/>
          <w:bCs/>
          <w:szCs w:val="28"/>
        </w:rPr>
        <w:t>Question 18.</w:t>
      </w:r>
      <w:r w:rsidRPr="00CE5436">
        <w:rPr>
          <w:rFonts w:eastAsiaTheme="minorEastAsia" w:cstheme="minorHAnsi"/>
          <w:b/>
          <w:bCs/>
          <w:szCs w:val="28"/>
        </w:rPr>
        <w:t xml:space="preserve"> What is your assessment of the Commission’s proposals for enhanced engagement with Northern Ireland stakeholders, including dedicated annual presentations, information sessions, workshops, and mechanisms for engagement with public consultations and impact assessments?</w:t>
      </w:r>
    </w:p>
    <w:p w14:paraId="01B65643" w14:textId="77777777" w:rsidR="00AE6627" w:rsidRPr="00CE5436" w:rsidRDefault="00AE6627" w:rsidP="00CE5436">
      <w:pPr>
        <w:spacing w:after="240"/>
        <w:rPr>
          <w:rFonts w:eastAsiaTheme="minorEastAsia" w:cstheme="minorHAnsi"/>
          <w:b/>
          <w:bCs/>
          <w:szCs w:val="28"/>
        </w:rPr>
      </w:pPr>
      <w:r w:rsidRPr="00CE5436">
        <w:rPr>
          <w:rFonts w:eastAsiaTheme="minorEastAsia" w:cstheme="minorHAnsi"/>
          <w:b/>
          <w:bCs/>
          <w:szCs w:val="28"/>
        </w:rPr>
        <w:lastRenderedPageBreak/>
        <w:t>Question 19. What steps should be taken by the EU to inform and consult Northern Ireland Executive Ministers and Assembly members on forthcoming legislative proposals applying to Northern Ireland?</w:t>
      </w:r>
    </w:p>
    <w:p w14:paraId="62EB4558" w14:textId="4B17F2F9" w:rsidR="00AE6627" w:rsidRPr="001B1B06" w:rsidRDefault="00AE6627" w:rsidP="001B1B06">
      <w:pPr>
        <w:spacing w:after="240"/>
        <w:rPr>
          <w:rFonts w:eastAsiaTheme="minorEastAsia" w:cstheme="minorHAnsi"/>
          <w:b/>
          <w:bCs/>
          <w:szCs w:val="28"/>
        </w:rPr>
      </w:pPr>
      <w:r w:rsidRPr="001B1B06">
        <w:rPr>
          <w:rFonts w:eastAsiaTheme="minorEastAsia" w:cstheme="minorHAnsi"/>
          <w:b/>
          <w:bCs/>
          <w:szCs w:val="28"/>
        </w:rPr>
        <w:t>Response</w:t>
      </w:r>
    </w:p>
    <w:p w14:paraId="7C775B46" w14:textId="2C86A042" w:rsidR="000C2D2A" w:rsidRPr="00CE5436" w:rsidRDefault="009E1CCB" w:rsidP="00AE6627">
      <w:pPr>
        <w:pStyle w:val="ListParagraph"/>
        <w:numPr>
          <w:ilvl w:val="1"/>
          <w:numId w:val="8"/>
        </w:numPr>
        <w:spacing w:after="240"/>
        <w:ind w:left="720" w:hanging="720"/>
        <w:contextualSpacing w:val="0"/>
        <w:rPr>
          <w:rFonts w:eastAsiaTheme="minorEastAsia" w:cstheme="minorHAnsi"/>
          <w:szCs w:val="28"/>
        </w:rPr>
      </w:pPr>
      <w:r w:rsidRPr="00AE6627">
        <w:rPr>
          <w:rFonts w:cstheme="minorHAnsi"/>
          <w:szCs w:val="28"/>
        </w:rPr>
        <w:t xml:space="preserve">The Commissions </w:t>
      </w:r>
      <w:r w:rsidR="000C2D2A" w:rsidRPr="00AE6627">
        <w:rPr>
          <w:rFonts w:cstheme="minorHAnsi"/>
          <w:szCs w:val="28"/>
        </w:rPr>
        <w:t xml:space="preserve">welcome the recognition by the </w:t>
      </w:r>
      <w:r w:rsidR="008E070F" w:rsidRPr="00CE5436">
        <w:rPr>
          <w:rFonts w:cstheme="minorHAnsi"/>
          <w:szCs w:val="28"/>
        </w:rPr>
        <w:t>E</w:t>
      </w:r>
      <w:r w:rsidR="008E070F">
        <w:rPr>
          <w:rFonts w:cstheme="minorHAnsi"/>
          <w:szCs w:val="28"/>
        </w:rPr>
        <w:t xml:space="preserve">uropean </w:t>
      </w:r>
      <w:r w:rsidR="008E070F" w:rsidRPr="00CE5436">
        <w:rPr>
          <w:rFonts w:cstheme="minorHAnsi"/>
          <w:szCs w:val="28"/>
        </w:rPr>
        <w:t>C</w:t>
      </w:r>
      <w:r w:rsidR="008E070F">
        <w:rPr>
          <w:rFonts w:cstheme="minorHAnsi"/>
          <w:szCs w:val="28"/>
        </w:rPr>
        <w:t>ommission</w:t>
      </w:r>
      <w:r w:rsidR="008E070F" w:rsidRPr="00CE5436">
        <w:rPr>
          <w:rFonts w:cstheme="minorHAnsi"/>
          <w:szCs w:val="28"/>
        </w:rPr>
        <w:t xml:space="preserve"> </w:t>
      </w:r>
      <w:r w:rsidR="000C2D2A" w:rsidRPr="00AE6627">
        <w:rPr>
          <w:rFonts w:cstheme="minorHAnsi"/>
          <w:szCs w:val="28"/>
        </w:rPr>
        <w:t xml:space="preserve">that engagement with stakeholders in </w:t>
      </w:r>
      <w:r w:rsidR="00A72AA4" w:rsidRPr="00AE6627">
        <w:rPr>
          <w:rFonts w:cstheme="minorHAnsi"/>
          <w:szCs w:val="28"/>
        </w:rPr>
        <w:t>NI</w:t>
      </w:r>
      <w:r w:rsidR="000C2D2A" w:rsidRPr="00AE6627">
        <w:rPr>
          <w:rFonts w:cstheme="minorHAnsi"/>
          <w:szCs w:val="28"/>
        </w:rPr>
        <w:t xml:space="preserve"> is of paramount importance for the</w:t>
      </w:r>
      <w:r w:rsidR="00A72AA4" w:rsidRPr="00AE6627">
        <w:rPr>
          <w:rFonts w:cstheme="minorHAnsi"/>
          <w:szCs w:val="28"/>
        </w:rPr>
        <w:t xml:space="preserve"> EU</w:t>
      </w:r>
      <w:r w:rsidR="000C2D2A" w:rsidRPr="00AE6627">
        <w:rPr>
          <w:rFonts w:cstheme="minorHAnsi"/>
          <w:szCs w:val="28"/>
        </w:rPr>
        <w:t>, as well as the introduction of enhanced measures to deepen engagement, including with people in N</w:t>
      </w:r>
      <w:r w:rsidR="007D26ED">
        <w:rPr>
          <w:rFonts w:cstheme="minorHAnsi"/>
          <w:szCs w:val="28"/>
        </w:rPr>
        <w:t>I</w:t>
      </w:r>
      <w:r w:rsidR="000C2D2A" w:rsidRPr="00AE6627">
        <w:rPr>
          <w:rFonts w:cstheme="minorHAnsi"/>
          <w:szCs w:val="28"/>
        </w:rPr>
        <w:t xml:space="preserve">. </w:t>
      </w:r>
      <w:r w:rsidR="004A556E" w:rsidRPr="00AE6627">
        <w:rPr>
          <w:rFonts w:cstheme="minorHAnsi"/>
          <w:szCs w:val="28"/>
        </w:rPr>
        <w:t xml:space="preserve">These include that the </w:t>
      </w:r>
      <w:r w:rsidR="008E070F" w:rsidRPr="00CE5436">
        <w:rPr>
          <w:rFonts w:cstheme="minorHAnsi"/>
          <w:szCs w:val="28"/>
        </w:rPr>
        <w:t>E</w:t>
      </w:r>
      <w:r w:rsidR="008E070F">
        <w:rPr>
          <w:rFonts w:cstheme="minorHAnsi"/>
          <w:szCs w:val="28"/>
        </w:rPr>
        <w:t xml:space="preserve">uropean </w:t>
      </w:r>
      <w:r w:rsidR="008E070F" w:rsidRPr="00CE5436">
        <w:rPr>
          <w:rFonts w:cstheme="minorHAnsi"/>
          <w:szCs w:val="28"/>
        </w:rPr>
        <w:t>C</w:t>
      </w:r>
      <w:r w:rsidR="008E070F">
        <w:rPr>
          <w:rFonts w:cstheme="minorHAnsi"/>
          <w:szCs w:val="28"/>
        </w:rPr>
        <w:t>ommission</w:t>
      </w:r>
      <w:r w:rsidR="008E070F" w:rsidRPr="00CE5436">
        <w:rPr>
          <w:rFonts w:cstheme="minorHAnsi"/>
          <w:szCs w:val="28"/>
        </w:rPr>
        <w:t xml:space="preserve"> </w:t>
      </w:r>
      <w:r w:rsidR="004A556E" w:rsidRPr="00AE6627">
        <w:rPr>
          <w:rFonts w:cstheme="minorHAnsi"/>
          <w:szCs w:val="28"/>
        </w:rPr>
        <w:t xml:space="preserve">foresees </w:t>
      </w:r>
      <w:r w:rsidR="008C3366" w:rsidRPr="00AE6627">
        <w:rPr>
          <w:rFonts w:cstheme="minorHAnsi"/>
          <w:szCs w:val="28"/>
        </w:rPr>
        <w:t>it will</w:t>
      </w:r>
      <w:r w:rsidR="004A556E" w:rsidRPr="00AE6627">
        <w:rPr>
          <w:rFonts w:cstheme="minorHAnsi"/>
          <w:szCs w:val="28"/>
        </w:rPr>
        <w:t xml:space="preserve"> have a specific section for issues relating to the operation of the Protocol when carrying out impact assessments that deal with EU acts in the scope of the Protocol</w:t>
      </w:r>
      <w:r w:rsidR="00425BC8" w:rsidRPr="00AE6627">
        <w:rPr>
          <w:rFonts w:cstheme="minorHAnsi"/>
          <w:szCs w:val="28"/>
        </w:rPr>
        <w:t xml:space="preserve">, and </w:t>
      </w:r>
      <w:r w:rsidR="00425BC8" w:rsidRPr="0060666A">
        <w:t>t</w:t>
      </w:r>
      <w:r w:rsidR="008C3366" w:rsidRPr="00AE6627">
        <w:rPr>
          <w:rFonts w:cstheme="minorHAnsi"/>
          <w:szCs w:val="28"/>
        </w:rPr>
        <w:t xml:space="preserve">hat </w:t>
      </w:r>
      <w:r w:rsidR="00425BC8" w:rsidRPr="00AE6627">
        <w:rPr>
          <w:rFonts w:cstheme="minorHAnsi"/>
          <w:szCs w:val="28"/>
        </w:rPr>
        <w:t xml:space="preserve">this </w:t>
      </w:r>
      <w:r w:rsidR="008C3366" w:rsidRPr="00AE6627">
        <w:rPr>
          <w:rFonts w:cstheme="minorHAnsi"/>
          <w:szCs w:val="28"/>
        </w:rPr>
        <w:t xml:space="preserve">section will provide an overview of Northern Ireland stakeholders' input and how that input has been </w:t>
      </w:r>
      <w:proofErr w:type="gramStart"/>
      <w:r w:rsidR="008C3366" w:rsidRPr="00AE6627">
        <w:rPr>
          <w:rFonts w:cstheme="minorHAnsi"/>
          <w:szCs w:val="28"/>
        </w:rPr>
        <w:t>taken into account</w:t>
      </w:r>
      <w:proofErr w:type="gramEnd"/>
      <w:r w:rsidR="008C3366" w:rsidRPr="00AE6627">
        <w:rPr>
          <w:rFonts w:cstheme="minorHAnsi"/>
          <w:szCs w:val="28"/>
        </w:rPr>
        <w:t xml:space="preserve"> in the final proposal.</w:t>
      </w:r>
    </w:p>
    <w:p w14:paraId="695FB1AD" w14:textId="72BD2C68" w:rsidR="00A66C7C" w:rsidRPr="00CE5436" w:rsidRDefault="00A66C7C"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szCs w:val="28"/>
        </w:rPr>
        <w:t xml:space="preserve">We </w:t>
      </w:r>
      <w:r w:rsidR="00EC7785" w:rsidRPr="00CE5436">
        <w:rPr>
          <w:rFonts w:cstheme="minorHAnsi"/>
          <w:szCs w:val="28"/>
        </w:rPr>
        <w:t xml:space="preserve">note however that there is no specific reference made to </w:t>
      </w:r>
      <w:r w:rsidRPr="00CE5436">
        <w:rPr>
          <w:rFonts w:cstheme="minorHAnsi"/>
          <w:szCs w:val="28"/>
        </w:rPr>
        <w:t xml:space="preserve">engagement </w:t>
      </w:r>
      <w:r w:rsidR="00EC7785" w:rsidRPr="00CE5436">
        <w:rPr>
          <w:rFonts w:cstheme="minorHAnsi"/>
          <w:szCs w:val="28"/>
        </w:rPr>
        <w:t>by the E</w:t>
      </w:r>
      <w:r w:rsidR="008E070F">
        <w:rPr>
          <w:rFonts w:cstheme="minorHAnsi"/>
          <w:szCs w:val="28"/>
        </w:rPr>
        <w:t xml:space="preserve">uropean </w:t>
      </w:r>
      <w:r w:rsidR="00EC7785" w:rsidRPr="00CE5436">
        <w:rPr>
          <w:rFonts w:cstheme="minorHAnsi"/>
          <w:szCs w:val="28"/>
        </w:rPr>
        <w:t>C</w:t>
      </w:r>
      <w:r w:rsidR="008E070F">
        <w:rPr>
          <w:rFonts w:cstheme="minorHAnsi"/>
          <w:szCs w:val="28"/>
        </w:rPr>
        <w:t>ommission</w:t>
      </w:r>
      <w:r w:rsidR="00EC7785" w:rsidRPr="00CE5436">
        <w:rPr>
          <w:rFonts w:cstheme="minorHAnsi"/>
          <w:szCs w:val="28"/>
        </w:rPr>
        <w:t xml:space="preserve"> </w:t>
      </w:r>
      <w:r w:rsidRPr="00CE5436">
        <w:rPr>
          <w:rFonts w:cstheme="minorHAnsi"/>
          <w:szCs w:val="28"/>
        </w:rPr>
        <w:t>with the Commissions, as the dedicated mechanism, an</w:t>
      </w:r>
      <w:r w:rsidR="007D26ED">
        <w:rPr>
          <w:rFonts w:cstheme="minorHAnsi"/>
          <w:szCs w:val="28"/>
        </w:rPr>
        <w:t>d</w:t>
      </w:r>
      <w:r w:rsidR="00EC7785" w:rsidRPr="00CE5436">
        <w:rPr>
          <w:rFonts w:cstheme="minorHAnsi"/>
          <w:szCs w:val="28"/>
        </w:rPr>
        <w:t xml:space="preserve"> </w:t>
      </w:r>
      <w:r w:rsidRPr="00CE5436">
        <w:rPr>
          <w:rFonts w:cstheme="minorHAnsi"/>
          <w:szCs w:val="28"/>
        </w:rPr>
        <w:t>with equality and human rights groups in NI on EU proposals that have implications for equality and human rights in NI.</w:t>
      </w:r>
      <w:r w:rsidR="00425BC8" w:rsidRPr="00CE5436">
        <w:rPr>
          <w:rFonts w:cstheme="minorHAnsi"/>
          <w:szCs w:val="28"/>
        </w:rPr>
        <w:t xml:space="preserve"> We also note there is no specific reference as to whether the </w:t>
      </w:r>
      <w:r w:rsidR="008C52A9" w:rsidRPr="00CE5436">
        <w:rPr>
          <w:rFonts w:cstheme="minorHAnsi"/>
          <w:szCs w:val="28"/>
        </w:rPr>
        <w:t>E</w:t>
      </w:r>
      <w:r w:rsidR="008C52A9">
        <w:rPr>
          <w:rFonts w:cstheme="minorHAnsi"/>
          <w:szCs w:val="28"/>
        </w:rPr>
        <w:t xml:space="preserve">uropean </w:t>
      </w:r>
      <w:r w:rsidR="008C52A9" w:rsidRPr="00CE5436">
        <w:rPr>
          <w:rFonts w:cstheme="minorHAnsi"/>
          <w:szCs w:val="28"/>
        </w:rPr>
        <w:t>C</w:t>
      </w:r>
      <w:r w:rsidR="008C52A9">
        <w:rPr>
          <w:rFonts w:cstheme="minorHAnsi"/>
          <w:szCs w:val="28"/>
        </w:rPr>
        <w:t>ommission</w:t>
      </w:r>
      <w:r w:rsidR="00C21A75" w:rsidRPr="00CE5436">
        <w:rPr>
          <w:rFonts w:cstheme="minorHAnsi"/>
          <w:szCs w:val="28"/>
        </w:rPr>
        <w:t xml:space="preserve">’s </w:t>
      </w:r>
      <w:r w:rsidR="00425BC8" w:rsidRPr="00CE5436">
        <w:rPr>
          <w:rFonts w:cstheme="minorHAnsi"/>
          <w:szCs w:val="28"/>
        </w:rPr>
        <w:t xml:space="preserve">impact assessment will specifically include an </w:t>
      </w:r>
      <w:r w:rsidR="000470F1" w:rsidRPr="00CE5436">
        <w:rPr>
          <w:rFonts w:cstheme="minorHAnsi"/>
          <w:szCs w:val="28"/>
        </w:rPr>
        <w:t>assessment of the impact on the promotion and protection of equality and human rights</w:t>
      </w:r>
      <w:r w:rsidR="00425BC8" w:rsidRPr="00CE5436">
        <w:rPr>
          <w:rFonts w:cstheme="minorHAnsi"/>
          <w:szCs w:val="28"/>
        </w:rPr>
        <w:t xml:space="preserve">. </w:t>
      </w:r>
    </w:p>
    <w:p w14:paraId="512F83E3" w14:textId="57C89544" w:rsidR="00484C92" w:rsidRPr="00CE5436" w:rsidRDefault="00484C92"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szCs w:val="28"/>
        </w:rPr>
        <w:t>It is clear from an independent research report</w:t>
      </w:r>
      <w:r>
        <w:rPr>
          <w:rStyle w:val="FootnoteReference"/>
          <w:rFonts w:cstheme="minorHAnsi"/>
          <w:szCs w:val="28"/>
        </w:rPr>
        <w:footnoteReference w:id="15"/>
      </w:r>
      <w:r w:rsidR="00F72139" w:rsidRPr="00CE5436">
        <w:rPr>
          <w:rFonts w:cstheme="minorHAnsi"/>
          <w:szCs w:val="28"/>
        </w:rPr>
        <w:t xml:space="preserve"> commissioned by the Commission</w:t>
      </w:r>
      <w:r w:rsidR="00A72AA4" w:rsidRPr="00CE5436">
        <w:rPr>
          <w:rFonts w:cstheme="minorHAnsi"/>
          <w:szCs w:val="28"/>
        </w:rPr>
        <w:t>s</w:t>
      </w:r>
      <w:r w:rsidRPr="00CE5436">
        <w:rPr>
          <w:rFonts w:cstheme="minorHAnsi"/>
          <w:szCs w:val="28"/>
        </w:rPr>
        <w:t xml:space="preserve">, together with the </w:t>
      </w:r>
      <w:r w:rsidR="00F72139" w:rsidRPr="00CE5436">
        <w:rPr>
          <w:rFonts w:cstheme="minorHAnsi"/>
          <w:szCs w:val="28"/>
        </w:rPr>
        <w:t xml:space="preserve">IHREC, </w:t>
      </w:r>
      <w:r w:rsidR="00B5548F" w:rsidRPr="00CE5436">
        <w:rPr>
          <w:rFonts w:cstheme="minorHAnsi"/>
          <w:szCs w:val="28"/>
        </w:rPr>
        <w:t xml:space="preserve">and from the </w:t>
      </w:r>
      <w:r w:rsidRPr="00CE5436">
        <w:rPr>
          <w:rFonts w:cstheme="minorHAnsi"/>
          <w:szCs w:val="28"/>
        </w:rPr>
        <w:t>Commissions’ policy recommendations</w:t>
      </w:r>
      <w:r w:rsidR="00823315">
        <w:rPr>
          <w:rFonts w:cstheme="minorHAnsi"/>
          <w:szCs w:val="28"/>
        </w:rPr>
        <w:t>,</w:t>
      </w:r>
      <w:r>
        <w:rPr>
          <w:rStyle w:val="FootnoteReference"/>
          <w:rFonts w:cstheme="minorHAnsi"/>
          <w:szCs w:val="28"/>
        </w:rPr>
        <w:footnoteReference w:id="16"/>
      </w:r>
      <w:r w:rsidRPr="00CE5436">
        <w:rPr>
          <w:rFonts w:cstheme="minorHAnsi"/>
          <w:szCs w:val="28"/>
        </w:rPr>
        <w:t xml:space="preserve">  </w:t>
      </w:r>
      <w:r w:rsidR="00B5548F" w:rsidRPr="00CE5436">
        <w:rPr>
          <w:rFonts w:cstheme="minorHAnsi"/>
          <w:szCs w:val="28"/>
        </w:rPr>
        <w:t xml:space="preserve">that there have already been a number of significant EU </w:t>
      </w:r>
      <w:r w:rsidR="00613B1C" w:rsidRPr="00CE5436">
        <w:rPr>
          <w:rFonts w:cstheme="minorHAnsi"/>
          <w:szCs w:val="28"/>
        </w:rPr>
        <w:t xml:space="preserve">legislative proposals post Brexit relating to equality and </w:t>
      </w:r>
      <w:r w:rsidR="00613B1C" w:rsidRPr="00CE5436">
        <w:rPr>
          <w:rFonts w:cstheme="minorHAnsi"/>
          <w:szCs w:val="28"/>
        </w:rPr>
        <w:lastRenderedPageBreak/>
        <w:t xml:space="preserve">human rights. These have included in relation to </w:t>
      </w:r>
      <w:r w:rsidR="00C32C78" w:rsidRPr="00CE5436">
        <w:rPr>
          <w:rFonts w:cstheme="minorHAnsi"/>
          <w:szCs w:val="28"/>
        </w:rPr>
        <w:t>work life balance, t</w:t>
      </w:r>
      <w:r w:rsidR="00605C2C" w:rsidRPr="00CE5436">
        <w:rPr>
          <w:rFonts w:cstheme="minorHAnsi"/>
          <w:szCs w:val="28"/>
        </w:rPr>
        <w:t>h</w:t>
      </w:r>
      <w:r w:rsidR="00C32C78" w:rsidRPr="00CE5436">
        <w:rPr>
          <w:rFonts w:cstheme="minorHAnsi"/>
          <w:szCs w:val="28"/>
        </w:rPr>
        <w:t>e EU Accessibility Act</w:t>
      </w:r>
      <w:r w:rsidR="00605C2C" w:rsidRPr="00CE5436">
        <w:rPr>
          <w:rFonts w:cstheme="minorHAnsi"/>
          <w:szCs w:val="28"/>
        </w:rPr>
        <w:t xml:space="preserve">, and pay transparency reporting. </w:t>
      </w:r>
    </w:p>
    <w:p w14:paraId="619ACF46" w14:textId="386CE4A6" w:rsidR="005C0177" w:rsidRPr="00CE5436" w:rsidRDefault="005C0177"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szCs w:val="28"/>
        </w:rPr>
        <w:t xml:space="preserve"> </w:t>
      </w:r>
      <w:r w:rsidR="00300471" w:rsidRPr="00CE5436">
        <w:rPr>
          <w:rFonts w:cstheme="minorHAnsi"/>
          <w:szCs w:val="28"/>
        </w:rPr>
        <w:t>In light of this, we consider it vital that the views of the Commissions and of equality and human rights groups in NI are heard and taken into consideration, in terms of the implications of the proposed EU measure on the promotion and protection of equality and human rights.</w:t>
      </w:r>
    </w:p>
    <w:p w14:paraId="448C7A36" w14:textId="72B284CB" w:rsidR="00CE5436" w:rsidRPr="00CE5436" w:rsidRDefault="00CE5436" w:rsidP="00CE5436">
      <w:pPr>
        <w:pStyle w:val="ListParagraph"/>
        <w:spacing w:after="240"/>
        <w:contextualSpacing w:val="0"/>
        <w:rPr>
          <w:rFonts w:eastAsiaTheme="minorEastAsia" w:cstheme="minorHAnsi"/>
          <w:b/>
          <w:bCs/>
          <w:szCs w:val="28"/>
        </w:rPr>
      </w:pPr>
      <w:r w:rsidRPr="00CE5436">
        <w:rPr>
          <w:rFonts w:cstheme="minorHAnsi"/>
          <w:b/>
          <w:bCs/>
          <w:szCs w:val="28"/>
        </w:rPr>
        <w:t>Recommendations</w:t>
      </w:r>
    </w:p>
    <w:p w14:paraId="291E9742" w14:textId="0BAEC005" w:rsidR="000C2D2A" w:rsidRPr="00CE5436" w:rsidRDefault="000C2D2A"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b/>
          <w:bCs/>
          <w:szCs w:val="28"/>
        </w:rPr>
        <w:t xml:space="preserve">The Commissions continue to recommend that the UK Government and EU work together to ensure that there are timely updates and relevant information exchange on developments in European Union law, to aid the effective implementation of </w:t>
      </w:r>
      <w:r w:rsidR="00A07B60">
        <w:rPr>
          <w:rFonts w:cstheme="minorHAnsi"/>
          <w:b/>
          <w:bCs/>
          <w:szCs w:val="28"/>
        </w:rPr>
        <w:t xml:space="preserve">Windsor Framework </w:t>
      </w:r>
      <w:r w:rsidRPr="00CE5436">
        <w:rPr>
          <w:rFonts w:cstheme="minorHAnsi"/>
          <w:b/>
          <w:bCs/>
          <w:szCs w:val="28"/>
        </w:rPr>
        <w:t>Article 2.</w:t>
      </w:r>
      <w:r w:rsidR="00096E2E">
        <w:rPr>
          <w:rFonts w:cstheme="minorHAnsi"/>
          <w:b/>
          <w:bCs/>
          <w:szCs w:val="28"/>
        </w:rPr>
        <w:t xml:space="preserve"> </w:t>
      </w:r>
    </w:p>
    <w:p w14:paraId="159D973F" w14:textId="292B5B5A" w:rsidR="000C2D2A" w:rsidRPr="00CE5436" w:rsidRDefault="00885862" w:rsidP="00CE5436">
      <w:pPr>
        <w:pStyle w:val="ListParagraph"/>
        <w:numPr>
          <w:ilvl w:val="1"/>
          <w:numId w:val="8"/>
        </w:numPr>
        <w:spacing w:after="240"/>
        <w:ind w:left="720" w:hanging="720"/>
        <w:contextualSpacing w:val="0"/>
        <w:rPr>
          <w:rFonts w:eastAsiaTheme="minorEastAsia" w:cstheme="minorHAnsi"/>
          <w:szCs w:val="28"/>
        </w:rPr>
      </w:pPr>
      <w:r>
        <w:rPr>
          <w:rFonts w:cstheme="minorHAnsi"/>
          <w:b/>
          <w:bCs/>
          <w:szCs w:val="28"/>
        </w:rPr>
        <w:t xml:space="preserve">We </w:t>
      </w:r>
      <w:r w:rsidR="000C2D2A" w:rsidRPr="00CE5436">
        <w:rPr>
          <w:rFonts w:cstheme="minorHAnsi"/>
          <w:b/>
          <w:bCs/>
          <w:szCs w:val="28"/>
        </w:rPr>
        <w:t xml:space="preserve">continue to recommend that the EU (and UK Government) ensure the Commissions are given early notice of relevant EU law and policy developments and that the Commissions have opportunities to highlight in advance any implications of those developments for equality and human rights law in Northern Ireland. </w:t>
      </w:r>
    </w:p>
    <w:p w14:paraId="5CA4EB6C" w14:textId="53DDD485" w:rsidR="000C2D2A" w:rsidRPr="00CE5436" w:rsidRDefault="00A66C7C"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b/>
          <w:bCs/>
          <w:szCs w:val="28"/>
        </w:rPr>
        <w:t xml:space="preserve">We recommend that the </w:t>
      </w:r>
      <w:r w:rsidR="008E070F" w:rsidRPr="008E070F">
        <w:rPr>
          <w:rFonts w:cstheme="minorHAnsi"/>
          <w:b/>
          <w:bCs/>
          <w:szCs w:val="28"/>
        </w:rPr>
        <w:t>European Commission</w:t>
      </w:r>
      <w:r w:rsidRPr="008E070F">
        <w:rPr>
          <w:rFonts w:cstheme="minorHAnsi"/>
          <w:b/>
          <w:bCs/>
          <w:szCs w:val="28"/>
        </w:rPr>
        <w:t>’s</w:t>
      </w:r>
      <w:r w:rsidRPr="00CE5436">
        <w:rPr>
          <w:rFonts w:cstheme="minorHAnsi"/>
          <w:b/>
          <w:bCs/>
          <w:szCs w:val="28"/>
        </w:rPr>
        <w:t xml:space="preserve"> engagement with NI stakeholders includes timely, targeted, and structured engagement, both with the Commissions, as the dedicated mechanism, and also with equality and human rights groups in NI on EU proposals that have implications for equality and human rights in NI. </w:t>
      </w:r>
    </w:p>
    <w:p w14:paraId="68CCF6E5" w14:textId="7249D989" w:rsidR="00735B6D" w:rsidRPr="006F7122" w:rsidRDefault="00325E98" w:rsidP="00096E2E">
      <w:pPr>
        <w:pStyle w:val="ListParagraph"/>
        <w:numPr>
          <w:ilvl w:val="1"/>
          <w:numId w:val="8"/>
        </w:numPr>
        <w:spacing w:after="240"/>
        <w:ind w:left="720" w:hanging="720"/>
        <w:contextualSpacing w:val="0"/>
        <w:rPr>
          <w:rFonts w:eastAsiaTheme="minorEastAsia" w:cstheme="minorHAnsi"/>
          <w:szCs w:val="28"/>
        </w:rPr>
      </w:pPr>
      <w:r w:rsidRPr="00CE5436">
        <w:rPr>
          <w:rFonts w:cstheme="minorHAnsi"/>
          <w:b/>
          <w:bCs/>
          <w:szCs w:val="28"/>
        </w:rPr>
        <w:t xml:space="preserve">We recommend that the </w:t>
      </w:r>
      <w:r w:rsidR="008E070F" w:rsidRPr="008E070F">
        <w:rPr>
          <w:rFonts w:cstheme="minorHAnsi"/>
          <w:b/>
          <w:bCs/>
          <w:szCs w:val="28"/>
        </w:rPr>
        <w:t>European Commission</w:t>
      </w:r>
      <w:r w:rsidRPr="008E070F">
        <w:rPr>
          <w:rFonts w:cstheme="minorHAnsi"/>
          <w:b/>
          <w:bCs/>
          <w:szCs w:val="28"/>
        </w:rPr>
        <w:t>’s</w:t>
      </w:r>
      <w:r w:rsidRPr="00CE5436">
        <w:rPr>
          <w:rFonts w:cstheme="minorHAnsi"/>
          <w:b/>
          <w:bCs/>
          <w:szCs w:val="28"/>
        </w:rPr>
        <w:t xml:space="preserve"> impact </w:t>
      </w:r>
      <w:r w:rsidR="00C21A75" w:rsidRPr="00CE5436">
        <w:rPr>
          <w:rFonts w:cstheme="minorHAnsi"/>
          <w:b/>
          <w:bCs/>
          <w:szCs w:val="28"/>
        </w:rPr>
        <w:t>assessment</w:t>
      </w:r>
      <w:r w:rsidR="00314709">
        <w:rPr>
          <w:rFonts w:cstheme="minorHAnsi"/>
          <w:b/>
          <w:bCs/>
          <w:szCs w:val="28"/>
        </w:rPr>
        <w:t xml:space="preserve">, </w:t>
      </w:r>
      <w:r w:rsidR="00A17487">
        <w:rPr>
          <w:rFonts w:cstheme="minorHAnsi"/>
          <w:b/>
          <w:bCs/>
          <w:szCs w:val="28"/>
        </w:rPr>
        <w:t xml:space="preserve">as regards </w:t>
      </w:r>
      <w:r w:rsidR="00314709">
        <w:rPr>
          <w:rFonts w:cstheme="minorHAnsi"/>
          <w:b/>
          <w:bCs/>
          <w:szCs w:val="28"/>
        </w:rPr>
        <w:t>NI,</w:t>
      </w:r>
      <w:r w:rsidR="00C21A75" w:rsidRPr="00CE5436">
        <w:rPr>
          <w:rFonts w:cstheme="minorHAnsi"/>
          <w:b/>
          <w:bCs/>
          <w:szCs w:val="28"/>
        </w:rPr>
        <w:t xml:space="preserve"> </w:t>
      </w:r>
      <w:r w:rsidR="00457CC0" w:rsidRPr="00CE5436">
        <w:rPr>
          <w:rFonts w:cstheme="minorHAnsi"/>
          <w:b/>
          <w:bCs/>
          <w:szCs w:val="28"/>
        </w:rPr>
        <w:t xml:space="preserve">on </w:t>
      </w:r>
      <w:r w:rsidR="00992C65" w:rsidRPr="00CE5436">
        <w:rPr>
          <w:rFonts w:cstheme="minorHAnsi"/>
          <w:b/>
          <w:bCs/>
          <w:szCs w:val="28"/>
        </w:rPr>
        <w:t xml:space="preserve">draft EU proposals </w:t>
      </w:r>
      <w:r w:rsidR="00C21A75" w:rsidRPr="00CE5436">
        <w:rPr>
          <w:rFonts w:cstheme="minorHAnsi"/>
          <w:b/>
          <w:bCs/>
          <w:szCs w:val="28"/>
        </w:rPr>
        <w:t>include</w:t>
      </w:r>
      <w:r w:rsidR="00B52CFB" w:rsidRPr="00CE5436">
        <w:rPr>
          <w:rFonts w:cstheme="minorHAnsi"/>
          <w:b/>
          <w:bCs/>
          <w:szCs w:val="28"/>
        </w:rPr>
        <w:t>s</w:t>
      </w:r>
      <w:r w:rsidR="00C21A75" w:rsidRPr="00CE5436">
        <w:rPr>
          <w:rFonts w:cstheme="minorHAnsi"/>
          <w:b/>
          <w:bCs/>
          <w:szCs w:val="28"/>
        </w:rPr>
        <w:t xml:space="preserve"> a</w:t>
      </w:r>
      <w:r w:rsidR="00992C65" w:rsidRPr="00CE5436">
        <w:rPr>
          <w:rFonts w:cstheme="minorHAnsi"/>
          <w:b/>
          <w:bCs/>
          <w:szCs w:val="28"/>
        </w:rPr>
        <w:t xml:space="preserve"> specific </w:t>
      </w:r>
      <w:r w:rsidR="00C21A75" w:rsidRPr="00CE5436">
        <w:rPr>
          <w:rFonts w:cstheme="minorHAnsi"/>
          <w:b/>
          <w:bCs/>
          <w:szCs w:val="28"/>
        </w:rPr>
        <w:t>assessment of the impact on the promotion and protection of equality and human rights</w:t>
      </w:r>
      <w:r w:rsidR="004076FD" w:rsidRPr="00CE5436">
        <w:rPr>
          <w:rFonts w:cstheme="minorHAnsi"/>
          <w:b/>
          <w:bCs/>
          <w:szCs w:val="28"/>
        </w:rPr>
        <w:t xml:space="preserve">, </w:t>
      </w:r>
      <w:r w:rsidR="00457CC0" w:rsidRPr="00CE5436">
        <w:rPr>
          <w:rFonts w:cstheme="minorHAnsi"/>
          <w:b/>
          <w:bCs/>
          <w:szCs w:val="28"/>
        </w:rPr>
        <w:t xml:space="preserve">including any issues of relevance to the UKG’s compliance </w:t>
      </w:r>
      <w:r w:rsidR="00992C65" w:rsidRPr="00CE5436">
        <w:rPr>
          <w:rFonts w:cstheme="minorHAnsi"/>
          <w:b/>
          <w:bCs/>
          <w:szCs w:val="28"/>
        </w:rPr>
        <w:t>with Windsor Framework Article 2</w:t>
      </w:r>
      <w:r w:rsidR="00C21A75" w:rsidRPr="00CE5436">
        <w:rPr>
          <w:rFonts w:cstheme="minorHAnsi"/>
          <w:b/>
          <w:bCs/>
          <w:szCs w:val="28"/>
        </w:rPr>
        <w:t>.</w:t>
      </w:r>
      <w:r w:rsidR="0060666A" w:rsidRPr="00CE5436">
        <w:rPr>
          <w:rFonts w:cstheme="minorHAnsi"/>
          <w:b/>
          <w:bCs/>
          <w:szCs w:val="28"/>
        </w:rPr>
        <w:t xml:space="preserve"> </w:t>
      </w:r>
    </w:p>
    <w:p w14:paraId="162B4FCA" w14:textId="75189448" w:rsidR="006F7122" w:rsidRDefault="006F7122" w:rsidP="006F7122">
      <w:pPr>
        <w:spacing w:after="240"/>
        <w:rPr>
          <w:rFonts w:eastAsiaTheme="minorEastAsia" w:cstheme="minorHAnsi"/>
          <w:szCs w:val="28"/>
        </w:rPr>
      </w:pPr>
    </w:p>
    <w:p w14:paraId="4AFD8285" w14:textId="77777777" w:rsidR="006F7122" w:rsidRPr="006F7122" w:rsidRDefault="006F7122" w:rsidP="006F7122">
      <w:pPr>
        <w:spacing w:after="240"/>
        <w:rPr>
          <w:rFonts w:eastAsiaTheme="minorEastAsia" w:cstheme="minorHAnsi"/>
          <w:szCs w:val="28"/>
        </w:rPr>
      </w:pPr>
    </w:p>
    <w:p w14:paraId="1EBE1011" w14:textId="02721321" w:rsidR="00CE5436" w:rsidRPr="00735B6D" w:rsidRDefault="00CE5436" w:rsidP="00AB2F89">
      <w:pPr>
        <w:pStyle w:val="Heading1"/>
        <w:ind w:left="709" w:hanging="709"/>
      </w:pPr>
      <w:bookmarkStart w:id="11" w:name="_Toc133911790"/>
      <w:r w:rsidRPr="00096E2E">
        <w:t>Consideration of compliance with Windsor Framework Article 2</w:t>
      </w:r>
      <w:bookmarkEnd w:id="11"/>
    </w:p>
    <w:p w14:paraId="33720605" w14:textId="77777777" w:rsidR="00AB2F89" w:rsidRPr="00AB2F89" w:rsidRDefault="00AB2F89" w:rsidP="00AB2F89">
      <w:pPr>
        <w:pStyle w:val="ListParagraph"/>
        <w:numPr>
          <w:ilvl w:val="0"/>
          <w:numId w:val="8"/>
        </w:numPr>
        <w:spacing w:after="240"/>
        <w:contextualSpacing w:val="0"/>
        <w:rPr>
          <w:rFonts w:cstheme="minorHAnsi"/>
          <w:vanish/>
          <w:szCs w:val="28"/>
        </w:rPr>
      </w:pPr>
    </w:p>
    <w:p w14:paraId="5AFD6B5F" w14:textId="5BF3CFA6" w:rsidR="006268E1" w:rsidRPr="00CE5436" w:rsidRDefault="006268E1" w:rsidP="00AB2F89">
      <w:pPr>
        <w:pStyle w:val="ListParagraph"/>
        <w:numPr>
          <w:ilvl w:val="1"/>
          <w:numId w:val="8"/>
        </w:numPr>
        <w:spacing w:after="240"/>
        <w:ind w:left="709" w:hanging="709"/>
        <w:contextualSpacing w:val="0"/>
        <w:rPr>
          <w:rFonts w:eastAsiaTheme="minorEastAsia" w:cstheme="minorHAnsi"/>
          <w:szCs w:val="28"/>
        </w:rPr>
      </w:pPr>
      <w:r w:rsidRPr="00CE5436">
        <w:rPr>
          <w:rFonts w:cstheme="minorHAnsi"/>
          <w:szCs w:val="28"/>
        </w:rPr>
        <w:t>The Explanatory Notes to the 2023 Regulations make no reference to any consideration being given to ensuring compliance with Windsor Framework Article 2. The Commissions have previously recommended that this should be the case regarding all relevant legislation.</w:t>
      </w:r>
    </w:p>
    <w:p w14:paraId="3A14ED7E" w14:textId="63A45D28" w:rsidR="0060666A" w:rsidRPr="00CE5436" w:rsidRDefault="00FF284E"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szCs w:val="28"/>
        </w:rPr>
        <w:t>As the Committee will be aware</w:t>
      </w:r>
      <w:r w:rsidR="00AA4598" w:rsidRPr="00CE5436">
        <w:rPr>
          <w:rFonts w:cstheme="minorHAnsi"/>
          <w:szCs w:val="28"/>
        </w:rPr>
        <w:t xml:space="preserve">, the </w:t>
      </w:r>
      <w:r w:rsidR="00AA4598" w:rsidRPr="00CE5436">
        <w:rPr>
          <w:rStyle w:val="normaltextrun"/>
          <w:rFonts w:cstheme="minorHAnsi"/>
          <w:szCs w:val="28"/>
        </w:rPr>
        <w:t xml:space="preserve">Leader of the House of Commons responded to the Committees in December 2022, </w:t>
      </w:r>
      <w:r w:rsidR="00AA4598" w:rsidRPr="00CE5436">
        <w:rPr>
          <w:rFonts w:cstheme="minorHAnsi"/>
          <w:szCs w:val="28"/>
        </w:rPr>
        <w:t xml:space="preserve">and </w:t>
      </w:r>
      <w:r w:rsidRPr="00CE5436">
        <w:rPr>
          <w:rFonts w:cstheme="minorHAnsi"/>
          <w:szCs w:val="28"/>
        </w:rPr>
        <w:t xml:space="preserve">indicated work on developing guidance </w:t>
      </w:r>
      <w:r w:rsidR="00243E49" w:rsidRPr="00CE5436">
        <w:rPr>
          <w:rFonts w:cstheme="minorHAnsi"/>
          <w:szCs w:val="28"/>
        </w:rPr>
        <w:t xml:space="preserve">was being progressed </w:t>
      </w:r>
      <w:r w:rsidR="007D5A59" w:rsidRPr="00CE5436">
        <w:rPr>
          <w:rFonts w:cstheme="minorHAnsi"/>
          <w:szCs w:val="28"/>
        </w:rPr>
        <w:t xml:space="preserve">and </w:t>
      </w:r>
      <w:r w:rsidR="00243E49" w:rsidRPr="00CE5436">
        <w:rPr>
          <w:rFonts w:cstheme="minorHAnsi"/>
          <w:szCs w:val="28"/>
        </w:rPr>
        <w:t xml:space="preserve">that she </w:t>
      </w:r>
      <w:r w:rsidR="007D5A59" w:rsidRPr="00CE5436">
        <w:rPr>
          <w:rFonts w:cstheme="minorHAnsi"/>
          <w:szCs w:val="28"/>
        </w:rPr>
        <w:t xml:space="preserve">would </w:t>
      </w:r>
      <w:r w:rsidRPr="00CE5436">
        <w:rPr>
          <w:rFonts w:cstheme="minorHAnsi"/>
          <w:szCs w:val="28"/>
        </w:rPr>
        <w:t xml:space="preserve">update </w:t>
      </w:r>
      <w:r w:rsidR="007D5A59" w:rsidRPr="00CE5436">
        <w:rPr>
          <w:rFonts w:cstheme="minorHAnsi"/>
          <w:szCs w:val="28"/>
        </w:rPr>
        <w:t>the Committee</w:t>
      </w:r>
      <w:r w:rsidR="0060055C">
        <w:rPr>
          <w:rFonts w:cstheme="minorHAnsi"/>
          <w:szCs w:val="28"/>
        </w:rPr>
        <w:t>s</w:t>
      </w:r>
      <w:r w:rsidR="007D5A59" w:rsidRPr="00CE5436">
        <w:rPr>
          <w:rFonts w:cstheme="minorHAnsi"/>
          <w:szCs w:val="28"/>
        </w:rPr>
        <w:t xml:space="preserve"> </w:t>
      </w:r>
      <w:r w:rsidRPr="00CE5436">
        <w:rPr>
          <w:rFonts w:cstheme="minorHAnsi"/>
          <w:szCs w:val="28"/>
        </w:rPr>
        <w:t>on how it was intended to incorporate the guidance into the Guide to Making Legislation, and other explanatory material. To date, we understand that this guidance has not been issued and an update is awaited.</w:t>
      </w:r>
    </w:p>
    <w:p w14:paraId="06BCD727" w14:textId="1C6FC089" w:rsidR="00CE5436" w:rsidRPr="00860A94" w:rsidRDefault="00CE5436" w:rsidP="00860A94">
      <w:pPr>
        <w:pStyle w:val="ListParagraph"/>
        <w:ind w:left="360" w:firstLine="360"/>
        <w:rPr>
          <w:rFonts w:cstheme="minorHAnsi"/>
          <w:b/>
          <w:bCs/>
          <w:szCs w:val="28"/>
        </w:rPr>
      </w:pPr>
      <w:r w:rsidRPr="008F0CA4">
        <w:rPr>
          <w:rFonts w:cstheme="minorHAnsi"/>
          <w:b/>
          <w:bCs/>
          <w:szCs w:val="28"/>
        </w:rPr>
        <w:t>Recommendations</w:t>
      </w:r>
    </w:p>
    <w:p w14:paraId="2341B143" w14:textId="6D549215" w:rsidR="006C6A7D" w:rsidRPr="00CE5436" w:rsidRDefault="006C6A7D" w:rsidP="00CE5436">
      <w:pPr>
        <w:pStyle w:val="ListParagraph"/>
        <w:numPr>
          <w:ilvl w:val="1"/>
          <w:numId w:val="8"/>
        </w:numPr>
        <w:spacing w:after="240"/>
        <w:ind w:left="720" w:hanging="720"/>
        <w:contextualSpacing w:val="0"/>
        <w:rPr>
          <w:rFonts w:eastAsiaTheme="minorEastAsia" w:cstheme="minorHAnsi"/>
          <w:szCs w:val="28"/>
        </w:rPr>
      </w:pPr>
      <w:r w:rsidRPr="00CE5436">
        <w:rPr>
          <w:rFonts w:cstheme="minorHAnsi"/>
          <w:b/>
          <w:bCs/>
          <w:szCs w:val="28"/>
        </w:rPr>
        <w:t>The Commissions recommend that compliance with Windsor Framework Article 2 be considered from the earliest stages in the development of policy and legislation.</w:t>
      </w:r>
      <w:r w:rsidR="0060666A" w:rsidRPr="00CE5436">
        <w:rPr>
          <w:rFonts w:cstheme="minorHAnsi"/>
          <w:b/>
          <w:bCs/>
          <w:szCs w:val="28"/>
        </w:rPr>
        <w:t xml:space="preserve"> </w:t>
      </w:r>
    </w:p>
    <w:p w14:paraId="3E3C0F82" w14:textId="30EDE957" w:rsidR="0060666A" w:rsidRPr="00CE5436" w:rsidRDefault="00885862" w:rsidP="00CE5436">
      <w:pPr>
        <w:pStyle w:val="ListParagraph"/>
        <w:numPr>
          <w:ilvl w:val="1"/>
          <w:numId w:val="8"/>
        </w:numPr>
        <w:spacing w:after="240"/>
        <w:ind w:left="720" w:hanging="720"/>
        <w:contextualSpacing w:val="0"/>
        <w:rPr>
          <w:rFonts w:eastAsiaTheme="minorEastAsia" w:cstheme="minorHAnsi"/>
          <w:szCs w:val="28"/>
        </w:rPr>
      </w:pPr>
      <w:r>
        <w:rPr>
          <w:rFonts w:cstheme="minorHAnsi"/>
          <w:b/>
          <w:bCs/>
          <w:szCs w:val="28"/>
        </w:rPr>
        <w:t xml:space="preserve">We </w:t>
      </w:r>
      <w:r w:rsidR="006C6A7D" w:rsidRPr="00CE5436">
        <w:rPr>
          <w:rFonts w:cstheme="minorHAnsi"/>
          <w:b/>
          <w:bCs/>
          <w:szCs w:val="28"/>
        </w:rPr>
        <w:t>recommend that the UK Government and NI Executive ensure that Explanatory Memoranda on draft UK and NI legislative proposals that are likely to engage Windsor Framework Article 2 set out what consideration has been given to ensuring conformity with Windsor Framework Article 2.</w:t>
      </w:r>
      <w:r w:rsidR="0060666A" w:rsidRPr="00CE5436">
        <w:rPr>
          <w:rFonts w:cstheme="minorHAnsi"/>
          <w:b/>
          <w:bCs/>
          <w:szCs w:val="28"/>
        </w:rPr>
        <w:t xml:space="preserve"> </w:t>
      </w:r>
    </w:p>
    <w:p w14:paraId="0C0C9929" w14:textId="26916F32" w:rsidR="006268E1" w:rsidRPr="00CE5436" w:rsidRDefault="00885862" w:rsidP="00CE5436">
      <w:pPr>
        <w:pStyle w:val="ListParagraph"/>
        <w:numPr>
          <w:ilvl w:val="1"/>
          <w:numId w:val="8"/>
        </w:numPr>
        <w:spacing w:after="240"/>
        <w:ind w:left="720" w:hanging="720"/>
        <w:contextualSpacing w:val="0"/>
        <w:rPr>
          <w:rFonts w:eastAsiaTheme="minorEastAsia" w:cstheme="minorHAnsi"/>
          <w:szCs w:val="28"/>
        </w:rPr>
      </w:pPr>
      <w:r>
        <w:rPr>
          <w:rFonts w:cstheme="minorHAnsi"/>
          <w:b/>
          <w:bCs/>
          <w:szCs w:val="28"/>
        </w:rPr>
        <w:t xml:space="preserve">We </w:t>
      </w:r>
      <w:r w:rsidR="006C6A7D" w:rsidRPr="00CE5436">
        <w:rPr>
          <w:rFonts w:cstheme="minorHAnsi"/>
          <w:b/>
          <w:bCs/>
          <w:szCs w:val="28"/>
        </w:rPr>
        <w:t xml:space="preserve">recommend that the </w:t>
      </w:r>
      <w:r w:rsidR="007B1A1F">
        <w:rPr>
          <w:rFonts w:cstheme="minorHAnsi"/>
          <w:b/>
          <w:bCs/>
          <w:szCs w:val="28"/>
        </w:rPr>
        <w:t>Sub-</w:t>
      </w:r>
      <w:r w:rsidR="006C6A7D" w:rsidRPr="00CE5436">
        <w:rPr>
          <w:rFonts w:cstheme="minorHAnsi"/>
          <w:b/>
          <w:bCs/>
          <w:szCs w:val="28"/>
        </w:rPr>
        <w:t xml:space="preserve">Committee ask the </w:t>
      </w:r>
      <w:r w:rsidR="003A3B46">
        <w:rPr>
          <w:rFonts w:cstheme="minorHAnsi"/>
          <w:b/>
          <w:bCs/>
          <w:szCs w:val="28"/>
        </w:rPr>
        <w:t xml:space="preserve">NI </w:t>
      </w:r>
      <w:r w:rsidR="006C6A7D" w:rsidRPr="00CE5436">
        <w:rPr>
          <w:rFonts w:cstheme="minorHAnsi"/>
          <w:b/>
          <w:bCs/>
          <w:szCs w:val="28"/>
        </w:rPr>
        <w:t xml:space="preserve">Secretary of State to set out, in detail, what consideration was given to compliance with Windsor Framework Article 2 in the development of the </w:t>
      </w:r>
      <w:r w:rsidR="00D9605F" w:rsidRPr="00CE5436">
        <w:rPr>
          <w:rFonts w:cstheme="minorHAnsi"/>
          <w:b/>
          <w:bCs/>
          <w:szCs w:val="28"/>
        </w:rPr>
        <w:t>Windsor Framework (Democratic Scrutiny) Regulations 2023</w:t>
      </w:r>
      <w:r w:rsidR="006C6A7D" w:rsidRPr="00CE5436">
        <w:rPr>
          <w:rFonts w:cstheme="minorHAnsi"/>
          <w:b/>
          <w:bCs/>
          <w:szCs w:val="28"/>
        </w:rPr>
        <w:t>.</w:t>
      </w:r>
      <w:r w:rsidR="0060666A" w:rsidRPr="00CE5436">
        <w:rPr>
          <w:rFonts w:cstheme="minorHAnsi"/>
          <w:b/>
          <w:bCs/>
          <w:szCs w:val="28"/>
        </w:rPr>
        <w:t xml:space="preserve"> </w:t>
      </w:r>
    </w:p>
    <w:p w14:paraId="37C4A896" w14:textId="187E0E0E" w:rsidR="004377FE" w:rsidRPr="006F7122" w:rsidRDefault="00885862" w:rsidP="006F7122">
      <w:pPr>
        <w:pStyle w:val="ListParagraph"/>
        <w:numPr>
          <w:ilvl w:val="1"/>
          <w:numId w:val="8"/>
        </w:numPr>
        <w:spacing w:after="240"/>
        <w:ind w:left="720" w:hanging="720"/>
        <w:contextualSpacing w:val="0"/>
        <w:rPr>
          <w:rFonts w:eastAsiaTheme="minorEastAsia" w:cstheme="minorHAnsi"/>
          <w:szCs w:val="28"/>
        </w:rPr>
      </w:pPr>
      <w:r>
        <w:rPr>
          <w:rFonts w:cstheme="minorHAnsi"/>
          <w:b/>
          <w:bCs/>
          <w:szCs w:val="28"/>
        </w:rPr>
        <w:t xml:space="preserve">We </w:t>
      </w:r>
      <w:r w:rsidR="004377FE" w:rsidRPr="00CE5436">
        <w:rPr>
          <w:rFonts w:cstheme="minorHAnsi"/>
          <w:b/>
          <w:bCs/>
          <w:szCs w:val="28"/>
        </w:rPr>
        <w:t xml:space="preserve">recommend that the </w:t>
      </w:r>
      <w:r w:rsidR="007B1A1F">
        <w:rPr>
          <w:rFonts w:cstheme="minorHAnsi"/>
          <w:b/>
          <w:bCs/>
          <w:szCs w:val="28"/>
        </w:rPr>
        <w:t>Sub-</w:t>
      </w:r>
      <w:r w:rsidR="004377FE" w:rsidRPr="00CE5436">
        <w:rPr>
          <w:rFonts w:cstheme="minorHAnsi"/>
          <w:b/>
          <w:bCs/>
          <w:szCs w:val="28"/>
        </w:rPr>
        <w:t xml:space="preserve">Committee ask the Leader of the House </w:t>
      </w:r>
      <w:r w:rsidR="00243E49" w:rsidRPr="00CE5436">
        <w:rPr>
          <w:rFonts w:cstheme="minorHAnsi"/>
          <w:b/>
          <w:bCs/>
          <w:szCs w:val="28"/>
        </w:rPr>
        <w:t xml:space="preserve">of Commons </w:t>
      </w:r>
      <w:r w:rsidR="004377FE" w:rsidRPr="00CE5436">
        <w:rPr>
          <w:rFonts w:cstheme="minorHAnsi"/>
          <w:b/>
          <w:bCs/>
          <w:szCs w:val="28"/>
        </w:rPr>
        <w:t xml:space="preserve">for an update </w:t>
      </w:r>
      <w:r w:rsidR="00B52CFB" w:rsidRPr="00CE5436">
        <w:rPr>
          <w:rFonts w:cstheme="minorHAnsi"/>
          <w:b/>
          <w:bCs/>
          <w:szCs w:val="28"/>
        </w:rPr>
        <w:t>i</w:t>
      </w:r>
      <w:r w:rsidR="00243E49" w:rsidRPr="00CE5436">
        <w:rPr>
          <w:rFonts w:cstheme="minorHAnsi"/>
          <w:b/>
          <w:bCs/>
          <w:szCs w:val="28"/>
        </w:rPr>
        <w:t>n</w:t>
      </w:r>
      <w:r w:rsidR="004377FE" w:rsidRPr="00CE5436">
        <w:rPr>
          <w:rFonts w:cstheme="minorHAnsi"/>
          <w:b/>
          <w:bCs/>
          <w:szCs w:val="28"/>
        </w:rPr>
        <w:t xml:space="preserve"> terms of the </w:t>
      </w:r>
      <w:r w:rsidR="00243E49" w:rsidRPr="00CE5436">
        <w:rPr>
          <w:rFonts w:cstheme="minorHAnsi"/>
          <w:b/>
          <w:bCs/>
          <w:szCs w:val="28"/>
        </w:rPr>
        <w:t>development of guidance</w:t>
      </w:r>
      <w:r w:rsidR="006600E4" w:rsidRPr="00CE5436">
        <w:rPr>
          <w:rFonts w:cstheme="minorHAnsi"/>
          <w:b/>
          <w:bCs/>
          <w:szCs w:val="28"/>
        </w:rPr>
        <w:t xml:space="preserve">, relating to how consideration of Windsor Framework Article 2 can be </w:t>
      </w:r>
      <w:r w:rsidR="00E50AD1" w:rsidRPr="00CE5436">
        <w:rPr>
          <w:rFonts w:cstheme="minorHAnsi"/>
          <w:b/>
          <w:bCs/>
          <w:szCs w:val="28"/>
        </w:rPr>
        <w:t xml:space="preserve">built into the </w:t>
      </w:r>
      <w:r w:rsidR="00100824" w:rsidRPr="00CE5436">
        <w:rPr>
          <w:rFonts w:cstheme="minorHAnsi"/>
          <w:b/>
          <w:bCs/>
          <w:szCs w:val="28"/>
        </w:rPr>
        <w:t xml:space="preserve">Whitehall </w:t>
      </w:r>
      <w:r w:rsidR="00E50AD1" w:rsidRPr="00CE5436">
        <w:rPr>
          <w:rFonts w:cstheme="minorHAnsi"/>
          <w:b/>
          <w:bCs/>
          <w:szCs w:val="28"/>
        </w:rPr>
        <w:t>legislative drafting process</w:t>
      </w:r>
      <w:r w:rsidR="00100824" w:rsidRPr="00CE5436">
        <w:rPr>
          <w:rFonts w:cstheme="minorHAnsi"/>
          <w:b/>
          <w:bCs/>
          <w:szCs w:val="28"/>
        </w:rPr>
        <w:t>es and procedures</w:t>
      </w:r>
      <w:r w:rsidR="00243E49" w:rsidRPr="00CE5436">
        <w:rPr>
          <w:rFonts w:cstheme="minorHAnsi"/>
          <w:b/>
          <w:bCs/>
          <w:szCs w:val="28"/>
        </w:rPr>
        <w:t>.</w:t>
      </w:r>
      <w:r w:rsidR="0060666A" w:rsidRPr="00CE5436">
        <w:rPr>
          <w:rFonts w:cstheme="minorHAnsi"/>
          <w:b/>
          <w:bCs/>
          <w:szCs w:val="28"/>
        </w:rPr>
        <w:t xml:space="preserve"> </w:t>
      </w:r>
      <w:r w:rsidRPr="006F7122">
        <w:rPr>
          <w:rFonts w:eastAsiaTheme="minorEastAsia" w:cstheme="minorHAnsi"/>
          <w:b/>
          <w:bCs/>
          <w:szCs w:val="28"/>
        </w:rPr>
        <w:t>May</w:t>
      </w:r>
      <w:r w:rsidR="00ED542F" w:rsidRPr="006F7122">
        <w:rPr>
          <w:rFonts w:eastAsiaTheme="minorEastAsia" w:cstheme="minorHAnsi"/>
          <w:b/>
          <w:bCs/>
          <w:szCs w:val="28"/>
        </w:rPr>
        <w:t xml:space="preserve"> 2023 </w:t>
      </w:r>
    </w:p>
    <w:p w14:paraId="55CA2A59" w14:textId="44CEB19E" w:rsidR="0089110C" w:rsidRDefault="0089110C">
      <w:pPr>
        <w:rPr>
          <w:rFonts w:eastAsiaTheme="minorEastAsia"/>
          <w:b/>
          <w:bCs/>
          <w:sz w:val="36"/>
          <w:szCs w:val="36"/>
        </w:rPr>
      </w:pPr>
    </w:p>
    <w:p w14:paraId="49A9A512" w14:textId="77777777" w:rsidR="00626361" w:rsidRDefault="00626361">
      <w:pPr>
        <w:rPr>
          <w:rFonts w:eastAsiaTheme="minorEastAsia"/>
          <w:b/>
          <w:bCs/>
          <w:sz w:val="36"/>
          <w:szCs w:val="36"/>
        </w:rPr>
      </w:pPr>
    </w:p>
    <w:p w14:paraId="2F49BC19" w14:textId="77777777" w:rsidR="003372BC" w:rsidRPr="006F6E42" w:rsidRDefault="003372BC" w:rsidP="003372BC">
      <w:pPr>
        <w:pStyle w:val="BasicParagraph"/>
        <w:suppressAutoHyphens/>
        <w:jc w:val="center"/>
        <w:rPr>
          <w:rFonts w:asciiTheme="minorHAnsi" w:hAnsiTheme="minorHAnsi" w:cs="Arial"/>
          <w:b/>
          <w:bCs/>
          <w:color w:val="auto"/>
          <w:sz w:val="36"/>
          <w:szCs w:val="36"/>
        </w:rPr>
      </w:pPr>
    </w:p>
    <w:p w14:paraId="0E844242" w14:textId="77777777" w:rsidR="003372BC" w:rsidRPr="006F6E42" w:rsidRDefault="003372BC" w:rsidP="003372BC">
      <w:pPr>
        <w:pStyle w:val="BasicParagraph"/>
        <w:suppressAutoHyphens/>
        <w:jc w:val="center"/>
        <w:rPr>
          <w:rFonts w:asciiTheme="minorHAnsi" w:hAnsiTheme="minorHAnsi" w:cs="Arial"/>
          <w:b/>
          <w:bCs/>
          <w:color w:val="auto"/>
          <w:sz w:val="36"/>
          <w:szCs w:val="36"/>
        </w:rPr>
      </w:pPr>
      <w:r w:rsidRPr="006F6E42">
        <w:rPr>
          <w:rFonts w:asciiTheme="minorHAnsi" w:hAnsiTheme="minorHAnsi" w:cs="Arial"/>
          <w:b/>
          <w:bCs/>
          <w:color w:val="auto"/>
          <w:sz w:val="36"/>
          <w:szCs w:val="36"/>
        </w:rPr>
        <w:t xml:space="preserve">Contact </w:t>
      </w:r>
      <w:proofErr w:type="gramStart"/>
      <w:r w:rsidRPr="006F6E42">
        <w:rPr>
          <w:rFonts w:asciiTheme="minorHAnsi" w:hAnsiTheme="minorHAnsi" w:cs="Arial"/>
          <w:b/>
          <w:bCs/>
          <w:color w:val="auto"/>
          <w:sz w:val="36"/>
          <w:szCs w:val="36"/>
        </w:rPr>
        <w:t>us</w:t>
      </w:r>
      <w:proofErr w:type="gramEnd"/>
    </w:p>
    <w:p w14:paraId="02EEA78F" w14:textId="77777777" w:rsidR="003372BC" w:rsidRPr="006F6E42" w:rsidRDefault="003372BC" w:rsidP="003372BC">
      <w:pPr>
        <w:pStyle w:val="BasicParagraph"/>
        <w:suppressAutoHyphens/>
        <w:jc w:val="center"/>
        <w:rPr>
          <w:rFonts w:asciiTheme="minorHAnsi" w:hAnsiTheme="minorHAnsi" w:cs="Arial"/>
          <w:b/>
          <w:bCs/>
          <w:color w:val="77328A"/>
          <w:sz w:val="36"/>
          <w:szCs w:val="36"/>
        </w:rPr>
      </w:pPr>
    </w:p>
    <w:p w14:paraId="189EDAAA" w14:textId="77777777" w:rsidR="003372BC" w:rsidRPr="006F6E42" w:rsidRDefault="003372BC" w:rsidP="003372BC">
      <w:pPr>
        <w:pStyle w:val="BasicParagraph"/>
        <w:suppressAutoHyphens/>
        <w:jc w:val="center"/>
        <w:rPr>
          <w:rFonts w:asciiTheme="minorHAnsi" w:hAnsiTheme="minorHAnsi" w:cs="Arial"/>
          <w:bCs/>
          <w:color w:val="auto"/>
        </w:rPr>
      </w:pPr>
      <w:r w:rsidRPr="006F6E42">
        <w:rPr>
          <w:rFonts w:asciiTheme="minorHAnsi" w:hAnsiTheme="minorHAnsi" w:cs="Arial"/>
          <w:bCs/>
          <w:color w:val="auto"/>
        </w:rPr>
        <w:t xml:space="preserve">For queries, please contact: </w:t>
      </w:r>
    </w:p>
    <w:p w14:paraId="21376AB4" w14:textId="77777777" w:rsidR="003372BC" w:rsidRDefault="005A4E1F" w:rsidP="003372BC">
      <w:pPr>
        <w:pStyle w:val="BasicParagraph"/>
        <w:suppressAutoHyphens/>
        <w:jc w:val="center"/>
        <w:rPr>
          <w:rFonts w:asciiTheme="minorHAnsi" w:hAnsiTheme="minorHAnsi" w:cs="Arial"/>
          <w:bCs/>
          <w:color w:val="auto"/>
        </w:rPr>
      </w:pPr>
      <w:hyperlink r:id="rId20" w:history="1">
        <w:r w:rsidR="003372BC" w:rsidRPr="00016869">
          <w:rPr>
            <w:rStyle w:val="Hyperlink"/>
            <w:rFonts w:asciiTheme="minorHAnsi" w:hAnsiTheme="minorHAnsi" w:cs="Arial"/>
            <w:bCs/>
          </w:rPr>
          <w:t>Eilis.Haughey@NIHRC.ORG</w:t>
        </w:r>
      </w:hyperlink>
      <w:r w:rsidR="003372BC">
        <w:rPr>
          <w:rFonts w:asciiTheme="minorHAnsi" w:hAnsiTheme="minorHAnsi" w:cs="Arial"/>
          <w:bCs/>
          <w:color w:val="auto"/>
        </w:rPr>
        <w:t xml:space="preserve"> </w:t>
      </w:r>
    </w:p>
    <w:p w14:paraId="660535AF" w14:textId="77777777" w:rsidR="003372BC" w:rsidRDefault="005A4E1F" w:rsidP="003372BC">
      <w:pPr>
        <w:pStyle w:val="BasicParagraph"/>
        <w:suppressAutoHyphens/>
        <w:jc w:val="center"/>
        <w:rPr>
          <w:rFonts w:asciiTheme="minorHAnsi" w:hAnsiTheme="minorHAnsi" w:cs="Arial"/>
          <w:bCs/>
          <w:color w:val="auto"/>
        </w:rPr>
      </w:pPr>
      <w:hyperlink r:id="rId21" w:history="1">
        <w:r w:rsidR="003372BC" w:rsidRPr="00016869">
          <w:rPr>
            <w:rStyle w:val="Hyperlink"/>
            <w:rFonts w:asciiTheme="minorHAnsi" w:hAnsiTheme="minorHAnsi" w:cs="Arial"/>
            <w:bCs/>
          </w:rPr>
          <w:t>RMallon@equalityni.org</w:t>
        </w:r>
      </w:hyperlink>
      <w:r w:rsidR="003372BC">
        <w:rPr>
          <w:rFonts w:asciiTheme="minorHAnsi" w:hAnsiTheme="minorHAnsi" w:cs="Arial"/>
          <w:bCs/>
          <w:color w:val="auto"/>
        </w:rPr>
        <w:t xml:space="preserve"> </w:t>
      </w:r>
    </w:p>
    <w:p w14:paraId="70E9608D" w14:textId="77777777" w:rsidR="003372BC" w:rsidRPr="006F6E42" w:rsidRDefault="003372BC" w:rsidP="003372BC">
      <w:pPr>
        <w:pStyle w:val="BasicParagraph"/>
        <w:suppressAutoHyphens/>
        <w:jc w:val="center"/>
        <w:rPr>
          <w:rFonts w:asciiTheme="minorHAnsi" w:hAnsiTheme="minorHAnsi" w:cs="Arial"/>
          <w:bCs/>
          <w:color w:val="auto"/>
        </w:rPr>
      </w:pPr>
    </w:p>
    <w:tbl>
      <w:tblPr>
        <w:tblStyle w:val="TableGridLight"/>
        <w:tblW w:w="0" w:type="auto"/>
        <w:tblLook w:val="04A0" w:firstRow="1" w:lastRow="0" w:firstColumn="1" w:lastColumn="0" w:noHBand="0" w:noVBand="1"/>
      </w:tblPr>
      <w:tblGrid>
        <w:gridCol w:w="4508"/>
        <w:gridCol w:w="4508"/>
      </w:tblGrid>
      <w:tr w:rsidR="003372BC" w14:paraId="34F45067" w14:textId="77777777" w:rsidTr="000B5192">
        <w:tc>
          <w:tcPr>
            <w:tcW w:w="4508" w:type="dxa"/>
            <w:shd w:val="clear" w:color="auto" w:fill="auto"/>
          </w:tcPr>
          <w:p w14:paraId="4429E33B"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 xml:space="preserve">Northern Ireland Human Rights Commission </w:t>
            </w:r>
          </w:p>
          <w:p w14:paraId="15FF1864"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4th Floor, Alfred House</w:t>
            </w:r>
          </w:p>
          <w:p w14:paraId="76577284"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 xml:space="preserve"> 19-21 Alfred Street</w:t>
            </w:r>
          </w:p>
          <w:p w14:paraId="13D12904"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Belfast, BT2 8ED</w:t>
            </w:r>
          </w:p>
          <w:p w14:paraId="5A1F4A0E" w14:textId="77777777" w:rsidR="003372BC" w:rsidRPr="00F26ADD" w:rsidRDefault="003372BC" w:rsidP="000B5192">
            <w:pPr>
              <w:jc w:val="center"/>
              <w:rPr>
                <w:rFonts w:asciiTheme="minorHAnsi" w:hAnsiTheme="minorHAnsi"/>
                <w:b/>
                <w:color w:val="232120"/>
                <w:sz w:val="22"/>
                <w:szCs w:val="22"/>
              </w:rPr>
            </w:pPr>
          </w:p>
          <w:p w14:paraId="7D68DF7D" w14:textId="77777777" w:rsidR="003372BC" w:rsidRDefault="005A4E1F" w:rsidP="000B5192">
            <w:pPr>
              <w:jc w:val="center"/>
              <w:rPr>
                <w:rFonts w:asciiTheme="minorHAnsi" w:hAnsiTheme="minorHAnsi"/>
                <w:color w:val="232120"/>
                <w:sz w:val="22"/>
                <w:szCs w:val="22"/>
                <w:lang w:val="en-US"/>
              </w:rPr>
            </w:pPr>
            <w:hyperlink r:id="rId22" w:history="1">
              <w:r w:rsidR="003372BC" w:rsidRPr="006469D2">
                <w:rPr>
                  <w:rStyle w:val="Hyperlink"/>
                  <w:rFonts w:asciiTheme="minorHAnsi" w:hAnsiTheme="minorHAnsi"/>
                  <w:sz w:val="22"/>
                  <w:szCs w:val="22"/>
                  <w:lang w:val="en-US"/>
                </w:rPr>
                <w:t>www.nihrc.org</w:t>
              </w:r>
              <w:r w:rsidR="003372BC" w:rsidRPr="00694AD1">
                <w:rPr>
                  <w:rStyle w:val="Hyperlink"/>
                  <w:rFonts w:asciiTheme="minorHAnsi" w:hAnsiTheme="minorHAnsi"/>
                  <w:sz w:val="22"/>
                  <w:szCs w:val="22"/>
                  <w:lang w:val="en-US"/>
                </w:rPr>
                <w:t>/brexit</w:t>
              </w:r>
            </w:hyperlink>
            <w:r w:rsidR="003372BC">
              <w:rPr>
                <w:rStyle w:val="Hyperlink"/>
                <w:rFonts w:asciiTheme="minorHAnsi" w:hAnsiTheme="minorHAnsi"/>
                <w:color w:val="232120"/>
                <w:sz w:val="22"/>
                <w:szCs w:val="22"/>
                <w:lang w:val="en-US"/>
              </w:rPr>
              <w:t xml:space="preserve"> </w:t>
            </w:r>
            <w:r w:rsidR="003372BC" w:rsidRPr="00F26ADD">
              <w:rPr>
                <w:rFonts w:asciiTheme="minorHAnsi" w:hAnsiTheme="minorHAnsi"/>
                <w:color w:val="232120"/>
                <w:sz w:val="22"/>
                <w:szCs w:val="22"/>
                <w:lang w:val="en-US"/>
              </w:rPr>
              <w:t xml:space="preserve">  </w:t>
            </w:r>
          </w:p>
          <w:p w14:paraId="3B52A789" w14:textId="77777777" w:rsidR="003372BC" w:rsidRDefault="005A4E1F" w:rsidP="000B5192">
            <w:pPr>
              <w:jc w:val="center"/>
              <w:rPr>
                <w:rFonts w:asciiTheme="minorHAnsi" w:hAnsiTheme="minorHAnsi"/>
                <w:color w:val="232120"/>
                <w:sz w:val="22"/>
                <w:szCs w:val="22"/>
                <w:lang w:val="en-US"/>
              </w:rPr>
            </w:pPr>
            <w:hyperlink r:id="rId23" w:history="1">
              <w:r w:rsidR="003372BC" w:rsidRPr="00F26ADD">
                <w:rPr>
                  <w:rStyle w:val="Hyperlink"/>
                  <w:rFonts w:asciiTheme="minorHAnsi" w:hAnsiTheme="minorHAnsi"/>
                  <w:color w:val="232120"/>
                  <w:sz w:val="22"/>
                  <w:szCs w:val="22"/>
                  <w:lang w:val="en-US"/>
                </w:rPr>
                <w:t>info@nihrc.org</w:t>
              </w:r>
            </w:hyperlink>
            <w:r w:rsidR="003372BC" w:rsidRPr="00F26ADD">
              <w:rPr>
                <w:rFonts w:asciiTheme="minorHAnsi" w:hAnsiTheme="minorHAnsi"/>
                <w:color w:val="232120"/>
                <w:sz w:val="22"/>
                <w:szCs w:val="22"/>
                <w:lang w:val="en-US"/>
              </w:rPr>
              <w:t xml:space="preserve">  </w:t>
            </w:r>
          </w:p>
          <w:p w14:paraId="6CF2069D"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lang w:val="en-US"/>
              </w:rPr>
              <w:t>+44 (0)28 9024 3987</w:t>
            </w:r>
          </w:p>
          <w:p w14:paraId="1BF498B1" w14:textId="77777777" w:rsidR="003372BC" w:rsidRPr="00F26ADD" w:rsidRDefault="003372BC" w:rsidP="000B5192">
            <w:pPr>
              <w:pStyle w:val="BasicParagraph"/>
              <w:suppressAutoHyphens/>
              <w:jc w:val="center"/>
              <w:rPr>
                <w:rFonts w:asciiTheme="minorHAnsi" w:hAnsiTheme="minorHAnsi" w:cs="Arial"/>
                <w:bCs/>
                <w:color w:val="auto"/>
                <w:sz w:val="22"/>
                <w:szCs w:val="22"/>
              </w:rPr>
            </w:pPr>
          </w:p>
        </w:tc>
        <w:tc>
          <w:tcPr>
            <w:tcW w:w="4508" w:type="dxa"/>
            <w:shd w:val="clear" w:color="auto" w:fill="auto"/>
          </w:tcPr>
          <w:p w14:paraId="1DA974FA" w14:textId="77777777" w:rsidR="003372BC" w:rsidRDefault="003372BC" w:rsidP="000B5192">
            <w:pPr>
              <w:jc w:val="center"/>
              <w:rPr>
                <w:sz w:val="22"/>
                <w:szCs w:val="22"/>
              </w:rPr>
            </w:pPr>
            <w:r w:rsidRPr="00F26ADD">
              <w:rPr>
                <w:sz w:val="22"/>
                <w:szCs w:val="22"/>
              </w:rPr>
              <w:t>Equality Commission for Northern Ireland</w:t>
            </w:r>
          </w:p>
          <w:p w14:paraId="11928842" w14:textId="3533C215" w:rsidR="003372BC" w:rsidRDefault="003372BC" w:rsidP="000B5192">
            <w:pPr>
              <w:jc w:val="center"/>
              <w:rPr>
                <w:sz w:val="22"/>
                <w:szCs w:val="22"/>
              </w:rPr>
            </w:pPr>
            <w:r w:rsidRPr="00F26ADD">
              <w:rPr>
                <w:sz w:val="22"/>
                <w:szCs w:val="22"/>
              </w:rPr>
              <w:t>Equality House</w:t>
            </w:r>
          </w:p>
          <w:p w14:paraId="3D820A2B" w14:textId="77777777" w:rsidR="003372BC" w:rsidRDefault="003372BC" w:rsidP="000B5192">
            <w:pPr>
              <w:jc w:val="center"/>
              <w:rPr>
                <w:sz w:val="22"/>
                <w:szCs w:val="22"/>
              </w:rPr>
            </w:pPr>
            <w:r w:rsidRPr="00F26ADD">
              <w:rPr>
                <w:sz w:val="22"/>
                <w:szCs w:val="22"/>
              </w:rPr>
              <w:t>7-9 Shaftesbury Square</w:t>
            </w:r>
          </w:p>
          <w:p w14:paraId="40CCE452" w14:textId="77777777" w:rsidR="003372BC" w:rsidRPr="00F26ADD" w:rsidRDefault="003372BC" w:rsidP="000B5192">
            <w:pPr>
              <w:jc w:val="center"/>
              <w:rPr>
                <w:sz w:val="22"/>
                <w:szCs w:val="22"/>
              </w:rPr>
            </w:pPr>
            <w:r w:rsidRPr="00F26ADD">
              <w:rPr>
                <w:sz w:val="22"/>
                <w:szCs w:val="22"/>
              </w:rPr>
              <w:t xml:space="preserve"> Belfast, BT2 7DP</w:t>
            </w:r>
          </w:p>
          <w:p w14:paraId="0F5FE952" w14:textId="77777777" w:rsidR="003372BC" w:rsidRPr="00F26ADD" w:rsidRDefault="003372BC" w:rsidP="000B5192">
            <w:pPr>
              <w:jc w:val="center"/>
              <w:rPr>
                <w:sz w:val="22"/>
                <w:szCs w:val="22"/>
              </w:rPr>
            </w:pPr>
          </w:p>
          <w:p w14:paraId="41A387BA" w14:textId="17D4532C" w:rsidR="00B307AC" w:rsidRDefault="005A4E1F" w:rsidP="000B5192">
            <w:pPr>
              <w:jc w:val="center"/>
              <w:rPr>
                <w:rStyle w:val="Hyperlink"/>
                <w:rFonts w:asciiTheme="minorHAnsi" w:hAnsiTheme="minorHAnsi"/>
                <w:sz w:val="22"/>
                <w:szCs w:val="22"/>
                <w:lang w:val="en-US"/>
              </w:rPr>
            </w:pPr>
            <w:hyperlink r:id="rId24" w:history="1">
              <w:r w:rsidR="00B307AC" w:rsidRPr="000C2710">
                <w:rPr>
                  <w:rStyle w:val="Hyperlink"/>
                  <w:sz w:val="22"/>
                  <w:szCs w:val="22"/>
                  <w:lang w:val="en-US"/>
                </w:rPr>
                <w:t>www.equalityni.org/Brexit</w:t>
              </w:r>
            </w:hyperlink>
            <w:r w:rsidR="003372BC">
              <w:rPr>
                <w:rStyle w:val="Hyperlink"/>
                <w:rFonts w:asciiTheme="minorHAnsi" w:hAnsiTheme="minorHAnsi"/>
                <w:sz w:val="22"/>
                <w:szCs w:val="22"/>
                <w:lang w:val="en-US"/>
              </w:rPr>
              <w:t xml:space="preserve"> </w:t>
            </w:r>
          </w:p>
          <w:p w14:paraId="6D86A5DC" w14:textId="2DC0344F" w:rsidR="003372BC" w:rsidRDefault="003372BC" w:rsidP="000B5192">
            <w:pPr>
              <w:jc w:val="center"/>
              <w:rPr>
                <w:rFonts w:asciiTheme="minorHAnsi" w:hAnsiTheme="minorHAnsi"/>
                <w:color w:val="232120"/>
                <w:sz w:val="22"/>
                <w:szCs w:val="22"/>
                <w:lang w:val="en-US"/>
              </w:rPr>
            </w:pPr>
            <w:r w:rsidRPr="00F26ADD">
              <w:rPr>
                <w:rFonts w:asciiTheme="minorHAnsi" w:hAnsiTheme="minorHAnsi"/>
                <w:color w:val="232120"/>
                <w:sz w:val="22"/>
                <w:szCs w:val="22"/>
                <w:lang w:val="en-US"/>
              </w:rPr>
              <w:t xml:space="preserve">  </w:t>
            </w:r>
            <w:hyperlink r:id="rId25" w:history="1">
              <w:r>
                <w:rPr>
                  <w:rStyle w:val="Hyperlink"/>
                  <w:rFonts w:asciiTheme="minorHAnsi" w:hAnsiTheme="minorHAnsi"/>
                  <w:sz w:val="22"/>
                  <w:szCs w:val="22"/>
                  <w:lang w:val="en-US"/>
                </w:rPr>
                <w:t>dmu</w:t>
              </w:r>
              <w:r w:rsidRPr="00F26ADD">
                <w:rPr>
                  <w:rStyle w:val="Hyperlink"/>
                  <w:rFonts w:asciiTheme="minorHAnsi" w:hAnsiTheme="minorHAnsi"/>
                  <w:sz w:val="22"/>
                  <w:szCs w:val="22"/>
                  <w:lang w:val="en-US"/>
                </w:rPr>
                <w:t>@equalityni.org</w:t>
              </w:r>
            </w:hyperlink>
            <w:r w:rsidRPr="00F26ADD">
              <w:rPr>
                <w:sz w:val="22"/>
                <w:szCs w:val="22"/>
              </w:rPr>
              <w:t xml:space="preserve"> </w:t>
            </w:r>
          </w:p>
          <w:p w14:paraId="6195D62A"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lang w:val="en-US"/>
              </w:rPr>
              <w:t xml:space="preserve"> +44 (0)28 90 500 600</w:t>
            </w:r>
          </w:p>
          <w:p w14:paraId="4C46032A" w14:textId="77777777" w:rsidR="003372BC" w:rsidRPr="00F26ADD" w:rsidRDefault="003372BC" w:rsidP="000B5192">
            <w:pPr>
              <w:pStyle w:val="BasicParagraph"/>
              <w:suppressAutoHyphens/>
              <w:jc w:val="center"/>
              <w:rPr>
                <w:rFonts w:asciiTheme="minorHAnsi" w:hAnsiTheme="minorHAnsi" w:cs="Arial"/>
                <w:bCs/>
                <w:color w:val="auto"/>
                <w:sz w:val="22"/>
                <w:szCs w:val="22"/>
              </w:rPr>
            </w:pPr>
          </w:p>
        </w:tc>
      </w:tr>
    </w:tbl>
    <w:p w14:paraId="1BBD59B6" w14:textId="77777777" w:rsidR="003372BC" w:rsidRPr="006F6E42" w:rsidRDefault="003372BC" w:rsidP="003372BC">
      <w:pPr>
        <w:pStyle w:val="BasicParagraph"/>
        <w:suppressAutoHyphens/>
        <w:jc w:val="center"/>
        <w:rPr>
          <w:rFonts w:asciiTheme="minorHAnsi" w:hAnsiTheme="minorHAnsi" w:cs="Arial"/>
          <w:bCs/>
          <w:color w:val="auto"/>
        </w:rPr>
      </w:pPr>
    </w:p>
    <w:p w14:paraId="4A2749DF" w14:textId="77777777" w:rsidR="003372BC" w:rsidRPr="006F6E42" w:rsidRDefault="003372BC" w:rsidP="003372BC">
      <w:pPr>
        <w:jc w:val="center"/>
        <w:rPr>
          <w:b/>
          <w:color w:val="232120"/>
        </w:rPr>
      </w:pPr>
    </w:p>
    <w:p w14:paraId="6049D709" w14:textId="77777777" w:rsidR="003372BC" w:rsidRDefault="003372BC" w:rsidP="003372BC">
      <w:pPr>
        <w:jc w:val="center"/>
        <w:rPr>
          <w:color w:val="232120"/>
          <w:sz w:val="20"/>
          <w:szCs w:val="20"/>
        </w:rPr>
      </w:pPr>
      <w:r w:rsidRPr="006F6E42">
        <w:rPr>
          <w:noProof/>
          <w:color w:val="232120"/>
          <w:lang w:eastAsia="en-GB"/>
        </w:rPr>
        <w:drawing>
          <wp:inline distT="0" distB="0" distL="0" distR="0" wp14:anchorId="3875A08C" wp14:editId="139CE09F">
            <wp:extent cx="1516380" cy="274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6380" cy="274320"/>
                    </a:xfrm>
                    <a:prstGeom prst="rect">
                      <a:avLst/>
                    </a:prstGeom>
                    <a:noFill/>
                    <a:ln>
                      <a:noFill/>
                    </a:ln>
                  </pic:spPr>
                </pic:pic>
              </a:graphicData>
            </a:graphic>
          </wp:inline>
        </w:drawing>
      </w:r>
    </w:p>
    <w:p w14:paraId="0BCB6B1C" w14:textId="77777777" w:rsidR="003372BC" w:rsidRDefault="003372BC" w:rsidP="003372BC">
      <w:pPr>
        <w:jc w:val="center"/>
        <w:rPr>
          <w:color w:val="232120"/>
          <w:sz w:val="20"/>
          <w:szCs w:val="20"/>
        </w:rPr>
      </w:pPr>
    </w:p>
    <w:p w14:paraId="15D8C7CC" w14:textId="77777777" w:rsidR="003372BC" w:rsidRPr="002118D1" w:rsidRDefault="003372BC" w:rsidP="003372BC">
      <w:pPr>
        <w:ind w:left="720" w:hanging="720"/>
        <w:jc w:val="center"/>
      </w:pPr>
    </w:p>
    <w:p w14:paraId="4DFECC96" w14:textId="77777777" w:rsidR="00F37824" w:rsidRPr="00260596" w:rsidRDefault="00F37824" w:rsidP="003372BC">
      <w:pPr>
        <w:pStyle w:val="BasicParagraph"/>
        <w:suppressAutoHyphens/>
        <w:jc w:val="center"/>
      </w:pPr>
    </w:p>
    <w:sectPr w:rsidR="00F37824" w:rsidRPr="00260596" w:rsidSect="0029716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0D2" w14:textId="77777777" w:rsidR="00A01474" w:rsidRDefault="00A01474" w:rsidP="008569C5">
      <w:r>
        <w:separator/>
      </w:r>
    </w:p>
  </w:endnote>
  <w:endnote w:type="continuationSeparator" w:id="0">
    <w:p w14:paraId="7835158D" w14:textId="77777777" w:rsidR="00A01474" w:rsidRDefault="00A01474" w:rsidP="008569C5">
      <w:r>
        <w:continuationSeparator/>
      </w:r>
    </w:p>
  </w:endnote>
  <w:endnote w:type="continuationNotice" w:id="1">
    <w:p w14:paraId="426CDA61" w14:textId="77777777" w:rsidR="00A01474" w:rsidRDefault="00A0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CC05" w14:textId="77777777" w:rsidR="00FA12D4" w:rsidRDefault="00FA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D739" w14:textId="55DFDACB" w:rsidR="00BA78B6" w:rsidRDefault="00BA78B6">
    <w:pPr>
      <w:pStyle w:val="Footer"/>
      <w:jc w:val="right"/>
    </w:pPr>
  </w:p>
  <w:p w14:paraId="05564417" w14:textId="77777777" w:rsidR="00BA78B6" w:rsidRDefault="00BA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4F20" w14:textId="77777777" w:rsidR="00FA12D4" w:rsidRDefault="00FA1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06669"/>
      <w:docPartObj>
        <w:docPartGallery w:val="Page Numbers (Bottom of Page)"/>
        <w:docPartUnique/>
      </w:docPartObj>
    </w:sdtPr>
    <w:sdtEndPr>
      <w:rPr>
        <w:noProof/>
      </w:rPr>
    </w:sdtEndPr>
    <w:sdtContent>
      <w:p w14:paraId="4E27D3B1" w14:textId="47F1C971" w:rsidR="00BA78B6" w:rsidRDefault="00BA78B6">
        <w:pPr>
          <w:pStyle w:val="Footer"/>
          <w:jc w:val="right"/>
        </w:pPr>
        <w:r>
          <w:fldChar w:fldCharType="begin"/>
        </w:r>
        <w:r>
          <w:instrText xml:space="preserve"> PAGE   \* MERGEFORMAT </w:instrText>
        </w:r>
        <w:r>
          <w:fldChar w:fldCharType="separate"/>
        </w:r>
        <w:r w:rsidR="00E06FA1">
          <w:rPr>
            <w:noProof/>
          </w:rPr>
          <w:t>20</w:t>
        </w:r>
        <w:r>
          <w:rPr>
            <w:noProof/>
          </w:rPr>
          <w:fldChar w:fldCharType="end"/>
        </w:r>
      </w:p>
    </w:sdtContent>
  </w:sdt>
  <w:p w14:paraId="68F10C75" w14:textId="77777777" w:rsidR="00BA78B6" w:rsidRDefault="00BA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5D0E" w14:textId="77777777" w:rsidR="00A01474" w:rsidRDefault="00A01474" w:rsidP="008569C5">
      <w:r>
        <w:separator/>
      </w:r>
    </w:p>
  </w:footnote>
  <w:footnote w:type="continuationSeparator" w:id="0">
    <w:p w14:paraId="25ABC97C" w14:textId="77777777" w:rsidR="00A01474" w:rsidRDefault="00A01474" w:rsidP="008569C5">
      <w:r>
        <w:continuationSeparator/>
      </w:r>
    </w:p>
  </w:footnote>
  <w:footnote w:type="continuationNotice" w:id="1">
    <w:p w14:paraId="7A4E2A02" w14:textId="77777777" w:rsidR="00A01474" w:rsidRDefault="00A01474"/>
  </w:footnote>
  <w:footnote w:id="2">
    <w:p w14:paraId="06B13B38" w14:textId="77777777" w:rsidR="00E5466E" w:rsidRDefault="00E5466E" w:rsidP="00E5466E">
      <w:pPr>
        <w:pStyle w:val="FootnoteText"/>
      </w:pPr>
      <w:r>
        <w:rPr>
          <w:rStyle w:val="FootnoteReference"/>
        </w:rPr>
        <w:footnoteRef/>
      </w:r>
      <w:r>
        <w:t xml:space="preserve"> ECNI, NIHRC, IHREC, </w:t>
      </w:r>
      <w:hyperlink r:id="rId1" w:history="1">
        <w:r w:rsidRPr="005567EC">
          <w:rPr>
            <w:rStyle w:val="Hyperlink"/>
            <w:i/>
            <w:iCs/>
          </w:rPr>
          <w:t>Policy Recommendations: European Union Developments in Equality and Human Rights: The Impact of Brexit on the Divergence of Rights and Best Practice on the Island of Ireland</w:t>
        </w:r>
      </w:hyperlink>
      <w:r>
        <w:t>, 2023</w:t>
      </w:r>
    </w:p>
  </w:footnote>
  <w:footnote w:id="3">
    <w:p w14:paraId="1AC643E0" w14:textId="21C1DE45" w:rsidR="007610C9" w:rsidRDefault="007610C9" w:rsidP="007610C9">
      <w:pPr>
        <w:pStyle w:val="FootnoteText"/>
      </w:pPr>
      <w:r>
        <w:rPr>
          <w:rStyle w:val="FootnoteReference"/>
        </w:rPr>
        <w:footnoteRef/>
      </w:r>
      <w:r>
        <w:t xml:space="preserve"> Article 2(1) states: “The UK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footnote>
  <w:footnote w:id="4">
    <w:p w14:paraId="7628A55B" w14:textId="3D7483D5" w:rsidR="009528BA" w:rsidRDefault="009528BA">
      <w:pPr>
        <w:pStyle w:val="FootnoteText"/>
      </w:pPr>
      <w:r>
        <w:rPr>
          <w:rStyle w:val="FootnoteReference"/>
        </w:rPr>
        <w:footnoteRef/>
      </w:r>
      <w:r>
        <w:t xml:space="preserve"> NIO explainer document on Protocol Article 2 </w:t>
      </w:r>
      <w:r w:rsidR="007B7351">
        <w:t xml:space="preserve"> (2020). </w:t>
      </w:r>
      <w:hyperlink r:id="rId2" w:anchor=":~:text=The%20Protocol%20commitment%20to%20%E2%80%9Cno,chapter%20of%20the%20Belfast%20(%27Good" w:history="1">
        <w:r w:rsidR="007B7351">
          <w:rPr>
            <w:rStyle w:val="Hyperlink"/>
          </w:rPr>
          <w:t>Protocol on Ireland/Northern Ireland: Article 2 - GOV.UK (www.gov.uk)</w:t>
        </w:r>
      </w:hyperlink>
    </w:p>
  </w:footnote>
  <w:footnote w:id="5">
    <w:p w14:paraId="7CA72AD5" w14:textId="77777777" w:rsidR="00CB7116" w:rsidRPr="008569BB" w:rsidRDefault="00CB7116" w:rsidP="00CB7116">
      <w:pPr>
        <w:pStyle w:val="FootnoteText"/>
        <w:rPr>
          <w:rFonts w:cstheme="minorHAnsi"/>
        </w:rPr>
      </w:pPr>
      <w:r w:rsidRPr="008569BB">
        <w:rPr>
          <w:rStyle w:val="FootnoteReference"/>
          <w:rFonts w:cstheme="minorHAnsi"/>
        </w:rPr>
        <w:footnoteRef/>
      </w:r>
      <w:r w:rsidRPr="008569BB">
        <w:rPr>
          <w:rFonts w:cstheme="minorHAnsi"/>
        </w:rPr>
        <w:t xml:space="preserve"> Northern Ireland Human Rights Commission and the Equality Commission for Northern Ireland, </w:t>
      </w:r>
      <w:hyperlink r:id="rId3" w:history="1">
        <w:r w:rsidRPr="008569BB">
          <w:rPr>
            <w:rStyle w:val="Hyperlink"/>
            <w:rFonts w:cstheme="minorHAnsi"/>
          </w:rPr>
          <w:t>Submission on the UK and EU proposals and the prospects for Agreement to the House of Lords Sub-Committee on the Protocol on Ireland/Northern Ireland</w:t>
        </w:r>
      </w:hyperlink>
      <w:r w:rsidRPr="008569BB">
        <w:rPr>
          <w:rFonts w:cstheme="minorHAnsi"/>
        </w:rPr>
        <w:t xml:space="preserve">, 12 November 2021, and 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4" w:history="1">
        <w:r w:rsidRPr="008569BB">
          <w:rPr>
            <w:rStyle w:val="Hyperlink"/>
            <w:rFonts w:cstheme="minorHAnsi"/>
          </w:rPr>
          <w:t>June 2022</w:t>
        </w:r>
      </w:hyperlink>
      <w:r>
        <w:rPr>
          <w:rStyle w:val="Hyperlink"/>
          <w:rFonts w:cstheme="minorHAnsi"/>
        </w:rPr>
        <w:t>.</w:t>
      </w:r>
    </w:p>
  </w:footnote>
  <w:footnote w:id="6">
    <w:p w14:paraId="6169F538" w14:textId="54AF8DDF" w:rsidR="004C3A68" w:rsidRDefault="004C3A68">
      <w:pPr>
        <w:pStyle w:val="FootnoteText"/>
      </w:pPr>
      <w:r>
        <w:rPr>
          <w:rStyle w:val="FootnoteReference"/>
        </w:rPr>
        <w:footnoteRef/>
      </w:r>
      <w:r>
        <w:t xml:space="preserve"> </w:t>
      </w:r>
      <w:r w:rsidR="001E6B74" w:rsidRPr="008569BB">
        <w:rPr>
          <w:rFonts w:cstheme="minorHAnsi"/>
        </w:rPr>
        <w:t xml:space="preserve">Northern Ireland Human Rights Commission and the Equality Commission for Northern Ireland, </w:t>
      </w:r>
      <w:hyperlink r:id="rId5" w:history="1">
        <w:r w:rsidR="00E55BA5">
          <w:rPr>
            <w:rStyle w:val="Hyperlink"/>
          </w:rPr>
          <w:t>Submission of the NIHRC and ECNI to the House of Lords Sub-Committee on the Protocol’s follow up Inquiry on the impact of the Protocol,</w:t>
        </w:r>
        <w:r w:rsidR="00E55BA5" w:rsidRPr="006141C8">
          <w:rPr>
            <w:rStyle w:val="Hyperlink"/>
            <w:color w:val="auto"/>
            <w:u w:val="none"/>
          </w:rPr>
          <w:t xml:space="preserve"> </w:t>
        </w:r>
        <w:r w:rsidR="006141C8" w:rsidRPr="006141C8">
          <w:rPr>
            <w:rStyle w:val="Hyperlink"/>
            <w:color w:val="auto"/>
            <w:u w:val="none"/>
          </w:rPr>
          <w:t>8 June 2022</w:t>
        </w:r>
        <w:r w:rsidR="006141C8">
          <w:rPr>
            <w:rStyle w:val="Hyperlink"/>
            <w:color w:val="auto"/>
            <w:u w:val="none"/>
          </w:rPr>
          <w:t xml:space="preserve"> and</w:t>
        </w:r>
      </w:hyperlink>
      <w:r w:rsidR="006141C8">
        <w:t xml:space="preserve"> </w:t>
      </w:r>
      <w:r w:rsidR="001E6B74" w:rsidRPr="008569BB">
        <w:rPr>
          <w:rFonts w:cstheme="minorHAnsi"/>
        </w:rPr>
        <w:t xml:space="preserve">Northern Ireland Human Rights Commission and the Equality Commission for Northern Ireland, </w:t>
      </w:r>
      <w:hyperlink r:id="rId6" w:history="1">
        <w:r w:rsidR="001E6B74" w:rsidRPr="008569BB">
          <w:rPr>
            <w:rStyle w:val="Hyperlink"/>
            <w:rFonts w:cstheme="minorHAnsi"/>
          </w:rPr>
          <w:t>Submission on the UK and EU proposals and the prospects for Agreement to the House of Lords Sub-Committee on the Protocol on Ireland/Northern Ireland</w:t>
        </w:r>
      </w:hyperlink>
      <w:r w:rsidR="001E6B74" w:rsidRPr="008569BB">
        <w:rPr>
          <w:rFonts w:cstheme="minorHAnsi"/>
        </w:rPr>
        <w:t>, 12 November 2021,</w:t>
      </w:r>
    </w:p>
  </w:footnote>
  <w:footnote w:id="7">
    <w:p w14:paraId="7F1E8E8E" w14:textId="7BC11FA5" w:rsidR="00D73694" w:rsidRDefault="00D73694" w:rsidP="009C04D1">
      <w:pPr>
        <w:pStyle w:val="FootnoteText"/>
        <w:spacing w:after="0"/>
      </w:pPr>
      <w:r>
        <w:rPr>
          <w:rStyle w:val="FootnoteReference"/>
        </w:rPr>
        <w:footnoteRef/>
      </w:r>
      <w:r>
        <w:t xml:space="preserve"> </w:t>
      </w:r>
      <w:hyperlink r:id="rId7" w:history="1">
        <w:r w:rsidRPr="00E85C9E">
          <w:rPr>
            <w:rStyle w:val="Hyperlink"/>
          </w:rPr>
          <w:t xml:space="preserve">Recommendation No 2/2023 of the Joint Committee </w:t>
        </w:r>
        <w:r w:rsidR="00D74DDE">
          <w:rPr>
            <w:rStyle w:val="Hyperlink"/>
          </w:rPr>
          <w:t>e</w:t>
        </w:r>
        <w:r w:rsidRPr="00E85C9E">
          <w:rPr>
            <w:rStyle w:val="Hyperlink"/>
          </w:rPr>
          <w:t xml:space="preserve">stablished </w:t>
        </w:r>
        <w:r w:rsidR="00B07CD7" w:rsidRPr="00E85C9E">
          <w:rPr>
            <w:rStyle w:val="Hyperlink"/>
          </w:rPr>
          <w:t>b</w:t>
        </w:r>
        <w:r w:rsidRPr="00E85C9E">
          <w:rPr>
            <w:rStyle w:val="Hyperlink"/>
          </w:rPr>
          <w:t xml:space="preserve">y </w:t>
        </w:r>
        <w:r w:rsidR="00B07CD7" w:rsidRPr="00E85C9E">
          <w:rPr>
            <w:rStyle w:val="Hyperlink"/>
          </w:rPr>
          <w:t>t</w:t>
        </w:r>
        <w:r w:rsidRPr="00E85C9E">
          <w:rPr>
            <w:rStyle w:val="Hyperlink"/>
          </w:rPr>
          <w:t xml:space="preserve">he Agreement </w:t>
        </w:r>
        <w:r w:rsidR="00B07CD7" w:rsidRPr="00E85C9E">
          <w:rPr>
            <w:rStyle w:val="Hyperlink"/>
          </w:rPr>
          <w:t>o</w:t>
        </w:r>
        <w:r w:rsidRPr="00E85C9E">
          <w:rPr>
            <w:rStyle w:val="Hyperlink"/>
          </w:rPr>
          <w:t xml:space="preserve">n </w:t>
        </w:r>
        <w:r w:rsidR="00B07CD7" w:rsidRPr="00E85C9E">
          <w:rPr>
            <w:rStyle w:val="Hyperlink"/>
          </w:rPr>
          <w:t>t</w:t>
        </w:r>
        <w:r w:rsidRPr="00E85C9E">
          <w:rPr>
            <w:rStyle w:val="Hyperlink"/>
          </w:rPr>
          <w:t xml:space="preserve">he Withdrawal </w:t>
        </w:r>
        <w:r w:rsidR="00B07CD7" w:rsidRPr="00E85C9E">
          <w:rPr>
            <w:rStyle w:val="Hyperlink"/>
          </w:rPr>
          <w:t>o</w:t>
        </w:r>
        <w:r w:rsidRPr="00E85C9E">
          <w:rPr>
            <w:rStyle w:val="Hyperlink"/>
          </w:rPr>
          <w:t xml:space="preserve">f </w:t>
        </w:r>
        <w:r w:rsidR="00B07CD7" w:rsidRPr="00E85C9E">
          <w:rPr>
            <w:rStyle w:val="Hyperlink"/>
          </w:rPr>
          <w:t>t</w:t>
        </w:r>
        <w:r w:rsidRPr="00E85C9E">
          <w:rPr>
            <w:rStyle w:val="Hyperlink"/>
          </w:rPr>
          <w:t xml:space="preserve">he United Kingdom </w:t>
        </w:r>
        <w:r w:rsidR="00B07CD7" w:rsidRPr="00E85C9E">
          <w:rPr>
            <w:rStyle w:val="Hyperlink"/>
          </w:rPr>
          <w:t>o</w:t>
        </w:r>
        <w:r w:rsidRPr="00E85C9E">
          <w:rPr>
            <w:rStyle w:val="Hyperlink"/>
          </w:rPr>
          <w:t xml:space="preserve">f Great Britain </w:t>
        </w:r>
        <w:r w:rsidR="00B07CD7" w:rsidRPr="00E85C9E">
          <w:rPr>
            <w:rStyle w:val="Hyperlink"/>
          </w:rPr>
          <w:t>a</w:t>
        </w:r>
        <w:r w:rsidRPr="00E85C9E">
          <w:rPr>
            <w:rStyle w:val="Hyperlink"/>
          </w:rPr>
          <w:t xml:space="preserve">nd Northern Ireland </w:t>
        </w:r>
        <w:r w:rsidR="00B07CD7" w:rsidRPr="00E85C9E">
          <w:rPr>
            <w:rStyle w:val="Hyperlink"/>
          </w:rPr>
          <w:t>f</w:t>
        </w:r>
        <w:r w:rsidRPr="00E85C9E">
          <w:rPr>
            <w:rStyle w:val="Hyperlink"/>
          </w:rPr>
          <w:t xml:space="preserve">rom </w:t>
        </w:r>
        <w:r w:rsidR="00B07CD7" w:rsidRPr="00E85C9E">
          <w:rPr>
            <w:rStyle w:val="Hyperlink"/>
          </w:rPr>
          <w:t>t</w:t>
        </w:r>
        <w:r w:rsidRPr="00E85C9E">
          <w:rPr>
            <w:rStyle w:val="Hyperlink"/>
          </w:rPr>
          <w:t xml:space="preserve">he European Union </w:t>
        </w:r>
        <w:r w:rsidR="00B07CD7" w:rsidRPr="00E85C9E">
          <w:rPr>
            <w:rStyle w:val="Hyperlink"/>
          </w:rPr>
          <w:t>a</w:t>
        </w:r>
        <w:r w:rsidRPr="00E85C9E">
          <w:rPr>
            <w:rStyle w:val="Hyperlink"/>
          </w:rPr>
          <w:t xml:space="preserve">nd </w:t>
        </w:r>
        <w:r w:rsidR="00B07CD7" w:rsidRPr="00E85C9E">
          <w:rPr>
            <w:rStyle w:val="Hyperlink"/>
          </w:rPr>
          <w:t>t</w:t>
        </w:r>
        <w:r w:rsidRPr="00E85C9E">
          <w:rPr>
            <w:rStyle w:val="Hyperlink"/>
          </w:rPr>
          <w:t>he European Atomic Energy Community</w:t>
        </w:r>
      </w:hyperlink>
    </w:p>
  </w:footnote>
  <w:footnote w:id="8">
    <w:p w14:paraId="71635FF8" w14:textId="6DD4EF99" w:rsidR="003C4BDF" w:rsidRDefault="003C4BDF" w:rsidP="009C04D1">
      <w:pPr>
        <w:pStyle w:val="FootnoteText"/>
        <w:spacing w:after="0" w:line="240" w:lineRule="auto"/>
      </w:pPr>
      <w:r>
        <w:rPr>
          <w:rStyle w:val="FootnoteReference"/>
        </w:rPr>
        <w:footnoteRef/>
      </w:r>
      <w:r>
        <w:t xml:space="preserve"> </w:t>
      </w:r>
      <w:r w:rsidR="00F13E52" w:rsidRPr="003A7050">
        <w:t xml:space="preserve">Sarah Craig, Anurag Deb, Eleni </w:t>
      </w:r>
      <w:proofErr w:type="spellStart"/>
      <w:r w:rsidR="00F13E52" w:rsidRPr="003A7050">
        <w:t>Frantziou</w:t>
      </w:r>
      <w:proofErr w:type="spellEnd"/>
      <w:r w:rsidR="00F13E52" w:rsidRPr="003A7050">
        <w:t>, Alexander Horne, Colin Murray, Clare Rice and Jane Rooney</w:t>
      </w:r>
      <w:r w:rsidR="00F13E52">
        <w:t xml:space="preserve">, </w:t>
      </w:r>
      <w:hyperlink r:id="rId8" w:history="1">
        <w:r>
          <w:rPr>
            <w:rStyle w:val="Hyperlink"/>
            <w:iCs/>
          </w:rPr>
          <w:t>European Union developments in Equality and Human Rights: The Impact of Brexit on the Divergence of Rights and Best Practice on the Island of Ireland</w:t>
        </w:r>
      </w:hyperlink>
      <w:r>
        <w:t>,</w:t>
      </w:r>
      <w:r w:rsidR="00EE7DDF">
        <w:t xml:space="preserve"> 20</w:t>
      </w:r>
      <w:r w:rsidR="007254E2">
        <w:t>22</w:t>
      </w:r>
    </w:p>
  </w:footnote>
  <w:footnote w:id="9">
    <w:p w14:paraId="5197E9CA" w14:textId="4DAF0C5D" w:rsidR="003C4BDF" w:rsidRDefault="003C4BDF">
      <w:pPr>
        <w:pStyle w:val="FootnoteText"/>
      </w:pPr>
      <w:r>
        <w:rPr>
          <w:rStyle w:val="FootnoteReference"/>
        </w:rPr>
        <w:footnoteRef/>
      </w:r>
      <w:r>
        <w:t xml:space="preserve"> </w:t>
      </w:r>
      <w:r w:rsidR="00EE7DDF">
        <w:t>ECNI, NIHRC, IHREC,</w:t>
      </w:r>
      <w:r w:rsidR="009937E3">
        <w:t xml:space="preserve"> </w:t>
      </w:r>
      <w:hyperlink r:id="rId9" w:history="1">
        <w:r w:rsidR="009937E3" w:rsidRPr="00D7105B">
          <w:rPr>
            <w:rStyle w:val="Hyperlink"/>
          </w:rPr>
          <w:t>Policy Recommendations:</w:t>
        </w:r>
        <w:r w:rsidR="00EE7DDF" w:rsidRPr="00D7105B">
          <w:rPr>
            <w:rStyle w:val="Hyperlink"/>
          </w:rPr>
          <w:t xml:space="preserve"> </w:t>
        </w:r>
        <w:r w:rsidR="00631886" w:rsidRPr="00D7105B">
          <w:rPr>
            <w:rStyle w:val="Hyperlink"/>
          </w:rPr>
          <w:t>European Union Developments in Equality and Human Rights: The Impact of Brexit on the Divergence of Rights and Best Practice on the Island of Ireland</w:t>
        </w:r>
      </w:hyperlink>
      <w:r w:rsidR="00EE7DDF">
        <w:t>,</w:t>
      </w:r>
      <w:r w:rsidR="001B1F07">
        <w:t xml:space="preserve"> </w:t>
      </w:r>
      <w:r w:rsidR="00EE7DDF">
        <w:t>2023</w:t>
      </w:r>
    </w:p>
  </w:footnote>
  <w:footnote w:id="10">
    <w:p w14:paraId="75003111" w14:textId="59D22166" w:rsidR="0016755C" w:rsidRDefault="0016755C" w:rsidP="001B1F07">
      <w:pPr>
        <w:pStyle w:val="FootnoteText"/>
        <w:spacing w:after="0"/>
      </w:pPr>
      <w:r>
        <w:rPr>
          <w:rStyle w:val="FootnoteReference"/>
        </w:rPr>
        <w:footnoteRef/>
      </w:r>
      <w:r>
        <w:t xml:space="preserve"> In particular: Directive 2014/33/EU of the European Parliament and of the Council of 26 February 2014 on the harmonisation of the laws of the Member States relating to lifts and safety components for lifts; Directive (EU) 2016/797 of the European Parliament and of the Council of 11 May 2016 on the interoperability of the rail system within the European Union, insofar as conditions and technical specifications for the placing on the market, putting into service and free movement of railway products are concerned; Directive 2014/53/EU of the European Parliament and of the Council of 16 April 2014 on the harmonisation of the laws of the Member States relating to the making available on the market of radio equipment and repealing Directive 1999/5/EC</w:t>
      </w:r>
      <w:r w:rsidR="002834DA">
        <w:t xml:space="preserve">; </w:t>
      </w:r>
      <w:r>
        <w:t>Regulation (EC) No 78/2009 of the European Parliament and of the Council of 14 January 2009 on the type-approval of motor vehicles with regard to the protection of pedestrians and other vulnerable road users, amending Directive 2007/46/EC and repealing Directives 2003/102/EC and 2005/66/EC</w:t>
      </w:r>
      <w:r w:rsidR="002834DA">
        <w:t xml:space="preserve">; </w:t>
      </w:r>
      <w:r>
        <w:t>Regulation (EU) No 305/2011 of the European Parliament and of the Council of 9 March 2011 laying down harmonised conditions for the marketing of construction products and repealing Council Directive 89/106/EEC</w:t>
      </w:r>
      <w:r w:rsidR="002834DA">
        <w:t xml:space="preserve">; </w:t>
      </w:r>
      <w:r>
        <w:t>Regulation (EU) 2016/424 of the European Parliament and of the Council of 9 March 2016 on cableway installations and repealing Directive 2000/9/EC</w:t>
      </w:r>
      <w:r w:rsidR="002834DA">
        <w:t xml:space="preserve">; </w:t>
      </w:r>
      <w:r>
        <w:t>Directive 2006/42/EC of the European Parliament and of the Council of 17 May 2006 on machinery, and amending Directive 95/16/EC</w:t>
      </w:r>
      <w:r w:rsidR="002834DA">
        <w:t>.</w:t>
      </w:r>
    </w:p>
  </w:footnote>
  <w:footnote w:id="11">
    <w:p w14:paraId="53F02A06" w14:textId="3D99F000" w:rsidR="002834DA" w:rsidRPr="00A31F9C" w:rsidRDefault="002834DA" w:rsidP="005567EC">
      <w:pPr>
        <w:spacing w:after="0"/>
        <w:rPr>
          <w:rFonts w:cstheme="minorHAnsi"/>
          <w:sz w:val="20"/>
          <w:szCs w:val="20"/>
        </w:rPr>
      </w:pPr>
      <w:r w:rsidRPr="005567EC">
        <w:rPr>
          <w:rStyle w:val="FootnoteReference"/>
          <w:sz w:val="20"/>
          <w:szCs w:val="20"/>
        </w:rPr>
        <w:footnoteRef/>
      </w:r>
      <w:r w:rsidR="00666513" w:rsidRPr="00A31F9C">
        <w:rPr>
          <w:rFonts w:cstheme="minorHAnsi"/>
          <w:sz w:val="20"/>
          <w:szCs w:val="20"/>
        </w:rPr>
        <w:t>ECNI</w:t>
      </w:r>
      <w:r w:rsidR="00E35298" w:rsidRPr="00A31F9C">
        <w:rPr>
          <w:rFonts w:cstheme="minorHAnsi"/>
          <w:sz w:val="20"/>
          <w:szCs w:val="20"/>
        </w:rPr>
        <w:t xml:space="preserve">/NIHRC </w:t>
      </w:r>
      <w:hyperlink r:id="rId10" w:history="1">
        <w:r w:rsidR="00666513" w:rsidRPr="00A31F9C">
          <w:rPr>
            <w:rStyle w:val="Hyperlink"/>
            <w:rFonts w:cstheme="minorHAnsi"/>
            <w:color w:val="0070C0"/>
            <w:sz w:val="20"/>
            <w:szCs w:val="20"/>
            <w:bdr w:val="none" w:sz="0" w:space="0" w:color="auto" w:frame="1"/>
          </w:rPr>
          <w:t>Working Paper: The Scope of Article 2(1) of the Ireland/Northern Ireland Protocol</w:t>
        </w:r>
      </w:hyperlink>
      <w:r w:rsidR="00666513" w:rsidRPr="00A31F9C">
        <w:rPr>
          <w:rFonts w:cstheme="minorHAnsi"/>
          <w:color w:val="0070C0"/>
          <w:sz w:val="20"/>
          <w:szCs w:val="20"/>
        </w:rPr>
        <w:t> </w:t>
      </w:r>
      <w:r w:rsidR="00E35298" w:rsidRPr="00A31F9C">
        <w:rPr>
          <w:rFonts w:cstheme="minorHAnsi"/>
          <w:sz w:val="20"/>
          <w:szCs w:val="20"/>
        </w:rPr>
        <w:t>, 2022</w:t>
      </w:r>
    </w:p>
  </w:footnote>
  <w:footnote w:id="12">
    <w:p w14:paraId="38FDAC66" w14:textId="73934975" w:rsidR="00A50F93" w:rsidRDefault="00A50F93">
      <w:pPr>
        <w:pStyle w:val="FootnoteText"/>
      </w:pPr>
      <w:r>
        <w:rPr>
          <w:rStyle w:val="FootnoteReference"/>
        </w:rPr>
        <w:footnoteRef/>
      </w:r>
      <w:r>
        <w:t xml:space="preserve"> Section 75 of the NI Act 1998</w:t>
      </w:r>
    </w:p>
  </w:footnote>
  <w:footnote w:id="13">
    <w:p w14:paraId="16C516F6" w14:textId="75AAC78A" w:rsidR="00C14B82" w:rsidRDefault="00C14B82" w:rsidP="001B1F07">
      <w:pPr>
        <w:pStyle w:val="FootnoteText"/>
        <w:spacing w:after="0"/>
      </w:pPr>
      <w:r>
        <w:rPr>
          <w:rStyle w:val="FootnoteReference"/>
        </w:rPr>
        <w:footnoteRef/>
      </w:r>
      <w:r>
        <w:t xml:space="preserve"> </w:t>
      </w:r>
      <w:hyperlink r:id="rId11" w:history="1">
        <w:r w:rsidR="00A70264">
          <w:rPr>
            <w:rStyle w:val="Hyperlink"/>
          </w:rPr>
          <w:t>ECNI - Delivering Equality, Equality Commission, Northern Ireland (equalityni.org)</w:t>
        </w:r>
      </w:hyperlink>
    </w:p>
  </w:footnote>
  <w:footnote w:id="14">
    <w:p w14:paraId="62D899FB" w14:textId="28052A44" w:rsidR="005E4A95" w:rsidRDefault="005E4A95" w:rsidP="005E4A95">
      <w:pPr>
        <w:pStyle w:val="FootnoteText"/>
      </w:pPr>
      <w:r>
        <w:rPr>
          <w:rStyle w:val="FootnoteReference"/>
        </w:rPr>
        <w:footnoteRef/>
      </w:r>
      <w:r>
        <w:t xml:space="preserve"> See </w:t>
      </w:r>
      <w:hyperlink r:id="rId12" w:history="1">
        <w:r w:rsidRPr="005E4A95">
          <w:rPr>
            <w:rStyle w:val="Hyperlink"/>
          </w:rPr>
          <w:t>Political Declaration</w:t>
        </w:r>
      </w:hyperlink>
      <w:r>
        <w:t xml:space="preserve"> by the European Commission and UKG , Political Declaration , 2023, page 3 </w:t>
      </w:r>
    </w:p>
  </w:footnote>
  <w:footnote w:id="15">
    <w:p w14:paraId="7E884978" w14:textId="6B3DA010" w:rsidR="00484C92" w:rsidRDefault="00484C92" w:rsidP="001B1F07">
      <w:pPr>
        <w:pStyle w:val="FootnoteText"/>
        <w:spacing w:after="0"/>
      </w:pPr>
      <w:r>
        <w:rPr>
          <w:rStyle w:val="FootnoteReference"/>
        </w:rPr>
        <w:footnoteRef/>
      </w:r>
      <w:r>
        <w:t xml:space="preserve"> </w:t>
      </w:r>
      <w:r w:rsidR="00AB1D36" w:rsidRPr="003A7050">
        <w:t xml:space="preserve">Sarah Craig, Anurag Deb, Eleni </w:t>
      </w:r>
      <w:proofErr w:type="spellStart"/>
      <w:r w:rsidR="00AB1D36" w:rsidRPr="003A7050">
        <w:t>Frantziou</w:t>
      </w:r>
      <w:proofErr w:type="spellEnd"/>
      <w:r w:rsidR="00AB1D36" w:rsidRPr="003A7050">
        <w:t>, Alexander Horne, Colin Murray, Clare Rice and Jane Rooney</w:t>
      </w:r>
      <w:r w:rsidR="00AB1D36">
        <w:t xml:space="preserve"> </w:t>
      </w:r>
      <w:hyperlink r:id="rId13" w:history="1">
        <w:r>
          <w:rPr>
            <w:rStyle w:val="Hyperlink"/>
            <w:iCs/>
          </w:rPr>
          <w:t>European Union developments in Equality and Human Rights: The Impact of Brexit on the Divergence of Rights and Best Practice on the Island of Ireland</w:t>
        </w:r>
      </w:hyperlink>
      <w:r>
        <w:t>,</w:t>
      </w:r>
      <w:r w:rsidR="00AB1D36">
        <w:t>2022</w:t>
      </w:r>
    </w:p>
  </w:footnote>
  <w:footnote w:id="16">
    <w:p w14:paraId="4D778E95" w14:textId="241229E4" w:rsidR="00484C92" w:rsidRDefault="00484C92" w:rsidP="00484C92">
      <w:pPr>
        <w:pStyle w:val="FootnoteText"/>
      </w:pPr>
      <w:r>
        <w:rPr>
          <w:rStyle w:val="FootnoteReference"/>
        </w:rPr>
        <w:footnoteRef/>
      </w:r>
      <w:r>
        <w:t xml:space="preserve"> </w:t>
      </w:r>
      <w:r w:rsidR="001B1F07">
        <w:t xml:space="preserve">ECNI, NIHRC, IHREC, </w:t>
      </w:r>
      <w:hyperlink r:id="rId14" w:history="1">
        <w:r w:rsidR="00192F42" w:rsidRPr="00192F42">
          <w:rPr>
            <w:rStyle w:val="Hyperlink"/>
          </w:rPr>
          <w:t xml:space="preserve">Policy Recommendations: </w:t>
        </w:r>
        <w:r w:rsidR="001B1F07" w:rsidRPr="00192F42">
          <w:rPr>
            <w:rStyle w:val="Hyperlink"/>
          </w:rPr>
          <w:t>European Union Developments in Equality and Human Rights: The Impact of Brexit on the Divergence of Rights and Best Practice on the Island of Ireland</w:t>
        </w:r>
      </w:hyperlink>
      <w:r w:rsidR="001B1F07">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F95D" w14:textId="77777777" w:rsidR="00FA12D4" w:rsidRDefault="00FA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E51" w14:textId="55A1D1B6" w:rsidR="00297166" w:rsidRDefault="00297166" w:rsidP="00297166">
    <w:pPr>
      <w:pStyle w:val="Header"/>
    </w:pPr>
  </w:p>
  <w:p w14:paraId="79D47018" w14:textId="77777777" w:rsidR="00E06FA1" w:rsidRDefault="00E06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2A90" w14:textId="77777777" w:rsidR="00FA12D4" w:rsidRDefault="00FA1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B5FC5"/>
    <w:multiLevelType w:val="multilevel"/>
    <w:tmpl w:val="A48A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69B8"/>
    <w:multiLevelType w:val="hybridMultilevel"/>
    <w:tmpl w:val="EB20C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C3862"/>
    <w:multiLevelType w:val="multilevel"/>
    <w:tmpl w:val="3E92F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70589"/>
    <w:multiLevelType w:val="multilevel"/>
    <w:tmpl w:val="FFFFFFFF"/>
    <w:lvl w:ilvl="0">
      <w:start w:val="1"/>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840" w:hanging="2520"/>
      </w:pPr>
      <w:rPr>
        <w:rFonts w:cs="Times New Roman" w:hint="default"/>
      </w:rPr>
    </w:lvl>
    <w:lvl w:ilvl="7">
      <w:start w:val="1"/>
      <w:numFmt w:val="decimal"/>
      <w:lvlText w:val="%1.%2.%3.%4.%5.%6.%7.%8"/>
      <w:lvlJc w:val="left"/>
      <w:pPr>
        <w:ind w:left="7920" w:hanging="2880"/>
      </w:pPr>
      <w:rPr>
        <w:rFonts w:cs="Times New Roman" w:hint="default"/>
      </w:rPr>
    </w:lvl>
    <w:lvl w:ilvl="8">
      <w:start w:val="1"/>
      <w:numFmt w:val="decimal"/>
      <w:lvlText w:val="%1.%2.%3.%4.%5.%6.%7.%8.%9"/>
      <w:lvlJc w:val="left"/>
      <w:pPr>
        <w:ind w:left="9000" w:hanging="3240"/>
      </w:pPr>
      <w:rPr>
        <w:rFonts w:cs="Times New Roman" w:hint="default"/>
      </w:rPr>
    </w:lvl>
  </w:abstractNum>
  <w:abstractNum w:abstractNumId="5" w15:restartNumberingAfterBreak="0">
    <w:nsid w:val="19E63962"/>
    <w:multiLevelType w:val="hybridMultilevel"/>
    <w:tmpl w:val="815C20B2"/>
    <w:lvl w:ilvl="0" w:tplc="98CAFCEA">
      <w:start w:val="1"/>
      <w:numFmt w:val="bullet"/>
      <w:pStyle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A3F0B6B"/>
    <w:multiLevelType w:val="hybridMultilevel"/>
    <w:tmpl w:val="9014B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7269"/>
    <w:multiLevelType w:val="multilevel"/>
    <w:tmpl w:val="0AA490FC"/>
    <w:lvl w:ilvl="0">
      <w:start w:val="2"/>
      <w:numFmt w:val="decimal"/>
      <w:lvlText w:val="%1"/>
      <w:lvlJc w:val="left"/>
      <w:pPr>
        <w:ind w:left="503" w:hanging="503"/>
      </w:pPr>
      <w:rPr>
        <w:rFonts w:hint="default"/>
      </w:rPr>
    </w:lvl>
    <w:lvl w:ilvl="1">
      <w:start w:val="14"/>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782704"/>
    <w:multiLevelType w:val="multilevel"/>
    <w:tmpl w:val="ED30C9A0"/>
    <w:lvl w:ilvl="0">
      <w:start w:val="3"/>
      <w:numFmt w:val="decimal"/>
      <w:lvlText w:val="%1"/>
      <w:lvlJc w:val="left"/>
      <w:pPr>
        <w:ind w:left="503" w:hanging="503"/>
      </w:pPr>
      <w:rPr>
        <w:rFonts w:hint="default"/>
      </w:rPr>
    </w:lvl>
    <w:lvl w:ilvl="1">
      <w:start w:val="1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A87BDB"/>
    <w:multiLevelType w:val="hybridMultilevel"/>
    <w:tmpl w:val="DED89CEE"/>
    <w:lvl w:ilvl="0" w:tplc="DC7C101A">
      <w:start w:val="1"/>
      <w:numFmt w:val="decimal"/>
      <w:pStyle w:val="Heading1"/>
      <w:lvlText w:val="%1.0"/>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D10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EC1093"/>
    <w:multiLevelType w:val="multilevel"/>
    <w:tmpl w:val="0EA2B2D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275DD7"/>
    <w:multiLevelType w:val="multilevel"/>
    <w:tmpl w:val="8B20C466"/>
    <w:lvl w:ilvl="0">
      <w:start w:val="6"/>
      <w:numFmt w:val="decimal"/>
      <w:lvlText w:val="%1"/>
      <w:lvlJc w:val="left"/>
      <w:pPr>
        <w:ind w:left="360" w:hanging="360"/>
      </w:pPr>
      <w:rPr>
        <w:rFonts w:eastAsiaTheme="minorEastAsia" w:cstheme="minorHAnsi" w:hint="default"/>
        <w:b/>
      </w:rPr>
    </w:lvl>
    <w:lvl w:ilvl="1">
      <w:start w:val="3"/>
      <w:numFmt w:val="decimal"/>
      <w:lvlText w:val="%1.%2"/>
      <w:lvlJc w:val="left"/>
      <w:pPr>
        <w:ind w:left="360" w:hanging="360"/>
      </w:pPr>
      <w:rPr>
        <w:rFonts w:eastAsiaTheme="minorEastAsia" w:cstheme="minorHAnsi" w:hint="default"/>
        <w:b/>
      </w:rPr>
    </w:lvl>
    <w:lvl w:ilvl="2">
      <w:start w:val="1"/>
      <w:numFmt w:val="decimal"/>
      <w:lvlText w:val="%1.%2.%3"/>
      <w:lvlJc w:val="left"/>
      <w:pPr>
        <w:ind w:left="720" w:hanging="720"/>
      </w:pPr>
      <w:rPr>
        <w:rFonts w:eastAsiaTheme="minorEastAsia" w:cstheme="minorHAnsi" w:hint="default"/>
        <w:b/>
      </w:rPr>
    </w:lvl>
    <w:lvl w:ilvl="3">
      <w:start w:val="1"/>
      <w:numFmt w:val="decimal"/>
      <w:lvlText w:val="%1.%2.%3.%4"/>
      <w:lvlJc w:val="left"/>
      <w:pPr>
        <w:ind w:left="1080" w:hanging="1080"/>
      </w:pPr>
      <w:rPr>
        <w:rFonts w:eastAsiaTheme="minorEastAsia" w:cstheme="minorHAnsi" w:hint="default"/>
        <w:b/>
      </w:rPr>
    </w:lvl>
    <w:lvl w:ilvl="4">
      <w:start w:val="1"/>
      <w:numFmt w:val="decimal"/>
      <w:lvlText w:val="%1.%2.%3.%4.%5"/>
      <w:lvlJc w:val="left"/>
      <w:pPr>
        <w:ind w:left="1080" w:hanging="1080"/>
      </w:pPr>
      <w:rPr>
        <w:rFonts w:eastAsiaTheme="minorEastAsia" w:cstheme="minorHAnsi" w:hint="default"/>
        <w:b/>
      </w:rPr>
    </w:lvl>
    <w:lvl w:ilvl="5">
      <w:start w:val="1"/>
      <w:numFmt w:val="decimal"/>
      <w:lvlText w:val="%1.%2.%3.%4.%5.%6"/>
      <w:lvlJc w:val="left"/>
      <w:pPr>
        <w:ind w:left="1440" w:hanging="1440"/>
      </w:pPr>
      <w:rPr>
        <w:rFonts w:eastAsiaTheme="minorEastAsia" w:cstheme="minorHAnsi" w:hint="default"/>
        <w:b/>
      </w:rPr>
    </w:lvl>
    <w:lvl w:ilvl="6">
      <w:start w:val="1"/>
      <w:numFmt w:val="decimal"/>
      <w:lvlText w:val="%1.%2.%3.%4.%5.%6.%7"/>
      <w:lvlJc w:val="left"/>
      <w:pPr>
        <w:ind w:left="1440" w:hanging="1440"/>
      </w:pPr>
      <w:rPr>
        <w:rFonts w:eastAsiaTheme="minorEastAsia" w:cstheme="minorHAnsi" w:hint="default"/>
        <w:b/>
      </w:rPr>
    </w:lvl>
    <w:lvl w:ilvl="7">
      <w:start w:val="1"/>
      <w:numFmt w:val="decimal"/>
      <w:lvlText w:val="%1.%2.%3.%4.%5.%6.%7.%8"/>
      <w:lvlJc w:val="left"/>
      <w:pPr>
        <w:ind w:left="1800" w:hanging="1800"/>
      </w:pPr>
      <w:rPr>
        <w:rFonts w:eastAsiaTheme="minorEastAsia" w:cstheme="minorHAnsi" w:hint="default"/>
        <w:b/>
      </w:rPr>
    </w:lvl>
    <w:lvl w:ilvl="8">
      <w:start w:val="1"/>
      <w:numFmt w:val="decimal"/>
      <w:lvlText w:val="%1.%2.%3.%4.%5.%6.%7.%8.%9"/>
      <w:lvlJc w:val="left"/>
      <w:pPr>
        <w:ind w:left="2160" w:hanging="2160"/>
      </w:pPr>
      <w:rPr>
        <w:rFonts w:eastAsiaTheme="minorEastAsia" w:cstheme="minorHAnsi" w:hint="default"/>
        <w:b/>
      </w:rPr>
    </w:lvl>
  </w:abstractNum>
  <w:abstractNum w:abstractNumId="13" w15:restartNumberingAfterBreak="0">
    <w:nsid w:val="264D1EEC"/>
    <w:multiLevelType w:val="multilevel"/>
    <w:tmpl w:val="3E92F01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5C1A88"/>
    <w:multiLevelType w:val="hybridMultilevel"/>
    <w:tmpl w:val="29F032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502ED3"/>
    <w:multiLevelType w:val="hybridMultilevel"/>
    <w:tmpl w:val="6404789E"/>
    <w:lvl w:ilvl="0" w:tplc="A1E459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0A2AB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B67C8"/>
    <w:multiLevelType w:val="hybridMultilevel"/>
    <w:tmpl w:val="E0DAA58C"/>
    <w:lvl w:ilvl="0" w:tplc="D334F66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722167"/>
    <w:multiLevelType w:val="hybridMultilevel"/>
    <w:tmpl w:val="F24E421E"/>
    <w:lvl w:ilvl="0" w:tplc="F32C61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613A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5F45B2"/>
    <w:multiLevelType w:val="multilevel"/>
    <w:tmpl w:val="06AAF614"/>
    <w:lvl w:ilvl="0">
      <w:start w:val="3"/>
      <w:numFmt w:val="decimal"/>
      <w:lvlText w:val="%1"/>
      <w:lvlJc w:val="left"/>
      <w:pPr>
        <w:ind w:left="503" w:hanging="503"/>
      </w:pPr>
      <w:rPr>
        <w:rFonts w:hint="default"/>
      </w:rPr>
    </w:lvl>
    <w:lvl w:ilvl="1">
      <w:start w:val="16"/>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360A21"/>
    <w:multiLevelType w:val="multilevel"/>
    <w:tmpl w:val="8294E0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Calibri" w:hAnsi="Calibri" w:hint="default"/>
        <w:b w:val="0"/>
        <w:color w:val="auto"/>
        <w:sz w:val="28"/>
        <w:szCs w:val="22"/>
        <w:vertAlign w:val="baseline"/>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447913D4"/>
    <w:multiLevelType w:val="multilevel"/>
    <w:tmpl w:val="30522A8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262528"/>
    <w:multiLevelType w:val="multilevel"/>
    <w:tmpl w:val="4B545200"/>
    <w:lvl w:ilvl="0">
      <w:start w:val="3"/>
      <w:numFmt w:val="decimal"/>
      <w:lvlText w:val="%1"/>
      <w:lvlJc w:val="left"/>
      <w:pPr>
        <w:ind w:left="503" w:hanging="503"/>
      </w:pPr>
      <w:rPr>
        <w:rFonts w:hint="default"/>
      </w:rPr>
    </w:lvl>
    <w:lvl w:ilvl="1">
      <w:start w:val="2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725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7D4AB6"/>
    <w:multiLevelType w:val="multilevel"/>
    <w:tmpl w:val="A2507B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D254D9"/>
    <w:multiLevelType w:val="multilevel"/>
    <w:tmpl w:val="B9CEB4F6"/>
    <w:lvl w:ilvl="0">
      <w:start w:val="1"/>
      <w:numFmt w:val="decimal"/>
      <w:lvlText w:val="%1."/>
      <w:lvlJc w:val="left"/>
      <w:pPr>
        <w:ind w:left="360" w:hanging="360"/>
      </w:pPr>
    </w:lvl>
    <w:lvl w:ilvl="1">
      <w:start w:val="1"/>
      <w:numFmt w:val="decimal"/>
      <w:lvlText w:val="%1.%2."/>
      <w:lvlJc w:val="left"/>
      <w:pPr>
        <w:ind w:left="792" w:hanging="432"/>
      </w:pPr>
      <w:rPr>
        <w:sz w:val="3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D31669"/>
    <w:multiLevelType w:val="hybridMultilevel"/>
    <w:tmpl w:val="CFAE0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CC57B3"/>
    <w:multiLevelType w:val="multilevel"/>
    <w:tmpl w:val="6896D7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124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B52CBC"/>
    <w:multiLevelType w:val="multilevel"/>
    <w:tmpl w:val="3E92F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4A0F0F"/>
    <w:multiLevelType w:val="multilevel"/>
    <w:tmpl w:val="DE18DF1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4E5FB7"/>
    <w:multiLevelType w:val="multilevel"/>
    <w:tmpl w:val="5A6408A4"/>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700D6AED"/>
    <w:multiLevelType w:val="multilevel"/>
    <w:tmpl w:val="9C1A05E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72AB6852"/>
    <w:multiLevelType w:val="multilevel"/>
    <w:tmpl w:val="9E8AA6A4"/>
    <w:lvl w:ilvl="0">
      <w:start w:val="2"/>
      <w:numFmt w:val="decimal"/>
      <w:lvlText w:val="%1"/>
      <w:lvlJc w:val="left"/>
      <w:pPr>
        <w:ind w:left="503" w:hanging="503"/>
      </w:pPr>
      <w:rPr>
        <w:rFonts w:hint="default"/>
        <w:b/>
      </w:rPr>
    </w:lvl>
    <w:lvl w:ilvl="1">
      <w:start w:val="22"/>
      <w:numFmt w:val="decimal"/>
      <w:lvlText w:val="%1.%2"/>
      <w:lvlJc w:val="left"/>
      <w:pPr>
        <w:ind w:left="503" w:hanging="50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73A729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4D06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6801C4"/>
    <w:multiLevelType w:val="hybridMultilevel"/>
    <w:tmpl w:val="9F88CC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770A7B25"/>
    <w:multiLevelType w:val="hybridMultilevel"/>
    <w:tmpl w:val="CCAA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C6C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823A51"/>
    <w:multiLevelType w:val="hybridMultilevel"/>
    <w:tmpl w:val="80A0055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15:restartNumberingAfterBreak="0">
    <w:nsid w:val="7D382C79"/>
    <w:multiLevelType w:val="multilevel"/>
    <w:tmpl w:val="95F080D0"/>
    <w:lvl w:ilvl="0">
      <w:start w:val="2"/>
      <w:numFmt w:val="decimal"/>
      <w:lvlText w:val="%1"/>
      <w:lvlJc w:val="left"/>
      <w:pPr>
        <w:ind w:left="503" w:hanging="503"/>
      </w:pPr>
      <w:rPr>
        <w:rFonts w:hint="default"/>
        <w:b/>
      </w:rPr>
    </w:lvl>
    <w:lvl w:ilvl="1">
      <w:start w:val="21"/>
      <w:numFmt w:val="decimal"/>
      <w:lvlText w:val="%1.%2"/>
      <w:lvlJc w:val="left"/>
      <w:pPr>
        <w:ind w:left="503" w:hanging="50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460415347">
    <w:abstractNumId w:val="17"/>
  </w:num>
  <w:num w:numId="2" w16cid:durableId="1099259465">
    <w:abstractNumId w:val="40"/>
  </w:num>
  <w:num w:numId="3" w16cid:durableId="929389362">
    <w:abstractNumId w:val="25"/>
  </w:num>
  <w:num w:numId="4" w16cid:durableId="1896549906">
    <w:abstractNumId w:val="39"/>
  </w:num>
  <w:num w:numId="5" w16cid:durableId="280186753">
    <w:abstractNumId w:val="10"/>
  </w:num>
  <w:num w:numId="6" w16cid:durableId="149372418">
    <w:abstractNumId w:val="6"/>
  </w:num>
  <w:num w:numId="7" w16cid:durableId="1761830633">
    <w:abstractNumId w:val="38"/>
  </w:num>
  <w:num w:numId="8" w16cid:durableId="576089172">
    <w:abstractNumId w:val="3"/>
  </w:num>
  <w:num w:numId="9" w16cid:durableId="740174832">
    <w:abstractNumId w:val="4"/>
  </w:num>
  <w:num w:numId="10" w16cid:durableId="280915844">
    <w:abstractNumId w:val="35"/>
  </w:num>
  <w:num w:numId="11" w16cid:durableId="1927305174">
    <w:abstractNumId w:val="29"/>
  </w:num>
  <w:num w:numId="12" w16cid:durableId="147676668">
    <w:abstractNumId w:val="2"/>
  </w:num>
  <w:num w:numId="13" w16cid:durableId="188035288">
    <w:abstractNumId w:val="27"/>
  </w:num>
  <w:num w:numId="14" w16cid:durableId="755055970">
    <w:abstractNumId w:val="25"/>
  </w:num>
  <w:num w:numId="15" w16cid:durableId="1288009741">
    <w:abstractNumId w:val="25"/>
  </w:num>
  <w:num w:numId="16" w16cid:durableId="598879057">
    <w:abstractNumId w:val="25"/>
  </w:num>
  <w:num w:numId="17" w16cid:durableId="2124885240">
    <w:abstractNumId w:val="24"/>
  </w:num>
  <w:num w:numId="18" w16cid:durableId="333605812">
    <w:abstractNumId w:val="19"/>
  </w:num>
  <w:num w:numId="19" w16cid:durableId="1110586893">
    <w:abstractNumId w:val="16"/>
  </w:num>
  <w:num w:numId="20" w16cid:durableId="539316379">
    <w:abstractNumId w:val="0"/>
  </w:num>
  <w:num w:numId="21" w16cid:durableId="657919957">
    <w:abstractNumId w:val="37"/>
  </w:num>
  <w:num w:numId="22" w16cid:durableId="1460609571">
    <w:abstractNumId w:val="36"/>
  </w:num>
  <w:num w:numId="23" w16cid:durableId="1460958227">
    <w:abstractNumId w:val="5"/>
  </w:num>
  <w:num w:numId="24" w16cid:durableId="1370911031">
    <w:abstractNumId w:val="32"/>
  </w:num>
  <w:num w:numId="25" w16cid:durableId="206601647">
    <w:abstractNumId w:val="21"/>
  </w:num>
  <w:num w:numId="26" w16cid:durableId="2133549424">
    <w:abstractNumId w:val="26"/>
  </w:num>
  <w:num w:numId="27" w16cid:durableId="1499730380">
    <w:abstractNumId w:val="9"/>
  </w:num>
  <w:num w:numId="28" w16cid:durableId="1828745983">
    <w:abstractNumId w:val="14"/>
  </w:num>
  <w:num w:numId="29" w16cid:durableId="1368214467">
    <w:abstractNumId w:val="33"/>
  </w:num>
  <w:num w:numId="30" w16cid:durableId="199711917">
    <w:abstractNumId w:val="7"/>
  </w:num>
  <w:num w:numId="31" w16cid:durableId="1341465042">
    <w:abstractNumId w:val="34"/>
  </w:num>
  <w:num w:numId="32" w16cid:durableId="1649746250">
    <w:abstractNumId w:val="41"/>
  </w:num>
  <w:num w:numId="33" w16cid:durableId="63719353">
    <w:abstractNumId w:val="11"/>
  </w:num>
  <w:num w:numId="34" w16cid:durableId="1457523096">
    <w:abstractNumId w:val="8"/>
  </w:num>
  <w:num w:numId="35" w16cid:durableId="1679503593">
    <w:abstractNumId w:val="20"/>
  </w:num>
  <w:num w:numId="36" w16cid:durableId="393043153">
    <w:abstractNumId w:val="23"/>
  </w:num>
  <w:num w:numId="37" w16cid:durableId="705640045">
    <w:abstractNumId w:val="28"/>
  </w:num>
  <w:num w:numId="38" w16cid:durableId="587494983">
    <w:abstractNumId w:val="31"/>
  </w:num>
  <w:num w:numId="39" w16cid:durableId="1540512952">
    <w:abstractNumId w:val="12"/>
  </w:num>
  <w:num w:numId="40" w16cid:durableId="557009570">
    <w:abstractNumId w:val="15"/>
  </w:num>
  <w:num w:numId="41" w16cid:durableId="1828938797">
    <w:abstractNumId w:val="18"/>
  </w:num>
  <w:num w:numId="42" w16cid:durableId="1568220592">
    <w:abstractNumId w:val="30"/>
  </w:num>
  <w:num w:numId="43" w16cid:durableId="1903633679">
    <w:abstractNumId w:val="13"/>
  </w:num>
  <w:num w:numId="44" w16cid:durableId="2135825267">
    <w:abstractNumId w:val="1"/>
  </w:num>
  <w:num w:numId="45" w16cid:durableId="13851765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DE"/>
    <w:rsid w:val="00000FA1"/>
    <w:rsid w:val="00001601"/>
    <w:rsid w:val="00002CFA"/>
    <w:rsid w:val="00005E97"/>
    <w:rsid w:val="0000733E"/>
    <w:rsid w:val="00010DF6"/>
    <w:rsid w:val="00012F43"/>
    <w:rsid w:val="00014DA8"/>
    <w:rsid w:val="0001577E"/>
    <w:rsid w:val="00016137"/>
    <w:rsid w:val="000226B7"/>
    <w:rsid w:val="00024858"/>
    <w:rsid w:val="00024FE4"/>
    <w:rsid w:val="000274A8"/>
    <w:rsid w:val="00027A10"/>
    <w:rsid w:val="00031DAA"/>
    <w:rsid w:val="00032051"/>
    <w:rsid w:val="0003268B"/>
    <w:rsid w:val="000336A1"/>
    <w:rsid w:val="00034F17"/>
    <w:rsid w:val="00035CD3"/>
    <w:rsid w:val="00035E6F"/>
    <w:rsid w:val="00040CFE"/>
    <w:rsid w:val="00045135"/>
    <w:rsid w:val="00045CF2"/>
    <w:rsid w:val="00045F19"/>
    <w:rsid w:val="0004654E"/>
    <w:rsid w:val="000470F1"/>
    <w:rsid w:val="00047770"/>
    <w:rsid w:val="000501B1"/>
    <w:rsid w:val="00050A88"/>
    <w:rsid w:val="00051760"/>
    <w:rsid w:val="0005249E"/>
    <w:rsid w:val="00052DA5"/>
    <w:rsid w:val="0005381A"/>
    <w:rsid w:val="000538DD"/>
    <w:rsid w:val="0005424F"/>
    <w:rsid w:val="000553E4"/>
    <w:rsid w:val="00060895"/>
    <w:rsid w:val="000619F6"/>
    <w:rsid w:val="00063461"/>
    <w:rsid w:val="00063695"/>
    <w:rsid w:val="0007022D"/>
    <w:rsid w:val="0007115F"/>
    <w:rsid w:val="00073A60"/>
    <w:rsid w:val="000748E0"/>
    <w:rsid w:val="00075080"/>
    <w:rsid w:val="00075BA3"/>
    <w:rsid w:val="000800E6"/>
    <w:rsid w:val="00081154"/>
    <w:rsid w:val="00081A30"/>
    <w:rsid w:val="00082B40"/>
    <w:rsid w:val="00085EC3"/>
    <w:rsid w:val="00090980"/>
    <w:rsid w:val="0009187E"/>
    <w:rsid w:val="00092824"/>
    <w:rsid w:val="00093A3E"/>
    <w:rsid w:val="00094899"/>
    <w:rsid w:val="000950C8"/>
    <w:rsid w:val="00096E2E"/>
    <w:rsid w:val="00097E7E"/>
    <w:rsid w:val="000A16FA"/>
    <w:rsid w:val="000A232F"/>
    <w:rsid w:val="000A2FB8"/>
    <w:rsid w:val="000A38B8"/>
    <w:rsid w:val="000A4D4B"/>
    <w:rsid w:val="000A507E"/>
    <w:rsid w:val="000A7AA9"/>
    <w:rsid w:val="000B094A"/>
    <w:rsid w:val="000B114D"/>
    <w:rsid w:val="000B2A1F"/>
    <w:rsid w:val="000B3186"/>
    <w:rsid w:val="000B3A42"/>
    <w:rsid w:val="000B486B"/>
    <w:rsid w:val="000B6D0E"/>
    <w:rsid w:val="000B7EB6"/>
    <w:rsid w:val="000C1399"/>
    <w:rsid w:val="000C16A9"/>
    <w:rsid w:val="000C1B82"/>
    <w:rsid w:val="000C2D2A"/>
    <w:rsid w:val="000C2E7F"/>
    <w:rsid w:val="000C3DC9"/>
    <w:rsid w:val="000C472C"/>
    <w:rsid w:val="000D19D0"/>
    <w:rsid w:val="000D22A0"/>
    <w:rsid w:val="000D39FB"/>
    <w:rsid w:val="000D497C"/>
    <w:rsid w:val="000E0786"/>
    <w:rsid w:val="000E0B6C"/>
    <w:rsid w:val="000E2196"/>
    <w:rsid w:val="000E337C"/>
    <w:rsid w:val="000F0BE2"/>
    <w:rsid w:val="000F10C2"/>
    <w:rsid w:val="000F24DC"/>
    <w:rsid w:val="000F74F8"/>
    <w:rsid w:val="00100824"/>
    <w:rsid w:val="00101444"/>
    <w:rsid w:val="00101643"/>
    <w:rsid w:val="00104071"/>
    <w:rsid w:val="00104208"/>
    <w:rsid w:val="001063A6"/>
    <w:rsid w:val="0010750D"/>
    <w:rsid w:val="001102B7"/>
    <w:rsid w:val="00114BE8"/>
    <w:rsid w:val="00114DC0"/>
    <w:rsid w:val="00115F36"/>
    <w:rsid w:val="0011753D"/>
    <w:rsid w:val="00120246"/>
    <w:rsid w:val="00122FA6"/>
    <w:rsid w:val="00124225"/>
    <w:rsid w:val="00124500"/>
    <w:rsid w:val="0012626E"/>
    <w:rsid w:val="00127242"/>
    <w:rsid w:val="001301EF"/>
    <w:rsid w:val="0013422F"/>
    <w:rsid w:val="0014363F"/>
    <w:rsid w:val="0014797A"/>
    <w:rsid w:val="00150CDE"/>
    <w:rsid w:val="00153471"/>
    <w:rsid w:val="00156547"/>
    <w:rsid w:val="001566DA"/>
    <w:rsid w:val="00156BAF"/>
    <w:rsid w:val="00157D5F"/>
    <w:rsid w:val="00157EFE"/>
    <w:rsid w:val="00160FAB"/>
    <w:rsid w:val="0016394B"/>
    <w:rsid w:val="00166443"/>
    <w:rsid w:val="00167451"/>
    <w:rsid w:val="0016755C"/>
    <w:rsid w:val="00175CFA"/>
    <w:rsid w:val="00176457"/>
    <w:rsid w:val="00176817"/>
    <w:rsid w:val="001773A0"/>
    <w:rsid w:val="0017799E"/>
    <w:rsid w:val="00182091"/>
    <w:rsid w:val="00183172"/>
    <w:rsid w:val="0018382A"/>
    <w:rsid w:val="0018457B"/>
    <w:rsid w:val="00185CD3"/>
    <w:rsid w:val="00186C86"/>
    <w:rsid w:val="00187488"/>
    <w:rsid w:val="0018781C"/>
    <w:rsid w:val="00192438"/>
    <w:rsid w:val="00192F42"/>
    <w:rsid w:val="00193DC7"/>
    <w:rsid w:val="00195A61"/>
    <w:rsid w:val="00196E4F"/>
    <w:rsid w:val="001A13DC"/>
    <w:rsid w:val="001A2530"/>
    <w:rsid w:val="001A4CA5"/>
    <w:rsid w:val="001B10FE"/>
    <w:rsid w:val="001B1B06"/>
    <w:rsid w:val="001B1F07"/>
    <w:rsid w:val="001B4498"/>
    <w:rsid w:val="001B4C41"/>
    <w:rsid w:val="001B7618"/>
    <w:rsid w:val="001C1263"/>
    <w:rsid w:val="001C1852"/>
    <w:rsid w:val="001C2909"/>
    <w:rsid w:val="001C40A2"/>
    <w:rsid w:val="001C4A2F"/>
    <w:rsid w:val="001C5B2C"/>
    <w:rsid w:val="001C65CD"/>
    <w:rsid w:val="001C781B"/>
    <w:rsid w:val="001D22C2"/>
    <w:rsid w:val="001D4CFC"/>
    <w:rsid w:val="001D65EA"/>
    <w:rsid w:val="001E15EE"/>
    <w:rsid w:val="001E2B0F"/>
    <w:rsid w:val="001E59A4"/>
    <w:rsid w:val="001E5C96"/>
    <w:rsid w:val="001E6B74"/>
    <w:rsid w:val="001E75FD"/>
    <w:rsid w:val="001E7964"/>
    <w:rsid w:val="001F01CF"/>
    <w:rsid w:val="001F159D"/>
    <w:rsid w:val="001F2B2B"/>
    <w:rsid w:val="001F54E4"/>
    <w:rsid w:val="00202DC9"/>
    <w:rsid w:val="00204B4E"/>
    <w:rsid w:val="00204CF1"/>
    <w:rsid w:val="002124CF"/>
    <w:rsid w:val="00213381"/>
    <w:rsid w:val="0021396E"/>
    <w:rsid w:val="00213B6C"/>
    <w:rsid w:val="00215F1C"/>
    <w:rsid w:val="00216CBF"/>
    <w:rsid w:val="00217419"/>
    <w:rsid w:val="0022024E"/>
    <w:rsid w:val="0022159A"/>
    <w:rsid w:val="00223110"/>
    <w:rsid w:val="00227BF8"/>
    <w:rsid w:val="002302E9"/>
    <w:rsid w:val="002308A2"/>
    <w:rsid w:val="00232559"/>
    <w:rsid w:val="00232F01"/>
    <w:rsid w:val="00233527"/>
    <w:rsid w:val="00237F82"/>
    <w:rsid w:val="00242EEE"/>
    <w:rsid w:val="00243A16"/>
    <w:rsid w:val="00243ADC"/>
    <w:rsid w:val="00243E49"/>
    <w:rsid w:val="002479B4"/>
    <w:rsid w:val="00251D82"/>
    <w:rsid w:val="002526CE"/>
    <w:rsid w:val="00253B65"/>
    <w:rsid w:val="00253C24"/>
    <w:rsid w:val="00256DC4"/>
    <w:rsid w:val="002573FF"/>
    <w:rsid w:val="00260596"/>
    <w:rsid w:val="00262E18"/>
    <w:rsid w:val="0026489E"/>
    <w:rsid w:val="00264C57"/>
    <w:rsid w:val="0026560E"/>
    <w:rsid w:val="002665C0"/>
    <w:rsid w:val="002668F3"/>
    <w:rsid w:val="00270205"/>
    <w:rsid w:val="00270264"/>
    <w:rsid w:val="0027397B"/>
    <w:rsid w:val="00275243"/>
    <w:rsid w:val="002773CC"/>
    <w:rsid w:val="00281A36"/>
    <w:rsid w:val="002834DA"/>
    <w:rsid w:val="00283646"/>
    <w:rsid w:val="002836FE"/>
    <w:rsid w:val="00286A94"/>
    <w:rsid w:val="00293E96"/>
    <w:rsid w:val="00293F7D"/>
    <w:rsid w:val="0029511E"/>
    <w:rsid w:val="00296319"/>
    <w:rsid w:val="00296937"/>
    <w:rsid w:val="00296D43"/>
    <w:rsid w:val="00296E4D"/>
    <w:rsid w:val="00297166"/>
    <w:rsid w:val="002A047F"/>
    <w:rsid w:val="002A271C"/>
    <w:rsid w:val="002A45D7"/>
    <w:rsid w:val="002A45F5"/>
    <w:rsid w:val="002A660B"/>
    <w:rsid w:val="002A7324"/>
    <w:rsid w:val="002B0E9C"/>
    <w:rsid w:val="002B4465"/>
    <w:rsid w:val="002C016B"/>
    <w:rsid w:val="002C2365"/>
    <w:rsid w:val="002C3AA1"/>
    <w:rsid w:val="002C6673"/>
    <w:rsid w:val="002C7077"/>
    <w:rsid w:val="002C7A39"/>
    <w:rsid w:val="002D175D"/>
    <w:rsid w:val="002D2CE6"/>
    <w:rsid w:val="002D503A"/>
    <w:rsid w:val="002D6669"/>
    <w:rsid w:val="002E06AF"/>
    <w:rsid w:val="002E1532"/>
    <w:rsid w:val="002E1E2C"/>
    <w:rsid w:val="002E247E"/>
    <w:rsid w:val="002E30C5"/>
    <w:rsid w:val="002E388E"/>
    <w:rsid w:val="002E511D"/>
    <w:rsid w:val="002E70BC"/>
    <w:rsid w:val="002F1035"/>
    <w:rsid w:val="002F23A4"/>
    <w:rsid w:val="002F2EA4"/>
    <w:rsid w:val="002F3CC4"/>
    <w:rsid w:val="002F5DB8"/>
    <w:rsid w:val="00300471"/>
    <w:rsid w:val="00300CCC"/>
    <w:rsid w:val="00303AB0"/>
    <w:rsid w:val="00310543"/>
    <w:rsid w:val="00312866"/>
    <w:rsid w:val="00312C34"/>
    <w:rsid w:val="00314709"/>
    <w:rsid w:val="00314BCE"/>
    <w:rsid w:val="00320BB9"/>
    <w:rsid w:val="00321CAD"/>
    <w:rsid w:val="00325025"/>
    <w:rsid w:val="00325E98"/>
    <w:rsid w:val="00327383"/>
    <w:rsid w:val="00334C2C"/>
    <w:rsid w:val="003367E9"/>
    <w:rsid w:val="003372BC"/>
    <w:rsid w:val="00340DBA"/>
    <w:rsid w:val="00346297"/>
    <w:rsid w:val="003464C0"/>
    <w:rsid w:val="00346CC8"/>
    <w:rsid w:val="00354117"/>
    <w:rsid w:val="00354434"/>
    <w:rsid w:val="00357327"/>
    <w:rsid w:val="003574BE"/>
    <w:rsid w:val="003611F3"/>
    <w:rsid w:val="00362191"/>
    <w:rsid w:val="00364D32"/>
    <w:rsid w:val="00365149"/>
    <w:rsid w:val="003667D7"/>
    <w:rsid w:val="00367121"/>
    <w:rsid w:val="003672CA"/>
    <w:rsid w:val="00370993"/>
    <w:rsid w:val="00370CA3"/>
    <w:rsid w:val="00372741"/>
    <w:rsid w:val="00373BF9"/>
    <w:rsid w:val="00375A5C"/>
    <w:rsid w:val="00376299"/>
    <w:rsid w:val="00380922"/>
    <w:rsid w:val="00380DA6"/>
    <w:rsid w:val="00383037"/>
    <w:rsid w:val="00383CE9"/>
    <w:rsid w:val="00384B04"/>
    <w:rsid w:val="00384D8D"/>
    <w:rsid w:val="00386468"/>
    <w:rsid w:val="00393855"/>
    <w:rsid w:val="00394C04"/>
    <w:rsid w:val="00395154"/>
    <w:rsid w:val="003A0580"/>
    <w:rsid w:val="003A0D6C"/>
    <w:rsid w:val="003A1A92"/>
    <w:rsid w:val="003A1DF5"/>
    <w:rsid w:val="003A224E"/>
    <w:rsid w:val="003A277D"/>
    <w:rsid w:val="003A2B88"/>
    <w:rsid w:val="003A3662"/>
    <w:rsid w:val="003A38C8"/>
    <w:rsid w:val="003A3B46"/>
    <w:rsid w:val="003A4D8D"/>
    <w:rsid w:val="003A4FC2"/>
    <w:rsid w:val="003A58EE"/>
    <w:rsid w:val="003A5EC2"/>
    <w:rsid w:val="003A6970"/>
    <w:rsid w:val="003A7855"/>
    <w:rsid w:val="003A7FF0"/>
    <w:rsid w:val="003B48B3"/>
    <w:rsid w:val="003B769C"/>
    <w:rsid w:val="003C29DF"/>
    <w:rsid w:val="003C4BDF"/>
    <w:rsid w:val="003C501F"/>
    <w:rsid w:val="003C543E"/>
    <w:rsid w:val="003C734C"/>
    <w:rsid w:val="003D07ED"/>
    <w:rsid w:val="003D1B5A"/>
    <w:rsid w:val="003D5313"/>
    <w:rsid w:val="003D5677"/>
    <w:rsid w:val="003D7C52"/>
    <w:rsid w:val="003E10F7"/>
    <w:rsid w:val="003E2923"/>
    <w:rsid w:val="003E344C"/>
    <w:rsid w:val="003E3CEC"/>
    <w:rsid w:val="003E4769"/>
    <w:rsid w:val="003E7A33"/>
    <w:rsid w:val="003F3741"/>
    <w:rsid w:val="003F3C8E"/>
    <w:rsid w:val="003F432A"/>
    <w:rsid w:val="003F641D"/>
    <w:rsid w:val="003F6C35"/>
    <w:rsid w:val="003F78F7"/>
    <w:rsid w:val="00400A8E"/>
    <w:rsid w:val="00401B50"/>
    <w:rsid w:val="00402629"/>
    <w:rsid w:val="004027B0"/>
    <w:rsid w:val="004076FD"/>
    <w:rsid w:val="0041002F"/>
    <w:rsid w:val="00413725"/>
    <w:rsid w:val="0041397F"/>
    <w:rsid w:val="004160D4"/>
    <w:rsid w:val="0042312C"/>
    <w:rsid w:val="004232D8"/>
    <w:rsid w:val="00425BC8"/>
    <w:rsid w:val="00427E8C"/>
    <w:rsid w:val="00436FF4"/>
    <w:rsid w:val="004377FE"/>
    <w:rsid w:val="0044109A"/>
    <w:rsid w:val="004425D4"/>
    <w:rsid w:val="00451CBF"/>
    <w:rsid w:val="00457BC7"/>
    <w:rsid w:val="00457CC0"/>
    <w:rsid w:val="004600D8"/>
    <w:rsid w:val="00460403"/>
    <w:rsid w:val="0046084D"/>
    <w:rsid w:val="004671F5"/>
    <w:rsid w:val="0047045A"/>
    <w:rsid w:val="00471223"/>
    <w:rsid w:val="00475C55"/>
    <w:rsid w:val="00477962"/>
    <w:rsid w:val="0048012D"/>
    <w:rsid w:val="00483B76"/>
    <w:rsid w:val="004847A7"/>
    <w:rsid w:val="00484C92"/>
    <w:rsid w:val="00486DC8"/>
    <w:rsid w:val="00490DDE"/>
    <w:rsid w:val="00492D9B"/>
    <w:rsid w:val="00494F92"/>
    <w:rsid w:val="004950DD"/>
    <w:rsid w:val="00495B80"/>
    <w:rsid w:val="004A3071"/>
    <w:rsid w:val="004A556E"/>
    <w:rsid w:val="004A6C88"/>
    <w:rsid w:val="004B0632"/>
    <w:rsid w:val="004B16CA"/>
    <w:rsid w:val="004B4D75"/>
    <w:rsid w:val="004B676C"/>
    <w:rsid w:val="004C16B6"/>
    <w:rsid w:val="004C3A68"/>
    <w:rsid w:val="004C62A2"/>
    <w:rsid w:val="004C70C6"/>
    <w:rsid w:val="004D0CC3"/>
    <w:rsid w:val="004D2CB9"/>
    <w:rsid w:val="004D36B1"/>
    <w:rsid w:val="004D37C5"/>
    <w:rsid w:val="004D401B"/>
    <w:rsid w:val="004E014F"/>
    <w:rsid w:val="004E0767"/>
    <w:rsid w:val="004E255B"/>
    <w:rsid w:val="004F0689"/>
    <w:rsid w:val="004F4420"/>
    <w:rsid w:val="004F70FD"/>
    <w:rsid w:val="004F7217"/>
    <w:rsid w:val="004F7C1D"/>
    <w:rsid w:val="00502AC7"/>
    <w:rsid w:val="00503D20"/>
    <w:rsid w:val="00505C29"/>
    <w:rsid w:val="00505D43"/>
    <w:rsid w:val="005123B0"/>
    <w:rsid w:val="005135AB"/>
    <w:rsid w:val="005145E2"/>
    <w:rsid w:val="00515DFD"/>
    <w:rsid w:val="00520773"/>
    <w:rsid w:val="00523A38"/>
    <w:rsid w:val="00525279"/>
    <w:rsid w:val="00527BED"/>
    <w:rsid w:val="005326A0"/>
    <w:rsid w:val="00533FDF"/>
    <w:rsid w:val="00534D4D"/>
    <w:rsid w:val="0054605B"/>
    <w:rsid w:val="00552B38"/>
    <w:rsid w:val="005543AB"/>
    <w:rsid w:val="005544D4"/>
    <w:rsid w:val="0055509B"/>
    <w:rsid w:val="00556702"/>
    <w:rsid w:val="005567EC"/>
    <w:rsid w:val="005573AC"/>
    <w:rsid w:val="00561A8A"/>
    <w:rsid w:val="00561ECB"/>
    <w:rsid w:val="005664D3"/>
    <w:rsid w:val="00566D36"/>
    <w:rsid w:val="00566F94"/>
    <w:rsid w:val="0056704C"/>
    <w:rsid w:val="00570004"/>
    <w:rsid w:val="00570DC1"/>
    <w:rsid w:val="005752AD"/>
    <w:rsid w:val="0057543B"/>
    <w:rsid w:val="00575D6B"/>
    <w:rsid w:val="00577510"/>
    <w:rsid w:val="0058702F"/>
    <w:rsid w:val="00592E9C"/>
    <w:rsid w:val="00595624"/>
    <w:rsid w:val="00595D71"/>
    <w:rsid w:val="005A24A3"/>
    <w:rsid w:val="005A2998"/>
    <w:rsid w:val="005A3A32"/>
    <w:rsid w:val="005A762D"/>
    <w:rsid w:val="005A77CB"/>
    <w:rsid w:val="005B1976"/>
    <w:rsid w:val="005B1FA6"/>
    <w:rsid w:val="005B4590"/>
    <w:rsid w:val="005B4733"/>
    <w:rsid w:val="005B5982"/>
    <w:rsid w:val="005B6013"/>
    <w:rsid w:val="005B696E"/>
    <w:rsid w:val="005C0177"/>
    <w:rsid w:val="005C01AA"/>
    <w:rsid w:val="005C060C"/>
    <w:rsid w:val="005C21D1"/>
    <w:rsid w:val="005C38D6"/>
    <w:rsid w:val="005C53F0"/>
    <w:rsid w:val="005C5C61"/>
    <w:rsid w:val="005C780D"/>
    <w:rsid w:val="005D0041"/>
    <w:rsid w:val="005D09BD"/>
    <w:rsid w:val="005D0E75"/>
    <w:rsid w:val="005D10CD"/>
    <w:rsid w:val="005D1D9A"/>
    <w:rsid w:val="005D2D30"/>
    <w:rsid w:val="005D6D28"/>
    <w:rsid w:val="005D7769"/>
    <w:rsid w:val="005D7D88"/>
    <w:rsid w:val="005E0FEC"/>
    <w:rsid w:val="005E28FF"/>
    <w:rsid w:val="005E31BF"/>
    <w:rsid w:val="005E4A95"/>
    <w:rsid w:val="005E7015"/>
    <w:rsid w:val="005E70F9"/>
    <w:rsid w:val="005E759B"/>
    <w:rsid w:val="005F001B"/>
    <w:rsid w:val="005F2706"/>
    <w:rsid w:val="005F3C81"/>
    <w:rsid w:val="005F7AD9"/>
    <w:rsid w:val="00600086"/>
    <w:rsid w:val="00600316"/>
    <w:rsid w:val="0060055C"/>
    <w:rsid w:val="0060067D"/>
    <w:rsid w:val="00600F37"/>
    <w:rsid w:val="0060186E"/>
    <w:rsid w:val="00602C9E"/>
    <w:rsid w:val="00605C2C"/>
    <w:rsid w:val="00606262"/>
    <w:rsid w:val="0060666A"/>
    <w:rsid w:val="0060691A"/>
    <w:rsid w:val="00613B1C"/>
    <w:rsid w:val="006141C8"/>
    <w:rsid w:val="00614564"/>
    <w:rsid w:val="0061535A"/>
    <w:rsid w:val="006204EE"/>
    <w:rsid w:val="006237D1"/>
    <w:rsid w:val="00624DF9"/>
    <w:rsid w:val="00626361"/>
    <w:rsid w:val="006268E1"/>
    <w:rsid w:val="00627991"/>
    <w:rsid w:val="00627A15"/>
    <w:rsid w:val="0063006B"/>
    <w:rsid w:val="00631886"/>
    <w:rsid w:val="00632DB2"/>
    <w:rsid w:val="00633B10"/>
    <w:rsid w:val="00635629"/>
    <w:rsid w:val="006366FB"/>
    <w:rsid w:val="00640BB9"/>
    <w:rsid w:val="0064472F"/>
    <w:rsid w:val="0064526B"/>
    <w:rsid w:val="00651999"/>
    <w:rsid w:val="006537C5"/>
    <w:rsid w:val="00653C7D"/>
    <w:rsid w:val="0065574C"/>
    <w:rsid w:val="006568DA"/>
    <w:rsid w:val="006600E4"/>
    <w:rsid w:val="0066207B"/>
    <w:rsid w:val="006622C7"/>
    <w:rsid w:val="006632BF"/>
    <w:rsid w:val="0066372D"/>
    <w:rsid w:val="00663C48"/>
    <w:rsid w:val="00666513"/>
    <w:rsid w:val="00666763"/>
    <w:rsid w:val="00667683"/>
    <w:rsid w:val="00670462"/>
    <w:rsid w:val="006732EC"/>
    <w:rsid w:val="00680F81"/>
    <w:rsid w:val="00681E5F"/>
    <w:rsid w:val="00681FFF"/>
    <w:rsid w:val="006823EB"/>
    <w:rsid w:val="00682962"/>
    <w:rsid w:val="00683684"/>
    <w:rsid w:val="006837BB"/>
    <w:rsid w:val="0068597F"/>
    <w:rsid w:val="006868A3"/>
    <w:rsid w:val="0069202E"/>
    <w:rsid w:val="00694324"/>
    <w:rsid w:val="00695732"/>
    <w:rsid w:val="0069712D"/>
    <w:rsid w:val="00697E79"/>
    <w:rsid w:val="006A192D"/>
    <w:rsid w:val="006A3414"/>
    <w:rsid w:val="006A402E"/>
    <w:rsid w:val="006A5727"/>
    <w:rsid w:val="006B1528"/>
    <w:rsid w:val="006B17AF"/>
    <w:rsid w:val="006B2ABA"/>
    <w:rsid w:val="006B399C"/>
    <w:rsid w:val="006B448D"/>
    <w:rsid w:val="006B4658"/>
    <w:rsid w:val="006B6AA7"/>
    <w:rsid w:val="006C6209"/>
    <w:rsid w:val="006C660D"/>
    <w:rsid w:val="006C6A7D"/>
    <w:rsid w:val="006D2186"/>
    <w:rsid w:val="006D2E6F"/>
    <w:rsid w:val="006D4634"/>
    <w:rsid w:val="006D4B03"/>
    <w:rsid w:val="006D4D6C"/>
    <w:rsid w:val="006D6E2A"/>
    <w:rsid w:val="006E0113"/>
    <w:rsid w:val="006E1A7E"/>
    <w:rsid w:val="006E560E"/>
    <w:rsid w:val="006E5A86"/>
    <w:rsid w:val="006E6A79"/>
    <w:rsid w:val="006E6DF7"/>
    <w:rsid w:val="006F03AE"/>
    <w:rsid w:val="006F1C59"/>
    <w:rsid w:val="006F2415"/>
    <w:rsid w:val="006F4D3B"/>
    <w:rsid w:val="006F5DC1"/>
    <w:rsid w:val="006F6C9A"/>
    <w:rsid w:val="006F7122"/>
    <w:rsid w:val="007031A5"/>
    <w:rsid w:val="00703EE2"/>
    <w:rsid w:val="007046D3"/>
    <w:rsid w:val="00704A04"/>
    <w:rsid w:val="007078EB"/>
    <w:rsid w:val="0071082D"/>
    <w:rsid w:val="007154F9"/>
    <w:rsid w:val="00715573"/>
    <w:rsid w:val="00720E33"/>
    <w:rsid w:val="00721E55"/>
    <w:rsid w:val="00724CBE"/>
    <w:rsid w:val="007254E2"/>
    <w:rsid w:val="00725EE5"/>
    <w:rsid w:val="007327C6"/>
    <w:rsid w:val="00733C4A"/>
    <w:rsid w:val="00733E73"/>
    <w:rsid w:val="00734F06"/>
    <w:rsid w:val="00735B6D"/>
    <w:rsid w:val="007360EA"/>
    <w:rsid w:val="00742C9B"/>
    <w:rsid w:val="00743994"/>
    <w:rsid w:val="00743BE2"/>
    <w:rsid w:val="00747104"/>
    <w:rsid w:val="00747FF0"/>
    <w:rsid w:val="0075077E"/>
    <w:rsid w:val="0075178C"/>
    <w:rsid w:val="00752AC0"/>
    <w:rsid w:val="0075329E"/>
    <w:rsid w:val="007546D1"/>
    <w:rsid w:val="00755992"/>
    <w:rsid w:val="007564BB"/>
    <w:rsid w:val="00756D9F"/>
    <w:rsid w:val="00757477"/>
    <w:rsid w:val="00757736"/>
    <w:rsid w:val="00757E4B"/>
    <w:rsid w:val="00760595"/>
    <w:rsid w:val="007610C9"/>
    <w:rsid w:val="0076378A"/>
    <w:rsid w:val="0076479D"/>
    <w:rsid w:val="00766F58"/>
    <w:rsid w:val="00770A71"/>
    <w:rsid w:val="007730BE"/>
    <w:rsid w:val="007736F6"/>
    <w:rsid w:val="00775466"/>
    <w:rsid w:val="00780D27"/>
    <w:rsid w:val="0078211B"/>
    <w:rsid w:val="00784DBD"/>
    <w:rsid w:val="00786FB1"/>
    <w:rsid w:val="007903B9"/>
    <w:rsid w:val="0079139F"/>
    <w:rsid w:val="00792B1B"/>
    <w:rsid w:val="007947DE"/>
    <w:rsid w:val="00794B3F"/>
    <w:rsid w:val="0079699B"/>
    <w:rsid w:val="007A56D8"/>
    <w:rsid w:val="007A60BC"/>
    <w:rsid w:val="007A788F"/>
    <w:rsid w:val="007A7A10"/>
    <w:rsid w:val="007B1A1F"/>
    <w:rsid w:val="007B1B2A"/>
    <w:rsid w:val="007B1D60"/>
    <w:rsid w:val="007B1FC1"/>
    <w:rsid w:val="007B5FF8"/>
    <w:rsid w:val="007B62CC"/>
    <w:rsid w:val="007B69E6"/>
    <w:rsid w:val="007B7351"/>
    <w:rsid w:val="007B79D3"/>
    <w:rsid w:val="007B7FFA"/>
    <w:rsid w:val="007C25EE"/>
    <w:rsid w:val="007C3DC2"/>
    <w:rsid w:val="007D07CD"/>
    <w:rsid w:val="007D12CF"/>
    <w:rsid w:val="007D26ED"/>
    <w:rsid w:val="007D2729"/>
    <w:rsid w:val="007D29B1"/>
    <w:rsid w:val="007D2D67"/>
    <w:rsid w:val="007D5A59"/>
    <w:rsid w:val="007E0D17"/>
    <w:rsid w:val="007E1BFD"/>
    <w:rsid w:val="007E2532"/>
    <w:rsid w:val="007E4544"/>
    <w:rsid w:val="007E4656"/>
    <w:rsid w:val="007E4A25"/>
    <w:rsid w:val="007F1EEC"/>
    <w:rsid w:val="007F33C5"/>
    <w:rsid w:val="007F3925"/>
    <w:rsid w:val="007F740F"/>
    <w:rsid w:val="0080070C"/>
    <w:rsid w:val="008017D6"/>
    <w:rsid w:val="008019A7"/>
    <w:rsid w:val="00804C68"/>
    <w:rsid w:val="008126E1"/>
    <w:rsid w:val="0081654C"/>
    <w:rsid w:val="008166DB"/>
    <w:rsid w:val="008168E4"/>
    <w:rsid w:val="00820106"/>
    <w:rsid w:val="00822CBE"/>
    <w:rsid w:val="00823315"/>
    <w:rsid w:val="00823C92"/>
    <w:rsid w:val="00824A0A"/>
    <w:rsid w:val="00825135"/>
    <w:rsid w:val="0082647A"/>
    <w:rsid w:val="00827F15"/>
    <w:rsid w:val="008306C5"/>
    <w:rsid w:val="00831149"/>
    <w:rsid w:val="00831DA3"/>
    <w:rsid w:val="00832B33"/>
    <w:rsid w:val="00833153"/>
    <w:rsid w:val="008337DA"/>
    <w:rsid w:val="00834F54"/>
    <w:rsid w:val="00843A7C"/>
    <w:rsid w:val="00843B0F"/>
    <w:rsid w:val="00844DD9"/>
    <w:rsid w:val="008478EB"/>
    <w:rsid w:val="00851B84"/>
    <w:rsid w:val="00854BBF"/>
    <w:rsid w:val="008560FA"/>
    <w:rsid w:val="008562D5"/>
    <w:rsid w:val="008569BB"/>
    <w:rsid w:val="008569C5"/>
    <w:rsid w:val="00860A94"/>
    <w:rsid w:val="00860E08"/>
    <w:rsid w:val="0086106A"/>
    <w:rsid w:val="00862190"/>
    <w:rsid w:val="008625A1"/>
    <w:rsid w:val="0086296D"/>
    <w:rsid w:val="008641A2"/>
    <w:rsid w:val="00867861"/>
    <w:rsid w:val="00875F7C"/>
    <w:rsid w:val="0087669D"/>
    <w:rsid w:val="00883517"/>
    <w:rsid w:val="00884547"/>
    <w:rsid w:val="00885862"/>
    <w:rsid w:val="0089110C"/>
    <w:rsid w:val="008920AE"/>
    <w:rsid w:val="008929DF"/>
    <w:rsid w:val="008A4431"/>
    <w:rsid w:val="008A5351"/>
    <w:rsid w:val="008A7B20"/>
    <w:rsid w:val="008B2559"/>
    <w:rsid w:val="008B4612"/>
    <w:rsid w:val="008B5F81"/>
    <w:rsid w:val="008B7BD3"/>
    <w:rsid w:val="008C3366"/>
    <w:rsid w:val="008C4E32"/>
    <w:rsid w:val="008C52A9"/>
    <w:rsid w:val="008D07AE"/>
    <w:rsid w:val="008D09E2"/>
    <w:rsid w:val="008D1ED5"/>
    <w:rsid w:val="008D75E8"/>
    <w:rsid w:val="008E070F"/>
    <w:rsid w:val="008E1AEC"/>
    <w:rsid w:val="008E4555"/>
    <w:rsid w:val="008E45F0"/>
    <w:rsid w:val="008E4AF0"/>
    <w:rsid w:val="008E4C78"/>
    <w:rsid w:val="008E5B72"/>
    <w:rsid w:val="008E6D82"/>
    <w:rsid w:val="008F0CA4"/>
    <w:rsid w:val="008F64F2"/>
    <w:rsid w:val="008F75A7"/>
    <w:rsid w:val="00900E3B"/>
    <w:rsid w:val="00901E94"/>
    <w:rsid w:val="00902A97"/>
    <w:rsid w:val="00902DEF"/>
    <w:rsid w:val="00904430"/>
    <w:rsid w:val="009053EB"/>
    <w:rsid w:val="00905DAA"/>
    <w:rsid w:val="009065F7"/>
    <w:rsid w:val="00907280"/>
    <w:rsid w:val="0091045E"/>
    <w:rsid w:val="00912B34"/>
    <w:rsid w:val="009167B4"/>
    <w:rsid w:val="0092175A"/>
    <w:rsid w:val="00921B40"/>
    <w:rsid w:val="00921EB0"/>
    <w:rsid w:val="0092281E"/>
    <w:rsid w:val="009236C5"/>
    <w:rsid w:val="00923A1D"/>
    <w:rsid w:val="0092512E"/>
    <w:rsid w:val="0092645B"/>
    <w:rsid w:val="0092799B"/>
    <w:rsid w:val="00932565"/>
    <w:rsid w:val="00933721"/>
    <w:rsid w:val="00934ED8"/>
    <w:rsid w:val="009368FD"/>
    <w:rsid w:val="00937840"/>
    <w:rsid w:val="0094030D"/>
    <w:rsid w:val="009423BE"/>
    <w:rsid w:val="009424C7"/>
    <w:rsid w:val="00943CF3"/>
    <w:rsid w:val="00944E82"/>
    <w:rsid w:val="009463E8"/>
    <w:rsid w:val="00947521"/>
    <w:rsid w:val="0095140E"/>
    <w:rsid w:val="009528BA"/>
    <w:rsid w:val="00952FCB"/>
    <w:rsid w:val="009542ED"/>
    <w:rsid w:val="00954AAD"/>
    <w:rsid w:val="0095585C"/>
    <w:rsid w:val="009572A6"/>
    <w:rsid w:val="00957A09"/>
    <w:rsid w:val="009608A6"/>
    <w:rsid w:val="00965DBA"/>
    <w:rsid w:val="00965E10"/>
    <w:rsid w:val="00970755"/>
    <w:rsid w:val="00970AB0"/>
    <w:rsid w:val="009717B4"/>
    <w:rsid w:val="00975C44"/>
    <w:rsid w:val="009773EF"/>
    <w:rsid w:val="00977548"/>
    <w:rsid w:val="00977FB4"/>
    <w:rsid w:val="009808E0"/>
    <w:rsid w:val="009810CA"/>
    <w:rsid w:val="0098138C"/>
    <w:rsid w:val="009853F8"/>
    <w:rsid w:val="00986542"/>
    <w:rsid w:val="00987378"/>
    <w:rsid w:val="00992C65"/>
    <w:rsid w:val="0099331A"/>
    <w:rsid w:val="009937E3"/>
    <w:rsid w:val="0099509C"/>
    <w:rsid w:val="00995AB5"/>
    <w:rsid w:val="009960BC"/>
    <w:rsid w:val="00996313"/>
    <w:rsid w:val="00996AFB"/>
    <w:rsid w:val="00997155"/>
    <w:rsid w:val="009A19F7"/>
    <w:rsid w:val="009A4AF3"/>
    <w:rsid w:val="009B0839"/>
    <w:rsid w:val="009C04D1"/>
    <w:rsid w:val="009C09E3"/>
    <w:rsid w:val="009C223A"/>
    <w:rsid w:val="009C6E05"/>
    <w:rsid w:val="009D0271"/>
    <w:rsid w:val="009D1028"/>
    <w:rsid w:val="009D1367"/>
    <w:rsid w:val="009D542C"/>
    <w:rsid w:val="009D5BD8"/>
    <w:rsid w:val="009D652F"/>
    <w:rsid w:val="009E04AE"/>
    <w:rsid w:val="009E0DB1"/>
    <w:rsid w:val="009E1CCB"/>
    <w:rsid w:val="009E2C1A"/>
    <w:rsid w:val="009E64A0"/>
    <w:rsid w:val="009E7C5D"/>
    <w:rsid w:val="009F04AF"/>
    <w:rsid w:val="009F07AC"/>
    <w:rsid w:val="009F0C29"/>
    <w:rsid w:val="009F4EDA"/>
    <w:rsid w:val="009F60E6"/>
    <w:rsid w:val="009F6F6F"/>
    <w:rsid w:val="009F79D2"/>
    <w:rsid w:val="009F7AB8"/>
    <w:rsid w:val="00A01474"/>
    <w:rsid w:val="00A026AF"/>
    <w:rsid w:val="00A04449"/>
    <w:rsid w:val="00A073A8"/>
    <w:rsid w:val="00A07B60"/>
    <w:rsid w:val="00A10752"/>
    <w:rsid w:val="00A13D49"/>
    <w:rsid w:val="00A140F7"/>
    <w:rsid w:val="00A15AB7"/>
    <w:rsid w:val="00A17487"/>
    <w:rsid w:val="00A211FA"/>
    <w:rsid w:val="00A22489"/>
    <w:rsid w:val="00A26639"/>
    <w:rsid w:val="00A26DB7"/>
    <w:rsid w:val="00A2713B"/>
    <w:rsid w:val="00A31F9C"/>
    <w:rsid w:val="00A32C79"/>
    <w:rsid w:val="00A331C4"/>
    <w:rsid w:val="00A33B8C"/>
    <w:rsid w:val="00A35264"/>
    <w:rsid w:val="00A37307"/>
    <w:rsid w:val="00A41A19"/>
    <w:rsid w:val="00A43B95"/>
    <w:rsid w:val="00A43C5E"/>
    <w:rsid w:val="00A457E5"/>
    <w:rsid w:val="00A4685A"/>
    <w:rsid w:val="00A46C92"/>
    <w:rsid w:val="00A504B9"/>
    <w:rsid w:val="00A50F93"/>
    <w:rsid w:val="00A534AB"/>
    <w:rsid w:val="00A55630"/>
    <w:rsid w:val="00A559D7"/>
    <w:rsid w:val="00A567E2"/>
    <w:rsid w:val="00A60494"/>
    <w:rsid w:val="00A615D7"/>
    <w:rsid w:val="00A62EB7"/>
    <w:rsid w:val="00A65F67"/>
    <w:rsid w:val="00A66C7C"/>
    <w:rsid w:val="00A70264"/>
    <w:rsid w:val="00A727F2"/>
    <w:rsid w:val="00A72AA4"/>
    <w:rsid w:val="00A72DDA"/>
    <w:rsid w:val="00A74542"/>
    <w:rsid w:val="00A77E5F"/>
    <w:rsid w:val="00A8165E"/>
    <w:rsid w:val="00A81C02"/>
    <w:rsid w:val="00A858B7"/>
    <w:rsid w:val="00A8694E"/>
    <w:rsid w:val="00A869F1"/>
    <w:rsid w:val="00A92DDC"/>
    <w:rsid w:val="00A9484F"/>
    <w:rsid w:val="00AA065B"/>
    <w:rsid w:val="00AA4598"/>
    <w:rsid w:val="00AA4C1A"/>
    <w:rsid w:val="00AA53D8"/>
    <w:rsid w:val="00AB0AA4"/>
    <w:rsid w:val="00AB1D36"/>
    <w:rsid w:val="00AB276E"/>
    <w:rsid w:val="00AB2F89"/>
    <w:rsid w:val="00AB4961"/>
    <w:rsid w:val="00AC12E0"/>
    <w:rsid w:val="00AC1365"/>
    <w:rsid w:val="00AC26CA"/>
    <w:rsid w:val="00AC3016"/>
    <w:rsid w:val="00AC3626"/>
    <w:rsid w:val="00AD0F00"/>
    <w:rsid w:val="00AD3765"/>
    <w:rsid w:val="00AD5109"/>
    <w:rsid w:val="00AD5221"/>
    <w:rsid w:val="00AD6E86"/>
    <w:rsid w:val="00AE0ABF"/>
    <w:rsid w:val="00AE10B3"/>
    <w:rsid w:val="00AE27E1"/>
    <w:rsid w:val="00AE3968"/>
    <w:rsid w:val="00AE6627"/>
    <w:rsid w:val="00AE78A2"/>
    <w:rsid w:val="00AF2355"/>
    <w:rsid w:val="00AF28E0"/>
    <w:rsid w:val="00AF561B"/>
    <w:rsid w:val="00AF657A"/>
    <w:rsid w:val="00AF7AC7"/>
    <w:rsid w:val="00B0003B"/>
    <w:rsid w:val="00B00A44"/>
    <w:rsid w:val="00B00BFF"/>
    <w:rsid w:val="00B05E6C"/>
    <w:rsid w:val="00B07A3E"/>
    <w:rsid w:val="00B07CD7"/>
    <w:rsid w:val="00B119C1"/>
    <w:rsid w:val="00B14031"/>
    <w:rsid w:val="00B204B0"/>
    <w:rsid w:val="00B239D2"/>
    <w:rsid w:val="00B2556B"/>
    <w:rsid w:val="00B26230"/>
    <w:rsid w:val="00B262A8"/>
    <w:rsid w:val="00B274BB"/>
    <w:rsid w:val="00B307AC"/>
    <w:rsid w:val="00B3098B"/>
    <w:rsid w:val="00B342DB"/>
    <w:rsid w:val="00B35373"/>
    <w:rsid w:val="00B37D4B"/>
    <w:rsid w:val="00B40E91"/>
    <w:rsid w:val="00B41865"/>
    <w:rsid w:val="00B42ADD"/>
    <w:rsid w:val="00B43B22"/>
    <w:rsid w:val="00B44453"/>
    <w:rsid w:val="00B4680A"/>
    <w:rsid w:val="00B50758"/>
    <w:rsid w:val="00B52CFB"/>
    <w:rsid w:val="00B54E1E"/>
    <w:rsid w:val="00B551E5"/>
    <w:rsid w:val="00B5548F"/>
    <w:rsid w:val="00B6552A"/>
    <w:rsid w:val="00B66D25"/>
    <w:rsid w:val="00B67329"/>
    <w:rsid w:val="00B70FCE"/>
    <w:rsid w:val="00B76562"/>
    <w:rsid w:val="00B82693"/>
    <w:rsid w:val="00B84353"/>
    <w:rsid w:val="00B84FEC"/>
    <w:rsid w:val="00B86B67"/>
    <w:rsid w:val="00B86D68"/>
    <w:rsid w:val="00B91738"/>
    <w:rsid w:val="00B93B2E"/>
    <w:rsid w:val="00B9490D"/>
    <w:rsid w:val="00B95350"/>
    <w:rsid w:val="00BA0E2E"/>
    <w:rsid w:val="00BA1CE1"/>
    <w:rsid w:val="00BA2A7A"/>
    <w:rsid w:val="00BA4557"/>
    <w:rsid w:val="00BA64D7"/>
    <w:rsid w:val="00BA78B6"/>
    <w:rsid w:val="00BB3E0A"/>
    <w:rsid w:val="00BB5CE1"/>
    <w:rsid w:val="00BC0D01"/>
    <w:rsid w:val="00BC188B"/>
    <w:rsid w:val="00BC6E62"/>
    <w:rsid w:val="00BD130B"/>
    <w:rsid w:val="00BD194F"/>
    <w:rsid w:val="00BD27A1"/>
    <w:rsid w:val="00BD3794"/>
    <w:rsid w:val="00BD4A8A"/>
    <w:rsid w:val="00BD6DF8"/>
    <w:rsid w:val="00BE0A56"/>
    <w:rsid w:val="00BE1B31"/>
    <w:rsid w:val="00BE51A8"/>
    <w:rsid w:val="00BE7002"/>
    <w:rsid w:val="00BE797B"/>
    <w:rsid w:val="00BF027C"/>
    <w:rsid w:val="00BF0630"/>
    <w:rsid w:val="00BF5C61"/>
    <w:rsid w:val="00BF647D"/>
    <w:rsid w:val="00BF659B"/>
    <w:rsid w:val="00C00154"/>
    <w:rsid w:val="00C01FB1"/>
    <w:rsid w:val="00C06702"/>
    <w:rsid w:val="00C072E5"/>
    <w:rsid w:val="00C10415"/>
    <w:rsid w:val="00C111A7"/>
    <w:rsid w:val="00C11E2E"/>
    <w:rsid w:val="00C14B82"/>
    <w:rsid w:val="00C15170"/>
    <w:rsid w:val="00C1541A"/>
    <w:rsid w:val="00C155F4"/>
    <w:rsid w:val="00C16BDD"/>
    <w:rsid w:val="00C176F9"/>
    <w:rsid w:val="00C17D4D"/>
    <w:rsid w:val="00C21A75"/>
    <w:rsid w:val="00C2466B"/>
    <w:rsid w:val="00C2558C"/>
    <w:rsid w:val="00C313B0"/>
    <w:rsid w:val="00C32C78"/>
    <w:rsid w:val="00C339A9"/>
    <w:rsid w:val="00C34AD8"/>
    <w:rsid w:val="00C35A11"/>
    <w:rsid w:val="00C36561"/>
    <w:rsid w:val="00C41B56"/>
    <w:rsid w:val="00C45ABD"/>
    <w:rsid w:val="00C45FC3"/>
    <w:rsid w:val="00C51557"/>
    <w:rsid w:val="00C52B5F"/>
    <w:rsid w:val="00C53B97"/>
    <w:rsid w:val="00C552E7"/>
    <w:rsid w:val="00C56876"/>
    <w:rsid w:val="00C5785B"/>
    <w:rsid w:val="00C60046"/>
    <w:rsid w:val="00C626C7"/>
    <w:rsid w:val="00C62742"/>
    <w:rsid w:val="00C6422C"/>
    <w:rsid w:val="00C6497F"/>
    <w:rsid w:val="00C6570A"/>
    <w:rsid w:val="00C663A9"/>
    <w:rsid w:val="00C66D31"/>
    <w:rsid w:val="00C7104A"/>
    <w:rsid w:val="00C713BF"/>
    <w:rsid w:val="00C7242D"/>
    <w:rsid w:val="00C73056"/>
    <w:rsid w:val="00C7372B"/>
    <w:rsid w:val="00C748D7"/>
    <w:rsid w:val="00C75994"/>
    <w:rsid w:val="00C76757"/>
    <w:rsid w:val="00C80C0D"/>
    <w:rsid w:val="00C820ED"/>
    <w:rsid w:val="00C84073"/>
    <w:rsid w:val="00C915FE"/>
    <w:rsid w:val="00C9183B"/>
    <w:rsid w:val="00C927CF"/>
    <w:rsid w:val="00C95CFB"/>
    <w:rsid w:val="00C95E84"/>
    <w:rsid w:val="00C971BC"/>
    <w:rsid w:val="00CA017B"/>
    <w:rsid w:val="00CA09EC"/>
    <w:rsid w:val="00CA1017"/>
    <w:rsid w:val="00CB0918"/>
    <w:rsid w:val="00CB3BA7"/>
    <w:rsid w:val="00CB3CD1"/>
    <w:rsid w:val="00CB461D"/>
    <w:rsid w:val="00CB47C8"/>
    <w:rsid w:val="00CB4A8F"/>
    <w:rsid w:val="00CB6DFB"/>
    <w:rsid w:val="00CB7116"/>
    <w:rsid w:val="00CC2D9B"/>
    <w:rsid w:val="00CC40D7"/>
    <w:rsid w:val="00CC47EA"/>
    <w:rsid w:val="00CC5166"/>
    <w:rsid w:val="00CC5A5B"/>
    <w:rsid w:val="00CD1A98"/>
    <w:rsid w:val="00CE1319"/>
    <w:rsid w:val="00CE1582"/>
    <w:rsid w:val="00CE2E3D"/>
    <w:rsid w:val="00CE5436"/>
    <w:rsid w:val="00CE70B6"/>
    <w:rsid w:val="00CF0763"/>
    <w:rsid w:val="00CF2466"/>
    <w:rsid w:val="00CF2641"/>
    <w:rsid w:val="00CF4E1A"/>
    <w:rsid w:val="00CF5107"/>
    <w:rsid w:val="00CF53F3"/>
    <w:rsid w:val="00CF5482"/>
    <w:rsid w:val="00CF5F1F"/>
    <w:rsid w:val="00CF64C8"/>
    <w:rsid w:val="00CF6CC5"/>
    <w:rsid w:val="00D013E7"/>
    <w:rsid w:val="00D01497"/>
    <w:rsid w:val="00D01FF4"/>
    <w:rsid w:val="00D04686"/>
    <w:rsid w:val="00D04ABE"/>
    <w:rsid w:val="00D04FB3"/>
    <w:rsid w:val="00D056CE"/>
    <w:rsid w:val="00D05CC3"/>
    <w:rsid w:val="00D05EAC"/>
    <w:rsid w:val="00D06AAA"/>
    <w:rsid w:val="00D07B47"/>
    <w:rsid w:val="00D10EBC"/>
    <w:rsid w:val="00D12590"/>
    <w:rsid w:val="00D13CE5"/>
    <w:rsid w:val="00D13EB1"/>
    <w:rsid w:val="00D146DB"/>
    <w:rsid w:val="00D15C2F"/>
    <w:rsid w:val="00D203BE"/>
    <w:rsid w:val="00D20DBF"/>
    <w:rsid w:val="00D244A0"/>
    <w:rsid w:val="00D32D2E"/>
    <w:rsid w:val="00D3332C"/>
    <w:rsid w:val="00D363F8"/>
    <w:rsid w:val="00D37C22"/>
    <w:rsid w:val="00D4042D"/>
    <w:rsid w:val="00D41B47"/>
    <w:rsid w:val="00D41F05"/>
    <w:rsid w:val="00D42815"/>
    <w:rsid w:val="00D42FBD"/>
    <w:rsid w:val="00D43254"/>
    <w:rsid w:val="00D44D07"/>
    <w:rsid w:val="00D47A3E"/>
    <w:rsid w:val="00D51FA3"/>
    <w:rsid w:val="00D5239A"/>
    <w:rsid w:val="00D52D31"/>
    <w:rsid w:val="00D552DA"/>
    <w:rsid w:val="00D55DCC"/>
    <w:rsid w:val="00D56C8C"/>
    <w:rsid w:val="00D603B7"/>
    <w:rsid w:val="00D617D5"/>
    <w:rsid w:val="00D6439B"/>
    <w:rsid w:val="00D70CE0"/>
    <w:rsid w:val="00D7105B"/>
    <w:rsid w:val="00D73694"/>
    <w:rsid w:val="00D74DDE"/>
    <w:rsid w:val="00D759EB"/>
    <w:rsid w:val="00D75B23"/>
    <w:rsid w:val="00D81279"/>
    <w:rsid w:val="00D83546"/>
    <w:rsid w:val="00D83C28"/>
    <w:rsid w:val="00D850DD"/>
    <w:rsid w:val="00D861B7"/>
    <w:rsid w:val="00D86C35"/>
    <w:rsid w:val="00D90D61"/>
    <w:rsid w:val="00D91DCA"/>
    <w:rsid w:val="00D93607"/>
    <w:rsid w:val="00D9605F"/>
    <w:rsid w:val="00D9698C"/>
    <w:rsid w:val="00D97763"/>
    <w:rsid w:val="00DA050D"/>
    <w:rsid w:val="00DA0A9C"/>
    <w:rsid w:val="00DA0C58"/>
    <w:rsid w:val="00DA130C"/>
    <w:rsid w:val="00DA2632"/>
    <w:rsid w:val="00DA4C1C"/>
    <w:rsid w:val="00DA606A"/>
    <w:rsid w:val="00DA6A5C"/>
    <w:rsid w:val="00DA748E"/>
    <w:rsid w:val="00DB0215"/>
    <w:rsid w:val="00DB0E28"/>
    <w:rsid w:val="00DB0FA0"/>
    <w:rsid w:val="00DB1D2C"/>
    <w:rsid w:val="00DB2674"/>
    <w:rsid w:val="00DB2B11"/>
    <w:rsid w:val="00DB58DB"/>
    <w:rsid w:val="00DB6D8A"/>
    <w:rsid w:val="00DB79D0"/>
    <w:rsid w:val="00DC018F"/>
    <w:rsid w:val="00DC2608"/>
    <w:rsid w:val="00DC61EF"/>
    <w:rsid w:val="00DC632A"/>
    <w:rsid w:val="00DC6447"/>
    <w:rsid w:val="00DC78DA"/>
    <w:rsid w:val="00DC7C4C"/>
    <w:rsid w:val="00DD0080"/>
    <w:rsid w:val="00DD2EB2"/>
    <w:rsid w:val="00DE1C6A"/>
    <w:rsid w:val="00DF06E6"/>
    <w:rsid w:val="00DF135C"/>
    <w:rsid w:val="00DF153C"/>
    <w:rsid w:val="00DF4B23"/>
    <w:rsid w:val="00E018FB"/>
    <w:rsid w:val="00E02271"/>
    <w:rsid w:val="00E02A77"/>
    <w:rsid w:val="00E05BE5"/>
    <w:rsid w:val="00E06518"/>
    <w:rsid w:val="00E06809"/>
    <w:rsid w:val="00E06FA1"/>
    <w:rsid w:val="00E07C78"/>
    <w:rsid w:val="00E07CEE"/>
    <w:rsid w:val="00E07DE9"/>
    <w:rsid w:val="00E1291C"/>
    <w:rsid w:val="00E129CF"/>
    <w:rsid w:val="00E134DA"/>
    <w:rsid w:val="00E13809"/>
    <w:rsid w:val="00E13D5C"/>
    <w:rsid w:val="00E1504D"/>
    <w:rsid w:val="00E16673"/>
    <w:rsid w:val="00E16F16"/>
    <w:rsid w:val="00E17B2E"/>
    <w:rsid w:val="00E2082A"/>
    <w:rsid w:val="00E22277"/>
    <w:rsid w:val="00E2369F"/>
    <w:rsid w:val="00E25178"/>
    <w:rsid w:val="00E33F2C"/>
    <w:rsid w:val="00E34993"/>
    <w:rsid w:val="00E34CD7"/>
    <w:rsid w:val="00E35298"/>
    <w:rsid w:val="00E37481"/>
    <w:rsid w:val="00E37F5B"/>
    <w:rsid w:val="00E40E33"/>
    <w:rsid w:val="00E438D7"/>
    <w:rsid w:val="00E44540"/>
    <w:rsid w:val="00E47953"/>
    <w:rsid w:val="00E503B8"/>
    <w:rsid w:val="00E50658"/>
    <w:rsid w:val="00E50AD1"/>
    <w:rsid w:val="00E514AA"/>
    <w:rsid w:val="00E52989"/>
    <w:rsid w:val="00E52BAD"/>
    <w:rsid w:val="00E530D8"/>
    <w:rsid w:val="00E54344"/>
    <w:rsid w:val="00E5466E"/>
    <w:rsid w:val="00E55BA5"/>
    <w:rsid w:val="00E56056"/>
    <w:rsid w:val="00E6206A"/>
    <w:rsid w:val="00E62814"/>
    <w:rsid w:val="00E62A0B"/>
    <w:rsid w:val="00E652E5"/>
    <w:rsid w:val="00E65CD7"/>
    <w:rsid w:val="00E7121B"/>
    <w:rsid w:val="00E71685"/>
    <w:rsid w:val="00E72441"/>
    <w:rsid w:val="00E74D6B"/>
    <w:rsid w:val="00E75652"/>
    <w:rsid w:val="00E76AE8"/>
    <w:rsid w:val="00E819BF"/>
    <w:rsid w:val="00E83D58"/>
    <w:rsid w:val="00E84805"/>
    <w:rsid w:val="00E848FD"/>
    <w:rsid w:val="00E85C9E"/>
    <w:rsid w:val="00E864FF"/>
    <w:rsid w:val="00E92C1F"/>
    <w:rsid w:val="00E93C2A"/>
    <w:rsid w:val="00E94CB7"/>
    <w:rsid w:val="00E95DAF"/>
    <w:rsid w:val="00EA00CC"/>
    <w:rsid w:val="00EA218E"/>
    <w:rsid w:val="00EA4A8C"/>
    <w:rsid w:val="00EA5A99"/>
    <w:rsid w:val="00EB1630"/>
    <w:rsid w:val="00EB277E"/>
    <w:rsid w:val="00EB30D2"/>
    <w:rsid w:val="00EB4CFC"/>
    <w:rsid w:val="00EB4F06"/>
    <w:rsid w:val="00EB5271"/>
    <w:rsid w:val="00EB5F5F"/>
    <w:rsid w:val="00EB68EA"/>
    <w:rsid w:val="00EB72D0"/>
    <w:rsid w:val="00EC0604"/>
    <w:rsid w:val="00EC14BA"/>
    <w:rsid w:val="00EC20B3"/>
    <w:rsid w:val="00EC4BFE"/>
    <w:rsid w:val="00EC550F"/>
    <w:rsid w:val="00EC7785"/>
    <w:rsid w:val="00ED032D"/>
    <w:rsid w:val="00ED3076"/>
    <w:rsid w:val="00ED46C2"/>
    <w:rsid w:val="00ED542F"/>
    <w:rsid w:val="00ED59F1"/>
    <w:rsid w:val="00EE5BF0"/>
    <w:rsid w:val="00EE7DDF"/>
    <w:rsid w:val="00EF3D35"/>
    <w:rsid w:val="00F0132F"/>
    <w:rsid w:val="00F01DCC"/>
    <w:rsid w:val="00F03F54"/>
    <w:rsid w:val="00F0529D"/>
    <w:rsid w:val="00F05844"/>
    <w:rsid w:val="00F06B0E"/>
    <w:rsid w:val="00F07162"/>
    <w:rsid w:val="00F07AE0"/>
    <w:rsid w:val="00F12B00"/>
    <w:rsid w:val="00F12EA1"/>
    <w:rsid w:val="00F13BCB"/>
    <w:rsid w:val="00F13E52"/>
    <w:rsid w:val="00F167B7"/>
    <w:rsid w:val="00F170D8"/>
    <w:rsid w:val="00F221D5"/>
    <w:rsid w:val="00F24F14"/>
    <w:rsid w:val="00F31266"/>
    <w:rsid w:val="00F32F4B"/>
    <w:rsid w:val="00F3440C"/>
    <w:rsid w:val="00F34B5F"/>
    <w:rsid w:val="00F34C1A"/>
    <w:rsid w:val="00F37824"/>
    <w:rsid w:val="00F41C72"/>
    <w:rsid w:val="00F469B8"/>
    <w:rsid w:val="00F479EF"/>
    <w:rsid w:val="00F51C37"/>
    <w:rsid w:val="00F560BC"/>
    <w:rsid w:val="00F5796A"/>
    <w:rsid w:val="00F57BDC"/>
    <w:rsid w:val="00F60B9B"/>
    <w:rsid w:val="00F61733"/>
    <w:rsid w:val="00F632BD"/>
    <w:rsid w:val="00F63634"/>
    <w:rsid w:val="00F63A8F"/>
    <w:rsid w:val="00F63FCC"/>
    <w:rsid w:val="00F642E1"/>
    <w:rsid w:val="00F655B9"/>
    <w:rsid w:val="00F708FA"/>
    <w:rsid w:val="00F72139"/>
    <w:rsid w:val="00F722EE"/>
    <w:rsid w:val="00F72A57"/>
    <w:rsid w:val="00F72F09"/>
    <w:rsid w:val="00F749B4"/>
    <w:rsid w:val="00F751DB"/>
    <w:rsid w:val="00F7567B"/>
    <w:rsid w:val="00F834E9"/>
    <w:rsid w:val="00F85A58"/>
    <w:rsid w:val="00F85C4B"/>
    <w:rsid w:val="00F868BF"/>
    <w:rsid w:val="00F904D6"/>
    <w:rsid w:val="00F93D98"/>
    <w:rsid w:val="00F94757"/>
    <w:rsid w:val="00F9560C"/>
    <w:rsid w:val="00FA12D4"/>
    <w:rsid w:val="00FA2EC5"/>
    <w:rsid w:val="00FA4107"/>
    <w:rsid w:val="00FA680F"/>
    <w:rsid w:val="00FA733D"/>
    <w:rsid w:val="00FB1C9C"/>
    <w:rsid w:val="00FB2CFE"/>
    <w:rsid w:val="00FB6A41"/>
    <w:rsid w:val="00FC0EB5"/>
    <w:rsid w:val="00FC1249"/>
    <w:rsid w:val="00FC217C"/>
    <w:rsid w:val="00FC281A"/>
    <w:rsid w:val="00FC33C8"/>
    <w:rsid w:val="00FC42E6"/>
    <w:rsid w:val="00FD1410"/>
    <w:rsid w:val="00FD432F"/>
    <w:rsid w:val="00FD5FB4"/>
    <w:rsid w:val="00FD7613"/>
    <w:rsid w:val="00FE0D57"/>
    <w:rsid w:val="00FE21CC"/>
    <w:rsid w:val="00FE32BE"/>
    <w:rsid w:val="00FE5DEC"/>
    <w:rsid w:val="00FE6FED"/>
    <w:rsid w:val="00FF284E"/>
    <w:rsid w:val="00FF3857"/>
    <w:rsid w:val="00FF460D"/>
    <w:rsid w:val="4DD2D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C95A"/>
  <w15:chartTrackingRefBased/>
  <w15:docId w15:val="{91045AFE-3AA1-4344-8A13-39343567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BB"/>
    <w:rPr>
      <w:rFonts w:cs="Arial"/>
      <w:sz w:val="28"/>
      <w:szCs w:val="24"/>
    </w:rPr>
  </w:style>
  <w:style w:type="paragraph" w:styleId="Heading1">
    <w:name w:val="heading 1"/>
    <w:basedOn w:val="ListParagraph"/>
    <w:next w:val="Normal"/>
    <w:link w:val="Heading1Char"/>
    <w:uiPriority w:val="9"/>
    <w:qFormat/>
    <w:rsid w:val="00DA748E"/>
    <w:pPr>
      <w:numPr>
        <w:numId w:val="27"/>
      </w:numPr>
      <w:outlineLvl w:val="0"/>
    </w:pPr>
    <w:rPr>
      <w:b/>
      <w:bCs/>
      <w:sz w:val="40"/>
      <w:szCs w:val="32"/>
    </w:rPr>
  </w:style>
  <w:style w:type="paragraph" w:styleId="Heading2">
    <w:name w:val="heading 2"/>
    <w:basedOn w:val="Normal"/>
    <w:next w:val="Normal"/>
    <w:link w:val="Heading2Char"/>
    <w:uiPriority w:val="9"/>
    <w:unhideWhenUsed/>
    <w:qFormat/>
    <w:rsid w:val="005A77CB"/>
    <w:pPr>
      <w:keepNext/>
      <w:keepLines/>
      <w:spacing w:before="40"/>
      <w:outlineLvl w:val="1"/>
    </w:pPr>
    <w:rPr>
      <w:rFonts w:eastAsiaTheme="majorEastAsia"/>
      <w:b/>
      <w:sz w:val="40"/>
    </w:rPr>
  </w:style>
  <w:style w:type="paragraph" w:styleId="Heading3">
    <w:name w:val="heading 3"/>
    <w:basedOn w:val="Normal"/>
    <w:next w:val="Normal"/>
    <w:link w:val="Heading3Char"/>
    <w:uiPriority w:val="9"/>
    <w:unhideWhenUsed/>
    <w:qFormat/>
    <w:rsid w:val="0069712D"/>
    <w:pPr>
      <w:outlineLvl w:val="2"/>
    </w:pPr>
    <w:rPr>
      <w:rFonts w:cstheme="minorHAnsi"/>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150CDE"/>
    <w:pPr>
      <w:ind w:left="720"/>
      <w:contextualSpacing/>
    </w:pPr>
  </w:style>
  <w:style w:type="character" w:customStyle="1" w:styleId="Heading1Char">
    <w:name w:val="Heading 1 Char"/>
    <w:basedOn w:val="DefaultParagraphFont"/>
    <w:link w:val="Heading1"/>
    <w:uiPriority w:val="9"/>
    <w:rsid w:val="00DA748E"/>
    <w:rPr>
      <w:rFonts w:cs="Arial"/>
      <w:b/>
      <w:bCs/>
      <w:sz w:val="40"/>
      <w:szCs w:val="32"/>
    </w:rPr>
  </w:style>
  <w:style w:type="paragraph" w:styleId="TOCHeading">
    <w:name w:val="TOC Heading"/>
    <w:basedOn w:val="Heading1"/>
    <w:next w:val="Normal"/>
    <w:uiPriority w:val="39"/>
    <w:unhideWhenUsed/>
    <w:qFormat/>
    <w:rsid w:val="00150CDE"/>
    <w:pPr>
      <w:outlineLvl w:val="9"/>
    </w:pPr>
    <w:rPr>
      <w:lang w:val="en-US"/>
    </w:rPr>
  </w:style>
  <w:style w:type="paragraph" w:styleId="NoSpacing">
    <w:name w:val="No Spacing"/>
    <w:uiPriority w:val="1"/>
    <w:qFormat/>
    <w:rsid w:val="00F94757"/>
    <w:pPr>
      <w:spacing w:after="0" w:line="240" w:lineRule="auto"/>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F94757"/>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F94757"/>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
    <w:basedOn w:val="DefaultParagraphFont"/>
    <w:link w:val="4GChar"/>
    <w:uiPriority w:val="99"/>
    <w:unhideWhenUsed/>
    <w:qFormat/>
    <w:rsid w:val="00F94757"/>
    <w:rPr>
      <w:vertAlign w:val="superscript"/>
    </w:rPr>
  </w:style>
  <w:style w:type="character" w:styleId="Hyperlink">
    <w:name w:val="Hyperlink"/>
    <w:basedOn w:val="DefaultParagraphFont"/>
    <w:uiPriority w:val="99"/>
    <w:unhideWhenUsed/>
    <w:rsid w:val="00F94757"/>
    <w:rPr>
      <w:color w:val="0563C1" w:themeColor="hyperlink"/>
      <w:u w:val="single"/>
    </w:rPr>
  </w:style>
  <w:style w:type="character" w:customStyle="1" w:styleId="UnresolvedMention1">
    <w:name w:val="Unresolved Mention1"/>
    <w:basedOn w:val="DefaultParagraphFont"/>
    <w:uiPriority w:val="99"/>
    <w:semiHidden/>
    <w:unhideWhenUsed/>
    <w:rsid w:val="00F94757"/>
    <w:rPr>
      <w:color w:val="605E5C"/>
      <w:shd w:val="clear" w:color="auto" w:fill="E1DFDD"/>
    </w:rPr>
  </w:style>
  <w:style w:type="character" w:customStyle="1" w:styleId="Heading2Char">
    <w:name w:val="Heading 2 Char"/>
    <w:basedOn w:val="DefaultParagraphFont"/>
    <w:link w:val="Heading2"/>
    <w:uiPriority w:val="9"/>
    <w:rsid w:val="005A77CB"/>
    <w:rPr>
      <w:rFonts w:eastAsiaTheme="majorEastAsia" w:cs="Arial"/>
      <w:b/>
      <w:sz w:val="40"/>
      <w:szCs w:val="24"/>
    </w:rPr>
  </w:style>
  <w:style w:type="character" w:styleId="CommentReference">
    <w:name w:val="annotation reference"/>
    <w:basedOn w:val="DefaultParagraphFont"/>
    <w:uiPriority w:val="99"/>
    <w:semiHidden/>
    <w:unhideWhenUsed/>
    <w:rsid w:val="006732EC"/>
    <w:rPr>
      <w:sz w:val="16"/>
      <w:szCs w:val="16"/>
    </w:rPr>
  </w:style>
  <w:style w:type="paragraph" w:styleId="CommentText">
    <w:name w:val="annotation text"/>
    <w:basedOn w:val="Normal"/>
    <w:link w:val="CommentTextChar"/>
    <w:uiPriority w:val="99"/>
    <w:unhideWhenUsed/>
    <w:rsid w:val="006732EC"/>
    <w:rPr>
      <w:sz w:val="20"/>
      <w:szCs w:val="20"/>
    </w:rPr>
  </w:style>
  <w:style w:type="character" w:customStyle="1" w:styleId="CommentTextChar">
    <w:name w:val="Comment Text Char"/>
    <w:basedOn w:val="DefaultParagraphFont"/>
    <w:link w:val="CommentText"/>
    <w:uiPriority w:val="99"/>
    <w:rsid w:val="006732E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32EC"/>
    <w:rPr>
      <w:b/>
      <w:bCs/>
    </w:rPr>
  </w:style>
  <w:style w:type="character" w:customStyle="1" w:styleId="CommentSubjectChar">
    <w:name w:val="Comment Subject Char"/>
    <w:basedOn w:val="CommentTextChar"/>
    <w:link w:val="CommentSubject"/>
    <w:uiPriority w:val="99"/>
    <w:semiHidden/>
    <w:rsid w:val="006732EC"/>
    <w:rPr>
      <w:rFonts w:ascii="Arial" w:hAnsi="Arial" w:cs="Arial"/>
      <w:b/>
      <w:bCs/>
      <w:sz w:val="20"/>
      <w:szCs w:val="20"/>
    </w:rPr>
  </w:style>
  <w:style w:type="paragraph" w:styleId="Header">
    <w:name w:val="header"/>
    <w:basedOn w:val="Normal"/>
    <w:link w:val="HeaderChar"/>
    <w:uiPriority w:val="99"/>
    <w:unhideWhenUsed/>
    <w:rsid w:val="00B6552A"/>
    <w:pPr>
      <w:tabs>
        <w:tab w:val="center" w:pos="4513"/>
        <w:tab w:val="right" w:pos="9026"/>
      </w:tabs>
    </w:pPr>
  </w:style>
  <w:style w:type="character" w:customStyle="1" w:styleId="HeaderChar">
    <w:name w:val="Header Char"/>
    <w:basedOn w:val="DefaultParagraphFont"/>
    <w:link w:val="Header"/>
    <w:uiPriority w:val="99"/>
    <w:rsid w:val="00B6552A"/>
    <w:rPr>
      <w:rFonts w:ascii="Arial" w:hAnsi="Arial" w:cs="Arial"/>
      <w:sz w:val="24"/>
      <w:szCs w:val="24"/>
    </w:rPr>
  </w:style>
  <w:style w:type="paragraph" w:styleId="Footer">
    <w:name w:val="footer"/>
    <w:basedOn w:val="Normal"/>
    <w:link w:val="FooterChar"/>
    <w:uiPriority w:val="99"/>
    <w:unhideWhenUsed/>
    <w:rsid w:val="00B6552A"/>
    <w:pPr>
      <w:tabs>
        <w:tab w:val="center" w:pos="4513"/>
        <w:tab w:val="right" w:pos="9026"/>
      </w:tabs>
    </w:pPr>
  </w:style>
  <w:style w:type="character" w:customStyle="1" w:styleId="FooterChar">
    <w:name w:val="Footer Char"/>
    <w:basedOn w:val="DefaultParagraphFont"/>
    <w:link w:val="Footer"/>
    <w:uiPriority w:val="99"/>
    <w:rsid w:val="00B6552A"/>
    <w:rPr>
      <w:rFonts w:ascii="Arial" w:hAnsi="Arial" w:cs="Arial"/>
      <w:sz w:val="24"/>
      <w:szCs w:val="24"/>
    </w:rPr>
  </w:style>
  <w:style w:type="paragraph" w:styleId="Revision">
    <w:name w:val="Revision"/>
    <w:hidden/>
    <w:uiPriority w:val="99"/>
    <w:semiHidden/>
    <w:rsid w:val="00B6552A"/>
    <w:pPr>
      <w:spacing w:after="0" w:line="240" w:lineRule="auto"/>
    </w:pPr>
    <w:rPr>
      <w:rFonts w:ascii="Arial" w:hAnsi="Arial" w:cs="Arial"/>
      <w:sz w:val="24"/>
      <w:szCs w:val="2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6552A"/>
    <w:pPr>
      <w:spacing w:line="240" w:lineRule="exact"/>
      <w:jc w:val="both"/>
    </w:pPr>
    <w:rPr>
      <w:rFonts w:cstheme="minorBidi"/>
      <w:sz w:val="22"/>
      <w:szCs w:val="22"/>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B6552A"/>
    <w:rPr>
      <w:rFonts w:ascii="Arial" w:hAnsi="Arial" w:cs="Arial"/>
      <w:sz w:val="24"/>
      <w:szCs w:val="24"/>
    </w:rPr>
  </w:style>
  <w:style w:type="character" w:styleId="FollowedHyperlink">
    <w:name w:val="FollowedHyperlink"/>
    <w:basedOn w:val="DefaultParagraphFont"/>
    <w:uiPriority w:val="99"/>
    <w:semiHidden/>
    <w:unhideWhenUsed/>
    <w:rsid w:val="0076378A"/>
    <w:rPr>
      <w:color w:val="954F72" w:themeColor="followedHyperlink"/>
      <w:u w:val="single"/>
    </w:rPr>
  </w:style>
  <w:style w:type="paragraph" w:customStyle="1" w:styleId="BasicParagraph">
    <w:name w:val="[Basic Paragraph]"/>
    <w:basedOn w:val="Normal"/>
    <w:uiPriority w:val="99"/>
    <w:rsid w:val="00975C44"/>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customStyle="1" w:styleId="bullet">
    <w:name w:val="bullet"/>
    <w:basedOn w:val="ListParagraph"/>
    <w:link w:val="bulletChar"/>
    <w:qFormat/>
    <w:rsid w:val="00BD27A1"/>
    <w:pPr>
      <w:numPr>
        <w:numId w:val="23"/>
      </w:numPr>
      <w:contextualSpacing w:val="0"/>
    </w:pPr>
    <w:rPr>
      <w:rFonts w:eastAsiaTheme="minorEastAsia" w:cstheme="minorHAnsi"/>
      <w:szCs w:val="28"/>
    </w:rPr>
  </w:style>
  <w:style w:type="character" w:customStyle="1" w:styleId="bulletChar">
    <w:name w:val="bullet Char"/>
    <w:basedOn w:val="DefaultParagraphFont"/>
    <w:link w:val="bullet"/>
    <w:rsid w:val="00BD27A1"/>
    <w:rPr>
      <w:rFonts w:eastAsiaTheme="minorEastAsia" w:cstheme="minorHAnsi"/>
      <w:sz w:val="28"/>
      <w:szCs w:val="28"/>
    </w:rPr>
  </w:style>
  <w:style w:type="paragraph" w:styleId="TOC2">
    <w:name w:val="toc 2"/>
    <w:basedOn w:val="Normal"/>
    <w:next w:val="Normal"/>
    <w:autoRedefine/>
    <w:uiPriority w:val="39"/>
    <w:unhideWhenUsed/>
    <w:rsid w:val="007B5FF8"/>
    <w:pPr>
      <w:spacing w:after="100"/>
      <w:ind w:left="240"/>
    </w:pPr>
  </w:style>
  <w:style w:type="paragraph" w:styleId="TOC1">
    <w:name w:val="toc 1"/>
    <w:basedOn w:val="Normal"/>
    <w:next w:val="Normal"/>
    <w:autoRedefine/>
    <w:uiPriority w:val="39"/>
    <w:unhideWhenUsed/>
    <w:rsid w:val="002573FF"/>
    <w:pPr>
      <w:tabs>
        <w:tab w:val="left" w:pos="660"/>
        <w:tab w:val="right" w:leader="dot" w:pos="9016"/>
      </w:tabs>
      <w:spacing w:after="100"/>
    </w:pPr>
  </w:style>
  <w:style w:type="character" w:customStyle="1" w:styleId="Mention1">
    <w:name w:val="Mention1"/>
    <w:basedOn w:val="DefaultParagraphFont"/>
    <w:uiPriority w:val="99"/>
    <w:unhideWhenUsed/>
    <w:rsid w:val="00E17B2E"/>
    <w:rPr>
      <w:color w:val="2B579A"/>
      <w:shd w:val="clear" w:color="auto" w:fill="E1DFDD"/>
    </w:rPr>
  </w:style>
  <w:style w:type="paragraph" w:styleId="BalloonText">
    <w:name w:val="Balloon Text"/>
    <w:basedOn w:val="Normal"/>
    <w:link w:val="BalloonTextChar"/>
    <w:uiPriority w:val="99"/>
    <w:semiHidden/>
    <w:unhideWhenUsed/>
    <w:rsid w:val="007D0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CD"/>
    <w:rPr>
      <w:rFonts w:ascii="Segoe UI" w:hAnsi="Segoe UI" w:cs="Segoe UI"/>
      <w:sz w:val="18"/>
      <w:szCs w:val="18"/>
    </w:rPr>
  </w:style>
  <w:style w:type="character" w:customStyle="1" w:styleId="UnresolvedMention2">
    <w:name w:val="Unresolved Mention2"/>
    <w:basedOn w:val="DefaultParagraphFont"/>
    <w:uiPriority w:val="99"/>
    <w:semiHidden/>
    <w:unhideWhenUsed/>
    <w:rsid w:val="003D1B5A"/>
    <w:rPr>
      <w:color w:val="605E5C"/>
      <w:shd w:val="clear" w:color="auto" w:fill="E1DFDD"/>
    </w:rPr>
  </w:style>
  <w:style w:type="table" w:styleId="TableGridLight">
    <w:name w:val="Grid Table Light"/>
    <w:basedOn w:val="TableNormal"/>
    <w:uiPriority w:val="40"/>
    <w:rsid w:val="003372BC"/>
    <w:pPr>
      <w:spacing w:after="0" w:line="240" w:lineRule="auto"/>
    </w:pPr>
    <w:rPr>
      <w:rFonts w:ascii="Calibri" w:hAnsi="Calibri"/>
      <w:sz w:val="2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B307AC"/>
    <w:rPr>
      <w:color w:val="605E5C"/>
      <w:shd w:val="clear" w:color="auto" w:fill="E1DFDD"/>
    </w:rPr>
  </w:style>
  <w:style w:type="character" w:customStyle="1" w:styleId="Heading3Char">
    <w:name w:val="Heading 3 Char"/>
    <w:basedOn w:val="DefaultParagraphFont"/>
    <w:link w:val="Heading3"/>
    <w:uiPriority w:val="9"/>
    <w:rsid w:val="0069712D"/>
    <w:rPr>
      <w:rFonts w:cstheme="minorHAnsi"/>
      <w:b/>
      <w:sz w:val="28"/>
      <w:szCs w:val="28"/>
      <w:u w:val="single"/>
    </w:rPr>
  </w:style>
  <w:style w:type="character" w:customStyle="1" w:styleId="normaltextrun">
    <w:name w:val="normaltextrun"/>
    <w:basedOn w:val="DefaultParagraphFont"/>
    <w:rsid w:val="00AA4598"/>
  </w:style>
  <w:style w:type="character" w:styleId="UnresolvedMention">
    <w:name w:val="Unresolved Mention"/>
    <w:basedOn w:val="DefaultParagraphFont"/>
    <w:uiPriority w:val="99"/>
    <w:semiHidden/>
    <w:unhideWhenUsed/>
    <w:rsid w:val="00ED59F1"/>
    <w:rPr>
      <w:color w:val="605E5C"/>
      <w:shd w:val="clear" w:color="auto" w:fill="E1DFDD"/>
    </w:rPr>
  </w:style>
  <w:style w:type="paragraph" w:styleId="Title">
    <w:name w:val="Title"/>
    <w:basedOn w:val="Normal"/>
    <w:next w:val="Normal"/>
    <w:link w:val="TitleChar"/>
    <w:uiPriority w:val="10"/>
    <w:qFormat/>
    <w:rsid w:val="009963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313"/>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97166"/>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1388">
      <w:bodyDiv w:val="1"/>
      <w:marLeft w:val="0"/>
      <w:marRight w:val="0"/>
      <w:marTop w:val="0"/>
      <w:marBottom w:val="0"/>
      <w:divBdr>
        <w:top w:val="none" w:sz="0" w:space="0" w:color="auto"/>
        <w:left w:val="none" w:sz="0" w:space="0" w:color="auto"/>
        <w:bottom w:val="none" w:sz="0" w:space="0" w:color="auto"/>
        <w:right w:val="none" w:sz="0" w:space="0" w:color="auto"/>
      </w:divBdr>
    </w:div>
    <w:div w:id="222521353">
      <w:bodyDiv w:val="1"/>
      <w:marLeft w:val="0"/>
      <w:marRight w:val="0"/>
      <w:marTop w:val="0"/>
      <w:marBottom w:val="0"/>
      <w:divBdr>
        <w:top w:val="none" w:sz="0" w:space="0" w:color="auto"/>
        <w:left w:val="none" w:sz="0" w:space="0" w:color="auto"/>
        <w:bottom w:val="none" w:sz="0" w:space="0" w:color="auto"/>
        <w:right w:val="none" w:sz="0" w:space="0" w:color="auto"/>
      </w:divBdr>
    </w:div>
    <w:div w:id="430247080">
      <w:bodyDiv w:val="1"/>
      <w:marLeft w:val="0"/>
      <w:marRight w:val="0"/>
      <w:marTop w:val="0"/>
      <w:marBottom w:val="0"/>
      <w:divBdr>
        <w:top w:val="none" w:sz="0" w:space="0" w:color="auto"/>
        <w:left w:val="none" w:sz="0" w:space="0" w:color="auto"/>
        <w:bottom w:val="none" w:sz="0" w:space="0" w:color="auto"/>
        <w:right w:val="none" w:sz="0" w:space="0" w:color="auto"/>
      </w:divBdr>
    </w:div>
    <w:div w:id="954096394">
      <w:bodyDiv w:val="1"/>
      <w:marLeft w:val="0"/>
      <w:marRight w:val="0"/>
      <w:marTop w:val="0"/>
      <w:marBottom w:val="0"/>
      <w:divBdr>
        <w:top w:val="none" w:sz="0" w:space="0" w:color="auto"/>
        <w:left w:val="none" w:sz="0" w:space="0" w:color="auto"/>
        <w:bottom w:val="none" w:sz="0" w:space="0" w:color="auto"/>
        <w:right w:val="none" w:sz="0" w:space="0" w:color="auto"/>
      </w:divBdr>
    </w:div>
    <w:div w:id="1829049814">
      <w:bodyDiv w:val="1"/>
      <w:marLeft w:val="0"/>
      <w:marRight w:val="0"/>
      <w:marTop w:val="0"/>
      <w:marBottom w:val="0"/>
      <w:divBdr>
        <w:top w:val="none" w:sz="0" w:space="0" w:color="auto"/>
        <w:left w:val="none" w:sz="0" w:space="0" w:color="auto"/>
        <w:bottom w:val="none" w:sz="0" w:space="0" w:color="auto"/>
        <w:right w:val="none" w:sz="0" w:space="0" w:color="auto"/>
      </w:divBdr>
    </w:div>
    <w:div w:id="20276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RMallon@equalityni.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information@equalityni.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ilis.Haughey@NIH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qualityni.org/Brexi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info@nihrc.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nihrc.org/brex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hrec.ie/app/uploads/2023/04/The-Impact-of-Brexit-on-the-Divergence-of-Rights-and-Best-Practice-on-the-Island-of-Ireland.pdf" TargetMode="External"/><Relationship Id="rId13" Type="http://schemas.openxmlformats.org/officeDocument/2006/relationships/hyperlink" Target="https://www.ihrec.ie/app/uploads/2023/04/The-Impact-of-Brexit-on-the-Divergence-of-Rights-and-Best-Practice-on-the-Island-of-Ireland.pdf" TargetMode="External"/><Relationship Id="rId3" Type="http://schemas.openxmlformats.org/officeDocument/2006/relationships/hyperlink" Target="https://www.equalityni.org/ECNI/media/ECNI/Publications/Delivering%20Equality/DMU/DMU-HoLSubCommitteeSubmission-Nov21.pdf" TargetMode="External"/><Relationship Id="rId7" Type="http://schemas.openxmlformats.org/officeDocument/2006/relationships/hyperlink" Target="https://assets.publishing.service.gov.uk/government/uploads/system/uploads/attachment_data/file/1145703/Recommendation_of_the_Withdrawal_Agreement_Joint_Committee_on_Article_13_3a_.pdf" TargetMode="External"/><Relationship Id="rId12" Type="http://schemas.openxmlformats.org/officeDocument/2006/relationships/hyperlink" Target="https://assets.publishing.service.gov.uk/government/uploads/system/uploads/attachment_data/file/1139420/Political_Declaration_by_the_European_Commission_and_the_Government_of_the_United_Kingdom.pdf" TargetMode="External"/><Relationship Id="rId2" Type="http://schemas.openxmlformats.org/officeDocument/2006/relationships/hyperlink" Target="https://www.gov.uk/government/publications/protocol-on-irelandnorthern-ireland-article-2" TargetMode="External"/><Relationship Id="rId1" Type="http://schemas.openxmlformats.org/officeDocument/2006/relationships/hyperlink" Target="https://www.equalityni.org/ECNI/media/ECNI/Publications/Delivering%20Equality/DMU/Brexit-DivergenceRecommendations.pdf" TargetMode="External"/><Relationship Id="rId6" Type="http://schemas.openxmlformats.org/officeDocument/2006/relationships/hyperlink" Target="https://www.equalityni.org/ECNI/media/ECNI/Publications/Delivering%20Equality/DMU/DMU-HoLSubCommitteeSubmission-Nov21.pdf" TargetMode="External"/><Relationship Id="rId11" Type="http://schemas.openxmlformats.org/officeDocument/2006/relationships/hyperlink" Target="https://www.equalityni.org/Delivering-Equality/Protection-of-rights-after-Brexit/Rights-after-Brexit-survey" TargetMode="External"/><Relationship Id="rId5" Type="http://schemas.openxmlformats.org/officeDocument/2006/relationships/hyperlink" Target="https://www.equalityni.org/ECNI/media/ECNI/Publications/Delivering%20Equality/DMU/DMU-HoLSubComm-ProtocolInquiry.pdf" TargetMode="External"/><Relationship Id="rId10" Type="http://schemas.openxmlformats.org/officeDocument/2006/relationships/hyperlink" Target="https://www.equalityni.org/ECNI/media/ECNI/Publications/Delivering%20Equality/DMU/NIHRC-ECNI-Scope-of-Protocol-Working-Paper-December-2022.pdf" TargetMode="External"/><Relationship Id="rId4" Type="http://schemas.openxmlformats.org/officeDocument/2006/relationships/hyperlink" Target="https://www.equalityni.org/ECNI/media/ECNI/Publications/Delivering%20Equality/DMU/DMU-HoLSubComm-ProtocolInquiry.pdf" TargetMode="External"/><Relationship Id="rId9" Type="http://schemas.openxmlformats.org/officeDocument/2006/relationships/hyperlink" Target="https://www.equalityni.org/ECNI/media/ECNI/Publications/Delivering%20Equality/DMU/Brexit-DivergenceRecommendations.pdf" TargetMode="External"/><Relationship Id="rId14" Type="http://schemas.openxmlformats.org/officeDocument/2006/relationships/hyperlink" Target="https://www.equalityni.org/ECNI/media/ECNI/Publications/Delivering%20Equality/DMU/Brexit-DivergenceRecommen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DC2B27FF6E44438F904410BC48B24A" ma:contentTypeVersion="16" ma:contentTypeDescription="Create a new document." ma:contentTypeScope="" ma:versionID="59d8a9db1325f75005a865331ffd4fc8">
  <xsd:schema xmlns:xsd="http://www.w3.org/2001/XMLSchema" xmlns:xs="http://www.w3.org/2001/XMLSchema" xmlns:p="http://schemas.microsoft.com/office/2006/metadata/properties" xmlns:ns2="ea09e9fc-379a-42ee-8df3-44583002b528" xmlns:ns3="ed086548-c02c-4137-b81a-e76ef2108fdb" targetNamespace="http://schemas.microsoft.com/office/2006/metadata/properties" ma:root="true" ma:fieldsID="0f2af8648e7e1989c1b6ec58b220eee5" ns2:_="" ns3:_="">
    <xsd:import namespace="ea09e9fc-379a-42ee-8df3-44583002b528"/>
    <xsd:import namespace="ed086548-c02c-4137-b81a-e76ef210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e9fc-379a-42ee-8df3-44583002b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86548-c02c-4137-b81a-e76ef2108f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b84402-ef25-4d5a-84ae-2c698506da50}" ma:internalName="TaxCatchAll" ma:showField="CatchAllData" ma:web="ed086548-c02c-4137-b81a-e76ef2108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09e9fc-379a-42ee-8df3-44583002b528">
      <Terms xmlns="http://schemas.microsoft.com/office/infopath/2007/PartnerControls"/>
    </lcf76f155ced4ddcb4097134ff3c332f>
    <TaxCatchAll xmlns="ed086548-c02c-4137-b81a-e76ef2108fdb" xsi:nil="true"/>
  </documentManagement>
</p:properties>
</file>

<file path=customXml/itemProps1.xml><?xml version="1.0" encoding="utf-8"?>
<ds:datastoreItem xmlns:ds="http://schemas.openxmlformats.org/officeDocument/2006/customXml" ds:itemID="{2F6F7F63-FF8C-4D04-9439-C32B1B44AACB}">
  <ds:schemaRefs>
    <ds:schemaRef ds:uri="http://schemas.openxmlformats.org/officeDocument/2006/bibliography"/>
  </ds:schemaRefs>
</ds:datastoreItem>
</file>

<file path=customXml/itemProps2.xml><?xml version="1.0" encoding="utf-8"?>
<ds:datastoreItem xmlns:ds="http://schemas.openxmlformats.org/officeDocument/2006/customXml" ds:itemID="{33206E4D-0F5B-4CD3-8412-2689AACF8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e9fc-379a-42ee-8df3-44583002b528"/>
    <ds:schemaRef ds:uri="ed086548-c02c-4137-b81a-e76ef210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8418D-8C39-471D-8FBF-6AF7CDF9BF9F}">
  <ds:schemaRefs>
    <ds:schemaRef ds:uri="http://schemas.microsoft.com/sharepoint/v3/contenttype/forms"/>
  </ds:schemaRefs>
</ds:datastoreItem>
</file>

<file path=customXml/itemProps4.xml><?xml version="1.0" encoding="utf-8"?>
<ds:datastoreItem xmlns:ds="http://schemas.openxmlformats.org/officeDocument/2006/customXml" ds:itemID="{56E30194-165B-46A5-80E4-B2EE62BE9892}">
  <ds:schemaRefs>
    <ds:schemaRef ds:uri="http://schemas.microsoft.com/office/2006/metadata/properties"/>
    <ds:schemaRef ds:uri="http://schemas.microsoft.com/office/infopath/2007/PartnerControls"/>
    <ds:schemaRef ds:uri="ea09e9fc-379a-42ee-8df3-44583002b528"/>
    <ds:schemaRef ds:uri="ed086548-c02c-4137-b81a-e76ef2108f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Links>
    <vt:vector size="132" baseType="variant">
      <vt:variant>
        <vt:i4>1376310</vt:i4>
      </vt:variant>
      <vt:variant>
        <vt:i4>44</vt:i4>
      </vt:variant>
      <vt:variant>
        <vt:i4>0</vt:i4>
      </vt:variant>
      <vt:variant>
        <vt:i4>5</vt:i4>
      </vt:variant>
      <vt:variant>
        <vt:lpwstr/>
      </vt:variant>
      <vt:variant>
        <vt:lpwstr>_Toc117586808</vt:lpwstr>
      </vt:variant>
      <vt:variant>
        <vt:i4>1376310</vt:i4>
      </vt:variant>
      <vt:variant>
        <vt:i4>38</vt:i4>
      </vt:variant>
      <vt:variant>
        <vt:i4>0</vt:i4>
      </vt:variant>
      <vt:variant>
        <vt:i4>5</vt:i4>
      </vt:variant>
      <vt:variant>
        <vt:lpwstr/>
      </vt:variant>
      <vt:variant>
        <vt:lpwstr>_Toc117586807</vt:lpwstr>
      </vt:variant>
      <vt:variant>
        <vt:i4>1376310</vt:i4>
      </vt:variant>
      <vt:variant>
        <vt:i4>32</vt:i4>
      </vt:variant>
      <vt:variant>
        <vt:i4>0</vt:i4>
      </vt:variant>
      <vt:variant>
        <vt:i4>5</vt:i4>
      </vt:variant>
      <vt:variant>
        <vt:lpwstr/>
      </vt:variant>
      <vt:variant>
        <vt:lpwstr>_Toc117586806</vt:lpwstr>
      </vt:variant>
      <vt:variant>
        <vt:i4>1376310</vt:i4>
      </vt:variant>
      <vt:variant>
        <vt:i4>26</vt:i4>
      </vt:variant>
      <vt:variant>
        <vt:i4>0</vt:i4>
      </vt:variant>
      <vt:variant>
        <vt:i4>5</vt:i4>
      </vt:variant>
      <vt:variant>
        <vt:lpwstr/>
      </vt:variant>
      <vt:variant>
        <vt:lpwstr>_Toc117586805</vt:lpwstr>
      </vt:variant>
      <vt:variant>
        <vt:i4>1376310</vt:i4>
      </vt:variant>
      <vt:variant>
        <vt:i4>20</vt:i4>
      </vt:variant>
      <vt:variant>
        <vt:i4>0</vt:i4>
      </vt:variant>
      <vt:variant>
        <vt:i4>5</vt:i4>
      </vt:variant>
      <vt:variant>
        <vt:lpwstr/>
      </vt:variant>
      <vt:variant>
        <vt:lpwstr>_Toc117586804</vt:lpwstr>
      </vt:variant>
      <vt:variant>
        <vt:i4>1376310</vt:i4>
      </vt:variant>
      <vt:variant>
        <vt:i4>14</vt:i4>
      </vt:variant>
      <vt:variant>
        <vt:i4>0</vt:i4>
      </vt:variant>
      <vt:variant>
        <vt:i4>5</vt:i4>
      </vt:variant>
      <vt:variant>
        <vt:lpwstr/>
      </vt:variant>
      <vt:variant>
        <vt:lpwstr>_Toc117586803</vt:lpwstr>
      </vt:variant>
      <vt:variant>
        <vt:i4>1376310</vt:i4>
      </vt:variant>
      <vt:variant>
        <vt:i4>8</vt:i4>
      </vt:variant>
      <vt:variant>
        <vt:i4>0</vt:i4>
      </vt:variant>
      <vt:variant>
        <vt:i4>5</vt:i4>
      </vt:variant>
      <vt:variant>
        <vt:lpwstr/>
      </vt:variant>
      <vt:variant>
        <vt:lpwstr>_Toc117586802</vt:lpwstr>
      </vt:variant>
      <vt:variant>
        <vt:i4>1376310</vt:i4>
      </vt:variant>
      <vt:variant>
        <vt:i4>2</vt:i4>
      </vt:variant>
      <vt:variant>
        <vt:i4>0</vt:i4>
      </vt:variant>
      <vt:variant>
        <vt:i4>5</vt:i4>
      </vt:variant>
      <vt:variant>
        <vt:lpwstr/>
      </vt:variant>
      <vt:variant>
        <vt:lpwstr>_Toc117586801</vt:lpwstr>
      </vt:variant>
      <vt:variant>
        <vt:i4>6750321</vt:i4>
      </vt:variant>
      <vt:variant>
        <vt:i4>66</vt:i4>
      </vt:variant>
      <vt:variant>
        <vt:i4>0</vt:i4>
      </vt:variant>
      <vt:variant>
        <vt:i4>5</vt:i4>
      </vt:variant>
      <vt:variant>
        <vt:lpwstr>https://www.equalityni.org/ECNI/media/ECNI/Publications/Delivering Equality/DMU/DMU-HoLSubCommitteeSubmission-Nov21.pdf</vt:lpwstr>
      </vt:variant>
      <vt:variant>
        <vt:lpwstr/>
      </vt:variant>
      <vt:variant>
        <vt:i4>2162733</vt:i4>
      </vt:variant>
      <vt:variant>
        <vt:i4>63</vt:i4>
      </vt:variant>
      <vt:variant>
        <vt:i4>0</vt:i4>
      </vt:variant>
      <vt:variant>
        <vt:i4>5</vt:i4>
      </vt:variant>
      <vt:variant>
        <vt:lpwstr>https://www.gov.uk/government/collections/uk-eu-trade-and-cooperation-agreement-civil-society-forum</vt:lpwstr>
      </vt:variant>
      <vt:variant>
        <vt:lpwstr/>
      </vt:variant>
      <vt:variant>
        <vt:i4>1310841</vt:i4>
      </vt:variant>
      <vt:variant>
        <vt:i4>60</vt:i4>
      </vt:variant>
      <vt:variant>
        <vt:i4>0</vt:i4>
      </vt:variant>
      <vt:variant>
        <vt:i4>5</vt:i4>
      </vt:variant>
      <vt:variant>
        <vt:lpwstr>https://ec.europa.eu/info/strategy/relations-non-eu-countries/relations-united-kingdom/eu-uk-withdrawal-agreement/protocol-ireland-and-northern-ireland_en</vt:lpwstr>
      </vt:variant>
      <vt:variant>
        <vt:lpwstr/>
      </vt:variant>
      <vt:variant>
        <vt:i4>6750321</vt:i4>
      </vt:variant>
      <vt:variant>
        <vt:i4>57</vt:i4>
      </vt:variant>
      <vt:variant>
        <vt:i4>0</vt:i4>
      </vt:variant>
      <vt:variant>
        <vt:i4>5</vt:i4>
      </vt:variant>
      <vt:variant>
        <vt:lpwstr>https://www.equalityni.org/ECNI/media/ECNI/Publications/Delivering Equality/DMU/DMU-HoLSubCommitteeSubmission-Nov21.pdf</vt:lpwstr>
      </vt:variant>
      <vt:variant>
        <vt:lpwstr/>
      </vt:variant>
      <vt:variant>
        <vt:i4>2687035</vt:i4>
      </vt:variant>
      <vt:variant>
        <vt:i4>54</vt:i4>
      </vt:variant>
      <vt:variant>
        <vt:i4>0</vt:i4>
      </vt:variant>
      <vt:variant>
        <vt:i4>5</vt:i4>
      </vt:variant>
      <vt:variant>
        <vt:lpwstr>https://www.equalityni.org/ECNI/media/ECNI/Publications/Delivering Equality/DMU/DMU-HoLSubComm-ProtocolInquiry.pdf</vt:lpwstr>
      </vt:variant>
      <vt:variant>
        <vt:lpwstr/>
      </vt:variant>
      <vt:variant>
        <vt:i4>6750321</vt:i4>
      </vt:variant>
      <vt:variant>
        <vt:i4>30</vt:i4>
      </vt:variant>
      <vt:variant>
        <vt:i4>0</vt:i4>
      </vt:variant>
      <vt:variant>
        <vt:i4>5</vt:i4>
      </vt:variant>
      <vt:variant>
        <vt:lpwstr>https://www.equalityni.org/ECNI/media/ECNI/Publications/Delivering Equality/DMU/DMU-HoLSubCommitteeSubmission-Nov21.pdf</vt:lpwstr>
      </vt:variant>
      <vt:variant>
        <vt:lpwstr/>
      </vt:variant>
      <vt:variant>
        <vt:i4>2687035</vt:i4>
      </vt:variant>
      <vt:variant>
        <vt:i4>24</vt:i4>
      </vt:variant>
      <vt:variant>
        <vt:i4>0</vt:i4>
      </vt:variant>
      <vt:variant>
        <vt:i4>5</vt:i4>
      </vt:variant>
      <vt:variant>
        <vt:lpwstr>https://www.equalityni.org/ECNI/media/ECNI/Publications/Delivering Equality/DMU/DMU-HoLSubComm-ProtocolInquiry.pdf</vt:lpwstr>
      </vt:variant>
      <vt:variant>
        <vt:lpwstr/>
      </vt:variant>
      <vt:variant>
        <vt:i4>2687035</vt:i4>
      </vt:variant>
      <vt:variant>
        <vt:i4>15</vt:i4>
      </vt:variant>
      <vt:variant>
        <vt:i4>0</vt:i4>
      </vt:variant>
      <vt:variant>
        <vt:i4>5</vt:i4>
      </vt:variant>
      <vt:variant>
        <vt:lpwstr>https://www.equalityni.org/ECNI/media/ECNI/Publications/Delivering Equality/DMU/DMU-HoLSubComm-ProtocolInquiry.pdf</vt:lpwstr>
      </vt:variant>
      <vt:variant>
        <vt:lpwstr/>
      </vt:variant>
      <vt:variant>
        <vt:i4>6750321</vt:i4>
      </vt:variant>
      <vt:variant>
        <vt:i4>12</vt:i4>
      </vt:variant>
      <vt:variant>
        <vt:i4>0</vt:i4>
      </vt:variant>
      <vt:variant>
        <vt:i4>5</vt:i4>
      </vt:variant>
      <vt:variant>
        <vt:lpwstr>https://www.equalityni.org/ECNI/media/ECNI/Publications/Delivering Equality/DMU/DMU-HoLSubCommitteeSubmission-Nov21.pdf</vt:lpwstr>
      </vt:variant>
      <vt:variant>
        <vt:lpwstr/>
      </vt:variant>
      <vt:variant>
        <vt:i4>6750321</vt:i4>
      </vt:variant>
      <vt:variant>
        <vt:i4>9</vt:i4>
      </vt:variant>
      <vt:variant>
        <vt:i4>0</vt:i4>
      </vt:variant>
      <vt:variant>
        <vt:i4>5</vt:i4>
      </vt:variant>
      <vt:variant>
        <vt:lpwstr>https://www.equalityni.org/ECNI/media/ECNI/Publications/Delivering Equality/DMU/DMU-HoLSubCommitteeSubmission-Nov21.pdf</vt:lpwstr>
      </vt:variant>
      <vt:variant>
        <vt:lpwstr/>
      </vt:variant>
      <vt:variant>
        <vt:i4>1507337</vt:i4>
      </vt:variant>
      <vt:variant>
        <vt:i4>6</vt:i4>
      </vt:variant>
      <vt:variant>
        <vt:i4>0</vt:i4>
      </vt:variant>
      <vt:variant>
        <vt:i4>5</vt:i4>
      </vt:variant>
      <vt:variant>
        <vt:lpwstr>https://www.equalityni.org/ECNI/media/ECNI/Publications/Delivering Equality/DMU/DMU-BriefingNIProtocolBill-Oct22.pdf</vt:lpwstr>
      </vt:variant>
      <vt:variant>
        <vt:lpwstr/>
      </vt:variant>
      <vt:variant>
        <vt:i4>2687035</vt:i4>
      </vt:variant>
      <vt:variant>
        <vt:i4>3</vt:i4>
      </vt:variant>
      <vt:variant>
        <vt:i4>0</vt:i4>
      </vt:variant>
      <vt:variant>
        <vt:i4>5</vt:i4>
      </vt:variant>
      <vt:variant>
        <vt:lpwstr>https://www.equalityni.org/ECNI/media/ECNI/Publications/Delivering Equality/DMU/DMU-HoLSubComm-ProtocolInquiry.pdf</vt:lpwstr>
      </vt:variant>
      <vt:variant>
        <vt:lpwstr/>
      </vt:variant>
      <vt:variant>
        <vt:i4>6815856</vt:i4>
      </vt:variant>
      <vt:variant>
        <vt:i4>0</vt:i4>
      </vt:variant>
      <vt:variant>
        <vt:i4>0</vt:i4>
      </vt:variant>
      <vt:variant>
        <vt:i4>5</vt:i4>
      </vt:variant>
      <vt:variant>
        <vt:lpwstr>https://www.equalityni.org/ECNI/media/ECNI/Publications/Delivering Equality/DMU/DMU-HLSCteeSubmission-Protocol.pdf</vt:lpwstr>
      </vt:variant>
      <vt:variant>
        <vt:lpwstr/>
      </vt:variant>
      <vt:variant>
        <vt:i4>5898359</vt:i4>
      </vt:variant>
      <vt:variant>
        <vt:i4>0</vt:i4>
      </vt:variant>
      <vt:variant>
        <vt:i4>0</vt:i4>
      </vt:variant>
      <vt:variant>
        <vt:i4>5</vt:i4>
      </vt:variant>
      <vt:variant>
        <vt:lpwstr>mailto:GDoherty@equalityni.org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Murray</dc:creator>
  <cp:keywords/>
  <dc:description/>
  <cp:lastModifiedBy>Roisin Mallon</cp:lastModifiedBy>
  <cp:revision>2</cp:revision>
  <dcterms:created xsi:type="dcterms:W3CDTF">2023-05-02T08:23:00Z</dcterms:created>
  <dcterms:modified xsi:type="dcterms:W3CDTF">2023-05-02T08:23:00Z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0x010100E3DC2B27FF6E44438F904410BC48B24A</vt:lpwstr>
  </property>
  <property fmtid="{D5CDD505-2E9C-101B-9397-08002B2CF9AE}" pid="3" name="Order">
    <vt:r8>1426800</vt:r8>
  </property>
</Properties>
</file>