
<file path=[Content_Types].xml><?xml version="1.0" encoding="utf-8"?>
<Types xmlns="http://schemas.openxmlformats.org/package/2006/content-types">
  <Default Extension="jfif"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C060A5A" w14:textId="77777777" w:rsidR="00195557" w:rsidRDefault="00195557" w:rsidP="005E5A28">
      <w:pPr>
        <w:jc w:val="center"/>
        <w:rPr>
          <w:rFonts w:ascii="Arial" w:hAnsi="Arial" w:cs="Arial"/>
          <w:noProof/>
          <w:sz w:val="28"/>
          <w:szCs w:val="28"/>
        </w:rPr>
      </w:pPr>
    </w:p>
    <w:p w14:paraId="1EC7ED5F" w14:textId="77777777" w:rsidR="00195557" w:rsidRDefault="00195557" w:rsidP="005E5A28">
      <w:pPr>
        <w:jc w:val="center"/>
        <w:rPr>
          <w:rFonts w:ascii="Arial" w:hAnsi="Arial" w:cs="Arial"/>
          <w:noProof/>
          <w:sz w:val="28"/>
          <w:szCs w:val="28"/>
        </w:rPr>
      </w:pPr>
    </w:p>
    <w:p w14:paraId="76EA24B5" w14:textId="77777777" w:rsidR="00850741" w:rsidRDefault="00195557" w:rsidP="005E5A28">
      <w:pPr>
        <w:jc w:val="center"/>
        <w:rPr>
          <w:rFonts w:ascii="Arial" w:hAnsi="Arial" w:cs="Arial"/>
          <w:color w:val="1F497D"/>
          <w:sz w:val="24"/>
          <w:szCs w:val="24"/>
          <w:lang w:eastAsia="en-US"/>
        </w:rPr>
      </w:pPr>
      <w:r>
        <w:rPr>
          <w:rFonts w:ascii="Arial" w:hAnsi="Arial" w:cs="Arial"/>
          <w:noProof/>
          <w:sz w:val="28"/>
          <w:szCs w:val="28"/>
        </w:rPr>
        <w:drawing>
          <wp:inline distT="0" distB="0" distL="0" distR="0" wp14:anchorId="07E7B3EF" wp14:editId="5EEE7C17">
            <wp:extent cx="2144395" cy="793750"/>
            <wp:effectExtent l="0" t="0" r="8255" b="6350"/>
            <wp:docPr id="3" name="Picture 3" descr="Graphical user interface, websit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Graphical user interface, website&#10;&#10;Description automatically generated"/>
                    <pic:cNvPicPr/>
                  </pic:nvPicPr>
                  <pic:blipFill rotWithShape="1">
                    <a:blip r:embed="rId8" cstate="print">
                      <a:extLst>
                        <a:ext uri="{28A0092B-C50C-407E-A947-70E740481C1C}">
                          <a14:useLocalDpi xmlns:a14="http://schemas.microsoft.com/office/drawing/2010/main" val="0"/>
                        </a:ext>
                      </a:extLst>
                    </a:blip>
                    <a:srcRect l="11811" t="20472" r="11024" b="18110"/>
                    <a:stretch/>
                  </pic:blipFill>
                  <pic:spPr bwMode="auto">
                    <a:xfrm>
                      <a:off x="0" y="0"/>
                      <a:ext cx="2175258" cy="805174"/>
                    </a:xfrm>
                    <a:prstGeom prst="rect">
                      <a:avLst/>
                    </a:prstGeom>
                    <a:ln>
                      <a:noFill/>
                    </a:ln>
                    <a:extLst>
                      <a:ext uri="{53640926-AAD7-44D8-BBD7-CCE9431645EC}">
                        <a14:shadowObscured xmlns:a14="http://schemas.microsoft.com/office/drawing/2010/main"/>
                      </a:ext>
                    </a:extLst>
                  </pic:spPr>
                </pic:pic>
              </a:graphicData>
            </a:graphic>
          </wp:inline>
        </w:drawing>
      </w:r>
      <w:r>
        <w:rPr>
          <w:rFonts w:ascii="Arial" w:hAnsi="Arial" w:cs="Arial"/>
          <w:noProof/>
          <w:sz w:val="28"/>
          <w:szCs w:val="28"/>
        </w:rPr>
        <w:t xml:space="preserve">    </w:t>
      </w:r>
      <w:r>
        <w:rPr>
          <w:rFonts w:ascii="Arial" w:hAnsi="Arial" w:cs="Arial"/>
          <w:noProof/>
          <w:sz w:val="28"/>
          <w:szCs w:val="28"/>
        </w:rPr>
        <w:drawing>
          <wp:inline distT="0" distB="0" distL="0" distR="0" wp14:anchorId="7E1B54E5" wp14:editId="7994CD86">
            <wp:extent cx="3022600" cy="776605"/>
            <wp:effectExtent l="0" t="0" r="6350" b="4445"/>
            <wp:docPr id="5" name="Picture 5"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picture containing text&#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3122693" cy="802322"/>
                    </a:xfrm>
                    <a:prstGeom prst="rect">
                      <a:avLst/>
                    </a:prstGeom>
                  </pic:spPr>
                </pic:pic>
              </a:graphicData>
            </a:graphic>
          </wp:inline>
        </w:drawing>
      </w:r>
    </w:p>
    <w:p w14:paraId="0F8F33BC" w14:textId="77777777" w:rsidR="00850741" w:rsidRDefault="00850741" w:rsidP="00A50DF0">
      <w:pPr>
        <w:rPr>
          <w:rFonts w:ascii="Arial" w:hAnsi="Arial" w:cs="Arial"/>
          <w:color w:val="1F497D"/>
          <w:sz w:val="24"/>
          <w:szCs w:val="24"/>
          <w:lang w:eastAsia="en-US"/>
        </w:rPr>
      </w:pPr>
    </w:p>
    <w:p w14:paraId="03C07011" w14:textId="77777777" w:rsidR="00850741" w:rsidRDefault="00850741" w:rsidP="00A50DF0">
      <w:pPr>
        <w:rPr>
          <w:rFonts w:ascii="Arial" w:hAnsi="Arial" w:cs="Arial"/>
          <w:color w:val="1F497D"/>
          <w:sz w:val="24"/>
          <w:szCs w:val="24"/>
          <w:lang w:eastAsia="en-US"/>
        </w:rPr>
      </w:pPr>
    </w:p>
    <w:p w14:paraId="0897FB92" w14:textId="77777777" w:rsidR="00850741" w:rsidRDefault="00850741" w:rsidP="00850741"/>
    <w:p w14:paraId="499AB6C7" w14:textId="77777777" w:rsidR="00850741" w:rsidRDefault="00850741" w:rsidP="00850741"/>
    <w:p w14:paraId="4F62C69C" w14:textId="77777777" w:rsidR="005E5A28" w:rsidRDefault="005E5A28" w:rsidP="00850741">
      <w:pPr>
        <w:pStyle w:val="Title"/>
      </w:pPr>
    </w:p>
    <w:p w14:paraId="1B6A321B" w14:textId="77777777" w:rsidR="005E5A28" w:rsidRDefault="005E5A28" w:rsidP="00850741">
      <w:pPr>
        <w:pStyle w:val="Title"/>
      </w:pPr>
    </w:p>
    <w:p w14:paraId="5410EAB5" w14:textId="77777777" w:rsidR="00850741" w:rsidRPr="000835C7" w:rsidRDefault="00850741" w:rsidP="00850741">
      <w:pPr>
        <w:pStyle w:val="Title"/>
      </w:pPr>
      <w:r w:rsidRPr="000835C7">
        <w:t xml:space="preserve">Submission of the NIHRC and ECNI </w:t>
      </w:r>
    </w:p>
    <w:p w14:paraId="280904BC" w14:textId="77777777" w:rsidR="00850741" w:rsidRPr="000835C7" w:rsidRDefault="00064CF7" w:rsidP="00850741">
      <w:pPr>
        <w:pStyle w:val="Title"/>
      </w:pPr>
      <w:r>
        <w:t>on the UK and EU proposals and the prospects for Agreement</w:t>
      </w:r>
    </w:p>
    <w:p w14:paraId="7D07781C" w14:textId="77777777" w:rsidR="00850741" w:rsidRDefault="00064CF7" w:rsidP="00850741">
      <w:pPr>
        <w:pStyle w:val="Title"/>
      </w:pPr>
      <w:r>
        <w:t>to</w:t>
      </w:r>
      <w:r w:rsidR="00850741" w:rsidRPr="000835C7">
        <w:t xml:space="preserve"> the House of Lords Sub-Committee on the Protocol on Ireland/Northern Ireland</w:t>
      </w:r>
    </w:p>
    <w:p w14:paraId="2297C5E1" w14:textId="77777777" w:rsidR="00756C09" w:rsidRDefault="00756C09" w:rsidP="00756C09">
      <w:pPr>
        <w:rPr>
          <w:lang w:eastAsia="en-US"/>
        </w:rPr>
      </w:pPr>
    </w:p>
    <w:p w14:paraId="338F1E62" w14:textId="77777777" w:rsidR="00756C09" w:rsidRDefault="00756C09" w:rsidP="00756C09">
      <w:pPr>
        <w:jc w:val="center"/>
        <w:rPr>
          <w:b/>
          <w:bCs/>
          <w:sz w:val="32"/>
          <w:szCs w:val="32"/>
          <w:lang w:eastAsia="en-US"/>
        </w:rPr>
      </w:pPr>
    </w:p>
    <w:p w14:paraId="148D60AF" w14:textId="77777777" w:rsidR="00756C09" w:rsidRDefault="00756C09" w:rsidP="00756C09">
      <w:pPr>
        <w:jc w:val="center"/>
        <w:rPr>
          <w:b/>
          <w:bCs/>
          <w:sz w:val="32"/>
          <w:szCs w:val="32"/>
          <w:lang w:eastAsia="en-US"/>
        </w:rPr>
      </w:pPr>
    </w:p>
    <w:p w14:paraId="0EC2CD34" w14:textId="77777777" w:rsidR="00203BB2" w:rsidRDefault="00203BB2" w:rsidP="00756C09">
      <w:pPr>
        <w:jc w:val="center"/>
        <w:rPr>
          <w:b/>
          <w:bCs/>
          <w:sz w:val="36"/>
          <w:szCs w:val="36"/>
          <w:highlight w:val="yellow"/>
          <w:lang w:eastAsia="en-US"/>
        </w:rPr>
      </w:pPr>
    </w:p>
    <w:p w14:paraId="6246FD22" w14:textId="6D187040" w:rsidR="00756C09" w:rsidRPr="00203BB2" w:rsidRDefault="00AD25F5" w:rsidP="00756C09">
      <w:pPr>
        <w:jc w:val="center"/>
        <w:rPr>
          <w:b/>
          <w:bCs/>
          <w:sz w:val="36"/>
          <w:szCs w:val="36"/>
          <w:lang w:eastAsia="en-US"/>
        </w:rPr>
      </w:pPr>
      <w:r>
        <w:rPr>
          <w:b/>
          <w:bCs/>
          <w:sz w:val="36"/>
          <w:szCs w:val="36"/>
          <w:lang w:eastAsia="en-US"/>
        </w:rPr>
        <w:t>1</w:t>
      </w:r>
      <w:r w:rsidR="009D7138">
        <w:rPr>
          <w:b/>
          <w:bCs/>
          <w:sz w:val="36"/>
          <w:szCs w:val="36"/>
          <w:lang w:eastAsia="en-US"/>
        </w:rPr>
        <w:t>2</w:t>
      </w:r>
      <w:r w:rsidR="00756C09" w:rsidRPr="00AD25F5">
        <w:rPr>
          <w:b/>
          <w:bCs/>
          <w:sz w:val="36"/>
          <w:szCs w:val="36"/>
          <w:lang w:eastAsia="en-US"/>
        </w:rPr>
        <w:t xml:space="preserve"> November</w:t>
      </w:r>
      <w:r w:rsidR="00756C09" w:rsidRPr="00203BB2">
        <w:rPr>
          <w:b/>
          <w:bCs/>
          <w:sz w:val="36"/>
          <w:szCs w:val="36"/>
          <w:lang w:eastAsia="en-US"/>
        </w:rPr>
        <w:t xml:space="preserve"> 2021</w:t>
      </w:r>
    </w:p>
    <w:p w14:paraId="5869F8DC" w14:textId="77777777" w:rsidR="00850741" w:rsidRDefault="00850741" w:rsidP="00850741"/>
    <w:p w14:paraId="747D0542" w14:textId="77777777" w:rsidR="00967506" w:rsidRDefault="00967506" w:rsidP="00850741"/>
    <w:p w14:paraId="7B3FA00C" w14:textId="77777777" w:rsidR="00967506" w:rsidRDefault="00967506" w:rsidP="00850741">
      <w:pPr>
        <w:sectPr w:rsidR="00967506">
          <w:footerReference w:type="default" r:id="rId10"/>
          <w:pgSz w:w="11906" w:h="16838"/>
          <w:pgMar w:top="1440" w:right="1440" w:bottom="1440" w:left="1440" w:header="708" w:footer="708" w:gutter="0"/>
          <w:cols w:space="708"/>
          <w:docGrid w:linePitch="360"/>
        </w:sectPr>
      </w:pPr>
      <w:bookmarkStart w:id="0" w:name="_GoBack"/>
      <w:bookmarkEnd w:id="0"/>
    </w:p>
    <w:p w14:paraId="52EBDBED" w14:textId="77777777" w:rsidR="00B63AFB" w:rsidRPr="00CD7913" w:rsidRDefault="00B63AFB" w:rsidP="00CD7913">
      <w:pPr>
        <w:spacing w:after="240"/>
      </w:pPr>
      <w:bookmarkStart w:id="1" w:name="_Toc74584440"/>
      <w:r w:rsidRPr="00CD7913">
        <w:rPr>
          <w:b/>
          <w:sz w:val="40"/>
          <w:szCs w:val="40"/>
        </w:rPr>
        <w:lastRenderedPageBreak/>
        <w:t>Executive Summary</w:t>
      </w:r>
    </w:p>
    <w:p w14:paraId="3D60FEC5" w14:textId="77777777" w:rsidR="000C411D" w:rsidRPr="00CD7913" w:rsidRDefault="00B63AFB" w:rsidP="00CD7913">
      <w:pPr>
        <w:spacing w:after="240"/>
        <w:rPr>
          <w:sz w:val="28"/>
          <w:szCs w:val="28"/>
        </w:rPr>
      </w:pPr>
      <w:r w:rsidRPr="00CD7913">
        <w:rPr>
          <w:sz w:val="28"/>
          <w:szCs w:val="28"/>
        </w:rPr>
        <w:t>In summary, the Commissions recommend that:</w:t>
      </w:r>
    </w:p>
    <w:p w14:paraId="4D1AA614" w14:textId="77777777" w:rsidR="00B63AFB" w:rsidRPr="001208E4" w:rsidRDefault="00B63AFB" w:rsidP="00CD7913">
      <w:pPr>
        <w:rPr>
          <w:b/>
          <w:bCs/>
          <w:sz w:val="28"/>
          <w:szCs w:val="28"/>
        </w:rPr>
      </w:pPr>
      <w:r w:rsidRPr="001208E4">
        <w:rPr>
          <w:b/>
          <w:bCs/>
          <w:sz w:val="28"/>
          <w:szCs w:val="28"/>
        </w:rPr>
        <w:t>UK Government Command Paper</w:t>
      </w:r>
    </w:p>
    <w:p w14:paraId="1262374B" w14:textId="77777777" w:rsidR="00B63AFB" w:rsidRPr="003C3947" w:rsidRDefault="00B63AFB" w:rsidP="00065BFE">
      <w:pPr>
        <w:pStyle w:val="ListParagraph"/>
        <w:numPr>
          <w:ilvl w:val="0"/>
          <w:numId w:val="56"/>
        </w:numPr>
        <w:spacing w:after="0"/>
        <w:ind w:left="567"/>
      </w:pPr>
      <w:r w:rsidRPr="001005F8">
        <w:t xml:space="preserve">there are no changes to the Protocol that would result in a weakening of either the Article 2 (1) commitment or the Protocol’s </w:t>
      </w:r>
      <w:r w:rsidR="00E01608" w:rsidRPr="003C3947">
        <w:t xml:space="preserve">rights, </w:t>
      </w:r>
      <w:r w:rsidRPr="003C3947">
        <w:t>safeguards and oversight mechanisms relating to this commitment</w:t>
      </w:r>
      <w:r w:rsidR="00D15B9E" w:rsidRPr="003C3947">
        <w:t>;</w:t>
      </w:r>
    </w:p>
    <w:p w14:paraId="5CEFEC8B" w14:textId="77777777" w:rsidR="00B63AFB" w:rsidRPr="003C3947" w:rsidRDefault="00B63AFB" w:rsidP="00065BFE">
      <w:pPr>
        <w:pStyle w:val="ListParagraph"/>
        <w:numPr>
          <w:ilvl w:val="0"/>
          <w:numId w:val="56"/>
        </w:numPr>
        <w:spacing w:after="0"/>
        <w:ind w:left="567"/>
      </w:pPr>
      <w:r w:rsidRPr="003C3947">
        <w:t>there is adequate and sustained resourcing of the two Commissions</w:t>
      </w:r>
      <w:r w:rsidR="00D15B9E" w:rsidRPr="003C3947">
        <w:t>;</w:t>
      </w:r>
    </w:p>
    <w:p w14:paraId="7B528874" w14:textId="77777777" w:rsidR="00B63AFB" w:rsidRPr="003C3947" w:rsidRDefault="00B63AFB" w:rsidP="00065BFE">
      <w:pPr>
        <w:pStyle w:val="ListParagraph"/>
        <w:numPr>
          <w:ilvl w:val="0"/>
          <w:numId w:val="55"/>
        </w:numPr>
        <w:spacing w:after="0"/>
        <w:ind w:left="567"/>
      </w:pPr>
      <w:r w:rsidRPr="003C3947">
        <w:t>the N</w:t>
      </w:r>
      <w:r w:rsidR="00E17B2C" w:rsidRPr="003C3947">
        <w:t>I</w:t>
      </w:r>
      <w:r w:rsidR="00B75E42" w:rsidRPr="003C3947">
        <w:t xml:space="preserve"> Executive</w:t>
      </w:r>
      <w:r w:rsidRPr="003C3947">
        <w:t xml:space="preserve"> and Dep</w:t>
      </w:r>
      <w:r w:rsidR="00B75E42" w:rsidRPr="003C3947">
        <w:t>artments</w:t>
      </w:r>
      <w:r w:rsidRPr="003C3947">
        <w:t xml:space="preserve"> ensure effective and regular engagement with </w:t>
      </w:r>
      <w:r w:rsidR="00824A3E" w:rsidRPr="003C3947">
        <w:t>civil society</w:t>
      </w:r>
      <w:r w:rsidR="00E17B2C" w:rsidRPr="003C3947">
        <w:t>, including</w:t>
      </w:r>
      <w:r w:rsidR="00B75E42" w:rsidRPr="003C3947">
        <w:t xml:space="preserve"> human rights/</w:t>
      </w:r>
      <w:r w:rsidR="00824A3E" w:rsidRPr="003C3947">
        <w:t>equality groups.</w:t>
      </w:r>
    </w:p>
    <w:p w14:paraId="2849C2ED" w14:textId="77777777" w:rsidR="00B63AFB" w:rsidRPr="003C3947" w:rsidRDefault="00B63AFB" w:rsidP="00065BFE">
      <w:pPr>
        <w:pStyle w:val="ListParagraph"/>
        <w:numPr>
          <w:ilvl w:val="0"/>
          <w:numId w:val="55"/>
        </w:numPr>
        <w:spacing w:after="0"/>
        <w:ind w:left="567"/>
      </w:pPr>
      <w:r w:rsidRPr="003C3947">
        <w:rPr>
          <w:bCs/>
        </w:rPr>
        <w:t>the N</w:t>
      </w:r>
      <w:r w:rsidR="00E17B2C" w:rsidRPr="003C3947">
        <w:rPr>
          <w:bCs/>
        </w:rPr>
        <w:t>I</w:t>
      </w:r>
      <w:r w:rsidRPr="003C3947">
        <w:rPr>
          <w:bCs/>
        </w:rPr>
        <w:t xml:space="preserve"> Executive work with the UK Government and on a North-South basis to build strong open channels of communication</w:t>
      </w:r>
      <w:r w:rsidR="00D15B9E" w:rsidRPr="003C3947">
        <w:rPr>
          <w:bCs/>
        </w:rPr>
        <w:t>;</w:t>
      </w:r>
    </w:p>
    <w:p w14:paraId="30C7D072" w14:textId="77777777" w:rsidR="00B63AFB" w:rsidRPr="003C3947" w:rsidRDefault="00B63AFB" w:rsidP="00065BFE">
      <w:pPr>
        <w:pStyle w:val="ListParagraph"/>
        <w:numPr>
          <w:ilvl w:val="0"/>
          <w:numId w:val="55"/>
        </w:numPr>
        <w:ind w:left="567"/>
      </w:pPr>
      <w:r w:rsidRPr="003C3947">
        <w:t xml:space="preserve">the Commissions are kept informed of any future EU equality law developments relevant to the Annex 1 equality Directives in the Protocol, </w:t>
      </w:r>
      <w:r w:rsidR="00824A3E" w:rsidRPr="003C3947">
        <w:t xml:space="preserve">and have the opportunity </w:t>
      </w:r>
      <w:r w:rsidRPr="003C3947">
        <w:t>to highlight in advance any implications of those changes for equality law in Northern Ireland</w:t>
      </w:r>
      <w:r w:rsidR="0038238F" w:rsidRPr="003C3947">
        <w:t>.</w:t>
      </w:r>
      <w:r w:rsidRPr="003C3947">
        <w:t xml:space="preserve">   </w:t>
      </w:r>
    </w:p>
    <w:p w14:paraId="7C9470CA" w14:textId="77777777" w:rsidR="00B63AFB" w:rsidRPr="003C3947" w:rsidRDefault="00B63AFB" w:rsidP="00CD7913">
      <w:pPr>
        <w:rPr>
          <w:b/>
          <w:bCs/>
          <w:sz w:val="28"/>
          <w:szCs w:val="28"/>
        </w:rPr>
      </w:pPr>
      <w:r w:rsidRPr="003C3947">
        <w:rPr>
          <w:b/>
          <w:bCs/>
          <w:sz w:val="28"/>
          <w:szCs w:val="28"/>
        </w:rPr>
        <w:t>EU proposals</w:t>
      </w:r>
    </w:p>
    <w:p w14:paraId="65B7EB3E" w14:textId="77777777" w:rsidR="00E92CE5" w:rsidRPr="003C3947" w:rsidRDefault="004E5B87" w:rsidP="00065BFE">
      <w:pPr>
        <w:pStyle w:val="ListParagraph"/>
        <w:numPr>
          <w:ilvl w:val="0"/>
          <w:numId w:val="76"/>
        </w:numPr>
        <w:spacing w:after="0"/>
        <w:ind w:left="567"/>
      </w:pPr>
      <w:r w:rsidRPr="003C3947">
        <w:t>the EU makes clear on its proposed website whether the proposed/updated EU law is applicable to any of the Annexes in the Protocol;</w:t>
      </w:r>
    </w:p>
    <w:p w14:paraId="5BC89F16" w14:textId="77777777" w:rsidR="00B63AFB" w:rsidRPr="001005F8" w:rsidRDefault="00B63AFB" w:rsidP="00065BFE">
      <w:pPr>
        <w:pStyle w:val="ListParagraph"/>
        <w:numPr>
          <w:ilvl w:val="0"/>
          <w:numId w:val="58"/>
        </w:numPr>
        <w:spacing w:after="0"/>
        <w:ind w:left="567"/>
      </w:pPr>
      <w:r w:rsidRPr="001005F8">
        <w:t xml:space="preserve">proposals on increased transparency relating to the </w:t>
      </w:r>
      <w:r w:rsidR="00CF4C32" w:rsidRPr="001005F8">
        <w:t>JCWG</w:t>
      </w:r>
      <w:r w:rsidRPr="001005F8">
        <w:t xml:space="preserve"> are extended to include the publication of agendas in advance of meetings</w:t>
      </w:r>
      <w:r w:rsidR="00D15B9E">
        <w:t>;</w:t>
      </w:r>
    </w:p>
    <w:p w14:paraId="3A8BE89B" w14:textId="77777777" w:rsidR="00B63AFB" w:rsidRPr="001005F8" w:rsidRDefault="00824A3E" w:rsidP="00065BFE">
      <w:pPr>
        <w:pStyle w:val="ListParagraph"/>
        <w:numPr>
          <w:ilvl w:val="0"/>
          <w:numId w:val="58"/>
        </w:numPr>
        <w:spacing w:after="0"/>
        <w:ind w:left="567"/>
      </w:pPr>
      <w:r w:rsidRPr="001005F8">
        <w:t xml:space="preserve">any </w:t>
      </w:r>
      <w:r w:rsidR="00B63AFB" w:rsidRPr="001005F8">
        <w:t xml:space="preserve">proposals on the development of “structured groups” within the JCWG </w:t>
      </w:r>
      <w:r w:rsidRPr="001005F8">
        <w:t>considers</w:t>
      </w:r>
      <w:r w:rsidR="00B63AFB" w:rsidRPr="001005F8">
        <w:t xml:space="preserve"> establishing a group </w:t>
      </w:r>
      <w:r w:rsidRPr="001005F8">
        <w:t xml:space="preserve">focused </w:t>
      </w:r>
      <w:r w:rsidR="00B63AFB" w:rsidRPr="001005F8">
        <w:t xml:space="preserve">on </w:t>
      </w:r>
      <w:r w:rsidRPr="001005F8">
        <w:t xml:space="preserve">Article 2 </w:t>
      </w:r>
      <w:r w:rsidR="00B63AFB" w:rsidRPr="001005F8">
        <w:t>issues</w:t>
      </w:r>
      <w:r w:rsidR="00D15B9E">
        <w:t>;</w:t>
      </w:r>
    </w:p>
    <w:p w14:paraId="24676571" w14:textId="77777777" w:rsidR="00B63AFB" w:rsidRPr="001005F8" w:rsidRDefault="00B63AFB" w:rsidP="00065BFE">
      <w:pPr>
        <w:pStyle w:val="ListParagraph"/>
        <w:numPr>
          <w:ilvl w:val="0"/>
          <w:numId w:val="58"/>
        </w:numPr>
        <w:spacing w:after="0"/>
        <w:ind w:left="567"/>
      </w:pPr>
      <w:r w:rsidRPr="001005F8">
        <w:t>fora for dialogue with N</w:t>
      </w:r>
      <w:r w:rsidR="00B75E42" w:rsidRPr="001005F8">
        <w:t>I</w:t>
      </w:r>
      <w:r w:rsidRPr="001005F8">
        <w:t xml:space="preserve"> st</w:t>
      </w:r>
      <w:r w:rsidR="00B75E42" w:rsidRPr="001005F8">
        <w:t>akeholders</w:t>
      </w:r>
      <w:r w:rsidR="00824A3E" w:rsidRPr="001005F8">
        <w:t xml:space="preserve"> should</w:t>
      </w:r>
      <w:r w:rsidRPr="001005F8">
        <w:t xml:space="preserve"> include engagement with the Commissions and equality and human rights stakeholders</w:t>
      </w:r>
      <w:r w:rsidR="00D15B9E">
        <w:t>;</w:t>
      </w:r>
    </w:p>
    <w:p w14:paraId="2DAB5F71" w14:textId="77777777" w:rsidR="00B63AFB" w:rsidRPr="001005F8" w:rsidRDefault="00B63AFB" w:rsidP="00065BFE">
      <w:pPr>
        <w:pStyle w:val="ListParagraph"/>
        <w:numPr>
          <w:ilvl w:val="0"/>
          <w:numId w:val="58"/>
        </w:numPr>
        <w:spacing w:after="0"/>
        <w:ind w:left="567"/>
      </w:pPr>
      <w:r w:rsidRPr="001005F8">
        <w:t xml:space="preserve">further </w:t>
      </w:r>
      <w:r w:rsidRPr="001005F8">
        <w:rPr>
          <w:bCs/>
        </w:rPr>
        <w:t>clarification is provided by the UK Government/EU as to how the Specialised Committee will engage with the Commissions</w:t>
      </w:r>
      <w:r w:rsidR="00D15B9E">
        <w:rPr>
          <w:bCs/>
        </w:rPr>
        <w:t>;</w:t>
      </w:r>
    </w:p>
    <w:p w14:paraId="22793F27" w14:textId="77777777" w:rsidR="00B63AFB" w:rsidRPr="001005F8" w:rsidRDefault="00B63AFB" w:rsidP="00065BFE">
      <w:pPr>
        <w:pStyle w:val="ListParagraph"/>
        <w:numPr>
          <w:ilvl w:val="0"/>
          <w:numId w:val="58"/>
        </w:numPr>
        <w:spacing w:after="0"/>
        <w:ind w:left="567"/>
      </w:pPr>
      <w:r w:rsidRPr="001005F8">
        <w:t xml:space="preserve">the UK Government and the supervisory bodies under the UK-EU Withdrawal Agreement and the UK-EU </w:t>
      </w:r>
      <w:r w:rsidR="00CF4C32" w:rsidRPr="001005F8">
        <w:t>T</w:t>
      </w:r>
      <w:r w:rsidR="0061102F" w:rsidRPr="001005F8">
        <w:t xml:space="preserve">rade &amp; </w:t>
      </w:r>
      <w:r w:rsidR="00CF4C32" w:rsidRPr="001005F8">
        <w:t>C</w:t>
      </w:r>
      <w:r w:rsidR="00C23D2A" w:rsidRPr="001005F8">
        <w:t>o-O</w:t>
      </w:r>
      <w:r w:rsidR="0061102F" w:rsidRPr="001005F8">
        <w:t xml:space="preserve">peration </w:t>
      </w:r>
      <w:r w:rsidR="00CF4C32" w:rsidRPr="001005F8">
        <w:t>A</w:t>
      </w:r>
      <w:r w:rsidR="00C23D2A" w:rsidRPr="001005F8">
        <w:t>greement</w:t>
      </w:r>
      <w:r w:rsidR="00CF4C32" w:rsidRPr="001005F8">
        <w:t xml:space="preserve"> </w:t>
      </w:r>
      <w:r w:rsidRPr="001005F8">
        <w:t>establish formal structures for open, transparent and regul</w:t>
      </w:r>
      <w:r w:rsidR="00C23D2A" w:rsidRPr="001005F8">
        <w:t>ar engagement with equality/</w:t>
      </w:r>
      <w:r w:rsidRPr="001005F8">
        <w:t>human rights stakeholders</w:t>
      </w:r>
      <w:r w:rsidR="00D15B9E">
        <w:t>;</w:t>
      </w:r>
    </w:p>
    <w:p w14:paraId="2078917D" w14:textId="77777777" w:rsidR="00B63AFB" w:rsidRPr="001005F8" w:rsidRDefault="00B63AFB" w:rsidP="00065BFE">
      <w:pPr>
        <w:pStyle w:val="ListParagraph"/>
        <w:numPr>
          <w:ilvl w:val="0"/>
          <w:numId w:val="58"/>
        </w:numPr>
        <w:spacing w:after="0"/>
        <w:ind w:left="567"/>
        <w:rPr>
          <w:bCs/>
        </w:rPr>
      </w:pPr>
      <w:r w:rsidRPr="001005F8">
        <w:rPr>
          <w:bCs/>
        </w:rPr>
        <w:t>any agreed proposals on structur</w:t>
      </w:r>
      <w:r w:rsidR="00C23D2A" w:rsidRPr="001005F8">
        <w:rPr>
          <w:bCs/>
        </w:rPr>
        <w:t xml:space="preserve">ed engagement with NI civil society </w:t>
      </w:r>
      <w:r w:rsidRPr="001005F8">
        <w:rPr>
          <w:bCs/>
        </w:rPr>
        <w:t>includ</w:t>
      </w:r>
      <w:r w:rsidR="00B64C8B" w:rsidRPr="001005F8">
        <w:rPr>
          <w:bCs/>
        </w:rPr>
        <w:t>e</w:t>
      </w:r>
      <w:r w:rsidR="00B65598" w:rsidRPr="001005F8">
        <w:rPr>
          <w:bCs/>
        </w:rPr>
        <w:t xml:space="preserve"> those</w:t>
      </w:r>
      <w:r w:rsidRPr="001005F8">
        <w:rPr>
          <w:bCs/>
        </w:rPr>
        <w:t xml:space="preserve"> working on </w:t>
      </w:r>
      <w:r w:rsidR="00380C6D" w:rsidRPr="001005F8">
        <w:rPr>
          <w:bCs/>
        </w:rPr>
        <w:t xml:space="preserve">equality/human rights </w:t>
      </w:r>
      <w:r w:rsidRPr="001005F8">
        <w:rPr>
          <w:bCs/>
        </w:rPr>
        <w:t>cross border issues</w:t>
      </w:r>
      <w:r w:rsidR="00D15B9E">
        <w:rPr>
          <w:bCs/>
        </w:rPr>
        <w:t>;</w:t>
      </w:r>
    </w:p>
    <w:p w14:paraId="4C72257A" w14:textId="77777777" w:rsidR="00C856FA" w:rsidRPr="00065BFE" w:rsidRDefault="00B63AFB" w:rsidP="00CD7913">
      <w:pPr>
        <w:pStyle w:val="ListParagraph"/>
        <w:numPr>
          <w:ilvl w:val="0"/>
          <w:numId w:val="58"/>
        </w:numPr>
        <w:spacing w:after="0"/>
        <w:ind w:left="567"/>
      </w:pPr>
      <w:r w:rsidRPr="001005F8">
        <w:lastRenderedPageBreak/>
        <w:t xml:space="preserve">the UK Government and EU </w:t>
      </w:r>
      <w:r w:rsidR="00380C6D" w:rsidRPr="001005F8">
        <w:t xml:space="preserve">urgently </w:t>
      </w:r>
      <w:r w:rsidR="00983762" w:rsidRPr="001005F8">
        <w:t>reach agreement on</w:t>
      </w:r>
      <w:r w:rsidRPr="001005F8">
        <w:t xml:space="preserve"> long-term, sustainable solution</w:t>
      </w:r>
      <w:r w:rsidR="00983762" w:rsidRPr="001005F8">
        <w:t>s</w:t>
      </w:r>
      <w:r w:rsidRPr="001005F8">
        <w:t xml:space="preserve"> relating to</w:t>
      </w:r>
      <w:r w:rsidR="005842BD" w:rsidRPr="001005F8">
        <w:t xml:space="preserve"> the supply </w:t>
      </w:r>
      <w:r w:rsidR="00380C6D" w:rsidRPr="001005F8">
        <w:t xml:space="preserve">from GB to NI </w:t>
      </w:r>
      <w:r w:rsidR="005842BD" w:rsidRPr="001005F8">
        <w:t>of medicines</w:t>
      </w:r>
      <w:r w:rsidR="00983762">
        <w:t xml:space="preserve"> and </w:t>
      </w:r>
      <w:r w:rsidR="00983762" w:rsidRPr="00CD7913">
        <w:t>food</w:t>
      </w:r>
      <w:r w:rsidR="00983762">
        <w:t>s</w:t>
      </w:r>
      <w:r w:rsidR="00983762" w:rsidRPr="00CD7913">
        <w:t xml:space="preserve"> affecting faith communities </w:t>
      </w:r>
      <w:r w:rsidR="00983762">
        <w:t xml:space="preserve">in </w:t>
      </w:r>
      <w:r w:rsidR="005842BD">
        <w:t>NI</w:t>
      </w:r>
      <w:r w:rsidR="00B65598">
        <w:t xml:space="preserve">, and on </w:t>
      </w:r>
      <w:r w:rsidRPr="00CD7913">
        <w:t>assistance dogs travelling from Gr</w:t>
      </w:r>
      <w:r w:rsidR="005842BD">
        <w:t>eat Britain to NI</w:t>
      </w:r>
      <w:r w:rsidR="001208E4" w:rsidRPr="001208E4">
        <w:t>.</w:t>
      </w:r>
    </w:p>
    <w:p w14:paraId="52149495" w14:textId="77777777" w:rsidR="00064CF7" w:rsidRPr="000835C7" w:rsidRDefault="00064CF7" w:rsidP="00EF5F29">
      <w:pPr>
        <w:pStyle w:val="Heading1"/>
        <w:numPr>
          <w:ilvl w:val="0"/>
          <w:numId w:val="10"/>
        </w:numPr>
        <w:spacing w:before="0"/>
      </w:pPr>
      <w:r w:rsidRPr="000835C7">
        <w:t>Introduction</w:t>
      </w:r>
      <w:bookmarkEnd w:id="1"/>
      <w:r w:rsidRPr="000835C7">
        <w:t xml:space="preserve"> </w:t>
      </w:r>
    </w:p>
    <w:p w14:paraId="7A94FB1B" w14:textId="77777777" w:rsidR="00064CF7" w:rsidRPr="000835C7" w:rsidRDefault="00064CF7" w:rsidP="00064CF7">
      <w:pPr>
        <w:pStyle w:val="ListParagraph"/>
      </w:pPr>
      <w:r w:rsidRPr="000835C7">
        <w:t xml:space="preserve">The Northern Ireland Human Rights Commission (the NIHRC), pursuant to section 69(1) the Northern Ireland Act 1998, reviews the adequacy and effectiveness of law and practice relating to the protection of human rights in Northern Ireland (NI). </w:t>
      </w:r>
    </w:p>
    <w:p w14:paraId="407238FD" w14:textId="77777777" w:rsidR="00064CF7" w:rsidRPr="000835C7" w:rsidRDefault="00064CF7" w:rsidP="00064CF7">
      <w:pPr>
        <w:pStyle w:val="ListParagraph"/>
      </w:pPr>
      <w:r w:rsidRPr="000835C7">
        <w:t xml:space="preserve">The NIHRC bases its advice on the full range of internationally accepted human rights standards, including the European Convention on Human Rights (ECHR), as incorporated by the Human Rights Act 1998 and the treaty obligations of the Council of Europe (CoE) and United Nations (UN) systems. In addition to these treaty standards, there exists a body of ‘soft law’ developed by the human rights bodies of the CoE and UN. These declarations and principles are non-binding but provide further guidance in respect of specific areas. </w:t>
      </w:r>
    </w:p>
    <w:p w14:paraId="79011740" w14:textId="77777777" w:rsidR="00064CF7" w:rsidRPr="000835C7" w:rsidRDefault="00064CF7" w:rsidP="00064CF7">
      <w:pPr>
        <w:pStyle w:val="ListParagraph"/>
      </w:pPr>
      <w:r w:rsidRPr="000835C7">
        <w:t xml:space="preserve">The Equality Commission for Northern Ireland (ECNI) is an independent public body established under the Northern Ireland Act 1998. Its powers and duties derive from a number of equality statutes providing protection against discrimination on the grounds of age, disability, race, religion and political opinion, sex and sexual orientation. Its remit also includes overseeing the statutory duties on public authorities </w:t>
      </w:r>
      <w:r w:rsidR="00720367">
        <w:t xml:space="preserve">on </w:t>
      </w:r>
      <w:r w:rsidR="000C411D">
        <w:t xml:space="preserve">the </w:t>
      </w:r>
      <w:r w:rsidR="000C411D" w:rsidRPr="000835C7">
        <w:t>promotion</w:t>
      </w:r>
      <w:r w:rsidR="00720367">
        <w:t xml:space="preserve"> </w:t>
      </w:r>
      <w:r w:rsidR="00C01D33">
        <w:t xml:space="preserve">of </w:t>
      </w:r>
      <w:r w:rsidR="00C01D33" w:rsidRPr="000835C7">
        <w:t>equality</w:t>
      </w:r>
      <w:r w:rsidRPr="000835C7">
        <w:t xml:space="preserve"> of opportunity and good relations under Section 75 of the Northern Ireland Act 1998. </w:t>
      </w:r>
    </w:p>
    <w:p w14:paraId="39E5EE2F" w14:textId="77777777" w:rsidR="00064CF7" w:rsidRPr="000835C7" w:rsidRDefault="00064CF7" w:rsidP="00064CF7">
      <w:pPr>
        <w:pStyle w:val="ListParagraph"/>
      </w:pPr>
      <w:r w:rsidRPr="000835C7">
        <w:t xml:space="preserve">The EU (Withdrawal Agreement) Act 2020 empowers the Commissions to monitor, advise, report on, promote, and enforce the implementation of Article 2(1) of the Ireland/Northern Ireland Protocol (‘the Protocol’) to the UK-EU Withdrawal Agreement.     </w:t>
      </w:r>
    </w:p>
    <w:p w14:paraId="44EF4555" w14:textId="77777777" w:rsidR="00064CF7" w:rsidRPr="000835C7" w:rsidRDefault="00064CF7" w:rsidP="00064CF7">
      <w:pPr>
        <w:pStyle w:val="ListParagraph"/>
      </w:pPr>
      <w:r w:rsidRPr="000835C7">
        <w:t>In accordance with these functions, the Commissions provide this joint submission to</w:t>
      </w:r>
      <w:r>
        <w:t xml:space="preserve"> the House of Lords </w:t>
      </w:r>
      <w:r w:rsidRPr="004E5B87">
        <w:t>Sub-Committee</w:t>
      </w:r>
      <w:r>
        <w:t xml:space="preserve"> on the Protocol on Ireland/Northern Ireland</w:t>
      </w:r>
      <w:r w:rsidRPr="000835C7">
        <w:t xml:space="preserve">. </w:t>
      </w:r>
    </w:p>
    <w:p w14:paraId="2A43B9ED" w14:textId="77777777" w:rsidR="00064CF7" w:rsidRDefault="00064CF7" w:rsidP="00EF5F29">
      <w:pPr>
        <w:pStyle w:val="ListParagraph"/>
      </w:pPr>
      <w:r w:rsidRPr="000835C7">
        <w:lastRenderedPageBreak/>
        <w:t xml:space="preserve">The Commissions welcome this opportunity to provide written evidence </w:t>
      </w:r>
      <w:r>
        <w:t>on the UK and EU proposals</w:t>
      </w:r>
      <w:r w:rsidRPr="000835C7">
        <w:t xml:space="preserve"> </w:t>
      </w:r>
      <w:r w:rsidRPr="00CD7913">
        <w:t>and are available to provide a</w:t>
      </w:r>
      <w:r w:rsidR="007F24FC" w:rsidRPr="00CD7913">
        <w:t xml:space="preserve"> further </w:t>
      </w:r>
      <w:r w:rsidRPr="00CD7913">
        <w:t xml:space="preserve">oral briefing if this could provide further assistance to the </w:t>
      </w:r>
      <w:r w:rsidR="004E5B87" w:rsidRPr="004E5B87">
        <w:t>Sub-Committee</w:t>
      </w:r>
      <w:r w:rsidRPr="004E5B87">
        <w:t>.</w:t>
      </w:r>
      <w:r w:rsidRPr="000835C7">
        <w:t xml:space="preserve"> In this briefing, the Commissions have focused on addressing only those questions in the</w:t>
      </w:r>
      <w:r w:rsidR="004E5B87" w:rsidRPr="004E5B87">
        <w:t xml:space="preserve"> Sub-Committee’s</w:t>
      </w:r>
      <w:r w:rsidR="004E5B87" w:rsidRPr="000835C7" w:rsidDel="004E5B87">
        <w:t xml:space="preserve"> </w:t>
      </w:r>
      <w:r w:rsidRPr="000835C7">
        <w:t xml:space="preserve">call for evidence which fall within the scope of our respective roles and remit. </w:t>
      </w:r>
    </w:p>
    <w:p w14:paraId="03409018" w14:textId="77777777" w:rsidR="00064CF7" w:rsidRDefault="007C2792" w:rsidP="00CA58EC">
      <w:pPr>
        <w:pStyle w:val="ListParagraph"/>
      </w:pPr>
      <w:r>
        <w:t xml:space="preserve">This evidence follows </w:t>
      </w:r>
      <w:r w:rsidR="00A64799">
        <w:t xml:space="preserve">a </w:t>
      </w:r>
      <w:r>
        <w:t xml:space="preserve">previous </w:t>
      </w:r>
      <w:r w:rsidR="00410681">
        <w:t xml:space="preserve">written </w:t>
      </w:r>
      <w:r>
        <w:t xml:space="preserve">submission by the Commissions to the </w:t>
      </w:r>
      <w:r w:rsidR="000163FD">
        <w:t>Sub-</w:t>
      </w:r>
      <w:r w:rsidR="004E5B87">
        <w:t>Committee’s</w:t>
      </w:r>
      <w:r w:rsidR="00943EF2">
        <w:t xml:space="preserve"> </w:t>
      </w:r>
      <w:r w:rsidR="00410681" w:rsidRPr="00410681">
        <w:t>Introductory Inquiry into the Operation of the Protocol</w:t>
      </w:r>
      <w:r w:rsidR="00410681">
        <w:t xml:space="preserve"> and </w:t>
      </w:r>
      <w:r w:rsidR="00A64799">
        <w:t>oral evidence</w:t>
      </w:r>
      <w:r w:rsidR="00CA58EC">
        <w:t xml:space="preserve"> </w:t>
      </w:r>
      <w:r w:rsidR="002564A1">
        <w:t xml:space="preserve">to the </w:t>
      </w:r>
      <w:r w:rsidR="004E5B87" w:rsidRPr="00CE5A4E">
        <w:t>Sub-Committee</w:t>
      </w:r>
      <w:r w:rsidR="002564A1">
        <w:t xml:space="preserve"> </w:t>
      </w:r>
      <w:r w:rsidR="00CA58EC">
        <w:t xml:space="preserve">on Article 2 of the </w:t>
      </w:r>
      <w:r w:rsidR="003F1E76">
        <w:t>P</w:t>
      </w:r>
      <w:r w:rsidR="00CA58EC">
        <w:t>rotocol (rights of individuals).</w:t>
      </w:r>
    </w:p>
    <w:p w14:paraId="5EE497C6" w14:textId="77777777" w:rsidR="00A12441" w:rsidRPr="00A12441" w:rsidRDefault="00064CF7" w:rsidP="00A12441">
      <w:pPr>
        <w:pStyle w:val="Heading1"/>
        <w:numPr>
          <w:ilvl w:val="0"/>
          <w:numId w:val="10"/>
        </w:numPr>
        <w:spacing w:after="0"/>
      </w:pPr>
      <w:r w:rsidRPr="003E627B">
        <w:t>Merits and drawbacks of the specific aspects of the UK and EU proposals</w:t>
      </w:r>
    </w:p>
    <w:p w14:paraId="029F6379" w14:textId="77777777" w:rsidR="00E82A22" w:rsidRDefault="00E82A22" w:rsidP="00E82A22">
      <w:pPr>
        <w:rPr>
          <w:lang w:eastAsia="en-US"/>
        </w:rPr>
      </w:pPr>
    </w:p>
    <w:p w14:paraId="37B7C996" w14:textId="77777777" w:rsidR="00E82A22" w:rsidRDefault="007F24FC" w:rsidP="00CD7913">
      <w:pPr>
        <w:pStyle w:val="ListParagraph"/>
        <w:numPr>
          <w:ilvl w:val="1"/>
          <w:numId w:val="29"/>
        </w:numPr>
        <w:ind w:left="709" w:hanging="709"/>
      </w:pPr>
      <w:r>
        <w:t>As set out below in more detail, t</w:t>
      </w:r>
      <w:r w:rsidR="009839EC">
        <w:t>he Commissio</w:t>
      </w:r>
      <w:r w:rsidR="00FB3CFC">
        <w:t>n</w:t>
      </w:r>
      <w:r w:rsidR="009839EC">
        <w:t>s welcome</w:t>
      </w:r>
      <w:r w:rsidR="0079202D">
        <w:t xml:space="preserve"> a number of </w:t>
      </w:r>
      <w:r w:rsidR="00CC2EAC">
        <w:t xml:space="preserve">  </w:t>
      </w:r>
      <w:r w:rsidR="009839EC">
        <w:t>the proposals of</w:t>
      </w:r>
      <w:r w:rsidR="000519F2">
        <w:t xml:space="preserve"> </w:t>
      </w:r>
      <w:r w:rsidR="00CD54F0">
        <w:t>the</w:t>
      </w:r>
      <w:r w:rsidR="00F7264B">
        <w:t xml:space="preserve"> </w:t>
      </w:r>
      <w:r w:rsidR="00F7264B" w:rsidRPr="00B15533">
        <w:t>UK Government in its July Command Paper</w:t>
      </w:r>
      <w:r w:rsidR="00F7264B">
        <w:t xml:space="preserve"> </w:t>
      </w:r>
      <w:r w:rsidR="004C3123">
        <w:t xml:space="preserve">and </w:t>
      </w:r>
      <w:r w:rsidR="00F7264B">
        <w:t xml:space="preserve">the </w:t>
      </w:r>
      <w:r w:rsidR="00F7264B" w:rsidRPr="00B15533">
        <w:t>EU</w:t>
      </w:r>
      <w:r w:rsidR="001D20F1">
        <w:t>’s</w:t>
      </w:r>
      <w:r w:rsidR="00A257D5">
        <w:t xml:space="preserve"> “non-papers” </w:t>
      </w:r>
      <w:r w:rsidR="00F7264B" w:rsidRPr="00B15533">
        <w:t>published on 13 October</w:t>
      </w:r>
      <w:r w:rsidR="00A257D5">
        <w:t xml:space="preserve"> 2021</w:t>
      </w:r>
      <w:r w:rsidR="00B87A96">
        <w:t xml:space="preserve"> </w:t>
      </w:r>
      <w:r w:rsidR="0002115F">
        <w:t>in</w:t>
      </w:r>
      <w:r w:rsidR="003158D6">
        <w:t xml:space="preserve"> </w:t>
      </w:r>
      <w:r w:rsidR="0002115F" w:rsidRPr="0002115F">
        <w:t>respon</w:t>
      </w:r>
      <w:r w:rsidR="0002115F">
        <w:t>se</w:t>
      </w:r>
      <w:r w:rsidR="0002115F" w:rsidRPr="0002115F">
        <w:t xml:space="preserve"> to the </w:t>
      </w:r>
      <w:r w:rsidR="001D2BAB">
        <w:t xml:space="preserve">ongoing </w:t>
      </w:r>
      <w:r w:rsidR="0002115F">
        <w:t>issues</w:t>
      </w:r>
      <w:r w:rsidR="0002115F" w:rsidRPr="0002115F">
        <w:t xml:space="preserve"> </w:t>
      </w:r>
      <w:r w:rsidR="001D3CCD">
        <w:t>facing Northern Ireland in relation to the operation of the Ireland/Northern Ireland Protocol</w:t>
      </w:r>
    </w:p>
    <w:p w14:paraId="20BD54EA" w14:textId="77777777" w:rsidR="00E62D0B" w:rsidRPr="00E62D0B" w:rsidRDefault="00E62D0B" w:rsidP="00E62D0B">
      <w:pPr>
        <w:pStyle w:val="ListParagraph"/>
        <w:numPr>
          <w:ilvl w:val="0"/>
          <w:numId w:val="0"/>
        </w:numPr>
        <w:ind w:left="720"/>
        <w:rPr>
          <w:b/>
          <w:bCs/>
        </w:rPr>
      </w:pPr>
      <w:r w:rsidRPr="00E62D0B">
        <w:rPr>
          <w:b/>
          <w:bCs/>
        </w:rPr>
        <w:t>UK Government Command Paper</w:t>
      </w:r>
    </w:p>
    <w:p w14:paraId="1A6F6230" w14:textId="77777777" w:rsidR="00A257D5" w:rsidRPr="00E82A22" w:rsidRDefault="00981F06" w:rsidP="00F05004">
      <w:pPr>
        <w:pStyle w:val="ListParagraph"/>
        <w:numPr>
          <w:ilvl w:val="1"/>
          <w:numId w:val="29"/>
        </w:numPr>
        <w:ind w:left="709" w:hanging="709"/>
      </w:pPr>
      <w:r>
        <w:t>In relation to Article 2 of the Protocol t</w:t>
      </w:r>
      <w:r w:rsidR="005A0A7B">
        <w:t xml:space="preserve">he Commissions </w:t>
      </w:r>
      <w:r w:rsidR="005A0A7B" w:rsidRPr="00CD7913">
        <w:t>welcome</w:t>
      </w:r>
      <w:r w:rsidR="005A0A7B">
        <w:t xml:space="preserve"> the UK Government’s </w:t>
      </w:r>
      <w:r w:rsidR="000C411D">
        <w:t>acknowledgment in</w:t>
      </w:r>
      <w:r w:rsidR="00472973">
        <w:t xml:space="preserve"> its Command Paper </w:t>
      </w:r>
      <w:r w:rsidR="00AF4ED5">
        <w:t>that</w:t>
      </w:r>
      <w:r w:rsidR="0060401A">
        <w:t>:</w:t>
      </w:r>
      <w:r>
        <w:t xml:space="preserve"> </w:t>
      </w:r>
    </w:p>
    <w:p w14:paraId="3E16825C" w14:textId="77777777" w:rsidR="00064CF7" w:rsidRDefault="00826F4E" w:rsidP="0060401A">
      <w:pPr>
        <w:autoSpaceDE w:val="0"/>
        <w:autoSpaceDN w:val="0"/>
        <w:adjustRightInd w:val="0"/>
        <w:ind w:left="1080"/>
        <w:rPr>
          <w:rFonts w:asciiTheme="minorHAnsi" w:hAnsiTheme="minorHAnsi" w:cstheme="minorHAnsi"/>
          <w:sz w:val="28"/>
          <w:szCs w:val="28"/>
        </w:rPr>
      </w:pPr>
      <w:r w:rsidRPr="0060401A">
        <w:rPr>
          <w:rFonts w:asciiTheme="minorHAnsi" w:hAnsiTheme="minorHAnsi" w:cstheme="minorHAnsi"/>
          <w:sz w:val="28"/>
          <w:szCs w:val="28"/>
        </w:rPr>
        <w:t>“</w:t>
      </w:r>
      <w:r w:rsidR="00FD460A">
        <w:rPr>
          <w:rFonts w:asciiTheme="minorHAnsi" w:hAnsiTheme="minorHAnsi" w:cstheme="minorHAnsi"/>
          <w:sz w:val="28"/>
          <w:szCs w:val="28"/>
        </w:rPr>
        <w:t>…</w:t>
      </w:r>
      <w:r w:rsidRPr="0060401A">
        <w:rPr>
          <w:rFonts w:asciiTheme="minorHAnsi" w:hAnsiTheme="minorHAnsi" w:cstheme="minorHAnsi"/>
          <w:sz w:val="28"/>
          <w:szCs w:val="28"/>
        </w:rPr>
        <w:t>the provisions that ensure there is no diminution of human rights in Northern Ireland as a result of the UK’s withdrawal from the European Union are not controversial</w:t>
      </w:r>
      <w:r w:rsidR="00FD0022">
        <w:rPr>
          <w:rFonts w:asciiTheme="minorHAnsi" w:hAnsiTheme="minorHAnsi" w:cstheme="minorHAnsi"/>
          <w:sz w:val="28"/>
          <w:szCs w:val="28"/>
        </w:rPr>
        <w:t>.</w:t>
      </w:r>
      <w:r w:rsidRPr="0060401A">
        <w:rPr>
          <w:rFonts w:asciiTheme="minorHAnsi" w:hAnsiTheme="minorHAnsi" w:cstheme="minorHAnsi"/>
          <w:sz w:val="28"/>
          <w:szCs w:val="28"/>
        </w:rPr>
        <w:t>”</w:t>
      </w:r>
      <w:r w:rsidR="00B517A0">
        <w:rPr>
          <w:rStyle w:val="FootnoteReference"/>
          <w:rFonts w:asciiTheme="minorHAnsi" w:hAnsiTheme="minorHAnsi" w:cstheme="minorHAnsi"/>
          <w:sz w:val="28"/>
          <w:szCs w:val="28"/>
        </w:rPr>
        <w:footnoteReference w:id="1"/>
      </w:r>
    </w:p>
    <w:p w14:paraId="0093E2BC" w14:textId="77777777" w:rsidR="00E62D0B" w:rsidRDefault="00E62D0B" w:rsidP="00A02036">
      <w:pPr>
        <w:autoSpaceDE w:val="0"/>
        <w:autoSpaceDN w:val="0"/>
        <w:adjustRightInd w:val="0"/>
        <w:rPr>
          <w:rFonts w:asciiTheme="minorHAnsi" w:hAnsiTheme="minorHAnsi" w:cstheme="minorHAnsi"/>
          <w:sz w:val="28"/>
          <w:szCs w:val="28"/>
        </w:rPr>
      </w:pPr>
    </w:p>
    <w:p w14:paraId="446DFB92" w14:textId="77777777" w:rsidR="00AC76EF" w:rsidRPr="00BE505F" w:rsidRDefault="00AC76EF" w:rsidP="00BE505F">
      <w:pPr>
        <w:autoSpaceDE w:val="0"/>
        <w:autoSpaceDN w:val="0"/>
        <w:adjustRightInd w:val="0"/>
        <w:ind w:firstLine="360"/>
        <w:rPr>
          <w:rFonts w:asciiTheme="minorHAnsi" w:hAnsiTheme="minorHAnsi" w:cstheme="minorHAnsi"/>
          <w:sz w:val="28"/>
          <w:szCs w:val="28"/>
          <w:u w:val="single"/>
        </w:rPr>
      </w:pPr>
      <w:r w:rsidRPr="00BE505F">
        <w:rPr>
          <w:rFonts w:asciiTheme="minorHAnsi" w:hAnsiTheme="minorHAnsi" w:cstheme="minorHAnsi"/>
          <w:sz w:val="28"/>
          <w:szCs w:val="28"/>
          <w:u w:val="single"/>
        </w:rPr>
        <w:t xml:space="preserve">Importance of Article 2 (1) commitment </w:t>
      </w:r>
    </w:p>
    <w:p w14:paraId="4A58EF80" w14:textId="77777777" w:rsidR="00AC76EF" w:rsidRPr="00A02036" w:rsidRDefault="00AC76EF" w:rsidP="00A02036">
      <w:pPr>
        <w:autoSpaceDE w:val="0"/>
        <w:autoSpaceDN w:val="0"/>
        <w:adjustRightInd w:val="0"/>
        <w:rPr>
          <w:rFonts w:asciiTheme="minorHAnsi" w:hAnsiTheme="minorHAnsi" w:cstheme="minorHAnsi"/>
          <w:sz w:val="28"/>
          <w:szCs w:val="28"/>
          <w:u w:val="single"/>
        </w:rPr>
      </w:pPr>
    </w:p>
    <w:p w14:paraId="50E8D02D" w14:textId="77777777" w:rsidR="007E3A68" w:rsidRDefault="007E3A68" w:rsidP="00CD7913">
      <w:pPr>
        <w:pStyle w:val="ListParagraph"/>
        <w:numPr>
          <w:ilvl w:val="1"/>
          <w:numId w:val="29"/>
        </w:numPr>
        <w:ind w:left="709" w:hanging="709"/>
      </w:pPr>
      <w:r>
        <w:t xml:space="preserve">As we made clear in our earlier submission to the </w:t>
      </w:r>
      <w:r w:rsidR="000163FD">
        <w:t>Sub-</w:t>
      </w:r>
      <w:r>
        <w:t>Committee, t</w:t>
      </w:r>
      <w:r w:rsidRPr="007E3A68">
        <w:t xml:space="preserve">he Commissions consider that the commitment by the UK Government in Article 2 of the Protocol is a positive </w:t>
      </w:r>
      <w:r w:rsidR="000C411D">
        <w:t xml:space="preserve">one, </w:t>
      </w:r>
      <w:r w:rsidR="000C411D" w:rsidRPr="007E3A68">
        <w:t>as</w:t>
      </w:r>
      <w:r w:rsidRPr="007E3A68">
        <w:t xml:space="preserve"> it recognises the centrality of equality and human rights in the Belfast (Good Friday) Agreement.  In addition, the establishment, resourcing, and </w:t>
      </w:r>
      <w:r w:rsidRPr="007E3A68">
        <w:lastRenderedPageBreak/>
        <w:t>new powers and duties of the Commissions as the dedicated mechanism</w:t>
      </w:r>
      <w:r w:rsidR="00E21FDC">
        <w:t xml:space="preserve"> framework</w:t>
      </w:r>
      <w:r w:rsidRPr="007E3A68">
        <w:t xml:space="preserve"> to oversee the implementation of this commitment is another positive dev</w:t>
      </w:r>
      <w:r>
        <w:t>elopment</w:t>
      </w:r>
      <w:r w:rsidRPr="007E3A68">
        <w:t xml:space="preserve">.  </w:t>
      </w:r>
    </w:p>
    <w:p w14:paraId="0E871D8D" w14:textId="77777777" w:rsidR="00BF1BBA" w:rsidRDefault="007E3A68" w:rsidP="00CD7913">
      <w:pPr>
        <w:pStyle w:val="ListParagraph"/>
        <w:numPr>
          <w:ilvl w:val="1"/>
          <w:numId w:val="29"/>
        </w:numPr>
        <w:ind w:left="709" w:hanging="709"/>
      </w:pPr>
      <w:r>
        <w:t>I</w:t>
      </w:r>
      <w:r w:rsidR="00322C75">
        <w:t>t is therefore essential,</w:t>
      </w:r>
      <w:r w:rsidR="0009361B">
        <w:t xml:space="preserve"> in light of the positive aspects of the Article 2 (1) </w:t>
      </w:r>
      <w:r w:rsidR="00F36790">
        <w:t>commitment, and its</w:t>
      </w:r>
      <w:r w:rsidR="0009361B">
        <w:t xml:space="preserve"> ‘</w:t>
      </w:r>
      <w:r w:rsidR="000C411D">
        <w:t>non-controversial</w:t>
      </w:r>
      <w:r w:rsidR="0009361B">
        <w:t>’ nature</w:t>
      </w:r>
      <w:r w:rsidR="0079202D">
        <w:t xml:space="preserve">, </w:t>
      </w:r>
      <w:r w:rsidR="0009361B">
        <w:t xml:space="preserve">as indicated </w:t>
      </w:r>
      <w:r w:rsidR="00E21FDC">
        <w:t>in the Command Paper</w:t>
      </w:r>
      <w:r w:rsidR="0009361B">
        <w:t>,</w:t>
      </w:r>
      <w:r w:rsidR="003B5BB3">
        <w:t xml:space="preserve"> that </w:t>
      </w:r>
      <w:r w:rsidR="00322C75">
        <w:t>the UK Government remains committed to upholding its commitment set out in Article 2(1)</w:t>
      </w:r>
      <w:r w:rsidR="001C7A1C">
        <w:t>,</w:t>
      </w:r>
      <w:r w:rsidR="003B5BB3">
        <w:t xml:space="preserve"> as well as to the </w:t>
      </w:r>
      <w:r w:rsidR="001C7A1C">
        <w:t>adequate and sustained resou</w:t>
      </w:r>
      <w:r w:rsidR="00D97EA2">
        <w:t>r</w:t>
      </w:r>
      <w:r w:rsidR="001C7A1C">
        <w:t>cing</w:t>
      </w:r>
      <w:r w:rsidR="003B5BB3">
        <w:t xml:space="preserve"> of the </w:t>
      </w:r>
      <w:r w:rsidR="00E21FDC">
        <w:t>d</w:t>
      </w:r>
      <w:r w:rsidR="003B5BB3">
        <w:t xml:space="preserve">edicated </w:t>
      </w:r>
      <w:r w:rsidR="00E21FDC">
        <w:t>m</w:t>
      </w:r>
      <w:r w:rsidR="003B5BB3">
        <w:t>echanism</w:t>
      </w:r>
      <w:r w:rsidR="00E21FDC">
        <w:t xml:space="preserve"> framework</w:t>
      </w:r>
      <w:r w:rsidR="00322C75">
        <w:t>.</w:t>
      </w:r>
      <w:r w:rsidR="003B5BB3">
        <w:t xml:space="preserve"> </w:t>
      </w:r>
    </w:p>
    <w:p w14:paraId="70855D79" w14:textId="77777777" w:rsidR="007E3A68" w:rsidRDefault="003B5BB3" w:rsidP="00CD7913">
      <w:pPr>
        <w:pStyle w:val="ListParagraph"/>
        <w:numPr>
          <w:ilvl w:val="1"/>
          <w:numId w:val="29"/>
        </w:numPr>
        <w:ind w:left="709" w:hanging="709"/>
      </w:pPr>
      <w:r>
        <w:t xml:space="preserve">We welcome the fact that the </w:t>
      </w:r>
      <w:r w:rsidR="000163FD">
        <w:t>Sub-</w:t>
      </w:r>
      <w:r>
        <w:t xml:space="preserve">Committee has recently written to the Secretary of State NI </w:t>
      </w:r>
      <w:r w:rsidR="00720B71">
        <w:t>and sought the Government’s</w:t>
      </w:r>
      <w:r w:rsidR="00BF1BBA">
        <w:t xml:space="preserve"> </w:t>
      </w:r>
      <w:r w:rsidR="00BF1BBA" w:rsidRPr="00BF1BBA">
        <w:t>commit</w:t>
      </w:r>
      <w:r w:rsidR="00BF1BBA">
        <w:t>ment</w:t>
      </w:r>
      <w:r w:rsidR="00BF1BBA" w:rsidRPr="00BF1BBA">
        <w:t xml:space="preserve"> </w:t>
      </w:r>
      <w:r w:rsidR="00BF1BBA">
        <w:t>‘</w:t>
      </w:r>
      <w:r w:rsidR="00BF1BBA" w:rsidRPr="00BF1BBA">
        <w:t>to upholding the Article 2 provisions and the dedicated mechanism framework for their implementation, come what may</w:t>
      </w:r>
      <w:r w:rsidR="00BF1BBA">
        <w:t>’</w:t>
      </w:r>
      <w:r w:rsidR="001C7A1C">
        <w:t>, and to</w:t>
      </w:r>
      <w:r w:rsidR="001C7A1C" w:rsidRPr="001C7A1C">
        <w:t xml:space="preserve"> provide assurances that the Commissions will have adequate and continuing resources </w:t>
      </w:r>
      <w:r w:rsidR="001C7A1C">
        <w:t>to fulfil their monitoring role</w:t>
      </w:r>
      <w:r w:rsidR="000B56EA" w:rsidRPr="006D7668">
        <w:rPr>
          <w:vertAlign w:val="superscript"/>
        </w:rPr>
        <w:footnoteReference w:id="2"/>
      </w:r>
      <w:r w:rsidR="001C7A1C" w:rsidRPr="007943C3">
        <w:t>.</w:t>
      </w:r>
    </w:p>
    <w:p w14:paraId="475FCE16" w14:textId="77777777" w:rsidR="00BE505F" w:rsidRDefault="000B56EA" w:rsidP="00CD7913">
      <w:pPr>
        <w:pStyle w:val="ListParagraph"/>
        <w:numPr>
          <w:ilvl w:val="1"/>
          <w:numId w:val="29"/>
        </w:numPr>
        <w:ind w:left="709" w:hanging="709"/>
      </w:pPr>
      <w:r>
        <w:t>We also mentioned</w:t>
      </w:r>
      <w:r w:rsidR="00E21FDC">
        <w:t>,</w:t>
      </w:r>
      <w:r>
        <w:t xml:space="preserve"> as part of our </w:t>
      </w:r>
      <w:r w:rsidR="00E21FDC">
        <w:t>previous</w:t>
      </w:r>
      <w:r w:rsidR="000C411D">
        <w:t xml:space="preserve"> </w:t>
      </w:r>
      <w:r>
        <w:t xml:space="preserve">evidence to the </w:t>
      </w:r>
      <w:r w:rsidR="000163FD">
        <w:t>Sub-</w:t>
      </w:r>
      <w:r>
        <w:t>Committee</w:t>
      </w:r>
      <w:r w:rsidR="00E21FDC">
        <w:t>,</w:t>
      </w:r>
      <w:r>
        <w:t xml:space="preserve"> the value of the Article 2(1) commitment being contained with</w:t>
      </w:r>
      <w:r w:rsidR="008E38C4">
        <w:t>in</w:t>
      </w:r>
      <w:r>
        <w:t xml:space="preserve"> the </w:t>
      </w:r>
      <w:r w:rsidR="00720B71">
        <w:t xml:space="preserve">framework of the </w:t>
      </w:r>
      <w:r>
        <w:t>P</w:t>
      </w:r>
      <w:r w:rsidR="008E38C4">
        <w:t>rotocol</w:t>
      </w:r>
      <w:r w:rsidR="00720B71">
        <w:t>, with its</w:t>
      </w:r>
      <w:r>
        <w:t xml:space="preserve"> associated oversight mechanisms</w:t>
      </w:r>
      <w:r w:rsidR="000A09E7">
        <w:t>. This includes</w:t>
      </w:r>
      <w:r>
        <w:t xml:space="preserve"> the Specialised Committee to the Protocol, to which the </w:t>
      </w:r>
      <w:r w:rsidR="00E21FDC">
        <w:t>Equality Commission for Northern Ireland and the Northern Ireland Human Rights Commission</w:t>
      </w:r>
      <w:r w:rsidR="00EA41CA" w:rsidRPr="006D7668">
        <w:rPr>
          <w:vertAlign w:val="superscript"/>
        </w:rPr>
        <w:footnoteReference w:id="3"/>
      </w:r>
      <w:r>
        <w:t xml:space="preserve">, and the Joint Committee of the </w:t>
      </w:r>
      <w:r w:rsidR="00095240">
        <w:t xml:space="preserve">NIHRC and </w:t>
      </w:r>
      <w:r w:rsidR="00720B71">
        <w:t>Irish Human Rights and Equality Commission (</w:t>
      </w:r>
      <w:r w:rsidR="00095240">
        <w:t>IHREC</w:t>
      </w:r>
      <w:r w:rsidR="00720B71">
        <w:t>)</w:t>
      </w:r>
      <w:r w:rsidR="00095240">
        <w:t xml:space="preserve"> can refer matters relating to the implementation of Article 2. </w:t>
      </w:r>
      <w:r>
        <w:t xml:space="preserve"> </w:t>
      </w:r>
    </w:p>
    <w:p w14:paraId="417207D2" w14:textId="77777777" w:rsidR="00C80FA4" w:rsidRPr="003C3947" w:rsidRDefault="0095459E">
      <w:pPr>
        <w:pStyle w:val="ListParagraph"/>
        <w:numPr>
          <w:ilvl w:val="1"/>
          <w:numId w:val="29"/>
        </w:numPr>
        <w:ind w:left="709" w:hanging="709"/>
      </w:pPr>
      <w:r w:rsidRPr="003C3947">
        <w:lastRenderedPageBreak/>
        <w:t xml:space="preserve">It is clear from </w:t>
      </w:r>
      <w:r w:rsidR="00C80FA4" w:rsidRPr="003C3947">
        <w:t>the UK Government</w:t>
      </w:r>
      <w:r w:rsidRPr="003C3947">
        <w:t>’s</w:t>
      </w:r>
      <w:r w:rsidR="00C80FA4" w:rsidRPr="003C3947">
        <w:t xml:space="preserve"> NIO Explainer document </w:t>
      </w:r>
      <w:r w:rsidRPr="003C3947">
        <w:t xml:space="preserve">on Article 2 (2020) </w:t>
      </w:r>
      <w:r w:rsidR="00F30F42" w:rsidRPr="003C3947">
        <w:t xml:space="preserve">that individuals </w:t>
      </w:r>
      <w:r w:rsidR="00E01608" w:rsidRPr="003C3947">
        <w:t>have the right to</w:t>
      </w:r>
      <w:r w:rsidR="00F8035A" w:rsidRPr="003C3947">
        <w:t xml:space="preserve"> bring challenges </w:t>
      </w:r>
      <w:r w:rsidR="001070B7" w:rsidRPr="003C3947">
        <w:t xml:space="preserve">alleging a breach </w:t>
      </w:r>
      <w:r w:rsidR="00DC7CE2" w:rsidRPr="003C3947">
        <w:t>of the</w:t>
      </w:r>
      <w:r w:rsidR="00F8035A" w:rsidRPr="003C3947">
        <w:t xml:space="preserve"> Article 2(1) commitment directly before the domestic courts</w:t>
      </w:r>
      <w:r w:rsidR="002E523D" w:rsidRPr="003C3947">
        <w:rPr>
          <w:rStyle w:val="FootnoteReference"/>
        </w:rPr>
        <w:footnoteReference w:id="4"/>
      </w:r>
      <w:r w:rsidR="009843D6" w:rsidRPr="003C3947">
        <w:t xml:space="preserve"> </w:t>
      </w:r>
      <w:r w:rsidRPr="003C3947">
        <w:t xml:space="preserve">. </w:t>
      </w:r>
      <w:r w:rsidR="00DC7CE2" w:rsidRPr="003C3947">
        <w:t>The UK</w:t>
      </w:r>
      <w:r w:rsidR="006C5274" w:rsidRPr="003C3947">
        <w:t xml:space="preserve"> Government</w:t>
      </w:r>
      <w:r w:rsidRPr="003C3947">
        <w:t xml:space="preserve"> has also c</w:t>
      </w:r>
      <w:r w:rsidR="001070B7" w:rsidRPr="003C3947">
        <w:t xml:space="preserve">onfirmed that it is of </w:t>
      </w:r>
      <w:r w:rsidR="00DC7CE2" w:rsidRPr="003C3947">
        <w:t xml:space="preserve">the </w:t>
      </w:r>
      <w:r w:rsidR="001070B7" w:rsidRPr="003C3947">
        <w:t xml:space="preserve">view </w:t>
      </w:r>
      <w:r w:rsidR="009843D6" w:rsidRPr="003C3947">
        <w:t>that Article 2 has direct effect</w:t>
      </w:r>
      <w:r w:rsidR="00263293" w:rsidRPr="003C3947">
        <w:t xml:space="preserve"> and that individuals</w:t>
      </w:r>
      <w:r w:rsidR="003A22B4" w:rsidRPr="003C3947">
        <w:t>, and not solely the Commissions, can rely directly on Article 2 before domestic courts</w:t>
      </w:r>
      <w:r w:rsidR="00263293" w:rsidRPr="003C3947">
        <w:t xml:space="preserve"> </w:t>
      </w:r>
      <w:r w:rsidR="00C01E3D" w:rsidRPr="003C3947">
        <w:rPr>
          <w:rStyle w:val="FootnoteReference"/>
        </w:rPr>
        <w:footnoteReference w:id="5"/>
      </w:r>
      <w:r w:rsidR="009843D6" w:rsidRPr="003C3947">
        <w:t>.</w:t>
      </w:r>
      <w:r w:rsidR="00740171" w:rsidRPr="003C3947">
        <w:t xml:space="preserve"> </w:t>
      </w:r>
    </w:p>
    <w:p w14:paraId="4EA2D75C" w14:textId="77777777" w:rsidR="000A09E7" w:rsidRPr="003C3947" w:rsidRDefault="000B56EA" w:rsidP="00CD7913">
      <w:pPr>
        <w:pStyle w:val="ListParagraph"/>
        <w:numPr>
          <w:ilvl w:val="1"/>
          <w:numId w:val="29"/>
        </w:numPr>
        <w:ind w:left="709" w:hanging="709"/>
      </w:pPr>
      <w:r>
        <w:t xml:space="preserve">These are </w:t>
      </w:r>
      <w:r w:rsidRPr="003C3947">
        <w:t xml:space="preserve">important </w:t>
      </w:r>
      <w:r w:rsidR="001070B7" w:rsidRPr="003C3947">
        <w:t xml:space="preserve">rights and </w:t>
      </w:r>
      <w:r w:rsidRPr="003C3947">
        <w:t xml:space="preserve">safeguards </w:t>
      </w:r>
      <w:r w:rsidR="00095240" w:rsidRPr="003C3947">
        <w:t xml:space="preserve">that ensure that the UK Government’s commitment is upheld and we </w:t>
      </w:r>
      <w:r w:rsidR="008E38C4" w:rsidRPr="003C3947">
        <w:t xml:space="preserve">would be concerned if any changes to the Protocol resulted in a weakening of </w:t>
      </w:r>
      <w:r w:rsidR="00720B71" w:rsidRPr="003C3947">
        <w:t xml:space="preserve">either </w:t>
      </w:r>
      <w:r w:rsidR="00E21FDC" w:rsidRPr="003C3947">
        <w:t xml:space="preserve">the </w:t>
      </w:r>
      <w:r w:rsidR="00720B71" w:rsidRPr="003C3947">
        <w:t xml:space="preserve">Article 2 (1) commitment or the </w:t>
      </w:r>
      <w:r w:rsidR="001070B7" w:rsidRPr="003C3947">
        <w:t xml:space="preserve">rights of individuals or </w:t>
      </w:r>
      <w:r w:rsidR="00095240" w:rsidRPr="003C3947">
        <w:t xml:space="preserve">safeguards and </w:t>
      </w:r>
      <w:r w:rsidR="000C411D" w:rsidRPr="003C3947">
        <w:t>oversight mechanisms</w:t>
      </w:r>
      <w:r w:rsidR="00095240" w:rsidRPr="003C3947">
        <w:t xml:space="preserve"> </w:t>
      </w:r>
      <w:r w:rsidR="00405CEB" w:rsidRPr="003C3947">
        <w:t>relating</w:t>
      </w:r>
      <w:r w:rsidR="00720B71" w:rsidRPr="003C3947">
        <w:t xml:space="preserve"> to this </w:t>
      </w:r>
      <w:r w:rsidR="008E38C4" w:rsidRPr="003C3947">
        <w:t>commitment</w:t>
      </w:r>
      <w:r w:rsidR="00095240" w:rsidRPr="003C3947">
        <w:t>.</w:t>
      </w:r>
    </w:p>
    <w:p w14:paraId="582CB69E" w14:textId="77777777" w:rsidR="000A09E7" w:rsidRPr="003C3947" w:rsidRDefault="000A09E7" w:rsidP="000A09E7">
      <w:pPr>
        <w:pStyle w:val="ListParagraph"/>
        <w:numPr>
          <w:ilvl w:val="0"/>
          <w:numId w:val="0"/>
        </w:numPr>
        <w:ind w:left="720"/>
        <w:rPr>
          <w:b/>
        </w:rPr>
      </w:pPr>
      <w:r w:rsidRPr="003C3947">
        <w:rPr>
          <w:b/>
        </w:rPr>
        <w:t>Recommendations</w:t>
      </w:r>
    </w:p>
    <w:p w14:paraId="4666AF34" w14:textId="77777777" w:rsidR="000A09E7" w:rsidRPr="003C3947" w:rsidRDefault="000A09E7" w:rsidP="00386AB7">
      <w:pPr>
        <w:pStyle w:val="ListParagraph"/>
        <w:numPr>
          <w:ilvl w:val="1"/>
          <w:numId w:val="29"/>
        </w:numPr>
        <w:ind w:left="709" w:hanging="709"/>
        <w:rPr>
          <w:b/>
          <w:bCs/>
        </w:rPr>
      </w:pPr>
      <w:r w:rsidRPr="003C3947">
        <w:rPr>
          <w:b/>
          <w:bCs/>
        </w:rPr>
        <w:t>The Commissions recommend that:</w:t>
      </w:r>
    </w:p>
    <w:p w14:paraId="6C5C35A1" w14:textId="77777777" w:rsidR="000A09E7" w:rsidRPr="003C3947" w:rsidRDefault="000A09E7" w:rsidP="000A09E7">
      <w:pPr>
        <w:pStyle w:val="ListParagraph"/>
        <w:numPr>
          <w:ilvl w:val="0"/>
          <w:numId w:val="56"/>
        </w:numPr>
        <w:rPr>
          <w:b/>
        </w:rPr>
      </w:pPr>
      <w:r w:rsidRPr="003C3947">
        <w:rPr>
          <w:b/>
        </w:rPr>
        <w:t xml:space="preserve">there are no changes to the Protocol that would result in a weakening of either the Article 2 (1) commitment or the Protocol’s </w:t>
      </w:r>
      <w:r w:rsidR="00E01608" w:rsidRPr="003C3947">
        <w:rPr>
          <w:b/>
        </w:rPr>
        <w:t xml:space="preserve">rights, </w:t>
      </w:r>
      <w:r w:rsidRPr="003C3947">
        <w:rPr>
          <w:b/>
        </w:rPr>
        <w:t xml:space="preserve">safeguards and </w:t>
      </w:r>
      <w:r w:rsidR="000C411D" w:rsidRPr="003C3947">
        <w:rPr>
          <w:b/>
        </w:rPr>
        <w:t>oversight mechanisms</w:t>
      </w:r>
      <w:r w:rsidR="00E01608" w:rsidRPr="003C3947">
        <w:rPr>
          <w:b/>
        </w:rPr>
        <w:t xml:space="preserve"> </w:t>
      </w:r>
      <w:r w:rsidRPr="003C3947">
        <w:rPr>
          <w:b/>
        </w:rPr>
        <w:t>relating to this commitment;</w:t>
      </w:r>
    </w:p>
    <w:p w14:paraId="2882563A" w14:textId="77777777" w:rsidR="000A09E7" w:rsidRPr="00A02036" w:rsidRDefault="000A09E7" w:rsidP="000A09E7">
      <w:pPr>
        <w:pStyle w:val="ListParagraph"/>
        <w:numPr>
          <w:ilvl w:val="0"/>
          <w:numId w:val="56"/>
        </w:numPr>
        <w:rPr>
          <w:b/>
        </w:rPr>
      </w:pPr>
      <w:r w:rsidRPr="00A02036">
        <w:rPr>
          <w:b/>
        </w:rPr>
        <w:t>there is adequate and sustained resour</w:t>
      </w:r>
      <w:r>
        <w:rPr>
          <w:b/>
        </w:rPr>
        <w:t xml:space="preserve">cing of the </w:t>
      </w:r>
      <w:r w:rsidR="00E21FDC">
        <w:rPr>
          <w:b/>
        </w:rPr>
        <w:t>two Commissions to fulfil their responsibilities as the d</w:t>
      </w:r>
      <w:r>
        <w:rPr>
          <w:b/>
        </w:rPr>
        <w:t xml:space="preserve">edicated </w:t>
      </w:r>
      <w:r w:rsidR="00E21FDC">
        <w:rPr>
          <w:b/>
        </w:rPr>
        <w:t>m</w:t>
      </w:r>
      <w:r>
        <w:rPr>
          <w:b/>
        </w:rPr>
        <w:t>echanism</w:t>
      </w:r>
      <w:r w:rsidR="00E21FDC">
        <w:rPr>
          <w:b/>
        </w:rPr>
        <w:t xml:space="preserve"> framework</w:t>
      </w:r>
      <w:r>
        <w:rPr>
          <w:b/>
        </w:rPr>
        <w:t>.</w:t>
      </w:r>
    </w:p>
    <w:p w14:paraId="2B32C8E9" w14:textId="77777777" w:rsidR="000A09E7" w:rsidRPr="00CD7913" w:rsidRDefault="000A09E7" w:rsidP="00CD7913">
      <w:pPr>
        <w:rPr>
          <w:u w:val="single"/>
        </w:rPr>
      </w:pPr>
    </w:p>
    <w:p w14:paraId="56526451" w14:textId="77777777" w:rsidR="00BE505F" w:rsidRPr="000A09E7" w:rsidRDefault="00BC7269" w:rsidP="000A09E7">
      <w:pPr>
        <w:pStyle w:val="ListParagraph"/>
        <w:numPr>
          <w:ilvl w:val="0"/>
          <w:numId w:val="0"/>
        </w:numPr>
        <w:ind w:left="360"/>
        <w:rPr>
          <w:u w:val="single"/>
        </w:rPr>
      </w:pPr>
      <w:r>
        <w:rPr>
          <w:u w:val="single"/>
        </w:rPr>
        <w:t xml:space="preserve">UK Government/NI Executive </w:t>
      </w:r>
      <w:r w:rsidR="00BE505F" w:rsidRPr="00BE505F">
        <w:rPr>
          <w:u w:val="single"/>
        </w:rPr>
        <w:t>Engagement with stakeholders</w:t>
      </w:r>
    </w:p>
    <w:p w14:paraId="31DF50D1" w14:textId="77777777" w:rsidR="00450CE1" w:rsidRDefault="003B3D1D" w:rsidP="00CD7913">
      <w:pPr>
        <w:pStyle w:val="ListParagraph"/>
        <w:numPr>
          <w:ilvl w:val="1"/>
          <w:numId w:val="29"/>
        </w:numPr>
        <w:ind w:left="709" w:hanging="709"/>
      </w:pPr>
      <w:r w:rsidRPr="00975E7B">
        <w:lastRenderedPageBreak/>
        <w:t>The Commissions also welcome the UK Government’s</w:t>
      </w:r>
      <w:r w:rsidR="00450CE1">
        <w:t xml:space="preserve"> proposals</w:t>
      </w:r>
      <w:r w:rsidR="00720B71">
        <w:t xml:space="preserve"> in the Command </w:t>
      </w:r>
      <w:r w:rsidR="00E21FDC">
        <w:t>P</w:t>
      </w:r>
      <w:r w:rsidR="00450CE1">
        <w:t xml:space="preserve">aper </w:t>
      </w:r>
      <w:r w:rsidR="004470D8">
        <w:t>on stronger engagement for stakeholders, including civil society,</w:t>
      </w:r>
      <w:r w:rsidR="006765C7" w:rsidRPr="00975E7B">
        <w:t xml:space="preserve"> in relation to consultation and legislative processes</w:t>
      </w:r>
      <w:r w:rsidR="00975E7B" w:rsidRPr="00232F70">
        <w:rPr>
          <w:vertAlign w:val="superscript"/>
        </w:rPr>
        <w:footnoteReference w:id="6"/>
      </w:r>
      <w:r w:rsidR="003B2CF0">
        <w:t>.</w:t>
      </w:r>
      <w:r w:rsidR="009E3D00">
        <w:t xml:space="preserve"> </w:t>
      </w:r>
    </w:p>
    <w:p w14:paraId="5F2C3026" w14:textId="77777777" w:rsidR="00973BB7" w:rsidRDefault="00450CE1" w:rsidP="00CD7913">
      <w:pPr>
        <w:pStyle w:val="ListParagraph"/>
        <w:numPr>
          <w:ilvl w:val="1"/>
          <w:numId w:val="29"/>
        </w:numPr>
        <w:ind w:left="709" w:hanging="709"/>
      </w:pPr>
      <w:r>
        <w:t>In particular, we welcome t</w:t>
      </w:r>
      <w:r w:rsidR="00B9662E">
        <w:t>he UK Government’s indication that it intends to provide a stronger role for those in Northern Ireland</w:t>
      </w:r>
      <w:r w:rsidR="00CD75D9">
        <w:t xml:space="preserve">, including wider NI </w:t>
      </w:r>
      <w:r w:rsidR="0050078B">
        <w:t>c</w:t>
      </w:r>
      <w:r w:rsidR="00CD75D9">
        <w:t>ivic society</w:t>
      </w:r>
      <w:r>
        <w:t xml:space="preserve">. </w:t>
      </w:r>
    </w:p>
    <w:p w14:paraId="3D4013EC" w14:textId="77777777" w:rsidR="00B63079" w:rsidRDefault="000A09E7" w:rsidP="00CD7913">
      <w:pPr>
        <w:pStyle w:val="ListParagraph"/>
        <w:numPr>
          <w:ilvl w:val="1"/>
          <w:numId w:val="29"/>
        </w:numPr>
        <w:ind w:left="709" w:hanging="709"/>
      </w:pPr>
      <w:r>
        <w:t>However</w:t>
      </w:r>
      <w:r w:rsidR="00450CE1">
        <w:t>,</w:t>
      </w:r>
      <w:r w:rsidR="00026212">
        <w:t xml:space="preserve"> we note that there is no specific mention to engaging with equality and human rights stakeholders in the Command Paper.  I</w:t>
      </w:r>
      <w:r w:rsidR="00973BB7">
        <w:t>t is essential</w:t>
      </w:r>
      <w:r w:rsidR="00CD75D9">
        <w:t>, as we made clear in our evidence</w:t>
      </w:r>
      <w:r w:rsidR="00B02E33">
        <w:t xml:space="preserve"> to the </w:t>
      </w:r>
      <w:r w:rsidR="004A6FB5">
        <w:t>Sub-</w:t>
      </w:r>
      <w:r w:rsidR="00B02E33">
        <w:t>Committee</w:t>
      </w:r>
      <w:r w:rsidR="00ED398B">
        <w:t>, that any engagement with c</w:t>
      </w:r>
      <w:r w:rsidR="00026212">
        <w:t xml:space="preserve">ivil </w:t>
      </w:r>
      <w:r w:rsidR="00616C66">
        <w:t>s</w:t>
      </w:r>
      <w:r w:rsidR="00026212">
        <w:t>ociety organisations</w:t>
      </w:r>
      <w:r w:rsidR="00CD75D9">
        <w:t xml:space="preserve"> includes </w:t>
      </w:r>
      <w:r w:rsidR="00B02E33" w:rsidRPr="00B63AFB">
        <w:t>transparent, structured,</w:t>
      </w:r>
      <w:r w:rsidR="00646A0F" w:rsidRPr="00B63AFB">
        <w:t xml:space="preserve"> and regular engagement</w:t>
      </w:r>
      <w:r>
        <w:t xml:space="preserve"> </w:t>
      </w:r>
      <w:r w:rsidR="00646A0F">
        <w:t xml:space="preserve">with </w:t>
      </w:r>
      <w:r w:rsidR="00CD75D9">
        <w:t>equality and human rights stakeholders.</w:t>
      </w:r>
    </w:p>
    <w:p w14:paraId="5E4910B6" w14:textId="77777777" w:rsidR="002760D0" w:rsidRDefault="002760D0" w:rsidP="00CD7913">
      <w:pPr>
        <w:pStyle w:val="ListParagraph"/>
        <w:numPr>
          <w:ilvl w:val="1"/>
          <w:numId w:val="29"/>
        </w:numPr>
        <w:ind w:left="709" w:hanging="709"/>
      </w:pPr>
      <w:r>
        <w:t xml:space="preserve">We welcome that the </w:t>
      </w:r>
      <w:r w:rsidR="004A6FB5">
        <w:t>Sub-</w:t>
      </w:r>
      <w:r>
        <w:t>Committee has asked the Secretary of State NI</w:t>
      </w:r>
      <w:r w:rsidR="0050078B">
        <w:t xml:space="preserve"> in its recent letter</w:t>
      </w:r>
      <w:r w:rsidRPr="00CD7913">
        <w:rPr>
          <w:vertAlign w:val="superscript"/>
        </w:rPr>
        <w:t xml:space="preserve"> </w:t>
      </w:r>
      <w:r>
        <w:t xml:space="preserve">to detail the work </w:t>
      </w:r>
      <w:r w:rsidRPr="002760D0">
        <w:t>being done to foster engagement with</w:t>
      </w:r>
      <w:r w:rsidR="00FA6038">
        <w:t xml:space="preserve"> </w:t>
      </w:r>
      <w:r w:rsidRPr="002760D0">
        <w:t>equality and human rights stakeholders and civil society groups in Northern Ireland</w:t>
      </w:r>
      <w:r w:rsidR="00ED398B" w:rsidRPr="00DC7CE2">
        <w:rPr>
          <w:vertAlign w:val="superscript"/>
        </w:rPr>
        <w:footnoteReference w:id="7"/>
      </w:r>
      <w:r w:rsidRPr="00DC7CE2">
        <w:t>.</w:t>
      </w:r>
    </w:p>
    <w:p w14:paraId="3412F700" w14:textId="77777777" w:rsidR="006F760B" w:rsidRDefault="006F760B" w:rsidP="00CD7913">
      <w:pPr>
        <w:pStyle w:val="ListParagraph"/>
        <w:numPr>
          <w:ilvl w:val="1"/>
          <w:numId w:val="29"/>
        </w:numPr>
        <w:ind w:left="709" w:hanging="709"/>
      </w:pPr>
      <w:r>
        <w:t xml:space="preserve">We made clear in our earlier submission to the </w:t>
      </w:r>
      <w:r w:rsidR="004A6FB5">
        <w:t>Sub-</w:t>
      </w:r>
      <w:r w:rsidR="000C411D">
        <w:t>Committee that</w:t>
      </w:r>
      <w:r w:rsidR="0050078B">
        <w:t>,</w:t>
      </w:r>
      <w:r>
        <w:t xml:space="preserve"> a</w:t>
      </w:r>
      <w:r w:rsidRPr="000835C7">
        <w:t xml:space="preserve">longside the UK dimension, the NI Executive should also be working, on a North-South basis, including through the institutions established in line with the Belfast (Good Friday) Agreement, in relation to those aspects of upholding the Article 2 commitment which have an all-island dimension.  </w:t>
      </w:r>
    </w:p>
    <w:p w14:paraId="569A8F85" w14:textId="77777777" w:rsidR="00BC47EF" w:rsidRDefault="00033143" w:rsidP="00CD7913">
      <w:pPr>
        <w:pStyle w:val="ListParagraph"/>
        <w:numPr>
          <w:ilvl w:val="1"/>
          <w:numId w:val="29"/>
        </w:numPr>
        <w:ind w:left="709" w:hanging="709"/>
      </w:pPr>
      <w:r>
        <w:t>In the context of any future changes to EU equality law that the UK Government must keep pace with in Northern Ireland, under the terms of the Protocol,</w:t>
      </w:r>
      <w:r w:rsidR="0050078B">
        <w:t xml:space="preserve"> it</w:t>
      </w:r>
      <w:r w:rsidR="00450CE1">
        <w:t xml:space="preserve"> is important for both the </w:t>
      </w:r>
      <w:r w:rsidR="0050078B">
        <w:t xml:space="preserve">Commissions </w:t>
      </w:r>
      <w:r w:rsidR="00450CE1">
        <w:t xml:space="preserve">and equality and human rights stakeholders in Northern Ireland, </w:t>
      </w:r>
      <w:r w:rsidR="009449FC">
        <w:t>that the implications for Northern I</w:t>
      </w:r>
      <w:r w:rsidR="00BC47EF">
        <w:t>reland are considered.</w:t>
      </w:r>
      <w:r w:rsidR="00E107A7">
        <w:t xml:space="preserve"> </w:t>
      </w:r>
      <w:r w:rsidR="00A31AAC">
        <w:t xml:space="preserve">To achieve this there is a requirement for sustained and regular engagement by the UK Government with the Commissions and equality and human </w:t>
      </w:r>
      <w:r w:rsidR="00A31AAC">
        <w:lastRenderedPageBreak/>
        <w:t>rights stakeholders</w:t>
      </w:r>
      <w:r w:rsidR="00505B9B" w:rsidRPr="00505B9B">
        <w:t xml:space="preserve"> </w:t>
      </w:r>
      <w:r w:rsidR="00505B9B">
        <w:t xml:space="preserve">to ensure </w:t>
      </w:r>
      <w:r w:rsidR="00D74D75">
        <w:t xml:space="preserve">a </w:t>
      </w:r>
      <w:r w:rsidR="0043679E">
        <w:t>full understanding of</w:t>
      </w:r>
      <w:r w:rsidR="00505B9B">
        <w:t xml:space="preserve"> the implications of any EU law that applies to Northern Ireland.</w:t>
      </w:r>
    </w:p>
    <w:p w14:paraId="0280B6F7" w14:textId="77777777" w:rsidR="00450CE1" w:rsidRDefault="00BC47EF" w:rsidP="00CD7913">
      <w:pPr>
        <w:pStyle w:val="ListParagraph"/>
        <w:numPr>
          <w:ilvl w:val="1"/>
          <w:numId w:val="29"/>
        </w:numPr>
        <w:ind w:left="709" w:hanging="709"/>
      </w:pPr>
      <w:r>
        <w:t>I</w:t>
      </w:r>
      <w:r w:rsidR="00A21701">
        <w:t xml:space="preserve">t is also essential </w:t>
      </w:r>
      <w:r w:rsidR="009449FC">
        <w:t>that the Commissions have the opportunity</w:t>
      </w:r>
      <w:r>
        <w:t>,</w:t>
      </w:r>
      <w:r w:rsidR="00973BB7">
        <w:t xml:space="preserve"> not only </w:t>
      </w:r>
      <w:r w:rsidR="009449FC">
        <w:t>to be</w:t>
      </w:r>
      <w:r>
        <w:t xml:space="preserve"> kept informed of any</w:t>
      </w:r>
      <w:r w:rsidR="009449FC">
        <w:t xml:space="preserve"> future EU equality law developments</w:t>
      </w:r>
      <w:r>
        <w:t xml:space="preserve"> relevant to the Annex 1 equality Directives in the Protocol, </w:t>
      </w:r>
      <w:r w:rsidR="006006DD">
        <w:t>including through the Joint Consultative Working Group,</w:t>
      </w:r>
      <w:r w:rsidR="009449FC">
        <w:t xml:space="preserve"> </w:t>
      </w:r>
      <w:r w:rsidR="009449FC" w:rsidRPr="000C411D">
        <w:t xml:space="preserve">but </w:t>
      </w:r>
      <w:r w:rsidR="000C411D" w:rsidRPr="000C411D">
        <w:t>also to</w:t>
      </w:r>
      <w:r w:rsidR="009449FC" w:rsidRPr="000C411D">
        <w:t xml:space="preserve"> highlight in advance, any implications </w:t>
      </w:r>
      <w:r w:rsidRPr="000C411D">
        <w:t xml:space="preserve">of those changes </w:t>
      </w:r>
      <w:r w:rsidR="009449FC" w:rsidRPr="000C411D">
        <w:t>for equality law in Northern Ireland.</w:t>
      </w:r>
      <w:r w:rsidR="009449FC">
        <w:t xml:space="preserve">  </w:t>
      </w:r>
    </w:p>
    <w:p w14:paraId="1EF7C673" w14:textId="77777777" w:rsidR="000A09E7" w:rsidRPr="000A09E7" w:rsidRDefault="000A09E7" w:rsidP="00386AB7">
      <w:pPr>
        <w:pStyle w:val="ListParagraph"/>
        <w:numPr>
          <w:ilvl w:val="0"/>
          <w:numId w:val="0"/>
        </w:numPr>
        <w:ind w:left="360" w:firstLine="349"/>
        <w:rPr>
          <w:b/>
        </w:rPr>
      </w:pPr>
      <w:r w:rsidRPr="000A09E7">
        <w:rPr>
          <w:b/>
        </w:rPr>
        <w:t>Recommendations:</w:t>
      </w:r>
    </w:p>
    <w:p w14:paraId="2284DD68" w14:textId="77777777" w:rsidR="000A09E7" w:rsidRPr="00386AB7" w:rsidRDefault="000A09E7" w:rsidP="00386AB7">
      <w:pPr>
        <w:pStyle w:val="ListParagraph"/>
        <w:numPr>
          <w:ilvl w:val="1"/>
          <w:numId w:val="29"/>
        </w:numPr>
        <w:ind w:left="709" w:hanging="709"/>
        <w:rPr>
          <w:b/>
          <w:bCs/>
        </w:rPr>
      </w:pPr>
      <w:r w:rsidRPr="00386AB7">
        <w:rPr>
          <w:b/>
          <w:bCs/>
        </w:rPr>
        <w:t>The Commissions recommend that:</w:t>
      </w:r>
    </w:p>
    <w:p w14:paraId="5E2EAF07" w14:textId="77777777" w:rsidR="0037583F" w:rsidRPr="00A02036" w:rsidRDefault="0037583F" w:rsidP="00A02036">
      <w:pPr>
        <w:pStyle w:val="ListParagraph"/>
        <w:numPr>
          <w:ilvl w:val="0"/>
          <w:numId w:val="55"/>
        </w:numPr>
        <w:rPr>
          <w:b/>
        </w:rPr>
      </w:pPr>
      <w:r w:rsidRPr="00A02036">
        <w:rPr>
          <w:b/>
        </w:rPr>
        <w:t>the NI Executive, and NI Departments, ensure effective and regular engagement with a range of NI stakeholders, including civil society and human rights and equality groups, to identify impacts of the implementation of the</w:t>
      </w:r>
      <w:r w:rsidR="00974B8E" w:rsidRPr="00974B8E">
        <w:rPr>
          <w:b/>
        </w:rPr>
        <w:t xml:space="preserve"> Protocol on people living in Northern </w:t>
      </w:r>
      <w:r w:rsidR="00974B8E">
        <w:rPr>
          <w:b/>
        </w:rPr>
        <w:t>Ireland</w:t>
      </w:r>
      <w:r w:rsidRPr="00A02036">
        <w:rPr>
          <w:b/>
        </w:rPr>
        <w:t xml:space="preserve"> in relation to human rights and equality considerations</w:t>
      </w:r>
      <w:r w:rsidR="007B0E1B">
        <w:rPr>
          <w:b/>
        </w:rPr>
        <w:t>;</w:t>
      </w:r>
    </w:p>
    <w:p w14:paraId="3FFD8DFD" w14:textId="77777777" w:rsidR="0037583F" w:rsidRPr="00A02036" w:rsidRDefault="0037583F" w:rsidP="00A02036">
      <w:pPr>
        <w:pStyle w:val="ListParagraph"/>
        <w:numPr>
          <w:ilvl w:val="0"/>
          <w:numId w:val="55"/>
        </w:numPr>
      </w:pPr>
      <w:r w:rsidRPr="00922D5B">
        <w:rPr>
          <w:b/>
          <w:bCs/>
        </w:rPr>
        <w:t>the NI Executive work with the UK Government and on a North-South basis to build strong open channels of communication to keep informed of key developments of relevance to Article 2</w:t>
      </w:r>
      <w:r w:rsidR="00D97EA2">
        <w:rPr>
          <w:b/>
          <w:bCs/>
        </w:rPr>
        <w:t>;</w:t>
      </w:r>
      <w:r w:rsidRPr="00922D5B">
        <w:rPr>
          <w:b/>
          <w:bCs/>
        </w:rPr>
        <w:t xml:space="preserve"> </w:t>
      </w:r>
    </w:p>
    <w:p w14:paraId="7D3CF2B5" w14:textId="77777777" w:rsidR="007F1392" w:rsidRPr="00A02036" w:rsidRDefault="00380100" w:rsidP="00A02036">
      <w:pPr>
        <w:pStyle w:val="ListParagraph"/>
        <w:numPr>
          <w:ilvl w:val="0"/>
          <w:numId w:val="55"/>
        </w:numPr>
      </w:pPr>
      <w:r>
        <w:rPr>
          <w:b/>
        </w:rPr>
        <w:t>the Commissions</w:t>
      </w:r>
      <w:r w:rsidR="00D97EA2" w:rsidRPr="00D97EA2">
        <w:rPr>
          <w:b/>
        </w:rPr>
        <w:t xml:space="preserve"> </w:t>
      </w:r>
      <w:r w:rsidR="006006DD" w:rsidRPr="00A02036">
        <w:rPr>
          <w:b/>
        </w:rPr>
        <w:t xml:space="preserve">are not only </w:t>
      </w:r>
      <w:r w:rsidR="007F1392" w:rsidRPr="00A02036">
        <w:rPr>
          <w:b/>
        </w:rPr>
        <w:t xml:space="preserve">kept informed of any future EU equality law developments relevant to the Annex 1 equality Directives in the Protocol,  </w:t>
      </w:r>
      <w:r w:rsidR="00910442" w:rsidRPr="00CD7913">
        <w:rPr>
          <w:b/>
        </w:rPr>
        <w:t>but also have the opportunity, in the context of any new arrangements being taken forward by the UK Government</w:t>
      </w:r>
      <w:r w:rsidR="00910442" w:rsidRPr="001005F8">
        <w:rPr>
          <w:b/>
        </w:rPr>
        <w:t>, to highlight in advance</w:t>
      </w:r>
      <w:r w:rsidR="007F1392" w:rsidRPr="001005F8">
        <w:rPr>
          <w:b/>
        </w:rPr>
        <w:t xml:space="preserve"> any implications of those changes for equality law in Northern Ireland.</w:t>
      </w:r>
      <w:r w:rsidR="007F1392" w:rsidRPr="00A02036">
        <w:rPr>
          <w:b/>
        </w:rPr>
        <w:t xml:space="preserve">  </w:t>
      </w:r>
      <w:r w:rsidR="00E1605A">
        <w:rPr>
          <w:b/>
        </w:rPr>
        <w:t xml:space="preserve"> </w:t>
      </w:r>
    </w:p>
    <w:p w14:paraId="2637F4C1" w14:textId="77777777" w:rsidR="00450CE1" w:rsidRDefault="00450CE1" w:rsidP="00A02036"/>
    <w:p w14:paraId="4BB55246" w14:textId="77777777" w:rsidR="00F52AFC" w:rsidRPr="00744D88" w:rsidRDefault="00F52AFC" w:rsidP="00744D88">
      <w:pPr>
        <w:rPr>
          <w:b/>
          <w:bCs/>
        </w:rPr>
      </w:pPr>
    </w:p>
    <w:p w14:paraId="0622302F" w14:textId="77777777" w:rsidR="0060401A" w:rsidRPr="002760D0" w:rsidRDefault="007672F3" w:rsidP="00B02E33">
      <w:pPr>
        <w:pStyle w:val="ListParagraph"/>
        <w:numPr>
          <w:ilvl w:val="0"/>
          <w:numId w:val="0"/>
        </w:numPr>
        <w:ind w:left="720"/>
        <w:rPr>
          <w:b/>
          <w:bCs/>
        </w:rPr>
      </w:pPr>
      <w:r w:rsidRPr="00B02E33">
        <w:rPr>
          <w:b/>
          <w:bCs/>
        </w:rPr>
        <w:t xml:space="preserve">EU proposals – </w:t>
      </w:r>
      <w:r w:rsidRPr="004E5B87">
        <w:rPr>
          <w:b/>
          <w:bCs/>
        </w:rPr>
        <w:t>non-paper</w:t>
      </w:r>
      <w:r w:rsidR="004530DE" w:rsidRPr="004E5B87">
        <w:rPr>
          <w:b/>
          <w:bCs/>
        </w:rPr>
        <w:t>:</w:t>
      </w:r>
      <w:r w:rsidR="004530DE" w:rsidRPr="00B02E33">
        <w:rPr>
          <w:b/>
          <w:bCs/>
        </w:rPr>
        <w:t xml:space="preserve"> Engagement with Northern Ireland Stakeholders and Authorities</w:t>
      </w:r>
    </w:p>
    <w:p w14:paraId="689F2C00" w14:textId="77777777" w:rsidR="00064CF7" w:rsidRDefault="0002063D" w:rsidP="00F05004">
      <w:pPr>
        <w:pStyle w:val="ListParagraph"/>
        <w:numPr>
          <w:ilvl w:val="1"/>
          <w:numId w:val="29"/>
        </w:numPr>
        <w:ind w:left="709" w:hanging="709"/>
      </w:pPr>
      <w:r>
        <w:t>As set out in more detail below, t</w:t>
      </w:r>
      <w:r w:rsidR="00457616">
        <w:t>he Commission</w:t>
      </w:r>
      <w:r w:rsidR="00552C6B">
        <w:t>s</w:t>
      </w:r>
      <w:r w:rsidR="00457616">
        <w:t xml:space="preserve"> </w:t>
      </w:r>
      <w:r w:rsidR="00457616" w:rsidRPr="00C838C6">
        <w:t>welcome</w:t>
      </w:r>
      <w:r>
        <w:t xml:space="preserve"> a number of</w:t>
      </w:r>
      <w:r w:rsidR="00457616">
        <w:t xml:space="preserve"> the EU’s proposals </w:t>
      </w:r>
      <w:r>
        <w:t>set out in its non</w:t>
      </w:r>
      <w:r w:rsidR="00BC67AF">
        <w:t>-</w:t>
      </w:r>
      <w:r>
        <w:t xml:space="preserve">paper on </w:t>
      </w:r>
      <w:r w:rsidR="00457616">
        <w:t xml:space="preserve"> </w:t>
      </w:r>
      <w:hyperlink r:id="rId11" w:history="1">
        <w:r w:rsidR="005242B7" w:rsidRPr="00D57D01">
          <w:rPr>
            <w:rStyle w:val="Hyperlink"/>
          </w:rPr>
          <w:t xml:space="preserve">Engagement </w:t>
        </w:r>
        <w:r w:rsidR="005242B7" w:rsidRPr="00D57D01">
          <w:rPr>
            <w:rStyle w:val="Hyperlink"/>
          </w:rPr>
          <w:lastRenderedPageBreak/>
          <w:t>with Northern Ireland Stakeholders and Authorities</w:t>
        </w:r>
      </w:hyperlink>
      <w:r w:rsidR="005F3F74">
        <w:t xml:space="preserve"> </w:t>
      </w:r>
      <w:r>
        <w:t xml:space="preserve">. We </w:t>
      </w:r>
      <w:r w:rsidR="00212863">
        <w:t>not</w:t>
      </w:r>
      <w:r>
        <w:t xml:space="preserve">e </w:t>
      </w:r>
      <w:r w:rsidR="000C411D">
        <w:t>that these</w:t>
      </w:r>
      <w:r w:rsidR="00212863">
        <w:t xml:space="preserve"> have been developed</w:t>
      </w:r>
      <w:r w:rsidR="00732AC2">
        <w:t xml:space="preserve"> </w:t>
      </w:r>
      <w:r w:rsidR="005F3F74" w:rsidRPr="005F3F74">
        <w:t>based on discussions with Northern Ireland civic society and business</w:t>
      </w:r>
      <w:r w:rsidR="007270D9">
        <w:t xml:space="preserve"> </w:t>
      </w:r>
      <w:r w:rsidR="00C838C6">
        <w:t>stakeholders and</w:t>
      </w:r>
      <w:r w:rsidR="00732AC2">
        <w:t xml:space="preserve"> </w:t>
      </w:r>
      <w:r w:rsidR="00552C6B">
        <w:t>seek to</w:t>
      </w:r>
      <w:r w:rsidR="00732AC2">
        <w:t xml:space="preserve"> </w:t>
      </w:r>
      <w:r w:rsidR="00732AC2" w:rsidRPr="00732AC2">
        <w:t>address</w:t>
      </w:r>
      <w:r w:rsidR="00552C6B">
        <w:t xml:space="preserve"> </w:t>
      </w:r>
      <w:r w:rsidR="00732AC2" w:rsidRPr="00732AC2">
        <w:t>the concerns raised on the need for greater transparency and for EU measures to take account of implications for N</w:t>
      </w:r>
      <w:r w:rsidR="00552C6B">
        <w:t xml:space="preserve">orthern </w:t>
      </w:r>
      <w:r w:rsidR="00732AC2" w:rsidRPr="00732AC2">
        <w:t>I</w:t>
      </w:r>
      <w:r w:rsidR="00552C6B">
        <w:t>reland</w:t>
      </w:r>
      <w:r w:rsidR="00732AC2" w:rsidRPr="00732AC2">
        <w:t>.</w:t>
      </w:r>
    </w:p>
    <w:p w14:paraId="3D67ED4B" w14:textId="77777777" w:rsidR="00C46F81" w:rsidRDefault="00C46F81" w:rsidP="00F05004">
      <w:pPr>
        <w:pStyle w:val="ListParagraph"/>
        <w:numPr>
          <w:ilvl w:val="1"/>
          <w:numId w:val="29"/>
        </w:numPr>
        <w:ind w:left="709" w:hanging="709"/>
      </w:pPr>
      <w:r>
        <w:t>We welcome t</w:t>
      </w:r>
      <w:r w:rsidRPr="002A4BB5">
        <w:t xml:space="preserve">he EU proposals </w:t>
      </w:r>
      <w:r>
        <w:t>to ensure greater stakeholder engagement with civic society.</w:t>
      </w:r>
      <w:r w:rsidR="00544523">
        <w:t xml:space="preserve"> </w:t>
      </w:r>
      <w:r>
        <w:t xml:space="preserve">In our joint written evidence to the </w:t>
      </w:r>
      <w:r w:rsidR="004A6FB5">
        <w:t>Sub-</w:t>
      </w:r>
      <w:r>
        <w:t>Committee, the</w:t>
      </w:r>
      <w:r w:rsidRPr="00CF3929">
        <w:t xml:space="preserve"> Commissions note</w:t>
      </w:r>
      <w:r>
        <w:t>d</w:t>
      </w:r>
      <w:r w:rsidRPr="00CF3929">
        <w:t xml:space="preserve"> that there has been some engagement between the UK Government and the EU supervisory bodies with civil society groups in Northern Ireland</w:t>
      </w:r>
      <w:r>
        <w:t>.</w:t>
      </w:r>
    </w:p>
    <w:p w14:paraId="5707224C" w14:textId="77777777" w:rsidR="007374E2" w:rsidRDefault="00C46F81" w:rsidP="007374E2">
      <w:pPr>
        <w:pStyle w:val="ListParagraph"/>
        <w:numPr>
          <w:ilvl w:val="1"/>
          <w:numId w:val="29"/>
        </w:numPr>
        <w:ind w:left="709" w:hanging="709"/>
      </w:pPr>
      <w:r>
        <w:t>W</w:t>
      </w:r>
      <w:r w:rsidR="00544523">
        <w:t xml:space="preserve">e </w:t>
      </w:r>
      <w:r>
        <w:t xml:space="preserve">also </w:t>
      </w:r>
      <w:r w:rsidR="00544523">
        <w:t>welcome the recent engagement</w:t>
      </w:r>
      <w:r w:rsidR="00973BB7">
        <w:t xml:space="preserve"> by the</w:t>
      </w:r>
      <w:r w:rsidR="007374E2">
        <w:t xml:space="preserve"> EU with Northern Ireland stakeholders. </w:t>
      </w:r>
      <w:r w:rsidR="007374E2" w:rsidRPr="002A1B83">
        <w:t xml:space="preserve">In </w:t>
      </w:r>
      <w:r w:rsidR="007374E2">
        <w:t xml:space="preserve">Belfast in </w:t>
      </w:r>
      <w:r w:rsidR="007374E2" w:rsidRPr="002A1B83">
        <w:t xml:space="preserve">September 2021 the Commissions jointly hosted a meeting of a </w:t>
      </w:r>
      <w:r w:rsidR="0049158A">
        <w:t>number</w:t>
      </w:r>
      <w:r w:rsidR="007374E2" w:rsidRPr="002A1B83">
        <w:t xml:space="preserve"> of civil society stakeholders and the EU Vice-President Maroš Šefčovič</w:t>
      </w:r>
      <w:r w:rsidR="004D3689">
        <w:t xml:space="preserve">. </w:t>
      </w:r>
      <w:r w:rsidR="004D3689" w:rsidRPr="004D3689">
        <w:t xml:space="preserve">The purpose of the </w:t>
      </w:r>
      <w:r w:rsidR="004D3689">
        <w:t xml:space="preserve">meeting </w:t>
      </w:r>
      <w:r w:rsidR="004D3689" w:rsidRPr="004D3689">
        <w:t xml:space="preserve">was to enable Vice-President Šefčovič </w:t>
      </w:r>
      <w:r w:rsidR="004D3689">
        <w:t xml:space="preserve">to </w:t>
      </w:r>
      <w:r w:rsidR="004D3689" w:rsidRPr="004D3689">
        <w:t>hear views from across Northern Ireland’s civil society about the impact of Brexit and the Protocol.</w:t>
      </w:r>
    </w:p>
    <w:p w14:paraId="47BBA576" w14:textId="77777777" w:rsidR="000C3075" w:rsidRDefault="00DF3BC5" w:rsidP="00F05004">
      <w:pPr>
        <w:pStyle w:val="ListParagraph"/>
        <w:numPr>
          <w:ilvl w:val="1"/>
          <w:numId w:val="29"/>
        </w:numPr>
        <w:ind w:left="709" w:hanging="709"/>
      </w:pPr>
      <w:r>
        <w:t>T</w:t>
      </w:r>
      <w:r w:rsidR="00544523">
        <w:t xml:space="preserve">he </w:t>
      </w:r>
      <w:r w:rsidR="004E1A86" w:rsidRPr="002A4BB5">
        <w:t>C</w:t>
      </w:r>
      <w:r w:rsidR="00241098" w:rsidRPr="002A4BB5">
        <w:t>o</w:t>
      </w:r>
      <w:r w:rsidR="004E1A86" w:rsidRPr="002A4BB5">
        <w:t>mmission</w:t>
      </w:r>
      <w:r w:rsidR="00241098" w:rsidRPr="002A4BB5">
        <w:t xml:space="preserve">s </w:t>
      </w:r>
      <w:r w:rsidR="00544523">
        <w:t>ha</w:t>
      </w:r>
      <w:r w:rsidR="0050078B">
        <w:t xml:space="preserve">ve consistently </w:t>
      </w:r>
      <w:r w:rsidR="00D829B3" w:rsidRPr="002A4BB5">
        <w:t xml:space="preserve">raised </w:t>
      </w:r>
      <w:r w:rsidR="00FE12C8" w:rsidRPr="002A4BB5">
        <w:t>the importance of regular, structured</w:t>
      </w:r>
      <w:r w:rsidR="00FF1B4E">
        <w:t xml:space="preserve"> and</w:t>
      </w:r>
      <w:r w:rsidR="00FE12C8" w:rsidRPr="002A4BB5">
        <w:t xml:space="preserve"> transparent engagement with a broad range of </w:t>
      </w:r>
      <w:r>
        <w:t xml:space="preserve">equality and human rights </w:t>
      </w:r>
      <w:r w:rsidR="00FE12C8" w:rsidRPr="002A4BB5">
        <w:t>stakeholders</w:t>
      </w:r>
      <w:r w:rsidR="0050078B">
        <w:t xml:space="preserve">, </w:t>
      </w:r>
      <w:r w:rsidR="000C411D">
        <w:t>including,</w:t>
      </w:r>
      <w:r w:rsidR="0050078B">
        <w:t xml:space="preserve"> d</w:t>
      </w:r>
      <w:r w:rsidR="0050078B" w:rsidRPr="002A4BB5">
        <w:t xml:space="preserve">uring our recent oral evidence session </w:t>
      </w:r>
      <w:r w:rsidR="0050078B">
        <w:t xml:space="preserve">to the </w:t>
      </w:r>
      <w:r w:rsidR="004A6FB5">
        <w:t>Sub-</w:t>
      </w:r>
      <w:r w:rsidR="0050078B">
        <w:t xml:space="preserve">Committee </w:t>
      </w:r>
      <w:r w:rsidR="0050078B" w:rsidRPr="002A4BB5">
        <w:t xml:space="preserve">on Article 2 of the </w:t>
      </w:r>
      <w:r w:rsidR="0050078B">
        <w:t>Protocol</w:t>
      </w:r>
      <w:r w:rsidR="001A2D5F">
        <w:t>.</w:t>
      </w:r>
    </w:p>
    <w:p w14:paraId="04C77045" w14:textId="77777777" w:rsidR="00380100" w:rsidRDefault="00380100" w:rsidP="00973BB7"/>
    <w:p w14:paraId="722AB6B8" w14:textId="77777777" w:rsidR="004C29CF" w:rsidRPr="004C29CF" w:rsidRDefault="00B647B0" w:rsidP="004C29CF">
      <w:pPr>
        <w:pStyle w:val="ListParagraph"/>
        <w:numPr>
          <w:ilvl w:val="0"/>
          <w:numId w:val="0"/>
        </w:numPr>
        <w:ind w:left="709"/>
        <w:rPr>
          <w:u w:val="single"/>
        </w:rPr>
      </w:pPr>
      <w:r>
        <w:rPr>
          <w:u w:val="single"/>
        </w:rPr>
        <w:t>Increased transparency</w:t>
      </w:r>
    </w:p>
    <w:p w14:paraId="6BB09EC3" w14:textId="77777777" w:rsidR="007D0568" w:rsidRDefault="006E4E7B" w:rsidP="00CD7913">
      <w:pPr>
        <w:pStyle w:val="ListParagraph"/>
        <w:numPr>
          <w:ilvl w:val="1"/>
          <w:numId w:val="29"/>
        </w:numPr>
        <w:ind w:left="709" w:hanging="709"/>
      </w:pPr>
      <w:r>
        <w:t xml:space="preserve">The </w:t>
      </w:r>
      <w:r w:rsidR="00E4097B">
        <w:t xml:space="preserve">Commissions </w:t>
      </w:r>
      <w:r w:rsidR="00E4097B" w:rsidRPr="00CD7913">
        <w:t>welcome</w:t>
      </w:r>
      <w:r w:rsidR="00E4097B">
        <w:t xml:space="preserve"> the</w:t>
      </w:r>
      <w:r w:rsidR="00C33E8E">
        <w:t xml:space="preserve"> EU proposal </w:t>
      </w:r>
      <w:r w:rsidR="00B647B0">
        <w:t xml:space="preserve">aimed at increasing transparency </w:t>
      </w:r>
      <w:r w:rsidR="00C33E8E">
        <w:t>to</w:t>
      </w:r>
      <w:r w:rsidR="00E4097B">
        <w:t xml:space="preserve"> </w:t>
      </w:r>
      <w:r>
        <w:t>establi</w:t>
      </w:r>
      <w:r w:rsidR="00C33E8E">
        <w:t>sh</w:t>
      </w:r>
      <w:r>
        <w:t xml:space="preserve"> a website </w:t>
      </w:r>
      <w:r w:rsidR="000B11B7">
        <w:t>to</w:t>
      </w:r>
      <w:r>
        <w:t xml:space="preserve"> publish EU legislation </w:t>
      </w:r>
      <w:r w:rsidR="006D7D5A" w:rsidRPr="006D7D5A">
        <w:t>applicable in Northern Ireland (covering also dynamic alignment aspect)</w:t>
      </w:r>
      <w:r w:rsidR="006D7D5A">
        <w:t xml:space="preserve">, </w:t>
      </w:r>
      <w:r>
        <w:t>and public consultations applicable to N</w:t>
      </w:r>
      <w:r w:rsidR="00E4097B">
        <w:t xml:space="preserve">orthern </w:t>
      </w:r>
      <w:r>
        <w:t>I</w:t>
      </w:r>
      <w:r w:rsidR="00E4097B">
        <w:t>reland</w:t>
      </w:r>
      <w:r w:rsidR="007D0568" w:rsidRPr="00CD7913">
        <w:rPr>
          <w:vertAlign w:val="superscript"/>
        </w:rPr>
        <w:footnoteReference w:id="8"/>
      </w:r>
      <w:r w:rsidR="008050D8">
        <w:t>.</w:t>
      </w:r>
    </w:p>
    <w:p w14:paraId="71C78AA9" w14:textId="77777777" w:rsidR="003B02FF" w:rsidRDefault="00BC67AF" w:rsidP="00F05004">
      <w:pPr>
        <w:pStyle w:val="ListParagraph"/>
        <w:numPr>
          <w:ilvl w:val="1"/>
          <w:numId w:val="29"/>
        </w:numPr>
        <w:ind w:left="709" w:hanging="709"/>
      </w:pPr>
      <w:r>
        <w:t>T</w:t>
      </w:r>
      <w:r w:rsidR="000B11B7">
        <w:t>his</w:t>
      </w:r>
      <w:r w:rsidR="006E4E7B">
        <w:t xml:space="preserve"> will be </w:t>
      </w:r>
      <w:r w:rsidR="003B02FF">
        <w:t>a useful</w:t>
      </w:r>
      <w:r w:rsidR="006E4E7B">
        <w:t xml:space="preserve"> resource </w:t>
      </w:r>
      <w:r w:rsidR="008966A2">
        <w:t>that will</w:t>
      </w:r>
      <w:r w:rsidR="002F3DB2">
        <w:t xml:space="preserve"> </w:t>
      </w:r>
      <w:r w:rsidR="002F3DB2" w:rsidRPr="004F06CB">
        <w:t>assist</w:t>
      </w:r>
      <w:r w:rsidR="006E4E7B" w:rsidRPr="004F06CB">
        <w:t xml:space="preserve"> </w:t>
      </w:r>
      <w:r w:rsidR="002F3DB2">
        <w:t xml:space="preserve">all </w:t>
      </w:r>
      <w:r w:rsidR="002F3DB2" w:rsidRPr="002F3DB2">
        <w:t>relevant parties, including the</w:t>
      </w:r>
      <w:r w:rsidR="00485914">
        <w:t xml:space="preserve"> Commissions,</w:t>
      </w:r>
      <w:r w:rsidR="002F3DB2" w:rsidRPr="002F3DB2">
        <w:t xml:space="preserve"> in </w:t>
      </w:r>
      <w:r w:rsidR="008F329B">
        <w:t xml:space="preserve">their role in monitoring </w:t>
      </w:r>
      <w:r w:rsidR="000C411D">
        <w:t xml:space="preserve">and </w:t>
      </w:r>
      <w:r w:rsidR="000C411D" w:rsidRPr="002F3DB2">
        <w:t>scrutinising</w:t>
      </w:r>
      <w:r w:rsidR="000C411D">
        <w:t xml:space="preserve"> </w:t>
      </w:r>
      <w:r w:rsidR="000C411D" w:rsidRPr="002F3DB2">
        <w:t>the</w:t>
      </w:r>
      <w:r w:rsidR="002F3DB2" w:rsidRPr="002F3DB2">
        <w:t xml:space="preserve"> UK Government’s </w:t>
      </w:r>
      <w:r w:rsidR="008F329B">
        <w:t xml:space="preserve">compliance with its </w:t>
      </w:r>
      <w:r w:rsidR="002F3DB2" w:rsidRPr="002F3DB2">
        <w:t>Article 2 obligations</w:t>
      </w:r>
      <w:r w:rsidR="008F329B">
        <w:t xml:space="preserve">, </w:t>
      </w:r>
      <w:r w:rsidR="006D7D5A">
        <w:t xml:space="preserve">and its obligation to keep pace with any future EU changes that amend </w:t>
      </w:r>
      <w:r w:rsidR="006D7D5A">
        <w:lastRenderedPageBreak/>
        <w:t xml:space="preserve">or replace provisions in the Annex 1 Directives. It will also </w:t>
      </w:r>
      <w:r w:rsidR="005C426E">
        <w:t>help improve transparency</w:t>
      </w:r>
      <w:r w:rsidR="002F3DB2" w:rsidRPr="002F3DB2">
        <w:t>.</w:t>
      </w:r>
    </w:p>
    <w:p w14:paraId="0F1F5DEC" w14:textId="77777777" w:rsidR="0064273D" w:rsidRPr="003C3947" w:rsidRDefault="003A4490" w:rsidP="00D039BE">
      <w:pPr>
        <w:pStyle w:val="ListParagraph"/>
        <w:numPr>
          <w:ilvl w:val="1"/>
          <w:numId w:val="29"/>
        </w:numPr>
        <w:ind w:left="709" w:hanging="709"/>
      </w:pPr>
      <w:r w:rsidRPr="00A02036">
        <w:t>Further to</w:t>
      </w:r>
      <w:r w:rsidR="001D7C5A" w:rsidRPr="00A02036">
        <w:t xml:space="preserve"> the</w:t>
      </w:r>
      <w:r w:rsidR="00B05C6E" w:rsidRPr="00A02036">
        <w:t xml:space="preserve"> EU’s</w:t>
      </w:r>
      <w:r w:rsidR="001D7C5A" w:rsidRPr="00A02036">
        <w:t xml:space="preserve"> aim of increasing transparency</w:t>
      </w:r>
      <w:r w:rsidR="0050078B">
        <w:t>,</w:t>
      </w:r>
      <w:r w:rsidR="001D7C5A" w:rsidRPr="00A02036">
        <w:t xml:space="preserve"> </w:t>
      </w:r>
      <w:r w:rsidRPr="00A02036">
        <w:t xml:space="preserve">it is important that </w:t>
      </w:r>
      <w:r w:rsidR="001374D7" w:rsidRPr="00A02036">
        <w:t xml:space="preserve">the </w:t>
      </w:r>
      <w:bookmarkStart w:id="2" w:name="_Hlk87283077"/>
      <w:r w:rsidR="001374D7" w:rsidRPr="00A02036">
        <w:t>proposed website</w:t>
      </w:r>
      <w:r w:rsidR="006E4E7B" w:rsidRPr="00A02036">
        <w:t xml:space="preserve"> include</w:t>
      </w:r>
      <w:r w:rsidRPr="00A02036">
        <w:t>s</w:t>
      </w:r>
      <w:r w:rsidR="006E4E7B" w:rsidRPr="00A02036">
        <w:t xml:space="preserve"> </w:t>
      </w:r>
      <w:r w:rsidR="001374D7" w:rsidRPr="00A02036">
        <w:t xml:space="preserve">the </w:t>
      </w:r>
      <w:r w:rsidR="006E4E7B" w:rsidRPr="00A02036">
        <w:t xml:space="preserve">publication of proposed or updated EU </w:t>
      </w:r>
      <w:r w:rsidR="00872460" w:rsidRPr="00A02036">
        <w:t xml:space="preserve">legislation </w:t>
      </w:r>
      <w:r w:rsidRPr="00A02036">
        <w:t xml:space="preserve">that </w:t>
      </w:r>
      <w:r w:rsidR="007A022C" w:rsidRPr="00A02036">
        <w:t xml:space="preserve">is relevant to the Article 2 (1) commitment, including EU law that </w:t>
      </w:r>
      <w:r w:rsidRPr="00A02036">
        <w:t xml:space="preserve">amends or replaces provisions in the </w:t>
      </w:r>
      <w:r w:rsidR="007A022C" w:rsidRPr="00A02036">
        <w:t xml:space="preserve">Annex 1 </w:t>
      </w:r>
      <w:r w:rsidR="007A022C" w:rsidRPr="003C3947">
        <w:t xml:space="preserve">Directives. </w:t>
      </w:r>
      <w:r w:rsidR="007B0E1B" w:rsidRPr="003C3947">
        <w:t>It would be helpful, in the interests of clarity and certainty, if t</w:t>
      </w:r>
      <w:r w:rsidR="007F2184" w:rsidRPr="003C3947">
        <w:t>he</w:t>
      </w:r>
      <w:r w:rsidR="00DE640C" w:rsidRPr="003C3947">
        <w:t xml:space="preserve"> proposed </w:t>
      </w:r>
      <w:r w:rsidR="00065BFE" w:rsidRPr="003C3947">
        <w:t xml:space="preserve">website </w:t>
      </w:r>
      <w:r w:rsidR="004E5B87" w:rsidRPr="003C3947">
        <w:t xml:space="preserve">also clearly stated whether the proposed/updated EU law is applicable to any of the Annexes in the Protocol. </w:t>
      </w:r>
      <w:bookmarkEnd w:id="2"/>
    </w:p>
    <w:p w14:paraId="4162E932" w14:textId="77777777" w:rsidR="007A7150" w:rsidRPr="004E5B87" w:rsidRDefault="00DE16A3" w:rsidP="00841B82">
      <w:pPr>
        <w:pStyle w:val="ListParagraph"/>
        <w:numPr>
          <w:ilvl w:val="0"/>
          <w:numId w:val="0"/>
        </w:numPr>
        <w:ind w:left="709"/>
        <w:rPr>
          <w:b/>
        </w:rPr>
      </w:pPr>
      <w:r w:rsidRPr="004E5B87">
        <w:rPr>
          <w:b/>
        </w:rPr>
        <w:t>Recommendation</w:t>
      </w:r>
    </w:p>
    <w:p w14:paraId="0A99016D" w14:textId="77777777" w:rsidR="006E4E7B" w:rsidRPr="004E5B87" w:rsidRDefault="007F1392" w:rsidP="004E5B87">
      <w:pPr>
        <w:pStyle w:val="ListParagraph"/>
        <w:numPr>
          <w:ilvl w:val="0"/>
          <w:numId w:val="0"/>
        </w:numPr>
        <w:ind w:left="709"/>
        <w:rPr>
          <w:b/>
        </w:rPr>
      </w:pPr>
      <w:r w:rsidRPr="004E5B87">
        <w:rPr>
          <w:b/>
          <w:bCs/>
        </w:rPr>
        <w:t>The Commissions</w:t>
      </w:r>
      <w:r w:rsidR="007A022C" w:rsidRPr="004E5B87">
        <w:rPr>
          <w:b/>
          <w:bCs/>
        </w:rPr>
        <w:t xml:space="preserve"> recommend that</w:t>
      </w:r>
      <w:r w:rsidR="00A21701" w:rsidRPr="004E5B87">
        <w:rPr>
          <w:b/>
          <w:bCs/>
        </w:rPr>
        <w:t>,</w:t>
      </w:r>
      <w:r w:rsidR="007A022C" w:rsidRPr="004E5B87">
        <w:rPr>
          <w:b/>
          <w:bCs/>
        </w:rPr>
        <w:t xml:space="preserve"> </w:t>
      </w:r>
      <w:r w:rsidR="00696AA6" w:rsidRPr="004E5B87">
        <w:rPr>
          <w:b/>
          <w:bCs/>
        </w:rPr>
        <w:t xml:space="preserve">when </w:t>
      </w:r>
      <w:r w:rsidR="00C24565" w:rsidRPr="004E5B87">
        <w:rPr>
          <w:b/>
          <w:bCs/>
        </w:rPr>
        <w:t>the EU publishes proposed or updated EU legislation that is relevant to Article 2, including EU law that amends or replaces provisions in the Annex 1 Directives</w:t>
      </w:r>
      <w:r w:rsidR="00C24565" w:rsidRPr="003C3947">
        <w:rPr>
          <w:b/>
          <w:bCs/>
        </w:rPr>
        <w:t xml:space="preserve">, </w:t>
      </w:r>
      <w:r w:rsidR="004E5B87" w:rsidRPr="003C3947">
        <w:rPr>
          <w:b/>
        </w:rPr>
        <w:t>the EU makes clear on its proposed website whether the proposed/updated EU law is applicable to any of the Annexes in the Protocol</w:t>
      </w:r>
      <w:r w:rsidR="004E5B87" w:rsidRPr="003C3947">
        <w:rPr>
          <w:b/>
          <w:bCs/>
        </w:rPr>
        <w:t xml:space="preserve">. </w:t>
      </w:r>
    </w:p>
    <w:p w14:paraId="2AD87968" w14:textId="77777777" w:rsidR="004C29CF" w:rsidRPr="004C29CF" w:rsidRDefault="004C29CF" w:rsidP="004C29CF">
      <w:pPr>
        <w:pStyle w:val="ListParagraph"/>
        <w:numPr>
          <w:ilvl w:val="0"/>
          <w:numId w:val="0"/>
        </w:numPr>
        <w:ind w:left="709"/>
        <w:rPr>
          <w:u w:val="single"/>
        </w:rPr>
      </w:pPr>
      <w:r w:rsidRPr="004C29CF">
        <w:rPr>
          <w:u w:val="single"/>
        </w:rPr>
        <w:t>Joint Consultative Working Group</w:t>
      </w:r>
    </w:p>
    <w:p w14:paraId="4DB65735" w14:textId="77777777" w:rsidR="004679B6" w:rsidRDefault="000D4DF2" w:rsidP="00CD7913">
      <w:pPr>
        <w:pStyle w:val="ListParagraph"/>
        <w:numPr>
          <w:ilvl w:val="1"/>
          <w:numId w:val="29"/>
        </w:numPr>
        <w:ind w:left="709" w:hanging="709"/>
      </w:pPr>
      <w:r>
        <w:t xml:space="preserve">The Commissions </w:t>
      </w:r>
      <w:r w:rsidRPr="00CD7913">
        <w:t>welcome</w:t>
      </w:r>
      <w:r>
        <w:t xml:space="preserve"> the EU’s p</w:t>
      </w:r>
      <w:r w:rsidR="006E4E7B">
        <w:t>roposals for increased transparency around the work of the J</w:t>
      </w:r>
      <w:r w:rsidR="00EA2786">
        <w:t xml:space="preserve">oint </w:t>
      </w:r>
      <w:r w:rsidR="006E4E7B">
        <w:t>C</w:t>
      </w:r>
      <w:r w:rsidR="00EA2786">
        <w:t xml:space="preserve">onsultative </w:t>
      </w:r>
      <w:r w:rsidR="006E4E7B">
        <w:t>W</w:t>
      </w:r>
      <w:r w:rsidR="00EA2786">
        <w:t xml:space="preserve">orking </w:t>
      </w:r>
      <w:r w:rsidR="000C411D">
        <w:t>Group (</w:t>
      </w:r>
      <w:r w:rsidR="00EA2786">
        <w:t>JCWG)</w:t>
      </w:r>
      <w:r w:rsidR="00A458D9">
        <w:t xml:space="preserve"> </w:t>
      </w:r>
      <w:r w:rsidR="005761E7">
        <w:t>in</w:t>
      </w:r>
      <w:r w:rsidR="00A458D9" w:rsidRPr="00A458D9">
        <w:t xml:space="preserve"> facilitat</w:t>
      </w:r>
      <w:r w:rsidR="005761E7">
        <w:t>ing</w:t>
      </w:r>
      <w:r w:rsidR="00A458D9" w:rsidRPr="00A458D9">
        <w:t xml:space="preserve"> the exchange of information and mutual consultation</w:t>
      </w:r>
      <w:r w:rsidR="00AC5E57">
        <w:t>,</w:t>
      </w:r>
      <w:r w:rsidR="00AC5E57" w:rsidRPr="00AC5E57">
        <w:t xml:space="preserve"> specifically on</w:t>
      </w:r>
      <w:r w:rsidR="00FA3CD2">
        <w:t xml:space="preserve"> </w:t>
      </w:r>
      <w:r w:rsidR="00AC5E57" w:rsidRPr="00AC5E57">
        <w:t>legislation relevant for the implementation of the Protocol</w:t>
      </w:r>
      <w:r w:rsidR="00B02CE0" w:rsidRPr="00CD7913">
        <w:rPr>
          <w:vertAlign w:val="superscript"/>
        </w:rPr>
        <w:footnoteReference w:id="9"/>
      </w:r>
      <w:r w:rsidR="000C411D">
        <w:t>.</w:t>
      </w:r>
      <w:r w:rsidR="003D7E6D">
        <w:t xml:space="preserve"> We </w:t>
      </w:r>
      <w:r w:rsidR="0042311E">
        <w:t>consider it would increase both transparency and accountability if confidentiality requirements</w:t>
      </w:r>
      <w:r w:rsidR="004679B6">
        <w:t xml:space="preserve"> were lifted</w:t>
      </w:r>
      <w:r w:rsidR="0042311E">
        <w:t xml:space="preserve"> for deliberations on certain specific legislative proposals</w:t>
      </w:r>
      <w:r w:rsidR="002D70BB">
        <w:t>.</w:t>
      </w:r>
      <w:r w:rsidR="00FF5937" w:rsidRPr="00FF5937">
        <w:t xml:space="preserve"> </w:t>
      </w:r>
    </w:p>
    <w:p w14:paraId="673C7095" w14:textId="77777777" w:rsidR="006C1CA8" w:rsidRDefault="0014760A" w:rsidP="00CD7913">
      <w:pPr>
        <w:pStyle w:val="ListParagraph"/>
        <w:numPr>
          <w:ilvl w:val="1"/>
          <w:numId w:val="29"/>
        </w:numPr>
        <w:ind w:left="709" w:hanging="709"/>
      </w:pPr>
      <w:r>
        <w:t>We note</w:t>
      </w:r>
      <w:r w:rsidR="00FF23B5">
        <w:t>,</w:t>
      </w:r>
      <w:r>
        <w:t xml:space="preserve"> however, the EU proposals </w:t>
      </w:r>
      <w:r w:rsidR="006C1CA8">
        <w:t xml:space="preserve">do not provide for advanced notification of </w:t>
      </w:r>
      <w:r w:rsidR="0079151E">
        <w:t>items to be discussed</w:t>
      </w:r>
      <w:r w:rsidR="00D36AB4">
        <w:t xml:space="preserve"> at JCWG meetings</w:t>
      </w:r>
      <w:r w:rsidR="0079151E">
        <w:t xml:space="preserve">, </w:t>
      </w:r>
      <w:r w:rsidR="006357C2">
        <w:t xml:space="preserve">on </w:t>
      </w:r>
      <w:r w:rsidR="0079151E">
        <w:t>which stakeholders, including the Commissions</w:t>
      </w:r>
      <w:r w:rsidR="00281E1D">
        <w:t>,</w:t>
      </w:r>
      <w:r w:rsidR="0079151E">
        <w:t xml:space="preserve"> civi</w:t>
      </w:r>
      <w:r w:rsidR="009B16AD">
        <w:t>l society</w:t>
      </w:r>
      <w:r w:rsidR="00281E1D">
        <w:t xml:space="preserve"> and </w:t>
      </w:r>
      <w:r w:rsidR="009B16AD">
        <w:t>human rights and equality stakeholders in Northern Ireland may w</w:t>
      </w:r>
      <w:r w:rsidR="001F6D8B">
        <w:t>ish to engage</w:t>
      </w:r>
      <w:r w:rsidR="005A0569">
        <w:t xml:space="preserve"> with the UK Government and/or NI Executive and Assembly</w:t>
      </w:r>
      <w:r w:rsidR="001F6D8B">
        <w:t>.</w:t>
      </w:r>
    </w:p>
    <w:p w14:paraId="14B7E64A" w14:textId="77777777" w:rsidR="007A7150" w:rsidRPr="00A02036" w:rsidRDefault="00F52AFC" w:rsidP="00A02036">
      <w:pPr>
        <w:pStyle w:val="ListParagraph"/>
        <w:numPr>
          <w:ilvl w:val="0"/>
          <w:numId w:val="0"/>
        </w:numPr>
        <w:ind w:left="709"/>
        <w:rPr>
          <w:b/>
        </w:rPr>
      </w:pPr>
      <w:r>
        <w:rPr>
          <w:b/>
        </w:rPr>
        <w:t>Recommendation</w:t>
      </w:r>
    </w:p>
    <w:p w14:paraId="6E0A5668" w14:textId="77777777" w:rsidR="00925468" w:rsidRPr="00750D87" w:rsidRDefault="009430A1" w:rsidP="00750D87">
      <w:pPr>
        <w:pStyle w:val="ListParagraph"/>
        <w:numPr>
          <w:ilvl w:val="1"/>
          <w:numId w:val="29"/>
        </w:numPr>
        <w:ind w:left="709" w:hanging="709"/>
        <w:rPr>
          <w:b/>
        </w:rPr>
      </w:pPr>
      <w:r w:rsidRPr="00F05004">
        <w:rPr>
          <w:b/>
        </w:rPr>
        <w:t>The Commissions recommend that</w:t>
      </w:r>
      <w:r w:rsidR="00750D87">
        <w:rPr>
          <w:b/>
        </w:rPr>
        <w:t xml:space="preserve"> </w:t>
      </w:r>
      <w:r w:rsidRPr="00750D87">
        <w:rPr>
          <w:b/>
        </w:rPr>
        <w:t>proposals on increased transparency</w:t>
      </w:r>
      <w:r w:rsidR="00D50B76" w:rsidRPr="00750D87">
        <w:rPr>
          <w:b/>
        </w:rPr>
        <w:t xml:space="preserve"> relating to the </w:t>
      </w:r>
      <w:r w:rsidR="000C411D" w:rsidRPr="00750D87">
        <w:rPr>
          <w:b/>
        </w:rPr>
        <w:t>JCWG are</w:t>
      </w:r>
      <w:r w:rsidR="008504C5" w:rsidRPr="00750D87">
        <w:rPr>
          <w:b/>
        </w:rPr>
        <w:t xml:space="preserve"> extended to include</w:t>
      </w:r>
      <w:r w:rsidR="006E4E7B" w:rsidRPr="00750D87">
        <w:rPr>
          <w:b/>
        </w:rPr>
        <w:t xml:space="preserve"> the publication of agendas</w:t>
      </w:r>
      <w:r w:rsidR="00925468" w:rsidRPr="00750D87">
        <w:rPr>
          <w:b/>
        </w:rPr>
        <w:t xml:space="preserve"> in advance of meetings</w:t>
      </w:r>
      <w:r w:rsidR="00F52AFC" w:rsidRPr="00750D87">
        <w:rPr>
          <w:b/>
        </w:rPr>
        <w:t>.</w:t>
      </w:r>
    </w:p>
    <w:p w14:paraId="1DA1D675" w14:textId="77777777" w:rsidR="004E24C6" w:rsidRPr="00035FA4" w:rsidRDefault="00035FA4" w:rsidP="00F05004">
      <w:pPr>
        <w:pStyle w:val="ListParagraph"/>
        <w:numPr>
          <w:ilvl w:val="1"/>
          <w:numId w:val="29"/>
        </w:numPr>
        <w:ind w:left="709" w:hanging="709"/>
      </w:pPr>
      <w:r w:rsidRPr="00035FA4">
        <w:t>The Commissions welcome the EU proposal to</w:t>
      </w:r>
      <w:r w:rsidR="00E24FDB">
        <w:t>:</w:t>
      </w:r>
    </w:p>
    <w:p w14:paraId="64AD17F3" w14:textId="77777777" w:rsidR="00F1353D" w:rsidRDefault="004E24C6" w:rsidP="004E24C6">
      <w:pPr>
        <w:pStyle w:val="ListParagraph"/>
        <w:numPr>
          <w:ilvl w:val="0"/>
          <w:numId w:val="0"/>
        </w:numPr>
        <w:ind w:left="1440"/>
      </w:pPr>
      <w:r>
        <w:t>“</w:t>
      </w:r>
      <w:r w:rsidR="00E24FDB">
        <w:t>…</w:t>
      </w:r>
      <w:r w:rsidRPr="004E24C6">
        <w:t>set up structured groups with the participation of experts from respective authorities to discuss aspects of Union measures that are important for the implementation of the Protocol.</w:t>
      </w:r>
      <w:r>
        <w:t>”</w:t>
      </w:r>
      <w:r>
        <w:rPr>
          <w:rStyle w:val="FootnoteReference"/>
        </w:rPr>
        <w:footnoteReference w:id="10"/>
      </w:r>
    </w:p>
    <w:p w14:paraId="5F7CB020" w14:textId="77777777" w:rsidR="005F05A6" w:rsidRPr="005F05A6" w:rsidRDefault="00C2162C" w:rsidP="00CD7913">
      <w:pPr>
        <w:pStyle w:val="ListParagraph"/>
        <w:numPr>
          <w:ilvl w:val="1"/>
          <w:numId w:val="29"/>
        </w:numPr>
        <w:ind w:left="709" w:hanging="709"/>
      </w:pPr>
      <w:r>
        <w:t>The Commission</w:t>
      </w:r>
      <w:r w:rsidR="005F05A6">
        <w:t xml:space="preserve">s made clear in its evidence to the </w:t>
      </w:r>
      <w:r w:rsidR="004A6FB5">
        <w:t>Sub-</w:t>
      </w:r>
      <w:r w:rsidR="005F05A6">
        <w:t xml:space="preserve">Committee that </w:t>
      </w:r>
      <w:r w:rsidR="005F05A6" w:rsidRPr="005F05A6">
        <w:t xml:space="preserve">the UK Government </w:t>
      </w:r>
      <w:r w:rsidR="005F05A6">
        <w:t>should give</w:t>
      </w:r>
      <w:r w:rsidR="005F05A6" w:rsidRPr="005F05A6">
        <w:t xml:space="preserve"> consideration to putting in place appropriate </w:t>
      </w:r>
      <w:r w:rsidR="000C411D" w:rsidRPr="005F05A6">
        <w:t>arrangements to</w:t>
      </w:r>
      <w:r w:rsidR="005F05A6" w:rsidRPr="005F05A6">
        <w:t xml:space="preserve"> ensure that there is regular and meaningful engagement between the Joint Consultative Working Group and the </w:t>
      </w:r>
      <w:r w:rsidR="00FF23B5">
        <w:t>Commissions</w:t>
      </w:r>
      <w:r w:rsidR="005F05A6" w:rsidRPr="005F05A6">
        <w:t xml:space="preserve">, as well as with equality and human rights stakeholders in Northern Ireland, in relation to the commitment set out in Article 2 of the Protocol. </w:t>
      </w:r>
    </w:p>
    <w:p w14:paraId="4D7D9636" w14:textId="77777777" w:rsidR="005F05A6" w:rsidRDefault="005F05A6" w:rsidP="00CD7913">
      <w:pPr>
        <w:pStyle w:val="ListParagraph"/>
        <w:numPr>
          <w:ilvl w:val="1"/>
          <w:numId w:val="29"/>
        </w:numPr>
        <w:ind w:left="709" w:hanging="709"/>
      </w:pPr>
      <w:r>
        <w:t xml:space="preserve">We welcome that the </w:t>
      </w:r>
      <w:r w:rsidR="004A6FB5">
        <w:t>Sub-</w:t>
      </w:r>
      <w:r>
        <w:t>Committee has recently raised this matter with the Secretary of State for N</w:t>
      </w:r>
      <w:r w:rsidR="002F6678">
        <w:t xml:space="preserve">orthern </w:t>
      </w:r>
      <w:r>
        <w:t>I</w:t>
      </w:r>
      <w:r w:rsidR="002F6678">
        <w:t xml:space="preserve">reland in its </w:t>
      </w:r>
      <w:r w:rsidR="007D6733">
        <w:t xml:space="preserve">letter on Article 2 </w:t>
      </w:r>
      <w:r w:rsidR="00A8053F">
        <w:t>(rights of individuals)</w:t>
      </w:r>
      <w:r w:rsidR="00E77652">
        <w:t xml:space="preserve">, including </w:t>
      </w:r>
      <w:r w:rsidR="00E77652" w:rsidRPr="00E77652">
        <w:t>stress</w:t>
      </w:r>
      <w:r w:rsidR="00E77652">
        <w:t>ing</w:t>
      </w:r>
      <w:r w:rsidR="00E77652" w:rsidRPr="00E77652">
        <w:t xml:space="preserve"> the importa</w:t>
      </w:r>
      <w:r w:rsidR="00E77652">
        <w:t xml:space="preserve">nce of meetings between the </w:t>
      </w:r>
      <w:r w:rsidR="00E77652" w:rsidRPr="00E77652">
        <w:t>Commissions and the JCWG.</w:t>
      </w:r>
    </w:p>
    <w:p w14:paraId="65F8869B" w14:textId="77777777" w:rsidR="00277973" w:rsidRDefault="00C2162C" w:rsidP="00F05004">
      <w:pPr>
        <w:pStyle w:val="ListParagraph"/>
        <w:numPr>
          <w:ilvl w:val="1"/>
          <w:numId w:val="29"/>
        </w:numPr>
        <w:ind w:left="709" w:hanging="709"/>
      </w:pPr>
      <w:r>
        <w:t xml:space="preserve"> </w:t>
      </w:r>
      <w:r w:rsidR="00565B6D" w:rsidRPr="001005F8">
        <w:t xml:space="preserve">The establishment of an Article 2 </w:t>
      </w:r>
      <w:r w:rsidRPr="001005F8">
        <w:t xml:space="preserve">“structured </w:t>
      </w:r>
      <w:r w:rsidR="00565B6D" w:rsidRPr="001005F8">
        <w:t>group</w:t>
      </w:r>
      <w:r w:rsidRPr="001005F8">
        <w:t>”</w:t>
      </w:r>
      <w:r w:rsidR="00565B6D" w:rsidRPr="001005F8">
        <w:t xml:space="preserve"> within the JCWG </w:t>
      </w:r>
      <w:r w:rsidR="003C0BAB" w:rsidRPr="001005F8">
        <w:t>c</w:t>
      </w:r>
      <w:r w:rsidR="000013EA" w:rsidRPr="001005F8">
        <w:t>ould</w:t>
      </w:r>
      <w:r w:rsidR="00952B99" w:rsidRPr="001005F8">
        <w:t xml:space="preserve"> assist with </w:t>
      </w:r>
      <w:r w:rsidR="00E77652" w:rsidRPr="001005F8">
        <w:t>ensuring regular and structured engagement and information exchange between the JCWG and the Commissions, as well as wider equality and human rights stakeholders</w:t>
      </w:r>
      <w:r w:rsidR="00952B99" w:rsidRPr="001005F8">
        <w:t>.</w:t>
      </w:r>
    </w:p>
    <w:p w14:paraId="0A50E538" w14:textId="77777777" w:rsidR="00386AB7" w:rsidRPr="00386AB7" w:rsidRDefault="00386AB7" w:rsidP="00386AB7">
      <w:pPr>
        <w:pStyle w:val="ListParagraph"/>
        <w:numPr>
          <w:ilvl w:val="0"/>
          <w:numId w:val="0"/>
        </w:numPr>
        <w:ind w:left="360" w:firstLine="349"/>
        <w:rPr>
          <w:b/>
        </w:rPr>
      </w:pPr>
      <w:r>
        <w:rPr>
          <w:b/>
        </w:rPr>
        <w:t>Recommendation</w:t>
      </w:r>
    </w:p>
    <w:p w14:paraId="5C7640F3" w14:textId="77777777" w:rsidR="006E4E7B" w:rsidRPr="001005F8" w:rsidRDefault="00277973" w:rsidP="00F05004">
      <w:pPr>
        <w:pStyle w:val="ListParagraph"/>
        <w:numPr>
          <w:ilvl w:val="1"/>
          <w:numId w:val="29"/>
        </w:numPr>
        <w:ind w:left="709" w:hanging="709"/>
        <w:rPr>
          <w:b/>
        </w:rPr>
      </w:pPr>
      <w:r w:rsidRPr="001005F8">
        <w:rPr>
          <w:b/>
        </w:rPr>
        <w:t>The Commissions recommend that</w:t>
      </w:r>
      <w:r w:rsidR="00C644C9" w:rsidRPr="001005F8">
        <w:rPr>
          <w:b/>
        </w:rPr>
        <w:t xml:space="preserve"> </w:t>
      </w:r>
      <w:r w:rsidR="00996E32" w:rsidRPr="001005F8">
        <w:rPr>
          <w:b/>
        </w:rPr>
        <w:t xml:space="preserve">any proposals between the UK Government and EU </w:t>
      </w:r>
      <w:r w:rsidR="009A62C5" w:rsidRPr="001005F8">
        <w:rPr>
          <w:b/>
        </w:rPr>
        <w:t>on the development of</w:t>
      </w:r>
      <w:r w:rsidR="006E4E7B" w:rsidRPr="001005F8">
        <w:rPr>
          <w:b/>
        </w:rPr>
        <w:t xml:space="preserve"> “structured groups” </w:t>
      </w:r>
      <w:r w:rsidR="003C0BAB" w:rsidRPr="001005F8">
        <w:rPr>
          <w:b/>
        </w:rPr>
        <w:t xml:space="preserve">within the JCWG includes consideration being given to </w:t>
      </w:r>
      <w:r w:rsidR="007A6B30" w:rsidRPr="001005F8">
        <w:rPr>
          <w:b/>
        </w:rPr>
        <w:t xml:space="preserve">establishing </w:t>
      </w:r>
      <w:r w:rsidR="009A62C5" w:rsidRPr="001005F8">
        <w:rPr>
          <w:b/>
        </w:rPr>
        <w:t xml:space="preserve">a </w:t>
      </w:r>
      <w:r w:rsidR="00872460" w:rsidRPr="001005F8">
        <w:rPr>
          <w:b/>
        </w:rPr>
        <w:t>group that</w:t>
      </w:r>
      <w:r w:rsidR="00C644C9" w:rsidRPr="001005F8">
        <w:rPr>
          <w:b/>
        </w:rPr>
        <w:t xml:space="preserve"> focuses on issues relating to </w:t>
      </w:r>
      <w:r w:rsidR="009E40F3" w:rsidRPr="001005F8">
        <w:rPr>
          <w:b/>
        </w:rPr>
        <w:t>Article 2 of the Protocol.</w:t>
      </w:r>
    </w:p>
    <w:p w14:paraId="3FA69F8A" w14:textId="77777777" w:rsidR="00112F11" w:rsidRPr="00112F11" w:rsidRDefault="00112F11" w:rsidP="00112F11">
      <w:pPr>
        <w:pStyle w:val="ListParagraph"/>
        <w:numPr>
          <w:ilvl w:val="0"/>
          <w:numId w:val="0"/>
        </w:numPr>
        <w:ind w:left="709"/>
        <w:rPr>
          <w:u w:val="single"/>
        </w:rPr>
      </w:pPr>
      <w:r w:rsidRPr="00112F11">
        <w:rPr>
          <w:bCs/>
          <w:iCs/>
          <w:u w:val="single"/>
        </w:rPr>
        <w:t>Fora for structured dialogue with Northern Ireland stakeholders</w:t>
      </w:r>
    </w:p>
    <w:p w14:paraId="7643553C" w14:textId="77777777" w:rsidR="00DE4FCE" w:rsidRDefault="006E4E7B" w:rsidP="00F05004">
      <w:pPr>
        <w:pStyle w:val="ListParagraph"/>
        <w:numPr>
          <w:ilvl w:val="1"/>
          <w:numId w:val="29"/>
        </w:numPr>
        <w:ind w:left="709" w:hanging="709"/>
      </w:pPr>
      <w:r>
        <w:t xml:space="preserve">The EU has </w:t>
      </w:r>
      <w:r w:rsidR="000C411D">
        <w:t>proposed direct</w:t>
      </w:r>
      <w:r>
        <w:t xml:space="preserve"> and structured fora for dialogue with NI stakeholders, experts working in EU institutions, bodies and agencies and their UK counterparts, including N</w:t>
      </w:r>
      <w:r w:rsidR="00AB2157">
        <w:t xml:space="preserve">orthern </w:t>
      </w:r>
      <w:r>
        <w:t>I</w:t>
      </w:r>
      <w:r w:rsidR="00AB2157">
        <w:t>reland</w:t>
      </w:r>
      <w:r>
        <w:t xml:space="preserve"> authorities. </w:t>
      </w:r>
    </w:p>
    <w:p w14:paraId="1029D26A" w14:textId="77777777" w:rsidR="00112F11" w:rsidRDefault="008B3EA5" w:rsidP="00F05004">
      <w:pPr>
        <w:pStyle w:val="ListParagraph"/>
        <w:numPr>
          <w:ilvl w:val="1"/>
          <w:numId w:val="29"/>
        </w:numPr>
        <w:ind w:left="709" w:hanging="709"/>
      </w:pPr>
      <w:r>
        <w:t>Whilst, in general, t</w:t>
      </w:r>
      <w:r w:rsidR="00DE4FCE">
        <w:t>he Commissions welcome this proposal</w:t>
      </w:r>
      <w:r>
        <w:t xml:space="preserve"> we note that there is no spe</w:t>
      </w:r>
      <w:r w:rsidR="00112F11">
        <w:t>cific mention in the proposal for</w:t>
      </w:r>
      <w:r>
        <w:t xml:space="preserve"> structured dialogue on matters relating to equality and human rights issues</w:t>
      </w:r>
      <w:r w:rsidR="00112F11">
        <w:t>, or with equality and human rights stakeholders</w:t>
      </w:r>
      <w:r w:rsidR="00BB2C70">
        <w:t>/bodies</w:t>
      </w:r>
      <w:r>
        <w:t xml:space="preserve">. </w:t>
      </w:r>
    </w:p>
    <w:p w14:paraId="2F79EA7A" w14:textId="77777777" w:rsidR="006E4E7B" w:rsidRDefault="00F90122" w:rsidP="00CD7913">
      <w:pPr>
        <w:pStyle w:val="ListParagraph"/>
        <w:numPr>
          <w:ilvl w:val="1"/>
          <w:numId w:val="29"/>
        </w:numPr>
        <w:ind w:left="709" w:hanging="709"/>
      </w:pPr>
      <w:r w:rsidRPr="00F90122">
        <w:t>We consider that a direct and structured forum for equality and human rights stakeholders</w:t>
      </w:r>
      <w:r w:rsidR="00225C13">
        <w:t>, including the Commissions,</w:t>
      </w:r>
      <w:r w:rsidRPr="00F90122">
        <w:t xml:space="preserve"> </w:t>
      </w:r>
      <w:r w:rsidR="00112F11" w:rsidRPr="00225C13">
        <w:t xml:space="preserve">provides </w:t>
      </w:r>
      <w:r w:rsidR="00DE4FCE" w:rsidRPr="00225C13">
        <w:t>a</w:t>
      </w:r>
      <w:r w:rsidR="00225C13" w:rsidRPr="00CD7913">
        <w:t>n</w:t>
      </w:r>
      <w:r w:rsidR="00DE4FCE" w:rsidRPr="00225C13">
        <w:t xml:space="preserve"> </w:t>
      </w:r>
      <w:r w:rsidR="006E4E7B" w:rsidRPr="00225C13">
        <w:t xml:space="preserve">opportunity </w:t>
      </w:r>
      <w:r w:rsidR="006E4E7B">
        <w:t xml:space="preserve">to discuss </w:t>
      </w:r>
      <w:r w:rsidR="00F60584">
        <w:t xml:space="preserve">potential </w:t>
      </w:r>
      <w:r w:rsidR="006E4E7B">
        <w:t>Article 2</w:t>
      </w:r>
      <w:r w:rsidR="00F60584">
        <w:t xml:space="preserve"> </w:t>
      </w:r>
      <w:r w:rsidR="006E4E7B">
        <w:t>impacts and/or issues and concerns</w:t>
      </w:r>
      <w:r w:rsidR="00054F3A">
        <w:t>.</w:t>
      </w:r>
      <w:r w:rsidR="006E4E7B">
        <w:t xml:space="preserve"> </w:t>
      </w:r>
      <w:r w:rsidR="00054F3A">
        <w:t xml:space="preserve">It also presents </w:t>
      </w:r>
      <w:r w:rsidR="00F60584">
        <w:t>a</w:t>
      </w:r>
      <w:r w:rsidR="00134495">
        <w:t xml:space="preserve">n opportunity </w:t>
      </w:r>
      <w:r w:rsidR="00F60584">
        <w:t xml:space="preserve">to </w:t>
      </w:r>
      <w:r w:rsidR="00054F3A">
        <w:t>inform stakeholders</w:t>
      </w:r>
      <w:r w:rsidR="006E4E7B">
        <w:t xml:space="preserve"> about</w:t>
      </w:r>
      <w:r w:rsidR="00134495">
        <w:t xml:space="preserve"> any</w:t>
      </w:r>
      <w:r w:rsidR="006E4E7B">
        <w:t xml:space="preserve"> changes to Annex 1 Directives</w:t>
      </w:r>
      <w:r w:rsidR="00134495">
        <w:t xml:space="preserve"> and/or proposed </w:t>
      </w:r>
      <w:r w:rsidR="006E4E7B">
        <w:t>new EU legislation</w:t>
      </w:r>
      <w:r w:rsidR="00134495">
        <w:t xml:space="preserve"> relevant to Northern Ireland </w:t>
      </w:r>
      <w:r w:rsidR="00BB2C70">
        <w:t xml:space="preserve">and Article 2 of </w:t>
      </w:r>
      <w:r w:rsidR="00134495">
        <w:t>the Protocol</w:t>
      </w:r>
      <w:r w:rsidR="006E4E7B">
        <w:t>.</w:t>
      </w:r>
      <w:r w:rsidR="00706DDA" w:rsidRPr="00706DDA">
        <w:t xml:space="preserve"> </w:t>
      </w:r>
      <w:r w:rsidR="00706DDA">
        <w:t>We consider it could be helpful, as proposed by the EU, for t</w:t>
      </w:r>
      <w:r w:rsidR="00706DDA" w:rsidRPr="00706DDA">
        <w:t xml:space="preserve">hose meetings </w:t>
      </w:r>
      <w:r w:rsidR="00706DDA">
        <w:t>with stakeholders to</w:t>
      </w:r>
      <w:r w:rsidR="009C0C97">
        <w:t xml:space="preserve"> be </w:t>
      </w:r>
      <w:r w:rsidR="00706DDA" w:rsidRPr="00706DDA">
        <w:t>structured around the meetings of the Specialised Committee and/or JCWG.</w:t>
      </w:r>
      <w:r w:rsidR="006E4E7B">
        <w:t xml:space="preserve"> </w:t>
      </w:r>
    </w:p>
    <w:p w14:paraId="7325061C" w14:textId="77777777" w:rsidR="008C7B65" w:rsidRDefault="008C7B65" w:rsidP="00386AB7">
      <w:pPr>
        <w:pStyle w:val="ListParagraph"/>
        <w:numPr>
          <w:ilvl w:val="0"/>
          <w:numId w:val="0"/>
        </w:numPr>
        <w:ind w:left="360" w:firstLine="349"/>
        <w:rPr>
          <w:b/>
        </w:rPr>
      </w:pPr>
      <w:r>
        <w:rPr>
          <w:b/>
        </w:rPr>
        <w:t>Recommendation</w:t>
      </w:r>
    </w:p>
    <w:p w14:paraId="6E685E6C" w14:textId="77777777" w:rsidR="008C7B65" w:rsidRPr="00750D87" w:rsidRDefault="008C7B65" w:rsidP="00750D87">
      <w:pPr>
        <w:pStyle w:val="ListParagraph"/>
        <w:numPr>
          <w:ilvl w:val="1"/>
          <w:numId w:val="29"/>
        </w:numPr>
        <w:ind w:left="709" w:hanging="709"/>
        <w:rPr>
          <w:b/>
          <w:bCs/>
        </w:rPr>
      </w:pPr>
      <w:r w:rsidRPr="00750D87">
        <w:rPr>
          <w:b/>
          <w:bCs/>
        </w:rPr>
        <w:t xml:space="preserve">The Commissions recommend that the EU proposals for direct and structured fora for dialogue with NI stakeholders, </w:t>
      </w:r>
      <w:r w:rsidR="00AC68D0" w:rsidRPr="00750D87">
        <w:rPr>
          <w:b/>
          <w:bCs/>
        </w:rPr>
        <w:t xml:space="preserve">include </w:t>
      </w:r>
      <w:r w:rsidRPr="00750D87">
        <w:rPr>
          <w:b/>
          <w:bCs/>
        </w:rPr>
        <w:t xml:space="preserve">open, transparent and regular engagement with </w:t>
      </w:r>
      <w:r w:rsidR="00AC68D0" w:rsidRPr="00750D87">
        <w:rPr>
          <w:b/>
          <w:bCs/>
        </w:rPr>
        <w:t xml:space="preserve">the Commissions and </w:t>
      </w:r>
      <w:r w:rsidRPr="00750D87">
        <w:rPr>
          <w:b/>
          <w:bCs/>
        </w:rPr>
        <w:t xml:space="preserve">equality and human rights stakeholders in Northern Ireland. </w:t>
      </w:r>
    </w:p>
    <w:p w14:paraId="34FB57FC" w14:textId="77777777" w:rsidR="008C7B65" w:rsidRDefault="008C7B65" w:rsidP="00AC68D0">
      <w:pPr>
        <w:ind w:left="720" w:hanging="720"/>
      </w:pPr>
    </w:p>
    <w:p w14:paraId="296B370A" w14:textId="77777777" w:rsidR="005C0D07" w:rsidRDefault="005C0D07" w:rsidP="00AC68D0">
      <w:pPr>
        <w:ind w:left="720" w:hanging="720"/>
      </w:pPr>
    </w:p>
    <w:p w14:paraId="112B41F8" w14:textId="77777777" w:rsidR="00A56F1B" w:rsidRPr="00A56F1B" w:rsidRDefault="00A56F1B" w:rsidP="00A56F1B">
      <w:pPr>
        <w:pStyle w:val="ListParagraph"/>
        <w:numPr>
          <w:ilvl w:val="0"/>
          <w:numId w:val="0"/>
        </w:numPr>
        <w:ind w:left="360"/>
        <w:rPr>
          <w:u w:val="single"/>
        </w:rPr>
      </w:pPr>
      <w:r w:rsidRPr="00A56F1B">
        <w:rPr>
          <w:u w:val="single"/>
        </w:rPr>
        <w:t>Specialise</w:t>
      </w:r>
      <w:r w:rsidR="00FF23B5">
        <w:rPr>
          <w:u w:val="single"/>
        </w:rPr>
        <w:t>d</w:t>
      </w:r>
      <w:r w:rsidRPr="00A56F1B">
        <w:rPr>
          <w:u w:val="single"/>
        </w:rPr>
        <w:t xml:space="preserve"> Committee /Joint Committee </w:t>
      </w:r>
    </w:p>
    <w:p w14:paraId="438E7793" w14:textId="77777777" w:rsidR="000D01ED" w:rsidRDefault="006E4E7B" w:rsidP="008C7B65">
      <w:pPr>
        <w:pStyle w:val="ListParagraph"/>
        <w:numPr>
          <w:ilvl w:val="1"/>
          <w:numId w:val="29"/>
        </w:numPr>
        <w:ind w:left="709" w:hanging="709"/>
      </w:pPr>
      <w:r>
        <w:t xml:space="preserve">The </w:t>
      </w:r>
      <w:r w:rsidR="00AA1470" w:rsidRPr="00CD7913">
        <w:t>Commissions welcome the</w:t>
      </w:r>
      <w:r w:rsidR="00AA1470">
        <w:t xml:space="preserve"> </w:t>
      </w:r>
      <w:r w:rsidR="00F206C4">
        <w:t xml:space="preserve">EU </w:t>
      </w:r>
      <w:r>
        <w:t>propos</w:t>
      </w:r>
      <w:r w:rsidR="00F206C4">
        <w:t>al on</w:t>
      </w:r>
      <w:r w:rsidR="009F1474">
        <w:t xml:space="preserve"> the</w:t>
      </w:r>
      <w:r>
        <w:t xml:space="preserve"> participation of </w:t>
      </w:r>
      <w:r w:rsidR="00687FE6">
        <w:t xml:space="preserve">civil society </w:t>
      </w:r>
      <w:r>
        <w:t>stakeholders in the Specialised Committee</w:t>
      </w:r>
      <w:r w:rsidR="00231345">
        <w:t xml:space="preserve"> and proposals for more structured dialogue between civil society and business stakeholders and the co-chairs of the Joint Committee.</w:t>
      </w:r>
      <w:r w:rsidR="007E767F" w:rsidRPr="00696580">
        <w:rPr>
          <w:vertAlign w:val="superscript"/>
        </w:rPr>
        <w:footnoteReference w:id="11"/>
      </w:r>
      <w:r w:rsidR="00443708">
        <w:t xml:space="preserve"> Again, we note that there is no specific reference to engagement with equality and human rights stakeholders in these proposals.</w:t>
      </w:r>
    </w:p>
    <w:p w14:paraId="4B8E09E2" w14:textId="77777777" w:rsidR="000163FD" w:rsidRPr="00674069" w:rsidRDefault="000163FD" w:rsidP="00CB7D5C">
      <w:pPr>
        <w:pStyle w:val="ListParagraph"/>
        <w:numPr>
          <w:ilvl w:val="1"/>
          <w:numId w:val="29"/>
        </w:numPr>
        <w:ind w:left="709" w:hanging="709"/>
      </w:pPr>
      <w:r w:rsidRPr="00674069">
        <w:t xml:space="preserve">The House of Lords EU Committee has previously invited the </w:t>
      </w:r>
      <w:r w:rsidR="00EA5141" w:rsidRPr="00674069">
        <w:t xml:space="preserve">UK </w:t>
      </w:r>
      <w:r w:rsidRPr="00674069">
        <w:t>Government to clarify how the Specialised Committee would engage with the Commi</w:t>
      </w:r>
      <w:r w:rsidR="00D039BE" w:rsidRPr="00674069">
        <w:t>ssions, as well as NI Executive</w:t>
      </w:r>
      <w:r w:rsidRPr="00674069">
        <w:t>, the North-South Ministerial Council, and the North-South Implementation bodies</w:t>
      </w:r>
      <w:r w:rsidRPr="00674069">
        <w:rPr>
          <w:rStyle w:val="FootnoteReference"/>
        </w:rPr>
        <w:footnoteReference w:id="12"/>
      </w:r>
      <w:r w:rsidRPr="00674069">
        <w:t>.</w:t>
      </w:r>
    </w:p>
    <w:p w14:paraId="231E07E2" w14:textId="77777777" w:rsidR="00CB7D5C" w:rsidRDefault="000163FD" w:rsidP="00CB7D5C">
      <w:pPr>
        <w:pStyle w:val="ListParagraph"/>
        <w:numPr>
          <w:ilvl w:val="1"/>
          <w:numId w:val="29"/>
        </w:numPr>
        <w:ind w:left="709" w:hanging="709"/>
      </w:pPr>
      <w:r w:rsidRPr="00674069">
        <w:t xml:space="preserve">Aligned </w:t>
      </w:r>
      <w:r w:rsidR="00CB7D5C" w:rsidRPr="00674069">
        <w:t xml:space="preserve">to </w:t>
      </w:r>
      <w:r w:rsidR="00EA5141" w:rsidRPr="00674069">
        <w:t>this request by the Committee</w:t>
      </w:r>
      <w:r w:rsidRPr="00674069">
        <w:t>,</w:t>
      </w:r>
      <w:r w:rsidR="00CB7D5C" w:rsidRPr="00674069">
        <w:t xml:space="preserve"> the</w:t>
      </w:r>
      <w:r w:rsidR="00CB7D5C" w:rsidRPr="00015540">
        <w:t xml:space="preserve"> Commissions consider that there is a need for clarification of how the Specialised Committee will engage with the </w:t>
      </w:r>
      <w:r w:rsidR="00FF23B5">
        <w:t>Commissions in their role as the d</w:t>
      </w:r>
      <w:r w:rsidR="00CB7D5C" w:rsidRPr="00015540">
        <w:t xml:space="preserve">edicated </w:t>
      </w:r>
      <w:r w:rsidR="00FF23B5">
        <w:t>m</w:t>
      </w:r>
      <w:r w:rsidR="00CB7D5C" w:rsidRPr="00015540">
        <w:t>echanism</w:t>
      </w:r>
      <w:r w:rsidR="00FF23B5">
        <w:t xml:space="preserve"> framework</w:t>
      </w:r>
      <w:r w:rsidR="00CB7D5C" w:rsidRPr="00015540">
        <w:t>.</w:t>
      </w:r>
    </w:p>
    <w:p w14:paraId="52212857" w14:textId="77777777" w:rsidR="00AC68D0" w:rsidRDefault="00CB7D5C" w:rsidP="00CD7913">
      <w:pPr>
        <w:pStyle w:val="ListParagraph"/>
        <w:numPr>
          <w:ilvl w:val="1"/>
          <w:numId w:val="29"/>
        </w:numPr>
        <w:ind w:left="709" w:hanging="709"/>
      </w:pPr>
      <w:r w:rsidRPr="00A02036">
        <w:t xml:space="preserve">This includes clarity on processes to ensure that there is transparency in terms of recommendations of the Specialised Committee as regards matters raised with it by the </w:t>
      </w:r>
      <w:r w:rsidR="000C411D">
        <w:t xml:space="preserve">Commissions </w:t>
      </w:r>
      <w:r w:rsidR="000C411D" w:rsidRPr="00A02036">
        <w:t>and</w:t>
      </w:r>
      <w:r w:rsidRPr="00A02036">
        <w:t>/or Joint Committee of the NIHRC and IHREC.</w:t>
      </w:r>
    </w:p>
    <w:p w14:paraId="5D157722" w14:textId="77777777" w:rsidR="00D75E85" w:rsidRPr="00CA6DA2" w:rsidRDefault="00CB7D5C" w:rsidP="00386AB7">
      <w:pPr>
        <w:ind w:firstLine="709"/>
        <w:rPr>
          <w:rFonts w:asciiTheme="minorHAnsi" w:hAnsiTheme="minorHAnsi" w:cstheme="minorHAnsi"/>
          <w:b/>
          <w:sz w:val="28"/>
          <w:szCs w:val="28"/>
        </w:rPr>
      </w:pPr>
      <w:r w:rsidRPr="00CA6DA2">
        <w:rPr>
          <w:rFonts w:asciiTheme="minorHAnsi" w:hAnsiTheme="minorHAnsi" w:cstheme="minorHAnsi"/>
          <w:b/>
          <w:sz w:val="28"/>
          <w:szCs w:val="28"/>
        </w:rPr>
        <w:t>Recommendations:</w:t>
      </w:r>
    </w:p>
    <w:p w14:paraId="1B8831EA" w14:textId="77777777" w:rsidR="00CB7D5C" w:rsidRDefault="00CB7D5C" w:rsidP="00CB7D5C"/>
    <w:p w14:paraId="52EF9A53" w14:textId="77777777" w:rsidR="00443708" w:rsidRDefault="0006491E" w:rsidP="00F05004">
      <w:pPr>
        <w:pStyle w:val="ListParagraph"/>
        <w:numPr>
          <w:ilvl w:val="1"/>
          <w:numId w:val="29"/>
        </w:numPr>
        <w:ind w:left="709" w:hanging="709"/>
        <w:rPr>
          <w:b/>
        </w:rPr>
      </w:pPr>
      <w:r w:rsidRPr="00F05004">
        <w:rPr>
          <w:b/>
        </w:rPr>
        <w:t>The Commissions recommend</w:t>
      </w:r>
      <w:r w:rsidR="00BE66C4" w:rsidRPr="00F05004">
        <w:rPr>
          <w:b/>
        </w:rPr>
        <w:t xml:space="preserve"> that</w:t>
      </w:r>
      <w:r w:rsidR="00443708">
        <w:rPr>
          <w:b/>
        </w:rPr>
        <w:t>:</w:t>
      </w:r>
    </w:p>
    <w:p w14:paraId="4D004475" w14:textId="77777777" w:rsidR="00CB7D5C" w:rsidRPr="0085603B" w:rsidRDefault="0070767C" w:rsidP="0070767C">
      <w:pPr>
        <w:pStyle w:val="ListParagraph"/>
        <w:numPr>
          <w:ilvl w:val="0"/>
          <w:numId w:val="58"/>
        </w:numPr>
        <w:rPr>
          <w:b/>
        </w:rPr>
      </w:pPr>
      <w:r>
        <w:rPr>
          <w:b/>
        </w:rPr>
        <w:t>further</w:t>
      </w:r>
      <w:r w:rsidR="00CB7D5C" w:rsidRPr="0070767C">
        <w:rPr>
          <w:b/>
        </w:rPr>
        <w:t xml:space="preserve"> </w:t>
      </w:r>
      <w:r w:rsidR="00CB7D5C" w:rsidRPr="0070767C">
        <w:rPr>
          <w:b/>
          <w:bCs/>
        </w:rPr>
        <w:t xml:space="preserve">clarification </w:t>
      </w:r>
      <w:r w:rsidR="0085603B">
        <w:rPr>
          <w:b/>
          <w:bCs/>
        </w:rPr>
        <w:t xml:space="preserve">is provided by the UK Government/EU </w:t>
      </w:r>
      <w:r w:rsidR="00CB7D5C" w:rsidRPr="0070767C">
        <w:rPr>
          <w:b/>
          <w:bCs/>
        </w:rPr>
        <w:t xml:space="preserve">as to how the Specialised </w:t>
      </w:r>
      <w:r w:rsidR="0085603B">
        <w:rPr>
          <w:b/>
          <w:bCs/>
        </w:rPr>
        <w:t xml:space="preserve">Committee will engage with the </w:t>
      </w:r>
      <w:r w:rsidR="00FF23B5">
        <w:rPr>
          <w:b/>
          <w:bCs/>
        </w:rPr>
        <w:t>Commissions in their role as the d</w:t>
      </w:r>
      <w:r w:rsidR="00CB7D5C" w:rsidRPr="0070767C">
        <w:rPr>
          <w:b/>
          <w:bCs/>
        </w:rPr>
        <w:t>ed</w:t>
      </w:r>
      <w:r w:rsidR="0085603B">
        <w:rPr>
          <w:b/>
          <w:bCs/>
        </w:rPr>
        <w:t xml:space="preserve">icated </w:t>
      </w:r>
      <w:r w:rsidR="00FF23B5">
        <w:rPr>
          <w:b/>
          <w:bCs/>
        </w:rPr>
        <w:t>m</w:t>
      </w:r>
      <w:r w:rsidR="0085603B">
        <w:rPr>
          <w:b/>
          <w:bCs/>
        </w:rPr>
        <w:t>echanism</w:t>
      </w:r>
      <w:r w:rsidR="00FF23B5">
        <w:rPr>
          <w:b/>
          <w:bCs/>
        </w:rPr>
        <w:t xml:space="preserve"> framework</w:t>
      </w:r>
      <w:r w:rsidR="0085603B">
        <w:rPr>
          <w:b/>
          <w:bCs/>
        </w:rPr>
        <w:t>;</w:t>
      </w:r>
    </w:p>
    <w:p w14:paraId="1E4F2255" w14:textId="77777777" w:rsidR="008C7B65" w:rsidRPr="008C7B65" w:rsidRDefault="008C7B65" w:rsidP="008C7B65">
      <w:pPr>
        <w:pStyle w:val="ListParagraph"/>
        <w:numPr>
          <w:ilvl w:val="0"/>
          <w:numId w:val="58"/>
        </w:numPr>
        <w:rPr>
          <w:b/>
        </w:rPr>
      </w:pPr>
      <w:r w:rsidRPr="008C7B65">
        <w:rPr>
          <w:b/>
        </w:rPr>
        <w:t xml:space="preserve">the UK Government and the supervisory bodies established under the UK-EU Withdrawal Agreement and the UK-EU Trade and Cooperation Agreement establish formal structures for open, transparent and regular engagement with equality and human rights stakeholders in Northern Ireland. </w:t>
      </w:r>
    </w:p>
    <w:p w14:paraId="5CE4EAF2" w14:textId="77777777" w:rsidR="00CB7D5C" w:rsidRPr="009C0C97" w:rsidRDefault="00CB7D5C" w:rsidP="009C0C97">
      <w:pPr>
        <w:rPr>
          <w:b/>
        </w:rPr>
      </w:pPr>
    </w:p>
    <w:p w14:paraId="55163E79" w14:textId="77777777" w:rsidR="00CB7D5C" w:rsidRPr="00853C2E" w:rsidRDefault="00853C2E" w:rsidP="00CA6DA2">
      <w:pPr>
        <w:pStyle w:val="ListParagraph"/>
        <w:numPr>
          <w:ilvl w:val="0"/>
          <w:numId w:val="0"/>
        </w:numPr>
        <w:ind w:left="709"/>
        <w:rPr>
          <w:u w:val="single"/>
        </w:rPr>
      </w:pPr>
      <w:r w:rsidRPr="00853C2E">
        <w:rPr>
          <w:u w:val="single"/>
        </w:rPr>
        <w:t>Additional points</w:t>
      </w:r>
    </w:p>
    <w:p w14:paraId="51678BC3" w14:textId="77777777" w:rsidR="006E4E7B" w:rsidRPr="00CD7913" w:rsidRDefault="006E4E7B" w:rsidP="00F05004">
      <w:pPr>
        <w:pStyle w:val="ListParagraph"/>
        <w:numPr>
          <w:ilvl w:val="1"/>
          <w:numId w:val="29"/>
        </w:numPr>
        <w:ind w:left="709" w:hanging="709"/>
      </w:pPr>
      <w:r w:rsidRPr="00CD7913">
        <w:t xml:space="preserve">The EU has proposed structured engagement with Northern Ireland stakeholders, specifically identifying civil society. </w:t>
      </w:r>
      <w:r w:rsidR="00853C2E" w:rsidRPr="00CD7913">
        <w:t>However, we note that p</w:t>
      </w:r>
      <w:r w:rsidRPr="00CD7913">
        <w:t xml:space="preserve">roposals for structured dialogue and engagement do not </w:t>
      </w:r>
      <w:r w:rsidR="002F451F" w:rsidRPr="00CD7913">
        <w:t>include</w:t>
      </w:r>
      <w:r w:rsidRPr="00CD7913">
        <w:t xml:space="preserve"> specific reference to those working on cross border issues.</w:t>
      </w:r>
    </w:p>
    <w:p w14:paraId="0C698F96" w14:textId="77777777" w:rsidR="00064CF7" w:rsidRPr="00CD7913" w:rsidRDefault="0075620F" w:rsidP="00F05004">
      <w:pPr>
        <w:pStyle w:val="ListParagraph"/>
        <w:numPr>
          <w:ilvl w:val="1"/>
          <w:numId w:val="29"/>
        </w:numPr>
        <w:ind w:left="709" w:hanging="709"/>
        <w:rPr>
          <w:b/>
        </w:rPr>
      </w:pPr>
      <w:r w:rsidRPr="00CD7913">
        <w:rPr>
          <w:b/>
        </w:rPr>
        <w:t xml:space="preserve">The Commissions recommend that </w:t>
      </w:r>
      <w:r w:rsidR="0080716B" w:rsidRPr="00CD7913">
        <w:rPr>
          <w:b/>
        </w:rPr>
        <w:t xml:space="preserve">any agreed proposals between the UK Government </w:t>
      </w:r>
      <w:r w:rsidR="00CF27FB" w:rsidRPr="00CD7913">
        <w:rPr>
          <w:b/>
        </w:rPr>
        <w:t xml:space="preserve">and EU on </w:t>
      </w:r>
      <w:r w:rsidR="00953526" w:rsidRPr="00CD7913">
        <w:rPr>
          <w:b/>
        </w:rPr>
        <w:t xml:space="preserve">structured engagement with stakeholders, </w:t>
      </w:r>
      <w:r w:rsidR="00B64C8B" w:rsidRPr="00CD7913">
        <w:rPr>
          <w:b/>
        </w:rPr>
        <w:t>includ</w:t>
      </w:r>
      <w:r w:rsidR="00B64C8B">
        <w:rPr>
          <w:b/>
        </w:rPr>
        <w:t>e</w:t>
      </w:r>
      <w:r w:rsidR="00B64C8B" w:rsidRPr="00CD7913">
        <w:rPr>
          <w:b/>
        </w:rPr>
        <w:t xml:space="preserve"> </w:t>
      </w:r>
      <w:r w:rsidR="00953526" w:rsidRPr="00CD7913">
        <w:rPr>
          <w:b/>
        </w:rPr>
        <w:t xml:space="preserve">those </w:t>
      </w:r>
      <w:r w:rsidR="003618C3" w:rsidRPr="00CD7913">
        <w:rPr>
          <w:b/>
        </w:rPr>
        <w:t xml:space="preserve">working on cross border issues </w:t>
      </w:r>
      <w:r w:rsidR="006C2948">
        <w:rPr>
          <w:b/>
        </w:rPr>
        <w:t>relating to equality and human rights</w:t>
      </w:r>
      <w:r w:rsidR="003618C3" w:rsidRPr="00CD7913">
        <w:rPr>
          <w:b/>
        </w:rPr>
        <w:t>.</w:t>
      </w:r>
    </w:p>
    <w:p w14:paraId="48B61581" w14:textId="77777777" w:rsidR="00064CF7" w:rsidRDefault="00064CF7" w:rsidP="00F05004">
      <w:pPr>
        <w:pStyle w:val="Heading1"/>
        <w:numPr>
          <w:ilvl w:val="0"/>
          <w:numId w:val="29"/>
        </w:numPr>
        <w:spacing w:before="0" w:after="0"/>
      </w:pPr>
      <w:r>
        <w:t>Points of agreement and disagreement</w:t>
      </w:r>
      <w:r w:rsidR="00D4003F">
        <w:t xml:space="preserve"> and implications if agreement is not reached</w:t>
      </w:r>
    </w:p>
    <w:p w14:paraId="0C63CF8E" w14:textId="77777777" w:rsidR="00AB4CCA" w:rsidRDefault="00AB4CCA" w:rsidP="0028731A"/>
    <w:p w14:paraId="6C1E3E52" w14:textId="77777777" w:rsidR="00822CCC" w:rsidRPr="001D1335" w:rsidRDefault="00853C2E" w:rsidP="0028731A">
      <w:pPr>
        <w:pStyle w:val="ListParagraph"/>
        <w:numPr>
          <w:ilvl w:val="0"/>
          <w:numId w:val="0"/>
        </w:numPr>
        <w:ind w:left="720"/>
        <w:rPr>
          <w:bCs/>
          <w:u w:val="single"/>
        </w:rPr>
      </w:pPr>
      <w:r w:rsidRPr="001D1335">
        <w:rPr>
          <w:bCs/>
          <w:u w:val="single"/>
        </w:rPr>
        <w:t xml:space="preserve">Supply of </w:t>
      </w:r>
      <w:r w:rsidR="000341F0" w:rsidRPr="001D1335">
        <w:rPr>
          <w:bCs/>
          <w:u w:val="single"/>
        </w:rPr>
        <w:t>Medicines</w:t>
      </w:r>
    </w:p>
    <w:p w14:paraId="5F49B16B" w14:textId="77777777" w:rsidR="00634D74" w:rsidRDefault="00634D74" w:rsidP="00F05004">
      <w:pPr>
        <w:pStyle w:val="ListParagraph"/>
        <w:numPr>
          <w:ilvl w:val="1"/>
          <w:numId w:val="29"/>
        </w:numPr>
        <w:ind w:left="709" w:hanging="709"/>
      </w:pPr>
      <w:r>
        <w:t>The Commissions welcome the commitment of both the UK Government and EU to resolving the issues relating to the supply of medicines from Great Britain to Northern Ireland.</w:t>
      </w:r>
      <w:r w:rsidR="007E12FE">
        <w:t xml:space="preserve"> </w:t>
      </w:r>
      <w:r w:rsidR="007E12FE" w:rsidRPr="007E12FE">
        <w:t xml:space="preserve">However, we note </w:t>
      </w:r>
      <w:r w:rsidR="00FF23B5">
        <w:t xml:space="preserve">that </w:t>
      </w:r>
      <w:r w:rsidR="007E12FE" w:rsidRPr="007E12FE">
        <w:t xml:space="preserve">agreement is yet to be reached with significant differences </w:t>
      </w:r>
      <w:r w:rsidR="007E12FE">
        <w:t>within</w:t>
      </w:r>
      <w:r w:rsidR="007E12FE" w:rsidRPr="007E12FE">
        <w:t xml:space="preserve"> the proposed approaches.</w:t>
      </w:r>
    </w:p>
    <w:p w14:paraId="292849C9" w14:textId="77777777" w:rsidR="00C978EB" w:rsidRDefault="0006686D" w:rsidP="00F05004">
      <w:pPr>
        <w:pStyle w:val="ListParagraph"/>
        <w:numPr>
          <w:ilvl w:val="1"/>
          <w:numId w:val="29"/>
        </w:numPr>
        <w:ind w:left="709" w:hanging="709"/>
      </w:pPr>
      <w:r w:rsidRPr="0028731A">
        <w:t xml:space="preserve">The UK Government’s Command Paper acknowledges the </w:t>
      </w:r>
      <w:r w:rsidR="00BC3D1B">
        <w:t>issue</w:t>
      </w:r>
      <w:r w:rsidR="00BC3D1B">
        <w:rPr>
          <w:rStyle w:val="FootnoteReference"/>
        </w:rPr>
        <w:footnoteReference w:id="13"/>
      </w:r>
      <w:r w:rsidR="00BC3D1B">
        <w:t xml:space="preserve"> and </w:t>
      </w:r>
      <w:r w:rsidRPr="0028731A">
        <w:t>significant steps taken to address</w:t>
      </w:r>
      <w:r>
        <w:t xml:space="preserve"> outstanding</w:t>
      </w:r>
      <w:r w:rsidRPr="0028731A">
        <w:t xml:space="preserve"> issues, including on </w:t>
      </w:r>
      <w:r w:rsidRPr="0006686D">
        <w:t>medicines</w:t>
      </w:r>
      <w:r w:rsidRPr="0028731A">
        <w:t>, and their relevance to the protection of the Belfast/Good Friday Agreement</w:t>
      </w:r>
      <w:r w:rsidRPr="00CD7913">
        <w:rPr>
          <w:vertAlign w:val="superscript"/>
        </w:rPr>
        <w:footnoteReference w:id="14"/>
      </w:r>
      <w:r w:rsidRPr="0028731A">
        <w:t>.</w:t>
      </w:r>
    </w:p>
    <w:p w14:paraId="09A37DCA" w14:textId="77777777" w:rsidR="00C978EB" w:rsidRDefault="00245843" w:rsidP="00F05004">
      <w:pPr>
        <w:pStyle w:val="ListParagraph"/>
        <w:numPr>
          <w:ilvl w:val="1"/>
          <w:numId w:val="29"/>
        </w:numPr>
        <w:ind w:left="709" w:hanging="709"/>
      </w:pPr>
      <w:r w:rsidRPr="00245843">
        <w:t>Th</w:t>
      </w:r>
      <w:r>
        <w:t>e EU</w:t>
      </w:r>
      <w:r w:rsidRPr="00245843">
        <w:t xml:space="preserve"> non-paper</w:t>
      </w:r>
      <w:r w:rsidR="0083002C">
        <w:t xml:space="preserve"> on the</w:t>
      </w:r>
      <w:r w:rsidR="00B11FAB">
        <w:t xml:space="preserve"> </w:t>
      </w:r>
      <w:hyperlink r:id="rId12" w:history="1">
        <w:r w:rsidR="0083002C" w:rsidRPr="00991DC1">
          <w:rPr>
            <w:rStyle w:val="Hyperlink"/>
          </w:rPr>
          <w:t>Uninterrupted security of supply of medicines from Great Britain to Northern Ireland for the long-term</w:t>
        </w:r>
      </w:hyperlink>
      <w:r w:rsidR="0083002C">
        <w:t xml:space="preserve"> </w:t>
      </w:r>
      <w:r w:rsidRPr="00245843">
        <w:t xml:space="preserve">sets out the EU’s proposed solution to provide a long-term perspective for undisrupted medicines supply from or through Great Britain to Northern Ireland for the benefit of patients in Northern Ireland. </w:t>
      </w:r>
    </w:p>
    <w:p w14:paraId="601D52B9" w14:textId="77777777" w:rsidR="006F002D" w:rsidRDefault="008E0B0D" w:rsidP="00F05004">
      <w:pPr>
        <w:pStyle w:val="ListParagraph"/>
        <w:numPr>
          <w:ilvl w:val="1"/>
          <w:numId w:val="29"/>
        </w:numPr>
        <w:ind w:left="709" w:hanging="709"/>
      </w:pPr>
      <w:r>
        <w:t>In its non-papers the EU r</w:t>
      </w:r>
      <w:r w:rsidR="00F16B9B">
        <w:t>efers to</w:t>
      </w:r>
      <w:r w:rsidR="00907636" w:rsidRPr="00907636">
        <w:t xml:space="preserve"> the end of the grace period expir</w:t>
      </w:r>
      <w:r w:rsidR="00F16B9B">
        <w:t>ing</w:t>
      </w:r>
      <w:r w:rsidR="00907636" w:rsidRPr="00907636">
        <w:t xml:space="preserve"> on 31 December 2021 and seek</w:t>
      </w:r>
      <w:r w:rsidR="00AC5168">
        <w:t>s to reach</w:t>
      </w:r>
      <w:r w:rsidR="00907636" w:rsidRPr="00907636">
        <w:t xml:space="preserve"> agreement to ensure predictability and legal certainty for businesses</w:t>
      </w:r>
      <w:r w:rsidR="00DD7186">
        <w:t xml:space="preserve">. </w:t>
      </w:r>
    </w:p>
    <w:p w14:paraId="5FFB60B7" w14:textId="77777777" w:rsidR="006F002D" w:rsidRDefault="006F002D" w:rsidP="006F002D">
      <w:pPr>
        <w:pStyle w:val="ListParagraph"/>
        <w:numPr>
          <w:ilvl w:val="1"/>
          <w:numId w:val="29"/>
        </w:numPr>
        <w:ind w:left="709" w:hanging="709"/>
      </w:pPr>
      <w:r>
        <w:t>Concerns have been raised with the Commission</w:t>
      </w:r>
      <w:r w:rsidR="005366D0">
        <w:t>s</w:t>
      </w:r>
      <w:r>
        <w:t xml:space="preserve"> from</w:t>
      </w:r>
      <w:r w:rsidR="00227B6B">
        <w:t xml:space="preserve"> organisations</w:t>
      </w:r>
      <w:r>
        <w:t xml:space="preserve"> </w:t>
      </w:r>
      <w:r w:rsidR="005366D0" w:rsidRPr="005366D0">
        <w:t>including those in the disab</w:t>
      </w:r>
      <w:r w:rsidR="00227B6B">
        <w:t>ility</w:t>
      </w:r>
      <w:r w:rsidR="005366D0" w:rsidRPr="005366D0">
        <w:t xml:space="preserve"> sector, who raised </w:t>
      </w:r>
      <w:r w:rsidR="00227B6B">
        <w:t xml:space="preserve">the </w:t>
      </w:r>
      <w:r w:rsidR="005366D0" w:rsidRPr="005366D0">
        <w:t>potential impact of disrupted medicines supply on those who may be reliant</w:t>
      </w:r>
      <w:r w:rsidR="005366D0" w:rsidRPr="005366D0" w:rsidDel="005366D0">
        <w:t xml:space="preserve"> </w:t>
      </w:r>
      <w:r>
        <w:t>on the uninterrupted access to medicines to maintain/improve their health</w:t>
      </w:r>
      <w:r w:rsidRPr="00907636">
        <w:t>.</w:t>
      </w:r>
    </w:p>
    <w:p w14:paraId="49BA40B2" w14:textId="77777777" w:rsidR="00C978EB" w:rsidRDefault="00B82F27" w:rsidP="00F05004">
      <w:pPr>
        <w:pStyle w:val="ListParagraph"/>
        <w:numPr>
          <w:ilvl w:val="1"/>
          <w:numId w:val="29"/>
        </w:numPr>
        <w:ind w:left="709" w:hanging="709"/>
      </w:pPr>
      <w:r>
        <w:t>Finding agreement on th</w:t>
      </w:r>
      <w:r w:rsidR="005D31AE">
        <w:t>ese</w:t>
      </w:r>
      <w:r>
        <w:t xml:space="preserve"> issue</w:t>
      </w:r>
      <w:r w:rsidR="005D31AE">
        <w:t>s</w:t>
      </w:r>
      <w:r>
        <w:t xml:space="preserve"> will</w:t>
      </w:r>
      <w:r w:rsidRPr="00907636">
        <w:t xml:space="preserve"> allay fears held by </w:t>
      </w:r>
      <w:r w:rsidR="0077517E">
        <w:t xml:space="preserve">disabled </w:t>
      </w:r>
      <w:r>
        <w:t xml:space="preserve">people living in </w:t>
      </w:r>
      <w:r w:rsidRPr="00907636">
        <w:t>N</w:t>
      </w:r>
      <w:r>
        <w:t xml:space="preserve">orthern </w:t>
      </w:r>
      <w:r w:rsidRPr="00907636">
        <w:t>I</w:t>
      </w:r>
      <w:r>
        <w:t>reland</w:t>
      </w:r>
      <w:r w:rsidRPr="00907636">
        <w:t xml:space="preserve"> about the future suppl</w:t>
      </w:r>
      <w:r>
        <w:t>y</w:t>
      </w:r>
      <w:r w:rsidRPr="00907636">
        <w:t xml:space="preserve"> of medicines</w:t>
      </w:r>
      <w:r w:rsidR="0077517E">
        <w:t>.</w:t>
      </w:r>
    </w:p>
    <w:p w14:paraId="0950BBF1" w14:textId="77777777" w:rsidR="00C978EB" w:rsidRDefault="0077517E" w:rsidP="00F05004">
      <w:pPr>
        <w:pStyle w:val="ListParagraph"/>
        <w:numPr>
          <w:ilvl w:val="1"/>
          <w:numId w:val="29"/>
        </w:numPr>
        <w:ind w:left="709" w:hanging="709"/>
      </w:pPr>
      <w:r>
        <w:t>I</w:t>
      </w:r>
      <w:r w:rsidR="001675C4">
        <w:t xml:space="preserve">ssues around the supply of medicines </w:t>
      </w:r>
      <w:r w:rsidR="002F451F">
        <w:t>may have</w:t>
      </w:r>
      <w:r w:rsidR="001675C4">
        <w:t xml:space="preserve"> potential equality and human rights implications</w:t>
      </w:r>
      <w:r w:rsidR="00412EED">
        <w:t xml:space="preserve"> </w:t>
      </w:r>
      <w:r w:rsidR="00A2750F">
        <w:t xml:space="preserve">and impact negatively on the day to day lives of disabled people in Northern </w:t>
      </w:r>
      <w:r w:rsidR="002F451F">
        <w:t>Ireland.</w:t>
      </w:r>
      <w:r w:rsidR="001675C4">
        <w:t xml:space="preserve"> </w:t>
      </w:r>
      <w:r w:rsidR="000F1CD9">
        <w:t xml:space="preserve"> It is important that there is </w:t>
      </w:r>
      <w:r w:rsidR="001675C4">
        <w:t xml:space="preserve">no-diminution of rights for </w:t>
      </w:r>
      <w:r w:rsidR="00C01D33">
        <w:t xml:space="preserve">disabled people </w:t>
      </w:r>
      <w:r w:rsidR="001675C4">
        <w:t xml:space="preserve">in relation to </w:t>
      </w:r>
      <w:r w:rsidR="00DB38B6">
        <w:t xml:space="preserve">their </w:t>
      </w:r>
      <w:r w:rsidR="001675C4">
        <w:t>access to health and treatment.</w:t>
      </w:r>
    </w:p>
    <w:p w14:paraId="7946C6C4" w14:textId="77777777" w:rsidR="00853C2E" w:rsidRPr="00853C2E" w:rsidRDefault="00853C2E" w:rsidP="00853C2E">
      <w:pPr>
        <w:pStyle w:val="ListParagraph"/>
        <w:numPr>
          <w:ilvl w:val="0"/>
          <w:numId w:val="0"/>
        </w:numPr>
        <w:ind w:left="709"/>
        <w:rPr>
          <w:b/>
        </w:rPr>
      </w:pPr>
      <w:r w:rsidRPr="00853C2E">
        <w:rPr>
          <w:b/>
        </w:rPr>
        <w:t>Recommendation</w:t>
      </w:r>
    </w:p>
    <w:p w14:paraId="2B445294" w14:textId="77777777" w:rsidR="00990069" w:rsidRPr="00F05004" w:rsidRDefault="00990069" w:rsidP="00F05004">
      <w:pPr>
        <w:pStyle w:val="ListParagraph"/>
        <w:numPr>
          <w:ilvl w:val="1"/>
          <w:numId w:val="29"/>
        </w:numPr>
        <w:ind w:left="709" w:hanging="709"/>
        <w:rPr>
          <w:b/>
          <w:bCs/>
        </w:rPr>
      </w:pPr>
      <w:r w:rsidRPr="00F05004">
        <w:rPr>
          <w:b/>
          <w:bCs/>
        </w:rPr>
        <w:t xml:space="preserve">The Commissions recommend that the UK Government and EU undertake urgent constructive engagement to reach agreement on a long-term, sustainable solution relating to the supply of medicines from Great Britain to Northern Ireland in order to allay fears relating to future availability, especially for </w:t>
      </w:r>
      <w:r w:rsidR="00C01D33" w:rsidRPr="00F05004">
        <w:rPr>
          <w:b/>
          <w:bCs/>
        </w:rPr>
        <w:t>disab</w:t>
      </w:r>
      <w:r w:rsidR="00C01D33">
        <w:rPr>
          <w:b/>
          <w:bCs/>
        </w:rPr>
        <w:t>led people</w:t>
      </w:r>
      <w:r w:rsidR="00C01D33" w:rsidRPr="00F05004">
        <w:rPr>
          <w:b/>
          <w:bCs/>
        </w:rPr>
        <w:t xml:space="preserve"> </w:t>
      </w:r>
      <w:r w:rsidRPr="00F05004">
        <w:rPr>
          <w:b/>
          <w:bCs/>
        </w:rPr>
        <w:t>who are reliant on medication to improve or maintain their health.</w:t>
      </w:r>
    </w:p>
    <w:p w14:paraId="7720B787" w14:textId="77777777" w:rsidR="000341F0" w:rsidRPr="001D1335" w:rsidRDefault="00853C2E" w:rsidP="0028731A">
      <w:pPr>
        <w:pStyle w:val="ListParagraph"/>
        <w:numPr>
          <w:ilvl w:val="0"/>
          <w:numId w:val="0"/>
        </w:numPr>
        <w:ind w:left="720"/>
        <w:rPr>
          <w:bCs/>
          <w:u w:val="single"/>
        </w:rPr>
      </w:pPr>
      <w:r w:rsidRPr="001D1335">
        <w:rPr>
          <w:bCs/>
          <w:u w:val="single"/>
        </w:rPr>
        <w:t xml:space="preserve">Pet passport arrangement and </w:t>
      </w:r>
      <w:r w:rsidR="000341F0" w:rsidRPr="001D1335">
        <w:rPr>
          <w:bCs/>
          <w:u w:val="single"/>
        </w:rPr>
        <w:t>Assistance dogs</w:t>
      </w:r>
    </w:p>
    <w:p w14:paraId="3D2DA5FD" w14:textId="77777777" w:rsidR="00411D09" w:rsidRDefault="00411D09" w:rsidP="00F05004">
      <w:pPr>
        <w:pStyle w:val="ListParagraph"/>
        <w:numPr>
          <w:ilvl w:val="1"/>
          <w:numId w:val="29"/>
        </w:numPr>
        <w:ind w:left="709" w:hanging="709"/>
      </w:pPr>
      <w:r>
        <w:t>The Commissions welcome the</w:t>
      </w:r>
      <w:r w:rsidR="00D02001">
        <w:t xml:space="preserve"> steps taken by</w:t>
      </w:r>
      <w:r>
        <w:t xml:space="preserve"> both the UK Government and EU to resolving the issues relating to</w:t>
      </w:r>
      <w:r w:rsidR="00D02001" w:rsidRPr="00D02001">
        <w:t xml:space="preserve"> </w:t>
      </w:r>
      <w:r w:rsidR="00D02001">
        <w:t>pet passports/assistance dogs</w:t>
      </w:r>
      <w:r w:rsidR="00EB20BC">
        <w:t xml:space="preserve">, </w:t>
      </w:r>
      <w:r w:rsidR="00D02001">
        <w:t>which have the potential to impact</w:t>
      </w:r>
      <w:r w:rsidR="00D02001" w:rsidRPr="00907636">
        <w:t xml:space="preserve"> </w:t>
      </w:r>
      <w:r w:rsidR="00700A62" w:rsidRPr="00907636">
        <w:t>disab</w:t>
      </w:r>
      <w:r w:rsidR="00700A62">
        <w:t>led people</w:t>
      </w:r>
      <w:r w:rsidR="00D02001" w:rsidRPr="00907636">
        <w:t>.</w:t>
      </w:r>
      <w:r w:rsidR="00A02E7A">
        <w:t xml:space="preserve"> </w:t>
      </w:r>
      <w:r w:rsidRPr="007E12FE">
        <w:t xml:space="preserve">However, we note agreement is yet to be reached with significant differences </w:t>
      </w:r>
      <w:r>
        <w:t>within</w:t>
      </w:r>
      <w:r w:rsidRPr="007E12FE">
        <w:t xml:space="preserve"> the proposed approaches.</w:t>
      </w:r>
    </w:p>
    <w:p w14:paraId="1B459CC6" w14:textId="77777777" w:rsidR="00C978EB" w:rsidRDefault="00B73354" w:rsidP="00F05004">
      <w:pPr>
        <w:pStyle w:val="ListParagraph"/>
        <w:numPr>
          <w:ilvl w:val="1"/>
          <w:numId w:val="29"/>
        </w:numPr>
        <w:ind w:left="709" w:hanging="709"/>
      </w:pPr>
      <w:r>
        <w:t>In t</w:t>
      </w:r>
      <w:r w:rsidR="00EE14FC" w:rsidRPr="00F05004">
        <w:t xml:space="preserve">he Command </w:t>
      </w:r>
      <w:r w:rsidR="00F85F18" w:rsidRPr="00F05004">
        <w:t>Paper,</w:t>
      </w:r>
      <w:r>
        <w:t xml:space="preserve"> the UK Government has </w:t>
      </w:r>
      <w:r w:rsidR="00D52A79" w:rsidRPr="00F05004">
        <w:t>welcome</w:t>
      </w:r>
      <w:r>
        <w:t>d</w:t>
      </w:r>
      <w:r w:rsidR="00D52A79" w:rsidRPr="00F05004">
        <w:t xml:space="preserve"> and recognise</w:t>
      </w:r>
      <w:r>
        <w:t>d</w:t>
      </w:r>
      <w:r w:rsidR="00D52A79" w:rsidRPr="00F05004">
        <w:t xml:space="preserve"> the significant efforts and movements made to reach agreement on the issue of assistance dogs</w:t>
      </w:r>
      <w:r w:rsidR="00BB764E">
        <w:rPr>
          <w:rStyle w:val="FootnoteReference"/>
        </w:rPr>
        <w:footnoteReference w:id="15"/>
      </w:r>
      <w:r w:rsidR="00D52A79" w:rsidRPr="00F05004">
        <w:t xml:space="preserve">, as well </w:t>
      </w:r>
      <w:r w:rsidR="00F85F18" w:rsidRPr="00F05004">
        <w:t>as issues</w:t>
      </w:r>
      <w:r>
        <w:t xml:space="preserve"> related to </w:t>
      </w:r>
      <w:r w:rsidR="00F85F18">
        <w:t>medicines</w:t>
      </w:r>
      <w:r w:rsidR="00545A7A">
        <w:t>, a</w:t>
      </w:r>
      <w:r>
        <w:t xml:space="preserve">nd </w:t>
      </w:r>
      <w:r w:rsidR="00F85F18">
        <w:t>n</w:t>
      </w:r>
      <w:r w:rsidR="00F85F18" w:rsidRPr="00F05004">
        <w:t>ot</w:t>
      </w:r>
      <w:r w:rsidR="00F85F18">
        <w:t xml:space="preserve">ed </w:t>
      </w:r>
      <w:r w:rsidR="00F85F18" w:rsidRPr="00F05004">
        <w:t>the</w:t>
      </w:r>
      <w:r w:rsidR="00D52A79" w:rsidRPr="00F05004">
        <w:t xml:space="preserve"> importance of reaching agreement</w:t>
      </w:r>
      <w:r w:rsidR="00EE14FC" w:rsidRPr="00696580">
        <w:rPr>
          <w:vertAlign w:val="superscript"/>
        </w:rPr>
        <w:footnoteReference w:id="16"/>
      </w:r>
      <w:r w:rsidR="00EE14FC" w:rsidRPr="00C978EB">
        <w:t>.</w:t>
      </w:r>
    </w:p>
    <w:p w14:paraId="589C24CE" w14:textId="77777777" w:rsidR="00C978EB" w:rsidRDefault="00280818" w:rsidP="00F05004">
      <w:pPr>
        <w:pStyle w:val="ListParagraph"/>
        <w:numPr>
          <w:ilvl w:val="1"/>
          <w:numId w:val="29"/>
        </w:numPr>
        <w:ind w:left="709" w:hanging="709"/>
      </w:pPr>
      <w:r>
        <w:t xml:space="preserve">The EU has in its </w:t>
      </w:r>
      <w:r w:rsidR="00A351A7">
        <w:t>non-</w:t>
      </w:r>
      <w:r>
        <w:t xml:space="preserve">paper on </w:t>
      </w:r>
      <w:hyperlink r:id="rId13" w:history="1">
        <w:r w:rsidRPr="005F068D">
          <w:rPr>
            <w:rStyle w:val="Hyperlink"/>
          </w:rPr>
          <w:t>Sanitary and Phytosanitary (SPS) issues</w:t>
        </w:r>
      </w:hyperlink>
      <w:r>
        <w:t xml:space="preserve"> reiterated its position on the issue of assistance dogs, as previously stated in its </w:t>
      </w:r>
      <w:hyperlink r:id="rId14" w:history="1">
        <w:r w:rsidRPr="000A1FA6">
          <w:rPr>
            <w:rStyle w:val="Hyperlink"/>
          </w:rPr>
          <w:t>June 2021 paper on SPS</w:t>
        </w:r>
      </w:hyperlink>
      <w:r>
        <w:t>.</w:t>
      </w:r>
    </w:p>
    <w:p w14:paraId="793CDA9C" w14:textId="77777777" w:rsidR="00C978EB" w:rsidRDefault="00E76DBD" w:rsidP="00F05004">
      <w:pPr>
        <w:pStyle w:val="ListParagraph"/>
        <w:numPr>
          <w:ilvl w:val="1"/>
          <w:numId w:val="29"/>
        </w:numPr>
        <w:ind w:left="709" w:hanging="709"/>
      </w:pPr>
      <w:r>
        <w:t xml:space="preserve">The </w:t>
      </w:r>
      <w:r w:rsidR="00406EEA">
        <w:t xml:space="preserve">Commissions note that </w:t>
      </w:r>
      <w:r>
        <w:t xml:space="preserve">issue of travel arrangements for assistance dogs </w:t>
      </w:r>
      <w:r w:rsidR="00EF5B08">
        <w:t xml:space="preserve">between Great Britain and Northern Ireland </w:t>
      </w:r>
      <w:r>
        <w:t>may have potential equality and human rights implications both domestically and internationally, including in relation to</w:t>
      </w:r>
      <w:r w:rsidR="00D408C2">
        <w:t xml:space="preserve"> </w:t>
      </w:r>
      <w:r>
        <w:t>Article 2 commitments in the Ireland/ Northern Ireland Protocol</w:t>
      </w:r>
      <w:r w:rsidR="00167874">
        <w:t>, Article 8 ECHR</w:t>
      </w:r>
      <w:r>
        <w:t xml:space="preserve"> and the United Nations Convention on the Rights of Persons with Disabilities.  </w:t>
      </w:r>
    </w:p>
    <w:p w14:paraId="2E9B8277" w14:textId="77777777" w:rsidR="001D1335" w:rsidRPr="00AC68D0" w:rsidRDefault="00E76DBD" w:rsidP="009C0C97">
      <w:pPr>
        <w:pStyle w:val="ListParagraph"/>
        <w:numPr>
          <w:ilvl w:val="1"/>
          <w:numId w:val="29"/>
        </w:numPr>
        <w:ind w:left="709" w:hanging="709"/>
        <w:rPr>
          <w:b/>
          <w:bCs/>
        </w:rPr>
      </w:pPr>
      <w:r>
        <w:t xml:space="preserve">Concerns about the potential impact of additional requirements for those travelling with assistance dogs </w:t>
      </w:r>
      <w:r w:rsidR="00445A1B">
        <w:t xml:space="preserve">between Great Britain and Northern Ireland </w:t>
      </w:r>
      <w:r>
        <w:t>have been raised with the Commissions by disab</w:t>
      </w:r>
      <w:r w:rsidR="00700A62">
        <w:t>led people</w:t>
      </w:r>
      <w:r>
        <w:t xml:space="preserve">.  The Commission raised the issue of assistance dogs in its evidence to the </w:t>
      </w:r>
      <w:r w:rsidR="000163FD">
        <w:t>Sub-</w:t>
      </w:r>
      <w:r>
        <w:t>Committee</w:t>
      </w:r>
      <w:r w:rsidR="0008051A">
        <w:t>. It</w:t>
      </w:r>
      <w:r>
        <w:t xml:space="preserve"> had raised the issue previously with the Northern Ireland Executive Committee</w:t>
      </w:r>
      <w:r w:rsidR="0008051A">
        <w:t xml:space="preserve">, </w:t>
      </w:r>
      <w:r>
        <w:t xml:space="preserve">with </w:t>
      </w:r>
      <w:r w:rsidR="000D7F91" w:rsidRPr="000D7F91">
        <w:t>the Agriculture, Environment and Rural Affairs Minister</w:t>
      </w:r>
      <w:r>
        <w:t xml:space="preserve"> and with the Northern Ireland Affairs Committee.</w:t>
      </w:r>
    </w:p>
    <w:p w14:paraId="1EE8E95F" w14:textId="77777777" w:rsidR="001D1335" w:rsidRPr="001D1335" w:rsidRDefault="001D1335" w:rsidP="001D1335">
      <w:pPr>
        <w:pStyle w:val="ListParagraph"/>
        <w:numPr>
          <w:ilvl w:val="0"/>
          <w:numId w:val="0"/>
        </w:numPr>
        <w:ind w:left="709"/>
        <w:rPr>
          <w:b/>
        </w:rPr>
      </w:pPr>
      <w:r w:rsidRPr="00853C2E">
        <w:rPr>
          <w:b/>
        </w:rPr>
        <w:t>Recommendation</w:t>
      </w:r>
    </w:p>
    <w:p w14:paraId="684DA8B1" w14:textId="77777777" w:rsidR="00990069" w:rsidRDefault="00990069" w:rsidP="00F05004">
      <w:pPr>
        <w:pStyle w:val="ListParagraph"/>
        <w:numPr>
          <w:ilvl w:val="1"/>
          <w:numId w:val="29"/>
        </w:numPr>
        <w:ind w:left="709" w:hanging="709"/>
        <w:rPr>
          <w:b/>
          <w:bCs/>
        </w:rPr>
      </w:pPr>
      <w:r w:rsidRPr="00F05004">
        <w:rPr>
          <w:b/>
          <w:bCs/>
        </w:rPr>
        <w:t xml:space="preserve">The Commissions recommend that the UK Government and EU work together to ensure issues relating to assistance dogs travelling </w:t>
      </w:r>
      <w:r w:rsidR="00445A1B">
        <w:rPr>
          <w:b/>
          <w:bCs/>
        </w:rPr>
        <w:t xml:space="preserve">from Great Britain </w:t>
      </w:r>
      <w:r w:rsidRPr="00F05004">
        <w:rPr>
          <w:b/>
          <w:bCs/>
        </w:rPr>
        <w:t>to Northern Ireland are urgently addressed and to ensure that there are no adverse impacts on assistance dog owners in Northern Ireland in terms of requirements on pet passport arrangements as a result of Brexit.</w:t>
      </w:r>
    </w:p>
    <w:p w14:paraId="064D7D93" w14:textId="77777777" w:rsidR="00445A1B" w:rsidRPr="001D1335" w:rsidRDefault="00445A1B" w:rsidP="001D1335">
      <w:pPr>
        <w:ind w:left="720" w:hanging="720"/>
        <w:rPr>
          <w:b/>
          <w:bCs/>
        </w:rPr>
      </w:pPr>
    </w:p>
    <w:p w14:paraId="65D719C3" w14:textId="77777777" w:rsidR="00C978EB" w:rsidRPr="001D1335" w:rsidRDefault="00FB237E" w:rsidP="001D1335">
      <w:pPr>
        <w:pStyle w:val="ListParagraph"/>
        <w:numPr>
          <w:ilvl w:val="0"/>
          <w:numId w:val="0"/>
        </w:numPr>
        <w:ind w:left="720"/>
        <w:rPr>
          <w:bCs/>
          <w:u w:val="single"/>
        </w:rPr>
      </w:pPr>
      <w:r w:rsidRPr="001D1335">
        <w:rPr>
          <w:bCs/>
          <w:u w:val="single"/>
        </w:rPr>
        <w:t xml:space="preserve">Faith communities in Northern Ireland </w:t>
      </w:r>
    </w:p>
    <w:p w14:paraId="080431DF" w14:textId="77777777" w:rsidR="006928BB" w:rsidRDefault="00266EAE" w:rsidP="00F05004">
      <w:pPr>
        <w:pStyle w:val="ListParagraph"/>
        <w:numPr>
          <w:ilvl w:val="1"/>
          <w:numId w:val="29"/>
        </w:numPr>
        <w:ind w:left="709" w:hanging="709"/>
      </w:pPr>
      <w:r>
        <w:t>The UK Government Command Paper and EU non-paper on</w:t>
      </w:r>
      <w:r w:rsidR="00A67CF7" w:rsidRPr="00A67CF7">
        <w:t xml:space="preserve"> </w:t>
      </w:r>
      <w:hyperlink r:id="rId15" w:history="1">
        <w:r w:rsidR="00FB5F57" w:rsidRPr="00FB5F57">
          <w:rPr>
            <w:rStyle w:val="Hyperlink"/>
          </w:rPr>
          <w:t>Customs</w:t>
        </w:r>
      </w:hyperlink>
      <w:r w:rsidR="00FB5F57">
        <w:t xml:space="preserve"> and </w:t>
      </w:r>
      <w:hyperlink r:id="rId16" w:history="1">
        <w:r w:rsidR="00A67CF7" w:rsidRPr="00C648F5">
          <w:rPr>
            <w:rStyle w:val="Hyperlink"/>
          </w:rPr>
          <w:t>S</w:t>
        </w:r>
        <w:r w:rsidR="00FB5F57" w:rsidRPr="00C648F5">
          <w:rPr>
            <w:rStyle w:val="Hyperlink"/>
          </w:rPr>
          <w:t>anitary</w:t>
        </w:r>
        <w:r w:rsidR="00A67CF7" w:rsidRPr="00C648F5">
          <w:rPr>
            <w:rStyle w:val="Hyperlink"/>
          </w:rPr>
          <w:t xml:space="preserve"> </w:t>
        </w:r>
        <w:r w:rsidR="00FB5F57" w:rsidRPr="00C648F5">
          <w:rPr>
            <w:rStyle w:val="Hyperlink"/>
          </w:rPr>
          <w:t>and</w:t>
        </w:r>
        <w:r w:rsidR="00A67CF7" w:rsidRPr="00C648F5">
          <w:rPr>
            <w:rStyle w:val="Hyperlink"/>
          </w:rPr>
          <w:t xml:space="preserve"> P</w:t>
        </w:r>
        <w:r w:rsidR="00FB5F57" w:rsidRPr="00C648F5">
          <w:rPr>
            <w:rStyle w:val="Hyperlink"/>
          </w:rPr>
          <w:t>hytosanitary</w:t>
        </w:r>
        <w:r w:rsidR="00A67CF7" w:rsidRPr="00C648F5">
          <w:rPr>
            <w:rStyle w:val="Hyperlink"/>
          </w:rPr>
          <w:t xml:space="preserve"> (SPS) I</w:t>
        </w:r>
        <w:r w:rsidR="00FB5F57" w:rsidRPr="00C648F5">
          <w:rPr>
            <w:rStyle w:val="Hyperlink"/>
          </w:rPr>
          <w:t>ssues</w:t>
        </w:r>
      </w:hyperlink>
      <w:r w:rsidR="00A67CF7">
        <w:t xml:space="preserve"> </w:t>
      </w:r>
      <w:r>
        <w:t xml:space="preserve">recognise that </w:t>
      </w:r>
      <w:r w:rsidR="0021520B">
        <w:t>there has been constructive engagement</w:t>
      </w:r>
      <w:r w:rsidR="00790A5B" w:rsidRPr="00790A5B">
        <w:t xml:space="preserve"> </w:t>
      </w:r>
      <w:r w:rsidR="00790A5B">
        <w:t xml:space="preserve">on issues relating to </w:t>
      </w:r>
      <w:r w:rsidR="00E33F0C">
        <w:t>t</w:t>
      </w:r>
      <w:r w:rsidR="00E33F0C" w:rsidRPr="00E33F0C">
        <w:t>he movement of goods from Great Britain to Northern Ireland</w:t>
      </w:r>
      <w:r w:rsidR="00E33F0C">
        <w:t xml:space="preserve">, </w:t>
      </w:r>
      <w:r w:rsidR="00790A5B">
        <w:t>f</w:t>
      </w:r>
      <w:r w:rsidR="00790A5B" w:rsidRPr="00790A5B">
        <w:t>ood, plant and animal health</w:t>
      </w:r>
      <w:r w:rsidR="00790A5B">
        <w:t xml:space="preserve">, which has </w:t>
      </w:r>
      <w:r w:rsidR="0021520B">
        <w:t>includ</w:t>
      </w:r>
      <w:r w:rsidR="00790A5B">
        <w:t>ed</w:t>
      </w:r>
      <w:r w:rsidR="0021520B">
        <w:t xml:space="preserve"> joint engagement with businesses and civic society in Northern Ireland.</w:t>
      </w:r>
      <w:r w:rsidR="000C1A8C">
        <w:t xml:space="preserve"> </w:t>
      </w:r>
    </w:p>
    <w:p w14:paraId="23F9FE4C" w14:textId="77777777" w:rsidR="00317B83" w:rsidRDefault="001D1335" w:rsidP="001D1335">
      <w:pPr>
        <w:pStyle w:val="ListParagraph"/>
        <w:numPr>
          <w:ilvl w:val="1"/>
          <w:numId w:val="29"/>
        </w:numPr>
        <w:ind w:left="709" w:hanging="709"/>
      </w:pPr>
      <w:r>
        <w:t>T</w:t>
      </w:r>
      <w:r w:rsidR="00317B83" w:rsidRPr="00015540">
        <w:t xml:space="preserve">hough not </w:t>
      </w:r>
      <w:r w:rsidR="00317B83">
        <w:t xml:space="preserve">specifically referred to in </w:t>
      </w:r>
      <w:r w:rsidR="00317B83" w:rsidRPr="00015540">
        <w:t>the UK Government</w:t>
      </w:r>
      <w:r w:rsidR="00317B83">
        <w:t xml:space="preserve"> </w:t>
      </w:r>
      <w:r w:rsidR="002B45E9">
        <w:t>C</w:t>
      </w:r>
      <w:r w:rsidR="00317B83" w:rsidRPr="00015540">
        <w:t xml:space="preserve">ommand </w:t>
      </w:r>
      <w:r w:rsidR="002B45E9">
        <w:t>P</w:t>
      </w:r>
      <w:r w:rsidR="00317B83" w:rsidRPr="00015540">
        <w:t>aper</w:t>
      </w:r>
      <w:r w:rsidR="00317B83">
        <w:t xml:space="preserve"> or the EU non-paper</w:t>
      </w:r>
      <w:r w:rsidR="00317B83" w:rsidRPr="00015540">
        <w:t xml:space="preserve">, as mentioned in our evidence to the </w:t>
      </w:r>
      <w:r w:rsidR="000163FD">
        <w:t>Sub-</w:t>
      </w:r>
      <w:r w:rsidR="00317B83" w:rsidRPr="00015540">
        <w:t>Committee, concerns have been raised with</w:t>
      </w:r>
      <w:r w:rsidR="00317B83">
        <w:t xml:space="preserve"> us</w:t>
      </w:r>
      <w:r w:rsidR="00317B83" w:rsidRPr="00015540">
        <w:t xml:space="preserve"> by representatives from the Jewish community and the Islamic faith groups in Northern Ireland about difficulties in accessing </w:t>
      </w:r>
      <w:r w:rsidR="00317B83">
        <w:t xml:space="preserve">some </w:t>
      </w:r>
      <w:r w:rsidR="00317B83" w:rsidRPr="00015540">
        <w:t xml:space="preserve">kosher and halal food from Great </w:t>
      </w:r>
      <w:r w:rsidR="000D7F91" w:rsidRPr="00015540">
        <w:t>Britain.</w:t>
      </w:r>
      <w:r w:rsidR="00317B83" w:rsidRPr="00015540">
        <w:t xml:space="preserve"> </w:t>
      </w:r>
    </w:p>
    <w:p w14:paraId="489D6B9F" w14:textId="77777777" w:rsidR="001B6F6F" w:rsidRDefault="00317B83" w:rsidP="001D1335">
      <w:pPr>
        <w:pStyle w:val="ListParagraph"/>
        <w:numPr>
          <w:ilvl w:val="1"/>
          <w:numId w:val="29"/>
        </w:numPr>
        <w:ind w:left="709" w:hanging="709"/>
      </w:pPr>
      <w:r w:rsidRPr="00015540">
        <w:t xml:space="preserve">For example, </w:t>
      </w:r>
      <w:r w:rsidR="001B6F6F">
        <w:t>concerns have been raised by</w:t>
      </w:r>
      <w:r w:rsidRPr="00015540">
        <w:t xml:space="preserve"> representatives </w:t>
      </w:r>
      <w:r w:rsidR="000D7F91">
        <w:t xml:space="preserve">from </w:t>
      </w:r>
      <w:r w:rsidR="000D7F91" w:rsidRPr="00015540">
        <w:t>the</w:t>
      </w:r>
      <w:r w:rsidRPr="00015540">
        <w:t xml:space="preserve"> Jewish community </w:t>
      </w:r>
      <w:r w:rsidRPr="00BB764E">
        <w:t xml:space="preserve">that </w:t>
      </w:r>
      <w:r w:rsidRPr="008C426F">
        <w:t xml:space="preserve">the new </w:t>
      </w:r>
      <w:r w:rsidR="00BB764E">
        <w:t>arrangements</w:t>
      </w:r>
      <w:r w:rsidR="00BB764E" w:rsidRPr="00C41949">
        <w:t xml:space="preserve"> </w:t>
      </w:r>
      <w:r w:rsidRPr="00C41949">
        <w:t>have meant that the Jewish communit</w:t>
      </w:r>
      <w:r>
        <w:t xml:space="preserve">y has been struggling to get </w:t>
      </w:r>
      <w:r w:rsidR="002B45E9">
        <w:t xml:space="preserve">some types of </w:t>
      </w:r>
      <w:r w:rsidRPr="00C41949">
        <w:t>Kosher food and if this is not addressed soon, this will impact on the viability of their historic community in Belfast.</w:t>
      </w:r>
      <w:r w:rsidRPr="00015540">
        <w:t xml:space="preserve"> </w:t>
      </w:r>
      <w:r>
        <w:t xml:space="preserve"> </w:t>
      </w:r>
    </w:p>
    <w:p w14:paraId="5A368D93" w14:textId="77777777" w:rsidR="00AC68D0" w:rsidRPr="006417B8" w:rsidRDefault="001B6F6F" w:rsidP="00CD7913">
      <w:pPr>
        <w:pStyle w:val="ListParagraph"/>
        <w:numPr>
          <w:ilvl w:val="1"/>
          <w:numId w:val="29"/>
        </w:numPr>
        <w:ind w:left="709" w:hanging="709"/>
      </w:pPr>
      <w:r>
        <w:t xml:space="preserve">Concerns have also been raised </w:t>
      </w:r>
      <w:r w:rsidRPr="004E19C3">
        <w:t xml:space="preserve">regarding the potential impact on the Muslim community in Northern Ireland on accessing halal food </w:t>
      </w:r>
      <w:r w:rsidR="00C4308C">
        <w:t xml:space="preserve">and ritual items </w:t>
      </w:r>
      <w:r w:rsidRPr="004E19C3">
        <w:t>should further checks on goods be introduced</w:t>
      </w:r>
      <w:r w:rsidR="00AF6583">
        <w:t xml:space="preserve"> </w:t>
      </w:r>
      <w:r w:rsidRPr="004E19C3">
        <w:t xml:space="preserve">when the grace period ends. </w:t>
      </w:r>
    </w:p>
    <w:p w14:paraId="79E21FEF" w14:textId="77777777" w:rsidR="001D1335" w:rsidRPr="001D1335" w:rsidRDefault="001D1335" w:rsidP="001D1335">
      <w:pPr>
        <w:pStyle w:val="ListParagraph"/>
        <w:numPr>
          <w:ilvl w:val="0"/>
          <w:numId w:val="0"/>
        </w:numPr>
        <w:ind w:left="709"/>
        <w:rPr>
          <w:b/>
        </w:rPr>
      </w:pPr>
      <w:r w:rsidRPr="001D1335">
        <w:rPr>
          <w:b/>
        </w:rPr>
        <w:t>Recommendation</w:t>
      </w:r>
    </w:p>
    <w:p w14:paraId="72F0045D" w14:textId="77777777" w:rsidR="00317B83" w:rsidRPr="00750D87" w:rsidRDefault="00DB38B6" w:rsidP="00750D87">
      <w:pPr>
        <w:pStyle w:val="ListParagraph"/>
        <w:numPr>
          <w:ilvl w:val="1"/>
          <w:numId w:val="29"/>
        </w:numPr>
        <w:ind w:left="709" w:hanging="709"/>
        <w:rPr>
          <w:b/>
          <w:bCs/>
        </w:rPr>
      </w:pPr>
      <w:r w:rsidRPr="00750D87">
        <w:rPr>
          <w:b/>
          <w:bCs/>
        </w:rPr>
        <w:t>The Commissions recommend</w:t>
      </w:r>
      <w:r w:rsidR="00FE4B34" w:rsidRPr="00750D87">
        <w:rPr>
          <w:b/>
          <w:bCs/>
        </w:rPr>
        <w:t xml:space="preserve"> an early and permanent resolution </w:t>
      </w:r>
      <w:r w:rsidRPr="00750D87">
        <w:rPr>
          <w:b/>
          <w:bCs/>
        </w:rPr>
        <w:t xml:space="preserve">by the UK Government and the EU </w:t>
      </w:r>
      <w:r w:rsidR="00FE4B34" w:rsidRPr="00750D87">
        <w:rPr>
          <w:b/>
          <w:bCs/>
        </w:rPr>
        <w:t xml:space="preserve">to these </w:t>
      </w:r>
      <w:r w:rsidRPr="00750D87">
        <w:rPr>
          <w:b/>
          <w:bCs/>
        </w:rPr>
        <w:t xml:space="preserve">food supply </w:t>
      </w:r>
      <w:r w:rsidR="00FE4B34" w:rsidRPr="00750D87">
        <w:rPr>
          <w:b/>
          <w:bCs/>
        </w:rPr>
        <w:t>matters affecting the day to day lives of faith communities in Northern Ireland.</w:t>
      </w:r>
    </w:p>
    <w:p w14:paraId="7CE45D64" w14:textId="77777777" w:rsidR="00FE4B34" w:rsidRDefault="00FE4B34" w:rsidP="00A02036">
      <w:pPr>
        <w:ind w:left="720" w:hanging="720"/>
      </w:pPr>
    </w:p>
    <w:p w14:paraId="5FDFBE09" w14:textId="77777777" w:rsidR="00FE4B34" w:rsidRPr="001D1335" w:rsidRDefault="00041C79" w:rsidP="00A02036">
      <w:pPr>
        <w:pStyle w:val="ListParagraph"/>
        <w:numPr>
          <w:ilvl w:val="0"/>
          <w:numId w:val="0"/>
        </w:numPr>
        <w:ind w:left="709"/>
        <w:rPr>
          <w:b/>
        </w:rPr>
      </w:pPr>
      <w:r w:rsidRPr="001D1335">
        <w:rPr>
          <w:b/>
        </w:rPr>
        <w:t>Conclusion</w:t>
      </w:r>
    </w:p>
    <w:p w14:paraId="258A5116" w14:textId="0A2A8B1F" w:rsidR="00232F70" w:rsidRDefault="00F04090" w:rsidP="00974D22">
      <w:pPr>
        <w:pStyle w:val="ListParagraph"/>
        <w:numPr>
          <w:ilvl w:val="1"/>
          <w:numId w:val="29"/>
        </w:numPr>
        <w:ind w:left="709" w:hanging="709"/>
      </w:pPr>
      <w:r>
        <w:t xml:space="preserve">The Commissions have </w:t>
      </w:r>
      <w:r w:rsidR="00467846">
        <w:t xml:space="preserve">included recommendations </w:t>
      </w:r>
      <w:r w:rsidR="0075517D">
        <w:t>related to</w:t>
      </w:r>
      <w:r w:rsidR="00974D22">
        <w:t>:</w:t>
      </w:r>
      <w:r w:rsidR="00CA2973">
        <w:t xml:space="preserve"> </w:t>
      </w:r>
      <w:r w:rsidR="005A58D8">
        <w:t xml:space="preserve">ensuring </w:t>
      </w:r>
      <w:r w:rsidR="0075517D">
        <w:t>the Article 2(1) commitment</w:t>
      </w:r>
      <w:r w:rsidR="005A58D8">
        <w:t xml:space="preserve"> is upheld</w:t>
      </w:r>
      <w:r w:rsidR="0075517D">
        <w:t>;</w:t>
      </w:r>
      <w:r w:rsidR="005A58D8">
        <w:t xml:space="preserve"> and the need for </w:t>
      </w:r>
      <w:r w:rsidR="00974D22">
        <w:t>regular and sustained engagement by the UK Government, NI</w:t>
      </w:r>
      <w:r w:rsidR="00CA2973">
        <w:t xml:space="preserve"> Executive </w:t>
      </w:r>
      <w:r w:rsidR="00974D22">
        <w:t>and EU</w:t>
      </w:r>
      <w:r w:rsidR="00CA2973">
        <w:t xml:space="preserve"> with </w:t>
      </w:r>
      <w:r w:rsidR="00974D22">
        <w:t xml:space="preserve">equality and human rights </w:t>
      </w:r>
      <w:r w:rsidR="00CA2973">
        <w:t xml:space="preserve">stakeholders, </w:t>
      </w:r>
      <w:r w:rsidR="00974D22">
        <w:t>and additional measures to increase transparency</w:t>
      </w:r>
      <w:r w:rsidR="00E90188">
        <w:t xml:space="preserve"> of the operation of the JCWG</w:t>
      </w:r>
      <w:r w:rsidR="00662A18">
        <w:t xml:space="preserve">. </w:t>
      </w:r>
      <w:r w:rsidR="007435C6">
        <w:t>We have also include</w:t>
      </w:r>
      <w:r w:rsidR="0024053D">
        <w:t>d</w:t>
      </w:r>
      <w:r w:rsidR="007435C6">
        <w:t xml:space="preserve"> recommendations relating to</w:t>
      </w:r>
      <w:r w:rsidR="008A3D53">
        <w:t xml:space="preserve"> key</w:t>
      </w:r>
      <w:r w:rsidR="007435C6">
        <w:t xml:space="preserve"> </w:t>
      </w:r>
      <w:r w:rsidR="0024053D">
        <w:t xml:space="preserve">human rights and equality issues </w:t>
      </w:r>
      <w:r w:rsidR="008A3D53">
        <w:t xml:space="preserve">which </w:t>
      </w:r>
      <w:r w:rsidR="0013094B">
        <w:t xml:space="preserve">are </w:t>
      </w:r>
      <w:r w:rsidR="0013094B" w:rsidRPr="002D70BB">
        <w:t>relevant to</w:t>
      </w:r>
      <w:r w:rsidR="0013094B">
        <w:t xml:space="preserve"> ongoing negotiations between the UK Government and EU, including the supply of medicines</w:t>
      </w:r>
      <w:r w:rsidR="00003791">
        <w:t xml:space="preserve"> between Great Britain and Northern Ireland, pet passport arrangements and assistance dogs</w:t>
      </w:r>
      <w:r w:rsidR="00380224">
        <w:t>,</w:t>
      </w:r>
      <w:r w:rsidR="00003791">
        <w:t xml:space="preserve"> and </w:t>
      </w:r>
      <w:r w:rsidR="00C07D39">
        <w:t xml:space="preserve">impacts on </w:t>
      </w:r>
      <w:r w:rsidR="00393FD1">
        <w:t xml:space="preserve">food supply issues on </w:t>
      </w:r>
      <w:r w:rsidR="00C07D39">
        <w:t>faith communities in Northern Ireland.</w:t>
      </w:r>
    </w:p>
    <w:p w14:paraId="46558F76" w14:textId="33BE786F" w:rsidR="00380224" w:rsidRDefault="00380224" w:rsidP="00F05004">
      <w:pPr>
        <w:pStyle w:val="ListParagraph"/>
        <w:numPr>
          <w:ilvl w:val="1"/>
          <w:numId w:val="29"/>
        </w:numPr>
        <w:ind w:left="709" w:hanging="709"/>
      </w:pPr>
      <w:r>
        <w:t xml:space="preserve">The Commissions </w:t>
      </w:r>
      <w:r w:rsidR="009E582F">
        <w:t xml:space="preserve">urge the UK Government and EU to continue to undertake </w:t>
      </w:r>
      <w:r w:rsidR="00626970">
        <w:t>constructive engagement to reach</w:t>
      </w:r>
      <w:r w:rsidR="00256637">
        <w:t xml:space="preserve"> timely</w:t>
      </w:r>
      <w:r w:rsidR="00626970">
        <w:t xml:space="preserve"> agreement on sustainable, </w:t>
      </w:r>
      <w:r w:rsidR="0006499C">
        <w:t>long-term</w:t>
      </w:r>
      <w:r w:rsidR="00626970">
        <w:t xml:space="preserve"> solutions </w:t>
      </w:r>
      <w:r w:rsidR="00256637">
        <w:t>for</w:t>
      </w:r>
      <w:r w:rsidR="00626970">
        <w:t xml:space="preserve"> all ongoing issues which </w:t>
      </w:r>
      <w:r w:rsidR="00256637">
        <w:t>have the potential to impact the rights of people in living in Northern Ireland.</w:t>
      </w:r>
    </w:p>
    <w:p w14:paraId="2D1F12BE" w14:textId="7481A11D" w:rsidR="008207DF" w:rsidRPr="009D7138" w:rsidRDefault="008207DF" w:rsidP="008207DF">
      <w:pPr>
        <w:pStyle w:val="ListParagraph"/>
        <w:numPr>
          <w:ilvl w:val="1"/>
          <w:numId w:val="29"/>
        </w:numPr>
        <w:ind w:left="709" w:hanging="709"/>
      </w:pPr>
      <w:r w:rsidRPr="009D7138">
        <w:t>While the recommendations in this joint submission are directed primarily at the UK Government and EU, the Commissions would encourage the Sub-Committee to consider raising these  recommendations with the UK Government and/or EU.</w:t>
      </w:r>
    </w:p>
    <w:p w14:paraId="5B6D6CDE" w14:textId="382A389B" w:rsidR="005B7AF7" w:rsidRDefault="009A14E0" w:rsidP="00F05004">
      <w:pPr>
        <w:pStyle w:val="ListParagraph"/>
        <w:numPr>
          <w:ilvl w:val="1"/>
          <w:numId w:val="29"/>
        </w:numPr>
        <w:ind w:left="709" w:hanging="709"/>
      </w:pPr>
      <w:r>
        <w:t xml:space="preserve">The Commissions welcome the opportunity to provide evidence to the </w:t>
      </w:r>
      <w:r w:rsidR="000163FD">
        <w:t>Sub-</w:t>
      </w:r>
      <w:r>
        <w:t>Committee on the Ireland/Northern Ireland Protocol</w:t>
      </w:r>
      <w:r w:rsidR="008D77B5">
        <w:t xml:space="preserve"> on the UK and EU proposals on the Protocol and their</w:t>
      </w:r>
      <w:r w:rsidR="0009626A">
        <w:t xml:space="preserve"> potential Article 2</w:t>
      </w:r>
      <w:r w:rsidR="008D77B5">
        <w:t xml:space="preserve"> implications </w:t>
      </w:r>
      <w:r w:rsidR="0009626A">
        <w:t xml:space="preserve">and remain available to the </w:t>
      </w:r>
      <w:r w:rsidR="000163FD">
        <w:t>Sub-</w:t>
      </w:r>
      <w:r w:rsidR="0009626A">
        <w:t>Committee to provide additional information if required.</w:t>
      </w:r>
    </w:p>
    <w:p w14:paraId="46CA773D" w14:textId="77777777" w:rsidR="008207DF" w:rsidRDefault="008207DF" w:rsidP="00522587">
      <w:pPr>
        <w:pStyle w:val="ListParagraph"/>
        <w:numPr>
          <w:ilvl w:val="0"/>
          <w:numId w:val="0"/>
        </w:numPr>
        <w:ind w:left="709"/>
      </w:pPr>
    </w:p>
    <w:p w14:paraId="0FF67A09" w14:textId="77777777" w:rsidR="000D2959" w:rsidRDefault="000D2959"/>
    <w:p w14:paraId="7DB468A2" w14:textId="77777777" w:rsidR="00FB25A5" w:rsidRDefault="00FB25A5"/>
    <w:p w14:paraId="0D1F05FE" w14:textId="5DF3DE88" w:rsidR="000805D7" w:rsidRPr="00AC68D0" w:rsidRDefault="00AD25F5">
      <w:pPr>
        <w:rPr>
          <w:b/>
          <w:sz w:val="28"/>
          <w:szCs w:val="28"/>
        </w:rPr>
        <w:sectPr w:rsidR="000805D7" w:rsidRPr="00AC68D0" w:rsidSect="00967506">
          <w:footerReference w:type="default" r:id="rId17"/>
          <w:pgSz w:w="11906" w:h="16838"/>
          <w:pgMar w:top="1440" w:right="1440" w:bottom="1440" w:left="1440" w:header="708" w:footer="708" w:gutter="0"/>
          <w:pgNumType w:start="1"/>
          <w:cols w:space="708"/>
          <w:docGrid w:linePitch="360"/>
        </w:sectPr>
      </w:pPr>
      <w:r>
        <w:rPr>
          <w:b/>
          <w:sz w:val="28"/>
          <w:szCs w:val="28"/>
        </w:rPr>
        <w:t>1</w:t>
      </w:r>
      <w:r w:rsidR="009D7138">
        <w:rPr>
          <w:b/>
          <w:sz w:val="28"/>
          <w:szCs w:val="28"/>
        </w:rPr>
        <w:t>2</w:t>
      </w:r>
      <w:r>
        <w:rPr>
          <w:b/>
          <w:sz w:val="28"/>
          <w:szCs w:val="28"/>
        </w:rPr>
        <w:t xml:space="preserve"> </w:t>
      </w:r>
      <w:r w:rsidR="00AC68D0" w:rsidRPr="00AC68D0">
        <w:rPr>
          <w:b/>
          <w:sz w:val="28"/>
          <w:szCs w:val="28"/>
        </w:rPr>
        <w:t>November 2021</w:t>
      </w:r>
    </w:p>
    <w:p w14:paraId="7A358D8E" w14:textId="77777777" w:rsidR="000805D7" w:rsidRDefault="000805D7"/>
    <w:p w14:paraId="738467D6" w14:textId="77777777" w:rsidR="00FB25A5" w:rsidRDefault="00FB25A5"/>
    <w:p w14:paraId="39906245" w14:textId="77777777" w:rsidR="00FB25A5" w:rsidRDefault="00FB25A5" w:rsidP="00FB25A5">
      <w:pPr>
        <w:pStyle w:val="BasicParagraph"/>
        <w:suppressAutoHyphens/>
        <w:spacing w:line="276" w:lineRule="auto"/>
        <w:jc w:val="center"/>
        <w:rPr>
          <w:rFonts w:ascii="Verdana" w:hAnsi="Verdana" w:cs="Arial"/>
          <w:b/>
          <w:bCs/>
          <w:color w:val="77328A"/>
          <w:sz w:val="44"/>
          <w:szCs w:val="44"/>
        </w:rPr>
      </w:pPr>
    </w:p>
    <w:p w14:paraId="7316CFB3" w14:textId="77777777" w:rsidR="00FB25A5" w:rsidRDefault="00FB25A5" w:rsidP="00FB25A5">
      <w:pPr>
        <w:pStyle w:val="BasicParagraph"/>
        <w:suppressAutoHyphens/>
        <w:spacing w:line="276" w:lineRule="auto"/>
        <w:jc w:val="center"/>
        <w:rPr>
          <w:rFonts w:ascii="Verdana" w:hAnsi="Verdana" w:cs="Arial"/>
          <w:b/>
          <w:bCs/>
          <w:color w:val="77328A"/>
          <w:sz w:val="44"/>
          <w:szCs w:val="44"/>
        </w:rPr>
      </w:pPr>
    </w:p>
    <w:p w14:paraId="4D2AEFAD" w14:textId="77777777" w:rsidR="00FB25A5" w:rsidRDefault="00FB25A5" w:rsidP="00FB25A5">
      <w:pPr>
        <w:pStyle w:val="BasicParagraph"/>
        <w:suppressAutoHyphens/>
        <w:spacing w:line="276" w:lineRule="auto"/>
        <w:jc w:val="center"/>
        <w:rPr>
          <w:rFonts w:ascii="Verdana" w:hAnsi="Verdana" w:cs="Arial"/>
          <w:b/>
          <w:bCs/>
          <w:color w:val="77328A"/>
          <w:sz w:val="44"/>
          <w:szCs w:val="44"/>
        </w:rPr>
      </w:pPr>
    </w:p>
    <w:p w14:paraId="03399E30" w14:textId="77777777" w:rsidR="00FB25A5" w:rsidRDefault="00FB25A5" w:rsidP="00FB25A5">
      <w:pPr>
        <w:pStyle w:val="BasicParagraph"/>
        <w:suppressAutoHyphens/>
        <w:spacing w:line="276" w:lineRule="auto"/>
        <w:jc w:val="center"/>
        <w:rPr>
          <w:rFonts w:ascii="Verdana" w:hAnsi="Verdana" w:cs="Arial"/>
          <w:b/>
          <w:bCs/>
          <w:color w:val="77328A"/>
          <w:sz w:val="44"/>
          <w:szCs w:val="44"/>
        </w:rPr>
      </w:pPr>
    </w:p>
    <w:p w14:paraId="54763ED9" w14:textId="77777777" w:rsidR="00FB25A5" w:rsidRDefault="00FB25A5" w:rsidP="00FB25A5">
      <w:pPr>
        <w:pStyle w:val="BasicParagraph"/>
        <w:suppressAutoHyphens/>
        <w:spacing w:line="276" w:lineRule="auto"/>
        <w:jc w:val="center"/>
        <w:rPr>
          <w:rFonts w:ascii="Verdana" w:hAnsi="Verdana" w:cs="Arial"/>
          <w:b/>
          <w:bCs/>
          <w:color w:val="77328A"/>
          <w:sz w:val="44"/>
          <w:szCs w:val="44"/>
        </w:rPr>
      </w:pPr>
    </w:p>
    <w:p w14:paraId="5755F981" w14:textId="77777777" w:rsidR="00FB25A5" w:rsidRDefault="00FB25A5" w:rsidP="00FB25A5">
      <w:pPr>
        <w:pStyle w:val="BasicParagraph"/>
        <w:suppressAutoHyphens/>
        <w:spacing w:line="276" w:lineRule="auto"/>
        <w:jc w:val="center"/>
        <w:rPr>
          <w:rFonts w:ascii="Verdana" w:hAnsi="Verdana" w:cs="Arial"/>
          <w:b/>
          <w:bCs/>
          <w:color w:val="77328A"/>
          <w:sz w:val="44"/>
          <w:szCs w:val="44"/>
        </w:rPr>
      </w:pPr>
    </w:p>
    <w:p w14:paraId="18519F36" w14:textId="77777777" w:rsidR="00FB25A5" w:rsidRPr="000835C7" w:rsidRDefault="00FB25A5" w:rsidP="00FB25A5">
      <w:pPr>
        <w:pStyle w:val="BasicParagraph"/>
        <w:suppressAutoHyphens/>
        <w:spacing w:line="276" w:lineRule="auto"/>
        <w:jc w:val="center"/>
        <w:rPr>
          <w:rFonts w:ascii="Verdana" w:hAnsi="Verdana" w:cs="Arial"/>
          <w:b/>
          <w:bCs/>
          <w:color w:val="77328A"/>
          <w:sz w:val="44"/>
          <w:szCs w:val="44"/>
        </w:rPr>
      </w:pPr>
      <w:r w:rsidRPr="000835C7">
        <w:rPr>
          <w:rFonts w:ascii="Verdana" w:hAnsi="Verdana" w:cs="Arial"/>
          <w:b/>
          <w:bCs/>
          <w:color w:val="77328A"/>
          <w:sz w:val="44"/>
          <w:szCs w:val="44"/>
        </w:rPr>
        <w:t xml:space="preserve">Contact Us </w:t>
      </w:r>
    </w:p>
    <w:p w14:paraId="0E5589D3" w14:textId="77777777" w:rsidR="00FB25A5" w:rsidRPr="000835C7" w:rsidRDefault="00FB25A5" w:rsidP="00FB25A5">
      <w:pPr>
        <w:pStyle w:val="BasicParagraph"/>
        <w:suppressAutoHyphens/>
        <w:spacing w:line="276" w:lineRule="auto"/>
        <w:jc w:val="center"/>
        <w:rPr>
          <w:rFonts w:ascii="Verdana" w:hAnsi="Verdana" w:cs="Arial"/>
          <w:b/>
          <w:bCs/>
          <w:color w:val="77328A"/>
        </w:rPr>
      </w:pPr>
    </w:p>
    <w:p w14:paraId="029527C4" w14:textId="77777777" w:rsidR="00FB25A5" w:rsidRPr="00422A86" w:rsidRDefault="00FB25A5" w:rsidP="00FB25A5">
      <w:pPr>
        <w:pStyle w:val="BasicParagraph"/>
        <w:suppressAutoHyphens/>
        <w:spacing w:line="276" w:lineRule="auto"/>
        <w:jc w:val="center"/>
        <w:rPr>
          <w:rFonts w:asciiTheme="minorHAnsi" w:hAnsiTheme="minorHAnsi" w:cstheme="minorHAnsi"/>
          <w:b/>
          <w:bCs/>
          <w:color w:val="auto"/>
          <w:sz w:val="32"/>
          <w:szCs w:val="32"/>
        </w:rPr>
      </w:pPr>
      <w:r w:rsidRPr="00422A86">
        <w:rPr>
          <w:rFonts w:asciiTheme="minorHAnsi" w:hAnsiTheme="minorHAnsi" w:cstheme="minorHAnsi"/>
          <w:b/>
          <w:bCs/>
          <w:color w:val="auto"/>
          <w:sz w:val="32"/>
          <w:szCs w:val="32"/>
        </w:rPr>
        <w:t xml:space="preserve">For queries, please contact: </w:t>
      </w:r>
    </w:p>
    <w:p w14:paraId="2F2341F3" w14:textId="77777777" w:rsidR="00FB25A5" w:rsidRPr="00422A86" w:rsidRDefault="009D7138" w:rsidP="00FB25A5">
      <w:pPr>
        <w:pStyle w:val="BasicParagraph"/>
        <w:suppressAutoHyphens/>
        <w:spacing w:line="276" w:lineRule="auto"/>
        <w:jc w:val="center"/>
        <w:rPr>
          <w:rStyle w:val="Hyperlink"/>
          <w:rFonts w:asciiTheme="minorHAnsi" w:hAnsiTheme="minorHAnsi" w:cstheme="minorHAnsi"/>
          <w:bCs/>
          <w:sz w:val="32"/>
          <w:szCs w:val="32"/>
        </w:rPr>
      </w:pPr>
      <w:hyperlink r:id="rId18" w:history="1">
        <w:r w:rsidR="00320B15">
          <w:rPr>
            <w:rStyle w:val="Hyperlink"/>
            <w:rFonts w:asciiTheme="minorHAnsi" w:hAnsiTheme="minorHAnsi" w:cstheme="minorHAnsi"/>
            <w:bCs/>
            <w:sz w:val="32"/>
            <w:szCs w:val="32"/>
          </w:rPr>
          <w:t>E</w:t>
        </w:r>
        <w:r w:rsidR="00320B15" w:rsidRPr="00422A86">
          <w:rPr>
            <w:rStyle w:val="Hyperlink"/>
            <w:rFonts w:asciiTheme="minorHAnsi" w:hAnsiTheme="minorHAnsi" w:cstheme="minorHAnsi"/>
            <w:bCs/>
            <w:sz w:val="32"/>
            <w:szCs w:val="32"/>
          </w:rPr>
          <w:t>ilis.Haughey@nihrc.org</w:t>
        </w:r>
      </w:hyperlink>
    </w:p>
    <w:p w14:paraId="76A5E683" w14:textId="77777777" w:rsidR="00FB25A5" w:rsidRPr="00422A86" w:rsidRDefault="00FB25A5" w:rsidP="00FB25A5">
      <w:pPr>
        <w:pStyle w:val="BasicParagraph"/>
        <w:suppressAutoHyphens/>
        <w:spacing w:line="276" w:lineRule="auto"/>
        <w:jc w:val="center"/>
        <w:rPr>
          <w:rStyle w:val="Hyperlink"/>
          <w:rFonts w:asciiTheme="minorHAnsi" w:hAnsiTheme="minorHAnsi" w:cstheme="minorHAnsi"/>
          <w:bCs/>
          <w:sz w:val="32"/>
          <w:szCs w:val="32"/>
        </w:rPr>
      </w:pPr>
      <w:r w:rsidRPr="00422A86">
        <w:rPr>
          <w:rStyle w:val="Hyperlink"/>
          <w:rFonts w:asciiTheme="minorHAnsi" w:hAnsiTheme="minorHAnsi" w:cstheme="minorHAnsi"/>
          <w:bCs/>
          <w:sz w:val="32"/>
          <w:szCs w:val="32"/>
        </w:rPr>
        <w:t>RMallon@equalityni.org</w:t>
      </w:r>
    </w:p>
    <w:p w14:paraId="55891B43" w14:textId="77777777" w:rsidR="00FB25A5" w:rsidRDefault="00FB25A5"/>
    <w:sectPr w:rsidR="00FB25A5" w:rsidSect="00967506">
      <w:footerReference w:type="default" r:id="rId19"/>
      <w:pgSz w:w="11906" w:h="16838"/>
      <w:pgMar w:top="1440" w:right="1440" w:bottom="1440" w:left="144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61ECEA4" w14:textId="77777777" w:rsidR="00BE7F01" w:rsidRDefault="00BE7F01" w:rsidP="00064CF7">
      <w:r>
        <w:separator/>
      </w:r>
    </w:p>
  </w:endnote>
  <w:endnote w:type="continuationSeparator" w:id="0">
    <w:p w14:paraId="284DE1D3" w14:textId="77777777" w:rsidR="00BE7F01" w:rsidRDefault="00BE7F01" w:rsidP="00064C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MinionPro-Regular">
    <w:altName w:val="Calibri"/>
    <w:panose1 w:val="00000000000000000000"/>
    <w:charset w:val="4D"/>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3DD955" w14:textId="77777777" w:rsidR="001366AA" w:rsidRDefault="001366AA">
    <w:pPr>
      <w:pStyle w:val="Footer"/>
      <w:jc w:val="right"/>
    </w:pPr>
  </w:p>
  <w:p w14:paraId="10C7814D" w14:textId="77777777" w:rsidR="001366AA" w:rsidRDefault="001366A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77572258"/>
      <w:docPartObj>
        <w:docPartGallery w:val="Page Numbers (Bottom of Page)"/>
        <w:docPartUnique/>
      </w:docPartObj>
    </w:sdtPr>
    <w:sdtEndPr>
      <w:rPr>
        <w:noProof/>
      </w:rPr>
    </w:sdtEndPr>
    <w:sdtContent>
      <w:p w14:paraId="426E18DB" w14:textId="6434B5A8" w:rsidR="001366AA" w:rsidRDefault="001366AA">
        <w:pPr>
          <w:pStyle w:val="Footer"/>
          <w:jc w:val="right"/>
        </w:pPr>
        <w:r>
          <w:fldChar w:fldCharType="begin"/>
        </w:r>
        <w:r>
          <w:instrText xml:space="preserve"> PAGE   \* MERGEFORMAT </w:instrText>
        </w:r>
        <w:r>
          <w:fldChar w:fldCharType="separate"/>
        </w:r>
        <w:r w:rsidR="009D7138">
          <w:rPr>
            <w:noProof/>
          </w:rPr>
          <w:t>1</w:t>
        </w:r>
        <w:r>
          <w:rPr>
            <w:noProof/>
          </w:rPr>
          <w:fldChar w:fldCharType="end"/>
        </w:r>
      </w:p>
    </w:sdtContent>
  </w:sdt>
  <w:p w14:paraId="14BC5098" w14:textId="77777777" w:rsidR="001366AA" w:rsidRDefault="001366A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311367" w14:textId="77777777" w:rsidR="001366AA" w:rsidRDefault="001366AA">
    <w:pPr>
      <w:pStyle w:val="Footer"/>
      <w:jc w:val="right"/>
    </w:pPr>
  </w:p>
  <w:p w14:paraId="64C239B2" w14:textId="77777777" w:rsidR="001366AA" w:rsidRDefault="001366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3B3419" w14:textId="77777777" w:rsidR="00BE7F01" w:rsidRDefault="00BE7F01" w:rsidP="00064CF7">
      <w:r>
        <w:separator/>
      </w:r>
    </w:p>
  </w:footnote>
  <w:footnote w:type="continuationSeparator" w:id="0">
    <w:p w14:paraId="7A3D62B8" w14:textId="77777777" w:rsidR="00BE7F01" w:rsidRDefault="00BE7F01" w:rsidP="00064CF7">
      <w:r>
        <w:continuationSeparator/>
      </w:r>
    </w:p>
  </w:footnote>
  <w:footnote w:id="1">
    <w:p w14:paraId="01A13671" w14:textId="77777777" w:rsidR="001366AA" w:rsidRDefault="001366AA">
      <w:pPr>
        <w:pStyle w:val="FootnoteText"/>
      </w:pPr>
      <w:r>
        <w:rPr>
          <w:rStyle w:val="FootnoteReference"/>
        </w:rPr>
        <w:footnoteRef/>
      </w:r>
      <w:r>
        <w:t xml:space="preserve"> UK Government Command Paper, </w:t>
      </w:r>
      <w:hyperlink r:id="rId1" w:history="1">
        <w:r w:rsidRPr="0004505B">
          <w:rPr>
            <w:rStyle w:val="Hyperlink"/>
          </w:rPr>
          <w:t>Northern Ireland protocol - next steps</w:t>
        </w:r>
      </w:hyperlink>
      <w:r>
        <w:t>, P.15, paragraph 37, 21 July 2021</w:t>
      </w:r>
    </w:p>
  </w:footnote>
  <w:footnote w:id="2">
    <w:p w14:paraId="20B24314" w14:textId="77777777" w:rsidR="001366AA" w:rsidRDefault="001366AA" w:rsidP="000B56EA">
      <w:pPr>
        <w:pStyle w:val="FootnoteText"/>
      </w:pPr>
      <w:r>
        <w:rPr>
          <w:rStyle w:val="FootnoteReference"/>
        </w:rPr>
        <w:footnoteRef/>
      </w:r>
      <w:r>
        <w:t xml:space="preserve"> </w:t>
      </w:r>
      <w:r w:rsidR="00125E6B">
        <w:t xml:space="preserve">European Affairs Sub-Committee on the Protocol on Ireland/Northern Ireland letter to the Secretary of State for Northern Ireland, </w:t>
      </w:r>
      <w:hyperlink r:id="rId2" w:history="1">
        <w:r w:rsidR="00125E6B" w:rsidRPr="00961B0F">
          <w:rPr>
            <w:rStyle w:val="Hyperlink"/>
          </w:rPr>
          <w:t>Article 2 of the Protocol on Ireland/Northern Ireland (Rights of Individuals)</w:t>
        </w:r>
      </w:hyperlink>
      <w:r w:rsidR="00125E6B">
        <w:t>, Page 3, paragraph 9, 25 October 2021</w:t>
      </w:r>
    </w:p>
  </w:footnote>
  <w:footnote w:id="3">
    <w:p w14:paraId="71C40851" w14:textId="77777777" w:rsidR="00EA41CA" w:rsidRDefault="00EA41CA" w:rsidP="00EA41CA">
      <w:pPr>
        <w:pStyle w:val="FootnoteText"/>
      </w:pPr>
      <w:r>
        <w:rPr>
          <w:rStyle w:val="FootnoteReference"/>
        </w:rPr>
        <w:footnoteRef/>
      </w:r>
      <w:r>
        <w:t xml:space="preserve"> </w:t>
      </w:r>
      <w:r w:rsidR="006C74FE">
        <w:t xml:space="preserve">Article 14 </w:t>
      </w:r>
      <w:r w:rsidR="00B65CF7">
        <w:t xml:space="preserve">on the Specialised Committee </w:t>
      </w:r>
      <w:r w:rsidR="006C74FE">
        <w:t xml:space="preserve">of the </w:t>
      </w:r>
      <w:hyperlink r:id="rId3" w:history="1">
        <w:r w:rsidRPr="00ED0F1B">
          <w:rPr>
            <w:rStyle w:val="Hyperlink"/>
          </w:rPr>
          <w:t>Protocol on Ireland/Northern Ireland</w:t>
        </w:r>
      </w:hyperlink>
      <w:r w:rsidR="006C74FE">
        <w:t xml:space="preserve"> states</w:t>
      </w:r>
      <w:r w:rsidR="00050414">
        <w:t xml:space="preserve">: </w:t>
      </w:r>
      <w:r w:rsidR="00285558">
        <w:t>“</w:t>
      </w:r>
      <w:r w:rsidR="00E24C3D" w:rsidRPr="00E24C3D">
        <w:t>The Committee on issues related to the implementation of the Protocol on Ireland/Northern Ireland established by Article 165 of the Withdrawal Agreement (‘Specialised Committee’) shall:</w:t>
      </w:r>
      <w:r w:rsidR="00E24C3D">
        <w:t xml:space="preserve"> …</w:t>
      </w:r>
      <w:r w:rsidR="00E24C3D" w:rsidRPr="00E24C3D">
        <w:t>(c) consider any matter of relevance to Article 2 of this Protocol brought to its attention by the Northern Ireland Human Rights Commission, the Equality Commission for Northern Ireland, and the Joint Committee of representatives of the Human Rights Commissions of Northern Ireland and Ireland</w:t>
      </w:r>
      <w:r w:rsidR="00E24C3D">
        <w:t>…</w:t>
      </w:r>
      <w:r w:rsidR="00285558">
        <w:t>”</w:t>
      </w:r>
    </w:p>
  </w:footnote>
  <w:footnote w:id="4">
    <w:p w14:paraId="087FFDA8" w14:textId="77777777" w:rsidR="002E523D" w:rsidRDefault="002E523D" w:rsidP="002E523D">
      <w:pPr>
        <w:pStyle w:val="FootnoteText"/>
      </w:pPr>
      <w:r>
        <w:rPr>
          <w:rStyle w:val="FootnoteReference"/>
        </w:rPr>
        <w:footnoteRef/>
      </w:r>
      <w:r>
        <w:t xml:space="preserve"> </w:t>
      </w:r>
      <w:r w:rsidRPr="007D2105">
        <w:t>NI Office, ‘</w:t>
      </w:r>
      <w:hyperlink r:id="rId4" w:history="1">
        <w:r w:rsidRPr="00C41C35">
          <w:rPr>
            <w:rStyle w:val="Hyperlink"/>
          </w:rPr>
          <w:t>UK Government Commitment to “No Diminution of Rights, Safeguards and Equality of Opportunity” in Northern Ireland: What does it Mean and How will it be Implemented?</w:t>
        </w:r>
      </w:hyperlink>
      <w:r w:rsidRPr="007D2105">
        <w:t>’ (NIO, 2020)</w:t>
      </w:r>
    </w:p>
  </w:footnote>
  <w:footnote w:id="5">
    <w:p w14:paraId="3132D965" w14:textId="77777777" w:rsidR="00C01E3D" w:rsidRPr="003C3947" w:rsidRDefault="00C01E3D" w:rsidP="003F2C5F">
      <w:pPr>
        <w:pStyle w:val="FootnoteText"/>
      </w:pPr>
      <w:r w:rsidRPr="003C3947">
        <w:rPr>
          <w:rStyle w:val="FootnoteReference"/>
        </w:rPr>
        <w:footnoteRef/>
      </w:r>
      <w:r w:rsidRPr="003C3947">
        <w:t xml:space="preserve"> </w:t>
      </w:r>
      <w:hyperlink r:id="rId5" w:history="1">
        <w:r w:rsidR="00124A1A" w:rsidRPr="003C3947">
          <w:rPr>
            <w:rStyle w:val="Hyperlink"/>
          </w:rPr>
          <w:t>Letter from Robin Walker MP</w:t>
        </w:r>
      </w:hyperlink>
      <w:r w:rsidR="00410E7C" w:rsidRPr="003C3947">
        <w:t xml:space="preserve"> 26 February 2020</w:t>
      </w:r>
      <w:r w:rsidR="00124A1A" w:rsidRPr="003C3947">
        <w:t xml:space="preserve">, Minister of State for Northern Ireland to Christopher McCrudden </w:t>
      </w:r>
      <w:r w:rsidR="003703A0" w:rsidRPr="003C3947">
        <w:t>contained within</w:t>
      </w:r>
      <w:r w:rsidR="00124A1A" w:rsidRPr="003C3947">
        <w:t xml:space="preserve"> </w:t>
      </w:r>
      <w:r w:rsidR="004E40B1" w:rsidRPr="003C3947">
        <w:t xml:space="preserve">Christopher McCrudden’s evidence on </w:t>
      </w:r>
      <w:r w:rsidR="003F2C5F" w:rsidRPr="003C3947">
        <w:t xml:space="preserve">Parliamentary scrutiny of the Joint Committee and the application of the Northern Ireland Protocol </w:t>
      </w:r>
      <w:r w:rsidR="00726BE6" w:rsidRPr="003C3947">
        <w:t>at</w:t>
      </w:r>
      <w:r w:rsidR="00967ED9" w:rsidRPr="003C3947">
        <w:t xml:space="preserve">, </w:t>
      </w:r>
      <w:r w:rsidR="00726BE6" w:rsidRPr="003C3947">
        <w:t>page 19-</w:t>
      </w:r>
      <w:r w:rsidR="00513ECC" w:rsidRPr="003C3947">
        <w:t>21</w:t>
      </w:r>
    </w:p>
  </w:footnote>
  <w:footnote w:id="6">
    <w:p w14:paraId="06CAB67C" w14:textId="77777777" w:rsidR="001366AA" w:rsidRDefault="001366AA">
      <w:pPr>
        <w:pStyle w:val="FootnoteText"/>
      </w:pPr>
      <w:r>
        <w:rPr>
          <w:rStyle w:val="FootnoteReference"/>
        </w:rPr>
        <w:footnoteRef/>
      </w:r>
      <w:r>
        <w:t xml:space="preserve"> UK Government Command Paper, </w:t>
      </w:r>
      <w:hyperlink r:id="rId6" w:history="1">
        <w:r w:rsidRPr="0004505B">
          <w:rPr>
            <w:rStyle w:val="Hyperlink"/>
          </w:rPr>
          <w:t>Northern Ireland protocol - next steps</w:t>
        </w:r>
      </w:hyperlink>
      <w:r>
        <w:t>, P.21, paragraph 71, 21 July 2021</w:t>
      </w:r>
    </w:p>
  </w:footnote>
  <w:footnote w:id="7">
    <w:p w14:paraId="29C76EC4" w14:textId="77777777" w:rsidR="00ED398B" w:rsidRDefault="00ED398B" w:rsidP="00ED398B">
      <w:pPr>
        <w:pStyle w:val="FootnoteText"/>
      </w:pPr>
      <w:r>
        <w:rPr>
          <w:rStyle w:val="FootnoteReference"/>
        </w:rPr>
        <w:footnoteRef/>
      </w:r>
      <w:r>
        <w:t xml:space="preserve"> European Affairs Sub-Committee on the Protocol on Ireland/Northern Ireland letter to the Secretary of State for Northern Ireland, </w:t>
      </w:r>
      <w:hyperlink r:id="rId7" w:history="1">
        <w:r w:rsidRPr="00961B0F">
          <w:rPr>
            <w:rStyle w:val="Hyperlink"/>
          </w:rPr>
          <w:t>Article 2 of the Protocol on Ireland/Northern Ireland (Rights of Individuals)</w:t>
        </w:r>
      </w:hyperlink>
      <w:r>
        <w:t>, Page 3, paragraph 9, 25 October</w:t>
      </w:r>
    </w:p>
  </w:footnote>
  <w:footnote w:id="8">
    <w:p w14:paraId="62F12620" w14:textId="77777777" w:rsidR="001366AA" w:rsidRDefault="001366AA">
      <w:pPr>
        <w:pStyle w:val="FootnoteText"/>
      </w:pPr>
      <w:r>
        <w:rPr>
          <w:rStyle w:val="FootnoteReference"/>
        </w:rPr>
        <w:footnoteRef/>
      </w:r>
      <w:r>
        <w:t xml:space="preserve"> EU </w:t>
      </w:r>
      <w:r w:rsidRPr="006972F9">
        <w:t>P</w:t>
      </w:r>
      <w:r>
        <w:t xml:space="preserve">rotocol on Ireland and Northern Ireland, </w:t>
      </w:r>
      <w:hyperlink r:id="rId8" w:history="1">
        <w:r w:rsidRPr="003E5262">
          <w:rPr>
            <w:rStyle w:val="Hyperlink"/>
          </w:rPr>
          <w:t>Non-paper engagement with Northern Ireland stakeholders and authorities</w:t>
        </w:r>
      </w:hyperlink>
      <w:r>
        <w:t>, P.2, paragraphs 10-12, 13 October 2021</w:t>
      </w:r>
    </w:p>
  </w:footnote>
  <w:footnote w:id="9">
    <w:p w14:paraId="58507A0E" w14:textId="77777777" w:rsidR="001366AA" w:rsidRDefault="001366AA">
      <w:pPr>
        <w:pStyle w:val="FootnoteText"/>
      </w:pPr>
      <w:r>
        <w:rPr>
          <w:rStyle w:val="FootnoteReference"/>
        </w:rPr>
        <w:footnoteRef/>
      </w:r>
      <w:r>
        <w:t xml:space="preserve"> In paragraph 15 it is stated:” </w:t>
      </w:r>
      <w:r w:rsidRPr="002B6C0B">
        <w:rPr>
          <w:i/>
          <w:iCs/>
        </w:rPr>
        <w:t>…we do see merits in lifting this confidentiality requirement for deliberations on specific legislative proposals (and in particular when expert explanations are given in the JCWG) and their impact on the Northern Ireland. The co-chairs of the JCWG may also decide to publish the summary of the minutes…”.</w:t>
      </w:r>
    </w:p>
    <w:p w14:paraId="22676286" w14:textId="77777777" w:rsidR="001366AA" w:rsidRDefault="001366AA">
      <w:pPr>
        <w:pStyle w:val="FootnoteText"/>
      </w:pPr>
      <w:r>
        <w:t xml:space="preserve">EU </w:t>
      </w:r>
      <w:r w:rsidRPr="006972F9">
        <w:t>P</w:t>
      </w:r>
      <w:r>
        <w:t xml:space="preserve">rotocol on Ireland and Northern Ireland, </w:t>
      </w:r>
      <w:hyperlink r:id="rId9" w:history="1">
        <w:r w:rsidRPr="003E5262">
          <w:rPr>
            <w:rStyle w:val="Hyperlink"/>
          </w:rPr>
          <w:t>Non-paper engagement with Northern Ireland stakeholders and authorities</w:t>
        </w:r>
      </w:hyperlink>
      <w:r>
        <w:t>, P.2, paragraph 15, 13 October 2021</w:t>
      </w:r>
    </w:p>
  </w:footnote>
  <w:footnote w:id="10">
    <w:p w14:paraId="733B76AF" w14:textId="77777777" w:rsidR="001366AA" w:rsidRDefault="001366AA">
      <w:pPr>
        <w:pStyle w:val="FootnoteText"/>
      </w:pPr>
      <w:r>
        <w:rPr>
          <w:rStyle w:val="FootnoteReference"/>
        </w:rPr>
        <w:footnoteRef/>
      </w:r>
      <w:r>
        <w:t xml:space="preserve"> EU </w:t>
      </w:r>
      <w:r w:rsidRPr="006972F9">
        <w:t>P</w:t>
      </w:r>
      <w:r>
        <w:t xml:space="preserve">rotocol on Ireland and Northern Ireland, </w:t>
      </w:r>
      <w:hyperlink r:id="rId10" w:history="1">
        <w:r w:rsidRPr="003E5262">
          <w:rPr>
            <w:rStyle w:val="Hyperlink"/>
          </w:rPr>
          <w:t>Non-paper engagement with Northern Ireland stakeholders and authorities</w:t>
        </w:r>
      </w:hyperlink>
      <w:r>
        <w:t>, P.2, paragraph 14, 13 October 2021</w:t>
      </w:r>
    </w:p>
  </w:footnote>
  <w:footnote w:id="11">
    <w:p w14:paraId="4B4506C4" w14:textId="77777777" w:rsidR="001366AA" w:rsidRDefault="001366AA">
      <w:pPr>
        <w:pStyle w:val="FootnoteText"/>
      </w:pPr>
      <w:r>
        <w:rPr>
          <w:rStyle w:val="FootnoteReference"/>
        </w:rPr>
        <w:footnoteRef/>
      </w:r>
      <w:r>
        <w:t xml:space="preserve"> EU </w:t>
      </w:r>
      <w:r w:rsidRPr="006972F9">
        <w:t>P</w:t>
      </w:r>
      <w:r>
        <w:t xml:space="preserve">rotocol on Ireland and Northern Ireland, </w:t>
      </w:r>
      <w:hyperlink r:id="rId11" w:history="1">
        <w:r w:rsidRPr="003E5262">
          <w:rPr>
            <w:rStyle w:val="Hyperlink"/>
          </w:rPr>
          <w:t>Non-paper engagement with Northern Ireland stakeholders and authorities</w:t>
        </w:r>
      </w:hyperlink>
      <w:r>
        <w:t>, P.3, paragraph 22, 13 October 2021</w:t>
      </w:r>
    </w:p>
  </w:footnote>
  <w:footnote w:id="12">
    <w:p w14:paraId="32217C53" w14:textId="77777777" w:rsidR="000163FD" w:rsidRDefault="000163FD">
      <w:pPr>
        <w:pStyle w:val="FootnoteText"/>
      </w:pPr>
      <w:r>
        <w:rPr>
          <w:rStyle w:val="FootnoteReference"/>
        </w:rPr>
        <w:footnoteRef/>
      </w:r>
      <w:r>
        <w:t xml:space="preserve"> </w:t>
      </w:r>
      <w:r w:rsidRPr="00674069">
        <w:t>House of Lords European Union Committee, ‘</w:t>
      </w:r>
      <w:hyperlink r:id="rId12" w:history="1">
        <w:r w:rsidRPr="00674069">
          <w:rPr>
            <w:rStyle w:val="Hyperlink"/>
          </w:rPr>
          <w:t>The Protocol on Ireland/Northern Ireland</w:t>
        </w:r>
      </w:hyperlink>
      <w:r w:rsidRPr="00674069">
        <w:t>’ (2020), Report 9, para 281</w:t>
      </w:r>
    </w:p>
  </w:footnote>
  <w:footnote w:id="13">
    <w:p w14:paraId="49AB3DF0" w14:textId="77777777" w:rsidR="00BC3D1B" w:rsidRDefault="00BC3D1B">
      <w:pPr>
        <w:pStyle w:val="FootnoteText"/>
      </w:pPr>
      <w:r>
        <w:rPr>
          <w:rStyle w:val="FootnoteReference"/>
        </w:rPr>
        <w:footnoteRef/>
      </w:r>
      <w:r>
        <w:t xml:space="preserve"> The U</w:t>
      </w:r>
      <w:r w:rsidR="00BB764E">
        <w:t>K</w:t>
      </w:r>
      <w:r>
        <w:t xml:space="preserve"> Government </w:t>
      </w:r>
      <w:hyperlink r:id="rId13" w:history="1">
        <w:r w:rsidRPr="00BC3D1B">
          <w:rPr>
            <w:rStyle w:val="Hyperlink"/>
          </w:rPr>
          <w:t>Command Paper</w:t>
        </w:r>
      </w:hyperlink>
      <w:r>
        <w:t xml:space="preserve"> States: “</w:t>
      </w:r>
      <w:r w:rsidRPr="00BC3D1B">
        <w:t>Medicines are at risk of discontinuation because the hurdles to clear to reach the small Northern Ireland market make supply unviable</w:t>
      </w:r>
      <w:r>
        <w:t>.” P.12, paragraph 20, 21 July 2021</w:t>
      </w:r>
    </w:p>
  </w:footnote>
  <w:footnote w:id="14">
    <w:p w14:paraId="49740C75" w14:textId="77777777" w:rsidR="001366AA" w:rsidRDefault="001366AA" w:rsidP="0006686D">
      <w:pPr>
        <w:pStyle w:val="FootnoteText"/>
      </w:pPr>
      <w:r>
        <w:rPr>
          <w:rStyle w:val="FootnoteReference"/>
        </w:rPr>
        <w:footnoteRef/>
      </w:r>
      <w:r>
        <w:t xml:space="preserve"> UK Government Command Paper, </w:t>
      </w:r>
      <w:hyperlink r:id="rId14" w:history="1">
        <w:r w:rsidRPr="0004505B">
          <w:rPr>
            <w:rStyle w:val="Hyperlink"/>
          </w:rPr>
          <w:t>Northern Ireland protocol - next steps</w:t>
        </w:r>
      </w:hyperlink>
      <w:r>
        <w:t>, P.15, paragraph 36, 21 July 2021</w:t>
      </w:r>
    </w:p>
  </w:footnote>
  <w:footnote w:id="15">
    <w:p w14:paraId="040ED068" w14:textId="77777777" w:rsidR="00BB764E" w:rsidRDefault="00BB764E">
      <w:pPr>
        <w:pStyle w:val="FootnoteText"/>
      </w:pPr>
      <w:r>
        <w:rPr>
          <w:rStyle w:val="FootnoteReference"/>
        </w:rPr>
        <w:footnoteRef/>
      </w:r>
      <w:r>
        <w:t xml:space="preserve"> </w:t>
      </w:r>
      <w:r w:rsidRPr="00BB764E">
        <w:t xml:space="preserve">The </w:t>
      </w:r>
      <w:hyperlink r:id="rId15" w:history="1">
        <w:r w:rsidRPr="00BB764E">
          <w:rPr>
            <w:rStyle w:val="Hyperlink"/>
          </w:rPr>
          <w:t>UK Government Command Paper</w:t>
        </w:r>
      </w:hyperlink>
      <w:r w:rsidRPr="00BB764E">
        <w:t xml:space="preserve"> states:</w:t>
      </w:r>
      <w:r>
        <w:t xml:space="preserve"> </w:t>
      </w:r>
      <w:r w:rsidRPr="00BB764E">
        <w:t>“…pet owners, including those reliant on assistance dogs, have faced the prospect of unnecessary vaccinations and treatments, and bureaucratic certification hurdles simply to travel within the United Kingdom</w:t>
      </w:r>
      <w:r>
        <w:t>.” P.12, paragraph 20, 21 July 2021</w:t>
      </w:r>
    </w:p>
  </w:footnote>
  <w:footnote w:id="16">
    <w:p w14:paraId="475DC879" w14:textId="77777777" w:rsidR="001366AA" w:rsidRDefault="001366AA" w:rsidP="00EE14FC">
      <w:pPr>
        <w:pStyle w:val="FootnoteText"/>
      </w:pPr>
      <w:r>
        <w:rPr>
          <w:rStyle w:val="FootnoteReference"/>
        </w:rPr>
        <w:footnoteRef/>
      </w:r>
      <w:r>
        <w:t xml:space="preserve"> UK Government Command Paper, </w:t>
      </w:r>
      <w:hyperlink r:id="rId16" w:history="1">
        <w:r w:rsidRPr="0004505B">
          <w:rPr>
            <w:rStyle w:val="Hyperlink"/>
          </w:rPr>
          <w:t>Northern Ireland protocol - next steps</w:t>
        </w:r>
      </w:hyperlink>
      <w:r>
        <w:t>, P.15, paragraph 36, 21 July 2021</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7C641C"/>
    <w:multiLevelType w:val="hybridMultilevel"/>
    <w:tmpl w:val="80384976"/>
    <w:lvl w:ilvl="0" w:tplc="513E46DA">
      <w:start w:val="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CE42C2D"/>
    <w:multiLevelType w:val="hybridMultilevel"/>
    <w:tmpl w:val="6DA2653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E4B0334"/>
    <w:multiLevelType w:val="hybridMultilevel"/>
    <w:tmpl w:val="0D10991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F055A2C"/>
    <w:multiLevelType w:val="hybridMultilevel"/>
    <w:tmpl w:val="0A6A09A2"/>
    <w:lvl w:ilvl="0" w:tplc="08090001">
      <w:start w:val="1"/>
      <w:numFmt w:val="bullet"/>
      <w:lvlText w:val=""/>
      <w:lvlJc w:val="left"/>
      <w:pPr>
        <w:ind w:left="851" w:hanging="360"/>
      </w:pPr>
      <w:rPr>
        <w:rFonts w:ascii="Symbol" w:hAnsi="Symbol" w:hint="default"/>
      </w:rPr>
    </w:lvl>
    <w:lvl w:ilvl="1" w:tplc="08090003" w:tentative="1">
      <w:start w:val="1"/>
      <w:numFmt w:val="bullet"/>
      <w:lvlText w:val="o"/>
      <w:lvlJc w:val="left"/>
      <w:pPr>
        <w:ind w:left="1571" w:hanging="360"/>
      </w:pPr>
      <w:rPr>
        <w:rFonts w:ascii="Courier New" w:hAnsi="Courier New" w:cs="Courier New" w:hint="default"/>
      </w:rPr>
    </w:lvl>
    <w:lvl w:ilvl="2" w:tplc="08090005" w:tentative="1">
      <w:start w:val="1"/>
      <w:numFmt w:val="bullet"/>
      <w:lvlText w:val=""/>
      <w:lvlJc w:val="left"/>
      <w:pPr>
        <w:ind w:left="2291" w:hanging="360"/>
      </w:pPr>
      <w:rPr>
        <w:rFonts w:ascii="Wingdings" w:hAnsi="Wingdings" w:hint="default"/>
      </w:rPr>
    </w:lvl>
    <w:lvl w:ilvl="3" w:tplc="08090001" w:tentative="1">
      <w:start w:val="1"/>
      <w:numFmt w:val="bullet"/>
      <w:lvlText w:val=""/>
      <w:lvlJc w:val="left"/>
      <w:pPr>
        <w:ind w:left="3011" w:hanging="360"/>
      </w:pPr>
      <w:rPr>
        <w:rFonts w:ascii="Symbol" w:hAnsi="Symbol" w:hint="default"/>
      </w:rPr>
    </w:lvl>
    <w:lvl w:ilvl="4" w:tplc="08090003" w:tentative="1">
      <w:start w:val="1"/>
      <w:numFmt w:val="bullet"/>
      <w:lvlText w:val="o"/>
      <w:lvlJc w:val="left"/>
      <w:pPr>
        <w:ind w:left="3731" w:hanging="360"/>
      </w:pPr>
      <w:rPr>
        <w:rFonts w:ascii="Courier New" w:hAnsi="Courier New" w:cs="Courier New" w:hint="default"/>
      </w:rPr>
    </w:lvl>
    <w:lvl w:ilvl="5" w:tplc="08090005" w:tentative="1">
      <w:start w:val="1"/>
      <w:numFmt w:val="bullet"/>
      <w:lvlText w:val=""/>
      <w:lvlJc w:val="left"/>
      <w:pPr>
        <w:ind w:left="4451" w:hanging="360"/>
      </w:pPr>
      <w:rPr>
        <w:rFonts w:ascii="Wingdings" w:hAnsi="Wingdings" w:hint="default"/>
      </w:rPr>
    </w:lvl>
    <w:lvl w:ilvl="6" w:tplc="08090001" w:tentative="1">
      <w:start w:val="1"/>
      <w:numFmt w:val="bullet"/>
      <w:lvlText w:val=""/>
      <w:lvlJc w:val="left"/>
      <w:pPr>
        <w:ind w:left="5171" w:hanging="360"/>
      </w:pPr>
      <w:rPr>
        <w:rFonts w:ascii="Symbol" w:hAnsi="Symbol" w:hint="default"/>
      </w:rPr>
    </w:lvl>
    <w:lvl w:ilvl="7" w:tplc="08090003" w:tentative="1">
      <w:start w:val="1"/>
      <w:numFmt w:val="bullet"/>
      <w:lvlText w:val="o"/>
      <w:lvlJc w:val="left"/>
      <w:pPr>
        <w:ind w:left="5891" w:hanging="360"/>
      </w:pPr>
      <w:rPr>
        <w:rFonts w:ascii="Courier New" w:hAnsi="Courier New" w:cs="Courier New" w:hint="default"/>
      </w:rPr>
    </w:lvl>
    <w:lvl w:ilvl="8" w:tplc="08090005" w:tentative="1">
      <w:start w:val="1"/>
      <w:numFmt w:val="bullet"/>
      <w:lvlText w:val=""/>
      <w:lvlJc w:val="left"/>
      <w:pPr>
        <w:ind w:left="6611" w:hanging="360"/>
      </w:pPr>
      <w:rPr>
        <w:rFonts w:ascii="Wingdings" w:hAnsi="Wingdings" w:hint="default"/>
      </w:rPr>
    </w:lvl>
  </w:abstractNum>
  <w:abstractNum w:abstractNumId="4" w15:restartNumberingAfterBreak="0">
    <w:nsid w:val="115C3862"/>
    <w:multiLevelType w:val="multilevel"/>
    <w:tmpl w:val="543CE714"/>
    <w:lvl w:ilvl="0">
      <w:start w:val="1"/>
      <w:numFmt w:val="decimal"/>
      <w:lvlText w:val="%1.0"/>
      <w:lvlJc w:val="left"/>
      <w:pPr>
        <w:ind w:left="720" w:hanging="720"/>
      </w:pPr>
      <w:rPr>
        <w:rFonts w:hint="default"/>
      </w:rPr>
    </w:lvl>
    <w:lvl w:ilvl="1">
      <w:start w:val="1"/>
      <w:numFmt w:val="decimal"/>
      <w:lvlText w:val="%1.%2"/>
      <w:lvlJc w:val="left"/>
      <w:pPr>
        <w:ind w:left="720" w:hanging="720"/>
      </w:pPr>
      <w:rPr>
        <w:rFonts w:hint="default"/>
        <w:b w:val="0"/>
      </w:rPr>
    </w:lvl>
    <w:lvl w:ilvl="2">
      <w:start w:val="1"/>
      <w:numFmt w:val="decimal"/>
      <w:lvlText w:val="%1.%2.%3"/>
      <w:lvlJc w:val="left"/>
      <w:pPr>
        <w:ind w:left="2520" w:hanging="1080"/>
      </w:pPr>
      <w:rPr>
        <w:rFonts w:hint="default"/>
      </w:rPr>
    </w:lvl>
    <w:lvl w:ilvl="3">
      <w:start w:val="1"/>
      <w:numFmt w:val="decimal"/>
      <w:lvlText w:val="%1.%2.%3.%4"/>
      <w:lvlJc w:val="left"/>
      <w:pPr>
        <w:ind w:left="3600" w:hanging="1440"/>
      </w:pPr>
      <w:rPr>
        <w:rFonts w:hint="default"/>
      </w:rPr>
    </w:lvl>
    <w:lvl w:ilvl="4">
      <w:start w:val="1"/>
      <w:numFmt w:val="decimal"/>
      <w:lvlText w:val="%1.%2.%3.%4.%5"/>
      <w:lvlJc w:val="left"/>
      <w:pPr>
        <w:ind w:left="4680" w:hanging="1800"/>
      </w:pPr>
      <w:rPr>
        <w:rFonts w:hint="default"/>
      </w:rPr>
    </w:lvl>
    <w:lvl w:ilvl="5">
      <w:start w:val="1"/>
      <w:numFmt w:val="decimal"/>
      <w:lvlText w:val="%1.%2.%3.%4.%5.%6"/>
      <w:lvlJc w:val="left"/>
      <w:pPr>
        <w:ind w:left="5760" w:hanging="2160"/>
      </w:pPr>
      <w:rPr>
        <w:rFonts w:hint="default"/>
      </w:rPr>
    </w:lvl>
    <w:lvl w:ilvl="6">
      <w:start w:val="1"/>
      <w:numFmt w:val="decimal"/>
      <w:lvlText w:val="%1.%2.%3.%4.%5.%6.%7"/>
      <w:lvlJc w:val="left"/>
      <w:pPr>
        <w:ind w:left="6840" w:hanging="2520"/>
      </w:pPr>
      <w:rPr>
        <w:rFonts w:hint="default"/>
      </w:rPr>
    </w:lvl>
    <w:lvl w:ilvl="7">
      <w:start w:val="1"/>
      <w:numFmt w:val="decimal"/>
      <w:lvlText w:val="%1.%2.%3.%4.%5.%6.%7.%8"/>
      <w:lvlJc w:val="left"/>
      <w:pPr>
        <w:ind w:left="7920" w:hanging="2880"/>
      </w:pPr>
      <w:rPr>
        <w:rFonts w:hint="default"/>
      </w:rPr>
    </w:lvl>
    <w:lvl w:ilvl="8">
      <w:start w:val="1"/>
      <w:numFmt w:val="decimal"/>
      <w:lvlText w:val="%1.%2.%3.%4.%5.%6.%7.%8.%9"/>
      <w:lvlJc w:val="left"/>
      <w:pPr>
        <w:ind w:left="9000" w:hanging="3240"/>
      </w:pPr>
      <w:rPr>
        <w:rFonts w:hint="default"/>
      </w:rPr>
    </w:lvl>
  </w:abstractNum>
  <w:abstractNum w:abstractNumId="5" w15:restartNumberingAfterBreak="0">
    <w:nsid w:val="116167E1"/>
    <w:multiLevelType w:val="hybridMultilevel"/>
    <w:tmpl w:val="E62A98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5470589"/>
    <w:multiLevelType w:val="multilevel"/>
    <w:tmpl w:val="568249CE"/>
    <w:lvl w:ilvl="0">
      <w:start w:val="1"/>
      <w:numFmt w:val="decimal"/>
      <w:lvlText w:val="%1.0"/>
      <w:lvlJc w:val="left"/>
      <w:pPr>
        <w:ind w:left="720" w:hanging="720"/>
      </w:pPr>
      <w:rPr>
        <w:rFonts w:hint="default"/>
      </w:rPr>
    </w:lvl>
    <w:lvl w:ilvl="1">
      <w:start w:val="1"/>
      <w:numFmt w:val="decimal"/>
      <w:pStyle w:val="ListParagraph"/>
      <w:lvlText w:val="%1.%2"/>
      <w:lvlJc w:val="left"/>
      <w:pPr>
        <w:ind w:left="720" w:hanging="720"/>
      </w:pPr>
      <w:rPr>
        <w:rFonts w:hint="default"/>
        <w:b w:val="0"/>
      </w:rPr>
    </w:lvl>
    <w:lvl w:ilvl="2">
      <w:start w:val="1"/>
      <w:numFmt w:val="decimal"/>
      <w:lvlText w:val="%1.%2.%3"/>
      <w:lvlJc w:val="left"/>
      <w:pPr>
        <w:ind w:left="2520" w:hanging="1080"/>
      </w:pPr>
      <w:rPr>
        <w:rFonts w:hint="default"/>
      </w:rPr>
    </w:lvl>
    <w:lvl w:ilvl="3">
      <w:start w:val="1"/>
      <w:numFmt w:val="decimal"/>
      <w:lvlText w:val="%1.%2.%3.%4"/>
      <w:lvlJc w:val="left"/>
      <w:pPr>
        <w:ind w:left="3600" w:hanging="1440"/>
      </w:pPr>
      <w:rPr>
        <w:rFonts w:hint="default"/>
      </w:rPr>
    </w:lvl>
    <w:lvl w:ilvl="4">
      <w:start w:val="1"/>
      <w:numFmt w:val="decimal"/>
      <w:lvlText w:val="%1.%2.%3.%4.%5"/>
      <w:lvlJc w:val="left"/>
      <w:pPr>
        <w:ind w:left="4680" w:hanging="1800"/>
      </w:pPr>
      <w:rPr>
        <w:rFonts w:hint="default"/>
      </w:rPr>
    </w:lvl>
    <w:lvl w:ilvl="5">
      <w:start w:val="1"/>
      <w:numFmt w:val="decimal"/>
      <w:lvlText w:val="%1.%2.%3.%4.%5.%6"/>
      <w:lvlJc w:val="left"/>
      <w:pPr>
        <w:ind w:left="5760" w:hanging="2160"/>
      </w:pPr>
      <w:rPr>
        <w:rFonts w:hint="default"/>
      </w:rPr>
    </w:lvl>
    <w:lvl w:ilvl="6">
      <w:start w:val="1"/>
      <w:numFmt w:val="decimal"/>
      <w:lvlText w:val="%1.%2.%3.%4.%5.%6.%7"/>
      <w:lvlJc w:val="left"/>
      <w:pPr>
        <w:ind w:left="6840" w:hanging="2520"/>
      </w:pPr>
      <w:rPr>
        <w:rFonts w:hint="default"/>
      </w:rPr>
    </w:lvl>
    <w:lvl w:ilvl="7">
      <w:start w:val="1"/>
      <w:numFmt w:val="decimal"/>
      <w:lvlText w:val="%1.%2.%3.%4.%5.%6.%7.%8"/>
      <w:lvlJc w:val="left"/>
      <w:pPr>
        <w:ind w:left="7920" w:hanging="2880"/>
      </w:pPr>
      <w:rPr>
        <w:rFonts w:hint="default"/>
      </w:rPr>
    </w:lvl>
    <w:lvl w:ilvl="8">
      <w:start w:val="1"/>
      <w:numFmt w:val="decimal"/>
      <w:lvlText w:val="%1.%2.%3.%4.%5.%6.%7.%8.%9"/>
      <w:lvlJc w:val="left"/>
      <w:pPr>
        <w:ind w:left="9000" w:hanging="3240"/>
      </w:pPr>
      <w:rPr>
        <w:rFonts w:hint="default"/>
      </w:rPr>
    </w:lvl>
  </w:abstractNum>
  <w:abstractNum w:abstractNumId="7" w15:restartNumberingAfterBreak="0">
    <w:nsid w:val="1F384ED7"/>
    <w:multiLevelType w:val="hybridMultilevel"/>
    <w:tmpl w:val="A6349F1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2381571D"/>
    <w:multiLevelType w:val="hybridMultilevel"/>
    <w:tmpl w:val="7102EB22"/>
    <w:lvl w:ilvl="0" w:tplc="08090001">
      <w:start w:val="1"/>
      <w:numFmt w:val="bullet"/>
      <w:lvlText w:val=""/>
      <w:lvlJc w:val="left"/>
      <w:pPr>
        <w:ind w:left="1491" w:hanging="360"/>
      </w:pPr>
      <w:rPr>
        <w:rFonts w:ascii="Symbol" w:hAnsi="Symbol" w:hint="default"/>
      </w:rPr>
    </w:lvl>
    <w:lvl w:ilvl="1" w:tplc="08090003" w:tentative="1">
      <w:start w:val="1"/>
      <w:numFmt w:val="bullet"/>
      <w:lvlText w:val="o"/>
      <w:lvlJc w:val="left"/>
      <w:pPr>
        <w:ind w:left="2211" w:hanging="360"/>
      </w:pPr>
      <w:rPr>
        <w:rFonts w:ascii="Courier New" w:hAnsi="Courier New" w:cs="Courier New" w:hint="default"/>
      </w:rPr>
    </w:lvl>
    <w:lvl w:ilvl="2" w:tplc="08090005" w:tentative="1">
      <w:start w:val="1"/>
      <w:numFmt w:val="bullet"/>
      <w:lvlText w:val=""/>
      <w:lvlJc w:val="left"/>
      <w:pPr>
        <w:ind w:left="2931" w:hanging="360"/>
      </w:pPr>
      <w:rPr>
        <w:rFonts w:ascii="Wingdings" w:hAnsi="Wingdings" w:hint="default"/>
      </w:rPr>
    </w:lvl>
    <w:lvl w:ilvl="3" w:tplc="08090001" w:tentative="1">
      <w:start w:val="1"/>
      <w:numFmt w:val="bullet"/>
      <w:lvlText w:val=""/>
      <w:lvlJc w:val="left"/>
      <w:pPr>
        <w:ind w:left="3651" w:hanging="360"/>
      </w:pPr>
      <w:rPr>
        <w:rFonts w:ascii="Symbol" w:hAnsi="Symbol" w:hint="default"/>
      </w:rPr>
    </w:lvl>
    <w:lvl w:ilvl="4" w:tplc="08090003" w:tentative="1">
      <w:start w:val="1"/>
      <w:numFmt w:val="bullet"/>
      <w:lvlText w:val="o"/>
      <w:lvlJc w:val="left"/>
      <w:pPr>
        <w:ind w:left="4371" w:hanging="360"/>
      </w:pPr>
      <w:rPr>
        <w:rFonts w:ascii="Courier New" w:hAnsi="Courier New" w:cs="Courier New" w:hint="default"/>
      </w:rPr>
    </w:lvl>
    <w:lvl w:ilvl="5" w:tplc="08090005" w:tentative="1">
      <w:start w:val="1"/>
      <w:numFmt w:val="bullet"/>
      <w:lvlText w:val=""/>
      <w:lvlJc w:val="left"/>
      <w:pPr>
        <w:ind w:left="5091" w:hanging="360"/>
      </w:pPr>
      <w:rPr>
        <w:rFonts w:ascii="Wingdings" w:hAnsi="Wingdings" w:hint="default"/>
      </w:rPr>
    </w:lvl>
    <w:lvl w:ilvl="6" w:tplc="08090001" w:tentative="1">
      <w:start w:val="1"/>
      <w:numFmt w:val="bullet"/>
      <w:lvlText w:val=""/>
      <w:lvlJc w:val="left"/>
      <w:pPr>
        <w:ind w:left="5811" w:hanging="360"/>
      </w:pPr>
      <w:rPr>
        <w:rFonts w:ascii="Symbol" w:hAnsi="Symbol" w:hint="default"/>
      </w:rPr>
    </w:lvl>
    <w:lvl w:ilvl="7" w:tplc="08090003" w:tentative="1">
      <w:start w:val="1"/>
      <w:numFmt w:val="bullet"/>
      <w:lvlText w:val="o"/>
      <w:lvlJc w:val="left"/>
      <w:pPr>
        <w:ind w:left="6531" w:hanging="360"/>
      </w:pPr>
      <w:rPr>
        <w:rFonts w:ascii="Courier New" w:hAnsi="Courier New" w:cs="Courier New" w:hint="default"/>
      </w:rPr>
    </w:lvl>
    <w:lvl w:ilvl="8" w:tplc="08090005" w:tentative="1">
      <w:start w:val="1"/>
      <w:numFmt w:val="bullet"/>
      <w:lvlText w:val=""/>
      <w:lvlJc w:val="left"/>
      <w:pPr>
        <w:ind w:left="7251" w:hanging="360"/>
      </w:pPr>
      <w:rPr>
        <w:rFonts w:ascii="Wingdings" w:hAnsi="Wingdings" w:hint="default"/>
      </w:rPr>
    </w:lvl>
  </w:abstractNum>
  <w:abstractNum w:abstractNumId="9" w15:restartNumberingAfterBreak="0">
    <w:nsid w:val="25F863E1"/>
    <w:multiLevelType w:val="hybridMultilevel"/>
    <w:tmpl w:val="F5EC1D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DBB1F1B"/>
    <w:multiLevelType w:val="multilevel"/>
    <w:tmpl w:val="B01A6D16"/>
    <w:lvl w:ilvl="0">
      <w:start w:val="1"/>
      <w:numFmt w:val="decimal"/>
      <w:lvlText w:val="%1."/>
      <w:lvlJc w:val="left"/>
      <w:pPr>
        <w:ind w:left="720" w:hanging="360"/>
      </w:pPr>
      <w:rPr>
        <w:rFonts w:hint="default"/>
      </w:rPr>
    </w:lvl>
    <w:lvl w:ilv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1" w15:restartNumberingAfterBreak="0">
    <w:nsid w:val="37F278FA"/>
    <w:multiLevelType w:val="multilevel"/>
    <w:tmpl w:val="C206DDD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517544AC"/>
    <w:multiLevelType w:val="hybridMultilevel"/>
    <w:tmpl w:val="7040BCCC"/>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3" w15:restartNumberingAfterBreak="0">
    <w:nsid w:val="56540CE2"/>
    <w:multiLevelType w:val="hybridMultilevel"/>
    <w:tmpl w:val="C82A87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A7F4F5C"/>
    <w:multiLevelType w:val="hybridMultilevel"/>
    <w:tmpl w:val="718EBC1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1"/>
  </w:num>
  <w:num w:numId="2">
    <w:abstractNumId w:val="14"/>
  </w:num>
  <w:num w:numId="3">
    <w:abstractNumId w:val="6"/>
  </w:num>
  <w:num w:numId="4">
    <w:abstractNumId w:val="4"/>
  </w:num>
  <w:num w:numId="5">
    <w:abstractNumId w:val="1"/>
  </w:num>
  <w:num w:numId="6">
    <w:abstractNumId w:val="9"/>
  </w:num>
  <w:num w:numId="7">
    <w:abstractNumId w:val="13"/>
  </w:num>
  <w:num w:numId="8">
    <w:abstractNumId w:val="2"/>
  </w:num>
  <w:num w:numId="9">
    <w:abstractNumId w:val="6"/>
  </w:num>
  <w:num w:numId="10">
    <w:abstractNumId w:val="10"/>
  </w:num>
  <w:num w:numId="11">
    <w:abstractNumId w:val="6"/>
  </w:num>
  <w:num w:numId="12">
    <w:abstractNumId w:val="6"/>
  </w:num>
  <w:num w:numId="13">
    <w:abstractNumId w:val="6"/>
  </w:num>
  <w:num w:numId="14">
    <w:abstractNumId w:val="6"/>
  </w:num>
  <w:num w:numId="15">
    <w:abstractNumId w:val="6"/>
  </w:num>
  <w:num w:numId="16">
    <w:abstractNumId w:val="6"/>
  </w:num>
  <w:num w:numId="17">
    <w:abstractNumId w:val="6"/>
  </w:num>
  <w:num w:numId="18">
    <w:abstractNumId w:val="0"/>
  </w:num>
  <w:num w:numId="19">
    <w:abstractNumId w:val="6"/>
  </w:num>
  <w:num w:numId="20">
    <w:abstractNumId w:val="6"/>
  </w:num>
  <w:num w:numId="21">
    <w:abstractNumId w:val="6"/>
  </w:num>
  <w:num w:numId="22">
    <w:abstractNumId w:val="6"/>
  </w:num>
  <w:num w:numId="23">
    <w:abstractNumId w:val="6"/>
  </w:num>
  <w:num w:numId="24">
    <w:abstractNumId w:val="6"/>
  </w:num>
  <w:num w:numId="25">
    <w:abstractNumId w:val="6"/>
  </w:num>
  <w:num w:numId="26">
    <w:abstractNumId w:val="6"/>
  </w:num>
  <w:num w:numId="27">
    <w:abstractNumId w:val="6"/>
  </w:num>
  <w:num w:numId="28">
    <w:abstractNumId w:val="6"/>
  </w:num>
  <w:num w:numId="29">
    <w:abstractNumId w:val="11"/>
  </w:num>
  <w:num w:numId="30">
    <w:abstractNumId w:val="6"/>
  </w:num>
  <w:num w:numId="31">
    <w:abstractNumId w:val="6"/>
  </w:num>
  <w:num w:numId="32">
    <w:abstractNumId w:val="6"/>
  </w:num>
  <w:num w:numId="33">
    <w:abstractNumId w:val="6"/>
  </w:num>
  <w:num w:numId="34">
    <w:abstractNumId w:val="6"/>
  </w:num>
  <w:num w:numId="35">
    <w:abstractNumId w:val="6"/>
  </w:num>
  <w:num w:numId="36">
    <w:abstractNumId w:val="6"/>
  </w:num>
  <w:num w:numId="37">
    <w:abstractNumId w:val="6"/>
  </w:num>
  <w:num w:numId="38">
    <w:abstractNumId w:val="6"/>
  </w:num>
  <w:num w:numId="39">
    <w:abstractNumId w:val="6"/>
  </w:num>
  <w:num w:numId="40">
    <w:abstractNumId w:val="6"/>
  </w:num>
  <w:num w:numId="41">
    <w:abstractNumId w:val="6"/>
  </w:num>
  <w:num w:numId="42">
    <w:abstractNumId w:val="6"/>
  </w:num>
  <w:num w:numId="43">
    <w:abstractNumId w:val="6"/>
  </w:num>
  <w:num w:numId="44">
    <w:abstractNumId w:val="6"/>
  </w:num>
  <w:num w:numId="45">
    <w:abstractNumId w:val="6"/>
  </w:num>
  <w:num w:numId="46">
    <w:abstractNumId w:val="6"/>
  </w:num>
  <w:num w:numId="47">
    <w:abstractNumId w:val="6"/>
  </w:num>
  <w:num w:numId="48">
    <w:abstractNumId w:val="6"/>
  </w:num>
  <w:num w:numId="49">
    <w:abstractNumId w:val="6"/>
  </w:num>
  <w:num w:numId="50">
    <w:abstractNumId w:val="6"/>
  </w:num>
  <w:num w:numId="51">
    <w:abstractNumId w:val="6"/>
  </w:num>
  <w:num w:numId="52">
    <w:abstractNumId w:val="6"/>
  </w:num>
  <w:num w:numId="53">
    <w:abstractNumId w:val="6"/>
  </w:num>
  <w:num w:numId="54">
    <w:abstractNumId w:val="6"/>
  </w:num>
  <w:num w:numId="55">
    <w:abstractNumId w:val="7"/>
  </w:num>
  <w:num w:numId="56">
    <w:abstractNumId w:val="12"/>
  </w:num>
  <w:num w:numId="57">
    <w:abstractNumId w:val="5"/>
  </w:num>
  <w:num w:numId="58">
    <w:abstractNumId w:val="8"/>
  </w:num>
  <w:num w:numId="59">
    <w:abstractNumId w:val="6"/>
  </w:num>
  <w:num w:numId="60">
    <w:abstractNumId w:val="6"/>
  </w:num>
  <w:num w:numId="61">
    <w:abstractNumId w:val="6"/>
  </w:num>
  <w:num w:numId="62">
    <w:abstractNumId w:val="6"/>
  </w:num>
  <w:num w:numId="63">
    <w:abstractNumId w:val="6"/>
  </w:num>
  <w:num w:numId="64">
    <w:abstractNumId w:val="6"/>
  </w:num>
  <w:num w:numId="65">
    <w:abstractNumId w:val="6"/>
  </w:num>
  <w:num w:numId="66">
    <w:abstractNumId w:val="6"/>
  </w:num>
  <w:num w:numId="67">
    <w:abstractNumId w:val="6"/>
  </w:num>
  <w:num w:numId="68">
    <w:abstractNumId w:val="6"/>
  </w:num>
  <w:num w:numId="69">
    <w:abstractNumId w:val="6"/>
  </w:num>
  <w:num w:numId="70">
    <w:abstractNumId w:val="6"/>
  </w:num>
  <w:num w:numId="71">
    <w:abstractNumId w:val="6"/>
  </w:num>
  <w:num w:numId="72">
    <w:abstractNumId w:val="6"/>
  </w:num>
  <w:num w:numId="73">
    <w:abstractNumId w:val="6"/>
  </w:num>
  <w:num w:numId="74">
    <w:abstractNumId w:val="6"/>
  </w:num>
  <w:num w:numId="75">
    <w:abstractNumId w:val="6"/>
  </w:num>
  <w:num w:numId="76">
    <w:abstractNumId w:val="3"/>
  </w:num>
  <w:num w:numId="77">
    <w:abstractNumId w:val="6"/>
  </w:num>
  <w:num w:numId="7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3"/>
  </w:num>
  <w:num w:numId="80">
    <w:abstractNumId w:val="6"/>
  </w:num>
  <w:num w:numId="81">
    <w:abstractNumId w:val="6"/>
  </w:num>
  <w:num w:numId="82">
    <w:abstractNumId w:val="6"/>
  </w:num>
  <w:num w:numId="83">
    <w:abstractNumId w:val="6"/>
  </w:num>
  <w:num w:numId="84">
    <w:abstractNumId w:val="6"/>
  </w:num>
  <w:numIdMacAtCleanup w:val="7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270C"/>
    <w:rsid w:val="000013EA"/>
    <w:rsid w:val="00002218"/>
    <w:rsid w:val="00003791"/>
    <w:rsid w:val="00012AA3"/>
    <w:rsid w:val="000144E1"/>
    <w:rsid w:val="000152C1"/>
    <w:rsid w:val="000163FD"/>
    <w:rsid w:val="0002063D"/>
    <w:rsid w:val="0002115F"/>
    <w:rsid w:val="00021A4C"/>
    <w:rsid w:val="00026212"/>
    <w:rsid w:val="00033143"/>
    <w:rsid w:val="000341F0"/>
    <w:rsid w:val="00035FA4"/>
    <w:rsid w:val="000364A0"/>
    <w:rsid w:val="0004153C"/>
    <w:rsid w:val="00041C79"/>
    <w:rsid w:val="00043952"/>
    <w:rsid w:val="000439E3"/>
    <w:rsid w:val="0004505B"/>
    <w:rsid w:val="00046811"/>
    <w:rsid w:val="00050414"/>
    <w:rsid w:val="00050C0F"/>
    <w:rsid w:val="000519F2"/>
    <w:rsid w:val="00051D69"/>
    <w:rsid w:val="0005219C"/>
    <w:rsid w:val="00054F3A"/>
    <w:rsid w:val="000572F9"/>
    <w:rsid w:val="0006161C"/>
    <w:rsid w:val="0006491E"/>
    <w:rsid w:val="0006499C"/>
    <w:rsid w:val="00064CF7"/>
    <w:rsid w:val="00065113"/>
    <w:rsid w:val="00065BFE"/>
    <w:rsid w:val="0006686D"/>
    <w:rsid w:val="0008009F"/>
    <w:rsid w:val="0008051A"/>
    <w:rsid w:val="000805D7"/>
    <w:rsid w:val="00083DC8"/>
    <w:rsid w:val="0008675B"/>
    <w:rsid w:val="00087B7C"/>
    <w:rsid w:val="00091CBD"/>
    <w:rsid w:val="0009361B"/>
    <w:rsid w:val="00095240"/>
    <w:rsid w:val="0009626A"/>
    <w:rsid w:val="0009721C"/>
    <w:rsid w:val="00097F7F"/>
    <w:rsid w:val="000A09E7"/>
    <w:rsid w:val="000A1978"/>
    <w:rsid w:val="000A1FA6"/>
    <w:rsid w:val="000A218D"/>
    <w:rsid w:val="000B11B7"/>
    <w:rsid w:val="000B466E"/>
    <w:rsid w:val="000B56EA"/>
    <w:rsid w:val="000C1A8C"/>
    <w:rsid w:val="000C3075"/>
    <w:rsid w:val="000C411D"/>
    <w:rsid w:val="000C4205"/>
    <w:rsid w:val="000C5346"/>
    <w:rsid w:val="000C5372"/>
    <w:rsid w:val="000C561D"/>
    <w:rsid w:val="000C5BBD"/>
    <w:rsid w:val="000C5EF7"/>
    <w:rsid w:val="000D01ED"/>
    <w:rsid w:val="000D2959"/>
    <w:rsid w:val="000D4DF2"/>
    <w:rsid w:val="000D7F91"/>
    <w:rsid w:val="000F1CD9"/>
    <w:rsid w:val="001005F8"/>
    <w:rsid w:val="00100704"/>
    <w:rsid w:val="00101FAE"/>
    <w:rsid w:val="001028DA"/>
    <w:rsid w:val="001070B7"/>
    <w:rsid w:val="00111E78"/>
    <w:rsid w:val="00112F11"/>
    <w:rsid w:val="001208E4"/>
    <w:rsid w:val="00124A1A"/>
    <w:rsid w:val="00125A3B"/>
    <w:rsid w:val="00125E6B"/>
    <w:rsid w:val="00126AB0"/>
    <w:rsid w:val="00126EF6"/>
    <w:rsid w:val="0013094B"/>
    <w:rsid w:val="00130997"/>
    <w:rsid w:val="00134495"/>
    <w:rsid w:val="001366AA"/>
    <w:rsid w:val="001374D7"/>
    <w:rsid w:val="0014760A"/>
    <w:rsid w:val="00155DE6"/>
    <w:rsid w:val="0016289B"/>
    <w:rsid w:val="001629CE"/>
    <w:rsid w:val="001642FC"/>
    <w:rsid w:val="001675C4"/>
    <w:rsid w:val="00167782"/>
    <w:rsid w:val="00167874"/>
    <w:rsid w:val="00170359"/>
    <w:rsid w:val="00175D43"/>
    <w:rsid w:val="001837BD"/>
    <w:rsid w:val="00184AE9"/>
    <w:rsid w:val="00192F2F"/>
    <w:rsid w:val="00195557"/>
    <w:rsid w:val="00196858"/>
    <w:rsid w:val="001A06EA"/>
    <w:rsid w:val="001A2D5F"/>
    <w:rsid w:val="001A3A9C"/>
    <w:rsid w:val="001A4A77"/>
    <w:rsid w:val="001A6389"/>
    <w:rsid w:val="001A6715"/>
    <w:rsid w:val="001B00F0"/>
    <w:rsid w:val="001B0914"/>
    <w:rsid w:val="001B1C5E"/>
    <w:rsid w:val="001B2D4A"/>
    <w:rsid w:val="001B6F6F"/>
    <w:rsid w:val="001B78AB"/>
    <w:rsid w:val="001C58D3"/>
    <w:rsid w:val="001C63CD"/>
    <w:rsid w:val="001C7A1C"/>
    <w:rsid w:val="001D1335"/>
    <w:rsid w:val="001D20F1"/>
    <w:rsid w:val="001D2BAB"/>
    <w:rsid w:val="001D3CCD"/>
    <w:rsid w:val="001D6279"/>
    <w:rsid w:val="001D7C5A"/>
    <w:rsid w:val="001D7FC2"/>
    <w:rsid w:val="001E3F1F"/>
    <w:rsid w:val="001F57E8"/>
    <w:rsid w:val="001F64CD"/>
    <w:rsid w:val="001F6D8B"/>
    <w:rsid w:val="002001B4"/>
    <w:rsid w:val="00201951"/>
    <w:rsid w:val="00203BB2"/>
    <w:rsid w:val="00211210"/>
    <w:rsid w:val="00212863"/>
    <w:rsid w:val="0021520B"/>
    <w:rsid w:val="00215F46"/>
    <w:rsid w:val="00216CBA"/>
    <w:rsid w:val="00225C13"/>
    <w:rsid w:val="00227B6B"/>
    <w:rsid w:val="00231345"/>
    <w:rsid w:val="00232242"/>
    <w:rsid w:val="00232F70"/>
    <w:rsid w:val="00237821"/>
    <w:rsid w:val="0024053D"/>
    <w:rsid w:val="002406AF"/>
    <w:rsid w:val="00241098"/>
    <w:rsid w:val="00245843"/>
    <w:rsid w:val="00246417"/>
    <w:rsid w:val="002518D6"/>
    <w:rsid w:val="002521AA"/>
    <w:rsid w:val="00253D68"/>
    <w:rsid w:val="002564A1"/>
    <w:rsid w:val="00256637"/>
    <w:rsid w:val="00261239"/>
    <w:rsid w:val="00263293"/>
    <w:rsid w:val="00265DE0"/>
    <w:rsid w:val="00266EAE"/>
    <w:rsid w:val="0027400A"/>
    <w:rsid w:val="00275121"/>
    <w:rsid w:val="002760D0"/>
    <w:rsid w:val="00277173"/>
    <w:rsid w:val="00277973"/>
    <w:rsid w:val="00280818"/>
    <w:rsid w:val="00281E1D"/>
    <w:rsid w:val="00283D18"/>
    <w:rsid w:val="002854F0"/>
    <w:rsid w:val="00285558"/>
    <w:rsid w:val="0028731A"/>
    <w:rsid w:val="0029152F"/>
    <w:rsid w:val="00293D70"/>
    <w:rsid w:val="00293FF6"/>
    <w:rsid w:val="00294A54"/>
    <w:rsid w:val="002A1B83"/>
    <w:rsid w:val="002A4BB5"/>
    <w:rsid w:val="002A538C"/>
    <w:rsid w:val="002A6965"/>
    <w:rsid w:val="002B2765"/>
    <w:rsid w:val="002B2B4A"/>
    <w:rsid w:val="002B45E9"/>
    <w:rsid w:val="002B4FBD"/>
    <w:rsid w:val="002B6C0B"/>
    <w:rsid w:val="002C1C15"/>
    <w:rsid w:val="002C75D4"/>
    <w:rsid w:val="002D102D"/>
    <w:rsid w:val="002D70BB"/>
    <w:rsid w:val="002D76A9"/>
    <w:rsid w:val="002E1414"/>
    <w:rsid w:val="002E208F"/>
    <w:rsid w:val="002E2D37"/>
    <w:rsid w:val="002E3407"/>
    <w:rsid w:val="002E523D"/>
    <w:rsid w:val="002E59FB"/>
    <w:rsid w:val="002F3DB2"/>
    <w:rsid w:val="002F451F"/>
    <w:rsid w:val="002F4869"/>
    <w:rsid w:val="002F52C4"/>
    <w:rsid w:val="002F6678"/>
    <w:rsid w:val="002F679A"/>
    <w:rsid w:val="002F70F3"/>
    <w:rsid w:val="002F7915"/>
    <w:rsid w:val="003000C4"/>
    <w:rsid w:val="003158D6"/>
    <w:rsid w:val="003163EE"/>
    <w:rsid w:val="00317B83"/>
    <w:rsid w:val="003206B9"/>
    <w:rsid w:val="00320B15"/>
    <w:rsid w:val="00322C75"/>
    <w:rsid w:val="003248B4"/>
    <w:rsid w:val="00324FFB"/>
    <w:rsid w:val="00332E8D"/>
    <w:rsid w:val="003453BA"/>
    <w:rsid w:val="00350905"/>
    <w:rsid w:val="003618C3"/>
    <w:rsid w:val="00364B8A"/>
    <w:rsid w:val="0036705F"/>
    <w:rsid w:val="00367C3D"/>
    <w:rsid w:val="003703A0"/>
    <w:rsid w:val="00370F27"/>
    <w:rsid w:val="0037100E"/>
    <w:rsid w:val="0037583F"/>
    <w:rsid w:val="00375C83"/>
    <w:rsid w:val="00380100"/>
    <w:rsid w:val="00380224"/>
    <w:rsid w:val="00380C6D"/>
    <w:rsid w:val="0038238F"/>
    <w:rsid w:val="0038363A"/>
    <w:rsid w:val="00386AB7"/>
    <w:rsid w:val="003871C7"/>
    <w:rsid w:val="00393FD1"/>
    <w:rsid w:val="00394B40"/>
    <w:rsid w:val="00395A7E"/>
    <w:rsid w:val="00395D41"/>
    <w:rsid w:val="00397631"/>
    <w:rsid w:val="003A0B5E"/>
    <w:rsid w:val="003A22B4"/>
    <w:rsid w:val="003A4490"/>
    <w:rsid w:val="003A49A6"/>
    <w:rsid w:val="003B02FF"/>
    <w:rsid w:val="003B2CF0"/>
    <w:rsid w:val="003B3D1D"/>
    <w:rsid w:val="003B5BB3"/>
    <w:rsid w:val="003C0BAB"/>
    <w:rsid w:val="003C3947"/>
    <w:rsid w:val="003D096E"/>
    <w:rsid w:val="003D5285"/>
    <w:rsid w:val="003D7E6D"/>
    <w:rsid w:val="003E32EC"/>
    <w:rsid w:val="003E5262"/>
    <w:rsid w:val="003E5CB0"/>
    <w:rsid w:val="003E627B"/>
    <w:rsid w:val="003E7204"/>
    <w:rsid w:val="003F1E76"/>
    <w:rsid w:val="003F2C5F"/>
    <w:rsid w:val="003F414E"/>
    <w:rsid w:val="003F6F55"/>
    <w:rsid w:val="003F7D9F"/>
    <w:rsid w:val="00402F0F"/>
    <w:rsid w:val="0040332A"/>
    <w:rsid w:val="00405CEB"/>
    <w:rsid w:val="00406EEA"/>
    <w:rsid w:val="00410681"/>
    <w:rsid w:val="00410E7C"/>
    <w:rsid w:val="00411D09"/>
    <w:rsid w:val="00412DA6"/>
    <w:rsid w:val="00412EED"/>
    <w:rsid w:val="004146FF"/>
    <w:rsid w:val="00416F82"/>
    <w:rsid w:val="004213FC"/>
    <w:rsid w:val="00421784"/>
    <w:rsid w:val="00422742"/>
    <w:rsid w:val="00422A86"/>
    <w:rsid w:val="0042311E"/>
    <w:rsid w:val="00424CD0"/>
    <w:rsid w:val="0042608A"/>
    <w:rsid w:val="00427F72"/>
    <w:rsid w:val="0043679E"/>
    <w:rsid w:val="00442DCF"/>
    <w:rsid w:val="00443708"/>
    <w:rsid w:val="00445A1B"/>
    <w:rsid w:val="004470D8"/>
    <w:rsid w:val="00450CE1"/>
    <w:rsid w:val="00451698"/>
    <w:rsid w:val="004520F2"/>
    <w:rsid w:val="004530DE"/>
    <w:rsid w:val="00457616"/>
    <w:rsid w:val="00465C0F"/>
    <w:rsid w:val="00467846"/>
    <w:rsid w:val="004679B6"/>
    <w:rsid w:val="0047127E"/>
    <w:rsid w:val="00472973"/>
    <w:rsid w:val="0047327F"/>
    <w:rsid w:val="0047372B"/>
    <w:rsid w:val="00483C46"/>
    <w:rsid w:val="00485914"/>
    <w:rsid w:val="004900D6"/>
    <w:rsid w:val="0049158A"/>
    <w:rsid w:val="00492C64"/>
    <w:rsid w:val="00494C13"/>
    <w:rsid w:val="00496A61"/>
    <w:rsid w:val="004A266D"/>
    <w:rsid w:val="004A279C"/>
    <w:rsid w:val="004A36F1"/>
    <w:rsid w:val="004A44EE"/>
    <w:rsid w:val="004A6FB5"/>
    <w:rsid w:val="004A7934"/>
    <w:rsid w:val="004B4E52"/>
    <w:rsid w:val="004B6C94"/>
    <w:rsid w:val="004C29CF"/>
    <w:rsid w:val="004C3123"/>
    <w:rsid w:val="004D04D7"/>
    <w:rsid w:val="004D27FC"/>
    <w:rsid w:val="004D298D"/>
    <w:rsid w:val="004D3689"/>
    <w:rsid w:val="004D59D0"/>
    <w:rsid w:val="004D6838"/>
    <w:rsid w:val="004E19C3"/>
    <w:rsid w:val="004E1A86"/>
    <w:rsid w:val="004E24C6"/>
    <w:rsid w:val="004E40B1"/>
    <w:rsid w:val="004E5B87"/>
    <w:rsid w:val="004F06CB"/>
    <w:rsid w:val="004F664C"/>
    <w:rsid w:val="0050078B"/>
    <w:rsid w:val="00505B9B"/>
    <w:rsid w:val="00510886"/>
    <w:rsid w:val="00513ECC"/>
    <w:rsid w:val="0051463F"/>
    <w:rsid w:val="00514D03"/>
    <w:rsid w:val="005170BB"/>
    <w:rsid w:val="00520089"/>
    <w:rsid w:val="00522587"/>
    <w:rsid w:val="00523890"/>
    <w:rsid w:val="005242B7"/>
    <w:rsid w:val="005328C9"/>
    <w:rsid w:val="005366D0"/>
    <w:rsid w:val="00540E2D"/>
    <w:rsid w:val="0054134D"/>
    <w:rsid w:val="00544523"/>
    <w:rsid w:val="00545659"/>
    <w:rsid w:val="00545A7A"/>
    <w:rsid w:val="00545BD2"/>
    <w:rsid w:val="0054654F"/>
    <w:rsid w:val="00546BD3"/>
    <w:rsid w:val="00552C6B"/>
    <w:rsid w:val="00555577"/>
    <w:rsid w:val="005577C5"/>
    <w:rsid w:val="005624F6"/>
    <w:rsid w:val="00565B6D"/>
    <w:rsid w:val="005660EA"/>
    <w:rsid w:val="005702DD"/>
    <w:rsid w:val="00575A54"/>
    <w:rsid w:val="005761E7"/>
    <w:rsid w:val="005801A7"/>
    <w:rsid w:val="005802DF"/>
    <w:rsid w:val="00580930"/>
    <w:rsid w:val="005818AA"/>
    <w:rsid w:val="005842BD"/>
    <w:rsid w:val="00590178"/>
    <w:rsid w:val="00593702"/>
    <w:rsid w:val="00593A34"/>
    <w:rsid w:val="00596BF6"/>
    <w:rsid w:val="005A0569"/>
    <w:rsid w:val="005A0A7B"/>
    <w:rsid w:val="005A58D8"/>
    <w:rsid w:val="005B15AD"/>
    <w:rsid w:val="005B2410"/>
    <w:rsid w:val="005B2CB7"/>
    <w:rsid w:val="005B7AF7"/>
    <w:rsid w:val="005C0D07"/>
    <w:rsid w:val="005C2344"/>
    <w:rsid w:val="005C2438"/>
    <w:rsid w:val="005C426E"/>
    <w:rsid w:val="005C67D0"/>
    <w:rsid w:val="005C7FD6"/>
    <w:rsid w:val="005D2C33"/>
    <w:rsid w:val="005D31AE"/>
    <w:rsid w:val="005D5027"/>
    <w:rsid w:val="005E1734"/>
    <w:rsid w:val="005E24FE"/>
    <w:rsid w:val="005E2B97"/>
    <w:rsid w:val="005E5A28"/>
    <w:rsid w:val="005E5C8C"/>
    <w:rsid w:val="005F05A6"/>
    <w:rsid w:val="005F068D"/>
    <w:rsid w:val="005F18B2"/>
    <w:rsid w:val="005F3F74"/>
    <w:rsid w:val="006006DD"/>
    <w:rsid w:val="006016E4"/>
    <w:rsid w:val="0060401A"/>
    <w:rsid w:val="00607F47"/>
    <w:rsid w:val="0061102F"/>
    <w:rsid w:val="00614BE5"/>
    <w:rsid w:val="006154A3"/>
    <w:rsid w:val="00616C66"/>
    <w:rsid w:val="0062661C"/>
    <w:rsid w:val="00626970"/>
    <w:rsid w:val="006270A1"/>
    <w:rsid w:val="00630A8E"/>
    <w:rsid w:val="00630FDD"/>
    <w:rsid w:val="00631E62"/>
    <w:rsid w:val="006346D9"/>
    <w:rsid w:val="00634D74"/>
    <w:rsid w:val="006357C2"/>
    <w:rsid w:val="006417B8"/>
    <w:rsid w:val="0064273D"/>
    <w:rsid w:val="00646A0F"/>
    <w:rsid w:val="0065091C"/>
    <w:rsid w:val="00651EFF"/>
    <w:rsid w:val="006534D0"/>
    <w:rsid w:val="00653E9A"/>
    <w:rsid w:val="006569A2"/>
    <w:rsid w:val="00660A2A"/>
    <w:rsid w:val="00660D72"/>
    <w:rsid w:val="00662812"/>
    <w:rsid w:val="00662A18"/>
    <w:rsid w:val="00665BF4"/>
    <w:rsid w:val="0067108D"/>
    <w:rsid w:val="00672BC7"/>
    <w:rsid w:val="00673132"/>
    <w:rsid w:val="00673981"/>
    <w:rsid w:val="00674069"/>
    <w:rsid w:val="00674667"/>
    <w:rsid w:val="0067619C"/>
    <w:rsid w:val="006765C7"/>
    <w:rsid w:val="006800F1"/>
    <w:rsid w:val="00687A55"/>
    <w:rsid w:val="00687FE6"/>
    <w:rsid w:val="00690A55"/>
    <w:rsid w:val="00692482"/>
    <w:rsid w:val="006928BB"/>
    <w:rsid w:val="00694B89"/>
    <w:rsid w:val="00694DFE"/>
    <w:rsid w:val="00696580"/>
    <w:rsid w:val="00696AA6"/>
    <w:rsid w:val="0069709D"/>
    <w:rsid w:val="006972F9"/>
    <w:rsid w:val="006A354A"/>
    <w:rsid w:val="006A5313"/>
    <w:rsid w:val="006B235E"/>
    <w:rsid w:val="006B4832"/>
    <w:rsid w:val="006C1CA8"/>
    <w:rsid w:val="006C2948"/>
    <w:rsid w:val="006C3CF4"/>
    <w:rsid w:val="006C5274"/>
    <w:rsid w:val="006C74FE"/>
    <w:rsid w:val="006D063D"/>
    <w:rsid w:val="006D1A4A"/>
    <w:rsid w:val="006D68ED"/>
    <w:rsid w:val="006D7668"/>
    <w:rsid w:val="006D7D5A"/>
    <w:rsid w:val="006E4E7B"/>
    <w:rsid w:val="006F002D"/>
    <w:rsid w:val="006F1066"/>
    <w:rsid w:val="006F635B"/>
    <w:rsid w:val="006F7033"/>
    <w:rsid w:val="006F760B"/>
    <w:rsid w:val="00700A62"/>
    <w:rsid w:val="007012B3"/>
    <w:rsid w:val="00701F68"/>
    <w:rsid w:val="00704ACE"/>
    <w:rsid w:val="00706DDA"/>
    <w:rsid w:val="0070767C"/>
    <w:rsid w:val="007115D3"/>
    <w:rsid w:val="00713636"/>
    <w:rsid w:val="00720367"/>
    <w:rsid w:val="00720B71"/>
    <w:rsid w:val="007213C6"/>
    <w:rsid w:val="00721EFA"/>
    <w:rsid w:val="00726BE6"/>
    <w:rsid w:val="007270D9"/>
    <w:rsid w:val="007274E6"/>
    <w:rsid w:val="00732838"/>
    <w:rsid w:val="00732AC2"/>
    <w:rsid w:val="007374E2"/>
    <w:rsid w:val="00740171"/>
    <w:rsid w:val="007401F2"/>
    <w:rsid w:val="007435C6"/>
    <w:rsid w:val="007436D1"/>
    <w:rsid w:val="00744D88"/>
    <w:rsid w:val="00747164"/>
    <w:rsid w:val="00750D87"/>
    <w:rsid w:val="0075517D"/>
    <w:rsid w:val="0075620F"/>
    <w:rsid w:val="00756C09"/>
    <w:rsid w:val="007672F3"/>
    <w:rsid w:val="0077517E"/>
    <w:rsid w:val="0077591F"/>
    <w:rsid w:val="007769BC"/>
    <w:rsid w:val="00782404"/>
    <w:rsid w:val="0078329A"/>
    <w:rsid w:val="00790A5B"/>
    <w:rsid w:val="0079134C"/>
    <w:rsid w:val="0079151E"/>
    <w:rsid w:val="0079202D"/>
    <w:rsid w:val="00792FA3"/>
    <w:rsid w:val="007938E7"/>
    <w:rsid w:val="007943C3"/>
    <w:rsid w:val="00796056"/>
    <w:rsid w:val="007A022C"/>
    <w:rsid w:val="007A1CA1"/>
    <w:rsid w:val="007A47FB"/>
    <w:rsid w:val="007A4D3A"/>
    <w:rsid w:val="007A6B30"/>
    <w:rsid w:val="007A7150"/>
    <w:rsid w:val="007B0E1B"/>
    <w:rsid w:val="007B330D"/>
    <w:rsid w:val="007B6BBA"/>
    <w:rsid w:val="007B7F1D"/>
    <w:rsid w:val="007C2091"/>
    <w:rsid w:val="007C2792"/>
    <w:rsid w:val="007C4FC9"/>
    <w:rsid w:val="007D0568"/>
    <w:rsid w:val="007D2105"/>
    <w:rsid w:val="007D524A"/>
    <w:rsid w:val="007D55BA"/>
    <w:rsid w:val="007D6733"/>
    <w:rsid w:val="007E12FE"/>
    <w:rsid w:val="007E3A68"/>
    <w:rsid w:val="007E40E4"/>
    <w:rsid w:val="007E4DB3"/>
    <w:rsid w:val="007E5A86"/>
    <w:rsid w:val="007E6BB9"/>
    <w:rsid w:val="007E767F"/>
    <w:rsid w:val="007F1392"/>
    <w:rsid w:val="007F2184"/>
    <w:rsid w:val="007F24FC"/>
    <w:rsid w:val="00800A4F"/>
    <w:rsid w:val="008027BC"/>
    <w:rsid w:val="00803BDB"/>
    <w:rsid w:val="008050D8"/>
    <w:rsid w:val="0080716B"/>
    <w:rsid w:val="00807895"/>
    <w:rsid w:val="00813412"/>
    <w:rsid w:val="00816F17"/>
    <w:rsid w:val="008207DF"/>
    <w:rsid w:val="00822CCC"/>
    <w:rsid w:val="00824A3E"/>
    <w:rsid w:val="00826F4E"/>
    <w:rsid w:val="0083002C"/>
    <w:rsid w:val="00844BA8"/>
    <w:rsid w:val="008504C5"/>
    <w:rsid w:val="00850741"/>
    <w:rsid w:val="00851EF6"/>
    <w:rsid w:val="00853C2E"/>
    <w:rsid w:val="0085421B"/>
    <w:rsid w:val="00855637"/>
    <w:rsid w:val="0085603B"/>
    <w:rsid w:val="00863AC5"/>
    <w:rsid w:val="008706D5"/>
    <w:rsid w:val="00872460"/>
    <w:rsid w:val="00875DE8"/>
    <w:rsid w:val="00875F0C"/>
    <w:rsid w:val="0087721C"/>
    <w:rsid w:val="0088247C"/>
    <w:rsid w:val="00883088"/>
    <w:rsid w:val="008851BB"/>
    <w:rsid w:val="0088565D"/>
    <w:rsid w:val="00886D9B"/>
    <w:rsid w:val="008966A2"/>
    <w:rsid w:val="008970F1"/>
    <w:rsid w:val="008A2A07"/>
    <w:rsid w:val="008A3D53"/>
    <w:rsid w:val="008A5A3B"/>
    <w:rsid w:val="008B150E"/>
    <w:rsid w:val="008B3D33"/>
    <w:rsid w:val="008B3EA5"/>
    <w:rsid w:val="008B442C"/>
    <w:rsid w:val="008C0919"/>
    <w:rsid w:val="008C426F"/>
    <w:rsid w:val="008C51DB"/>
    <w:rsid w:val="008C7085"/>
    <w:rsid w:val="008C751E"/>
    <w:rsid w:val="008C7B65"/>
    <w:rsid w:val="008D0E9A"/>
    <w:rsid w:val="008D2F0D"/>
    <w:rsid w:val="008D5CEC"/>
    <w:rsid w:val="008D77B5"/>
    <w:rsid w:val="008E0B0D"/>
    <w:rsid w:val="008E1424"/>
    <w:rsid w:val="008E38C4"/>
    <w:rsid w:val="008E4412"/>
    <w:rsid w:val="008E70D4"/>
    <w:rsid w:val="008F035E"/>
    <w:rsid w:val="008F14FE"/>
    <w:rsid w:val="008F21BE"/>
    <w:rsid w:val="008F329B"/>
    <w:rsid w:val="008F401A"/>
    <w:rsid w:val="00902614"/>
    <w:rsid w:val="00907636"/>
    <w:rsid w:val="00910442"/>
    <w:rsid w:val="009112CC"/>
    <w:rsid w:val="00921629"/>
    <w:rsid w:val="00923A1E"/>
    <w:rsid w:val="00925468"/>
    <w:rsid w:val="00930032"/>
    <w:rsid w:val="00935C5E"/>
    <w:rsid w:val="009430A1"/>
    <w:rsid w:val="00943EF2"/>
    <w:rsid w:val="009449FC"/>
    <w:rsid w:val="009463B2"/>
    <w:rsid w:val="009516BC"/>
    <w:rsid w:val="00952B99"/>
    <w:rsid w:val="00953526"/>
    <w:rsid w:val="0095459E"/>
    <w:rsid w:val="00957EB5"/>
    <w:rsid w:val="00966928"/>
    <w:rsid w:val="00967506"/>
    <w:rsid w:val="00967ED9"/>
    <w:rsid w:val="00973A5C"/>
    <w:rsid w:val="00973BB7"/>
    <w:rsid w:val="00974B8E"/>
    <w:rsid w:val="00974D22"/>
    <w:rsid w:val="00975E7B"/>
    <w:rsid w:val="009775D7"/>
    <w:rsid w:val="00981F06"/>
    <w:rsid w:val="00983762"/>
    <w:rsid w:val="009839EC"/>
    <w:rsid w:val="009843D6"/>
    <w:rsid w:val="00985450"/>
    <w:rsid w:val="00985A7B"/>
    <w:rsid w:val="00987925"/>
    <w:rsid w:val="00987932"/>
    <w:rsid w:val="00990069"/>
    <w:rsid w:val="00990B08"/>
    <w:rsid w:val="00991DC1"/>
    <w:rsid w:val="00996E32"/>
    <w:rsid w:val="009A14E0"/>
    <w:rsid w:val="009A4C33"/>
    <w:rsid w:val="009A62C5"/>
    <w:rsid w:val="009A74D5"/>
    <w:rsid w:val="009B0372"/>
    <w:rsid w:val="009B16AD"/>
    <w:rsid w:val="009C0C97"/>
    <w:rsid w:val="009C4274"/>
    <w:rsid w:val="009C6C2E"/>
    <w:rsid w:val="009D0E7B"/>
    <w:rsid w:val="009D3DA6"/>
    <w:rsid w:val="009D5449"/>
    <w:rsid w:val="009D7109"/>
    <w:rsid w:val="009D7138"/>
    <w:rsid w:val="009D7A9D"/>
    <w:rsid w:val="009E3D00"/>
    <w:rsid w:val="009E40F3"/>
    <w:rsid w:val="009E582F"/>
    <w:rsid w:val="009E6645"/>
    <w:rsid w:val="009F0549"/>
    <w:rsid w:val="009F0FA3"/>
    <w:rsid w:val="009F1474"/>
    <w:rsid w:val="009F22EB"/>
    <w:rsid w:val="009F5C10"/>
    <w:rsid w:val="009F7BC9"/>
    <w:rsid w:val="00A00162"/>
    <w:rsid w:val="00A02036"/>
    <w:rsid w:val="00A02E7A"/>
    <w:rsid w:val="00A0613D"/>
    <w:rsid w:val="00A12441"/>
    <w:rsid w:val="00A1730A"/>
    <w:rsid w:val="00A202EB"/>
    <w:rsid w:val="00A21701"/>
    <w:rsid w:val="00A2555B"/>
    <w:rsid w:val="00A257D5"/>
    <w:rsid w:val="00A25B9D"/>
    <w:rsid w:val="00A263F5"/>
    <w:rsid w:val="00A2750F"/>
    <w:rsid w:val="00A31AAC"/>
    <w:rsid w:val="00A3326E"/>
    <w:rsid w:val="00A351A7"/>
    <w:rsid w:val="00A368F9"/>
    <w:rsid w:val="00A373EF"/>
    <w:rsid w:val="00A414C3"/>
    <w:rsid w:val="00A42A1C"/>
    <w:rsid w:val="00A458D9"/>
    <w:rsid w:val="00A45C44"/>
    <w:rsid w:val="00A50DF0"/>
    <w:rsid w:val="00A56F1B"/>
    <w:rsid w:val="00A57206"/>
    <w:rsid w:val="00A57BCF"/>
    <w:rsid w:val="00A61450"/>
    <w:rsid w:val="00A62D11"/>
    <w:rsid w:val="00A64799"/>
    <w:rsid w:val="00A65052"/>
    <w:rsid w:val="00A66651"/>
    <w:rsid w:val="00A6758F"/>
    <w:rsid w:val="00A67CF7"/>
    <w:rsid w:val="00A67DA4"/>
    <w:rsid w:val="00A70C28"/>
    <w:rsid w:val="00A70F2D"/>
    <w:rsid w:val="00A8053F"/>
    <w:rsid w:val="00A84B27"/>
    <w:rsid w:val="00A908E3"/>
    <w:rsid w:val="00A94562"/>
    <w:rsid w:val="00AA1470"/>
    <w:rsid w:val="00AA2DE8"/>
    <w:rsid w:val="00AA7547"/>
    <w:rsid w:val="00AB2157"/>
    <w:rsid w:val="00AB4CCA"/>
    <w:rsid w:val="00AB52B2"/>
    <w:rsid w:val="00AB69D4"/>
    <w:rsid w:val="00AC1B34"/>
    <w:rsid w:val="00AC5168"/>
    <w:rsid w:val="00AC5E57"/>
    <w:rsid w:val="00AC68D0"/>
    <w:rsid w:val="00AC76EF"/>
    <w:rsid w:val="00AD091A"/>
    <w:rsid w:val="00AD25F5"/>
    <w:rsid w:val="00AE0E0B"/>
    <w:rsid w:val="00AE2094"/>
    <w:rsid w:val="00AE4738"/>
    <w:rsid w:val="00AF1CDB"/>
    <w:rsid w:val="00AF23FB"/>
    <w:rsid w:val="00AF4ED5"/>
    <w:rsid w:val="00AF5E7A"/>
    <w:rsid w:val="00AF6583"/>
    <w:rsid w:val="00B02714"/>
    <w:rsid w:val="00B02CC8"/>
    <w:rsid w:val="00B02CE0"/>
    <w:rsid w:val="00B02E33"/>
    <w:rsid w:val="00B03A38"/>
    <w:rsid w:val="00B05C6E"/>
    <w:rsid w:val="00B11FAB"/>
    <w:rsid w:val="00B15533"/>
    <w:rsid w:val="00B2194F"/>
    <w:rsid w:val="00B31C0F"/>
    <w:rsid w:val="00B33479"/>
    <w:rsid w:val="00B45DA7"/>
    <w:rsid w:val="00B47463"/>
    <w:rsid w:val="00B517A0"/>
    <w:rsid w:val="00B55391"/>
    <w:rsid w:val="00B60728"/>
    <w:rsid w:val="00B63079"/>
    <w:rsid w:val="00B63AFB"/>
    <w:rsid w:val="00B647B0"/>
    <w:rsid w:val="00B64C8B"/>
    <w:rsid w:val="00B65598"/>
    <w:rsid w:val="00B65CF7"/>
    <w:rsid w:val="00B65FFB"/>
    <w:rsid w:val="00B71DBA"/>
    <w:rsid w:val="00B71EE6"/>
    <w:rsid w:val="00B73354"/>
    <w:rsid w:val="00B74997"/>
    <w:rsid w:val="00B75E42"/>
    <w:rsid w:val="00B76AA9"/>
    <w:rsid w:val="00B7712F"/>
    <w:rsid w:val="00B825D5"/>
    <w:rsid w:val="00B82F27"/>
    <w:rsid w:val="00B832CD"/>
    <w:rsid w:val="00B87A96"/>
    <w:rsid w:val="00B9662E"/>
    <w:rsid w:val="00BA0A72"/>
    <w:rsid w:val="00BA270C"/>
    <w:rsid w:val="00BA36BD"/>
    <w:rsid w:val="00BB0584"/>
    <w:rsid w:val="00BB2C70"/>
    <w:rsid w:val="00BB64E5"/>
    <w:rsid w:val="00BB764E"/>
    <w:rsid w:val="00BC0E7F"/>
    <w:rsid w:val="00BC17E7"/>
    <w:rsid w:val="00BC3D1B"/>
    <w:rsid w:val="00BC47EF"/>
    <w:rsid w:val="00BC67AF"/>
    <w:rsid w:val="00BC6A38"/>
    <w:rsid w:val="00BC7269"/>
    <w:rsid w:val="00BD310E"/>
    <w:rsid w:val="00BD4A89"/>
    <w:rsid w:val="00BD4BCB"/>
    <w:rsid w:val="00BE11BB"/>
    <w:rsid w:val="00BE1D00"/>
    <w:rsid w:val="00BE505F"/>
    <w:rsid w:val="00BE66C4"/>
    <w:rsid w:val="00BE76EA"/>
    <w:rsid w:val="00BE7F01"/>
    <w:rsid w:val="00BF1BBA"/>
    <w:rsid w:val="00BF1D9F"/>
    <w:rsid w:val="00BF5A50"/>
    <w:rsid w:val="00BF76F8"/>
    <w:rsid w:val="00C01D33"/>
    <w:rsid w:val="00C01E3D"/>
    <w:rsid w:val="00C04BB7"/>
    <w:rsid w:val="00C05090"/>
    <w:rsid w:val="00C0595B"/>
    <w:rsid w:val="00C07D39"/>
    <w:rsid w:val="00C11CE7"/>
    <w:rsid w:val="00C122A1"/>
    <w:rsid w:val="00C14FA8"/>
    <w:rsid w:val="00C15770"/>
    <w:rsid w:val="00C17BB1"/>
    <w:rsid w:val="00C2162C"/>
    <w:rsid w:val="00C23D2A"/>
    <w:rsid w:val="00C24565"/>
    <w:rsid w:val="00C32CEC"/>
    <w:rsid w:val="00C332FD"/>
    <w:rsid w:val="00C33E8E"/>
    <w:rsid w:val="00C36668"/>
    <w:rsid w:val="00C40581"/>
    <w:rsid w:val="00C41949"/>
    <w:rsid w:val="00C41C35"/>
    <w:rsid w:val="00C4308C"/>
    <w:rsid w:val="00C44ADE"/>
    <w:rsid w:val="00C46F81"/>
    <w:rsid w:val="00C559EE"/>
    <w:rsid w:val="00C61E2B"/>
    <w:rsid w:val="00C644C9"/>
    <w:rsid w:val="00C648F5"/>
    <w:rsid w:val="00C667B8"/>
    <w:rsid w:val="00C71D1E"/>
    <w:rsid w:val="00C76DAF"/>
    <w:rsid w:val="00C80FA4"/>
    <w:rsid w:val="00C838C6"/>
    <w:rsid w:val="00C856CC"/>
    <w:rsid w:val="00C856FA"/>
    <w:rsid w:val="00C91AF1"/>
    <w:rsid w:val="00C92645"/>
    <w:rsid w:val="00C978EB"/>
    <w:rsid w:val="00CA2973"/>
    <w:rsid w:val="00CA3139"/>
    <w:rsid w:val="00CA58EC"/>
    <w:rsid w:val="00CA6DA2"/>
    <w:rsid w:val="00CB7D5C"/>
    <w:rsid w:val="00CC141E"/>
    <w:rsid w:val="00CC2C5D"/>
    <w:rsid w:val="00CC2EAC"/>
    <w:rsid w:val="00CC7194"/>
    <w:rsid w:val="00CD4C02"/>
    <w:rsid w:val="00CD54F0"/>
    <w:rsid w:val="00CD5BA2"/>
    <w:rsid w:val="00CD75D9"/>
    <w:rsid w:val="00CD7913"/>
    <w:rsid w:val="00CE74D6"/>
    <w:rsid w:val="00CF27FB"/>
    <w:rsid w:val="00CF3929"/>
    <w:rsid w:val="00CF49C2"/>
    <w:rsid w:val="00CF4C32"/>
    <w:rsid w:val="00D02001"/>
    <w:rsid w:val="00D039BE"/>
    <w:rsid w:val="00D06382"/>
    <w:rsid w:val="00D10B47"/>
    <w:rsid w:val="00D10FD8"/>
    <w:rsid w:val="00D12C2D"/>
    <w:rsid w:val="00D13165"/>
    <w:rsid w:val="00D13F00"/>
    <w:rsid w:val="00D15B9E"/>
    <w:rsid w:val="00D16A58"/>
    <w:rsid w:val="00D175B9"/>
    <w:rsid w:val="00D2251C"/>
    <w:rsid w:val="00D35E2E"/>
    <w:rsid w:val="00D36AB4"/>
    <w:rsid w:val="00D4003F"/>
    <w:rsid w:val="00D408C2"/>
    <w:rsid w:val="00D41B00"/>
    <w:rsid w:val="00D50B76"/>
    <w:rsid w:val="00D52A79"/>
    <w:rsid w:val="00D57D01"/>
    <w:rsid w:val="00D57D47"/>
    <w:rsid w:val="00D6474A"/>
    <w:rsid w:val="00D66B6F"/>
    <w:rsid w:val="00D70317"/>
    <w:rsid w:val="00D7261F"/>
    <w:rsid w:val="00D733A7"/>
    <w:rsid w:val="00D74D75"/>
    <w:rsid w:val="00D75E85"/>
    <w:rsid w:val="00D76BFA"/>
    <w:rsid w:val="00D829B3"/>
    <w:rsid w:val="00D835A4"/>
    <w:rsid w:val="00D911C7"/>
    <w:rsid w:val="00D91E24"/>
    <w:rsid w:val="00D95DE8"/>
    <w:rsid w:val="00D97EA2"/>
    <w:rsid w:val="00DA02AC"/>
    <w:rsid w:val="00DA52F8"/>
    <w:rsid w:val="00DA6606"/>
    <w:rsid w:val="00DB38B6"/>
    <w:rsid w:val="00DB69EC"/>
    <w:rsid w:val="00DC7CE2"/>
    <w:rsid w:val="00DD2D00"/>
    <w:rsid w:val="00DD4F98"/>
    <w:rsid w:val="00DD7186"/>
    <w:rsid w:val="00DD7294"/>
    <w:rsid w:val="00DE16A3"/>
    <w:rsid w:val="00DE4FCE"/>
    <w:rsid w:val="00DE640C"/>
    <w:rsid w:val="00DE7A1A"/>
    <w:rsid w:val="00DF1ECD"/>
    <w:rsid w:val="00DF3BC5"/>
    <w:rsid w:val="00E01608"/>
    <w:rsid w:val="00E0221A"/>
    <w:rsid w:val="00E107A7"/>
    <w:rsid w:val="00E11B49"/>
    <w:rsid w:val="00E13AB9"/>
    <w:rsid w:val="00E14133"/>
    <w:rsid w:val="00E1605A"/>
    <w:rsid w:val="00E17B2C"/>
    <w:rsid w:val="00E21FDC"/>
    <w:rsid w:val="00E237E3"/>
    <w:rsid w:val="00E24C3D"/>
    <w:rsid w:val="00E24FDB"/>
    <w:rsid w:val="00E27C3C"/>
    <w:rsid w:val="00E33F0C"/>
    <w:rsid w:val="00E36340"/>
    <w:rsid w:val="00E4097B"/>
    <w:rsid w:val="00E40A8E"/>
    <w:rsid w:val="00E45005"/>
    <w:rsid w:val="00E47925"/>
    <w:rsid w:val="00E51F87"/>
    <w:rsid w:val="00E566F0"/>
    <w:rsid w:val="00E60002"/>
    <w:rsid w:val="00E60A21"/>
    <w:rsid w:val="00E61B52"/>
    <w:rsid w:val="00E61B9B"/>
    <w:rsid w:val="00E62D0B"/>
    <w:rsid w:val="00E66C2D"/>
    <w:rsid w:val="00E67C7B"/>
    <w:rsid w:val="00E70B30"/>
    <w:rsid w:val="00E76DBD"/>
    <w:rsid w:val="00E77652"/>
    <w:rsid w:val="00E81955"/>
    <w:rsid w:val="00E82A22"/>
    <w:rsid w:val="00E8539C"/>
    <w:rsid w:val="00E857A8"/>
    <w:rsid w:val="00E8644F"/>
    <w:rsid w:val="00E86993"/>
    <w:rsid w:val="00E87DFE"/>
    <w:rsid w:val="00E90188"/>
    <w:rsid w:val="00E913DB"/>
    <w:rsid w:val="00E92CE5"/>
    <w:rsid w:val="00E96A5F"/>
    <w:rsid w:val="00EA2786"/>
    <w:rsid w:val="00EA33C9"/>
    <w:rsid w:val="00EA41CA"/>
    <w:rsid w:val="00EA5141"/>
    <w:rsid w:val="00EB20BC"/>
    <w:rsid w:val="00EB53C8"/>
    <w:rsid w:val="00EC616B"/>
    <w:rsid w:val="00EC76B8"/>
    <w:rsid w:val="00EC779D"/>
    <w:rsid w:val="00ED07AE"/>
    <w:rsid w:val="00ED0F1B"/>
    <w:rsid w:val="00ED2D93"/>
    <w:rsid w:val="00ED398B"/>
    <w:rsid w:val="00ED4138"/>
    <w:rsid w:val="00ED6368"/>
    <w:rsid w:val="00EE0CE3"/>
    <w:rsid w:val="00EE0D15"/>
    <w:rsid w:val="00EE14FC"/>
    <w:rsid w:val="00EE67DC"/>
    <w:rsid w:val="00EE709C"/>
    <w:rsid w:val="00EF4856"/>
    <w:rsid w:val="00EF5B08"/>
    <w:rsid w:val="00EF5F29"/>
    <w:rsid w:val="00F00F67"/>
    <w:rsid w:val="00F02909"/>
    <w:rsid w:val="00F02C82"/>
    <w:rsid w:val="00F04090"/>
    <w:rsid w:val="00F04391"/>
    <w:rsid w:val="00F05004"/>
    <w:rsid w:val="00F06876"/>
    <w:rsid w:val="00F06BBE"/>
    <w:rsid w:val="00F1253E"/>
    <w:rsid w:val="00F1353D"/>
    <w:rsid w:val="00F145F3"/>
    <w:rsid w:val="00F14B12"/>
    <w:rsid w:val="00F157C7"/>
    <w:rsid w:val="00F16B9B"/>
    <w:rsid w:val="00F206C4"/>
    <w:rsid w:val="00F22150"/>
    <w:rsid w:val="00F23ABB"/>
    <w:rsid w:val="00F256F8"/>
    <w:rsid w:val="00F30B7C"/>
    <w:rsid w:val="00F30F42"/>
    <w:rsid w:val="00F33AFE"/>
    <w:rsid w:val="00F357A6"/>
    <w:rsid w:val="00F36215"/>
    <w:rsid w:val="00F36790"/>
    <w:rsid w:val="00F37219"/>
    <w:rsid w:val="00F376D6"/>
    <w:rsid w:val="00F40D1D"/>
    <w:rsid w:val="00F40D60"/>
    <w:rsid w:val="00F453A2"/>
    <w:rsid w:val="00F460E5"/>
    <w:rsid w:val="00F511CA"/>
    <w:rsid w:val="00F5180C"/>
    <w:rsid w:val="00F52AFC"/>
    <w:rsid w:val="00F57286"/>
    <w:rsid w:val="00F60584"/>
    <w:rsid w:val="00F62EAF"/>
    <w:rsid w:val="00F63841"/>
    <w:rsid w:val="00F63B8C"/>
    <w:rsid w:val="00F670C6"/>
    <w:rsid w:val="00F7264B"/>
    <w:rsid w:val="00F73A7F"/>
    <w:rsid w:val="00F7667B"/>
    <w:rsid w:val="00F8035A"/>
    <w:rsid w:val="00F82939"/>
    <w:rsid w:val="00F84D81"/>
    <w:rsid w:val="00F85F18"/>
    <w:rsid w:val="00F90122"/>
    <w:rsid w:val="00F93D42"/>
    <w:rsid w:val="00F95456"/>
    <w:rsid w:val="00FA3CD2"/>
    <w:rsid w:val="00FA6038"/>
    <w:rsid w:val="00FA68FB"/>
    <w:rsid w:val="00FA6B5F"/>
    <w:rsid w:val="00FB237E"/>
    <w:rsid w:val="00FB25A5"/>
    <w:rsid w:val="00FB3CFC"/>
    <w:rsid w:val="00FB5F57"/>
    <w:rsid w:val="00FC0234"/>
    <w:rsid w:val="00FC116C"/>
    <w:rsid w:val="00FC7282"/>
    <w:rsid w:val="00FD0022"/>
    <w:rsid w:val="00FD460A"/>
    <w:rsid w:val="00FE12C8"/>
    <w:rsid w:val="00FE2B90"/>
    <w:rsid w:val="00FE46D3"/>
    <w:rsid w:val="00FE4B34"/>
    <w:rsid w:val="00FE4EEC"/>
    <w:rsid w:val="00FE5B39"/>
    <w:rsid w:val="00FF1B4E"/>
    <w:rsid w:val="00FF23B5"/>
    <w:rsid w:val="00FF5937"/>
    <w:rsid w:val="00FF6E9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5DDC8B"/>
  <w15:chartTrackingRefBased/>
  <w15:docId w15:val="{FE8988A2-A1B6-4266-890A-0D118A0D35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50DF0"/>
    <w:pPr>
      <w:spacing w:after="0" w:line="240" w:lineRule="auto"/>
    </w:pPr>
    <w:rPr>
      <w:rFonts w:ascii="Calibri" w:hAnsi="Calibri" w:cs="Times New Roman"/>
      <w:lang w:eastAsia="en-GB"/>
    </w:rPr>
  </w:style>
  <w:style w:type="paragraph" w:styleId="Heading1">
    <w:name w:val="heading 1"/>
    <w:basedOn w:val="ListParagraph"/>
    <w:next w:val="Normal"/>
    <w:link w:val="Heading1Char"/>
    <w:uiPriority w:val="9"/>
    <w:qFormat/>
    <w:rsid w:val="00064CF7"/>
    <w:pPr>
      <w:spacing w:before="360" w:after="120"/>
      <w:outlineLvl w:val="0"/>
    </w:pPr>
    <w:rPr>
      <w:b/>
      <w:sz w:val="40"/>
      <w:szCs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850741"/>
    <w:pPr>
      <w:widowControl w:val="0"/>
      <w:autoSpaceDE w:val="0"/>
      <w:autoSpaceDN w:val="0"/>
      <w:adjustRightInd w:val="0"/>
      <w:jc w:val="center"/>
    </w:pPr>
    <w:rPr>
      <w:rFonts w:asciiTheme="minorHAnsi" w:eastAsiaTheme="minorEastAsia" w:hAnsiTheme="minorHAnsi" w:cstheme="minorHAnsi"/>
      <w:b/>
      <w:bCs/>
      <w:sz w:val="56"/>
      <w:szCs w:val="56"/>
      <w:lang w:eastAsia="en-US"/>
    </w:rPr>
  </w:style>
  <w:style w:type="character" w:customStyle="1" w:styleId="TitleChar">
    <w:name w:val="Title Char"/>
    <w:basedOn w:val="DefaultParagraphFont"/>
    <w:link w:val="Title"/>
    <w:uiPriority w:val="10"/>
    <w:rsid w:val="00850741"/>
    <w:rPr>
      <w:rFonts w:eastAsiaTheme="minorEastAsia" w:cstheme="minorHAnsi"/>
      <w:b/>
      <w:bCs/>
      <w:sz w:val="56"/>
      <w:szCs w:val="56"/>
    </w:rPr>
  </w:style>
  <w:style w:type="character" w:customStyle="1" w:styleId="Heading1Char">
    <w:name w:val="Heading 1 Char"/>
    <w:basedOn w:val="DefaultParagraphFont"/>
    <w:link w:val="Heading1"/>
    <w:uiPriority w:val="9"/>
    <w:rsid w:val="00064CF7"/>
    <w:rPr>
      <w:rFonts w:eastAsiaTheme="minorEastAsia" w:cstheme="minorHAnsi"/>
      <w:b/>
      <w:sz w:val="40"/>
      <w:szCs w:val="40"/>
    </w:rPr>
  </w:style>
  <w:style w:type="paragraph" w:styleId="FootnoteText">
    <w:name w:val="footnote text"/>
    <w:aliases w:val="5_G,Footnote Text Char1,Footnote Text Char Char,Footnote Text1,Footnote Text Char1 Char Char,Footnote Text Char Char Char Char,Footnote Text Char1 Char Char1 Char Char,Footnote Text Char Char Char Char1 Char Char, Char,Char,Footnote Quot"/>
    <w:basedOn w:val="Normal"/>
    <w:link w:val="FootnoteTextChar"/>
    <w:uiPriority w:val="99"/>
    <w:unhideWhenUsed/>
    <w:qFormat/>
    <w:rsid w:val="00064CF7"/>
    <w:pPr>
      <w:spacing w:line="288" w:lineRule="auto"/>
    </w:pPr>
    <w:rPr>
      <w:rFonts w:ascii="Verdana" w:eastAsiaTheme="minorEastAsia" w:hAnsi="Verdana" w:cstheme="minorBidi"/>
      <w:sz w:val="20"/>
      <w:szCs w:val="20"/>
      <w:lang w:eastAsia="en-US"/>
    </w:rPr>
  </w:style>
  <w:style w:type="character" w:customStyle="1" w:styleId="FootnoteTextChar">
    <w:name w:val="Footnote Text Char"/>
    <w:aliases w:val="5_G Char,Footnote Text Char1 Char,Footnote Text Char Char Char,Footnote Text1 Char,Footnote Text Char1 Char Char Char,Footnote Text Char Char Char Char Char,Footnote Text Char1 Char Char1 Char Char Char, Char Char,Char Char"/>
    <w:basedOn w:val="DefaultParagraphFont"/>
    <w:link w:val="FootnoteText"/>
    <w:uiPriority w:val="99"/>
    <w:rsid w:val="00064CF7"/>
    <w:rPr>
      <w:rFonts w:ascii="Verdana" w:eastAsiaTheme="minorEastAsia" w:hAnsi="Verdana"/>
      <w:sz w:val="20"/>
      <w:szCs w:val="20"/>
    </w:rPr>
  </w:style>
  <w:style w:type="paragraph" w:styleId="ListParagraph">
    <w:name w:val="List Paragraph"/>
    <w:basedOn w:val="Normal"/>
    <w:link w:val="ListParagraphChar"/>
    <w:uiPriority w:val="34"/>
    <w:qFormat/>
    <w:rsid w:val="00064CF7"/>
    <w:pPr>
      <w:numPr>
        <w:ilvl w:val="1"/>
        <w:numId w:val="3"/>
      </w:numPr>
      <w:spacing w:after="240"/>
    </w:pPr>
    <w:rPr>
      <w:rFonts w:asciiTheme="minorHAnsi" w:eastAsiaTheme="minorEastAsia" w:hAnsiTheme="minorHAnsi" w:cstheme="minorHAnsi"/>
      <w:sz w:val="28"/>
      <w:szCs w:val="28"/>
      <w:lang w:eastAsia="en-US"/>
    </w:rPr>
  </w:style>
  <w:style w:type="character" w:styleId="Hyperlink">
    <w:name w:val="Hyperlink"/>
    <w:basedOn w:val="DefaultParagraphFont"/>
    <w:uiPriority w:val="99"/>
    <w:unhideWhenUsed/>
    <w:rsid w:val="00064CF7"/>
    <w:rPr>
      <w:color w:val="0563C1" w:themeColor="hyperlink"/>
      <w:u w:val="single"/>
    </w:rPr>
  </w:style>
  <w:style w:type="character" w:styleId="FootnoteReference">
    <w:name w:val="footnote reference"/>
    <w:aliases w:val="Footnotes refss,Odwołanie przypisu,Footnote symbol,Footnote Reference Number,Appel note de bas de p,Appel note de bas de p + (Asian) Batang,Black,(NECG) Footnote Reference,Nota,Footnote Refernece,Footnote Refernece + (Latein) Arial"/>
    <w:basedOn w:val="DefaultParagraphFont"/>
    <w:link w:val="4GChar"/>
    <w:uiPriority w:val="99"/>
    <w:unhideWhenUsed/>
    <w:qFormat/>
    <w:rsid w:val="00064CF7"/>
    <w:rPr>
      <w:vertAlign w:val="superscript"/>
    </w:rPr>
  </w:style>
  <w:style w:type="paragraph" w:customStyle="1" w:styleId="4GChar">
    <w:name w:val="4_G Char"/>
    <w:aliases w:val="Footnote Reference1 Char,Footnotes refss Char,ftref Char,BVI fnr Char,BVI fnr Car Car Char,BVI fnr Car Char,BVI fnr Car Car Car Car Char,BVI fnr Char Car Car Car Char"/>
    <w:basedOn w:val="Normal"/>
    <w:link w:val="FootnoteReference"/>
    <w:uiPriority w:val="99"/>
    <w:rsid w:val="00064CF7"/>
    <w:pPr>
      <w:spacing w:after="160" w:line="240" w:lineRule="exact"/>
      <w:jc w:val="both"/>
    </w:pPr>
    <w:rPr>
      <w:rFonts w:asciiTheme="minorHAnsi" w:hAnsiTheme="minorHAnsi" w:cstheme="minorBidi"/>
      <w:vertAlign w:val="superscript"/>
      <w:lang w:eastAsia="en-US"/>
    </w:rPr>
  </w:style>
  <w:style w:type="character" w:customStyle="1" w:styleId="ListParagraphChar">
    <w:name w:val="List Paragraph Char"/>
    <w:basedOn w:val="DefaultParagraphFont"/>
    <w:link w:val="ListParagraph"/>
    <w:uiPriority w:val="34"/>
    <w:rsid w:val="00064CF7"/>
    <w:rPr>
      <w:rFonts w:eastAsiaTheme="minorEastAsia" w:cstheme="minorHAnsi"/>
      <w:sz w:val="28"/>
      <w:szCs w:val="28"/>
    </w:rPr>
  </w:style>
  <w:style w:type="paragraph" w:styleId="Header">
    <w:name w:val="header"/>
    <w:basedOn w:val="Normal"/>
    <w:link w:val="HeaderChar"/>
    <w:uiPriority w:val="99"/>
    <w:unhideWhenUsed/>
    <w:rsid w:val="00967506"/>
    <w:pPr>
      <w:tabs>
        <w:tab w:val="center" w:pos="4513"/>
        <w:tab w:val="right" w:pos="9026"/>
      </w:tabs>
    </w:pPr>
  </w:style>
  <w:style w:type="character" w:customStyle="1" w:styleId="HeaderChar">
    <w:name w:val="Header Char"/>
    <w:basedOn w:val="DefaultParagraphFont"/>
    <w:link w:val="Header"/>
    <w:uiPriority w:val="99"/>
    <w:rsid w:val="00967506"/>
    <w:rPr>
      <w:rFonts w:ascii="Calibri" w:hAnsi="Calibri" w:cs="Times New Roman"/>
      <w:lang w:eastAsia="en-GB"/>
    </w:rPr>
  </w:style>
  <w:style w:type="paragraph" w:styleId="Footer">
    <w:name w:val="footer"/>
    <w:basedOn w:val="Normal"/>
    <w:link w:val="FooterChar"/>
    <w:uiPriority w:val="99"/>
    <w:unhideWhenUsed/>
    <w:rsid w:val="00967506"/>
    <w:pPr>
      <w:tabs>
        <w:tab w:val="center" w:pos="4513"/>
        <w:tab w:val="right" w:pos="9026"/>
      </w:tabs>
    </w:pPr>
  </w:style>
  <w:style w:type="character" w:customStyle="1" w:styleId="FooterChar">
    <w:name w:val="Footer Char"/>
    <w:basedOn w:val="DefaultParagraphFont"/>
    <w:link w:val="Footer"/>
    <w:uiPriority w:val="99"/>
    <w:rsid w:val="00967506"/>
    <w:rPr>
      <w:rFonts w:ascii="Calibri" w:hAnsi="Calibri" w:cs="Times New Roman"/>
      <w:lang w:eastAsia="en-GB"/>
    </w:rPr>
  </w:style>
  <w:style w:type="character" w:styleId="CommentReference">
    <w:name w:val="annotation reference"/>
    <w:basedOn w:val="DefaultParagraphFont"/>
    <w:uiPriority w:val="99"/>
    <w:semiHidden/>
    <w:unhideWhenUsed/>
    <w:rsid w:val="00D10FD8"/>
    <w:rPr>
      <w:sz w:val="16"/>
      <w:szCs w:val="16"/>
    </w:rPr>
  </w:style>
  <w:style w:type="paragraph" w:styleId="CommentText">
    <w:name w:val="annotation text"/>
    <w:basedOn w:val="Normal"/>
    <w:link w:val="CommentTextChar"/>
    <w:uiPriority w:val="99"/>
    <w:unhideWhenUsed/>
    <w:rsid w:val="00D10FD8"/>
    <w:rPr>
      <w:sz w:val="20"/>
      <w:szCs w:val="20"/>
    </w:rPr>
  </w:style>
  <w:style w:type="character" w:customStyle="1" w:styleId="CommentTextChar">
    <w:name w:val="Comment Text Char"/>
    <w:basedOn w:val="DefaultParagraphFont"/>
    <w:link w:val="CommentText"/>
    <w:uiPriority w:val="99"/>
    <w:rsid w:val="00D10FD8"/>
    <w:rPr>
      <w:rFonts w:ascii="Calibri" w:hAnsi="Calibri"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D10FD8"/>
    <w:rPr>
      <w:b/>
      <w:bCs/>
    </w:rPr>
  </w:style>
  <w:style w:type="character" w:customStyle="1" w:styleId="CommentSubjectChar">
    <w:name w:val="Comment Subject Char"/>
    <w:basedOn w:val="CommentTextChar"/>
    <w:link w:val="CommentSubject"/>
    <w:uiPriority w:val="99"/>
    <w:semiHidden/>
    <w:rsid w:val="00D10FD8"/>
    <w:rPr>
      <w:rFonts w:ascii="Calibri" w:hAnsi="Calibri" w:cs="Times New Roman"/>
      <w:b/>
      <w:bCs/>
      <w:sz w:val="20"/>
      <w:szCs w:val="20"/>
      <w:lang w:eastAsia="en-GB"/>
    </w:rPr>
  </w:style>
  <w:style w:type="character" w:styleId="FollowedHyperlink">
    <w:name w:val="FollowedHyperlink"/>
    <w:basedOn w:val="DefaultParagraphFont"/>
    <w:uiPriority w:val="99"/>
    <w:semiHidden/>
    <w:unhideWhenUsed/>
    <w:rsid w:val="0077591F"/>
    <w:rPr>
      <w:color w:val="954F72" w:themeColor="followedHyperlink"/>
      <w:u w:val="single"/>
    </w:rPr>
  </w:style>
  <w:style w:type="character" w:customStyle="1" w:styleId="UnresolvedMention1">
    <w:name w:val="Unresolved Mention1"/>
    <w:basedOn w:val="DefaultParagraphFont"/>
    <w:uiPriority w:val="99"/>
    <w:semiHidden/>
    <w:unhideWhenUsed/>
    <w:rsid w:val="0004505B"/>
    <w:rPr>
      <w:color w:val="605E5C"/>
      <w:shd w:val="clear" w:color="auto" w:fill="E1DFDD"/>
    </w:rPr>
  </w:style>
  <w:style w:type="paragraph" w:customStyle="1" w:styleId="BasicParagraph">
    <w:name w:val="[Basic Paragraph]"/>
    <w:basedOn w:val="Normal"/>
    <w:uiPriority w:val="99"/>
    <w:rsid w:val="00FB25A5"/>
    <w:pPr>
      <w:widowControl w:val="0"/>
      <w:autoSpaceDE w:val="0"/>
      <w:autoSpaceDN w:val="0"/>
      <w:adjustRightInd w:val="0"/>
      <w:spacing w:line="288" w:lineRule="auto"/>
      <w:textAlignment w:val="center"/>
    </w:pPr>
    <w:rPr>
      <w:rFonts w:ascii="MinionPro-Regular" w:eastAsiaTheme="minorEastAsia" w:hAnsi="MinionPro-Regular" w:cs="MinionPro-Regular"/>
      <w:color w:val="000000"/>
      <w:sz w:val="24"/>
      <w:szCs w:val="24"/>
      <w:lang w:eastAsia="en-US"/>
    </w:rPr>
  </w:style>
  <w:style w:type="paragraph" w:styleId="BalloonText">
    <w:name w:val="Balloon Text"/>
    <w:basedOn w:val="Normal"/>
    <w:link w:val="BalloonTextChar"/>
    <w:uiPriority w:val="99"/>
    <w:semiHidden/>
    <w:unhideWhenUsed/>
    <w:rsid w:val="009D544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D5449"/>
    <w:rPr>
      <w:rFonts w:ascii="Segoe UI" w:hAnsi="Segoe UI" w:cs="Segoe UI"/>
      <w:sz w:val="18"/>
      <w:szCs w:val="18"/>
      <w:lang w:eastAsia="en-GB"/>
    </w:rPr>
  </w:style>
  <w:style w:type="character" w:customStyle="1" w:styleId="UnresolvedMention2">
    <w:name w:val="Unresolved Mention2"/>
    <w:basedOn w:val="DefaultParagraphFont"/>
    <w:uiPriority w:val="99"/>
    <w:semiHidden/>
    <w:unhideWhenUsed/>
    <w:rsid w:val="005F068D"/>
    <w:rPr>
      <w:color w:val="605E5C"/>
      <w:shd w:val="clear" w:color="auto" w:fill="E1DFDD"/>
    </w:rPr>
  </w:style>
  <w:style w:type="paragraph" w:customStyle="1" w:styleId="Default">
    <w:name w:val="Default"/>
    <w:rsid w:val="00EE14FC"/>
    <w:pPr>
      <w:autoSpaceDE w:val="0"/>
      <w:autoSpaceDN w:val="0"/>
      <w:adjustRightInd w:val="0"/>
      <w:spacing w:after="0" w:line="240" w:lineRule="auto"/>
    </w:pPr>
    <w:rPr>
      <w:rFonts w:ascii="Arial" w:hAnsi="Arial" w:cs="Arial"/>
      <w:color w:val="000000"/>
      <w:sz w:val="24"/>
      <w:szCs w:val="24"/>
    </w:rPr>
  </w:style>
  <w:style w:type="character" w:customStyle="1" w:styleId="UnresolvedMention3">
    <w:name w:val="Unresolved Mention3"/>
    <w:basedOn w:val="DefaultParagraphFont"/>
    <w:uiPriority w:val="99"/>
    <w:semiHidden/>
    <w:unhideWhenUsed/>
    <w:rsid w:val="00ED0F1B"/>
    <w:rPr>
      <w:color w:val="605E5C"/>
      <w:shd w:val="clear" w:color="auto" w:fill="E1DFDD"/>
    </w:rPr>
  </w:style>
  <w:style w:type="table" w:styleId="TableGrid">
    <w:name w:val="Table Grid"/>
    <w:basedOn w:val="TableNormal"/>
    <w:uiPriority w:val="39"/>
    <w:rsid w:val="00E857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4">
    <w:name w:val="Unresolved Mention4"/>
    <w:basedOn w:val="DefaultParagraphFont"/>
    <w:uiPriority w:val="99"/>
    <w:semiHidden/>
    <w:unhideWhenUsed/>
    <w:rsid w:val="0036705F"/>
    <w:rPr>
      <w:color w:val="605E5C"/>
      <w:shd w:val="clear" w:color="auto" w:fill="E1DFDD"/>
    </w:rPr>
  </w:style>
  <w:style w:type="character" w:customStyle="1" w:styleId="UnresolvedMention5">
    <w:name w:val="Unresolved Mention5"/>
    <w:basedOn w:val="DefaultParagraphFont"/>
    <w:uiPriority w:val="99"/>
    <w:semiHidden/>
    <w:unhideWhenUsed/>
    <w:rsid w:val="00C92645"/>
    <w:rPr>
      <w:color w:val="605E5C"/>
      <w:shd w:val="clear" w:color="auto" w:fill="E1DFDD"/>
    </w:rPr>
  </w:style>
  <w:style w:type="paragraph" w:styleId="Revision">
    <w:name w:val="Revision"/>
    <w:hidden/>
    <w:uiPriority w:val="99"/>
    <w:semiHidden/>
    <w:rsid w:val="00CC141E"/>
    <w:pPr>
      <w:spacing w:after="0" w:line="240" w:lineRule="auto"/>
    </w:pPr>
    <w:rPr>
      <w:rFonts w:ascii="Calibri" w:hAnsi="Calibri" w:cs="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2602126">
      <w:bodyDiv w:val="1"/>
      <w:marLeft w:val="0"/>
      <w:marRight w:val="0"/>
      <w:marTop w:val="0"/>
      <w:marBottom w:val="0"/>
      <w:divBdr>
        <w:top w:val="none" w:sz="0" w:space="0" w:color="auto"/>
        <w:left w:val="none" w:sz="0" w:space="0" w:color="auto"/>
        <w:bottom w:val="none" w:sz="0" w:space="0" w:color="auto"/>
        <w:right w:val="none" w:sz="0" w:space="0" w:color="auto"/>
      </w:divBdr>
    </w:div>
    <w:div w:id="1515875838">
      <w:bodyDiv w:val="1"/>
      <w:marLeft w:val="0"/>
      <w:marRight w:val="0"/>
      <w:marTop w:val="0"/>
      <w:marBottom w:val="0"/>
      <w:divBdr>
        <w:top w:val="none" w:sz="0" w:space="0" w:color="auto"/>
        <w:left w:val="none" w:sz="0" w:space="0" w:color="auto"/>
        <w:bottom w:val="none" w:sz="0" w:space="0" w:color="auto"/>
        <w:right w:val="none" w:sz="0" w:space="0" w:color="auto"/>
      </w:divBdr>
    </w:div>
    <w:div w:id="1783645835">
      <w:bodyDiv w:val="1"/>
      <w:marLeft w:val="0"/>
      <w:marRight w:val="0"/>
      <w:marTop w:val="0"/>
      <w:marBottom w:val="0"/>
      <w:divBdr>
        <w:top w:val="none" w:sz="0" w:space="0" w:color="auto"/>
        <w:left w:val="none" w:sz="0" w:space="0" w:color="auto"/>
        <w:bottom w:val="none" w:sz="0" w:space="0" w:color="auto"/>
        <w:right w:val="none" w:sz="0" w:space="0" w:color="auto"/>
      </w:divBdr>
    </w:div>
    <w:div w:id="2109306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fif"/><Relationship Id="rId13" Type="http://schemas.openxmlformats.org/officeDocument/2006/relationships/hyperlink" Target="https://ec.europa.eu/info/system/files/attachment_ii_sps_non_paper.pdf" TargetMode="External"/><Relationship Id="rId18" Type="http://schemas.openxmlformats.org/officeDocument/2006/relationships/hyperlink" Target="mailto:&#201;ilis.Haughey@nihrc.org"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ec.europa.eu/info/files/protocol-ireland-and-nothern-ireland-non-paper-medicines_en"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ec.europa.eu/info/system/files/attachment_ii_sps_non_paper.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c.europa.eu/info/system/files/attachment_iv_ni_participation_non-paper.pdf" TargetMode="External"/><Relationship Id="rId5" Type="http://schemas.openxmlformats.org/officeDocument/2006/relationships/webSettings" Target="webSettings.xml"/><Relationship Id="rId15" Type="http://schemas.openxmlformats.org/officeDocument/2006/relationships/hyperlink" Target="https://ec.europa.eu/info/system/files/attachment_iii_customs_non-paper.pdf" TargetMode="External"/><Relationship Id="rId10" Type="http://schemas.openxmlformats.org/officeDocument/2006/relationships/footer" Target="footer1.xm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ec.europa.eu/info/sites/default/files/eu-non-paper-identified-solutions-in-the-sps-area_en.pdf"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ec.europa.eu/info/system/files/attachment_iv_ni_participation_non-paper.pdf" TargetMode="External"/><Relationship Id="rId13" Type="http://schemas.openxmlformats.org/officeDocument/2006/relationships/hyperlink" Target="https://www.gov.uk/government/publications/northern-ireland-protocol-next-steps" TargetMode="External"/><Relationship Id="rId3" Type="http://schemas.openxmlformats.org/officeDocument/2006/relationships/hyperlink" Target="https://assets.publishing.service.gov.uk/government/uploads/system/uploads/attachment_data/file/840230/Revised_Protocol_to_the_Withdrawal_Agreement.pdf" TargetMode="External"/><Relationship Id="rId7" Type="http://schemas.openxmlformats.org/officeDocument/2006/relationships/hyperlink" Target="https://committees.parliament.uk/publications/7641/documents/79851/default/" TargetMode="External"/><Relationship Id="rId12" Type="http://schemas.openxmlformats.org/officeDocument/2006/relationships/hyperlink" Target="https://committees.parliament.uk/publications/1282/documents/11395/default/" TargetMode="External"/><Relationship Id="rId2" Type="http://schemas.openxmlformats.org/officeDocument/2006/relationships/hyperlink" Target="https://committees.parliament.uk/publications/7641/documents/79851/default/" TargetMode="External"/><Relationship Id="rId16" Type="http://schemas.openxmlformats.org/officeDocument/2006/relationships/hyperlink" Target="https://www.gov.uk/government/publications/northern-ireland-protocol-next-steps" TargetMode="External"/><Relationship Id="rId1" Type="http://schemas.openxmlformats.org/officeDocument/2006/relationships/hyperlink" Target="https://www.gov.uk/government/publications/northern-ireland-protocol-next-steps" TargetMode="External"/><Relationship Id="rId6" Type="http://schemas.openxmlformats.org/officeDocument/2006/relationships/hyperlink" Target="https://www.gov.uk/government/publications/northern-ireland-protocol-next-steps" TargetMode="External"/><Relationship Id="rId11" Type="http://schemas.openxmlformats.org/officeDocument/2006/relationships/hyperlink" Target="https://ec.europa.eu/info/system/files/attachment_iv_ni_participation_non-paper.pdf" TargetMode="External"/><Relationship Id="rId5" Type="http://schemas.openxmlformats.org/officeDocument/2006/relationships/hyperlink" Target="https://committees.parliament.uk/writtenevidence/10145/default/" TargetMode="External"/><Relationship Id="rId15" Type="http://schemas.openxmlformats.org/officeDocument/2006/relationships/hyperlink" Target="https://www.gov.uk/government/publications/northern-ireland-protocol-next-steps" TargetMode="External"/><Relationship Id="rId10" Type="http://schemas.openxmlformats.org/officeDocument/2006/relationships/hyperlink" Target="https://ec.europa.eu/info/system/files/attachment_iv_ni_participation_non-paper.pdf" TargetMode="External"/><Relationship Id="rId4" Type="http://schemas.openxmlformats.org/officeDocument/2006/relationships/hyperlink" Target="https://assets.publishing.service.gov.uk/government/uploads/system/uploads/attachment_data/file/907682/Explainer__UK_Government_commitment_to_no_diminution_of_rights__safeguards_and_equality_of_opportunity_in_Northern_Ireland.pdf" TargetMode="External"/><Relationship Id="rId9" Type="http://schemas.openxmlformats.org/officeDocument/2006/relationships/hyperlink" Target="https://ec.europa.eu/info/system/files/attachment_iv_ni_participation_non-paper.pdf" TargetMode="External"/><Relationship Id="rId14" Type="http://schemas.openxmlformats.org/officeDocument/2006/relationships/hyperlink" Target="https://www.gov.uk/government/publications/northern-ireland-protocol-next-step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8AD824-396B-4731-8035-CE2DB30537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4261</Words>
  <Characters>24289</Characters>
  <Application>Microsoft Office Word</Application>
  <DocSecurity>0</DocSecurity>
  <Lines>202</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Glenda Doherty</dc:creator>
  <cp:keywords/>
  <dc:description/>
  <cp:lastModifiedBy>Glenda Doherty</cp:lastModifiedBy>
  <cp:revision>3</cp:revision>
  <dcterms:created xsi:type="dcterms:W3CDTF">2021-11-12T11:18:00Z</dcterms:created>
  <dcterms:modified xsi:type="dcterms:W3CDTF">2021-11-12T11:19:00Z</dcterms:modified>
</cp:coreProperties>
</file>