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19447" w14:textId="39958BB6" w:rsidR="007569A1" w:rsidRDefault="000412AC" w:rsidP="0028589E">
      <w:pPr>
        <w:rPr>
          <w:rFonts w:cstheme="minorHAnsi"/>
          <w:b/>
          <w:bCs/>
          <w:noProof/>
          <w:sz w:val="40"/>
          <w:szCs w:val="40"/>
          <w:lang w:eastAsia="en-GB"/>
        </w:rPr>
      </w:pPr>
      <w:r w:rsidRPr="00102791">
        <w:rPr>
          <w:noProof/>
        </w:rPr>
        <w:drawing>
          <wp:inline distT="0" distB="0" distL="0" distR="0" wp14:anchorId="6A4DA5C6" wp14:editId="3FDD7E99">
            <wp:extent cx="2521080" cy="1111307"/>
            <wp:effectExtent l="0" t="0" r="0" b="0"/>
            <wp:docPr id="1007754107" name="Picture 1" descr="Purpl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54107" name="Picture 1" descr="Purple text on a white background&#10;&#10;Description automatically generated"/>
                    <pic:cNvPicPr/>
                  </pic:nvPicPr>
                  <pic:blipFill>
                    <a:blip r:embed="rId11"/>
                    <a:stretch>
                      <a:fillRect/>
                    </a:stretch>
                  </pic:blipFill>
                  <pic:spPr>
                    <a:xfrm>
                      <a:off x="0" y="0"/>
                      <a:ext cx="2521080" cy="1111307"/>
                    </a:xfrm>
                    <a:prstGeom prst="rect">
                      <a:avLst/>
                    </a:prstGeom>
                  </pic:spPr>
                </pic:pic>
              </a:graphicData>
            </a:graphic>
          </wp:inline>
        </w:drawing>
      </w:r>
      <w:r>
        <w:rPr>
          <w:rFonts w:cstheme="minorHAnsi"/>
          <w:b/>
          <w:bCs/>
          <w:noProof/>
          <w:sz w:val="40"/>
          <w:szCs w:val="40"/>
          <w:lang w:eastAsia="en-GB"/>
        </w:rPr>
        <w:t xml:space="preserve"> </w:t>
      </w:r>
      <w:r w:rsidR="0072635A">
        <w:rPr>
          <w:rFonts w:cstheme="minorHAnsi"/>
          <w:b/>
          <w:bCs/>
          <w:noProof/>
          <w:sz w:val="40"/>
          <w:szCs w:val="40"/>
          <w:lang w:eastAsia="en-GB"/>
        </w:rPr>
        <w:t xml:space="preserve">   </w:t>
      </w:r>
      <w:r>
        <w:rPr>
          <w:rFonts w:cstheme="minorHAnsi"/>
          <w:b/>
          <w:bCs/>
          <w:noProof/>
          <w:sz w:val="40"/>
          <w:szCs w:val="40"/>
          <w:lang w:eastAsia="en-GB"/>
        </w:rPr>
        <w:t xml:space="preserve">  </w:t>
      </w:r>
      <w:r w:rsidR="0072635A" w:rsidRPr="00102791">
        <w:rPr>
          <w:noProof/>
        </w:rPr>
        <w:drawing>
          <wp:inline distT="0" distB="0" distL="0" distR="0" wp14:anchorId="2394284E" wp14:editId="05DAF82E">
            <wp:extent cx="2292468" cy="901746"/>
            <wp:effectExtent l="0" t="0" r="0" b="0"/>
            <wp:docPr id="1947010170" name="Picture 1" descr="A blue and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010170" name="Picture 1" descr="A blue and green sign with white text&#10;&#10;Description automatically generated"/>
                    <pic:cNvPicPr/>
                  </pic:nvPicPr>
                  <pic:blipFill>
                    <a:blip r:embed="rId12"/>
                    <a:stretch>
                      <a:fillRect/>
                    </a:stretch>
                  </pic:blipFill>
                  <pic:spPr>
                    <a:xfrm>
                      <a:off x="0" y="0"/>
                      <a:ext cx="2292468" cy="901746"/>
                    </a:xfrm>
                    <a:prstGeom prst="rect">
                      <a:avLst/>
                    </a:prstGeom>
                  </pic:spPr>
                </pic:pic>
              </a:graphicData>
            </a:graphic>
          </wp:inline>
        </w:drawing>
      </w:r>
    </w:p>
    <w:p w14:paraId="0396045B" w14:textId="77777777" w:rsidR="000412AC" w:rsidRPr="001C338A" w:rsidRDefault="000412AC" w:rsidP="0028589E">
      <w:pPr>
        <w:rPr>
          <w:rFonts w:cstheme="minorHAnsi"/>
          <w:b/>
          <w:bCs/>
          <w:noProof/>
          <w:sz w:val="40"/>
          <w:szCs w:val="40"/>
          <w:lang w:eastAsia="en-GB"/>
        </w:rPr>
      </w:pPr>
    </w:p>
    <w:p w14:paraId="42E03B1E" w14:textId="77777777" w:rsidR="00F32AB4" w:rsidRDefault="00F32AB4" w:rsidP="0028589E">
      <w:pPr>
        <w:rPr>
          <w:rFonts w:cstheme="minorHAnsi"/>
          <w:b/>
          <w:bCs/>
          <w:noProof/>
          <w:sz w:val="40"/>
          <w:szCs w:val="40"/>
          <w:lang w:eastAsia="en-GB"/>
        </w:rPr>
      </w:pPr>
    </w:p>
    <w:p w14:paraId="0F93AB72" w14:textId="77777777" w:rsidR="00F32AB4" w:rsidRDefault="00F32AB4" w:rsidP="0028589E">
      <w:pPr>
        <w:rPr>
          <w:rFonts w:cstheme="minorHAnsi"/>
          <w:b/>
          <w:bCs/>
          <w:noProof/>
          <w:sz w:val="40"/>
          <w:szCs w:val="40"/>
          <w:lang w:eastAsia="en-GB"/>
        </w:rPr>
      </w:pPr>
    </w:p>
    <w:p w14:paraId="39451773" w14:textId="77777777" w:rsidR="00F32AB4" w:rsidRDefault="00F32AB4" w:rsidP="0028589E">
      <w:pPr>
        <w:rPr>
          <w:rFonts w:cstheme="minorHAnsi"/>
          <w:b/>
          <w:bCs/>
          <w:noProof/>
          <w:sz w:val="40"/>
          <w:szCs w:val="40"/>
          <w:lang w:eastAsia="en-GB"/>
        </w:rPr>
      </w:pPr>
    </w:p>
    <w:p w14:paraId="24DA460D" w14:textId="77777777" w:rsidR="00D20F30" w:rsidRDefault="00D20F30" w:rsidP="0028589E">
      <w:pPr>
        <w:rPr>
          <w:rFonts w:cstheme="minorHAnsi"/>
          <w:b/>
          <w:bCs/>
          <w:noProof/>
          <w:sz w:val="52"/>
          <w:szCs w:val="52"/>
          <w:lang w:eastAsia="en-GB"/>
        </w:rPr>
      </w:pPr>
    </w:p>
    <w:p w14:paraId="6D9D9D3A" w14:textId="77777777" w:rsidR="00D20F30" w:rsidRDefault="00D20F30" w:rsidP="0028589E">
      <w:pPr>
        <w:rPr>
          <w:rFonts w:cstheme="minorHAnsi"/>
          <w:b/>
          <w:bCs/>
          <w:noProof/>
          <w:sz w:val="52"/>
          <w:szCs w:val="52"/>
          <w:lang w:eastAsia="en-GB"/>
        </w:rPr>
      </w:pPr>
    </w:p>
    <w:p w14:paraId="7C9BEDCB" w14:textId="64BE24FB" w:rsidR="00ED52D6" w:rsidRPr="00463D46" w:rsidRDefault="0028589E" w:rsidP="0028589E">
      <w:pPr>
        <w:rPr>
          <w:rFonts w:cstheme="minorHAnsi"/>
          <w:b/>
          <w:bCs/>
          <w:noProof/>
          <w:sz w:val="52"/>
          <w:szCs w:val="52"/>
          <w:lang w:eastAsia="en-GB"/>
        </w:rPr>
      </w:pPr>
      <w:r w:rsidRPr="00463D46">
        <w:rPr>
          <w:rFonts w:cstheme="minorHAnsi"/>
          <w:b/>
          <w:bCs/>
          <w:noProof/>
          <w:sz w:val="52"/>
          <w:szCs w:val="52"/>
          <w:lang w:eastAsia="en-GB"/>
        </w:rPr>
        <w:t xml:space="preserve">ECNI </w:t>
      </w:r>
      <w:r w:rsidR="001F7E7F" w:rsidRPr="00463D46">
        <w:rPr>
          <w:rFonts w:cstheme="minorHAnsi"/>
          <w:b/>
          <w:bCs/>
          <w:noProof/>
          <w:sz w:val="52"/>
          <w:szCs w:val="52"/>
          <w:lang w:eastAsia="en-GB"/>
        </w:rPr>
        <w:t xml:space="preserve">and NIHRC </w:t>
      </w:r>
      <w:r w:rsidR="00C51A87" w:rsidRPr="00463D46">
        <w:rPr>
          <w:rFonts w:cstheme="minorHAnsi"/>
          <w:b/>
          <w:bCs/>
          <w:noProof/>
          <w:sz w:val="52"/>
          <w:szCs w:val="52"/>
          <w:lang w:eastAsia="en-GB"/>
        </w:rPr>
        <w:t xml:space="preserve">Briefing </w:t>
      </w:r>
      <w:r w:rsidR="006841B8" w:rsidRPr="00463D46">
        <w:rPr>
          <w:rFonts w:cstheme="minorHAnsi"/>
          <w:b/>
          <w:bCs/>
          <w:noProof/>
          <w:sz w:val="52"/>
          <w:szCs w:val="52"/>
          <w:lang w:eastAsia="en-GB"/>
        </w:rPr>
        <w:t>Paper</w:t>
      </w:r>
      <w:r w:rsidRPr="00463D46">
        <w:rPr>
          <w:rFonts w:cstheme="minorHAnsi"/>
          <w:b/>
          <w:bCs/>
          <w:noProof/>
          <w:sz w:val="52"/>
          <w:szCs w:val="52"/>
          <w:lang w:eastAsia="en-GB"/>
        </w:rPr>
        <w:t xml:space="preserve">: </w:t>
      </w:r>
    </w:p>
    <w:p w14:paraId="3347E89B" w14:textId="77777777" w:rsidR="00F32AB4" w:rsidRPr="00463D46" w:rsidRDefault="00F32AB4" w:rsidP="0028589E">
      <w:pPr>
        <w:rPr>
          <w:b/>
          <w:bCs/>
          <w:sz w:val="52"/>
          <w:szCs w:val="52"/>
          <w:lang w:eastAsia="en-GB"/>
        </w:rPr>
      </w:pPr>
    </w:p>
    <w:p w14:paraId="7AC8696F" w14:textId="77777777" w:rsidR="00463D46" w:rsidRPr="00463D46" w:rsidRDefault="009128BE" w:rsidP="00463D46">
      <w:pPr>
        <w:rPr>
          <w:b/>
          <w:bCs/>
          <w:sz w:val="52"/>
          <w:szCs w:val="52"/>
          <w:lang w:eastAsia="en-GB"/>
        </w:rPr>
      </w:pPr>
      <w:r w:rsidRPr="00463D46">
        <w:rPr>
          <w:b/>
          <w:bCs/>
          <w:sz w:val="52"/>
          <w:szCs w:val="52"/>
          <w:lang w:eastAsia="en-GB"/>
        </w:rPr>
        <w:t xml:space="preserve">The </w:t>
      </w:r>
      <w:r w:rsidR="0003714D" w:rsidRPr="00463D46">
        <w:rPr>
          <w:b/>
          <w:bCs/>
          <w:sz w:val="52"/>
          <w:szCs w:val="52"/>
          <w:lang w:eastAsia="en-GB"/>
        </w:rPr>
        <w:t xml:space="preserve">EU </w:t>
      </w:r>
      <w:r w:rsidRPr="00463D46">
        <w:rPr>
          <w:b/>
          <w:bCs/>
          <w:sz w:val="52"/>
          <w:szCs w:val="52"/>
          <w:lang w:eastAsia="en-GB"/>
        </w:rPr>
        <w:t>Pay Transparency Directive</w:t>
      </w:r>
      <w:r w:rsidR="00463D46" w:rsidRPr="00463D46">
        <w:rPr>
          <w:b/>
          <w:bCs/>
          <w:sz w:val="52"/>
          <w:szCs w:val="52"/>
          <w:lang w:eastAsia="en-GB"/>
        </w:rPr>
        <w:t xml:space="preserve">: </w:t>
      </w:r>
    </w:p>
    <w:p w14:paraId="6BC08DB9" w14:textId="10E6A158" w:rsidR="00463D46" w:rsidRPr="00463D46" w:rsidRDefault="00463D46" w:rsidP="00463D46">
      <w:pPr>
        <w:rPr>
          <w:b/>
          <w:bCs/>
          <w:sz w:val="52"/>
          <w:szCs w:val="52"/>
          <w:lang w:eastAsia="en-GB"/>
        </w:rPr>
      </w:pPr>
      <w:r w:rsidRPr="00463D46">
        <w:rPr>
          <w:rFonts w:cstheme="minorHAnsi"/>
          <w:b/>
          <w:bCs/>
          <w:sz w:val="52"/>
          <w:szCs w:val="52"/>
        </w:rPr>
        <w:t>The UK Government’s dynamic alignment obligations relating to Windsor Framework Article 2</w:t>
      </w:r>
    </w:p>
    <w:p w14:paraId="44D3BDD8" w14:textId="5509DE7B" w:rsidR="007850E6" w:rsidRPr="00463D46" w:rsidRDefault="009128BE" w:rsidP="0028589E">
      <w:pPr>
        <w:rPr>
          <w:b/>
          <w:bCs/>
          <w:sz w:val="44"/>
          <w:szCs w:val="44"/>
          <w:lang w:eastAsia="en-GB"/>
        </w:rPr>
      </w:pPr>
      <w:r w:rsidRPr="00463D46">
        <w:rPr>
          <w:b/>
          <w:bCs/>
          <w:sz w:val="44"/>
          <w:szCs w:val="44"/>
          <w:lang w:eastAsia="en-GB"/>
        </w:rPr>
        <w:t xml:space="preserve"> </w:t>
      </w:r>
    </w:p>
    <w:p w14:paraId="0C6C136A" w14:textId="77777777" w:rsidR="00463D46" w:rsidRDefault="00463D46">
      <w:pPr>
        <w:rPr>
          <w:b/>
          <w:sz w:val="40"/>
          <w:szCs w:val="40"/>
          <w:lang w:eastAsia="en-GB"/>
        </w:rPr>
      </w:pPr>
    </w:p>
    <w:p w14:paraId="6BED91B2" w14:textId="77777777" w:rsidR="00463D46" w:rsidRDefault="00463D46">
      <w:pPr>
        <w:rPr>
          <w:b/>
          <w:sz w:val="40"/>
          <w:szCs w:val="40"/>
          <w:lang w:eastAsia="en-GB"/>
        </w:rPr>
      </w:pPr>
    </w:p>
    <w:p w14:paraId="4DEBD438" w14:textId="293185FA" w:rsidR="00F32AB4" w:rsidRPr="00463D46" w:rsidRDefault="00463D46">
      <w:pPr>
        <w:rPr>
          <w:b/>
          <w:sz w:val="48"/>
          <w:szCs w:val="48"/>
          <w:lang w:eastAsia="en-GB"/>
        </w:rPr>
      </w:pPr>
      <w:r w:rsidRPr="00463D46">
        <w:rPr>
          <w:b/>
          <w:sz w:val="48"/>
          <w:szCs w:val="48"/>
          <w:lang w:eastAsia="en-GB"/>
        </w:rPr>
        <w:t>March 2024</w:t>
      </w:r>
    </w:p>
    <w:p w14:paraId="0F900389" w14:textId="77777777" w:rsidR="00F32AB4" w:rsidRPr="001C338A" w:rsidRDefault="00F32AB4" w:rsidP="0028589E">
      <w:pPr>
        <w:rPr>
          <w:b/>
          <w:sz w:val="40"/>
          <w:szCs w:val="40"/>
          <w:lang w:eastAsia="en-GB"/>
        </w:rPr>
      </w:pPr>
    </w:p>
    <w:p w14:paraId="0D2280EE" w14:textId="3FEED287" w:rsidR="00943EC1" w:rsidRPr="001C338A" w:rsidRDefault="00463D46" w:rsidP="00C74B99">
      <w:pPr>
        <w:rPr>
          <w:rFonts w:cstheme="minorHAnsi"/>
          <w:b/>
          <w:bCs/>
          <w:sz w:val="28"/>
          <w:szCs w:val="28"/>
        </w:rPr>
      </w:pPr>
      <w:r>
        <w:rPr>
          <w:rFonts w:cstheme="minorHAnsi"/>
          <w:b/>
          <w:bCs/>
          <w:sz w:val="28"/>
          <w:szCs w:val="28"/>
        </w:rPr>
        <w:br w:type="page"/>
      </w:r>
    </w:p>
    <w:p w14:paraId="001E4394" w14:textId="7C439176" w:rsidR="00E41DAC" w:rsidRPr="001C338A" w:rsidRDefault="00E41DAC" w:rsidP="00B023AD">
      <w:pPr>
        <w:pStyle w:val="Heading1"/>
        <w:spacing w:line="240" w:lineRule="auto"/>
        <w:ind w:left="851" w:hanging="851"/>
      </w:pPr>
      <w:r w:rsidRPr="001C338A">
        <w:lastRenderedPageBreak/>
        <w:t xml:space="preserve">Executive Summary </w:t>
      </w:r>
    </w:p>
    <w:p w14:paraId="0D77FBF8" w14:textId="10887528" w:rsidR="00681052" w:rsidRPr="001C338A" w:rsidRDefault="00681052" w:rsidP="00DA4B5F">
      <w:pPr>
        <w:ind w:firstLine="709"/>
        <w:rPr>
          <w:i/>
          <w:iCs/>
          <w:sz w:val="28"/>
          <w:szCs w:val="28"/>
        </w:rPr>
      </w:pPr>
      <w:r w:rsidRPr="001C338A">
        <w:rPr>
          <w:i/>
          <w:iCs/>
          <w:sz w:val="28"/>
          <w:szCs w:val="28"/>
        </w:rPr>
        <w:t>Background</w:t>
      </w:r>
    </w:p>
    <w:p w14:paraId="0683AF15" w14:textId="264B058A" w:rsidR="00DB2CCE" w:rsidRPr="001C338A" w:rsidRDefault="00DB2CCE" w:rsidP="002501C7">
      <w:pPr>
        <w:pStyle w:val="11NumPara"/>
      </w:pPr>
      <w:r w:rsidRPr="001C338A">
        <w:t>In Windsor Framework Article 2 (</w:t>
      </w:r>
      <w:r w:rsidRPr="001C338A">
        <w:rPr>
          <w:b/>
          <w:bCs/>
        </w:rPr>
        <w:t>WF Article 2</w:t>
      </w:r>
      <w:r w:rsidRPr="001C338A">
        <w:t xml:space="preserve">), the UK Government commits to ensuring that certain rights, </w:t>
      </w:r>
      <w:proofErr w:type="gramStart"/>
      <w:r w:rsidRPr="001C338A">
        <w:t>safeguards</w:t>
      </w:r>
      <w:proofErr w:type="gramEnd"/>
      <w:r w:rsidRPr="001C338A">
        <w:t xml:space="preserve"> and equality of opportunity protections in Northern Ireland are not diminished as a result of the UK leaving the EU. </w:t>
      </w:r>
      <w:r w:rsidR="00A4789B" w:rsidRPr="001C338A">
        <w:t>The Windsor Framework (WF) was formerly known as the Protocol on Ireland/Northern Ireland of the UK-EU Withdrawal Agreement.</w:t>
      </w:r>
    </w:p>
    <w:p w14:paraId="7045C66B" w14:textId="657508C1" w:rsidR="003F0A31" w:rsidRPr="001C338A" w:rsidRDefault="00B96202" w:rsidP="002501C7">
      <w:pPr>
        <w:pStyle w:val="11NumPara"/>
      </w:pPr>
      <w:r w:rsidRPr="001C338A">
        <w:rPr>
          <w:rFonts w:asciiTheme="minorHAnsi" w:hAnsiTheme="minorHAnsi" w:cstheme="minorHAnsi"/>
          <w:szCs w:val="28"/>
        </w:rPr>
        <w:t xml:space="preserve">The UK Government has </w:t>
      </w:r>
      <w:r w:rsidR="00DE5F5A" w:rsidRPr="001C338A">
        <w:rPr>
          <w:rFonts w:asciiTheme="minorHAnsi" w:hAnsiTheme="minorHAnsi" w:cstheme="minorHAnsi"/>
          <w:szCs w:val="28"/>
        </w:rPr>
        <w:t xml:space="preserve">also </w:t>
      </w:r>
      <w:r w:rsidRPr="001C338A">
        <w:rPr>
          <w:rFonts w:asciiTheme="minorHAnsi" w:hAnsiTheme="minorHAnsi" w:cstheme="minorHAnsi"/>
          <w:szCs w:val="28"/>
        </w:rPr>
        <w:t xml:space="preserve">‘dynamic alignment’ obligations arising out of WF Article 13 (3), relating to </w:t>
      </w:r>
      <w:r w:rsidR="00DE5F5A" w:rsidRPr="001C338A">
        <w:rPr>
          <w:rFonts w:asciiTheme="minorHAnsi" w:hAnsiTheme="minorHAnsi" w:cstheme="minorHAnsi"/>
          <w:szCs w:val="28"/>
        </w:rPr>
        <w:t xml:space="preserve">WF </w:t>
      </w:r>
      <w:r w:rsidRPr="001C338A">
        <w:rPr>
          <w:rFonts w:asciiTheme="minorHAnsi" w:hAnsiTheme="minorHAnsi" w:cstheme="minorHAnsi"/>
          <w:szCs w:val="28"/>
        </w:rPr>
        <w:t>Article 2(1), in relation to the six Equality Directives in WF Annex 1</w:t>
      </w:r>
      <w:r w:rsidR="00BB19DA">
        <w:rPr>
          <w:rFonts w:asciiTheme="minorHAnsi" w:hAnsiTheme="minorHAnsi" w:cstheme="minorHAnsi"/>
          <w:szCs w:val="28"/>
        </w:rPr>
        <w:t>.</w:t>
      </w:r>
      <w:r w:rsidR="00A75CA7" w:rsidRPr="001C338A">
        <w:rPr>
          <w:rStyle w:val="FootnoteReference"/>
          <w:rFonts w:asciiTheme="minorHAnsi" w:hAnsiTheme="minorHAnsi" w:cstheme="minorHAnsi"/>
          <w:szCs w:val="28"/>
        </w:rPr>
        <w:footnoteReference w:id="2"/>
      </w:r>
      <w:r w:rsidR="00DE5F5A" w:rsidRPr="001C338A">
        <w:rPr>
          <w:rFonts w:asciiTheme="minorHAnsi" w:hAnsiTheme="minorHAnsi" w:cstheme="minorHAnsi"/>
          <w:szCs w:val="28"/>
        </w:rPr>
        <w:t xml:space="preserve"> </w:t>
      </w:r>
      <w:r w:rsidR="006D01F1" w:rsidRPr="001C338A">
        <w:rPr>
          <w:rFonts w:asciiTheme="minorHAnsi" w:hAnsiTheme="minorHAnsi" w:cstheme="minorHAnsi"/>
          <w:szCs w:val="28"/>
        </w:rPr>
        <w:t>Therefore</w:t>
      </w:r>
      <w:r w:rsidR="00DB2CCE" w:rsidRPr="001C338A">
        <w:rPr>
          <w:rFonts w:asciiTheme="minorHAnsi" w:hAnsiTheme="minorHAnsi" w:cstheme="minorHAnsi"/>
          <w:szCs w:val="28"/>
        </w:rPr>
        <w:t>,</w:t>
      </w:r>
      <w:r w:rsidR="006D01F1" w:rsidRPr="001C338A">
        <w:rPr>
          <w:rFonts w:asciiTheme="minorHAnsi" w:hAnsiTheme="minorHAnsi" w:cstheme="minorHAnsi"/>
          <w:szCs w:val="28"/>
        </w:rPr>
        <w:t xml:space="preserve"> if the </w:t>
      </w:r>
      <w:r w:rsidR="006D01F1" w:rsidRPr="001C338A">
        <w:rPr>
          <w:rFonts w:asciiTheme="minorHAnsi" w:hAnsiTheme="minorHAnsi" w:cstheme="minorHAnsi"/>
        </w:rPr>
        <w:t xml:space="preserve">EU decides to amend or replace the rights in the Annex 1 Directives the </w:t>
      </w:r>
      <w:r w:rsidR="00C00A0C" w:rsidRPr="001C338A">
        <w:rPr>
          <w:rFonts w:asciiTheme="minorHAnsi" w:hAnsiTheme="minorHAnsi" w:cstheme="minorHAnsi"/>
        </w:rPr>
        <w:t>law</w:t>
      </w:r>
      <w:r w:rsidR="006D01F1" w:rsidRPr="001C338A">
        <w:rPr>
          <w:rFonts w:asciiTheme="minorHAnsi" w:hAnsiTheme="minorHAnsi" w:cstheme="minorHAnsi"/>
        </w:rPr>
        <w:t xml:space="preserve"> in Northern Ireland </w:t>
      </w:r>
      <w:r w:rsidR="002507C9" w:rsidRPr="001C338A">
        <w:rPr>
          <w:rFonts w:asciiTheme="minorHAnsi" w:hAnsiTheme="minorHAnsi" w:cstheme="minorHAnsi"/>
        </w:rPr>
        <w:t>must</w:t>
      </w:r>
      <w:r w:rsidR="006D01F1" w:rsidRPr="001C338A">
        <w:rPr>
          <w:rFonts w:asciiTheme="minorHAnsi" w:hAnsiTheme="minorHAnsi" w:cstheme="minorHAnsi"/>
        </w:rPr>
        <w:t xml:space="preserve"> also develop to take account of this.</w:t>
      </w:r>
      <w:r w:rsidR="002507C9" w:rsidRPr="001C338A">
        <w:rPr>
          <w:rFonts w:asciiTheme="minorHAnsi" w:hAnsiTheme="minorHAnsi" w:cstheme="minorHAnsi"/>
        </w:rPr>
        <w:t xml:space="preserve"> The UK Government has committed to introduce such changes w</w:t>
      </w:r>
      <w:r w:rsidR="00656A45" w:rsidRPr="001C338A">
        <w:rPr>
          <w:rFonts w:asciiTheme="minorHAnsi" w:hAnsiTheme="minorHAnsi" w:cstheme="minorHAnsi"/>
        </w:rPr>
        <w:t>h</w:t>
      </w:r>
      <w:r w:rsidR="002507C9" w:rsidRPr="001C338A">
        <w:rPr>
          <w:rFonts w:asciiTheme="minorHAnsi" w:hAnsiTheme="minorHAnsi" w:cstheme="minorHAnsi"/>
        </w:rPr>
        <w:t>ere they ‘</w:t>
      </w:r>
      <w:r w:rsidR="002507C9" w:rsidRPr="001C338A">
        <w:rPr>
          <w:rFonts w:asciiTheme="minorHAnsi" w:hAnsiTheme="minorHAnsi" w:cstheme="minorHAnsi"/>
          <w:i/>
          <w:iCs/>
        </w:rPr>
        <w:t>improve</w:t>
      </w:r>
      <w:r w:rsidR="002507C9" w:rsidRPr="001C338A">
        <w:rPr>
          <w:rFonts w:asciiTheme="minorHAnsi" w:hAnsiTheme="minorHAnsi" w:cstheme="minorHAnsi"/>
        </w:rPr>
        <w:t>’ rights protections.</w:t>
      </w:r>
      <w:r w:rsidR="001818D2" w:rsidRPr="001C338A">
        <w:rPr>
          <w:rStyle w:val="FootnoteReference"/>
          <w:rFonts w:asciiTheme="minorHAnsi" w:hAnsiTheme="minorHAnsi" w:cstheme="minorHAnsi"/>
        </w:rPr>
        <w:footnoteReference w:id="3"/>
      </w:r>
      <w:r w:rsidR="00DA77DE" w:rsidRPr="001C338A">
        <w:rPr>
          <w:rFonts w:asciiTheme="minorHAnsi" w:hAnsiTheme="minorHAnsi" w:cstheme="minorHAnsi"/>
        </w:rPr>
        <w:t xml:space="preserve"> </w:t>
      </w:r>
      <w:r w:rsidR="009B0197" w:rsidRPr="001C338A">
        <w:rPr>
          <w:rFonts w:asciiTheme="minorHAnsi" w:hAnsiTheme="minorHAnsi" w:cstheme="minorHAnsi"/>
        </w:rPr>
        <w:t xml:space="preserve">WF </w:t>
      </w:r>
      <w:r w:rsidR="00DA77DE" w:rsidRPr="001C338A">
        <w:rPr>
          <w:rFonts w:asciiTheme="minorHAnsi" w:hAnsiTheme="minorHAnsi" w:cstheme="minorHAnsi"/>
        </w:rPr>
        <w:t xml:space="preserve">Article </w:t>
      </w:r>
      <w:r w:rsidR="00B46BEB" w:rsidRPr="001C338A">
        <w:rPr>
          <w:rFonts w:asciiTheme="minorHAnsi" w:hAnsiTheme="minorHAnsi" w:cstheme="minorHAnsi"/>
        </w:rPr>
        <w:t xml:space="preserve">13(2) </w:t>
      </w:r>
      <w:r w:rsidR="00147E45" w:rsidRPr="001C338A">
        <w:rPr>
          <w:rFonts w:asciiTheme="minorHAnsi" w:hAnsiTheme="minorHAnsi" w:cstheme="minorHAnsi"/>
        </w:rPr>
        <w:t xml:space="preserve">also </w:t>
      </w:r>
      <w:r w:rsidR="006D5868" w:rsidRPr="001C338A">
        <w:rPr>
          <w:rFonts w:asciiTheme="minorHAnsi" w:hAnsiTheme="minorHAnsi" w:cstheme="minorHAnsi"/>
        </w:rPr>
        <w:t xml:space="preserve">requires </w:t>
      </w:r>
      <w:r w:rsidR="00147E45" w:rsidRPr="001C338A">
        <w:rPr>
          <w:rFonts w:asciiTheme="minorHAnsi" w:hAnsiTheme="minorHAnsi" w:cstheme="minorHAnsi"/>
        </w:rPr>
        <w:t xml:space="preserve">continued alignment </w:t>
      </w:r>
      <w:r w:rsidR="00DE65E5" w:rsidRPr="001C338A">
        <w:rPr>
          <w:rFonts w:asciiTheme="minorHAnsi" w:hAnsiTheme="minorHAnsi" w:cstheme="minorHAnsi"/>
        </w:rPr>
        <w:t xml:space="preserve">with Court of Justice of the EU </w:t>
      </w:r>
      <w:r w:rsidR="002C5410" w:rsidRPr="001C338A">
        <w:rPr>
          <w:rFonts w:asciiTheme="minorHAnsi" w:hAnsiTheme="minorHAnsi" w:cstheme="minorHAnsi"/>
        </w:rPr>
        <w:t>(CJ</w:t>
      </w:r>
      <w:r w:rsidR="000407DD" w:rsidRPr="001C338A">
        <w:rPr>
          <w:rFonts w:asciiTheme="minorHAnsi" w:hAnsiTheme="minorHAnsi" w:cstheme="minorHAnsi"/>
        </w:rPr>
        <w:t xml:space="preserve">EU) </w:t>
      </w:r>
      <w:r w:rsidR="00DE65E5" w:rsidRPr="001C338A">
        <w:rPr>
          <w:rFonts w:asciiTheme="minorHAnsi" w:hAnsiTheme="minorHAnsi" w:cstheme="minorHAnsi"/>
        </w:rPr>
        <w:t>jurisprudence regarding EU measures listed in the WF</w:t>
      </w:r>
      <w:r w:rsidR="007D5545" w:rsidRPr="001C338A">
        <w:rPr>
          <w:rFonts w:asciiTheme="minorHAnsi" w:hAnsiTheme="minorHAnsi" w:cstheme="minorHAnsi"/>
        </w:rPr>
        <w:t xml:space="preserve">, including the </w:t>
      </w:r>
      <w:r w:rsidR="00952168" w:rsidRPr="001C338A">
        <w:rPr>
          <w:rFonts w:asciiTheme="minorHAnsi" w:hAnsiTheme="minorHAnsi" w:cstheme="minorHAnsi"/>
        </w:rPr>
        <w:t xml:space="preserve">WF </w:t>
      </w:r>
      <w:r w:rsidR="007D5545" w:rsidRPr="001C338A">
        <w:rPr>
          <w:rFonts w:asciiTheme="minorHAnsi" w:hAnsiTheme="minorHAnsi" w:cstheme="minorHAnsi"/>
        </w:rPr>
        <w:t xml:space="preserve">Annex 1 </w:t>
      </w:r>
      <w:r w:rsidR="00952168" w:rsidRPr="001C338A">
        <w:rPr>
          <w:rFonts w:asciiTheme="minorHAnsi" w:hAnsiTheme="minorHAnsi" w:cstheme="minorHAnsi"/>
        </w:rPr>
        <w:t xml:space="preserve">Equality </w:t>
      </w:r>
      <w:r w:rsidR="007D5545" w:rsidRPr="001C338A">
        <w:rPr>
          <w:rFonts w:asciiTheme="minorHAnsi" w:hAnsiTheme="minorHAnsi" w:cstheme="minorHAnsi"/>
        </w:rPr>
        <w:t>Directives</w:t>
      </w:r>
      <w:r w:rsidR="00DE65E5" w:rsidRPr="001C338A">
        <w:rPr>
          <w:rFonts w:asciiTheme="minorHAnsi" w:hAnsiTheme="minorHAnsi" w:cstheme="minorHAnsi"/>
        </w:rPr>
        <w:t>.</w:t>
      </w:r>
      <w:r w:rsidR="002C5410" w:rsidRPr="001C338A">
        <w:rPr>
          <w:rStyle w:val="FootnoteReference"/>
          <w:rFonts w:asciiTheme="minorHAnsi" w:hAnsiTheme="minorHAnsi" w:cstheme="minorHAnsi"/>
        </w:rPr>
        <w:footnoteReference w:id="4"/>
      </w:r>
    </w:p>
    <w:p w14:paraId="32473506" w14:textId="342F1110" w:rsidR="00DE5F5A" w:rsidRPr="001C338A" w:rsidRDefault="00DE5F5A" w:rsidP="00656A45">
      <w:pPr>
        <w:pStyle w:val="11NumPara"/>
        <w:rPr>
          <w:rFonts w:cstheme="minorHAnsi"/>
          <w:szCs w:val="28"/>
        </w:rPr>
      </w:pPr>
      <w:r w:rsidRPr="001C338A">
        <w:t>The Directive 2006/</w:t>
      </w:r>
      <w:r w:rsidR="003312AD" w:rsidRPr="001C338A">
        <w:t>5</w:t>
      </w:r>
      <w:r w:rsidRPr="001C338A">
        <w:t>4/EC</w:t>
      </w:r>
      <w:r w:rsidR="009A776A" w:rsidRPr="001C338A">
        <w:t xml:space="preserve"> </w:t>
      </w:r>
      <w:r w:rsidR="009A776A" w:rsidRPr="001C338A">
        <w:rPr>
          <w:rFonts w:cstheme="minorHAnsi"/>
          <w:shd w:val="clear" w:color="auto" w:fill="FFFFFF"/>
        </w:rPr>
        <w:t xml:space="preserve">on equal opportunities and equal treatment of </w:t>
      </w:r>
      <w:proofErr w:type="gramStart"/>
      <w:r w:rsidR="009A776A" w:rsidRPr="001C338A">
        <w:rPr>
          <w:rFonts w:cstheme="minorHAnsi"/>
          <w:shd w:val="clear" w:color="auto" w:fill="FFFFFF"/>
        </w:rPr>
        <w:t>women and men</w:t>
      </w:r>
      <w:proofErr w:type="gramEnd"/>
      <w:r w:rsidR="009A776A" w:rsidRPr="001C338A">
        <w:rPr>
          <w:rFonts w:cstheme="minorHAnsi"/>
          <w:shd w:val="clear" w:color="auto" w:fill="FFFFFF"/>
        </w:rPr>
        <w:t xml:space="preserve"> in employment and occupation</w:t>
      </w:r>
      <w:r w:rsidRPr="001C338A">
        <w:t xml:space="preserve"> (‘</w:t>
      </w:r>
      <w:r w:rsidRPr="001C338A">
        <w:rPr>
          <w:b/>
          <w:bCs/>
        </w:rPr>
        <w:t>Recast Directive</w:t>
      </w:r>
      <w:r w:rsidRPr="001C338A">
        <w:t>’)</w:t>
      </w:r>
      <w:r w:rsidR="001D4E82" w:rsidRPr="001C338A">
        <w:rPr>
          <w:rStyle w:val="FootnoteReference"/>
          <w:rFonts w:asciiTheme="minorHAnsi" w:hAnsiTheme="minorHAnsi" w:cstheme="minorHAnsi"/>
          <w:szCs w:val="28"/>
        </w:rPr>
        <w:t xml:space="preserve"> </w:t>
      </w:r>
      <w:r w:rsidR="001D4E82" w:rsidRPr="001C338A">
        <w:rPr>
          <w:rStyle w:val="FootnoteReference"/>
          <w:rFonts w:asciiTheme="minorHAnsi" w:hAnsiTheme="minorHAnsi" w:cstheme="minorHAnsi"/>
          <w:szCs w:val="28"/>
        </w:rPr>
        <w:footnoteReference w:id="5"/>
      </w:r>
      <w:r w:rsidRPr="001C338A">
        <w:t xml:space="preserve"> is contained in </w:t>
      </w:r>
      <w:r w:rsidR="00FC5D88" w:rsidRPr="001C338A">
        <w:t xml:space="preserve">WF </w:t>
      </w:r>
      <w:r w:rsidRPr="001C338A">
        <w:t>Annex 1</w:t>
      </w:r>
      <w:r w:rsidR="003F0A31" w:rsidRPr="001C338A">
        <w:t xml:space="preserve"> </w:t>
      </w:r>
      <w:r w:rsidR="003F0A31" w:rsidRPr="001C338A">
        <w:rPr>
          <w:rFonts w:cstheme="minorHAnsi"/>
          <w:szCs w:val="28"/>
        </w:rPr>
        <w:t>and</w:t>
      </w:r>
      <w:r w:rsidR="00656A45" w:rsidRPr="001C338A">
        <w:rPr>
          <w:rFonts w:cstheme="minorHAnsi"/>
          <w:szCs w:val="28"/>
        </w:rPr>
        <w:t xml:space="preserve"> therefore</w:t>
      </w:r>
      <w:r w:rsidR="003F0A31" w:rsidRPr="001C338A">
        <w:rPr>
          <w:rFonts w:cstheme="minorHAnsi"/>
          <w:szCs w:val="28"/>
        </w:rPr>
        <w:t xml:space="preserve"> clearly falls within the scope of the dynamic alignment requirements of </w:t>
      </w:r>
      <w:r w:rsidR="00B027C6" w:rsidRPr="001C338A">
        <w:rPr>
          <w:rFonts w:cstheme="minorHAnsi"/>
          <w:szCs w:val="28"/>
        </w:rPr>
        <w:t xml:space="preserve">WF </w:t>
      </w:r>
      <w:r w:rsidR="003F0A31" w:rsidRPr="001C338A">
        <w:rPr>
          <w:rFonts w:cstheme="minorHAnsi"/>
          <w:szCs w:val="28"/>
        </w:rPr>
        <w:t>Article 13(3) and engages the ‘keeping pace’ commitment.</w:t>
      </w:r>
      <w:r w:rsidR="00FB1B76" w:rsidRPr="001C338A">
        <w:rPr>
          <w:rFonts w:cstheme="minorHAnsi"/>
          <w:szCs w:val="28"/>
        </w:rPr>
        <w:t xml:space="preserve"> </w:t>
      </w:r>
      <w:r w:rsidR="00D03F29" w:rsidRPr="001C338A">
        <w:rPr>
          <w:rFonts w:cstheme="minorHAnsi"/>
          <w:szCs w:val="28"/>
        </w:rPr>
        <w:t xml:space="preserve">Of </w:t>
      </w:r>
      <w:proofErr w:type="gramStart"/>
      <w:r w:rsidR="00D03F29" w:rsidRPr="001C338A">
        <w:rPr>
          <w:rFonts w:cstheme="minorHAnsi"/>
          <w:szCs w:val="28"/>
        </w:rPr>
        <w:t>particular relevance</w:t>
      </w:r>
      <w:proofErr w:type="gramEnd"/>
      <w:r w:rsidR="00D03F29" w:rsidRPr="001C338A">
        <w:rPr>
          <w:rFonts w:cstheme="minorHAnsi"/>
          <w:szCs w:val="28"/>
        </w:rPr>
        <w:t xml:space="preserve"> is </w:t>
      </w:r>
      <w:r w:rsidR="00996BEA" w:rsidRPr="001C338A">
        <w:rPr>
          <w:rFonts w:cstheme="minorHAnsi"/>
          <w:szCs w:val="28"/>
        </w:rPr>
        <w:t xml:space="preserve">the fact </w:t>
      </w:r>
      <w:r w:rsidR="00D03F29" w:rsidRPr="001C338A">
        <w:rPr>
          <w:rFonts w:cstheme="minorHAnsi"/>
          <w:szCs w:val="28"/>
        </w:rPr>
        <w:t>that t</w:t>
      </w:r>
      <w:r w:rsidR="00FB1B76" w:rsidRPr="001C338A">
        <w:rPr>
          <w:rFonts w:cstheme="minorHAnsi"/>
          <w:szCs w:val="28"/>
        </w:rPr>
        <w:t xml:space="preserve">he Recast Directive (Article 4) </w:t>
      </w:r>
      <w:r w:rsidR="00FB1B76" w:rsidRPr="001C338A">
        <w:rPr>
          <w:rFonts w:cstheme="minorHAnsi"/>
          <w:color w:val="333333"/>
          <w:szCs w:val="28"/>
        </w:rPr>
        <w:t xml:space="preserve">includes provisions prohibiting direct and indirect discrimination on the grounds of sex </w:t>
      </w:r>
      <w:r w:rsidR="00FB1B76" w:rsidRPr="001C338A">
        <w:t>for the same work or for work of equal value.</w:t>
      </w:r>
      <w:r w:rsidR="00FB1B76" w:rsidRPr="001C338A">
        <w:rPr>
          <w:rStyle w:val="FootnoteReference"/>
          <w:rFonts w:cstheme="minorHAnsi"/>
          <w:szCs w:val="28"/>
        </w:rPr>
        <w:footnoteReference w:id="6"/>
      </w:r>
    </w:p>
    <w:p w14:paraId="0CF0B2EE" w14:textId="3AFBC204" w:rsidR="00B96202" w:rsidRPr="001C338A" w:rsidRDefault="00B47714" w:rsidP="003105D9">
      <w:pPr>
        <w:pStyle w:val="11NumPara"/>
      </w:pPr>
      <w:r w:rsidRPr="3C5D35AC">
        <w:t>The EU Pay Transparency Directive (‘</w:t>
      </w:r>
      <w:r w:rsidRPr="3C5D35AC">
        <w:rPr>
          <w:b/>
        </w:rPr>
        <w:t>PTD</w:t>
      </w:r>
      <w:r w:rsidRPr="3C5D35AC">
        <w:t>’)</w:t>
      </w:r>
      <w:r w:rsidR="00CF5657" w:rsidRPr="3C5D35AC">
        <w:t xml:space="preserve">, </w:t>
      </w:r>
      <w:r w:rsidR="00CF5657" w:rsidRPr="001C338A">
        <w:t>Directive 2023/970</w:t>
      </w:r>
      <w:r w:rsidR="0084296B" w:rsidRPr="3C5D35AC">
        <w:t>,</w:t>
      </w:r>
      <w:r w:rsidR="008F6E3D" w:rsidRPr="3C5D35AC">
        <w:t xml:space="preserve"> </w:t>
      </w:r>
      <w:r w:rsidR="004B7A90" w:rsidRPr="3C5D35AC">
        <w:t>to strengthen the application of the principle of equal pay for equal work or work of equal value</w:t>
      </w:r>
      <w:r w:rsidR="00CF5657" w:rsidRPr="3C5D35AC">
        <w:t>,</w:t>
      </w:r>
      <w:r w:rsidR="004B7A90" w:rsidRPr="3C5D35AC">
        <w:t xml:space="preserve"> between men and women through pay transparency and enforcement </w:t>
      </w:r>
      <w:r w:rsidR="004B7A90" w:rsidRPr="3C5D35AC">
        <w:lastRenderedPageBreak/>
        <w:t>mechanisms</w:t>
      </w:r>
      <w:r w:rsidR="00A800D2" w:rsidRPr="3C5D35AC">
        <w:t>,</w:t>
      </w:r>
      <w:r w:rsidR="004B7A90" w:rsidRPr="3C5D35AC">
        <w:t xml:space="preserve"> </w:t>
      </w:r>
      <w:r w:rsidR="00656A45" w:rsidRPr="3C5D35AC">
        <w:t>of</w:t>
      </w:r>
      <w:r w:rsidRPr="3C5D35AC">
        <w:t xml:space="preserve"> 10 May 2023 came into force on 6 June 2023</w:t>
      </w:r>
      <w:r w:rsidR="00FB222F">
        <w:t>.</w:t>
      </w:r>
      <w:r w:rsidRPr="3C5D35AC">
        <w:rPr>
          <w:rStyle w:val="FootnoteReference"/>
          <w:rFonts w:asciiTheme="minorHAnsi" w:hAnsiTheme="minorHAnsi"/>
        </w:rPr>
        <w:footnoteReference w:id="7"/>
      </w:r>
      <w:r w:rsidRPr="3C5D35AC">
        <w:t xml:space="preserve"> The provisions of the PTD must be transposed by Member States by 7 June 2026.</w:t>
      </w:r>
    </w:p>
    <w:p w14:paraId="2422D057" w14:textId="20AA9F82" w:rsidR="00CD7CD2" w:rsidRPr="001C338A" w:rsidRDefault="004D2889" w:rsidP="00CD7CD2">
      <w:pPr>
        <w:pStyle w:val="11NumPara"/>
      </w:pPr>
      <w:r w:rsidRPr="001C338A">
        <w:rPr>
          <w:rFonts w:cstheme="minorHAnsi"/>
          <w:szCs w:val="28"/>
        </w:rPr>
        <w:t>As reflected in its title, t</w:t>
      </w:r>
      <w:r w:rsidR="00CD7CD2" w:rsidRPr="001C338A">
        <w:rPr>
          <w:rFonts w:cstheme="minorHAnsi"/>
          <w:szCs w:val="28"/>
        </w:rPr>
        <w:t>he PTD aims to strengthen the application of the principle of equal pay for equal work or work of equal value between men and women through pay transparency and enforcement mechanisms</w:t>
      </w:r>
      <w:proofErr w:type="gramStart"/>
      <w:r w:rsidR="00CD7CD2" w:rsidRPr="001C338A">
        <w:rPr>
          <w:rFonts w:cstheme="minorHAnsi"/>
          <w:szCs w:val="28"/>
        </w:rPr>
        <w:t xml:space="preserve">. </w:t>
      </w:r>
      <w:r w:rsidR="003B53C7" w:rsidRPr="001C338A">
        <w:rPr>
          <w:rFonts w:cstheme="minorHAnsi"/>
          <w:szCs w:val="28"/>
        </w:rPr>
        <w:t xml:space="preserve"> </w:t>
      </w:r>
      <w:proofErr w:type="gramEnd"/>
    </w:p>
    <w:p w14:paraId="1010C9B5" w14:textId="6F7010BF" w:rsidR="00890F21" w:rsidRPr="001C338A" w:rsidRDefault="00713D4C" w:rsidP="00CD7CD2">
      <w:pPr>
        <w:pStyle w:val="11NumPara"/>
        <w:rPr>
          <w:rFonts w:asciiTheme="minorHAnsi" w:hAnsiTheme="minorHAnsi" w:cstheme="minorHAnsi"/>
          <w:szCs w:val="28"/>
        </w:rPr>
      </w:pPr>
      <w:r w:rsidRPr="001C338A">
        <w:rPr>
          <w:rFonts w:asciiTheme="minorHAnsi" w:hAnsiTheme="minorHAnsi" w:cstheme="minorHAnsi"/>
          <w:szCs w:val="28"/>
        </w:rPr>
        <w:t xml:space="preserve">Both the Recast Directive and the PTD </w:t>
      </w:r>
      <w:proofErr w:type="gramStart"/>
      <w:r w:rsidR="009A508F" w:rsidRPr="001C338A">
        <w:rPr>
          <w:rFonts w:asciiTheme="minorHAnsi" w:hAnsiTheme="minorHAnsi" w:cstheme="minorHAnsi"/>
          <w:szCs w:val="28"/>
        </w:rPr>
        <w:t xml:space="preserve">were </w:t>
      </w:r>
      <w:r w:rsidR="0075228F" w:rsidRPr="001C338A">
        <w:rPr>
          <w:rFonts w:asciiTheme="minorHAnsi" w:hAnsiTheme="minorHAnsi" w:cstheme="minorHAnsi"/>
          <w:szCs w:val="28"/>
        </w:rPr>
        <w:t>adopted</w:t>
      </w:r>
      <w:proofErr w:type="gramEnd"/>
      <w:r w:rsidR="0075228F" w:rsidRPr="001C338A">
        <w:rPr>
          <w:rFonts w:asciiTheme="minorHAnsi" w:hAnsiTheme="minorHAnsi" w:cstheme="minorHAnsi"/>
          <w:szCs w:val="28"/>
        </w:rPr>
        <w:t xml:space="preserve"> pursuant to </w:t>
      </w:r>
      <w:r w:rsidR="00890F21" w:rsidRPr="001C338A">
        <w:rPr>
          <w:rFonts w:asciiTheme="minorHAnsi" w:hAnsiTheme="minorHAnsi" w:cstheme="minorHAnsi"/>
          <w:kern w:val="0"/>
          <w:szCs w:val="28"/>
          <w14:ligatures w14:val="none"/>
        </w:rPr>
        <w:t>Article 157 TFEU</w:t>
      </w:r>
      <w:r w:rsidR="00E37897" w:rsidRPr="001C338A">
        <w:rPr>
          <w:rStyle w:val="FootnoteReference"/>
          <w:rFonts w:asciiTheme="minorHAnsi" w:hAnsiTheme="minorHAnsi" w:cstheme="minorHAnsi"/>
          <w:kern w:val="0"/>
          <w:szCs w:val="28"/>
          <w14:ligatures w14:val="none"/>
        </w:rPr>
        <w:footnoteReference w:id="8"/>
      </w:r>
      <w:r w:rsidR="00890F21" w:rsidRPr="001C338A">
        <w:rPr>
          <w:rFonts w:asciiTheme="minorHAnsi" w:hAnsiTheme="minorHAnsi" w:cstheme="minorHAnsi"/>
          <w:kern w:val="0"/>
          <w:szCs w:val="28"/>
          <w14:ligatures w14:val="none"/>
        </w:rPr>
        <w:t xml:space="preserve"> which obliges EU Member States to ensure that the principle of equal pay for male and female workers for equal work or work of equal value is applied. It also provides for the adoption by the EU of measures to ensure the application of the principle of equal opportunities and equal treatment of </w:t>
      </w:r>
      <w:proofErr w:type="gramStart"/>
      <w:r w:rsidR="00890F21" w:rsidRPr="001C338A">
        <w:rPr>
          <w:rFonts w:asciiTheme="minorHAnsi" w:hAnsiTheme="minorHAnsi" w:cstheme="minorHAnsi"/>
          <w:kern w:val="0"/>
          <w:szCs w:val="28"/>
          <w14:ligatures w14:val="none"/>
        </w:rPr>
        <w:t>men and women</w:t>
      </w:r>
      <w:proofErr w:type="gramEnd"/>
      <w:r w:rsidR="00890F21" w:rsidRPr="001C338A">
        <w:rPr>
          <w:rFonts w:asciiTheme="minorHAnsi" w:hAnsiTheme="minorHAnsi" w:cstheme="minorHAnsi"/>
          <w:kern w:val="0"/>
          <w:szCs w:val="28"/>
          <w14:ligatures w14:val="none"/>
        </w:rPr>
        <w:t xml:space="preserve"> in matters of employment and occupation, including the principle of equal pay for equal work or work of equal value.</w:t>
      </w:r>
    </w:p>
    <w:p w14:paraId="49B05C6B" w14:textId="5041C40E" w:rsidR="00D64B97" w:rsidRPr="001C338A" w:rsidRDefault="00E05ADF" w:rsidP="00CD7CD2">
      <w:pPr>
        <w:pStyle w:val="11NumPara"/>
        <w:rPr>
          <w:rFonts w:asciiTheme="minorHAnsi" w:hAnsiTheme="minorHAnsi"/>
        </w:rPr>
      </w:pPr>
      <w:r w:rsidRPr="39BC34B0">
        <w:rPr>
          <w:rFonts w:asciiTheme="minorHAnsi" w:hAnsiTheme="minorHAnsi"/>
        </w:rPr>
        <w:t>Further, t</w:t>
      </w:r>
      <w:r w:rsidR="00141637" w:rsidRPr="39BC34B0">
        <w:rPr>
          <w:rFonts w:asciiTheme="minorHAnsi" w:hAnsiTheme="minorHAnsi"/>
        </w:rPr>
        <w:t>he European Commission has obligations under the Windsor Framework</w:t>
      </w:r>
      <w:r w:rsidR="00141637" w:rsidRPr="39BC34B0">
        <w:rPr>
          <w:rStyle w:val="FootnoteReference"/>
          <w:rFonts w:asciiTheme="minorHAnsi" w:hAnsiTheme="minorHAnsi"/>
        </w:rPr>
        <w:footnoteReference w:id="9"/>
      </w:r>
      <w:r w:rsidR="00141637" w:rsidRPr="39BC34B0">
        <w:rPr>
          <w:rFonts w:asciiTheme="minorHAnsi" w:hAnsiTheme="minorHAnsi"/>
        </w:rPr>
        <w:t xml:space="preserve"> to inform the Joint Consultative Working Group </w:t>
      </w:r>
      <w:r w:rsidR="00E02A86" w:rsidRPr="39BC34B0">
        <w:rPr>
          <w:rFonts w:asciiTheme="minorHAnsi" w:hAnsiTheme="minorHAnsi"/>
        </w:rPr>
        <w:t xml:space="preserve">on the WF </w:t>
      </w:r>
      <w:r w:rsidR="00141637" w:rsidRPr="39BC34B0">
        <w:rPr>
          <w:rFonts w:asciiTheme="minorHAnsi" w:hAnsiTheme="minorHAnsi"/>
        </w:rPr>
        <w:t xml:space="preserve">in a timely manner of </w:t>
      </w:r>
      <w:r w:rsidR="009F1FEA" w:rsidRPr="39BC34B0">
        <w:rPr>
          <w:rFonts w:asciiTheme="minorHAnsi" w:hAnsiTheme="minorHAnsi"/>
        </w:rPr>
        <w:t xml:space="preserve">proposed </w:t>
      </w:r>
      <w:r w:rsidR="00141637" w:rsidRPr="39BC34B0">
        <w:rPr>
          <w:rFonts w:asciiTheme="minorHAnsi" w:hAnsiTheme="minorHAnsi"/>
        </w:rPr>
        <w:t xml:space="preserve">EU measures </w:t>
      </w:r>
      <w:r w:rsidR="009F1FEA" w:rsidRPr="39BC34B0">
        <w:rPr>
          <w:rFonts w:asciiTheme="minorHAnsi" w:hAnsiTheme="minorHAnsi"/>
        </w:rPr>
        <w:t xml:space="preserve">within the scope of </w:t>
      </w:r>
      <w:r w:rsidR="008B5883" w:rsidRPr="39BC34B0">
        <w:rPr>
          <w:rFonts w:asciiTheme="minorHAnsi" w:hAnsiTheme="minorHAnsi"/>
        </w:rPr>
        <w:t xml:space="preserve">the </w:t>
      </w:r>
      <w:r w:rsidR="00E2300D" w:rsidRPr="39BC34B0">
        <w:rPr>
          <w:rFonts w:asciiTheme="minorHAnsi" w:hAnsiTheme="minorHAnsi"/>
        </w:rPr>
        <w:t xml:space="preserve">WF </w:t>
      </w:r>
      <w:r w:rsidR="00141637" w:rsidRPr="39BC34B0">
        <w:rPr>
          <w:rFonts w:asciiTheme="minorHAnsi" w:hAnsiTheme="minorHAnsi"/>
        </w:rPr>
        <w:t xml:space="preserve">that </w:t>
      </w:r>
    </w:p>
    <w:p w14:paraId="2DE0C01D" w14:textId="52DB2B3F" w:rsidR="00141637" w:rsidRPr="001C338A" w:rsidRDefault="00141637" w:rsidP="39BC34B0">
      <w:pPr>
        <w:pStyle w:val="11NumPara"/>
        <w:numPr>
          <w:ilvl w:val="1"/>
          <w:numId w:val="0"/>
        </w:numPr>
        <w:ind w:left="709"/>
        <w:rPr>
          <w:rFonts w:asciiTheme="minorHAnsi" w:hAnsiTheme="minorHAnsi"/>
        </w:rPr>
      </w:pPr>
      <w:r w:rsidRPr="39BC34B0">
        <w:rPr>
          <w:rFonts w:asciiTheme="minorHAnsi" w:hAnsiTheme="minorHAnsi"/>
        </w:rPr>
        <w:t>amends or replace</w:t>
      </w:r>
      <w:r w:rsidR="00D64B97" w:rsidRPr="39BC34B0">
        <w:rPr>
          <w:rFonts w:asciiTheme="minorHAnsi" w:hAnsiTheme="minorHAnsi"/>
        </w:rPr>
        <w:t xml:space="preserve"> </w:t>
      </w:r>
      <w:r w:rsidR="007671A8" w:rsidRPr="39BC34B0">
        <w:rPr>
          <w:rFonts w:asciiTheme="minorHAnsi" w:hAnsiTheme="minorHAnsi"/>
        </w:rPr>
        <w:t xml:space="preserve">EU law </w:t>
      </w:r>
      <w:r w:rsidRPr="39BC34B0">
        <w:rPr>
          <w:rFonts w:asciiTheme="minorHAnsi" w:hAnsiTheme="minorHAnsi"/>
        </w:rPr>
        <w:t xml:space="preserve">in </w:t>
      </w:r>
      <w:r w:rsidR="009A79E5" w:rsidRPr="39BC34B0">
        <w:rPr>
          <w:rFonts w:asciiTheme="minorHAnsi" w:hAnsiTheme="minorHAnsi"/>
        </w:rPr>
        <w:t xml:space="preserve">Annex 1 to the WF, as well as other </w:t>
      </w:r>
      <w:r w:rsidRPr="39BC34B0">
        <w:rPr>
          <w:rFonts w:asciiTheme="minorHAnsi" w:hAnsiTheme="minorHAnsi"/>
        </w:rPr>
        <w:t>Annex</w:t>
      </w:r>
      <w:r w:rsidR="007671A8" w:rsidRPr="39BC34B0">
        <w:rPr>
          <w:rFonts w:asciiTheme="minorHAnsi" w:hAnsiTheme="minorHAnsi"/>
        </w:rPr>
        <w:t>es to the WF</w:t>
      </w:r>
      <w:r w:rsidR="009A79E5" w:rsidRPr="39BC34B0">
        <w:rPr>
          <w:rFonts w:asciiTheme="minorHAnsi" w:hAnsiTheme="minorHAnsi"/>
        </w:rPr>
        <w:t xml:space="preserve">. </w:t>
      </w:r>
      <w:r w:rsidR="00E2300D" w:rsidRPr="001C338A">
        <w:t xml:space="preserve">To date the European Commission has not informed the </w:t>
      </w:r>
      <w:r w:rsidR="00E2300D" w:rsidRPr="39BC34B0">
        <w:rPr>
          <w:rFonts w:asciiTheme="minorHAnsi" w:hAnsiTheme="minorHAnsi"/>
        </w:rPr>
        <w:t>Joint Consultative Working Group</w:t>
      </w:r>
      <w:r w:rsidR="00E2300D" w:rsidRPr="001C338A">
        <w:t xml:space="preserve"> of the PTD in this context.</w:t>
      </w:r>
    </w:p>
    <w:p w14:paraId="5E3712AF" w14:textId="509FD968" w:rsidR="00E05ADF" w:rsidRPr="001C338A" w:rsidRDefault="00E05ADF" w:rsidP="00CD7CD2">
      <w:pPr>
        <w:pStyle w:val="11NumPara"/>
        <w:rPr>
          <w:rFonts w:asciiTheme="minorHAnsi" w:hAnsiTheme="minorHAnsi" w:cstheme="minorHAnsi"/>
          <w:szCs w:val="28"/>
        </w:rPr>
      </w:pPr>
      <w:r w:rsidRPr="001C338A">
        <w:t xml:space="preserve">In addition, to date there has been no clear indication from the UK Government that </w:t>
      </w:r>
      <w:r w:rsidR="007009B1" w:rsidRPr="001C338A">
        <w:t xml:space="preserve">it </w:t>
      </w:r>
      <w:r w:rsidRPr="001C338A">
        <w:t xml:space="preserve">is committed to ensuring that relevant protections in Northern Ireland’s equality legislation relating to equal pay will </w:t>
      </w:r>
      <w:proofErr w:type="gramStart"/>
      <w:r w:rsidRPr="001C338A">
        <w:t>be amended</w:t>
      </w:r>
      <w:proofErr w:type="gramEnd"/>
      <w:r w:rsidRPr="001C338A">
        <w:t xml:space="preserve"> to keep pace with the provisions of the PTD, </w:t>
      </w:r>
      <w:r w:rsidR="00B91583" w:rsidRPr="001C338A">
        <w:t>further to its dynamic obligations under the WF</w:t>
      </w:r>
      <w:r w:rsidRPr="001C338A">
        <w:t>.</w:t>
      </w:r>
      <w:r w:rsidR="002C5073" w:rsidRPr="001C338A">
        <w:t xml:space="preserve"> </w:t>
      </w:r>
      <w:r w:rsidR="0097748C" w:rsidRPr="001C338A">
        <w:t xml:space="preserve">It will </w:t>
      </w:r>
      <w:proofErr w:type="gramStart"/>
      <w:r w:rsidR="0097748C" w:rsidRPr="001C338A">
        <w:t>be noted</w:t>
      </w:r>
      <w:proofErr w:type="gramEnd"/>
      <w:r w:rsidR="0097748C" w:rsidRPr="001C338A">
        <w:t xml:space="preserve"> that u</w:t>
      </w:r>
      <w:r w:rsidR="00A41D04" w:rsidRPr="001C338A">
        <w:t>nlike in Great Britain and Ireland, t</w:t>
      </w:r>
      <w:r w:rsidR="002C5073" w:rsidRPr="001C338A">
        <w:t>her</w:t>
      </w:r>
      <w:r w:rsidR="00A41D04" w:rsidRPr="001C338A">
        <w:t xml:space="preserve">e is currently no legislation in Northern Ireland </w:t>
      </w:r>
      <w:r w:rsidR="0097748C" w:rsidRPr="001C338A">
        <w:t xml:space="preserve">requiring </w:t>
      </w:r>
      <w:r w:rsidR="00D02256" w:rsidRPr="001C338A">
        <w:t>gender pay reporting</w:t>
      </w:r>
      <w:r w:rsidR="0097748C" w:rsidRPr="001C338A">
        <w:t xml:space="preserve"> by certain employers</w:t>
      </w:r>
      <w:r w:rsidR="00D02256" w:rsidRPr="001C338A">
        <w:t>.</w:t>
      </w:r>
    </w:p>
    <w:p w14:paraId="7578FE60" w14:textId="4907177E" w:rsidR="00DB2CCE" w:rsidRPr="001C338A" w:rsidRDefault="0008110A" w:rsidP="00D81627">
      <w:pPr>
        <w:pStyle w:val="11NumPara"/>
      </w:pPr>
      <w:r w:rsidRPr="005B7F26">
        <w:rPr>
          <w:rFonts w:cstheme="minorHAnsi"/>
          <w:b/>
          <w:bCs/>
          <w:szCs w:val="28"/>
        </w:rPr>
        <w:t>This briefing paper</w:t>
      </w:r>
      <w:r w:rsidRPr="001C338A">
        <w:rPr>
          <w:rFonts w:cstheme="minorHAnsi"/>
          <w:szCs w:val="28"/>
        </w:rPr>
        <w:t xml:space="preserve"> </w:t>
      </w:r>
      <w:r w:rsidRPr="0068653C">
        <w:rPr>
          <w:rFonts w:cstheme="minorHAnsi"/>
          <w:b/>
          <w:bCs/>
          <w:szCs w:val="28"/>
        </w:rPr>
        <w:t xml:space="preserve">sets out the views of the </w:t>
      </w:r>
      <w:r w:rsidR="004B39E0" w:rsidRPr="004B39E0">
        <w:rPr>
          <w:b/>
          <w:bCs/>
        </w:rPr>
        <w:t>Equality Commission for Northern Ireland</w:t>
      </w:r>
      <w:r w:rsidR="004B39E0" w:rsidRPr="001C338A">
        <w:t xml:space="preserve"> (ECNI) </w:t>
      </w:r>
      <w:r w:rsidR="004B39E0" w:rsidRPr="004B39E0">
        <w:rPr>
          <w:b/>
          <w:bCs/>
        </w:rPr>
        <w:t xml:space="preserve">and the Northern Ireland Human Rights Commission </w:t>
      </w:r>
      <w:r w:rsidR="004B39E0" w:rsidRPr="001C338A">
        <w:t xml:space="preserve">(NIHRC) </w:t>
      </w:r>
      <w:r w:rsidRPr="0068653C">
        <w:rPr>
          <w:rFonts w:cstheme="minorHAnsi"/>
          <w:szCs w:val="28"/>
        </w:rPr>
        <w:t>(‘the Commissions’)</w:t>
      </w:r>
      <w:r w:rsidRPr="0068653C">
        <w:rPr>
          <w:rFonts w:cstheme="minorHAnsi"/>
          <w:b/>
          <w:bCs/>
          <w:szCs w:val="28"/>
        </w:rPr>
        <w:t xml:space="preserve"> on the degree to which the PTD amends or replaces the Recast Directive</w:t>
      </w:r>
      <w:r w:rsidR="00B47714" w:rsidRPr="001C338A">
        <w:rPr>
          <w:rFonts w:cstheme="minorHAnsi"/>
          <w:szCs w:val="28"/>
        </w:rPr>
        <w:t>.</w:t>
      </w:r>
    </w:p>
    <w:p w14:paraId="1ED0866E" w14:textId="77777777" w:rsidR="00491FAE" w:rsidRPr="001C338A" w:rsidRDefault="00491FAE">
      <w:pPr>
        <w:pStyle w:val="11NumPara"/>
        <w:numPr>
          <w:ilvl w:val="0"/>
          <w:numId w:val="0"/>
        </w:numPr>
        <w:rPr>
          <w:rFonts w:cstheme="minorHAnsi"/>
          <w:i/>
          <w:iCs/>
          <w:szCs w:val="28"/>
        </w:rPr>
      </w:pPr>
    </w:p>
    <w:p w14:paraId="3B304C41" w14:textId="3CF0C2C6" w:rsidR="00681052" w:rsidRPr="001C338A" w:rsidRDefault="000E4300" w:rsidP="00681052">
      <w:pPr>
        <w:pStyle w:val="11NumPara"/>
        <w:numPr>
          <w:ilvl w:val="0"/>
          <w:numId w:val="0"/>
        </w:numPr>
        <w:ind w:left="709"/>
        <w:rPr>
          <w:i/>
          <w:iCs/>
        </w:rPr>
      </w:pPr>
      <w:r w:rsidRPr="001C338A">
        <w:rPr>
          <w:rFonts w:cstheme="minorHAnsi"/>
          <w:i/>
          <w:iCs/>
          <w:szCs w:val="28"/>
        </w:rPr>
        <w:t xml:space="preserve">Key Findings and </w:t>
      </w:r>
      <w:r w:rsidR="00DA4B5F" w:rsidRPr="001C338A">
        <w:rPr>
          <w:rFonts w:cstheme="minorHAnsi"/>
          <w:i/>
          <w:iCs/>
          <w:szCs w:val="28"/>
        </w:rPr>
        <w:t xml:space="preserve">Conclusions </w:t>
      </w:r>
    </w:p>
    <w:p w14:paraId="5208CB55" w14:textId="627E152C" w:rsidR="000935B0" w:rsidRPr="001C338A" w:rsidRDefault="001D4E82" w:rsidP="00475AF0">
      <w:pPr>
        <w:pStyle w:val="11NumPara"/>
      </w:pPr>
      <w:r w:rsidRPr="001C338A">
        <w:rPr>
          <w:rFonts w:cstheme="minorHAnsi"/>
          <w:szCs w:val="28"/>
        </w:rPr>
        <w:t>In summary, the Commissions consider that</w:t>
      </w:r>
      <w:r w:rsidR="00042097">
        <w:rPr>
          <w:rFonts w:cstheme="minorHAnsi"/>
          <w:szCs w:val="28"/>
        </w:rPr>
        <w:t>,</w:t>
      </w:r>
      <w:r w:rsidR="00E24C3A" w:rsidRPr="001C338A">
        <w:rPr>
          <w:rFonts w:cstheme="minorHAnsi"/>
          <w:szCs w:val="28"/>
        </w:rPr>
        <w:t xml:space="preserve"> </w:t>
      </w:r>
      <w:r w:rsidR="00042097" w:rsidRPr="00042097">
        <w:rPr>
          <w:rFonts w:cstheme="minorHAnsi"/>
          <w:szCs w:val="28"/>
        </w:rPr>
        <w:t xml:space="preserve">apart from </w:t>
      </w:r>
      <w:proofErr w:type="gramStart"/>
      <w:r w:rsidR="00042097" w:rsidRPr="00042097">
        <w:rPr>
          <w:rFonts w:cstheme="minorHAnsi"/>
          <w:szCs w:val="28"/>
        </w:rPr>
        <w:t>a small number of</w:t>
      </w:r>
      <w:proofErr w:type="gramEnd"/>
      <w:r w:rsidR="00042097" w:rsidRPr="00042097">
        <w:rPr>
          <w:rFonts w:cstheme="minorHAnsi"/>
          <w:szCs w:val="28"/>
        </w:rPr>
        <w:t xml:space="preserve"> provisions of the PTD that are no longer relevant now that the UK has left the EU, </w:t>
      </w:r>
      <w:r w:rsidR="00E24C3A" w:rsidRPr="00042097">
        <w:rPr>
          <w:rFonts w:cstheme="minorHAnsi"/>
          <w:b/>
          <w:bCs/>
          <w:szCs w:val="28"/>
        </w:rPr>
        <w:t>all</w:t>
      </w:r>
      <w:r w:rsidR="00E24C3A" w:rsidRPr="00995992">
        <w:rPr>
          <w:rFonts w:cstheme="minorHAnsi"/>
          <w:b/>
          <w:bCs/>
          <w:szCs w:val="28"/>
        </w:rPr>
        <w:t xml:space="preserve"> </w:t>
      </w:r>
      <w:r w:rsidR="00042097" w:rsidRPr="00995992">
        <w:rPr>
          <w:rFonts w:cstheme="minorHAnsi"/>
          <w:b/>
          <w:bCs/>
          <w:szCs w:val="28"/>
        </w:rPr>
        <w:t xml:space="preserve">other </w:t>
      </w:r>
      <w:r w:rsidRPr="00995992">
        <w:rPr>
          <w:rFonts w:cstheme="minorHAnsi"/>
          <w:b/>
          <w:bCs/>
          <w:szCs w:val="28"/>
        </w:rPr>
        <w:t>provisions</w:t>
      </w:r>
      <w:r w:rsidRPr="001C338A">
        <w:rPr>
          <w:rFonts w:cstheme="minorHAnsi"/>
          <w:szCs w:val="28"/>
        </w:rPr>
        <w:t xml:space="preserve"> of the PTD</w:t>
      </w:r>
      <w:r w:rsidR="0083448E" w:rsidRPr="001C338A">
        <w:rPr>
          <w:rFonts w:cstheme="minorHAnsi"/>
          <w:szCs w:val="28"/>
        </w:rPr>
        <w:t xml:space="preserve"> </w:t>
      </w:r>
      <w:r w:rsidRPr="001C338A">
        <w:rPr>
          <w:rFonts w:cstheme="minorHAnsi"/>
          <w:szCs w:val="28"/>
        </w:rPr>
        <w:t xml:space="preserve">amend </w:t>
      </w:r>
      <w:r w:rsidR="005D4467" w:rsidRPr="001C338A">
        <w:rPr>
          <w:rFonts w:cstheme="minorHAnsi"/>
          <w:szCs w:val="28"/>
        </w:rPr>
        <w:t>and/</w:t>
      </w:r>
      <w:r w:rsidRPr="001C338A">
        <w:rPr>
          <w:rFonts w:cstheme="minorHAnsi"/>
          <w:szCs w:val="28"/>
        </w:rPr>
        <w:t>or replace provisions in the Recast Directive.</w:t>
      </w:r>
      <w:r w:rsidR="00631308" w:rsidRPr="001C338A">
        <w:rPr>
          <w:rFonts w:cstheme="minorHAnsi"/>
          <w:szCs w:val="28"/>
        </w:rPr>
        <w:t xml:space="preserve"> </w:t>
      </w:r>
      <w:r w:rsidR="00894338" w:rsidRPr="001C338A">
        <w:rPr>
          <w:rFonts w:cstheme="minorHAnsi"/>
          <w:szCs w:val="28"/>
        </w:rPr>
        <w:t xml:space="preserve">This includes as regards </w:t>
      </w:r>
      <w:r w:rsidR="00B06CC2" w:rsidRPr="001C338A">
        <w:rPr>
          <w:rFonts w:cstheme="minorHAnsi"/>
          <w:szCs w:val="28"/>
        </w:rPr>
        <w:t xml:space="preserve">changes to </w:t>
      </w:r>
      <w:r w:rsidR="00894338" w:rsidRPr="001C338A">
        <w:rPr>
          <w:rFonts w:cstheme="minorHAnsi"/>
          <w:szCs w:val="28"/>
        </w:rPr>
        <w:t xml:space="preserve">substantive rights </w:t>
      </w:r>
      <w:r w:rsidR="00096979" w:rsidRPr="001C338A">
        <w:rPr>
          <w:rFonts w:cstheme="minorHAnsi"/>
          <w:szCs w:val="28"/>
        </w:rPr>
        <w:t xml:space="preserve">and procedural rights and </w:t>
      </w:r>
      <w:r w:rsidR="004E6564" w:rsidRPr="001C338A">
        <w:rPr>
          <w:rFonts w:cstheme="minorHAnsi"/>
          <w:szCs w:val="28"/>
        </w:rPr>
        <w:t xml:space="preserve">rights relating to </w:t>
      </w:r>
      <w:r w:rsidR="00096979" w:rsidRPr="001C338A">
        <w:rPr>
          <w:rFonts w:cstheme="minorHAnsi"/>
          <w:szCs w:val="28"/>
        </w:rPr>
        <w:t>access to remedies,</w:t>
      </w:r>
      <w:r w:rsidR="005E1C0C" w:rsidRPr="001C338A">
        <w:rPr>
          <w:rFonts w:cstheme="minorHAnsi"/>
          <w:szCs w:val="28"/>
        </w:rPr>
        <w:t xml:space="preserve"> in this area. </w:t>
      </w:r>
    </w:p>
    <w:p w14:paraId="622FE149" w14:textId="03BFC32C" w:rsidR="000935B0" w:rsidRPr="001C338A" w:rsidRDefault="000935B0" w:rsidP="00475AF0">
      <w:pPr>
        <w:pStyle w:val="11NumPara"/>
      </w:pPr>
      <w:r w:rsidRPr="001C338A">
        <w:rPr>
          <w:rFonts w:cstheme="minorHAnsi"/>
          <w:szCs w:val="28"/>
        </w:rPr>
        <w:lastRenderedPageBreak/>
        <w:t xml:space="preserve">We therefore consider that the </w:t>
      </w:r>
      <w:r w:rsidRPr="001C338A">
        <w:rPr>
          <w:rFonts w:asciiTheme="minorHAnsi" w:hAnsiTheme="minorHAnsi" w:cstheme="minorHAnsi"/>
          <w:szCs w:val="28"/>
        </w:rPr>
        <w:t>UK Government, further to its dynamic alignment obligations arising out of WF Article 13 (3)</w:t>
      </w:r>
      <w:r w:rsidR="00E03539">
        <w:rPr>
          <w:rFonts w:asciiTheme="minorHAnsi" w:hAnsiTheme="minorHAnsi" w:cstheme="minorHAnsi"/>
          <w:szCs w:val="28"/>
        </w:rPr>
        <w:t>,</w:t>
      </w:r>
      <w:r w:rsidRPr="001C338A">
        <w:rPr>
          <w:rStyle w:val="FootnoteReference"/>
          <w:rFonts w:asciiTheme="minorHAnsi" w:hAnsiTheme="minorHAnsi" w:cstheme="minorHAnsi"/>
          <w:szCs w:val="28"/>
        </w:rPr>
        <w:footnoteReference w:id="10"/>
      </w:r>
      <w:r w:rsidRPr="001C338A">
        <w:rPr>
          <w:rFonts w:asciiTheme="minorHAnsi" w:hAnsiTheme="minorHAnsi" w:cstheme="minorHAnsi"/>
          <w:szCs w:val="28"/>
        </w:rPr>
        <w:t xml:space="preserve"> </w:t>
      </w:r>
      <w:r w:rsidRPr="001C338A">
        <w:rPr>
          <w:rFonts w:asciiTheme="minorHAnsi" w:hAnsiTheme="minorHAnsi" w:cstheme="minorHAnsi"/>
          <w:b/>
          <w:bCs/>
          <w:szCs w:val="28"/>
        </w:rPr>
        <w:t>must</w:t>
      </w:r>
      <w:r w:rsidRPr="001C338A">
        <w:rPr>
          <w:rFonts w:asciiTheme="minorHAnsi" w:hAnsiTheme="minorHAnsi" w:cstheme="minorHAnsi"/>
          <w:szCs w:val="28"/>
        </w:rPr>
        <w:t xml:space="preserve"> transpose the</w:t>
      </w:r>
      <w:r w:rsidR="00F7330F">
        <w:rPr>
          <w:rFonts w:asciiTheme="minorHAnsi" w:hAnsiTheme="minorHAnsi" w:cstheme="minorHAnsi"/>
          <w:szCs w:val="28"/>
        </w:rPr>
        <w:t>se</w:t>
      </w:r>
      <w:r w:rsidRPr="001C338A">
        <w:rPr>
          <w:rFonts w:asciiTheme="minorHAnsi" w:hAnsiTheme="minorHAnsi" w:cstheme="minorHAnsi"/>
          <w:szCs w:val="28"/>
        </w:rPr>
        <w:t xml:space="preserve"> provisions of the PTD into NI law by 7 June 2026.</w:t>
      </w:r>
    </w:p>
    <w:p w14:paraId="0037E5E8" w14:textId="57071DEE" w:rsidR="00457200" w:rsidRPr="001C338A" w:rsidRDefault="004F3BEA" w:rsidP="00457200">
      <w:pPr>
        <w:pStyle w:val="11NumPara"/>
      </w:pPr>
      <w:r w:rsidRPr="001C338A">
        <w:t>I</w:t>
      </w:r>
      <w:r w:rsidR="00CE5FDA" w:rsidRPr="001C338A">
        <w:t xml:space="preserve">n </w:t>
      </w:r>
      <w:r w:rsidR="009A643D" w:rsidRPr="001C338A">
        <w:t xml:space="preserve">assessing the degree to which the </w:t>
      </w:r>
      <w:r w:rsidR="009A643D" w:rsidRPr="001C338A">
        <w:rPr>
          <w:rFonts w:cstheme="minorHAnsi"/>
          <w:szCs w:val="28"/>
        </w:rPr>
        <w:t>provisions of the PTD amend and/or replace provisions in the Recast Directive</w:t>
      </w:r>
      <w:r w:rsidR="00E06444" w:rsidRPr="001C338A">
        <w:t xml:space="preserve">, </w:t>
      </w:r>
      <w:r w:rsidR="00856354" w:rsidRPr="001C338A">
        <w:t xml:space="preserve">the </w:t>
      </w:r>
      <w:r w:rsidR="00457200" w:rsidRPr="001C338A">
        <w:t xml:space="preserve">Commissions </w:t>
      </w:r>
      <w:r w:rsidR="00E06444" w:rsidRPr="001C338A">
        <w:t xml:space="preserve">have </w:t>
      </w:r>
      <w:proofErr w:type="gramStart"/>
      <w:r w:rsidR="00E06444" w:rsidRPr="001C338A">
        <w:t>taken into account</w:t>
      </w:r>
      <w:proofErr w:type="gramEnd"/>
      <w:r w:rsidR="00E06444" w:rsidRPr="001C338A">
        <w:t xml:space="preserve"> a </w:t>
      </w:r>
      <w:r w:rsidR="00457200" w:rsidRPr="001C338A">
        <w:t>number of relevant factors</w:t>
      </w:r>
      <w:r w:rsidR="00E06444" w:rsidRPr="001C338A">
        <w:t xml:space="preserve"> including that:</w:t>
      </w:r>
    </w:p>
    <w:p w14:paraId="13BD41B1" w14:textId="77777777" w:rsidR="00E06444" w:rsidRPr="001C338A" w:rsidRDefault="00E06444" w:rsidP="00E06444">
      <w:pPr>
        <w:pStyle w:val="ListParagraph"/>
      </w:pPr>
    </w:p>
    <w:p w14:paraId="7EB8D480" w14:textId="78843E86" w:rsidR="00E06444" w:rsidRPr="001C338A" w:rsidRDefault="00E06444" w:rsidP="00D006DC">
      <w:pPr>
        <w:pStyle w:val="11NumPara"/>
        <w:numPr>
          <w:ilvl w:val="0"/>
          <w:numId w:val="17"/>
        </w:numPr>
        <w:rPr>
          <w:rFonts w:cstheme="minorHAnsi"/>
          <w:szCs w:val="28"/>
        </w:rPr>
      </w:pPr>
      <w:r w:rsidRPr="001C338A">
        <w:rPr>
          <w:rFonts w:cstheme="minorHAnsi"/>
          <w:szCs w:val="28"/>
        </w:rPr>
        <w:t>the legal basis for both the PTD and the Recast Directive is the same; namely Article 157(3) TFEU</w:t>
      </w:r>
      <w:r w:rsidR="00A61DB4" w:rsidRPr="001C338A">
        <w:rPr>
          <w:rFonts w:cstheme="minorHAnsi"/>
          <w:szCs w:val="28"/>
        </w:rPr>
        <w:t xml:space="preserve"> </w:t>
      </w:r>
      <w:r w:rsidR="00E75979" w:rsidRPr="001C338A">
        <w:rPr>
          <w:rFonts w:asciiTheme="minorHAnsi" w:hAnsiTheme="minorHAnsi" w:cstheme="minorHAnsi"/>
          <w:szCs w:val="28"/>
        </w:rPr>
        <w:t xml:space="preserve">on </w:t>
      </w:r>
      <w:r w:rsidR="00A61DB4" w:rsidRPr="001C338A">
        <w:rPr>
          <w:rFonts w:asciiTheme="minorHAnsi" w:hAnsiTheme="minorHAnsi" w:cstheme="minorHAnsi"/>
          <w:color w:val="1E1E1E"/>
          <w:shd w:val="clear" w:color="auto" w:fill="FFFFFF"/>
        </w:rPr>
        <w:t>equal pay for equal</w:t>
      </w:r>
      <w:r w:rsidR="004F209F" w:rsidRPr="001C338A">
        <w:rPr>
          <w:rFonts w:asciiTheme="minorHAnsi" w:hAnsiTheme="minorHAnsi" w:cstheme="minorHAnsi"/>
          <w:color w:val="1E1E1E"/>
          <w:shd w:val="clear" w:color="auto" w:fill="FFFFFF"/>
        </w:rPr>
        <w:t xml:space="preserve"> work</w:t>
      </w:r>
      <w:r w:rsidR="00BB522E">
        <w:rPr>
          <w:rFonts w:asciiTheme="minorHAnsi" w:hAnsiTheme="minorHAnsi" w:cstheme="minorHAnsi"/>
          <w:color w:val="1E1E1E"/>
          <w:shd w:val="clear" w:color="auto" w:fill="FFFFFF"/>
        </w:rPr>
        <w:t>;</w:t>
      </w:r>
      <w:r w:rsidR="006A4D35" w:rsidRPr="001C338A">
        <w:rPr>
          <w:rStyle w:val="FootnoteReference"/>
          <w:rFonts w:cstheme="minorHAnsi"/>
          <w:szCs w:val="28"/>
        </w:rPr>
        <w:footnoteReference w:id="11"/>
      </w:r>
    </w:p>
    <w:p w14:paraId="0E1215EC" w14:textId="221D0392" w:rsidR="00E06444" w:rsidRPr="001C338A" w:rsidRDefault="00E06444" w:rsidP="00D006DC">
      <w:pPr>
        <w:pStyle w:val="11NumPara"/>
        <w:numPr>
          <w:ilvl w:val="0"/>
          <w:numId w:val="17"/>
        </w:numPr>
        <w:rPr>
          <w:rFonts w:cstheme="minorHAnsi"/>
          <w:szCs w:val="28"/>
        </w:rPr>
      </w:pPr>
      <w:r w:rsidRPr="001C338A">
        <w:rPr>
          <w:rFonts w:cstheme="minorHAnsi"/>
          <w:szCs w:val="28"/>
        </w:rPr>
        <w:t xml:space="preserve">the PTD </w:t>
      </w:r>
      <w:proofErr w:type="gramStart"/>
      <w:r w:rsidRPr="001C338A">
        <w:rPr>
          <w:rFonts w:cstheme="minorHAnsi"/>
          <w:szCs w:val="28"/>
        </w:rPr>
        <w:t>is aimed</w:t>
      </w:r>
      <w:proofErr w:type="gramEnd"/>
      <w:r w:rsidRPr="001C338A">
        <w:rPr>
          <w:rFonts w:cstheme="minorHAnsi"/>
          <w:szCs w:val="28"/>
        </w:rPr>
        <w:t xml:space="preserve"> at strengthening the application of the principle of equal pay and the prohibition of discrimination set out in the Recast Directive, through both pay transparency </w:t>
      </w:r>
      <w:r w:rsidRPr="001C338A">
        <w:rPr>
          <w:rFonts w:cstheme="minorHAnsi"/>
          <w:szCs w:val="28"/>
          <w:u w:val="single"/>
        </w:rPr>
        <w:t>and</w:t>
      </w:r>
      <w:r w:rsidRPr="001C338A">
        <w:rPr>
          <w:rFonts w:cstheme="minorHAnsi"/>
          <w:szCs w:val="28"/>
        </w:rPr>
        <w:t xml:space="preserve"> reinforced enforcement mechanisms</w:t>
      </w:r>
      <w:r w:rsidR="000F650B" w:rsidRPr="001C338A">
        <w:rPr>
          <w:rFonts w:cstheme="minorHAnsi"/>
          <w:szCs w:val="28"/>
        </w:rPr>
        <w:t>, and t</w:t>
      </w:r>
      <w:r w:rsidR="00790EBC" w:rsidRPr="001C338A">
        <w:rPr>
          <w:rFonts w:cstheme="minorHAnsi"/>
          <w:szCs w:val="28"/>
        </w:rPr>
        <w:t>his is clearly stated in the PTD</w:t>
      </w:r>
      <w:r w:rsidRPr="001C338A">
        <w:rPr>
          <w:rFonts w:cstheme="minorHAnsi"/>
          <w:szCs w:val="28"/>
        </w:rPr>
        <w:t>;</w:t>
      </w:r>
    </w:p>
    <w:p w14:paraId="4E1649F5" w14:textId="21C176CB" w:rsidR="000F4E6B" w:rsidRPr="001C338A" w:rsidRDefault="000F4E6B" w:rsidP="00D006DC">
      <w:pPr>
        <w:pStyle w:val="11NumPara"/>
        <w:numPr>
          <w:ilvl w:val="0"/>
          <w:numId w:val="17"/>
        </w:numPr>
        <w:rPr>
          <w:rFonts w:cstheme="minorHAnsi"/>
          <w:szCs w:val="28"/>
        </w:rPr>
      </w:pPr>
      <w:r w:rsidRPr="001C338A">
        <w:rPr>
          <w:rFonts w:cstheme="minorHAnsi"/>
          <w:szCs w:val="28"/>
        </w:rPr>
        <w:t>the PTD makes clear that its provisions relating to remedies and enforcement “</w:t>
      </w:r>
      <w:r w:rsidRPr="001C338A">
        <w:rPr>
          <w:rFonts w:cstheme="minorHAnsi"/>
          <w:i/>
          <w:iCs/>
          <w:szCs w:val="28"/>
        </w:rPr>
        <w:t>apply to</w:t>
      </w:r>
      <w:r w:rsidRPr="001C338A">
        <w:rPr>
          <w:rFonts w:cstheme="minorHAnsi"/>
          <w:szCs w:val="28"/>
        </w:rPr>
        <w:t xml:space="preserve">” proceedings relating to </w:t>
      </w:r>
      <w:r w:rsidR="00FB2468" w:rsidRPr="001C338A">
        <w:rPr>
          <w:rFonts w:cstheme="minorHAnsi"/>
          <w:szCs w:val="28"/>
        </w:rPr>
        <w:t xml:space="preserve">any </w:t>
      </w:r>
      <w:r w:rsidRPr="001C338A">
        <w:rPr>
          <w:rFonts w:cstheme="minorHAnsi"/>
          <w:szCs w:val="28"/>
        </w:rPr>
        <w:t>righ</w:t>
      </w:r>
      <w:r w:rsidR="00FB2468" w:rsidRPr="001C338A">
        <w:rPr>
          <w:rFonts w:cstheme="minorHAnsi"/>
          <w:szCs w:val="28"/>
        </w:rPr>
        <w:t>t or obligation relating to the principle of equal pay set out in</w:t>
      </w:r>
      <w:r w:rsidRPr="001C338A">
        <w:rPr>
          <w:rFonts w:cstheme="minorHAnsi"/>
          <w:szCs w:val="28"/>
        </w:rPr>
        <w:t xml:space="preserve"> the </w:t>
      </w:r>
      <w:r w:rsidR="00AB48D8" w:rsidRPr="001C338A">
        <w:rPr>
          <w:rFonts w:cstheme="minorHAnsi"/>
          <w:szCs w:val="28"/>
        </w:rPr>
        <w:t xml:space="preserve">Recast </w:t>
      </w:r>
      <w:r w:rsidRPr="001C338A">
        <w:rPr>
          <w:rFonts w:cstheme="minorHAnsi"/>
          <w:szCs w:val="28"/>
        </w:rPr>
        <w:t>Directive</w:t>
      </w:r>
      <w:r w:rsidR="00D006DC" w:rsidRPr="001C338A">
        <w:rPr>
          <w:rFonts w:cstheme="minorHAnsi"/>
          <w:szCs w:val="28"/>
        </w:rPr>
        <w:t xml:space="preserve"> (Article 4);</w:t>
      </w:r>
    </w:p>
    <w:p w14:paraId="34D32E92" w14:textId="48385335" w:rsidR="00EC1A01" w:rsidRPr="001C338A" w:rsidRDefault="00EC1A01" w:rsidP="00EC1A01">
      <w:pPr>
        <w:pStyle w:val="11NumPara"/>
        <w:numPr>
          <w:ilvl w:val="0"/>
          <w:numId w:val="17"/>
        </w:numPr>
        <w:rPr>
          <w:rFonts w:cstheme="minorHAnsi"/>
          <w:szCs w:val="28"/>
        </w:rPr>
      </w:pPr>
      <w:r w:rsidRPr="001C338A">
        <w:rPr>
          <w:rFonts w:cstheme="minorHAnsi"/>
          <w:szCs w:val="28"/>
        </w:rPr>
        <w:t xml:space="preserve">there is a considerable degree of overlap </w:t>
      </w:r>
      <w:r w:rsidRPr="001C338A">
        <w:rPr>
          <w:rFonts w:asciiTheme="minorHAnsi" w:hAnsiTheme="minorHAnsi" w:cstheme="minorHAnsi"/>
          <w:szCs w:val="28"/>
        </w:rPr>
        <w:t xml:space="preserve">on the substance of the rights and safeguards between the </w:t>
      </w:r>
      <w:r w:rsidRPr="001C338A">
        <w:rPr>
          <w:rFonts w:cstheme="minorHAnsi"/>
          <w:szCs w:val="28"/>
        </w:rPr>
        <w:t xml:space="preserve">PTD </w:t>
      </w:r>
      <w:r w:rsidRPr="001C338A">
        <w:rPr>
          <w:rFonts w:asciiTheme="minorHAnsi" w:hAnsiTheme="minorHAnsi" w:cstheme="minorHAnsi"/>
          <w:szCs w:val="28"/>
        </w:rPr>
        <w:t xml:space="preserve">and the </w:t>
      </w:r>
      <w:r w:rsidRPr="001C338A">
        <w:rPr>
          <w:rFonts w:cstheme="minorHAnsi"/>
          <w:szCs w:val="28"/>
        </w:rPr>
        <w:t>Recast D</w:t>
      </w:r>
      <w:r w:rsidRPr="001C338A">
        <w:rPr>
          <w:rFonts w:asciiTheme="minorHAnsi" w:hAnsiTheme="minorHAnsi" w:cstheme="minorHAnsi"/>
          <w:szCs w:val="28"/>
        </w:rPr>
        <w:t>irective</w:t>
      </w:r>
      <w:r w:rsidR="00D27C9D" w:rsidRPr="001C338A">
        <w:rPr>
          <w:rFonts w:asciiTheme="minorHAnsi" w:hAnsiTheme="minorHAnsi" w:cstheme="minorHAnsi"/>
          <w:szCs w:val="28"/>
        </w:rPr>
        <w:t xml:space="preserve">; there are </w:t>
      </w:r>
      <w:r w:rsidR="00F92484" w:rsidRPr="001C338A">
        <w:rPr>
          <w:rFonts w:asciiTheme="minorHAnsi" w:hAnsiTheme="minorHAnsi" w:cstheme="minorHAnsi"/>
          <w:szCs w:val="28"/>
        </w:rPr>
        <w:t>also references in the PTD to ‘</w:t>
      </w:r>
      <w:r w:rsidR="00F92484" w:rsidRPr="001C338A">
        <w:rPr>
          <w:rFonts w:cstheme="minorHAnsi"/>
          <w:i/>
          <w:iCs/>
          <w:color w:val="222222"/>
          <w:spacing w:val="4"/>
          <w:szCs w:val="28"/>
          <w:shd w:val="clear" w:color="auto" w:fill="FFFFFF"/>
        </w:rPr>
        <w:t xml:space="preserve">building on’ </w:t>
      </w:r>
      <w:r w:rsidR="00F92484" w:rsidRPr="001C338A">
        <w:rPr>
          <w:rFonts w:cstheme="minorHAnsi"/>
          <w:color w:val="222222"/>
          <w:spacing w:val="4"/>
          <w:szCs w:val="28"/>
          <w:shd w:val="clear" w:color="auto" w:fill="FFFFFF"/>
        </w:rPr>
        <w:t>the Recast Directive</w:t>
      </w:r>
      <w:r w:rsidR="00D638A6" w:rsidRPr="001C338A">
        <w:rPr>
          <w:rFonts w:cstheme="minorHAnsi"/>
          <w:szCs w:val="28"/>
        </w:rPr>
        <w:t xml:space="preserve">. In addition, </w:t>
      </w:r>
    </w:p>
    <w:p w14:paraId="1724B940" w14:textId="0CAE508F" w:rsidR="00457200" w:rsidRPr="001C338A" w:rsidRDefault="00FA73DE" w:rsidP="00B5603D">
      <w:pPr>
        <w:ind w:left="1429"/>
        <w:rPr>
          <w:rFonts w:ascii="Calibri" w:hAnsi="Calibri"/>
          <w:kern w:val="2"/>
          <w:sz w:val="28"/>
          <w:szCs w:val="28"/>
          <w14:ligatures w14:val="standardContextual"/>
        </w:rPr>
      </w:pPr>
      <w:r w:rsidRPr="001C338A">
        <w:rPr>
          <w:rFonts w:ascii="Calibri" w:hAnsi="Calibri"/>
          <w:kern w:val="2"/>
          <w:sz w:val="28"/>
          <w:szCs w:val="28"/>
          <w14:ligatures w14:val="standardContextual"/>
        </w:rPr>
        <w:t xml:space="preserve">the PTD clarifies </w:t>
      </w:r>
      <w:proofErr w:type="gramStart"/>
      <w:r w:rsidRPr="001C338A">
        <w:rPr>
          <w:rFonts w:ascii="Calibri" w:hAnsi="Calibri"/>
          <w:kern w:val="2"/>
          <w:sz w:val="28"/>
          <w:szCs w:val="28"/>
          <w14:ligatures w14:val="standardContextual"/>
        </w:rPr>
        <w:t>a number of</w:t>
      </w:r>
      <w:proofErr w:type="gramEnd"/>
      <w:r w:rsidRPr="001C338A">
        <w:rPr>
          <w:rFonts w:ascii="Calibri" w:hAnsi="Calibri"/>
          <w:kern w:val="2"/>
          <w:sz w:val="28"/>
          <w:szCs w:val="28"/>
          <w14:ligatures w14:val="standardContextual"/>
        </w:rPr>
        <w:t xml:space="preserve"> existing concepts in the Recast Directive</w:t>
      </w:r>
      <w:r w:rsidR="002826B2">
        <w:rPr>
          <w:rFonts w:ascii="Calibri" w:hAnsi="Calibri"/>
          <w:sz w:val="28"/>
          <w:szCs w:val="28"/>
        </w:rPr>
        <w:t>,</w:t>
      </w:r>
      <w:r w:rsidRPr="001C338A">
        <w:rPr>
          <w:rFonts w:ascii="Calibri" w:hAnsi="Calibri"/>
          <w:kern w:val="2"/>
          <w:sz w:val="28"/>
          <w:szCs w:val="28"/>
          <w14:ligatures w14:val="standardContextual"/>
        </w:rPr>
        <w:t xml:space="preserve"> including core concepts related to equal pay for equal work or work of equal value</w:t>
      </w:r>
      <w:r w:rsidR="00270530" w:rsidRPr="001C338A">
        <w:rPr>
          <w:rFonts w:ascii="Calibri" w:hAnsi="Calibri"/>
          <w:kern w:val="2"/>
          <w:sz w:val="28"/>
          <w:szCs w:val="28"/>
          <w14:ligatures w14:val="standardContextual"/>
        </w:rPr>
        <w:t>. This</w:t>
      </w:r>
      <w:r w:rsidRPr="001C338A">
        <w:rPr>
          <w:rFonts w:ascii="Calibri" w:hAnsi="Calibri"/>
          <w:kern w:val="2"/>
          <w:sz w:val="28"/>
          <w:szCs w:val="28"/>
          <w14:ligatures w14:val="standardContextual"/>
        </w:rPr>
        <w:t xml:space="preserve"> includ</w:t>
      </w:r>
      <w:r w:rsidR="00270530" w:rsidRPr="001C338A">
        <w:rPr>
          <w:rFonts w:ascii="Calibri" w:hAnsi="Calibri"/>
          <w:kern w:val="2"/>
          <w:sz w:val="28"/>
          <w:szCs w:val="28"/>
          <w14:ligatures w14:val="standardContextual"/>
        </w:rPr>
        <w:t xml:space="preserve">es </w:t>
      </w:r>
      <w:r w:rsidRPr="001C338A">
        <w:rPr>
          <w:rFonts w:ascii="Calibri" w:hAnsi="Calibri"/>
          <w:kern w:val="2"/>
          <w:sz w:val="28"/>
          <w:szCs w:val="28"/>
          <w14:ligatures w14:val="standardContextual"/>
        </w:rPr>
        <w:t>in accordance with</w:t>
      </w:r>
      <w:r w:rsidR="00BD4B78" w:rsidRPr="001C338A">
        <w:t xml:space="preserve"> </w:t>
      </w:r>
      <w:r w:rsidRPr="001C338A">
        <w:rPr>
          <w:rFonts w:ascii="Calibri" w:hAnsi="Calibri"/>
          <w:kern w:val="2"/>
          <w:sz w:val="28"/>
          <w:szCs w:val="28"/>
          <w14:ligatures w14:val="standardContextual"/>
        </w:rPr>
        <w:t>CJEU case la</w:t>
      </w:r>
      <w:r w:rsidR="00BD4B78" w:rsidRPr="001C338A">
        <w:rPr>
          <w:rFonts w:ascii="Calibri" w:hAnsi="Calibri"/>
          <w:kern w:val="2"/>
          <w:sz w:val="28"/>
          <w:szCs w:val="28"/>
          <w14:ligatures w14:val="standardContextual"/>
        </w:rPr>
        <w:t>w</w:t>
      </w:r>
      <w:r w:rsidR="00114E7C" w:rsidRPr="001C338A">
        <w:rPr>
          <w:rFonts w:ascii="Calibri" w:hAnsi="Calibri"/>
          <w:kern w:val="2"/>
          <w:sz w:val="28"/>
          <w:szCs w:val="28"/>
          <w14:ligatures w14:val="standardContextual"/>
        </w:rPr>
        <w:t xml:space="preserve">, and which strengthen rights for individuals </w:t>
      </w:r>
      <w:r w:rsidR="00B6117D" w:rsidRPr="001C338A">
        <w:rPr>
          <w:rFonts w:ascii="Calibri" w:hAnsi="Calibri"/>
          <w:kern w:val="2"/>
          <w:sz w:val="28"/>
          <w:szCs w:val="28"/>
          <w14:ligatures w14:val="standardContextual"/>
        </w:rPr>
        <w:t>facing pay discrimination</w:t>
      </w:r>
      <w:r w:rsidR="00A0091A" w:rsidRPr="001C338A">
        <w:rPr>
          <w:rFonts w:ascii="Calibri" w:hAnsi="Calibri"/>
          <w:kern w:val="2"/>
          <w:sz w:val="28"/>
          <w:szCs w:val="28"/>
          <w14:ligatures w14:val="standardContextual"/>
        </w:rPr>
        <w:t xml:space="preserve"> and facilitate the application of those concepts.</w:t>
      </w:r>
    </w:p>
    <w:p w14:paraId="2EE3E80F" w14:textId="33E4E10E" w:rsidR="00A34A93" w:rsidRPr="001C338A" w:rsidRDefault="000631AA" w:rsidP="00A34A93">
      <w:pPr>
        <w:pStyle w:val="11NumPara"/>
      </w:pPr>
      <w:r w:rsidRPr="57572383">
        <w:rPr>
          <w:rFonts w:asciiTheme="minorHAnsi" w:hAnsiTheme="minorHAnsi"/>
        </w:rPr>
        <w:t xml:space="preserve">It is </w:t>
      </w:r>
      <w:r w:rsidR="0072475E" w:rsidRPr="57572383">
        <w:rPr>
          <w:rFonts w:asciiTheme="minorHAnsi" w:hAnsiTheme="minorHAnsi"/>
        </w:rPr>
        <w:t xml:space="preserve">therefore </w:t>
      </w:r>
      <w:r w:rsidR="00A938DC" w:rsidRPr="57572383">
        <w:rPr>
          <w:rFonts w:asciiTheme="minorHAnsi" w:hAnsiTheme="minorHAnsi"/>
        </w:rPr>
        <w:t xml:space="preserve">apparent </w:t>
      </w:r>
      <w:r w:rsidRPr="57572383">
        <w:rPr>
          <w:rFonts w:asciiTheme="minorHAnsi" w:hAnsiTheme="minorHAnsi"/>
        </w:rPr>
        <w:t xml:space="preserve">from </w:t>
      </w:r>
      <w:r w:rsidR="00D50A5E" w:rsidRPr="57572383">
        <w:rPr>
          <w:rFonts w:asciiTheme="minorHAnsi" w:hAnsiTheme="minorHAnsi"/>
        </w:rPr>
        <w:t xml:space="preserve">the above </w:t>
      </w:r>
      <w:r w:rsidR="0072475E" w:rsidRPr="57572383">
        <w:rPr>
          <w:rFonts w:asciiTheme="minorHAnsi" w:hAnsiTheme="minorHAnsi"/>
        </w:rPr>
        <w:t xml:space="preserve">analysis </w:t>
      </w:r>
      <w:r w:rsidRPr="57572383">
        <w:rPr>
          <w:rFonts w:asciiTheme="minorHAnsi" w:hAnsiTheme="minorHAnsi"/>
        </w:rPr>
        <w:t xml:space="preserve">that </w:t>
      </w:r>
      <w:r w:rsidR="00D50A5E" w:rsidRPr="57572383">
        <w:rPr>
          <w:rFonts w:asciiTheme="minorHAnsi" w:hAnsiTheme="minorHAnsi"/>
        </w:rPr>
        <w:t xml:space="preserve">both </w:t>
      </w:r>
      <w:r w:rsidR="00A938DC" w:rsidRPr="57572383">
        <w:rPr>
          <w:rFonts w:asciiTheme="minorHAnsi" w:hAnsiTheme="minorHAnsi"/>
        </w:rPr>
        <w:t xml:space="preserve">the PTD and </w:t>
      </w:r>
      <w:r w:rsidR="00D50A5E" w:rsidRPr="57572383">
        <w:rPr>
          <w:rFonts w:asciiTheme="minorHAnsi" w:hAnsiTheme="minorHAnsi"/>
        </w:rPr>
        <w:t>the provisions within the</w:t>
      </w:r>
      <w:r w:rsidR="00A938DC" w:rsidRPr="57572383">
        <w:rPr>
          <w:rFonts w:asciiTheme="minorHAnsi" w:hAnsiTheme="minorHAnsi"/>
        </w:rPr>
        <w:t xml:space="preserve"> Recast Directive</w:t>
      </w:r>
      <w:r w:rsidR="009412FD" w:rsidRPr="57572383">
        <w:rPr>
          <w:rFonts w:asciiTheme="minorHAnsi" w:hAnsiTheme="minorHAnsi"/>
        </w:rPr>
        <w:t xml:space="preserve"> </w:t>
      </w:r>
      <w:r w:rsidR="00D50A5E" w:rsidRPr="57572383">
        <w:rPr>
          <w:rFonts w:asciiTheme="minorHAnsi" w:hAnsiTheme="minorHAnsi"/>
        </w:rPr>
        <w:t xml:space="preserve">on equal pay </w:t>
      </w:r>
      <w:proofErr w:type="gramStart"/>
      <w:r w:rsidR="00D50A5E" w:rsidRPr="57572383">
        <w:rPr>
          <w:rFonts w:asciiTheme="minorHAnsi" w:hAnsiTheme="minorHAnsi"/>
        </w:rPr>
        <w:t xml:space="preserve">are </w:t>
      </w:r>
      <w:r w:rsidR="00A34A93" w:rsidRPr="57572383">
        <w:rPr>
          <w:rFonts w:asciiTheme="minorHAnsi" w:hAnsiTheme="minorHAnsi"/>
        </w:rPr>
        <w:t xml:space="preserve">primarily </w:t>
      </w:r>
      <w:r w:rsidR="00D50A5E" w:rsidRPr="57572383">
        <w:rPr>
          <w:rFonts w:asciiTheme="minorHAnsi" w:hAnsiTheme="minorHAnsi"/>
        </w:rPr>
        <w:t>aimed</w:t>
      </w:r>
      <w:proofErr w:type="gramEnd"/>
      <w:r w:rsidR="009B1F58" w:rsidRPr="57572383">
        <w:rPr>
          <w:rFonts w:asciiTheme="minorHAnsi" w:hAnsiTheme="minorHAnsi"/>
        </w:rPr>
        <w:t xml:space="preserve"> </w:t>
      </w:r>
      <w:r w:rsidR="00D50A5E" w:rsidRPr="57572383">
        <w:rPr>
          <w:rFonts w:asciiTheme="minorHAnsi" w:hAnsiTheme="minorHAnsi"/>
        </w:rPr>
        <w:t xml:space="preserve">at </w:t>
      </w:r>
      <w:r w:rsidR="00A723EC" w:rsidRPr="57572383">
        <w:rPr>
          <w:rFonts w:asciiTheme="minorHAnsi" w:hAnsiTheme="minorHAnsi"/>
        </w:rPr>
        <w:t xml:space="preserve">strengthening </w:t>
      </w:r>
      <w:r w:rsidR="009D6CB4" w:rsidRPr="57572383">
        <w:rPr>
          <w:rFonts w:asciiTheme="minorHAnsi" w:hAnsiTheme="minorHAnsi"/>
        </w:rPr>
        <w:t xml:space="preserve">the application </w:t>
      </w:r>
      <w:r w:rsidR="00EF123F" w:rsidRPr="57572383">
        <w:rPr>
          <w:rFonts w:asciiTheme="minorHAnsi" w:hAnsiTheme="minorHAnsi"/>
        </w:rPr>
        <w:t xml:space="preserve">and enforcement </w:t>
      </w:r>
      <w:r w:rsidR="009D6CB4" w:rsidRPr="57572383">
        <w:rPr>
          <w:rFonts w:asciiTheme="minorHAnsi" w:hAnsiTheme="minorHAnsi"/>
        </w:rPr>
        <w:t xml:space="preserve">of </w:t>
      </w:r>
      <w:r w:rsidR="00EF123F" w:rsidRPr="57572383">
        <w:rPr>
          <w:rFonts w:asciiTheme="minorHAnsi" w:hAnsiTheme="minorHAnsi"/>
        </w:rPr>
        <w:t xml:space="preserve">the principle of </w:t>
      </w:r>
      <w:r w:rsidR="00182CF9" w:rsidRPr="57572383">
        <w:rPr>
          <w:rFonts w:asciiTheme="minorHAnsi" w:hAnsiTheme="minorHAnsi"/>
          <w:kern w:val="0"/>
          <w14:ligatures w14:val="none"/>
        </w:rPr>
        <w:t>equal pay and</w:t>
      </w:r>
      <w:r w:rsidR="00EF123F" w:rsidRPr="57572383">
        <w:rPr>
          <w:rFonts w:asciiTheme="minorHAnsi" w:hAnsiTheme="minorHAnsi"/>
          <w:kern w:val="0"/>
          <w14:ligatures w14:val="none"/>
        </w:rPr>
        <w:t xml:space="preserve"> the prohibition of </w:t>
      </w:r>
      <w:r w:rsidR="00182CF9" w:rsidRPr="57572383">
        <w:rPr>
          <w:rFonts w:asciiTheme="minorHAnsi" w:hAnsiTheme="minorHAnsi"/>
          <w:kern w:val="0"/>
          <w14:ligatures w14:val="none"/>
        </w:rPr>
        <w:t>discrimination</w:t>
      </w:r>
      <w:r w:rsidR="005B615D" w:rsidRPr="57572383">
        <w:rPr>
          <w:rFonts w:asciiTheme="minorHAnsi" w:hAnsiTheme="minorHAnsi"/>
        </w:rPr>
        <w:t xml:space="preserve">. </w:t>
      </w:r>
      <w:r w:rsidR="00A34A93" w:rsidRPr="001C338A">
        <w:t xml:space="preserve">In addition, provisions in the </w:t>
      </w:r>
      <w:r w:rsidR="0072475E" w:rsidRPr="001C338A">
        <w:t xml:space="preserve">PTD </w:t>
      </w:r>
      <w:r w:rsidR="00A34A93" w:rsidRPr="001C338A">
        <w:t>build on and improve existing provisions in the Recast Directive in this area.</w:t>
      </w:r>
    </w:p>
    <w:p w14:paraId="576F40F5" w14:textId="0831A056" w:rsidR="00191342" w:rsidRPr="001C338A" w:rsidRDefault="00103B21" w:rsidP="00FB7676">
      <w:pPr>
        <w:pStyle w:val="11NumPara"/>
        <w:numPr>
          <w:ilvl w:val="0"/>
          <w:numId w:val="0"/>
        </w:numPr>
        <w:ind w:left="709"/>
      </w:pPr>
      <w:r w:rsidRPr="001C338A">
        <w:t xml:space="preserve">Aligned to this, the Commissions have set out in section 4 their views on </w:t>
      </w:r>
      <w:r w:rsidR="00140C73" w:rsidRPr="001C338A">
        <w:t xml:space="preserve">the </w:t>
      </w:r>
      <w:r w:rsidRPr="001C338A">
        <w:t>specific provisions of the PTD in the context of the</w:t>
      </w:r>
      <w:r w:rsidR="00140C73" w:rsidRPr="001C338A">
        <w:t>se</w:t>
      </w:r>
      <w:r w:rsidRPr="001C338A">
        <w:t xml:space="preserve"> factors</w:t>
      </w:r>
      <w:r w:rsidR="00F54162" w:rsidRPr="001C338A">
        <w:t>.</w:t>
      </w:r>
    </w:p>
    <w:p w14:paraId="7FDE7AE4" w14:textId="1B7E0A31" w:rsidR="00F01AF7" w:rsidRPr="001C338A" w:rsidRDefault="00F01AF7" w:rsidP="00F01AF7">
      <w:pPr>
        <w:pStyle w:val="11NumPara"/>
      </w:pPr>
      <w:r w:rsidRPr="001C338A">
        <w:t xml:space="preserve">Further, in considering the extent to which the PTD ‘amends or replaces’ the Recast Directive, the Commissions consider that it is essential that the provisions of the PTD, and their applications, </w:t>
      </w:r>
      <w:proofErr w:type="gramStart"/>
      <w:r w:rsidRPr="001C338A">
        <w:t>are considered</w:t>
      </w:r>
      <w:proofErr w:type="gramEnd"/>
      <w:r w:rsidRPr="001C338A">
        <w:t xml:space="preserve"> </w:t>
      </w:r>
      <w:r w:rsidRPr="001C338A">
        <w:rPr>
          <w:u w:val="single"/>
        </w:rPr>
        <w:t>in their entirety</w:t>
      </w:r>
      <w:r w:rsidRPr="001C338A">
        <w:t>.</w:t>
      </w:r>
    </w:p>
    <w:p w14:paraId="151D8174" w14:textId="0A3F7657" w:rsidR="00F01AF7" w:rsidRPr="001C338A" w:rsidRDefault="00F01AF7" w:rsidP="00F01AF7">
      <w:pPr>
        <w:pStyle w:val="11NumPara"/>
      </w:pPr>
      <w:r w:rsidRPr="001C338A">
        <w:t>For example, in certain areas, the provisions on remedies and enforcement in PTD Chapter III cross reference and relate to provisions in other PTD Chapters</w:t>
      </w:r>
      <w:proofErr w:type="gramStart"/>
      <w:r w:rsidRPr="001C338A">
        <w:t xml:space="preserve">.  </w:t>
      </w:r>
      <w:proofErr w:type="gramEnd"/>
    </w:p>
    <w:p w14:paraId="3BE96DE2" w14:textId="4E460243" w:rsidR="00601035" w:rsidRPr="001C338A" w:rsidRDefault="00F01AF7" w:rsidP="00205551">
      <w:pPr>
        <w:pStyle w:val="11NumPara"/>
      </w:pPr>
      <w:r w:rsidRPr="001C338A">
        <w:lastRenderedPageBreak/>
        <w:t xml:space="preserve">Further, </w:t>
      </w:r>
      <w:proofErr w:type="gramStart"/>
      <w:r w:rsidRPr="001C338A">
        <w:t>some of</w:t>
      </w:r>
      <w:proofErr w:type="gramEnd"/>
      <w:r w:rsidRPr="001C338A">
        <w:t xml:space="preserve"> the provisions on remedies and enforcement are complemented and supported by provisions in other PTD Chapters. Taking a piece meal and limited approach to the transposition of the PTD, for example, by only transposing certain (and not all) </w:t>
      </w:r>
      <w:r w:rsidR="00160F7C" w:rsidRPr="001C338A">
        <w:t xml:space="preserve">of </w:t>
      </w:r>
      <w:r w:rsidRPr="001C338A">
        <w:t>the provisions, would therefore weaken the overall effectiveness of the</w:t>
      </w:r>
      <w:r w:rsidR="00CD4E85" w:rsidRPr="001C338A">
        <w:t>se</w:t>
      </w:r>
      <w:r w:rsidRPr="001C338A">
        <w:t xml:space="preserve"> provisions, including on enforcement and remedies. </w:t>
      </w:r>
      <w:r w:rsidR="00D9181D" w:rsidRPr="001C338A">
        <w:t>As set out above, the Commissions consider that</w:t>
      </w:r>
      <w:r w:rsidR="00723DD4">
        <w:t>,</w:t>
      </w:r>
      <w:r w:rsidR="00D9181D" w:rsidRPr="001C338A">
        <w:t xml:space="preserve"> </w:t>
      </w:r>
      <w:r w:rsidR="00723DD4">
        <w:rPr>
          <w:rFonts w:asciiTheme="minorHAnsi" w:hAnsiTheme="minorHAnsi"/>
        </w:rPr>
        <w:t xml:space="preserve">apart from </w:t>
      </w:r>
      <w:r w:rsidR="00723DD4" w:rsidRPr="001C338A">
        <w:t xml:space="preserve">a small number of provisions of the PTD </w:t>
      </w:r>
      <w:r w:rsidR="00723DD4">
        <w:t xml:space="preserve">that </w:t>
      </w:r>
      <w:r w:rsidR="00723DD4" w:rsidRPr="001C338A">
        <w:t>are no</w:t>
      </w:r>
      <w:r w:rsidR="00723DD4">
        <w:t xml:space="preserve"> longer</w:t>
      </w:r>
      <w:r w:rsidR="00723DD4" w:rsidRPr="001C338A">
        <w:t xml:space="preserve"> relevant </w:t>
      </w:r>
      <w:r w:rsidR="00723DD4">
        <w:t xml:space="preserve">now </w:t>
      </w:r>
      <w:r w:rsidR="00723DD4" w:rsidRPr="001C338A">
        <w:t>that the UK has left the EU</w:t>
      </w:r>
      <w:r w:rsidR="00B0028C">
        <w:rPr>
          <w:rStyle w:val="FootnoteReference"/>
        </w:rPr>
        <w:footnoteReference w:id="12"/>
      </w:r>
      <w:r w:rsidR="00723DD4">
        <w:t xml:space="preserve">, </w:t>
      </w:r>
      <w:r w:rsidR="00D9181D" w:rsidRPr="001C338A">
        <w:t xml:space="preserve">the UK Government’s </w:t>
      </w:r>
      <w:r w:rsidR="00D9181D" w:rsidRPr="6E88F6F5">
        <w:rPr>
          <w:rFonts w:asciiTheme="minorHAnsi" w:hAnsiTheme="minorHAnsi"/>
        </w:rPr>
        <w:t>dynamic alignment obligations arising out of WF Article 13 (3)</w:t>
      </w:r>
      <w:r w:rsidR="00D9181D" w:rsidRPr="6E88F6F5">
        <w:rPr>
          <w:rStyle w:val="FootnoteReference"/>
          <w:rFonts w:asciiTheme="minorHAnsi" w:hAnsiTheme="minorHAnsi"/>
        </w:rPr>
        <w:footnoteReference w:id="13"/>
      </w:r>
      <w:r w:rsidR="00D9181D" w:rsidRPr="6E88F6F5">
        <w:rPr>
          <w:rFonts w:asciiTheme="minorHAnsi" w:hAnsiTheme="minorHAnsi"/>
        </w:rPr>
        <w:t xml:space="preserve"> apply to </w:t>
      </w:r>
      <w:r w:rsidR="00D9181D" w:rsidRPr="00723DD4">
        <w:rPr>
          <w:rFonts w:asciiTheme="minorHAnsi" w:hAnsiTheme="minorHAnsi"/>
          <w:b/>
        </w:rPr>
        <w:t>all</w:t>
      </w:r>
      <w:r w:rsidR="00D9181D" w:rsidRPr="00995992">
        <w:rPr>
          <w:rFonts w:asciiTheme="minorHAnsi" w:hAnsiTheme="minorHAnsi"/>
          <w:b/>
        </w:rPr>
        <w:t xml:space="preserve"> </w:t>
      </w:r>
      <w:r w:rsidR="00723DD4" w:rsidRPr="00995992">
        <w:rPr>
          <w:rFonts w:asciiTheme="minorHAnsi" w:hAnsiTheme="minorHAnsi"/>
          <w:b/>
        </w:rPr>
        <w:t xml:space="preserve">other </w:t>
      </w:r>
      <w:r w:rsidR="00D9181D" w:rsidRPr="00995992">
        <w:rPr>
          <w:rFonts w:asciiTheme="minorHAnsi" w:hAnsiTheme="minorHAnsi"/>
          <w:b/>
        </w:rPr>
        <w:t>provisions</w:t>
      </w:r>
      <w:r w:rsidR="00D9181D" w:rsidRPr="6E88F6F5">
        <w:rPr>
          <w:rFonts w:asciiTheme="minorHAnsi" w:hAnsiTheme="minorHAnsi"/>
        </w:rPr>
        <w:t xml:space="preserve"> of the PTD</w:t>
      </w:r>
      <w:r w:rsidR="00963711">
        <w:rPr>
          <w:rFonts w:asciiTheme="minorHAnsi" w:hAnsiTheme="minorHAnsi"/>
        </w:rPr>
        <w:t>,</w:t>
      </w:r>
      <w:r w:rsidRPr="001C338A">
        <w:t xml:space="preserve"> as outlined below.</w:t>
      </w:r>
      <w:r w:rsidR="00611573" w:rsidRPr="001C338A">
        <w:t xml:space="preserve"> </w:t>
      </w:r>
    </w:p>
    <w:p w14:paraId="7FF3A478" w14:textId="77777777" w:rsidR="00D30C1B" w:rsidRPr="001C338A" w:rsidRDefault="00CB29C7" w:rsidP="00C64118">
      <w:pPr>
        <w:pStyle w:val="11NumPara"/>
      </w:pPr>
      <w:r w:rsidRPr="001C338A">
        <w:rPr>
          <w:rFonts w:asciiTheme="minorHAnsi" w:hAnsiTheme="minorHAnsi" w:cstheme="minorHAnsi"/>
        </w:rPr>
        <w:t>In addition,</w:t>
      </w:r>
      <w:r w:rsidR="008521D0" w:rsidRPr="001C338A">
        <w:rPr>
          <w:rFonts w:asciiTheme="minorHAnsi" w:hAnsiTheme="minorHAnsi" w:cstheme="minorHAnsi"/>
        </w:rPr>
        <w:t xml:space="preserve"> </w:t>
      </w:r>
      <w:r w:rsidRPr="001C338A">
        <w:rPr>
          <w:rFonts w:asciiTheme="minorHAnsi" w:hAnsiTheme="minorHAnsi" w:cstheme="minorHAnsi"/>
        </w:rPr>
        <w:t>further</w:t>
      </w:r>
      <w:r w:rsidR="00B918D7" w:rsidRPr="001C338A">
        <w:rPr>
          <w:rFonts w:asciiTheme="minorHAnsi" w:hAnsiTheme="minorHAnsi" w:cstheme="minorHAnsi"/>
        </w:rPr>
        <w:t xml:space="preserve"> to the UK Government’s commitment </w:t>
      </w:r>
      <w:r w:rsidR="00E47E64" w:rsidRPr="001C338A">
        <w:rPr>
          <w:rFonts w:asciiTheme="minorHAnsi" w:hAnsiTheme="minorHAnsi" w:cstheme="minorHAnsi"/>
          <w:szCs w:val="28"/>
        </w:rPr>
        <w:t>arising out of WF Article 13 (3),</w:t>
      </w:r>
      <w:r w:rsidR="00B918D7" w:rsidRPr="001C338A">
        <w:rPr>
          <w:rFonts w:asciiTheme="minorHAnsi" w:hAnsiTheme="minorHAnsi" w:cstheme="minorHAnsi"/>
        </w:rPr>
        <w:t xml:space="preserve"> to introduce such changes where they ‘</w:t>
      </w:r>
      <w:r w:rsidR="00B918D7" w:rsidRPr="001C338A">
        <w:rPr>
          <w:rFonts w:asciiTheme="minorHAnsi" w:hAnsiTheme="minorHAnsi" w:cstheme="minorHAnsi"/>
          <w:i/>
          <w:iCs/>
        </w:rPr>
        <w:t>improve</w:t>
      </w:r>
      <w:r w:rsidR="00B918D7" w:rsidRPr="001C338A">
        <w:rPr>
          <w:rFonts w:asciiTheme="minorHAnsi" w:hAnsiTheme="minorHAnsi" w:cstheme="minorHAnsi"/>
        </w:rPr>
        <w:t>’ rights protections</w:t>
      </w:r>
      <w:r w:rsidR="005F4F72" w:rsidRPr="001C338A">
        <w:rPr>
          <w:rFonts w:asciiTheme="minorHAnsi" w:hAnsiTheme="minorHAnsi" w:cstheme="minorHAnsi"/>
        </w:rPr>
        <w:t>, the Commissions consider that th</w:t>
      </w:r>
      <w:r w:rsidR="008521D0" w:rsidRPr="001C338A">
        <w:rPr>
          <w:rFonts w:asciiTheme="minorHAnsi" w:hAnsiTheme="minorHAnsi" w:cstheme="minorHAnsi"/>
        </w:rPr>
        <w:t>e</w:t>
      </w:r>
      <w:r w:rsidR="005F4F72" w:rsidRPr="001C338A">
        <w:rPr>
          <w:rFonts w:asciiTheme="minorHAnsi" w:hAnsiTheme="minorHAnsi" w:cstheme="minorHAnsi"/>
        </w:rPr>
        <w:t xml:space="preserve"> provisions of the PTD </w:t>
      </w:r>
      <w:r w:rsidR="008521D0" w:rsidRPr="001C338A">
        <w:rPr>
          <w:rFonts w:asciiTheme="minorHAnsi" w:hAnsiTheme="minorHAnsi" w:cstheme="minorHAnsi"/>
        </w:rPr>
        <w:t xml:space="preserve">outlined below </w:t>
      </w:r>
      <w:r w:rsidR="008521D0" w:rsidRPr="001C338A">
        <w:rPr>
          <w:rFonts w:asciiTheme="minorHAnsi" w:hAnsiTheme="minorHAnsi" w:cstheme="minorHAnsi"/>
          <w:i/>
          <w:iCs/>
        </w:rPr>
        <w:t xml:space="preserve">improve </w:t>
      </w:r>
      <w:r w:rsidR="008521D0" w:rsidRPr="001C338A">
        <w:rPr>
          <w:rFonts w:asciiTheme="minorHAnsi" w:hAnsiTheme="minorHAnsi" w:cstheme="minorHAnsi"/>
        </w:rPr>
        <w:t>rights protections in Northern Ireland.</w:t>
      </w:r>
      <w:r w:rsidR="00F849E1" w:rsidRPr="001C338A">
        <w:rPr>
          <w:rFonts w:asciiTheme="minorHAnsi" w:hAnsiTheme="minorHAnsi" w:cstheme="minorHAnsi"/>
        </w:rPr>
        <w:t xml:space="preserve"> </w:t>
      </w:r>
    </w:p>
    <w:p w14:paraId="0ACBA421" w14:textId="77777777" w:rsidR="00FC0523" w:rsidRPr="001C338A" w:rsidRDefault="00FC0523" w:rsidP="00FC0523">
      <w:pPr>
        <w:pStyle w:val="11NumPara"/>
        <w:numPr>
          <w:ilvl w:val="0"/>
          <w:numId w:val="0"/>
        </w:numPr>
        <w:rPr>
          <w:rFonts w:asciiTheme="minorHAnsi" w:hAnsiTheme="minorHAnsi" w:cstheme="minorHAnsi"/>
          <w:b/>
          <w:bCs/>
        </w:rPr>
      </w:pPr>
    </w:p>
    <w:p w14:paraId="7218DC2C" w14:textId="3D193323" w:rsidR="00FC0523" w:rsidRPr="001C338A" w:rsidRDefault="00FC0523" w:rsidP="0069108E">
      <w:pPr>
        <w:pStyle w:val="11NumPara"/>
        <w:numPr>
          <w:ilvl w:val="0"/>
          <w:numId w:val="0"/>
        </w:numPr>
        <w:ind w:firstLine="709"/>
        <w:rPr>
          <w:i/>
          <w:iCs/>
        </w:rPr>
      </w:pPr>
      <w:r w:rsidRPr="001C338A">
        <w:rPr>
          <w:rFonts w:asciiTheme="minorHAnsi" w:hAnsiTheme="minorHAnsi" w:cstheme="minorHAnsi"/>
          <w:i/>
          <w:iCs/>
        </w:rPr>
        <w:t>Recommendations</w:t>
      </w:r>
    </w:p>
    <w:p w14:paraId="102AE228" w14:textId="6568AB0C" w:rsidR="00E41DAC" w:rsidRPr="001C338A" w:rsidRDefault="00E41DAC" w:rsidP="00D46101">
      <w:pPr>
        <w:pStyle w:val="11NumPara"/>
      </w:pPr>
      <w:r w:rsidRPr="425EE375">
        <w:rPr>
          <w:rFonts w:asciiTheme="minorHAnsi" w:hAnsiTheme="minorHAnsi"/>
        </w:rPr>
        <w:t xml:space="preserve">The Commissions therefore </w:t>
      </w:r>
      <w:r w:rsidRPr="425EE375">
        <w:rPr>
          <w:rFonts w:asciiTheme="minorHAnsi" w:hAnsiTheme="minorHAnsi"/>
          <w:b/>
        </w:rPr>
        <w:t xml:space="preserve">recommend </w:t>
      </w:r>
      <w:r w:rsidRPr="425EE375">
        <w:rPr>
          <w:rFonts w:asciiTheme="minorHAnsi" w:hAnsiTheme="minorHAnsi"/>
        </w:rPr>
        <w:t>that the UK Government</w:t>
      </w:r>
      <w:r w:rsidR="00D61C23" w:rsidRPr="425EE375">
        <w:rPr>
          <w:rFonts w:asciiTheme="minorHAnsi" w:hAnsiTheme="minorHAnsi"/>
        </w:rPr>
        <w:t xml:space="preserve">, the NI Executive, </w:t>
      </w:r>
      <w:r w:rsidR="00B41F0F" w:rsidRPr="425EE375">
        <w:rPr>
          <w:rFonts w:asciiTheme="minorHAnsi" w:hAnsiTheme="minorHAnsi"/>
        </w:rPr>
        <w:t xml:space="preserve">and the NI Department for Communities </w:t>
      </w:r>
      <w:r w:rsidRPr="425EE375">
        <w:rPr>
          <w:rFonts w:asciiTheme="minorHAnsi" w:hAnsiTheme="minorHAnsi"/>
        </w:rPr>
        <w:t>ensure that</w:t>
      </w:r>
      <w:r w:rsidR="00D63A48">
        <w:rPr>
          <w:rFonts w:asciiTheme="minorHAnsi" w:hAnsiTheme="minorHAnsi"/>
        </w:rPr>
        <w:t>,</w:t>
      </w:r>
      <w:r w:rsidRPr="425EE375">
        <w:rPr>
          <w:rFonts w:asciiTheme="minorHAnsi" w:hAnsiTheme="minorHAnsi"/>
        </w:rPr>
        <w:t xml:space="preserve"> </w:t>
      </w:r>
      <w:r w:rsidR="00B20F98">
        <w:rPr>
          <w:rFonts w:asciiTheme="minorHAnsi" w:hAnsiTheme="minorHAnsi"/>
        </w:rPr>
        <w:t xml:space="preserve">apart from </w:t>
      </w:r>
      <w:r w:rsidR="00B20F98" w:rsidRPr="001C338A">
        <w:t xml:space="preserve">a small number of provisions of the PTD </w:t>
      </w:r>
      <w:r w:rsidR="00B20F98">
        <w:t xml:space="preserve">that </w:t>
      </w:r>
      <w:r w:rsidR="00B20F98" w:rsidRPr="001C338A">
        <w:t>are no</w:t>
      </w:r>
      <w:r w:rsidR="00B7192A">
        <w:t xml:space="preserve"> longer</w:t>
      </w:r>
      <w:r w:rsidR="00B20F98" w:rsidRPr="001C338A">
        <w:t xml:space="preserve"> relevant </w:t>
      </w:r>
      <w:r w:rsidR="00B20F98">
        <w:t xml:space="preserve">now that </w:t>
      </w:r>
      <w:r w:rsidR="00B20F98" w:rsidRPr="001C338A">
        <w:t>the UK has left the EU</w:t>
      </w:r>
      <w:r w:rsidR="008907AF">
        <w:rPr>
          <w:rStyle w:val="FootnoteReference"/>
        </w:rPr>
        <w:footnoteReference w:id="14"/>
      </w:r>
      <w:r w:rsidR="00B20F98">
        <w:t xml:space="preserve">, </w:t>
      </w:r>
      <w:r w:rsidR="00B20F98" w:rsidRPr="00EE64E0">
        <w:rPr>
          <w:rFonts w:asciiTheme="minorHAnsi" w:hAnsiTheme="minorHAnsi"/>
          <w:b/>
        </w:rPr>
        <w:t xml:space="preserve"> </w:t>
      </w:r>
      <w:r w:rsidR="002158EE" w:rsidRPr="00EE64E0">
        <w:rPr>
          <w:rFonts w:asciiTheme="minorHAnsi" w:hAnsiTheme="minorHAnsi"/>
          <w:b/>
        </w:rPr>
        <w:t>all</w:t>
      </w:r>
      <w:r w:rsidR="002158EE" w:rsidRPr="425EE375">
        <w:rPr>
          <w:rFonts w:asciiTheme="minorHAnsi" w:hAnsiTheme="minorHAnsi"/>
        </w:rPr>
        <w:t xml:space="preserve"> </w:t>
      </w:r>
      <w:r w:rsidR="001D3EAE" w:rsidRPr="00995992">
        <w:rPr>
          <w:rFonts w:asciiTheme="minorHAnsi" w:hAnsiTheme="minorHAnsi"/>
          <w:b/>
          <w:bCs/>
        </w:rPr>
        <w:t>other</w:t>
      </w:r>
      <w:r w:rsidR="00B20F98" w:rsidRPr="00995992">
        <w:rPr>
          <w:rFonts w:asciiTheme="minorHAnsi" w:hAnsiTheme="minorHAnsi"/>
          <w:b/>
          <w:bCs/>
        </w:rPr>
        <w:t xml:space="preserve"> </w:t>
      </w:r>
      <w:r w:rsidRPr="00995992">
        <w:rPr>
          <w:rFonts w:asciiTheme="minorHAnsi" w:hAnsiTheme="minorHAnsi"/>
          <w:b/>
          <w:bCs/>
        </w:rPr>
        <w:t>provisions</w:t>
      </w:r>
      <w:r w:rsidRPr="425EE375">
        <w:rPr>
          <w:rFonts w:asciiTheme="minorHAnsi" w:hAnsiTheme="minorHAnsi"/>
        </w:rPr>
        <w:t xml:space="preserve"> of the PTD, as detailed below, are transposed into NI law by 7 June 2026</w:t>
      </w:r>
      <w:r w:rsidR="00B7192A">
        <w:rPr>
          <w:rFonts w:asciiTheme="minorHAnsi" w:hAnsiTheme="minorHAnsi"/>
        </w:rPr>
        <w:t xml:space="preserve">. </w:t>
      </w:r>
      <w:r w:rsidR="0061736B">
        <w:rPr>
          <w:rFonts w:asciiTheme="minorHAnsi" w:hAnsiTheme="minorHAnsi"/>
        </w:rPr>
        <w:t>The timing of the t</w:t>
      </w:r>
      <w:r w:rsidR="00B7192A">
        <w:rPr>
          <w:rFonts w:asciiTheme="minorHAnsi" w:hAnsiTheme="minorHAnsi"/>
        </w:rPr>
        <w:t>ranspo</w:t>
      </w:r>
      <w:r w:rsidR="0061736B">
        <w:rPr>
          <w:rFonts w:asciiTheme="minorHAnsi" w:hAnsiTheme="minorHAnsi"/>
        </w:rPr>
        <w:t>sition into NI law should therefore</w:t>
      </w:r>
      <w:r w:rsidRPr="425EE375">
        <w:rPr>
          <w:rFonts w:asciiTheme="minorHAnsi" w:hAnsiTheme="minorHAnsi"/>
        </w:rPr>
        <w:t xml:space="preserve"> align</w:t>
      </w:r>
      <w:r w:rsidR="0061736B">
        <w:rPr>
          <w:rFonts w:asciiTheme="minorHAnsi" w:hAnsiTheme="minorHAnsi"/>
        </w:rPr>
        <w:t xml:space="preserve"> with </w:t>
      </w:r>
      <w:r w:rsidRPr="425EE375">
        <w:rPr>
          <w:rFonts w:asciiTheme="minorHAnsi" w:hAnsiTheme="minorHAnsi"/>
        </w:rPr>
        <w:t>the transpo</w:t>
      </w:r>
      <w:r w:rsidR="003978EE" w:rsidRPr="425EE375">
        <w:rPr>
          <w:rFonts w:asciiTheme="minorHAnsi" w:hAnsiTheme="minorHAnsi"/>
        </w:rPr>
        <w:t xml:space="preserve">sition </w:t>
      </w:r>
      <w:r w:rsidRPr="425EE375">
        <w:rPr>
          <w:rFonts w:asciiTheme="minorHAnsi" w:hAnsiTheme="minorHAnsi"/>
        </w:rPr>
        <w:t>deadline for Member States in relation to the PTD.</w:t>
      </w:r>
      <w:r w:rsidR="00C64118" w:rsidRPr="001C338A">
        <w:t xml:space="preserve"> </w:t>
      </w:r>
    </w:p>
    <w:p w14:paraId="0DDC67EF" w14:textId="56C9FC76" w:rsidR="001F4112" w:rsidRPr="001C338A" w:rsidRDefault="001F4112" w:rsidP="00D46101">
      <w:pPr>
        <w:pStyle w:val="11NumPara"/>
      </w:pPr>
      <w:r w:rsidRPr="001C338A">
        <w:rPr>
          <w:rFonts w:asciiTheme="minorHAnsi" w:hAnsiTheme="minorHAnsi" w:cstheme="minorHAnsi"/>
          <w:szCs w:val="28"/>
        </w:rPr>
        <w:t xml:space="preserve">The Commissions </w:t>
      </w:r>
      <w:r w:rsidR="00A03230" w:rsidRPr="001C338A">
        <w:rPr>
          <w:rFonts w:asciiTheme="minorHAnsi" w:hAnsiTheme="minorHAnsi" w:cstheme="minorHAnsi"/>
          <w:szCs w:val="28"/>
        </w:rPr>
        <w:t xml:space="preserve">also </w:t>
      </w:r>
      <w:r w:rsidRPr="001C338A">
        <w:rPr>
          <w:rFonts w:asciiTheme="minorHAnsi" w:hAnsiTheme="minorHAnsi" w:cstheme="minorHAnsi"/>
          <w:b/>
          <w:bCs/>
          <w:szCs w:val="28"/>
        </w:rPr>
        <w:t xml:space="preserve">recommend </w:t>
      </w:r>
      <w:r w:rsidRPr="001C338A">
        <w:rPr>
          <w:rFonts w:asciiTheme="minorHAnsi" w:hAnsiTheme="minorHAnsi" w:cstheme="minorHAnsi"/>
          <w:szCs w:val="28"/>
        </w:rPr>
        <w:t>that the European Commission, further to its obligations under the Windsor Frame</w:t>
      </w:r>
      <w:r w:rsidR="00B16603" w:rsidRPr="001C338A">
        <w:rPr>
          <w:rFonts w:asciiTheme="minorHAnsi" w:hAnsiTheme="minorHAnsi" w:cstheme="minorHAnsi"/>
          <w:szCs w:val="28"/>
        </w:rPr>
        <w:t>work</w:t>
      </w:r>
      <w:r w:rsidR="00EE64E0">
        <w:rPr>
          <w:rFonts w:asciiTheme="minorHAnsi" w:hAnsiTheme="minorHAnsi" w:cstheme="minorHAnsi"/>
          <w:szCs w:val="28"/>
        </w:rPr>
        <w:t>,</w:t>
      </w:r>
      <w:r w:rsidR="00CA36CD" w:rsidRPr="001C338A">
        <w:rPr>
          <w:rStyle w:val="FootnoteReference"/>
          <w:rFonts w:asciiTheme="minorHAnsi" w:hAnsiTheme="minorHAnsi" w:cstheme="minorHAnsi"/>
          <w:szCs w:val="28"/>
        </w:rPr>
        <w:footnoteReference w:id="15"/>
      </w:r>
      <w:r w:rsidR="00B16603" w:rsidRPr="001C338A">
        <w:rPr>
          <w:rFonts w:asciiTheme="minorHAnsi" w:hAnsiTheme="minorHAnsi" w:cstheme="minorHAnsi"/>
          <w:szCs w:val="28"/>
        </w:rPr>
        <w:t xml:space="preserve"> </w:t>
      </w:r>
      <w:r w:rsidR="00AD6CF2" w:rsidRPr="001C338A">
        <w:rPr>
          <w:rFonts w:asciiTheme="minorHAnsi" w:hAnsiTheme="minorHAnsi" w:cstheme="minorHAnsi"/>
          <w:szCs w:val="28"/>
        </w:rPr>
        <w:t>inform</w:t>
      </w:r>
      <w:r w:rsidR="00AB5B7B" w:rsidRPr="001C338A">
        <w:rPr>
          <w:rFonts w:asciiTheme="minorHAnsi" w:hAnsiTheme="minorHAnsi" w:cstheme="minorHAnsi"/>
          <w:szCs w:val="28"/>
        </w:rPr>
        <w:t>s</w:t>
      </w:r>
      <w:r w:rsidR="00AD6CF2" w:rsidRPr="001C338A">
        <w:rPr>
          <w:rFonts w:asciiTheme="minorHAnsi" w:hAnsiTheme="minorHAnsi" w:cstheme="minorHAnsi"/>
          <w:szCs w:val="28"/>
        </w:rPr>
        <w:t xml:space="preserve"> the Joint Consultative Working Group </w:t>
      </w:r>
      <w:r w:rsidR="00403396" w:rsidRPr="001C338A">
        <w:rPr>
          <w:rFonts w:asciiTheme="minorHAnsi" w:hAnsiTheme="minorHAnsi" w:cstheme="minorHAnsi"/>
          <w:szCs w:val="28"/>
        </w:rPr>
        <w:t xml:space="preserve">in a timely manner </w:t>
      </w:r>
      <w:r w:rsidR="00AD6CF2" w:rsidRPr="001C338A">
        <w:rPr>
          <w:rFonts w:asciiTheme="minorHAnsi" w:hAnsiTheme="minorHAnsi" w:cstheme="minorHAnsi"/>
          <w:szCs w:val="28"/>
        </w:rPr>
        <w:t xml:space="preserve">of </w:t>
      </w:r>
      <w:r w:rsidR="00403396" w:rsidRPr="001C338A">
        <w:rPr>
          <w:rFonts w:asciiTheme="minorHAnsi" w:hAnsiTheme="minorHAnsi" w:cstheme="minorHAnsi"/>
          <w:szCs w:val="28"/>
        </w:rPr>
        <w:t xml:space="preserve">the PTD </w:t>
      </w:r>
      <w:r w:rsidR="00904EEB" w:rsidRPr="001C338A">
        <w:rPr>
          <w:rFonts w:asciiTheme="minorHAnsi" w:hAnsiTheme="minorHAnsi" w:cstheme="minorHAnsi"/>
          <w:szCs w:val="28"/>
        </w:rPr>
        <w:t>as a</w:t>
      </w:r>
      <w:r w:rsidR="0055529F" w:rsidRPr="001C338A">
        <w:rPr>
          <w:rFonts w:asciiTheme="minorHAnsi" w:hAnsiTheme="minorHAnsi" w:cstheme="minorHAnsi"/>
          <w:szCs w:val="28"/>
        </w:rPr>
        <w:t>n</w:t>
      </w:r>
      <w:r w:rsidR="00904EEB" w:rsidRPr="001C338A">
        <w:rPr>
          <w:rFonts w:asciiTheme="minorHAnsi" w:hAnsiTheme="minorHAnsi" w:cstheme="minorHAnsi"/>
          <w:szCs w:val="28"/>
        </w:rPr>
        <w:t xml:space="preserve"> </w:t>
      </w:r>
      <w:r w:rsidR="00AB5B7B" w:rsidRPr="001C338A">
        <w:rPr>
          <w:rFonts w:asciiTheme="minorHAnsi" w:hAnsiTheme="minorHAnsi" w:cstheme="minorHAnsi"/>
          <w:szCs w:val="28"/>
        </w:rPr>
        <w:t>EU measure that amends or replaces the Recast Directive in Annex 1 to the WF.</w:t>
      </w:r>
    </w:p>
    <w:p w14:paraId="67976B3C" w14:textId="30F9F167" w:rsidR="00F36254" w:rsidRPr="001C338A" w:rsidRDefault="00697460" w:rsidP="00F36254">
      <w:pPr>
        <w:pStyle w:val="11NumPara"/>
      </w:pPr>
      <w:r w:rsidRPr="001C338A">
        <w:t xml:space="preserve">We stress that the requirements of the PTD should </w:t>
      </w:r>
      <w:proofErr w:type="gramStart"/>
      <w:r w:rsidRPr="001C338A">
        <w:t>be considered</w:t>
      </w:r>
      <w:proofErr w:type="gramEnd"/>
      <w:r w:rsidRPr="001C338A">
        <w:t xml:space="preserve"> </w:t>
      </w:r>
      <w:r w:rsidRPr="001C338A">
        <w:rPr>
          <w:u w:val="single"/>
        </w:rPr>
        <w:t>minimum requirements</w:t>
      </w:r>
      <w:r w:rsidRPr="001C338A">
        <w:t xml:space="preserve"> and we would encourage </w:t>
      </w:r>
      <w:r w:rsidR="00E54129" w:rsidRPr="001C338A">
        <w:t>g</w:t>
      </w:r>
      <w:r w:rsidRPr="001C338A">
        <w:t xml:space="preserve">overnment to adopt an approach when implementing the PTD that </w:t>
      </w:r>
      <w:r w:rsidR="00CD4E85" w:rsidRPr="001C338A">
        <w:rPr>
          <w:u w:val="single"/>
        </w:rPr>
        <w:t>goes beyond</w:t>
      </w:r>
      <w:r w:rsidR="00CD4E85" w:rsidRPr="001C338A">
        <w:t xml:space="preserve"> these minimum </w:t>
      </w:r>
      <w:r w:rsidR="00D46101" w:rsidRPr="001C338A">
        <w:t>standards</w:t>
      </w:r>
      <w:r w:rsidR="00CD4E85" w:rsidRPr="001C338A">
        <w:t xml:space="preserve"> where this </w:t>
      </w:r>
      <w:r w:rsidRPr="001C338A">
        <w:t xml:space="preserve">reflects best practice, including international </w:t>
      </w:r>
      <w:r w:rsidR="004F7115" w:rsidRPr="001C338A">
        <w:t xml:space="preserve">human rights </w:t>
      </w:r>
      <w:r w:rsidRPr="001C338A">
        <w:t xml:space="preserve">best practice, and </w:t>
      </w:r>
      <w:r w:rsidR="002B2B6C" w:rsidRPr="001C338A">
        <w:t xml:space="preserve">where it </w:t>
      </w:r>
      <w:r w:rsidRPr="001C338A">
        <w:t>seeks to strengthen rights in this area.</w:t>
      </w:r>
      <w:r w:rsidR="004556D7" w:rsidRPr="001C338A">
        <w:t xml:space="preserve"> </w:t>
      </w:r>
      <w:r w:rsidR="00F36254" w:rsidRPr="001C338A">
        <w:t>For example</w:t>
      </w:r>
      <w:r w:rsidR="00213035">
        <w:t>,</w:t>
      </w:r>
      <w:r w:rsidR="00F36254" w:rsidRPr="001C338A">
        <w:t xml:space="preserve"> the </w:t>
      </w:r>
      <w:r w:rsidR="00F36254" w:rsidRPr="001C338A">
        <w:lastRenderedPageBreak/>
        <w:t xml:space="preserve">ECNI has called for the power to bring discrimination cases in its own name (own motion powers) which </w:t>
      </w:r>
      <w:proofErr w:type="gramStart"/>
      <w:r w:rsidR="00F36254" w:rsidRPr="001C338A">
        <w:t>is not envisaged</w:t>
      </w:r>
      <w:proofErr w:type="gramEnd"/>
      <w:r w:rsidR="00F36254" w:rsidRPr="001C338A">
        <w:t xml:space="preserve"> under the PTD.</w:t>
      </w:r>
      <w:r w:rsidR="00F36254" w:rsidRPr="2363CCE4">
        <w:rPr>
          <w:rStyle w:val="FootnoteReference"/>
        </w:rPr>
        <w:footnoteReference w:id="16"/>
      </w:r>
    </w:p>
    <w:p w14:paraId="425B3B00" w14:textId="70DA3998" w:rsidR="001E17B0" w:rsidRPr="001C338A" w:rsidRDefault="00CA5115" w:rsidP="00F36254">
      <w:pPr>
        <w:pStyle w:val="11NumPara"/>
        <w:rPr>
          <w:rFonts w:cstheme="minorHAnsi"/>
          <w:szCs w:val="28"/>
        </w:rPr>
      </w:pPr>
      <w:r w:rsidRPr="001C338A">
        <w:rPr>
          <w:rFonts w:cstheme="minorHAnsi"/>
          <w:szCs w:val="28"/>
        </w:rPr>
        <w:t xml:space="preserve">Therefore, </w:t>
      </w:r>
      <w:r w:rsidR="00E41DAC" w:rsidRPr="001C338A">
        <w:rPr>
          <w:rFonts w:cstheme="minorHAnsi"/>
          <w:szCs w:val="28"/>
        </w:rPr>
        <w:t xml:space="preserve">the Commissions </w:t>
      </w:r>
      <w:r w:rsidR="00E41DAC" w:rsidRPr="001C338A">
        <w:rPr>
          <w:rFonts w:cstheme="minorHAnsi"/>
          <w:b/>
          <w:bCs/>
          <w:szCs w:val="28"/>
        </w:rPr>
        <w:t>recommend</w:t>
      </w:r>
      <w:r w:rsidR="00E41DAC" w:rsidRPr="001C338A">
        <w:rPr>
          <w:rFonts w:cstheme="minorHAnsi"/>
          <w:szCs w:val="28"/>
        </w:rPr>
        <w:t xml:space="preserve"> that the UK Government</w:t>
      </w:r>
      <w:r w:rsidR="00B17CF5" w:rsidRPr="001C338A">
        <w:rPr>
          <w:rFonts w:cstheme="minorHAnsi"/>
          <w:szCs w:val="28"/>
        </w:rPr>
        <w:t>, the NI Executive and the NI Department for Communities</w:t>
      </w:r>
      <w:r w:rsidR="00B16AA7" w:rsidRPr="001C338A">
        <w:rPr>
          <w:rFonts w:cstheme="minorHAnsi"/>
          <w:szCs w:val="28"/>
        </w:rPr>
        <w:t>,</w:t>
      </w:r>
      <w:r w:rsidR="00E41DAC" w:rsidRPr="001C338A">
        <w:rPr>
          <w:rFonts w:cstheme="minorHAnsi"/>
          <w:szCs w:val="28"/>
        </w:rPr>
        <w:t xml:space="preserve"> in the development of any legislation introducing requirements relating to</w:t>
      </w:r>
      <w:r w:rsidR="00C22D26" w:rsidRPr="001C338A">
        <w:rPr>
          <w:rFonts w:cstheme="minorHAnsi"/>
          <w:szCs w:val="28"/>
        </w:rPr>
        <w:t xml:space="preserve"> strengthening the application of equal pay</w:t>
      </w:r>
      <w:r w:rsidR="00E41DAC" w:rsidRPr="001C338A">
        <w:rPr>
          <w:rFonts w:cstheme="minorHAnsi"/>
          <w:szCs w:val="28"/>
        </w:rPr>
        <w:t xml:space="preserve">, ensure </w:t>
      </w:r>
      <w:r w:rsidR="00DB1AF3" w:rsidRPr="001C338A">
        <w:rPr>
          <w:rFonts w:cstheme="minorHAnsi"/>
          <w:szCs w:val="28"/>
        </w:rPr>
        <w:t xml:space="preserve">that, </w:t>
      </w:r>
      <w:r w:rsidR="00E41DAC" w:rsidRPr="001C338A">
        <w:rPr>
          <w:rFonts w:cstheme="minorHAnsi"/>
          <w:szCs w:val="28"/>
        </w:rPr>
        <w:t xml:space="preserve">where necessary, </w:t>
      </w:r>
      <w:r w:rsidR="001B2383" w:rsidRPr="001C338A">
        <w:rPr>
          <w:rFonts w:cstheme="minorHAnsi"/>
          <w:szCs w:val="28"/>
        </w:rPr>
        <w:t xml:space="preserve">this legislation </w:t>
      </w:r>
      <w:r w:rsidR="00E41DAC" w:rsidRPr="001C338A">
        <w:rPr>
          <w:rFonts w:cstheme="minorHAnsi"/>
          <w:szCs w:val="28"/>
          <w:u w:val="single"/>
        </w:rPr>
        <w:t>go</w:t>
      </w:r>
      <w:r w:rsidR="00C22D26" w:rsidRPr="001C338A">
        <w:rPr>
          <w:rFonts w:cstheme="minorHAnsi"/>
          <w:szCs w:val="28"/>
          <w:u w:val="single"/>
        </w:rPr>
        <w:t>es</w:t>
      </w:r>
      <w:r w:rsidR="00E41DAC" w:rsidRPr="001C338A">
        <w:rPr>
          <w:rFonts w:cstheme="minorHAnsi"/>
          <w:szCs w:val="28"/>
          <w:u w:val="single"/>
        </w:rPr>
        <w:t xml:space="preserve"> beyond</w:t>
      </w:r>
      <w:r w:rsidR="00E41DAC" w:rsidRPr="001C338A">
        <w:rPr>
          <w:rFonts w:cstheme="minorHAnsi"/>
          <w:szCs w:val="28"/>
        </w:rPr>
        <w:t xml:space="preserve"> the minimum standards in the PTD, </w:t>
      </w:r>
      <w:r w:rsidR="00DB1AF3" w:rsidRPr="001C338A">
        <w:rPr>
          <w:rFonts w:cstheme="minorHAnsi"/>
          <w:szCs w:val="28"/>
        </w:rPr>
        <w:t xml:space="preserve">and reflects best practice, including international human rights best practice and standards, </w:t>
      </w:r>
      <w:r w:rsidR="00E20513" w:rsidRPr="001C338A">
        <w:rPr>
          <w:rFonts w:cstheme="minorHAnsi"/>
          <w:szCs w:val="28"/>
        </w:rPr>
        <w:t xml:space="preserve">so as to </w:t>
      </w:r>
      <w:r w:rsidR="00E41DAC" w:rsidRPr="001C338A">
        <w:rPr>
          <w:rFonts w:cstheme="minorHAnsi"/>
          <w:szCs w:val="28"/>
        </w:rPr>
        <w:t xml:space="preserve">ensure robust rights and protections. </w:t>
      </w:r>
      <w:r w:rsidR="00680657" w:rsidRPr="001C338A">
        <w:rPr>
          <w:rFonts w:cstheme="minorHAnsi"/>
          <w:szCs w:val="28"/>
        </w:rPr>
        <w:t xml:space="preserve">This should be in addition to ensuring law in NI </w:t>
      </w:r>
      <w:proofErr w:type="gramStart"/>
      <w:r w:rsidR="00680657" w:rsidRPr="001C338A">
        <w:rPr>
          <w:rFonts w:cstheme="minorHAnsi"/>
          <w:szCs w:val="28"/>
        </w:rPr>
        <w:t>is amended</w:t>
      </w:r>
      <w:proofErr w:type="gramEnd"/>
      <w:r w:rsidR="00680657" w:rsidRPr="001C338A">
        <w:rPr>
          <w:rFonts w:cstheme="minorHAnsi"/>
          <w:szCs w:val="28"/>
        </w:rPr>
        <w:t xml:space="preserve"> to keep pace with changes required pursuant to the UK Government’s obligations relating to WF Article 2.</w:t>
      </w:r>
      <w:r w:rsidR="00013787" w:rsidRPr="001C338A">
        <w:rPr>
          <w:rFonts w:cstheme="minorHAnsi"/>
          <w:szCs w:val="28"/>
        </w:rPr>
        <w:t xml:space="preserve"> </w:t>
      </w:r>
      <w:r w:rsidR="001E17B0" w:rsidRPr="001C338A">
        <w:rPr>
          <w:rFonts w:cstheme="minorHAnsi"/>
          <w:szCs w:val="28"/>
        </w:rPr>
        <w:br w:type="page"/>
      </w:r>
    </w:p>
    <w:p w14:paraId="5632432C" w14:textId="63BC3FF5" w:rsidR="002830B3" w:rsidRPr="001C338A" w:rsidRDefault="002830B3" w:rsidP="002830B3">
      <w:pPr>
        <w:pStyle w:val="Heading1"/>
        <w:spacing w:line="240" w:lineRule="auto"/>
        <w:ind w:left="851" w:hanging="851"/>
      </w:pPr>
      <w:bookmarkStart w:id="0" w:name="_Toc102978072"/>
      <w:bookmarkStart w:id="1" w:name="_Toc103151209"/>
      <w:bookmarkStart w:id="2" w:name="_Toc104906765"/>
      <w:bookmarkStart w:id="3" w:name="_Toc132644337"/>
      <w:bookmarkStart w:id="4" w:name="_Toc137028345"/>
      <w:r w:rsidRPr="001C338A">
        <w:lastRenderedPageBreak/>
        <w:t>Int</w:t>
      </w:r>
      <w:bookmarkEnd w:id="0"/>
      <w:bookmarkEnd w:id="1"/>
      <w:bookmarkEnd w:id="2"/>
      <w:bookmarkEnd w:id="3"/>
      <w:bookmarkEnd w:id="4"/>
      <w:r w:rsidRPr="001C338A">
        <w:t xml:space="preserve">roduction  </w:t>
      </w:r>
    </w:p>
    <w:p w14:paraId="1C1ADF5E" w14:textId="0047EF59" w:rsidR="002830B3" w:rsidRPr="009974E3" w:rsidRDefault="00A92CF4" w:rsidP="0072635A">
      <w:pPr>
        <w:ind w:firstLine="709"/>
        <w:rPr>
          <w:b/>
          <w:bCs/>
          <w:sz w:val="28"/>
          <w:szCs w:val="28"/>
        </w:rPr>
      </w:pPr>
      <w:r w:rsidRPr="009974E3">
        <w:rPr>
          <w:b/>
          <w:bCs/>
          <w:sz w:val="28"/>
          <w:szCs w:val="28"/>
        </w:rPr>
        <w:t>WF Article 2</w:t>
      </w:r>
    </w:p>
    <w:p w14:paraId="1559B3B4" w14:textId="77777777" w:rsidR="0079613C" w:rsidRPr="001C338A" w:rsidRDefault="0079613C" w:rsidP="0079613C">
      <w:bookmarkStart w:id="5" w:name="_Toc104906764"/>
    </w:p>
    <w:p w14:paraId="1AD415B8" w14:textId="77777777" w:rsidR="00934441" w:rsidRPr="00934441" w:rsidRDefault="00934441" w:rsidP="00934441">
      <w:pPr>
        <w:pStyle w:val="ListParagraph"/>
        <w:numPr>
          <w:ilvl w:val="0"/>
          <w:numId w:val="8"/>
        </w:numPr>
        <w:rPr>
          <w:rFonts w:asciiTheme="minorHAnsi" w:eastAsiaTheme="minorHAnsi" w:hAnsiTheme="minorHAnsi" w:cstheme="minorBidi"/>
          <w:vanish/>
          <w:sz w:val="22"/>
          <w:szCs w:val="22"/>
          <w:lang w:eastAsia="en-US"/>
        </w:rPr>
      </w:pPr>
      <w:bookmarkStart w:id="6" w:name="_Hlk101777485"/>
      <w:bookmarkEnd w:id="5"/>
    </w:p>
    <w:p w14:paraId="5126839D" w14:textId="3C8E162F" w:rsidR="00641C35" w:rsidRPr="001C338A" w:rsidRDefault="00641C35" w:rsidP="00934441">
      <w:pPr>
        <w:pStyle w:val="11NumPara"/>
      </w:pPr>
      <w:r w:rsidRPr="001C338A">
        <w:t>Both the Equality Commission for Northern Ireland (ECNI) and the Northern Ireland Human Rights Commission (NIHRC) (the Commissions) were established following the Belfast (Good Friday) Agreement and pursuant to the Northern Ireland Act 1998</w:t>
      </w:r>
      <w:proofErr w:type="gramStart"/>
      <w:r w:rsidRPr="001C338A">
        <w:t xml:space="preserve">.  </w:t>
      </w:r>
      <w:proofErr w:type="gramEnd"/>
      <w:r w:rsidRPr="001C338A">
        <w:t xml:space="preserve">The Commissions are non-departmental public bodies. The NIHRC is a National Human Rights Institution with ‘A status’ accreditation from the United Nations. </w:t>
      </w:r>
    </w:p>
    <w:bookmarkEnd w:id="6"/>
    <w:p w14:paraId="2A01D2B1" w14:textId="3A20DD26" w:rsidR="00641C35" w:rsidRPr="001C338A" w:rsidRDefault="00641C35" w:rsidP="00641C35">
      <w:pPr>
        <w:pStyle w:val="11NumPara"/>
      </w:pPr>
      <w:r w:rsidRPr="001C338A">
        <w:t xml:space="preserve">The Commissions </w:t>
      </w:r>
      <w:proofErr w:type="gramStart"/>
      <w:r w:rsidRPr="001C338A">
        <w:t>are mandated</w:t>
      </w:r>
      <w:proofErr w:type="gramEnd"/>
      <w:r w:rsidRPr="001C338A">
        <w:t xml:space="preserve"> in accordance with Article 2(1)</w:t>
      </w:r>
      <w:r w:rsidRPr="001C338A">
        <w:rPr>
          <w:b/>
          <w:bCs/>
        </w:rPr>
        <w:t xml:space="preserve"> </w:t>
      </w:r>
      <w:r w:rsidR="00C96A2C" w:rsidRPr="001C338A">
        <w:rPr>
          <w:b/>
          <w:bCs/>
        </w:rPr>
        <w:t xml:space="preserve">(WF Article 2) </w:t>
      </w:r>
      <w:r w:rsidRPr="001C338A">
        <w:t>of the Windsor Framework</w:t>
      </w:r>
      <w:r w:rsidR="004B2C43" w:rsidRPr="001C338A">
        <w:t xml:space="preserve"> (WF)</w:t>
      </w:r>
      <w:r w:rsidRPr="001C338A">
        <w:t>,</w:t>
      </w:r>
      <w:r w:rsidRPr="001C338A">
        <w:rPr>
          <w:rStyle w:val="FootnoteReference"/>
        </w:rPr>
        <w:footnoteReference w:id="17"/>
      </w:r>
      <w:r w:rsidRPr="001C338A">
        <w:t xml:space="preserve"> formerly known as the Protocol on Ireland/Northern Ireland of the UK-EU Withdrawal Agreement</w:t>
      </w:r>
      <w:r w:rsidR="009A776A" w:rsidRPr="001C338A">
        <w:t>,</w:t>
      </w:r>
      <w:r w:rsidR="00A33617" w:rsidRPr="001C338A">
        <w:t xml:space="preserve"> </w:t>
      </w:r>
      <w:r w:rsidRPr="001C338A">
        <w:t>to oversee the UK Government’s commitment to rights and equality in Northern Ireland after UK Withdrawal from the EU.</w:t>
      </w:r>
    </w:p>
    <w:p w14:paraId="11616209" w14:textId="2E81E591" w:rsidR="007A2BD5" w:rsidRPr="001C338A" w:rsidRDefault="007A2BD5" w:rsidP="00641C35">
      <w:pPr>
        <w:pStyle w:val="11NumPara"/>
      </w:pPr>
      <w:r w:rsidRPr="001C338A">
        <w:t xml:space="preserve">In addition, the Commissions exercise part of this mandate in partnership with the Irish Human Rights and Equality Commission in relation to those aspects of oversight of, and reporting on, rights and equalities issues falling within the scope of </w:t>
      </w:r>
      <w:r w:rsidR="004B2C43" w:rsidRPr="001C338A">
        <w:t xml:space="preserve">WF </w:t>
      </w:r>
      <w:r w:rsidRPr="001C338A">
        <w:t>Article 2 which have an island of Ireland dimension.</w:t>
      </w:r>
    </w:p>
    <w:p w14:paraId="67CE69D7" w14:textId="77777777" w:rsidR="00ED6D6B" w:rsidRPr="001C338A" w:rsidRDefault="00ED6D6B" w:rsidP="00ED6D6B">
      <w:pPr>
        <w:pStyle w:val="11NumPara"/>
        <w:numPr>
          <w:ilvl w:val="0"/>
          <w:numId w:val="0"/>
        </w:numPr>
        <w:ind w:left="709"/>
      </w:pPr>
    </w:p>
    <w:p w14:paraId="0FB5167E" w14:textId="1F31F78B" w:rsidR="00DF0A61" w:rsidRPr="001C338A" w:rsidRDefault="004B2C43" w:rsidP="00DF0A61">
      <w:pPr>
        <w:pStyle w:val="11NumPara"/>
      </w:pPr>
      <w:r w:rsidRPr="001C338A">
        <w:t xml:space="preserve">WF </w:t>
      </w:r>
      <w:r w:rsidR="00DF0A61" w:rsidRPr="001C338A">
        <w:t>Article 2 states:</w:t>
      </w:r>
    </w:p>
    <w:p w14:paraId="0D841E77" w14:textId="77777777" w:rsidR="00C5275E" w:rsidRPr="001C338A" w:rsidRDefault="00C5275E" w:rsidP="00C5275E">
      <w:pPr>
        <w:pStyle w:val="11NumPara"/>
        <w:numPr>
          <w:ilvl w:val="0"/>
          <w:numId w:val="0"/>
        </w:numPr>
        <w:ind w:left="709"/>
      </w:pPr>
    </w:p>
    <w:p w14:paraId="59683D0D" w14:textId="77777777" w:rsidR="004B2C43" w:rsidRPr="001C338A" w:rsidRDefault="004B2C43" w:rsidP="00C5275E">
      <w:pPr>
        <w:pStyle w:val="ListNumber2"/>
        <w:numPr>
          <w:ilvl w:val="0"/>
          <w:numId w:val="14"/>
        </w:numPr>
        <w:rPr>
          <w:sz w:val="28"/>
          <w:szCs w:val="28"/>
        </w:rPr>
      </w:pPr>
      <w:r w:rsidRPr="001C338A">
        <w:rPr>
          <w:sz w:val="28"/>
          <w:szCs w:val="28"/>
        </w:rPr>
        <w:t>The United Kingdom shall ensure that no diminution of rights, safeguards or equality of opportunity, as set out in that part of the 1998 Agreement entitled Rights, Safeguards and Equality of Opportunity results from its withdrawal from the Union, including in the area of protection against discrimination, as enshrined in the provisions of Union law listed in Annex 1 to this Protocol, and shall implement this paragraph through dedicated mechanisms.</w:t>
      </w:r>
    </w:p>
    <w:p w14:paraId="1EAC11D7" w14:textId="77777777" w:rsidR="004B2C43" w:rsidRPr="001C338A" w:rsidRDefault="004B2C43" w:rsidP="004B2C43">
      <w:pPr>
        <w:pStyle w:val="ListNumber2"/>
        <w:numPr>
          <w:ilvl w:val="0"/>
          <w:numId w:val="0"/>
        </w:numPr>
        <w:ind w:left="360"/>
        <w:rPr>
          <w:sz w:val="28"/>
          <w:szCs w:val="28"/>
        </w:rPr>
      </w:pPr>
    </w:p>
    <w:p w14:paraId="55D7F895" w14:textId="1BDCD146" w:rsidR="004B2C43" w:rsidRPr="001C338A" w:rsidRDefault="004B2C43" w:rsidP="00F26DDD">
      <w:pPr>
        <w:pStyle w:val="ListNumber2"/>
        <w:numPr>
          <w:ilvl w:val="0"/>
          <w:numId w:val="14"/>
        </w:numPr>
        <w:rPr>
          <w:sz w:val="28"/>
          <w:szCs w:val="28"/>
        </w:rPr>
      </w:pPr>
      <w:r w:rsidRPr="001C338A">
        <w:rPr>
          <w:sz w:val="28"/>
          <w:szCs w:val="28"/>
        </w:rPr>
        <w:t>The United Kingdom shall continue to facilitate the related work of the institutions and bodies set up pursuant to the 1998 Agreement, including the Northern Ireland Human Rights Commission, the Equality Commission for Northern Ireland and the Joint Committee of representatives of the Human Rights Commissions of Northern Ireland and Ireland, in upholding human rights and equality standards.</w:t>
      </w:r>
    </w:p>
    <w:p w14:paraId="146AC433" w14:textId="49BB9F3C" w:rsidR="002A2727" w:rsidRPr="001C338A" w:rsidRDefault="004B2C43" w:rsidP="005200E8">
      <w:pPr>
        <w:pStyle w:val="11NumPara"/>
      </w:pPr>
      <w:r w:rsidRPr="20EFFC3B">
        <w:rPr>
          <w:rFonts w:asciiTheme="minorHAnsi" w:hAnsiTheme="minorHAnsi"/>
        </w:rPr>
        <w:lastRenderedPageBreak/>
        <w:t xml:space="preserve">The UK Government has ‘dynamic alignment’ obligations arising out of WF Article 13 (3), relating to </w:t>
      </w:r>
      <w:r w:rsidR="00F255AE">
        <w:rPr>
          <w:rFonts w:asciiTheme="minorHAnsi" w:hAnsiTheme="minorHAnsi"/>
        </w:rPr>
        <w:t xml:space="preserve">WF </w:t>
      </w:r>
      <w:r w:rsidRPr="20EFFC3B">
        <w:rPr>
          <w:rFonts w:asciiTheme="minorHAnsi" w:hAnsiTheme="minorHAnsi"/>
        </w:rPr>
        <w:t xml:space="preserve">Article 2(1) in relation to the six Equality Directives in </w:t>
      </w:r>
      <w:r w:rsidR="00C5275E" w:rsidRPr="20EFFC3B">
        <w:rPr>
          <w:rFonts w:asciiTheme="minorHAnsi" w:hAnsiTheme="minorHAnsi"/>
        </w:rPr>
        <w:t xml:space="preserve">WF </w:t>
      </w:r>
      <w:r w:rsidRPr="20EFFC3B">
        <w:rPr>
          <w:rFonts w:asciiTheme="minorHAnsi" w:hAnsiTheme="minorHAnsi"/>
        </w:rPr>
        <w:t>Annex 1.</w:t>
      </w:r>
      <w:r w:rsidR="004B56A8" w:rsidRPr="001C338A">
        <w:rPr>
          <w:rStyle w:val="FootnoteReference"/>
        </w:rPr>
        <w:footnoteReference w:id="18"/>
      </w:r>
    </w:p>
    <w:p w14:paraId="13B4D706" w14:textId="3D190FDF" w:rsidR="004B2C43" w:rsidRPr="001C338A" w:rsidRDefault="00E17510" w:rsidP="005200E8">
      <w:pPr>
        <w:pStyle w:val="11NumPara"/>
        <w:rPr>
          <w:rFonts w:cstheme="minorHAnsi"/>
          <w:szCs w:val="28"/>
        </w:rPr>
      </w:pPr>
      <w:r w:rsidRPr="001C338A">
        <w:rPr>
          <w:rFonts w:asciiTheme="minorHAnsi" w:hAnsiTheme="minorHAnsi"/>
        </w:rPr>
        <w:t xml:space="preserve">Critically, WF Annex 1 includes </w:t>
      </w:r>
      <w:r w:rsidRPr="001C338A">
        <w:t xml:space="preserve">Directive </w:t>
      </w:r>
      <w:hyperlink r:id="rId13" w:history="1">
        <w:r w:rsidRPr="001C338A">
          <w:rPr>
            <w:rStyle w:val="Hyperlink"/>
            <w:shd w:val="clear" w:color="auto" w:fill="FFFFFF"/>
          </w:rPr>
          <w:t>2006/54/EC</w:t>
        </w:r>
      </w:hyperlink>
      <w:r w:rsidRPr="001C338A">
        <w:rPr>
          <w:shd w:val="clear" w:color="auto" w:fill="FFFFFF"/>
        </w:rPr>
        <w:t xml:space="preserve"> of 5 July 2006 on equal opportunities and equal treatment of women and men in employment and occupation (</w:t>
      </w:r>
      <w:r w:rsidR="003157C3" w:rsidRPr="001C338A">
        <w:rPr>
          <w:shd w:val="clear" w:color="auto" w:fill="FFFFFF"/>
        </w:rPr>
        <w:t>‘</w:t>
      </w:r>
      <w:r w:rsidRPr="001C338A">
        <w:rPr>
          <w:b/>
          <w:shd w:val="clear" w:color="auto" w:fill="FFFFFF"/>
        </w:rPr>
        <w:t xml:space="preserve">Recast </w:t>
      </w:r>
      <w:r w:rsidRPr="001C338A">
        <w:rPr>
          <w:rFonts w:asciiTheme="minorHAnsi" w:hAnsiTheme="minorHAnsi"/>
          <w:b/>
        </w:rPr>
        <w:t>Directive</w:t>
      </w:r>
      <w:r w:rsidR="003157C3" w:rsidRPr="001C338A">
        <w:rPr>
          <w:rFonts w:asciiTheme="minorHAnsi" w:hAnsiTheme="minorHAnsi"/>
        </w:rPr>
        <w:t>’</w:t>
      </w:r>
      <w:r w:rsidRPr="001C338A">
        <w:rPr>
          <w:rFonts w:asciiTheme="minorHAnsi" w:hAnsiTheme="minorHAnsi"/>
        </w:rPr>
        <w:t>)</w:t>
      </w:r>
      <w:r w:rsidR="002A2727" w:rsidRPr="001C338A">
        <w:rPr>
          <w:rFonts w:asciiTheme="minorHAnsi" w:hAnsiTheme="minorHAnsi"/>
        </w:rPr>
        <w:t xml:space="preserve"> </w:t>
      </w:r>
      <w:r w:rsidR="002A2727" w:rsidRPr="001C338A">
        <w:t>and clearly falls within the scope of the dynamic alignment requirements of Article 13(3) and engages the ‘keeping pace’ commitment</w:t>
      </w:r>
      <w:r w:rsidRPr="001C338A">
        <w:rPr>
          <w:rFonts w:asciiTheme="minorHAnsi" w:hAnsiTheme="minorHAnsi"/>
        </w:rPr>
        <w:t>.</w:t>
      </w:r>
      <w:r w:rsidRPr="001C338A">
        <w:rPr>
          <w:rStyle w:val="FootnoteReference"/>
          <w:rFonts w:asciiTheme="minorHAnsi" w:hAnsiTheme="minorHAnsi"/>
        </w:rPr>
        <w:footnoteReference w:id="19"/>
      </w:r>
      <w:r w:rsidR="009D1850" w:rsidRPr="001C338A">
        <w:rPr>
          <w:rFonts w:cstheme="minorHAnsi"/>
          <w:szCs w:val="28"/>
        </w:rPr>
        <w:t xml:space="preserve"> Of particular relevance is the fact that the Recast Directive (Article 4) </w:t>
      </w:r>
      <w:r w:rsidR="009D1850" w:rsidRPr="001C338A">
        <w:rPr>
          <w:rFonts w:cstheme="minorHAnsi"/>
          <w:color w:val="333333"/>
          <w:szCs w:val="28"/>
        </w:rPr>
        <w:t xml:space="preserve">includes provisions prohibiting direct and indirect discrimination on the grounds of sex </w:t>
      </w:r>
      <w:r w:rsidR="009D1850" w:rsidRPr="001C338A">
        <w:t>for the same work or for work of equal value.</w:t>
      </w:r>
      <w:r w:rsidR="009D1850" w:rsidRPr="001C338A">
        <w:rPr>
          <w:rStyle w:val="FootnoteReference"/>
          <w:rFonts w:cstheme="minorHAnsi"/>
          <w:szCs w:val="28"/>
        </w:rPr>
        <w:footnoteReference w:id="20"/>
      </w:r>
    </w:p>
    <w:p w14:paraId="1BA9BF5F" w14:textId="0C98E351" w:rsidR="004B2C43" w:rsidRPr="001C338A" w:rsidRDefault="004B2C43" w:rsidP="002B1A2A">
      <w:pPr>
        <w:pStyle w:val="11NumPara"/>
      </w:pPr>
      <w:r w:rsidRPr="001C338A">
        <w:rPr>
          <w:rFonts w:asciiTheme="minorHAnsi" w:hAnsiTheme="minorHAnsi" w:cstheme="minorHAnsi"/>
          <w:color w:val="222222"/>
          <w:szCs w:val="28"/>
        </w:rPr>
        <w:t>This ‘</w:t>
      </w:r>
      <w:r w:rsidRPr="001C338A">
        <w:rPr>
          <w:rFonts w:asciiTheme="minorHAnsi" w:hAnsiTheme="minorHAnsi" w:cstheme="minorHAnsi"/>
          <w:szCs w:val="28"/>
        </w:rPr>
        <w:t xml:space="preserve">dynamic alignment’ </w:t>
      </w:r>
      <w:r w:rsidRPr="001C338A">
        <w:rPr>
          <w:rFonts w:asciiTheme="minorHAnsi" w:hAnsiTheme="minorHAnsi" w:cstheme="minorHAnsi"/>
          <w:color w:val="222222"/>
          <w:szCs w:val="28"/>
        </w:rPr>
        <w:t xml:space="preserve">commitment </w:t>
      </w:r>
      <w:proofErr w:type="gramStart"/>
      <w:r w:rsidRPr="001C338A">
        <w:rPr>
          <w:rFonts w:asciiTheme="minorHAnsi" w:hAnsiTheme="minorHAnsi" w:cstheme="minorHAnsi"/>
          <w:color w:val="222222"/>
          <w:szCs w:val="28"/>
        </w:rPr>
        <w:t>was made</w:t>
      </w:r>
      <w:proofErr w:type="gramEnd"/>
      <w:r w:rsidRPr="001C338A">
        <w:rPr>
          <w:rFonts w:asciiTheme="minorHAnsi" w:hAnsiTheme="minorHAnsi" w:cstheme="minorHAnsi"/>
          <w:color w:val="222222"/>
          <w:szCs w:val="28"/>
        </w:rPr>
        <w:t xml:space="preserve"> by </w:t>
      </w:r>
      <w:r w:rsidR="005B7F26">
        <w:rPr>
          <w:rFonts w:asciiTheme="minorHAnsi" w:hAnsiTheme="minorHAnsi" w:cstheme="minorHAnsi"/>
          <w:color w:val="222222"/>
          <w:szCs w:val="28"/>
        </w:rPr>
        <w:t xml:space="preserve">the </w:t>
      </w:r>
      <w:r w:rsidRPr="001C338A">
        <w:rPr>
          <w:rFonts w:asciiTheme="minorHAnsi" w:hAnsiTheme="minorHAnsi" w:cstheme="minorHAnsi"/>
          <w:color w:val="222222"/>
          <w:szCs w:val="28"/>
        </w:rPr>
        <w:t>UK Government to ensure that Northern Ireland did not fall behind minimum European standards in anti-discrimination law</w:t>
      </w:r>
      <w:r w:rsidR="00182B58">
        <w:rPr>
          <w:rFonts w:asciiTheme="minorHAnsi" w:hAnsiTheme="minorHAnsi" w:cstheme="minorHAnsi"/>
          <w:color w:val="222222"/>
          <w:szCs w:val="28"/>
        </w:rPr>
        <w:t>.</w:t>
      </w:r>
      <w:r w:rsidRPr="001C338A">
        <w:rPr>
          <w:rStyle w:val="FootnoteReference"/>
          <w:rFonts w:asciiTheme="minorHAnsi" w:hAnsiTheme="minorHAnsi" w:cstheme="minorHAnsi"/>
          <w:color w:val="222222"/>
          <w:szCs w:val="28"/>
        </w:rPr>
        <w:footnoteReference w:id="21"/>
      </w:r>
      <w:r w:rsidRPr="001C338A">
        <w:rPr>
          <w:rFonts w:asciiTheme="minorHAnsi" w:hAnsiTheme="minorHAnsi" w:cstheme="minorHAnsi"/>
          <w:color w:val="222222"/>
          <w:szCs w:val="28"/>
        </w:rPr>
        <w:t xml:space="preserve">  </w:t>
      </w:r>
    </w:p>
    <w:p w14:paraId="5A1F7035" w14:textId="0D9B4EF5" w:rsidR="004B2C43" w:rsidRPr="001C338A" w:rsidRDefault="004B2C43" w:rsidP="00820C16">
      <w:pPr>
        <w:pStyle w:val="11NumPara"/>
      </w:pPr>
      <w:r w:rsidRPr="001C338A">
        <w:rPr>
          <w:rFonts w:asciiTheme="minorHAnsi" w:hAnsiTheme="minorHAnsi" w:cstheme="minorHAnsi"/>
        </w:rPr>
        <w:t>Article 13(3) of the Windsor Framework requires that references to EU law in the Windsor Framework be read as referring to that law ‘</w:t>
      </w:r>
      <w:r w:rsidRPr="001C338A">
        <w:rPr>
          <w:rFonts w:asciiTheme="minorHAnsi" w:hAnsiTheme="minorHAnsi" w:cstheme="minorHAnsi"/>
          <w:u w:val="single"/>
        </w:rPr>
        <w:t>as amended or replaced</w:t>
      </w:r>
      <w:r w:rsidRPr="001C338A">
        <w:rPr>
          <w:rFonts w:asciiTheme="minorHAnsi" w:hAnsiTheme="minorHAnsi" w:cstheme="minorHAnsi"/>
        </w:rPr>
        <w:t>’, whenever that amendment or replacement takes place</w:t>
      </w:r>
      <w:r w:rsidR="00182B58">
        <w:rPr>
          <w:rFonts w:asciiTheme="minorHAnsi" w:hAnsiTheme="minorHAnsi" w:cstheme="minorHAnsi"/>
        </w:rPr>
        <w:t>.</w:t>
      </w:r>
      <w:r w:rsidRPr="001C338A">
        <w:rPr>
          <w:rStyle w:val="FootnoteReference"/>
          <w:rFonts w:asciiTheme="minorHAnsi" w:hAnsiTheme="minorHAnsi" w:cstheme="minorHAnsi"/>
        </w:rPr>
        <w:footnoteReference w:id="22"/>
      </w:r>
      <w:r w:rsidRPr="001C338A">
        <w:rPr>
          <w:rFonts w:asciiTheme="minorHAnsi" w:hAnsiTheme="minorHAnsi" w:cstheme="minorHAnsi"/>
        </w:rPr>
        <w:t xml:space="preserve"> Article 13(3) is therefore open-ended and is not time limited</w:t>
      </w:r>
      <w:proofErr w:type="gramStart"/>
      <w:r w:rsidRPr="001C338A">
        <w:rPr>
          <w:rFonts w:asciiTheme="minorHAnsi" w:hAnsiTheme="minorHAnsi" w:cstheme="minorHAnsi"/>
        </w:rPr>
        <w:t xml:space="preserve">.  </w:t>
      </w:r>
      <w:proofErr w:type="gramEnd"/>
      <w:r w:rsidRPr="001C338A">
        <w:rPr>
          <w:rFonts w:asciiTheme="minorHAnsi" w:hAnsiTheme="minorHAnsi" w:cstheme="minorHAnsi"/>
        </w:rPr>
        <w:t>Further, this process has been described as ‘fully automatic; it requires neither the consent of the UK nor any formal process of updating the Protocol or its annexes</w:t>
      </w:r>
      <w:proofErr w:type="gramStart"/>
      <w:r w:rsidR="00A32724">
        <w:rPr>
          <w:rFonts w:asciiTheme="minorHAnsi" w:hAnsiTheme="minorHAnsi" w:cstheme="minorHAnsi"/>
        </w:rPr>
        <w:t>’</w:t>
      </w:r>
      <w:r w:rsidRPr="001C338A">
        <w:rPr>
          <w:rFonts w:asciiTheme="minorHAnsi" w:hAnsiTheme="minorHAnsi" w:cstheme="minorHAnsi"/>
        </w:rPr>
        <w:t>.</w:t>
      </w:r>
      <w:proofErr w:type="gramEnd"/>
      <w:r w:rsidRPr="001C338A">
        <w:rPr>
          <w:rStyle w:val="FootnoteReference"/>
          <w:rFonts w:asciiTheme="minorHAnsi" w:hAnsiTheme="minorHAnsi" w:cstheme="minorHAnsi"/>
        </w:rPr>
        <w:footnoteReference w:id="23"/>
      </w:r>
    </w:p>
    <w:p w14:paraId="03209326" w14:textId="4E3E91F0" w:rsidR="004B2C43" w:rsidRPr="001C338A" w:rsidRDefault="004B2C43" w:rsidP="00820C16">
      <w:pPr>
        <w:pStyle w:val="11NumPara"/>
      </w:pPr>
      <w:r w:rsidRPr="001C338A">
        <w:rPr>
          <w:rFonts w:asciiTheme="minorHAnsi" w:hAnsiTheme="minorHAnsi" w:cstheme="minorHAnsi"/>
        </w:rPr>
        <w:t xml:space="preserve">Further, as made clear in paragraph 12 of the NIO </w:t>
      </w:r>
      <w:hyperlink r:id="rId14" w:history="1">
        <w:r w:rsidRPr="001C338A">
          <w:rPr>
            <w:rStyle w:val="Hyperlink"/>
            <w:rFonts w:asciiTheme="minorHAnsi" w:hAnsiTheme="minorHAnsi" w:cstheme="minorHAnsi"/>
          </w:rPr>
          <w:t>Explainer Document</w:t>
        </w:r>
      </w:hyperlink>
      <w:r w:rsidRPr="001C338A">
        <w:rPr>
          <w:rFonts w:asciiTheme="minorHAnsi" w:hAnsiTheme="minorHAnsi" w:cstheme="minorHAnsi"/>
        </w:rPr>
        <w:t xml:space="preserve"> on the Article 2 commitment (2020), the UK Government has stated that it has ‘committed to ensuring that, if the EU decides to amend or replace the substantive rights in those directives to improve the minimum levels of protection available, the corresponding substantive rights protections in Northern Ireland will also develop to take account of this</w:t>
      </w:r>
      <w:r w:rsidR="00B15E60">
        <w:rPr>
          <w:rFonts w:asciiTheme="minorHAnsi" w:hAnsiTheme="minorHAnsi" w:cstheme="minorHAnsi"/>
        </w:rPr>
        <w:t>’</w:t>
      </w:r>
      <w:r w:rsidRPr="001C338A">
        <w:rPr>
          <w:rFonts w:asciiTheme="minorHAnsi" w:hAnsiTheme="minorHAnsi" w:cstheme="minorHAnsi"/>
        </w:rPr>
        <w:t>.</w:t>
      </w:r>
    </w:p>
    <w:p w14:paraId="596BA8D7" w14:textId="42037DC8" w:rsidR="0085179B" w:rsidRPr="001C338A" w:rsidRDefault="0085179B" w:rsidP="0085179B">
      <w:pPr>
        <w:pStyle w:val="11NumPara"/>
      </w:pPr>
      <w:r w:rsidRPr="001C338A">
        <w:rPr>
          <w:rFonts w:asciiTheme="minorHAnsi" w:hAnsiTheme="minorHAnsi" w:cstheme="minorHAnsi"/>
        </w:rPr>
        <w:t xml:space="preserve">Whilst the Commissions are of the view that it is not necessarily the case that the dynamic alignment commitment </w:t>
      </w:r>
      <w:r w:rsidRPr="001C338A">
        <w:rPr>
          <w:rFonts w:asciiTheme="minorHAnsi" w:hAnsiTheme="minorHAnsi" w:cstheme="minorHAnsi"/>
          <w:szCs w:val="28"/>
        </w:rPr>
        <w:t xml:space="preserve">arising out of WF Article 13 (3) applies only where rights protections </w:t>
      </w:r>
      <w:proofErr w:type="gramStart"/>
      <w:r w:rsidRPr="001C338A">
        <w:rPr>
          <w:rFonts w:asciiTheme="minorHAnsi" w:hAnsiTheme="minorHAnsi" w:cstheme="minorHAnsi"/>
          <w:szCs w:val="28"/>
        </w:rPr>
        <w:t>are ‘improved’</w:t>
      </w:r>
      <w:proofErr w:type="gramEnd"/>
      <w:r w:rsidRPr="001C338A">
        <w:rPr>
          <w:rFonts w:asciiTheme="minorHAnsi" w:hAnsiTheme="minorHAnsi" w:cstheme="minorHAnsi"/>
          <w:szCs w:val="28"/>
        </w:rPr>
        <w:t xml:space="preserve">, they consider that the application </w:t>
      </w:r>
      <w:r w:rsidRPr="001C338A">
        <w:rPr>
          <w:rFonts w:asciiTheme="minorHAnsi" w:hAnsiTheme="minorHAnsi" w:cstheme="minorHAnsi"/>
          <w:szCs w:val="28"/>
        </w:rPr>
        <w:lastRenderedPageBreak/>
        <w:t xml:space="preserve">of this </w:t>
      </w:r>
      <w:r w:rsidRPr="001C338A">
        <w:rPr>
          <w:rFonts w:asciiTheme="minorHAnsi" w:hAnsiTheme="minorHAnsi" w:cstheme="minorHAnsi"/>
        </w:rPr>
        <w:t xml:space="preserve">commitment </w:t>
      </w:r>
      <w:r w:rsidRPr="001C338A">
        <w:rPr>
          <w:rFonts w:asciiTheme="minorHAnsi" w:hAnsiTheme="minorHAnsi" w:cstheme="minorHAnsi"/>
          <w:szCs w:val="28"/>
        </w:rPr>
        <w:t xml:space="preserve">should not under any circumstances result in a diminution of the rights protected under WF Article 2. </w:t>
      </w:r>
    </w:p>
    <w:p w14:paraId="7EB9F540" w14:textId="70D90F63" w:rsidR="00450901" w:rsidRPr="001C338A" w:rsidRDefault="00BC646A" w:rsidP="00820C16">
      <w:pPr>
        <w:pStyle w:val="11NumPara"/>
      </w:pPr>
      <w:r w:rsidRPr="001C338A">
        <w:t>In addition</w:t>
      </w:r>
      <w:r w:rsidR="00450901" w:rsidRPr="001C338A">
        <w:t xml:space="preserve">, WF Article 13(2) </w:t>
      </w:r>
      <w:r w:rsidR="00863A35" w:rsidRPr="001C338A">
        <w:t>requires</w:t>
      </w:r>
      <w:r w:rsidR="00450901" w:rsidRPr="001C338A">
        <w:t xml:space="preserve"> continued alignment with Court of Justice of the EU (CJEU) jurisprudence regarding EU measures listed in the WF</w:t>
      </w:r>
      <w:r w:rsidR="004F3B7E" w:rsidRPr="001C338A">
        <w:t>, including the Annex 1 Directives</w:t>
      </w:r>
      <w:r w:rsidR="00450901" w:rsidRPr="001C338A">
        <w:t>.</w:t>
      </w:r>
      <w:r w:rsidR="00450901" w:rsidRPr="001C338A">
        <w:rPr>
          <w:rStyle w:val="FootnoteReference"/>
          <w:rFonts w:asciiTheme="minorHAnsi" w:hAnsiTheme="minorHAnsi" w:cstheme="minorHAnsi"/>
        </w:rPr>
        <w:footnoteReference w:id="24"/>
      </w:r>
    </w:p>
    <w:p w14:paraId="05E20FD0" w14:textId="21755346" w:rsidR="006C6C4E" w:rsidRPr="001C338A" w:rsidRDefault="00CC1C4E" w:rsidP="00B5603D">
      <w:pPr>
        <w:pStyle w:val="11NumPara"/>
      </w:pPr>
      <w:r w:rsidRPr="001C338A">
        <w:t xml:space="preserve">Therefore </w:t>
      </w:r>
      <w:r w:rsidR="003157C3" w:rsidRPr="001C338A">
        <w:t>t</w:t>
      </w:r>
      <w:r w:rsidR="00820C16" w:rsidRPr="001C338A">
        <w:t>he Commissions’ view is that, in line with Article 13</w:t>
      </w:r>
      <w:r w:rsidRPr="001C338A">
        <w:t xml:space="preserve"> (2)</w:t>
      </w:r>
      <w:r w:rsidR="00820C16" w:rsidRPr="001C338A">
        <w:t xml:space="preserve"> of the WF, the Annex 1 equality directives will continue to be informed by CJEU rulings and, to the extent that such rulings evolve general principles of EU law, the EU Charter of Fundamental Rights </w:t>
      </w:r>
      <w:r w:rsidR="00D035B1" w:rsidRPr="001C338A">
        <w:t xml:space="preserve">(‘the Charter’) </w:t>
      </w:r>
      <w:r w:rsidR="00820C16" w:rsidRPr="001C338A">
        <w:t xml:space="preserve">and the relevant EU Treaty provisions, these will continue to have relevance in NI. </w:t>
      </w:r>
    </w:p>
    <w:p w14:paraId="6E1690C9" w14:textId="77777777" w:rsidR="004A2F1F" w:rsidRPr="001C338A" w:rsidRDefault="004A2F1F" w:rsidP="00727DFD">
      <w:pPr>
        <w:pStyle w:val="11NumPara"/>
        <w:numPr>
          <w:ilvl w:val="0"/>
          <w:numId w:val="0"/>
        </w:numPr>
        <w:ind w:left="709"/>
        <w:rPr>
          <w:b/>
          <w:bCs/>
        </w:rPr>
      </w:pPr>
    </w:p>
    <w:p w14:paraId="5004100A" w14:textId="3BBD73F7" w:rsidR="00727DFD" w:rsidRPr="001C338A" w:rsidRDefault="00727DFD" w:rsidP="00727DFD">
      <w:pPr>
        <w:pStyle w:val="11NumPara"/>
        <w:numPr>
          <w:ilvl w:val="0"/>
          <w:numId w:val="0"/>
        </w:numPr>
        <w:ind w:left="709"/>
        <w:rPr>
          <w:b/>
          <w:bCs/>
        </w:rPr>
      </w:pPr>
      <w:r w:rsidRPr="001C338A">
        <w:rPr>
          <w:b/>
          <w:bCs/>
        </w:rPr>
        <w:t>EU Pay Transparency Directive</w:t>
      </w:r>
    </w:p>
    <w:p w14:paraId="3ED8C15A" w14:textId="0C9367C4" w:rsidR="00D31974" w:rsidRPr="001C338A" w:rsidRDefault="009C3C92" w:rsidP="00727DFD">
      <w:pPr>
        <w:pStyle w:val="11NumPara"/>
      </w:pPr>
      <w:r w:rsidRPr="001C338A">
        <w:t xml:space="preserve">The EU Pay Transparency Directive </w:t>
      </w:r>
      <w:r w:rsidR="003E48DA" w:rsidRPr="001C338A">
        <w:t>(‘</w:t>
      </w:r>
      <w:r w:rsidR="003E48DA" w:rsidRPr="001C338A">
        <w:rPr>
          <w:b/>
        </w:rPr>
        <w:t>PTD</w:t>
      </w:r>
      <w:r w:rsidR="003E48DA" w:rsidRPr="001C338A">
        <w:t>’)</w:t>
      </w:r>
      <w:r w:rsidR="0084296B" w:rsidRPr="001C338A">
        <w:t>,</w:t>
      </w:r>
      <w:r w:rsidR="003E48DA" w:rsidRPr="001C338A">
        <w:t xml:space="preserve"> </w:t>
      </w:r>
      <w:r w:rsidR="0084296B" w:rsidRPr="001C338A">
        <w:t>Directive 2023/970</w:t>
      </w:r>
      <w:r w:rsidR="0084296B" w:rsidRPr="001C338A">
        <w:rPr>
          <w:rFonts w:cstheme="minorHAnsi"/>
          <w:szCs w:val="28"/>
        </w:rPr>
        <w:t>,</w:t>
      </w:r>
      <w:r w:rsidR="00104698" w:rsidRPr="001C338A">
        <w:rPr>
          <w:rFonts w:cstheme="minorHAnsi"/>
          <w:szCs w:val="28"/>
        </w:rPr>
        <w:t xml:space="preserve"> </w:t>
      </w:r>
      <w:r w:rsidR="0084296B" w:rsidRPr="001C338A">
        <w:rPr>
          <w:rFonts w:cstheme="minorHAnsi"/>
          <w:szCs w:val="28"/>
        </w:rPr>
        <w:t xml:space="preserve">to strengthen the application of the principle of equal pay for equal work or work of equal value, between men and women through pay transparency and enforcement mechanisms, </w:t>
      </w:r>
      <w:r w:rsidRPr="001C338A">
        <w:t>dated 10 May 2023 came into force on 6 June 2023</w:t>
      </w:r>
      <w:r w:rsidR="00D36B00">
        <w:t>.</w:t>
      </w:r>
      <w:r w:rsidR="00D31974" w:rsidRPr="001C338A">
        <w:rPr>
          <w:rStyle w:val="FootnoteReference"/>
          <w:rFonts w:asciiTheme="minorHAnsi" w:hAnsiTheme="minorHAnsi"/>
        </w:rPr>
        <w:footnoteReference w:id="25"/>
      </w:r>
      <w:r w:rsidRPr="001C338A">
        <w:t xml:space="preserve"> The provisions of the PTD must be transposed by Member States by 7 June 2026.</w:t>
      </w:r>
    </w:p>
    <w:p w14:paraId="341EC3F1" w14:textId="5BEE135A" w:rsidR="00185691" w:rsidRPr="001C338A" w:rsidRDefault="00B330A8" w:rsidP="00B5603D">
      <w:pPr>
        <w:pStyle w:val="11NumPara"/>
      </w:pPr>
      <w:r w:rsidRPr="001C338A">
        <w:t>As reflected in its title, t</w:t>
      </w:r>
      <w:r w:rsidR="00D31974" w:rsidRPr="001C338A">
        <w:t xml:space="preserve">he PTD </w:t>
      </w:r>
      <w:r w:rsidR="00170C1F" w:rsidRPr="001C338A">
        <w:t>aims to strengthen the application of the principle of equal pay for equal work or work of equal value between men and women through pay transparency and enforcement mechanisms.</w:t>
      </w:r>
      <w:r w:rsidR="00D31974" w:rsidRPr="001C338A">
        <w:t xml:space="preserve"> </w:t>
      </w:r>
    </w:p>
    <w:p w14:paraId="1A23E3DC" w14:textId="4CEBBF11" w:rsidR="00776D1A" w:rsidRPr="003F1927" w:rsidRDefault="00776D1A" w:rsidP="003F1927">
      <w:pPr>
        <w:pStyle w:val="11NumPara"/>
        <w:rPr>
          <w:rFonts w:asciiTheme="minorHAnsi" w:hAnsiTheme="minorHAnsi" w:cstheme="minorHAnsi"/>
          <w:szCs w:val="28"/>
        </w:rPr>
      </w:pPr>
      <w:r w:rsidRPr="001C338A">
        <w:rPr>
          <w:rFonts w:asciiTheme="minorHAnsi" w:hAnsiTheme="minorHAnsi" w:cstheme="minorHAnsi"/>
          <w:szCs w:val="28"/>
        </w:rPr>
        <w:t xml:space="preserve">Both the Recast Directive and the PTD </w:t>
      </w:r>
      <w:proofErr w:type="gramStart"/>
      <w:r w:rsidRPr="001C338A">
        <w:rPr>
          <w:rFonts w:asciiTheme="minorHAnsi" w:hAnsiTheme="minorHAnsi" w:cstheme="minorHAnsi"/>
          <w:szCs w:val="28"/>
        </w:rPr>
        <w:t>were adopted</w:t>
      </w:r>
      <w:proofErr w:type="gramEnd"/>
      <w:r w:rsidRPr="001C338A">
        <w:rPr>
          <w:rFonts w:asciiTheme="minorHAnsi" w:hAnsiTheme="minorHAnsi" w:cstheme="minorHAnsi"/>
          <w:szCs w:val="28"/>
        </w:rPr>
        <w:t xml:space="preserve"> pursuant to </w:t>
      </w:r>
      <w:r w:rsidRPr="001C338A">
        <w:rPr>
          <w:rFonts w:asciiTheme="minorHAnsi" w:hAnsiTheme="minorHAnsi" w:cstheme="minorHAnsi"/>
          <w:kern w:val="0"/>
          <w:szCs w:val="28"/>
          <w14:ligatures w14:val="none"/>
        </w:rPr>
        <w:t>Article 157 TFEU</w:t>
      </w:r>
      <w:r w:rsidRPr="001C338A">
        <w:rPr>
          <w:rStyle w:val="FootnoteReference"/>
          <w:rFonts w:asciiTheme="minorHAnsi" w:hAnsiTheme="minorHAnsi" w:cstheme="minorHAnsi"/>
          <w:kern w:val="0"/>
          <w:szCs w:val="28"/>
          <w14:ligatures w14:val="none"/>
        </w:rPr>
        <w:footnoteReference w:id="26"/>
      </w:r>
      <w:r w:rsidRPr="001C338A">
        <w:rPr>
          <w:rFonts w:asciiTheme="minorHAnsi" w:hAnsiTheme="minorHAnsi" w:cstheme="minorHAnsi"/>
          <w:kern w:val="0"/>
          <w:szCs w:val="28"/>
          <w14:ligatures w14:val="none"/>
        </w:rPr>
        <w:t xml:space="preserve"> which obliges EU Member States to ensure that the principle of equal pay for male and female workers for equal work or work of equal value is applied. It also provides for the adoption by the EU of measures to ensure the application of the principle of equal opportunities and equal treatment of </w:t>
      </w:r>
      <w:proofErr w:type="gramStart"/>
      <w:r w:rsidRPr="001C338A">
        <w:rPr>
          <w:rFonts w:asciiTheme="minorHAnsi" w:hAnsiTheme="minorHAnsi" w:cstheme="minorHAnsi"/>
          <w:kern w:val="0"/>
          <w:szCs w:val="28"/>
          <w14:ligatures w14:val="none"/>
        </w:rPr>
        <w:t>men and women</w:t>
      </w:r>
      <w:proofErr w:type="gramEnd"/>
      <w:r w:rsidRPr="001C338A">
        <w:rPr>
          <w:rFonts w:asciiTheme="minorHAnsi" w:hAnsiTheme="minorHAnsi" w:cstheme="minorHAnsi"/>
          <w:kern w:val="0"/>
          <w:szCs w:val="28"/>
          <w14:ligatures w14:val="none"/>
        </w:rPr>
        <w:t xml:space="preserve"> in matters of employment and occupation, including the principle of equal pay for equal work or work of equal value (the ‘principle of equal pay’).</w:t>
      </w:r>
    </w:p>
    <w:p w14:paraId="5ED04DF5" w14:textId="77777777" w:rsidR="00185691" w:rsidRPr="001C338A" w:rsidRDefault="00185691" w:rsidP="00CA2A63">
      <w:pPr>
        <w:pStyle w:val="11NumPara"/>
        <w:numPr>
          <w:ilvl w:val="1"/>
          <w:numId w:val="0"/>
        </w:numPr>
        <w:rPr>
          <w:b/>
          <w:bCs/>
        </w:rPr>
      </w:pPr>
    </w:p>
    <w:p w14:paraId="39DEB3BD" w14:textId="1B4FC89F" w:rsidR="00727DFD" w:rsidRPr="001C338A" w:rsidRDefault="00727DFD" w:rsidP="00727DFD">
      <w:pPr>
        <w:pStyle w:val="11NumPara"/>
        <w:numPr>
          <w:ilvl w:val="0"/>
          <w:numId w:val="0"/>
        </w:numPr>
        <w:ind w:left="709"/>
        <w:rPr>
          <w:b/>
          <w:bCs/>
        </w:rPr>
      </w:pPr>
      <w:r w:rsidRPr="001C338A">
        <w:rPr>
          <w:b/>
          <w:bCs/>
        </w:rPr>
        <w:t>UK Government’s views</w:t>
      </w:r>
    </w:p>
    <w:p w14:paraId="74A65A12" w14:textId="44BBC778" w:rsidR="002F6A8F" w:rsidRPr="001C338A" w:rsidRDefault="002F6A8F" w:rsidP="009974E3">
      <w:pPr>
        <w:pStyle w:val="11NumPara"/>
      </w:pPr>
      <w:r w:rsidRPr="001C338A">
        <w:t>As regards the UK Government’s views on how the proposed PTD interacted with WF Article 2, it will be noted that Minister Walker</w:t>
      </w:r>
      <w:r w:rsidR="00D63970" w:rsidRPr="001C338A">
        <w:t>, NI Minister of State,</w:t>
      </w:r>
      <w:r w:rsidR="00B330A8" w:rsidRPr="001C338A">
        <w:t xml:space="preserve"> </w:t>
      </w:r>
      <w:r w:rsidRPr="001C338A">
        <w:t>responded in July 2021 to correspondence from the House of Commons European Scrutiny Committee</w:t>
      </w:r>
      <w:r w:rsidRPr="001C338A">
        <w:rPr>
          <w:rStyle w:val="FootnoteReference"/>
          <w:rFonts w:cstheme="minorHAnsi"/>
          <w:szCs w:val="28"/>
        </w:rPr>
        <w:footnoteReference w:id="27"/>
      </w:r>
      <w:r w:rsidRPr="001C338A">
        <w:t xml:space="preserve"> in which the Committee sought the </w:t>
      </w:r>
      <w:r w:rsidRPr="001C338A">
        <w:lastRenderedPageBreak/>
        <w:t xml:space="preserve">Government’s views on a range of matters relating to proposed PTD and Article 2(1). </w:t>
      </w:r>
    </w:p>
    <w:p w14:paraId="51717D88" w14:textId="52F25BAB" w:rsidR="002F6A8F" w:rsidRPr="001C338A" w:rsidRDefault="00E81CA5" w:rsidP="00727DFD">
      <w:pPr>
        <w:pStyle w:val="11NumPara"/>
      </w:pPr>
      <w:r w:rsidRPr="001C338A">
        <w:t xml:space="preserve">The UK Government’s </w:t>
      </w:r>
      <w:r w:rsidR="002F6A8F" w:rsidRPr="001C338A">
        <w:t>response indicated that, whilst the Government remained committed to ensuring that matters of pay transparency are dealt with, it did ‘not believe that there is any requirement to go further than the requirements to assess this already included in the Protocol</w:t>
      </w:r>
      <w:proofErr w:type="gramStart"/>
      <w:r w:rsidR="002F6A8F" w:rsidRPr="001C338A">
        <w:t>’.</w:t>
      </w:r>
      <w:proofErr w:type="gramEnd"/>
      <w:r w:rsidR="002F6A8F" w:rsidRPr="001C338A">
        <w:t xml:space="preserve"> </w:t>
      </w:r>
    </w:p>
    <w:p w14:paraId="636E7522" w14:textId="720C76A3" w:rsidR="002F6A8F" w:rsidRPr="001C338A" w:rsidRDefault="00E81CA5" w:rsidP="00727DFD">
      <w:pPr>
        <w:pStyle w:val="11NumPara"/>
      </w:pPr>
      <w:r w:rsidRPr="001C338A">
        <w:t xml:space="preserve">It is of note </w:t>
      </w:r>
      <w:r w:rsidR="002F6A8F" w:rsidRPr="001C338A">
        <w:t xml:space="preserve">that there was no </w:t>
      </w:r>
      <w:r w:rsidR="004F227C" w:rsidRPr="001C338A">
        <w:t xml:space="preserve">clear </w:t>
      </w:r>
      <w:r w:rsidR="002F6A8F" w:rsidRPr="001C338A">
        <w:t xml:space="preserve">indication in that response that the UK Government was committed to ensuring that relevant protections in Northern Ireland’s equality legislation </w:t>
      </w:r>
      <w:r w:rsidR="006B0432" w:rsidRPr="001C338A">
        <w:t xml:space="preserve">relating to equal pay </w:t>
      </w:r>
      <w:r w:rsidR="002F6A8F" w:rsidRPr="001C338A">
        <w:t xml:space="preserve">would </w:t>
      </w:r>
      <w:proofErr w:type="gramStart"/>
      <w:r w:rsidR="002F6A8F" w:rsidRPr="001C338A">
        <w:t>be amended</w:t>
      </w:r>
      <w:proofErr w:type="gramEnd"/>
      <w:r w:rsidR="002F6A8F" w:rsidRPr="001C338A">
        <w:t xml:space="preserve"> to keep pace with the provisions of the PTD</w:t>
      </w:r>
      <w:r w:rsidRPr="001C338A">
        <w:t>, if introduced</w:t>
      </w:r>
      <w:r w:rsidR="002F6A8F" w:rsidRPr="001C338A">
        <w:t xml:space="preserve">. </w:t>
      </w:r>
    </w:p>
    <w:p w14:paraId="65D77603" w14:textId="2CAFF2E3" w:rsidR="00D02256" w:rsidRPr="001C338A" w:rsidRDefault="003512C0" w:rsidP="00D02256">
      <w:pPr>
        <w:pStyle w:val="11NumPara"/>
        <w:rPr>
          <w:rFonts w:asciiTheme="minorHAnsi" w:hAnsiTheme="minorHAnsi" w:cstheme="minorHAnsi"/>
          <w:szCs w:val="28"/>
        </w:rPr>
      </w:pPr>
      <w:r w:rsidRPr="001C338A">
        <w:t xml:space="preserve">It will </w:t>
      </w:r>
      <w:proofErr w:type="gramStart"/>
      <w:r w:rsidRPr="001C338A">
        <w:t>be noted</w:t>
      </w:r>
      <w:proofErr w:type="gramEnd"/>
      <w:r w:rsidRPr="001C338A">
        <w:t xml:space="preserve"> that u</w:t>
      </w:r>
      <w:r w:rsidR="00D02256" w:rsidRPr="001C338A">
        <w:t xml:space="preserve">nlike in Great Britain and Ireland, there is currently no legislation in Northern Ireland </w:t>
      </w:r>
      <w:r w:rsidR="00384360" w:rsidRPr="001C338A">
        <w:t>requiring</w:t>
      </w:r>
      <w:r w:rsidR="00D02256" w:rsidRPr="001C338A">
        <w:t xml:space="preserve"> gender pay reporting</w:t>
      </w:r>
      <w:r w:rsidR="00384360" w:rsidRPr="001C338A">
        <w:t xml:space="preserve"> by certain employers</w:t>
      </w:r>
      <w:r w:rsidR="00D02256" w:rsidRPr="001C338A">
        <w:t>.</w:t>
      </w:r>
      <w:r w:rsidR="002A0F2D" w:rsidRPr="001C338A">
        <w:rPr>
          <w:rStyle w:val="FootnoteReference"/>
        </w:rPr>
        <w:footnoteReference w:id="28"/>
      </w:r>
    </w:p>
    <w:p w14:paraId="3C2E619E" w14:textId="77777777" w:rsidR="00003C98" w:rsidRPr="001C338A" w:rsidRDefault="00003C98" w:rsidP="003F1927">
      <w:pPr>
        <w:pStyle w:val="11NumPara"/>
        <w:numPr>
          <w:ilvl w:val="0"/>
          <w:numId w:val="0"/>
        </w:numPr>
        <w:rPr>
          <w:b/>
          <w:bCs/>
        </w:rPr>
      </w:pPr>
    </w:p>
    <w:p w14:paraId="5217999E" w14:textId="523451AE" w:rsidR="00727DFD" w:rsidRPr="001C338A" w:rsidRDefault="00727DFD" w:rsidP="00727DFD">
      <w:pPr>
        <w:pStyle w:val="11NumPara"/>
        <w:numPr>
          <w:ilvl w:val="0"/>
          <w:numId w:val="0"/>
        </w:numPr>
        <w:ind w:left="709"/>
        <w:rPr>
          <w:b/>
          <w:bCs/>
        </w:rPr>
      </w:pPr>
      <w:r w:rsidRPr="001C338A">
        <w:rPr>
          <w:b/>
          <w:bCs/>
        </w:rPr>
        <w:t>Views of the European Commission</w:t>
      </w:r>
    </w:p>
    <w:p w14:paraId="1F909223" w14:textId="60C963B7" w:rsidR="002F6A8F" w:rsidRPr="001C338A" w:rsidRDefault="00D17655" w:rsidP="00727DFD">
      <w:pPr>
        <w:pStyle w:val="11NumPara"/>
      </w:pPr>
      <w:r w:rsidRPr="001C338A">
        <w:t>T</w:t>
      </w:r>
      <w:r w:rsidR="002F6A8F" w:rsidRPr="001C338A">
        <w:t>he UK</w:t>
      </w:r>
      <w:r w:rsidR="00E81CA5" w:rsidRPr="001C338A">
        <w:t xml:space="preserve"> </w:t>
      </w:r>
      <w:r w:rsidR="002F6A8F" w:rsidRPr="001C338A">
        <w:t>G</w:t>
      </w:r>
      <w:r w:rsidR="00E81CA5" w:rsidRPr="001C338A">
        <w:t>overnment</w:t>
      </w:r>
      <w:r w:rsidR="002F6A8F" w:rsidRPr="001C338A">
        <w:t xml:space="preserve"> indicated in its letter </w:t>
      </w:r>
      <w:r w:rsidRPr="001C338A">
        <w:t xml:space="preserve">of July 2021 to the House of Commons European Scrutiny Committee </w:t>
      </w:r>
      <w:r w:rsidR="002F6A8F" w:rsidRPr="001C338A">
        <w:t xml:space="preserve">that it had not been notified by the European Commission, pursuant to Article 15(3)(b) of the WF, that the proposed PTD was within the scope of the Protocol, and/or that it was an EU law that amended or replaced </w:t>
      </w:r>
      <w:r w:rsidR="000102E7" w:rsidRPr="001C338A">
        <w:t xml:space="preserve">any of </w:t>
      </w:r>
      <w:r w:rsidR="002F6A8F" w:rsidRPr="001C338A">
        <w:t xml:space="preserve">the measures listed in Annex 1. </w:t>
      </w:r>
    </w:p>
    <w:p w14:paraId="0AB26F9B" w14:textId="4EAFA261" w:rsidR="00554B71" w:rsidRPr="001C338A" w:rsidRDefault="00554B71" w:rsidP="00554B71">
      <w:pPr>
        <w:pStyle w:val="11NumPara"/>
        <w:rPr>
          <w:rFonts w:asciiTheme="minorHAnsi" w:hAnsiTheme="minorHAnsi" w:cstheme="minorHAnsi"/>
          <w:szCs w:val="28"/>
        </w:rPr>
      </w:pPr>
      <w:r w:rsidRPr="001C338A">
        <w:rPr>
          <w:rFonts w:asciiTheme="minorHAnsi" w:hAnsiTheme="minorHAnsi" w:cstheme="minorHAnsi"/>
          <w:szCs w:val="28"/>
        </w:rPr>
        <w:t>The European Commission has obligations under the Windsor Framework</w:t>
      </w:r>
      <w:r w:rsidRPr="001C338A">
        <w:rPr>
          <w:rStyle w:val="FootnoteReference"/>
          <w:rFonts w:asciiTheme="minorHAnsi" w:hAnsiTheme="minorHAnsi" w:cstheme="minorHAnsi"/>
          <w:szCs w:val="28"/>
        </w:rPr>
        <w:footnoteReference w:id="29"/>
      </w:r>
      <w:r w:rsidRPr="001C338A">
        <w:rPr>
          <w:rFonts w:asciiTheme="minorHAnsi" w:hAnsiTheme="minorHAnsi" w:cstheme="minorHAnsi"/>
          <w:szCs w:val="28"/>
        </w:rPr>
        <w:t xml:space="preserve"> to inform the Joint Consultative Working Group on the WF in a timely manner of proposed EU measures within the scope of the WF that amend or replace EU law in Annex 1 to the WF, as well as other Annexes to the WF. </w:t>
      </w:r>
    </w:p>
    <w:p w14:paraId="19BBCE19" w14:textId="150DA970" w:rsidR="00F5281C" w:rsidRPr="001C338A" w:rsidRDefault="00D17655" w:rsidP="00D17655">
      <w:pPr>
        <w:pStyle w:val="11NumPara"/>
        <w:rPr>
          <w:rStyle w:val="cf01"/>
          <w:rFonts w:ascii="Calibri" w:hAnsi="Calibri" w:cstheme="minorBidi"/>
          <w:color w:val="auto"/>
          <w:sz w:val="28"/>
          <w:szCs w:val="22"/>
          <w:shd w:val="clear" w:color="auto" w:fill="auto"/>
        </w:rPr>
      </w:pPr>
      <w:r w:rsidRPr="001C338A">
        <w:rPr>
          <w:rStyle w:val="cf01"/>
          <w:rFonts w:asciiTheme="minorHAnsi" w:hAnsiTheme="minorHAnsi" w:cstheme="minorBidi"/>
          <w:sz w:val="28"/>
          <w:szCs w:val="28"/>
        </w:rPr>
        <w:t xml:space="preserve">We </w:t>
      </w:r>
      <w:r w:rsidR="003C0123" w:rsidRPr="001C338A">
        <w:rPr>
          <w:rStyle w:val="cf01"/>
          <w:rFonts w:asciiTheme="minorHAnsi" w:hAnsiTheme="minorHAnsi" w:cstheme="minorBidi"/>
          <w:sz w:val="28"/>
          <w:szCs w:val="28"/>
        </w:rPr>
        <w:t xml:space="preserve">note </w:t>
      </w:r>
      <w:r w:rsidRPr="001C338A">
        <w:rPr>
          <w:rStyle w:val="cf01"/>
          <w:rFonts w:asciiTheme="minorHAnsi" w:hAnsiTheme="minorHAnsi" w:cstheme="minorBidi"/>
          <w:sz w:val="28"/>
          <w:szCs w:val="28"/>
        </w:rPr>
        <w:t>that the European Commission</w:t>
      </w:r>
      <w:r w:rsidR="00803011" w:rsidRPr="001C338A">
        <w:rPr>
          <w:rStyle w:val="cf01"/>
          <w:rFonts w:asciiTheme="minorHAnsi" w:hAnsiTheme="minorHAnsi" w:cstheme="minorBidi"/>
          <w:sz w:val="28"/>
          <w:szCs w:val="28"/>
        </w:rPr>
        <w:t xml:space="preserve"> </w:t>
      </w:r>
      <w:r w:rsidR="00963079" w:rsidRPr="001C338A">
        <w:rPr>
          <w:rStyle w:val="cf01"/>
          <w:rFonts w:asciiTheme="minorHAnsi" w:hAnsiTheme="minorHAnsi" w:cstheme="minorBidi"/>
          <w:sz w:val="28"/>
          <w:szCs w:val="28"/>
        </w:rPr>
        <w:t xml:space="preserve">had </w:t>
      </w:r>
      <w:r w:rsidRPr="001C338A">
        <w:rPr>
          <w:rStyle w:val="cf01"/>
          <w:rFonts w:asciiTheme="minorHAnsi" w:hAnsiTheme="minorHAnsi" w:cstheme="minorBidi"/>
          <w:sz w:val="28"/>
          <w:szCs w:val="28"/>
        </w:rPr>
        <w:t xml:space="preserve">indicated </w:t>
      </w:r>
      <w:r w:rsidRPr="001C338A">
        <w:rPr>
          <w:rFonts w:asciiTheme="minorHAnsi" w:hAnsiTheme="minorHAnsi"/>
        </w:rPr>
        <w:t>in its explanatory memorandum on its proposal for the PTD in March 2021,</w:t>
      </w:r>
      <w:r w:rsidRPr="001C338A">
        <w:rPr>
          <w:rStyle w:val="cf01"/>
          <w:rFonts w:asciiTheme="minorHAnsi" w:hAnsiTheme="minorHAnsi" w:cstheme="minorBidi"/>
          <w:sz w:val="28"/>
          <w:szCs w:val="28"/>
        </w:rPr>
        <w:t xml:space="preserve"> that it “</w:t>
      </w:r>
      <w:r w:rsidRPr="001C338A">
        <w:rPr>
          <w:rStyle w:val="cf01"/>
          <w:rFonts w:asciiTheme="minorHAnsi" w:hAnsiTheme="minorHAnsi" w:cstheme="minorBidi"/>
          <w:i/>
          <w:sz w:val="28"/>
          <w:szCs w:val="28"/>
        </w:rPr>
        <w:t xml:space="preserve">was </w:t>
      </w:r>
      <w:r w:rsidRPr="001C338A">
        <w:rPr>
          <w:rStyle w:val="cf11"/>
          <w:rFonts w:asciiTheme="minorHAnsi" w:hAnsiTheme="minorHAnsi" w:cstheme="minorBidi"/>
          <w:b w:val="0"/>
          <w:i/>
          <w:sz w:val="28"/>
          <w:szCs w:val="28"/>
        </w:rPr>
        <w:t>decided not to amend or replace</w:t>
      </w:r>
      <w:r w:rsidRPr="001C338A">
        <w:rPr>
          <w:rStyle w:val="cf11"/>
          <w:rFonts w:asciiTheme="minorHAnsi" w:hAnsiTheme="minorHAnsi" w:cstheme="minorBidi"/>
          <w:b w:val="0"/>
          <w:sz w:val="28"/>
          <w:szCs w:val="28"/>
        </w:rPr>
        <w:t xml:space="preserve">” the </w:t>
      </w:r>
      <w:r w:rsidR="003C0123" w:rsidRPr="001C338A">
        <w:rPr>
          <w:rFonts w:asciiTheme="minorHAnsi" w:hAnsiTheme="minorHAnsi"/>
        </w:rPr>
        <w:t xml:space="preserve">Recast </w:t>
      </w:r>
      <w:r w:rsidRPr="001C338A">
        <w:rPr>
          <w:rFonts w:asciiTheme="minorHAnsi" w:hAnsiTheme="minorHAnsi"/>
        </w:rPr>
        <w:t>Directive</w:t>
      </w:r>
      <w:proofErr w:type="gramStart"/>
      <w:r w:rsidRPr="001C338A">
        <w:rPr>
          <w:rStyle w:val="cf11"/>
          <w:rFonts w:asciiTheme="minorHAnsi" w:hAnsiTheme="minorHAnsi" w:cstheme="minorBidi"/>
          <w:b w:val="0"/>
          <w:sz w:val="28"/>
          <w:szCs w:val="28"/>
        </w:rPr>
        <w:t xml:space="preserve">.  </w:t>
      </w:r>
      <w:proofErr w:type="gramEnd"/>
      <w:r w:rsidRPr="001C338A">
        <w:rPr>
          <w:rStyle w:val="cf11"/>
          <w:rFonts w:asciiTheme="minorHAnsi" w:hAnsiTheme="minorHAnsi" w:cstheme="minorBidi"/>
          <w:b w:val="0"/>
          <w:sz w:val="28"/>
          <w:szCs w:val="28"/>
        </w:rPr>
        <w:t xml:space="preserve">The </w:t>
      </w:r>
      <w:r w:rsidRPr="001C338A">
        <w:rPr>
          <w:rStyle w:val="cf01"/>
          <w:rFonts w:asciiTheme="minorHAnsi" w:hAnsiTheme="minorHAnsi" w:cstheme="minorBidi"/>
          <w:sz w:val="28"/>
          <w:szCs w:val="28"/>
        </w:rPr>
        <w:t xml:space="preserve">European Commission </w:t>
      </w:r>
      <w:r w:rsidRPr="001C338A">
        <w:rPr>
          <w:rStyle w:val="cf11"/>
          <w:rFonts w:asciiTheme="minorHAnsi" w:hAnsiTheme="minorHAnsi" w:cstheme="minorBidi"/>
          <w:b w:val="0"/>
          <w:sz w:val="28"/>
          <w:szCs w:val="28"/>
        </w:rPr>
        <w:t xml:space="preserve">makes </w:t>
      </w:r>
      <w:r w:rsidR="009E2536" w:rsidRPr="001C338A">
        <w:rPr>
          <w:rStyle w:val="cf11"/>
          <w:rFonts w:asciiTheme="minorHAnsi" w:hAnsiTheme="minorHAnsi" w:cstheme="minorBidi"/>
          <w:b w:val="0"/>
          <w:sz w:val="28"/>
          <w:szCs w:val="28"/>
        </w:rPr>
        <w:t xml:space="preserve">it </w:t>
      </w:r>
      <w:r w:rsidRPr="001C338A">
        <w:rPr>
          <w:rStyle w:val="cf11"/>
          <w:rFonts w:asciiTheme="minorHAnsi" w:hAnsiTheme="minorHAnsi" w:cstheme="minorBidi"/>
          <w:b w:val="0"/>
          <w:sz w:val="28"/>
          <w:szCs w:val="28"/>
        </w:rPr>
        <w:t xml:space="preserve">clear that the reasons for this were </w:t>
      </w:r>
      <w:r w:rsidRPr="001C338A">
        <w:rPr>
          <w:rStyle w:val="cf01"/>
          <w:rFonts w:asciiTheme="minorHAnsi" w:hAnsiTheme="minorHAnsi" w:cstheme="minorBidi"/>
          <w:sz w:val="28"/>
          <w:szCs w:val="28"/>
        </w:rPr>
        <w:t xml:space="preserve">due to the latter’s wider scope to combat sex-based discrimination in employment and occupation, and that a self-standing chapter concerning pay transparency and related enforcement provisions would not fit the existing structure of that directive and would be disproportionate in relation to the provisions of the </w:t>
      </w:r>
      <w:r w:rsidR="00954AEF" w:rsidRPr="001C338A">
        <w:rPr>
          <w:rFonts w:asciiTheme="minorHAnsi" w:hAnsiTheme="minorHAnsi"/>
        </w:rPr>
        <w:t xml:space="preserve">Recast </w:t>
      </w:r>
      <w:r w:rsidRPr="001C338A">
        <w:rPr>
          <w:rFonts w:asciiTheme="minorHAnsi" w:hAnsiTheme="minorHAnsi"/>
        </w:rPr>
        <w:t>Directive</w:t>
      </w:r>
      <w:r w:rsidRPr="001C338A">
        <w:rPr>
          <w:rStyle w:val="cf01"/>
          <w:rFonts w:asciiTheme="minorHAnsi" w:hAnsiTheme="minorHAnsi" w:cstheme="minorBidi"/>
          <w:sz w:val="28"/>
          <w:szCs w:val="28"/>
        </w:rPr>
        <w:t xml:space="preserve"> regulating other aspects of equal treatment of women and men in employment and occupation matters.</w:t>
      </w:r>
    </w:p>
    <w:p w14:paraId="7EC3C446" w14:textId="77777777" w:rsidR="00252BFC" w:rsidRPr="001C338A" w:rsidRDefault="009D4E5C" w:rsidP="00D17655">
      <w:pPr>
        <w:pStyle w:val="11NumPara"/>
        <w:rPr>
          <w:rStyle w:val="cf21"/>
          <w:rFonts w:ascii="Calibri" w:hAnsi="Calibri" w:cstheme="minorBidi"/>
          <w:sz w:val="28"/>
          <w:szCs w:val="22"/>
        </w:rPr>
      </w:pPr>
      <w:r w:rsidRPr="001C338A">
        <w:rPr>
          <w:rStyle w:val="cf01"/>
          <w:rFonts w:asciiTheme="minorHAnsi" w:hAnsiTheme="minorHAnsi" w:cstheme="minorHAnsi"/>
          <w:sz w:val="28"/>
          <w:szCs w:val="28"/>
        </w:rPr>
        <w:lastRenderedPageBreak/>
        <w:t>The reason</w:t>
      </w:r>
      <w:r w:rsidR="00DA4570" w:rsidRPr="001C338A">
        <w:rPr>
          <w:rStyle w:val="cf01"/>
          <w:rFonts w:asciiTheme="minorHAnsi" w:hAnsiTheme="minorHAnsi" w:cstheme="minorHAnsi"/>
          <w:sz w:val="28"/>
          <w:szCs w:val="28"/>
        </w:rPr>
        <w:t>s given by the European Commission therefore relate to the wide scope of the Recast Directive</w:t>
      </w:r>
      <w:r w:rsidR="00F01DE6" w:rsidRPr="001C338A">
        <w:rPr>
          <w:rStyle w:val="cf01"/>
          <w:rFonts w:asciiTheme="minorHAnsi" w:hAnsiTheme="minorHAnsi" w:cstheme="minorHAnsi"/>
          <w:sz w:val="28"/>
          <w:szCs w:val="28"/>
        </w:rPr>
        <w:t xml:space="preserve"> -</w:t>
      </w:r>
      <w:r w:rsidR="00B738CB" w:rsidRPr="001C338A">
        <w:rPr>
          <w:rStyle w:val="cf01"/>
          <w:rFonts w:asciiTheme="minorHAnsi" w:hAnsiTheme="minorHAnsi" w:cstheme="minorHAnsi"/>
          <w:sz w:val="28"/>
          <w:szCs w:val="28"/>
        </w:rPr>
        <w:t xml:space="preserve">namely, </w:t>
      </w:r>
      <w:r w:rsidR="00F01DE6" w:rsidRPr="001C338A">
        <w:rPr>
          <w:rStyle w:val="cf01"/>
          <w:rFonts w:asciiTheme="minorHAnsi" w:hAnsiTheme="minorHAnsi" w:cstheme="minorHAnsi"/>
          <w:sz w:val="28"/>
          <w:szCs w:val="28"/>
        </w:rPr>
        <w:t xml:space="preserve">that it was not solely about pay discrimination-and </w:t>
      </w:r>
      <w:r w:rsidR="00B738CB" w:rsidRPr="001C338A">
        <w:rPr>
          <w:rStyle w:val="cf01"/>
          <w:rFonts w:asciiTheme="minorHAnsi" w:hAnsiTheme="minorHAnsi" w:cstheme="minorHAnsi"/>
          <w:sz w:val="28"/>
          <w:szCs w:val="28"/>
        </w:rPr>
        <w:t xml:space="preserve">for structural reasons. </w:t>
      </w:r>
      <w:r w:rsidR="004B230C" w:rsidRPr="001C338A">
        <w:rPr>
          <w:rStyle w:val="cf01"/>
          <w:rFonts w:asciiTheme="minorHAnsi" w:hAnsiTheme="minorHAnsi" w:cstheme="minorHAnsi"/>
          <w:sz w:val="28"/>
          <w:szCs w:val="28"/>
        </w:rPr>
        <w:t xml:space="preserve">In the Commissions’ view this </w:t>
      </w:r>
      <w:r w:rsidR="00AB562C" w:rsidRPr="001C338A">
        <w:rPr>
          <w:rStyle w:val="cf01"/>
          <w:rFonts w:asciiTheme="minorHAnsi" w:hAnsiTheme="minorHAnsi" w:cstheme="minorHAnsi"/>
          <w:sz w:val="28"/>
          <w:szCs w:val="28"/>
        </w:rPr>
        <w:t xml:space="preserve">indication by the European Commission </w:t>
      </w:r>
      <w:r w:rsidR="00BC1ADC" w:rsidRPr="001C338A">
        <w:rPr>
          <w:rStyle w:val="cf01"/>
          <w:rFonts w:asciiTheme="minorHAnsi" w:hAnsiTheme="minorHAnsi" w:cstheme="minorHAnsi"/>
          <w:sz w:val="28"/>
          <w:szCs w:val="28"/>
        </w:rPr>
        <w:t xml:space="preserve">in 2021 </w:t>
      </w:r>
      <w:r w:rsidR="004B230C" w:rsidRPr="001C338A">
        <w:rPr>
          <w:rStyle w:val="cf01"/>
          <w:rFonts w:asciiTheme="minorHAnsi" w:hAnsiTheme="minorHAnsi" w:cstheme="minorHAnsi"/>
          <w:sz w:val="28"/>
          <w:szCs w:val="28"/>
        </w:rPr>
        <w:t xml:space="preserve">does </w:t>
      </w:r>
      <w:r w:rsidR="004B230C" w:rsidRPr="001C338A">
        <w:rPr>
          <w:rStyle w:val="cf01"/>
          <w:rFonts w:asciiTheme="minorHAnsi" w:hAnsiTheme="minorHAnsi" w:cstheme="minorHAnsi"/>
          <w:sz w:val="28"/>
          <w:szCs w:val="28"/>
          <w:u w:val="single"/>
        </w:rPr>
        <w:t>not</w:t>
      </w:r>
      <w:r w:rsidR="001C5DC8" w:rsidRPr="001C338A">
        <w:rPr>
          <w:rStyle w:val="cf01"/>
          <w:rFonts w:asciiTheme="minorHAnsi" w:hAnsiTheme="minorHAnsi" w:cstheme="minorHAnsi"/>
          <w:sz w:val="28"/>
          <w:szCs w:val="28"/>
        </w:rPr>
        <w:t xml:space="preserve"> definitively</w:t>
      </w:r>
      <w:r w:rsidR="004B230C" w:rsidRPr="001C338A">
        <w:rPr>
          <w:rStyle w:val="cf01"/>
          <w:rFonts w:asciiTheme="minorHAnsi" w:hAnsiTheme="minorHAnsi" w:cstheme="minorHAnsi"/>
          <w:sz w:val="28"/>
          <w:szCs w:val="28"/>
        </w:rPr>
        <w:t xml:space="preserve"> mea</w:t>
      </w:r>
      <w:r w:rsidR="00A73373" w:rsidRPr="001C338A">
        <w:rPr>
          <w:rStyle w:val="cf01"/>
          <w:rFonts w:asciiTheme="minorHAnsi" w:hAnsiTheme="minorHAnsi" w:cstheme="minorHAnsi"/>
          <w:sz w:val="28"/>
          <w:szCs w:val="28"/>
        </w:rPr>
        <w:t>n that the PTD does not</w:t>
      </w:r>
      <w:r w:rsidR="001C5DC8" w:rsidRPr="001C338A">
        <w:rPr>
          <w:rStyle w:val="cf01"/>
          <w:rFonts w:asciiTheme="minorHAnsi" w:hAnsiTheme="minorHAnsi" w:cstheme="minorHAnsi"/>
          <w:sz w:val="28"/>
          <w:szCs w:val="28"/>
        </w:rPr>
        <w:t xml:space="preserve"> </w:t>
      </w:r>
      <w:r w:rsidR="00A73373" w:rsidRPr="001C338A">
        <w:rPr>
          <w:rStyle w:val="cf01"/>
          <w:rFonts w:asciiTheme="minorHAnsi" w:hAnsiTheme="minorHAnsi" w:cstheme="minorHAnsi"/>
          <w:sz w:val="28"/>
          <w:szCs w:val="28"/>
        </w:rPr>
        <w:t>amend or replace the Recast Directive</w:t>
      </w:r>
      <w:r w:rsidR="00213276" w:rsidRPr="001C338A">
        <w:rPr>
          <w:rStyle w:val="cf01"/>
          <w:rFonts w:asciiTheme="minorHAnsi" w:hAnsiTheme="minorHAnsi" w:cstheme="minorHAnsi"/>
          <w:sz w:val="28"/>
          <w:szCs w:val="28"/>
        </w:rPr>
        <w:t xml:space="preserve"> </w:t>
      </w:r>
      <w:r w:rsidR="00213276" w:rsidRPr="001C338A">
        <w:rPr>
          <w:rStyle w:val="cf01"/>
          <w:rFonts w:asciiTheme="minorHAnsi" w:hAnsiTheme="minorHAnsi" w:cstheme="minorHAnsi"/>
          <w:sz w:val="28"/>
          <w:szCs w:val="28"/>
          <w:u w:val="single"/>
        </w:rPr>
        <w:t>for the purposes of WF Article 13</w:t>
      </w:r>
      <w:r w:rsidR="00A73373" w:rsidRPr="001C338A">
        <w:rPr>
          <w:rStyle w:val="cf01"/>
          <w:rFonts w:asciiTheme="minorHAnsi" w:hAnsiTheme="minorHAnsi" w:cstheme="minorHAnsi"/>
          <w:sz w:val="28"/>
          <w:szCs w:val="28"/>
          <w:u w:val="single"/>
        </w:rPr>
        <w:t>.</w:t>
      </w:r>
      <w:r w:rsidR="00D17655" w:rsidRPr="001C338A">
        <w:rPr>
          <w:rStyle w:val="cf21"/>
          <w:rFonts w:asciiTheme="minorHAnsi" w:hAnsiTheme="minorHAnsi" w:cstheme="minorHAnsi"/>
          <w:sz w:val="28"/>
          <w:szCs w:val="28"/>
        </w:rPr>
        <w:t xml:space="preserve"> </w:t>
      </w:r>
    </w:p>
    <w:p w14:paraId="3A065138" w14:textId="3FB59F7D" w:rsidR="00B0483C" w:rsidRPr="001C338A" w:rsidRDefault="007D2DE3" w:rsidP="00D17655">
      <w:pPr>
        <w:pStyle w:val="11NumPara"/>
        <w:rPr>
          <w:rStyle w:val="cf21"/>
          <w:rFonts w:ascii="Calibri" w:hAnsi="Calibri" w:cstheme="minorBidi"/>
          <w:sz w:val="28"/>
          <w:szCs w:val="28"/>
        </w:rPr>
      </w:pPr>
      <w:r w:rsidRPr="331E9AB8">
        <w:rPr>
          <w:rStyle w:val="cf21"/>
          <w:rFonts w:asciiTheme="minorHAnsi" w:hAnsiTheme="minorHAnsi" w:cstheme="minorBidi"/>
          <w:sz w:val="28"/>
          <w:szCs w:val="28"/>
        </w:rPr>
        <w:t xml:space="preserve">The Commissions </w:t>
      </w:r>
      <w:r w:rsidR="009931FC" w:rsidRPr="331E9AB8">
        <w:rPr>
          <w:rStyle w:val="cf21"/>
          <w:rFonts w:asciiTheme="minorHAnsi" w:hAnsiTheme="minorHAnsi" w:cstheme="minorBidi"/>
          <w:sz w:val="28"/>
          <w:szCs w:val="28"/>
        </w:rPr>
        <w:t xml:space="preserve">therefore </w:t>
      </w:r>
      <w:r w:rsidRPr="331E9AB8">
        <w:rPr>
          <w:rStyle w:val="cf21"/>
          <w:rFonts w:asciiTheme="minorHAnsi" w:hAnsiTheme="minorHAnsi" w:cstheme="minorBidi"/>
          <w:sz w:val="28"/>
          <w:szCs w:val="28"/>
        </w:rPr>
        <w:t xml:space="preserve">consider that the reference by the </w:t>
      </w:r>
      <w:r w:rsidRPr="001C338A">
        <w:rPr>
          <w:rStyle w:val="cf01"/>
          <w:rFonts w:asciiTheme="minorHAnsi" w:hAnsiTheme="minorHAnsi" w:cstheme="minorBidi"/>
          <w:sz w:val="28"/>
          <w:szCs w:val="28"/>
        </w:rPr>
        <w:t xml:space="preserve">European Commission in its </w:t>
      </w:r>
      <w:r w:rsidRPr="001C338A">
        <w:rPr>
          <w:rFonts w:asciiTheme="minorHAnsi" w:hAnsiTheme="minorHAnsi"/>
        </w:rPr>
        <w:t xml:space="preserve">explanatory memorandum on its </w:t>
      </w:r>
      <w:r w:rsidR="00515AB3" w:rsidRPr="001C338A">
        <w:rPr>
          <w:rFonts w:asciiTheme="minorHAnsi" w:hAnsiTheme="minorHAnsi"/>
        </w:rPr>
        <w:t xml:space="preserve">PTD </w:t>
      </w:r>
      <w:r w:rsidRPr="001C338A">
        <w:rPr>
          <w:rFonts w:asciiTheme="minorHAnsi" w:hAnsiTheme="minorHAnsi"/>
        </w:rPr>
        <w:t xml:space="preserve">proposal </w:t>
      </w:r>
      <w:r w:rsidR="00252BFC" w:rsidRPr="001C338A">
        <w:rPr>
          <w:rFonts w:asciiTheme="minorHAnsi" w:hAnsiTheme="minorHAnsi"/>
        </w:rPr>
        <w:t xml:space="preserve">to the fact </w:t>
      </w:r>
      <w:r w:rsidRPr="001C338A">
        <w:rPr>
          <w:rStyle w:val="cf01"/>
          <w:rFonts w:asciiTheme="minorHAnsi" w:hAnsiTheme="minorHAnsi" w:cstheme="minorBidi"/>
          <w:sz w:val="28"/>
          <w:szCs w:val="28"/>
        </w:rPr>
        <w:t>that</w:t>
      </w:r>
      <w:r w:rsidR="00252BFC" w:rsidRPr="001C338A">
        <w:rPr>
          <w:rStyle w:val="cf01"/>
          <w:rFonts w:asciiTheme="minorHAnsi" w:hAnsiTheme="minorHAnsi" w:cstheme="minorBidi"/>
          <w:sz w:val="28"/>
          <w:szCs w:val="28"/>
        </w:rPr>
        <w:t xml:space="preserve"> it</w:t>
      </w:r>
      <w:r w:rsidRPr="001C338A">
        <w:rPr>
          <w:rStyle w:val="cf01"/>
          <w:rFonts w:asciiTheme="minorHAnsi" w:hAnsiTheme="minorHAnsi" w:cstheme="minorBidi"/>
          <w:sz w:val="28"/>
          <w:szCs w:val="28"/>
        </w:rPr>
        <w:t xml:space="preserve"> “</w:t>
      </w:r>
      <w:r w:rsidRPr="001C338A">
        <w:rPr>
          <w:rStyle w:val="cf01"/>
          <w:rFonts w:asciiTheme="minorHAnsi" w:hAnsiTheme="minorHAnsi" w:cstheme="minorBidi"/>
          <w:i/>
          <w:sz w:val="28"/>
          <w:szCs w:val="28"/>
        </w:rPr>
        <w:t xml:space="preserve">was </w:t>
      </w:r>
      <w:r w:rsidRPr="001C338A">
        <w:rPr>
          <w:rStyle w:val="cf11"/>
          <w:rFonts w:asciiTheme="minorHAnsi" w:hAnsiTheme="minorHAnsi" w:cstheme="minorBidi"/>
          <w:b w:val="0"/>
          <w:i/>
          <w:sz w:val="28"/>
          <w:szCs w:val="28"/>
        </w:rPr>
        <w:t>decided not to amend or replace</w:t>
      </w:r>
      <w:r w:rsidRPr="001C338A">
        <w:rPr>
          <w:rStyle w:val="cf11"/>
          <w:rFonts w:asciiTheme="minorHAnsi" w:hAnsiTheme="minorHAnsi" w:cstheme="minorBidi"/>
          <w:b w:val="0"/>
          <w:sz w:val="28"/>
          <w:szCs w:val="28"/>
        </w:rPr>
        <w:t xml:space="preserve">” the </w:t>
      </w:r>
      <w:r w:rsidRPr="001C338A">
        <w:rPr>
          <w:rFonts w:asciiTheme="minorHAnsi" w:hAnsiTheme="minorHAnsi"/>
        </w:rPr>
        <w:t>Recast Directive</w:t>
      </w:r>
      <w:r w:rsidRPr="331E9AB8">
        <w:rPr>
          <w:rStyle w:val="cf21"/>
          <w:rFonts w:asciiTheme="minorHAnsi" w:hAnsiTheme="minorHAnsi" w:cstheme="minorBidi"/>
          <w:sz w:val="28"/>
          <w:szCs w:val="28"/>
        </w:rPr>
        <w:t xml:space="preserve"> </w:t>
      </w:r>
      <w:r w:rsidR="003D6ED1" w:rsidRPr="331E9AB8">
        <w:rPr>
          <w:rStyle w:val="cf21"/>
          <w:rFonts w:asciiTheme="minorHAnsi" w:hAnsiTheme="minorHAnsi" w:cstheme="minorBidi"/>
          <w:sz w:val="28"/>
          <w:szCs w:val="28"/>
        </w:rPr>
        <w:t>could be considered</w:t>
      </w:r>
      <w:r w:rsidR="00515AB3" w:rsidRPr="331E9AB8">
        <w:rPr>
          <w:rStyle w:val="cf21"/>
          <w:rFonts w:asciiTheme="minorHAnsi" w:hAnsiTheme="minorHAnsi" w:cstheme="minorBidi"/>
          <w:sz w:val="28"/>
          <w:szCs w:val="28"/>
        </w:rPr>
        <w:t xml:space="preserve"> </w:t>
      </w:r>
      <w:r w:rsidR="007666C7" w:rsidRPr="331E9AB8">
        <w:rPr>
          <w:rStyle w:val="cf21"/>
          <w:rFonts w:asciiTheme="minorHAnsi" w:hAnsiTheme="minorHAnsi" w:cstheme="minorBidi"/>
          <w:sz w:val="28"/>
          <w:szCs w:val="28"/>
        </w:rPr>
        <w:t xml:space="preserve">as not reflecting the </w:t>
      </w:r>
      <w:r w:rsidR="00983D10" w:rsidRPr="331E9AB8">
        <w:rPr>
          <w:rStyle w:val="cf21"/>
          <w:rFonts w:asciiTheme="minorHAnsi" w:hAnsiTheme="minorHAnsi" w:cstheme="minorBidi"/>
          <w:sz w:val="28"/>
          <w:szCs w:val="28"/>
        </w:rPr>
        <w:t xml:space="preserve">overall </w:t>
      </w:r>
      <w:r w:rsidR="009F571B" w:rsidRPr="331E9AB8">
        <w:rPr>
          <w:rStyle w:val="cf21"/>
          <w:rFonts w:asciiTheme="minorHAnsi" w:hAnsiTheme="minorHAnsi" w:cstheme="minorBidi"/>
          <w:sz w:val="28"/>
          <w:szCs w:val="28"/>
        </w:rPr>
        <w:t xml:space="preserve">position </w:t>
      </w:r>
      <w:r w:rsidR="007666C7" w:rsidRPr="331E9AB8">
        <w:rPr>
          <w:rStyle w:val="cf21"/>
          <w:rFonts w:asciiTheme="minorHAnsi" w:hAnsiTheme="minorHAnsi" w:cstheme="minorBidi"/>
          <w:sz w:val="28"/>
          <w:szCs w:val="28"/>
        </w:rPr>
        <w:t xml:space="preserve">in the context of </w:t>
      </w:r>
      <w:r w:rsidR="00BC6305" w:rsidRPr="331E9AB8">
        <w:rPr>
          <w:rFonts w:asciiTheme="minorHAnsi" w:hAnsiTheme="minorHAnsi"/>
        </w:rPr>
        <w:t xml:space="preserve">assessing whether or not the PTD ‘amends or replaces’ </w:t>
      </w:r>
      <w:r w:rsidR="00155478" w:rsidRPr="331E9AB8">
        <w:rPr>
          <w:rStyle w:val="cf21"/>
          <w:rFonts w:asciiTheme="minorHAnsi" w:hAnsiTheme="minorHAnsi" w:cstheme="minorBidi"/>
          <w:sz w:val="28"/>
          <w:szCs w:val="28"/>
        </w:rPr>
        <w:t xml:space="preserve">the </w:t>
      </w:r>
      <w:r w:rsidR="00A573E7" w:rsidRPr="331E9AB8">
        <w:rPr>
          <w:rStyle w:val="cf21"/>
          <w:rFonts w:asciiTheme="minorHAnsi" w:hAnsiTheme="minorHAnsi" w:cstheme="minorBidi"/>
          <w:sz w:val="28"/>
          <w:szCs w:val="28"/>
        </w:rPr>
        <w:t>Recast Directive</w:t>
      </w:r>
      <w:r w:rsidR="00830D74" w:rsidRPr="331E9AB8">
        <w:rPr>
          <w:rFonts w:asciiTheme="minorHAnsi" w:hAnsiTheme="minorHAnsi"/>
        </w:rPr>
        <w:t xml:space="preserve">. This includes </w:t>
      </w:r>
      <w:proofErr w:type="gramStart"/>
      <w:r w:rsidR="00A1626F" w:rsidRPr="331E9AB8">
        <w:rPr>
          <w:rFonts w:asciiTheme="minorHAnsi" w:hAnsiTheme="minorHAnsi"/>
        </w:rPr>
        <w:t xml:space="preserve">in light of the fact </w:t>
      </w:r>
      <w:r w:rsidR="00830D74" w:rsidRPr="331E9AB8">
        <w:rPr>
          <w:rFonts w:asciiTheme="minorHAnsi" w:hAnsiTheme="minorHAnsi"/>
        </w:rPr>
        <w:t>that</w:t>
      </w:r>
      <w:proofErr w:type="gramEnd"/>
      <w:r w:rsidR="00830D74" w:rsidRPr="331E9AB8">
        <w:rPr>
          <w:rFonts w:asciiTheme="minorHAnsi" w:hAnsiTheme="minorHAnsi"/>
        </w:rPr>
        <w:t xml:space="preserve"> </w:t>
      </w:r>
      <w:r w:rsidR="00830D74" w:rsidRPr="331E9AB8">
        <w:t>the PTD makes clear that its provisions relating to remedies and enforcement “</w:t>
      </w:r>
      <w:r w:rsidR="00830D74" w:rsidRPr="331E9AB8">
        <w:rPr>
          <w:i/>
        </w:rPr>
        <w:t>apply to</w:t>
      </w:r>
      <w:r w:rsidR="00830D74" w:rsidRPr="331E9AB8">
        <w:t>” proceedings relating to any right or obligation relating to the principle of equal pay set out in the Recast Directive.</w:t>
      </w:r>
    </w:p>
    <w:p w14:paraId="4B4E51A0" w14:textId="01A4DA1D" w:rsidR="00BF396A" w:rsidRPr="001C338A" w:rsidRDefault="00BF396A" w:rsidP="00BF396A">
      <w:pPr>
        <w:pStyle w:val="11NumPara"/>
      </w:pPr>
      <w:r w:rsidRPr="001C338A">
        <w:rPr>
          <w:rStyle w:val="cf21"/>
          <w:rFonts w:asciiTheme="minorHAnsi" w:hAnsiTheme="minorHAnsi" w:cstheme="minorHAnsi"/>
          <w:sz w:val="28"/>
          <w:szCs w:val="28"/>
        </w:rPr>
        <w:t xml:space="preserve">The Commissions understand that the European Commission is still giving consideration as to </w:t>
      </w:r>
      <w:proofErr w:type="gramStart"/>
      <w:r w:rsidRPr="001C338A">
        <w:rPr>
          <w:rStyle w:val="cf21"/>
          <w:rFonts w:asciiTheme="minorHAnsi" w:hAnsiTheme="minorHAnsi" w:cstheme="minorHAnsi"/>
          <w:sz w:val="28"/>
          <w:szCs w:val="28"/>
        </w:rPr>
        <w:t>whether or not</w:t>
      </w:r>
      <w:proofErr w:type="gramEnd"/>
      <w:r w:rsidRPr="001C338A">
        <w:rPr>
          <w:rStyle w:val="cf21"/>
          <w:rFonts w:asciiTheme="minorHAnsi" w:hAnsiTheme="minorHAnsi" w:cstheme="minorHAnsi"/>
          <w:sz w:val="28"/>
          <w:szCs w:val="28"/>
        </w:rPr>
        <w:t xml:space="preserve"> the PTD amends or replaces</w:t>
      </w:r>
      <w:r w:rsidR="00ED66F8" w:rsidRPr="001C338A">
        <w:rPr>
          <w:rStyle w:val="cf21"/>
          <w:rFonts w:asciiTheme="minorHAnsi" w:hAnsiTheme="minorHAnsi" w:cstheme="minorHAnsi"/>
          <w:sz w:val="28"/>
          <w:szCs w:val="28"/>
        </w:rPr>
        <w:t xml:space="preserve"> provisions in</w:t>
      </w:r>
      <w:r w:rsidRPr="001C338A">
        <w:rPr>
          <w:rStyle w:val="cf21"/>
          <w:rFonts w:asciiTheme="minorHAnsi" w:hAnsiTheme="minorHAnsi" w:cstheme="minorHAnsi"/>
          <w:sz w:val="28"/>
          <w:szCs w:val="28"/>
        </w:rPr>
        <w:t xml:space="preserve"> the Recast Directive</w:t>
      </w:r>
      <w:r w:rsidR="003F76CD" w:rsidRPr="001C338A">
        <w:rPr>
          <w:rStyle w:val="cf21"/>
          <w:rFonts w:asciiTheme="minorHAnsi" w:hAnsiTheme="minorHAnsi" w:cstheme="minorHAnsi"/>
          <w:sz w:val="28"/>
          <w:szCs w:val="28"/>
        </w:rPr>
        <w:t>, for the purposes of WF Article 13</w:t>
      </w:r>
      <w:r w:rsidRPr="001C338A">
        <w:rPr>
          <w:rStyle w:val="cf21"/>
          <w:rFonts w:asciiTheme="minorHAnsi" w:hAnsiTheme="minorHAnsi" w:cstheme="minorHAnsi"/>
          <w:sz w:val="28"/>
          <w:szCs w:val="28"/>
        </w:rPr>
        <w:t>.</w:t>
      </w:r>
    </w:p>
    <w:p w14:paraId="215479EE" w14:textId="77777777" w:rsidR="00BF396A" w:rsidRPr="001C338A" w:rsidRDefault="00BF396A" w:rsidP="00CA2A63">
      <w:pPr>
        <w:pStyle w:val="11NumPara"/>
        <w:numPr>
          <w:ilvl w:val="0"/>
          <w:numId w:val="0"/>
        </w:numPr>
        <w:ind w:left="709"/>
        <w:rPr>
          <w:rStyle w:val="cf21"/>
          <w:rFonts w:ascii="Calibri" w:hAnsi="Calibri" w:cstheme="minorBidi"/>
          <w:sz w:val="28"/>
          <w:szCs w:val="22"/>
        </w:rPr>
      </w:pPr>
    </w:p>
    <w:p w14:paraId="135A7E62" w14:textId="77777777" w:rsidR="00893616" w:rsidRPr="001C338A" w:rsidRDefault="00893616" w:rsidP="00893616">
      <w:pPr>
        <w:pStyle w:val="11NumPara"/>
        <w:numPr>
          <w:ilvl w:val="0"/>
          <w:numId w:val="0"/>
        </w:numPr>
        <w:ind w:left="709"/>
        <w:rPr>
          <w:rStyle w:val="cf21"/>
          <w:rFonts w:ascii="Calibri" w:hAnsi="Calibri" w:cstheme="minorBidi"/>
          <w:b/>
          <w:bCs/>
          <w:sz w:val="28"/>
          <w:szCs w:val="22"/>
        </w:rPr>
      </w:pPr>
    </w:p>
    <w:p w14:paraId="5DECEFF2" w14:textId="1D975C94" w:rsidR="007849FF" w:rsidRPr="001C338A" w:rsidRDefault="00A87E60" w:rsidP="00A115A5">
      <w:pPr>
        <w:pStyle w:val="Heading1"/>
        <w:spacing w:line="240" w:lineRule="auto"/>
        <w:ind w:left="851" w:hanging="851"/>
      </w:pPr>
      <w:r w:rsidRPr="001C338A">
        <w:t>‘Amend or Replace’</w:t>
      </w:r>
      <w:r w:rsidR="00C70164" w:rsidRPr="001C338A">
        <w:t>: Factors</w:t>
      </w:r>
    </w:p>
    <w:p w14:paraId="65BE0475" w14:textId="77777777" w:rsidR="007849FF" w:rsidRPr="001C338A" w:rsidRDefault="007849FF" w:rsidP="007849FF">
      <w:pPr>
        <w:pStyle w:val="ListParagraph"/>
        <w:numPr>
          <w:ilvl w:val="0"/>
          <w:numId w:val="8"/>
        </w:numPr>
        <w:ind w:left="502"/>
        <w:rPr>
          <w:vanish/>
          <w:kern w:val="2"/>
          <w:szCs w:val="22"/>
          <w14:ligatures w14:val="standardContextual"/>
        </w:rPr>
      </w:pPr>
    </w:p>
    <w:p w14:paraId="15731CB3" w14:textId="16128874" w:rsidR="007849FF" w:rsidRPr="001C338A" w:rsidRDefault="007849FF" w:rsidP="00195678">
      <w:pPr>
        <w:pStyle w:val="ListParagraph"/>
        <w:ind w:left="0"/>
      </w:pPr>
    </w:p>
    <w:p w14:paraId="4D0CB826" w14:textId="42621E39" w:rsidR="00893616" w:rsidRPr="001C338A" w:rsidRDefault="00825229" w:rsidP="00893616">
      <w:pPr>
        <w:pStyle w:val="11NumPara"/>
        <w:numPr>
          <w:ilvl w:val="0"/>
          <w:numId w:val="0"/>
        </w:numPr>
        <w:ind w:left="709"/>
        <w:rPr>
          <w:b/>
          <w:bCs/>
          <w:i/>
          <w:iCs/>
        </w:rPr>
      </w:pPr>
      <w:r w:rsidRPr="001C338A">
        <w:rPr>
          <w:b/>
          <w:bCs/>
          <w:i/>
          <w:iCs/>
        </w:rPr>
        <w:t>Relevant Factors</w:t>
      </w:r>
    </w:p>
    <w:p w14:paraId="3D84DD2D" w14:textId="017F324D" w:rsidR="00995D72" w:rsidRPr="001C338A" w:rsidRDefault="003D2691" w:rsidP="00893616">
      <w:pPr>
        <w:pStyle w:val="11NumPara"/>
      </w:pPr>
      <w:r w:rsidRPr="001C338A">
        <w:rPr>
          <w:rFonts w:asciiTheme="minorHAnsi" w:hAnsiTheme="minorHAnsi" w:cstheme="minorHAnsi"/>
          <w:szCs w:val="28"/>
        </w:rPr>
        <w:t xml:space="preserve">The Commissions </w:t>
      </w:r>
      <w:r w:rsidR="00212F0A" w:rsidRPr="001C338A">
        <w:rPr>
          <w:rFonts w:asciiTheme="minorHAnsi" w:hAnsiTheme="minorHAnsi" w:cstheme="minorHAnsi"/>
          <w:szCs w:val="28"/>
        </w:rPr>
        <w:t xml:space="preserve">consider that there are a number of relevant factors to consider in </w:t>
      </w:r>
      <w:r w:rsidR="00F97AD4" w:rsidRPr="001C338A">
        <w:rPr>
          <w:rFonts w:asciiTheme="minorHAnsi" w:hAnsiTheme="minorHAnsi" w:cstheme="minorHAnsi"/>
          <w:szCs w:val="28"/>
        </w:rPr>
        <w:t xml:space="preserve">assessing </w:t>
      </w:r>
      <w:proofErr w:type="gramStart"/>
      <w:r w:rsidR="00F97AD4" w:rsidRPr="001C338A">
        <w:rPr>
          <w:rFonts w:asciiTheme="minorHAnsi" w:hAnsiTheme="minorHAnsi" w:cstheme="minorHAnsi"/>
          <w:szCs w:val="28"/>
        </w:rPr>
        <w:t>whether or not</w:t>
      </w:r>
      <w:proofErr w:type="gramEnd"/>
      <w:r w:rsidR="00F97AD4" w:rsidRPr="001C338A">
        <w:rPr>
          <w:rFonts w:asciiTheme="minorHAnsi" w:hAnsiTheme="minorHAnsi" w:cstheme="minorHAnsi"/>
          <w:szCs w:val="28"/>
        </w:rPr>
        <w:t xml:space="preserve"> the PTD </w:t>
      </w:r>
      <w:r w:rsidR="00825229" w:rsidRPr="001C338A">
        <w:rPr>
          <w:rFonts w:asciiTheme="minorHAnsi" w:hAnsiTheme="minorHAnsi" w:cstheme="minorHAnsi"/>
          <w:szCs w:val="28"/>
        </w:rPr>
        <w:t>‘</w:t>
      </w:r>
      <w:r w:rsidR="00F97AD4" w:rsidRPr="001C338A">
        <w:rPr>
          <w:rFonts w:asciiTheme="minorHAnsi" w:hAnsiTheme="minorHAnsi" w:cstheme="minorHAnsi"/>
          <w:szCs w:val="28"/>
        </w:rPr>
        <w:t>amends or replaces</w:t>
      </w:r>
      <w:r w:rsidR="00825229" w:rsidRPr="001C338A">
        <w:rPr>
          <w:rFonts w:asciiTheme="minorHAnsi" w:hAnsiTheme="minorHAnsi" w:cstheme="minorHAnsi"/>
          <w:szCs w:val="28"/>
        </w:rPr>
        <w:t>’</w:t>
      </w:r>
      <w:r w:rsidR="00F97AD4" w:rsidRPr="001C338A">
        <w:rPr>
          <w:rFonts w:asciiTheme="minorHAnsi" w:hAnsiTheme="minorHAnsi" w:cstheme="minorHAnsi"/>
          <w:szCs w:val="28"/>
        </w:rPr>
        <w:t xml:space="preserve"> the </w:t>
      </w:r>
      <w:r w:rsidR="00294C72">
        <w:rPr>
          <w:rFonts w:asciiTheme="minorHAnsi" w:hAnsiTheme="minorHAnsi" w:cstheme="minorHAnsi"/>
          <w:szCs w:val="28"/>
        </w:rPr>
        <w:t>Recast Directive</w:t>
      </w:r>
      <w:r w:rsidR="00995D72" w:rsidRPr="001C338A">
        <w:rPr>
          <w:rFonts w:asciiTheme="minorHAnsi" w:hAnsiTheme="minorHAnsi" w:cstheme="minorHAnsi"/>
          <w:szCs w:val="28"/>
        </w:rPr>
        <w:t xml:space="preserve"> further to WF Article 13. </w:t>
      </w:r>
    </w:p>
    <w:p w14:paraId="0DC9BD0A" w14:textId="5B0CE60E" w:rsidR="0035276E" w:rsidRPr="001C338A" w:rsidRDefault="00995D72" w:rsidP="00893616">
      <w:pPr>
        <w:pStyle w:val="11NumPara"/>
      </w:pPr>
      <w:r w:rsidRPr="001C338A">
        <w:rPr>
          <w:rFonts w:asciiTheme="minorHAnsi" w:hAnsiTheme="minorHAnsi" w:cstheme="minorHAnsi"/>
          <w:szCs w:val="28"/>
        </w:rPr>
        <w:t xml:space="preserve">We </w:t>
      </w:r>
      <w:r w:rsidR="003D2691" w:rsidRPr="001C338A">
        <w:rPr>
          <w:rFonts w:asciiTheme="minorHAnsi" w:hAnsiTheme="minorHAnsi" w:cstheme="minorHAnsi"/>
          <w:szCs w:val="28"/>
        </w:rPr>
        <w:t xml:space="preserve">have </w:t>
      </w:r>
      <w:r w:rsidR="009604D7" w:rsidRPr="001C338A">
        <w:rPr>
          <w:rFonts w:asciiTheme="minorHAnsi" w:hAnsiTheme="minorHAnsi" w:cstheme="minorHAnsi"/>
          <w:szCs w:val="28"/>
        </w:rPr>
        <w:t xml:space="preserve">previously </w:t>
      </w:r>
      <w:r w:rsidR="003D2691" w:rsidRPr="001C338A">
        <w:rPr>
          <w:rFonts w:asciiTheme="minorHAnsi" w:hAnsiTheme="minorHAnsi" w:cstheme="minorHAnsi"/>
          <w:szCs w:val="28"/>
        </w:rPr>
        <w:t>made clear that w</w:t>
      </w:r>
      <w:r w:rsidR="00F76834" w:rsidRPr="001C338A">
        <w:rPr>
          <w:rFonts w:asciiTheme="minorHAnsi" w:hAnsiTheme="minorHAnsi" w:cstheme="minorHAnsi"/>
          <w:szCs w:val="28"/>
        </w:rPr>
        <w:t xml:space="preserve">here a proposed EU measure explicitly states that it is replacing or ‘recasting’ an Annex 1 Directive, it is </w:t>
      </w:r>
      <w:proofErr w:type="gramStart"/>
      <w:r w:rsidR="00F76834" w:rsidRPr="001C338A">
        <w:rPr>
          <w:rFonts w:asciiTheme="minorHAnsi" w:hAnsiTheme="minorHAnsi" w:cstheme="minorHAnsi"/>
          <w:szCs w:val="28"/>
        </w:rPr>
        <w:t>relatively straightforward</w:t>
      </w:r>
      <w:proofErr w:type="gramEnd"/>
      <w:r w:rsidR="00F76834" w:rsidRPr="001C338A">
        <w:rPr>
          <w:rFonts w:asciiTheme="minorHAnsi" w:hAnsiTheme="minorHAnsi" w:cstheme="minorHAnsi"/>
          <w:szCs w:val="28"/>
        </w:rPr>
        <w:t xml:space="preserve"> to identify what measures will need to be updated in NI law.</w:t>
      </w:r>
      <w:r w:rsidR="009604D7" w:rsidRPr="001C338A">
        <w:rPr>
          <w:rStyle w:val="FootnoteReference"/>
          <w:rFonts w:asciiTheme="minorHAnsi" w:hAnsiTheme="minorHAnsi" w:cstheme="minorHAnsi"/>
          <w:szCs w:val="28"/>
        </w:rPr>
        <w:footnoteReference w:id="30"/>
      </w:r>
    </w:p>
    <w:p w14:paraId="167DD8C0" w14:textId="77777777" w:rsidR="00893616" w:rsidRPr="001C338A" w:rsidRDefault="00A948A6" w:rsidP="00893616">
      <w:pPr>
        <w:pStyle w:val="11NumPara"/>
      </w:pPr>
      <w:r w:rsidRPr="001C338A">
        <w:rPr>
          <w:rFonts w:asciiTheme="minorHAnsi" w:hAnsiTheme="minorHAnsi" w:cstheme="minorHAnsi"/>
          <w:szCs w:val="28"/>
        </w:rPr>
        <w:t xml:space="preserve">We </w:t>
      </w:r>
      <w:r w:rsidR="00B8556C" w:rsidRPr="001C338A">
        <w:rPr>
          <w:rFonts w:asciiTheme="minorHAnsi" w:hAnsiTheme="minorHAnsi" w:cstheme="minorHAnsi"/>
          <w:szCs w:val="28"/>
        </w:rPr>
        <w:t>ha</w:t>
      </w:r>
      <w:r w:rsidR="009604D7" w:rsidRPr="001C338A">
        <w:rPr>
          <w:rFonts w:asciiTheme="minorHAnsi" w:hAnsiTheme="minorHAnsi" w:cstheme="minorHAnsi"/>
          <w:szCs w:val="28"/>
        </w:rPr>
        <w:t>d</w:t>
      </w:r>
      <w:r w:rsidR="00B8556C" w:rsidRPr="001C338A">
        <w:rPr>
          <w:rFonts w:asciiTheme="minorHAnsi" w:hAnsiTheme="minorHAnsi" w:cstheme="minorHAnsi"/>
          <w:szCs w:val="28"/>
        </w:rPr>
        <w:t xml:space="preserve"> also indicated that</w:t>
      </w:r>
      <w:r w:rsidR="00F76834" w:rsidRPr="001C338A">
        <w:rPr>
          <w:rFonts w:asciiTheme="minorHAnsi" w:hAnsiTheme="minorHAnsi" w:cstheme="minorHAnsi"/>
          <w:szCs w:val="28"/>
        </w:rPr>
        <w:t xml:space="preserve"> </w:t>
      </w:r>
      <w:r w:rsidR="0035276E" w:rsidRPr="001C338A">
        <w:rPr>
          <w:rFonts w:asciiTheme="minorHAnsi" w:hAnsiTheme="minorHAnsi" w:cstheme="minorHAnsi"/>
          <w:szCs w:val="28"/>
        </w:rPr>
        <w:t>w</w:t>
      </w:r>
      <w:r w:rsidR="00F76834" w:rsidRPr="001C338A">
        <w:rPr>
          <w:rFonts w:asciiTheme="minorHAnsi" w:hAnsiTheme="minorHAnsi" w:cstheme="minorHAnsi"/>
          <w:szCs w:val="28"/>
        </w:rPr>
        <w:t xml:space="preserve">here a new EU measure does not explicitly state that it is amending an Annex 1 equality directive, or where it is amending or updating part of such a directive, an assessment of the substance of the measure will be necessary to evaluate the extent to which it requires NI law to keep pace with this change. </w:t>
      </w:r>
    </w:p>
    <w:p w14:paraId="307532FF" w14:textId="43E72B88" w:rsidR="00F76834" w:rsidRPr="001C338A" w:rsidRDefault="00F76834" w:rsidP="00893616">
      <w:pPr>
        <w:pStyle w:val="11NumPara"/>
      </w:pPr>
      <w:r w:rsidRPr="001C338A">
        <w:rPr>
          <w:rFonts w:asciiTheme="minorHAnsi" w:hAnsiTheme="minorHAnsi" w:cstheme="minorHAnsi"/>
          <w:szCs w:val="28"/>
        </w:rPr>
        <w:t xml:space="preserve">Such an assessment would have to consider, for example, the legal basis for this new measure; the purpose of the new measure; the degree of overlap on the substance of the rights and safeguards between the new measure and the Annex 1 equality directive, and any relevant Court of Justice of the EU (CJEU) </w:t>
      </w:r>
      <w:r w:rsidRPr="001C338A">
        <w:rPr>
          <w:rFonts w:asciiTheme="minorHAnsi" w:hAnsiTheme="minorHAnsi" w:cstheme="minorHAnsi"/>
          <w:szCs w:val="28"/>
        </w:rPr>
        <w:lastRenderedPageBreak/>
        <w:t>case law; and the extent to which the new measure facilitates the implementation and/or enforcement of an Annex 1 equality directive.</w:t>
      </w:r>
      <w:r w:rsidRPr="001C338A">
        <w:rPr>
          <w:rStyle w:val="FootnoteReference"/>
          <w:rFonts w:asciiTheme="minorHAnsi" w:hAnsiTheme="minorHAnsi" w:cstheme="minorHAnsi"/>
          <w:szCs w:val="28"/>
        </w:rPr>
        <w:footnoteReference w:id="31"/>
      </w:r>
    </w:p>
    <w:p w14:paraId="4963C5B3" w14:textId="4BF79493" w:rsidR="00CC5ED7" w:rsidRPr="001C338A" w:rsidRDefault="005F0172" w:rsidP="0035276E">
      <w:pPr>
        <w:pStyle w:val="11NumPara"/>
      </w:pPr>
      <w:r w:rsidRPr="001C338A">
        <w:rPr>
          <w:rStyle w:val="cf01"/>
          <w:rFonts w:asciiTheme="minorHAnsi" w:hAnsiTheme="minorHAnsi" w:cstheme="minorHAnsi"/>
          <w:sz w:val="28"/>
          <w:szCs w:val="28"/>
        </w:rPr>
        <w:t>Aligned to the above, w</w:t>
      </w:r>
      <w:r w:rsidR="00CC5ED7" w:rsidRPr="001C338A">
        <w:rPr>
          <w:rStyle w:val="cf01"/>
          <w:rFonts w:asciiTheme="minorHAnsi" w:hAnsiTheme="minorHAnsi" w:cstheme="minorHAnsi"/>
          <w:sz w:val="28"/>
          <w:szCs w:val="28"/>
        </w:rPr>
        <w:t xml:space="preserve">e have set out below </w:t>
      </w:r>
      <w:r w:rsidR="00923037" w:rsidRPr="001C338A">
        <w:rPr>
          <w:rStyle w:val="cf01"/>
          <w:rFonts w:asciiTheme="minorHAnsi" w:hAnsiTheme="minorHAnsi" w:cstheme="minorHAnsi"/>
          <w:sz w:val="28"/>
          <w:szCs w:val="28"/>
        </w:rPr>
        <w:t xml:space="preserve">our assessment </w:t>
      </w:r>
      <w:r w:rsidRPr="001C338A">
        <w:rPr>
          <w:rStyle w:val="cf01"/>
          <w:rFonts w:asciiTheme="minorHAnsi" w:hAnsiTheme="minorHAnsi" w:cstheme="minorHAnsi"/>
          <w:sz w:val="28"/>
          <w:szCs w:val="28"/>
        </w:rPr>
        <w:t xml:space="preserve">of </w:t>
      </w:r>
      <w:r w:rsidR="00F1216C" w:rsidRPr="001C338A">
        <w:rPr>
          <w:rStyle w:val="cf01"/>
          <w:rFonts w:asciiTheme="minorHAnsi" w:hAnsiTheme="minorHAnsi" w:cstheme="minorHAnsi"/>
          <w:sz w:val="28"/>
          <w:szCs w:val="28"/>
        </w:rPr>
        <w:t xml:space="preserve">the degree to which </w:t>
      </w:r>
      <w:r w:rsidR="005B6338" w:rsidRPr="001C338A">
        <w:rPr>
          <w:rStyle w:val="cf01"/>
          <w:rFonts w:asciiTheme="minorHAnsi" w:hAnsiTheme="minorHAnsi" w:cstheme="minorHAnsi"/>
          <w:sz w:val="28"/>
          <w:szCs w:val="28"/>
        </w:rPr>
        <w:t xml:space="preserve">we consider </w:t>
      </w:r>
      <w:r w:rsidR="00F1216C" w:rsidRPr="001C338A">
        <w:rPr>
          <w:rStyle w:val="cf01"/>
          <w:rFonts w:asciiTheme="minorHAnsi" w:hAnsiTheme="minorHAnsi" w:cstheme="minorHAnsi"/>
          <w:sz w:val="28"/>
          <w:szCs w:val="28"/>
        </w:rPr>
        <w:t>the PTD amends</w:t>
      </w:r>
      <w:r w:rsidR="005B6338" w:rsidRPr="001C338A">
        <w:rPr>
          <w:rStyle w:val="cf01"/>
          <w:rFonts w:asciiTheme="minorHAnsi" w:hAnsiTheme="minorHAnsi" w:cstheme="minorHAnsi"/>
          <w:sz w:val="28"/>
          <w:szCs w:val="28"/>
        </w:rPr>
        <w:t xml:space="preserve"> or replaces</w:t>
      </w:r>
      <w:r w:rsidR="00F1216C" w:rsidRPr="001C338A">
        <w:rPr>
          <w:rStyle w:val="cf01"/>
          <w:rFonts w:asciiTheme="minorHAnsi" w:hAnsiTheme="minorHAnsi" w:cstheme="minorHAnsi"/>
          <w:sz w:val="28"/>
          <w:szCs w:val="28"/>
        </w:rPr>
        <w:t xml:space="preserve"> the </w:t>
      </w:r>
      <w:r w:rsidR="00B675C0" w:rsidRPr="001C338A">
        <w:rPr>
          <w:rFonts w:asciiTheme="minorHAnsi" w:hAnsiTheme="minorHAnsi" w:cstheme="minorHAnsi"/>
          <w:szCs w:val="28"/>
        </w:rPr>
        <w:t xml:space="preserve">Recast </w:t>
      </w:r>
      <w:r w:rsidR="00F1216C" w:rsidRPr="001C338A">
        <w:rPr>
          <w:rFonts w:asciiTheme="minorHAnsi" w:hAnsiTheme="minorHAnsi" w:cstheme="minorHAnsi"/>
          <w:szCs w:val="28"/>
        </w:rPr>
        <w:t>Directive.</w:t>
      </w:r>
    </w:p>
    <w:p w14:paraId="4062DEAB" w14:textId="77777777" w:rsidR="00D676C9" w:rsidRPr="001C338A" w:rsidRDefault="00D676C9" w:rsidP="00AD09E9">
      <w:pPr>
        <w:pStyle w:val="11NumPara"/>
        <w:numPr>
          <w:ilvl w:val="0"/>
          <w:numId w:val="0"/>
        </w:numPr>
        <w:rPr>
          <w:i/>
          <w:iCs/>
        </w:rPr>
      </w:pPr>
    </w:p>
    <w:p w14:paraId="5EDB3E3F" w14:textId="534CB259" w:rsidR="00893616" w:rsidRPr="001C338A" w:rsidRDefault="00893616" w:rsidP="00893616">
      <w:pPr>
        <w:pStyle w:val="11NumPara"/>
        <w:numPr>
          <w:ilvl w:val="0"/>
          <w:numId w:val="0"/>
        </w:numPr>
        <w:ind w:left="709"/>
        <w:rPr>
          <w:i/>
          <w:iCs/>
        </w:rPr>
      </w:pPr>
      <w:r w:rsidRPr="001C338A">
        <w:rPr>
          <w:i/>
          <w:iCs/>
        </w:rPr>
        <w:t>Same Legal Basis</w:t>
      </w:r>
    </w:p>
    <w:p w14:paraId="20B77CF7" w14:textId="717F27C2" w:rsidR="00522348" w:rsidRPr="001C338A" w:rsidRDefault="00AB1D1D" w:rsidP="00893616">
      <w:pPr>
        <w:pStyle w:val="11NumPara"/>
      </w:pPr>
      <w:r w:rsidRPr="001C338A">
        <w:rPr>
          <w:rFonts w:cstheme="minorHAnsi"/>
          <w:szCs w:val="28"/>
        </w:rPr>
        <w:t xml:space="preserve">One </w:t>
      </w:r>
      <w:r w:rsidR="00522348" w:rsidRPr="001C338A">
        <w:rPr>
          <w:rFonts w:cstheme="minorHAnsi"/>
          <w:szCs w:val="28"/>
        </w:rPr>
        <w:t xml:space="preserve">relevant key factor is the degree to which the PTD has the same legal basis as the </w:t>
      </w:r>
      <w:r w:rsidR="00B675C0" w:rsidRPr="001C338A">
        <w:rPr>
          <w:rFonts w:cstheme="minorHAnsi"/>
          <w:szCs w:val="28"/>
        </w:rPr>
        <w:t xml:space="preserve">Recast </w:t>
      </w:r>
      <w:r w:rsidR="00522348" w:rsidRPr="001C338A">
        <w:rPr>
          <w:rFonts w:cstheme="minorHAnsi"/>
          <w:szCs w:val="28"/>
        </w:rPr>
        <w:t>Directive.</w:t>
      </w:r>
    </w:p>
    <w:p w14:paraId="7EC4C8DE" w14:textId="59F1174D" w:rsidR="004923FD" w:rsidRPr="001C338A" w:rsidRDefault="005E1C3F" w:rsidP="00893616">
      <w:pPr>
        <w:pStyle w:val="11NumPara"/>
      </w:pPr>
      <w:r w:rsidRPr="001C338A">
        <w:rPr>
          <w:rFonts w:cstheme="minorHAnsi"/>
          <w:szCs w:val="28"/>
        </w:rPr>
        <w:t xml:space="preserve">Critically, </w:t>
      </w:r>
      <w:proofErr w:type="gramStart"/>
      <w:r w:rsidRPr="001C338A">
        <w:rPr>
          <w:rFonts w:cstheme="minorHAnsi"/>
          <w:szCs w:val="28"/>
        </w:rPr>
        <w:t>it</w:t>
      </w:r>
      <w:r w:rsidR="00FB54A8" w:rsidRPr="001C338A">
        <w:rPr>
          <w:rFonts w:cstheme="minorHAnsi"/>
          <w:szCs w:val="28"/>
        </w:rPr>
        <w:t xml:space="preserve"> is clear that </w:t>
      </w:r>
      <w:r w:rsidR="005805F6" w:rsidRPr="001C338A">
        <w:rPr>
          <w:rFonts w:cstheme="minorHAnsi"/>
          <w:szCs w:val="28"/>
        </w:rPr>
        <w:t>the</w:t>
      </w:r>
      <w:proofErr w:type="gramEnd"/>
      <w:r w:rsidR="005805F6" w:rsidRPr="001C338A">
        <w:rPr>
          <w:rFonts w:cstheme="minorHAnsi"/>
          <w:szCs w:val="28"/>
        </w:rPr>
        <w:t xml:space="preserve"> legal basis for both the PTD and the </w:t>
      </w:r>
      <w:r w:rsidR="00B675C0" w:rsidRPr="001C338A">
        <w:rPr>
          <w:rFonts w:cstheme="minorHAnsi"/>
          <w:szCs w:val="28"/>
        </w:rPr>
        <w:t xml:space="preserve">Recast Directive </w:t>
      </w:r>
      <w:r w:rsidR="00BD3A36" w:rsidRPr="001C338A">
        <w:rPr>
          <w:rFonts w:cstheme="minorHAnsi"/>
          <w:szCs w:val="28"/>
          <w:u w:val="single"/>
        </w:rPr>
        <w:t>is</w:t>
      </w:r>
      <w:r w:rsidR="005805F6" w:rsidRPr="001C338A">
        <w:rPr>
          <w:rFonts w:cstheme="minorHAnsi"/>
          <w:szCs w:val="28"/>
          <w:u w:val="single"/>
        </w:rPr>
        <w:t xml:space="preserve"> the same</w:t>
      </w:r>
      <w:r w:rsidR="00277571">
        <w:rPr>
          <w:rFonts w:cstheme="minorHAnsi"/>
          <w:szCs w:val="28"/>
        </w:rPr>
        <w:t>,</w:t>
      </w:r>
      <w:r w:rsidR="005805F6" w:rsidRPr="001C338A">
        <w:rPr>
          <w:rFonts w:cstheme="minorHAnsi"/>
          <w:szCs w:val="28"/>
        </w:rPr>
        <w:t xml:space="preserve"> namely Article 157(3) TFEU</w:t>
      </w:r>
      <w:r w:rsidR="00820C95" w:rsidRPr="001C338A">
        <w:rPr>
          <w:rFonts w:cstheme="minorHAnsi"/>
          <w:szCs w:val="28"/>
        </w:rPr>
        <w:t xml:space="preserve"> in which the </w:t>
      </w:r>
      <w:r w:rsidR="008122E9" w:rsidRPr="001C338A">
        <w:rPr>
          <w:rFonts w:cstheme="minorHAnsi"/>
          <w:szCs w:val="28"/>
        </w:rPr>
        <w:t>EU</w:t>
      </w:r>
      <w:r w:rsidR="00820C95" w:rsidRPr="001C338A">
        <w:rPr>
          <w:rFonts w:cstheme="minorHAnsi"/>
          <w:szCs w:val="28"/>
        </w:rPr>
        <w:t xml:space="preserve"> undertak</w:t>
      </w:r>
      <w:r w:rsidR="004923FD" w:rsidRPr="001C338A">
        <w:rPr>
          <w:rFonts w:cstheme="minorHAnsi"/>
          <w:szCs w:val="28"/>
        </w:rPr>
        <w:t>e</w:t>
      </w:r>
      <w:r w:rsidR="00AF440F" w:rsidRPr="001C338A">
        <w:rPr>
          <w:rFonts w:cstheme="minorHAnsi"/>
          <w:szCs w:val="28"/>
        </w:rPr>
        <w:t>s</w:t>
      </w:r>
      <w:r w:rsidR="00820C95" w:rsidRPr="001C338A">
        <w:rPr>
          <w:rFonts w:cstheme="minorHAnsi"/>
          <w:szCs w:val="28"/>
        </w:rPr>
        <w:t xml:space="preserve"> to</w:t>
      </w:r>
      <w:r w:rsidR="004923FD" w:rsidRPr="001C338A">
        <w:rPr>
          <w:rFonts w:cstheme="minorHAnsi"/>
          <w:szCs w:val="28"/>
        </w:rPr>
        <w:t>:</w:t>
      </w:r>
      <w:r w:rsidR="00820C95" w:rsidRPr="001C338A">
        <w:rPr>
          <w:rFonts w:cstheme="minorHAnsi"/>
          <w:szCs w:val="28"/>
        </w:rPr>
        <w:t xml:space="preserve"> </w:t>
      </w:r>
    </w:p>
    <w:p w14:paraId="414698DD" w14:textId="5C266070" w:rsidR="00C361DB" w:rsidRPr="001C338A" w:rsidRDefault="00820C95" w:rsidP="004923FD">
      <w:pPr>
        <w:pStyle w:val="11NumPara"/>
        <w:numPr>
          <w:ilvl w:val="0"/>
          <w:numId w:val="0"/>
        </w:numPr>
        <w:ind w:left="1440"/>
      </w:pPr>
      <w:r w:rsidRPr="001C338A">
        <w:rPr>
          <w:rFonts w:cstheme="minorHAnsi"/>
          <w:szCs w:val="28"/>
        </w:rPr>
        <w:t>“adopt measures to ensure the application of the principle of equal opportunities and equal treatment of men and women in matters of employment and occupation, including the principle of equal pay for equal work or work of equal value</w:t>
      </w:r>
      <w:proofErr w:type="gramStart"/>
      <w:r w:rsidRPr="001C338A">
        <w:rPr>
          <w:rFonts w:cstheme="minorHAnsi"/>
          <w:szCs w:val="28"/>
        </w:rPr>
        <w:t>”</w:t>
      </w:r>
      <w:r w:rsidR="005805F6" w:rsidRPr="001C338A">
        <w:rPr>
          <w:rFonts w:cstheme="minorHAnsi"/>
          <w:szCs w:val="28"/>
        </w:rPr>
        <w:t>.</w:t>
      </w:r>
      <w:proofErr w:type="gramEnd"/>
      <w:r w:rsidR="00D5630F" w:rsidRPr="001C338A">
        <w:rPr>
          <w:rStyle w:val="FootnoteReference"/>
          <w:rFonts w:cstheme="minorHAnsi"/>
          <w:szCs w:val="28"/>
        </w:rPr>
        <w:footnoteReference w:id="32"/>
      </w:r>
    </w:p>
    <w:p w14:paraId="02C78291" w14:textId="37991143" w:rsidR="00032A1E" w:rsidRPr="001C338A" w:rsidRDefault="00F95660" w:rsidP="00893616">
      <w:pPr>
        <w:pStyle w:val="11NumPara"/>
      </w:pPr>
      <w:r w:rsidRPr="001C338A">
        <w:rPr>
          <w:rFonts w:cstheme="minorHAnsi"/>
          <w:szCs w:val="28"/>
        </w:rPr>
        <w:t xml:space="preserve">Specifically, the </w:t>
      </w:r>
      <w:r w:rsidR="004B2F91" w:rsidRPr="001C338A">
        <w:rPr>
          <w:rFonts w:cstheme="minorHAnsi"/>
          <w:szCs w:val="28"/>
        </w:rPr>
        <w:t>European Commission</w:t>
      </w:r>
      <w:r w:rsidR="00EF2A7C" w:rsidRPr="001C338A">
        <w:rPr>
          <w:rFonts w:cstheme="minorHAnsi"/>
          <w:szCs w:val="28"/>
        </w:rPr>
        <w:t>’s</w:t>
      </w:r>
      <w:r w:rsidR="004B2F91" w:rsidRPr="001C338A">
        <w:rPr>
          <w:rFonts w:cstheme="minorHAnsi"/>
          <w:szCs w:val="28"/>
        </w:rPr>
        <w:t xml:space="preserve"> </w:t>
      </w:r>
      <w:r w:rsidRPr="001C338A">
        <w:rPr>
          <w:rFonts w:cstheme="minorHAnsi"/>
          <w:szCs w:val="28"/>
        </w:rPr>
        <w:t xml:space="preserve">explanatory memorandum </w:t>
      </w:r>
      <w:r w:rsidR="00EF2A7C" w:rsidRPr="001C338A">
        <w:rPr>
          <w:rFonts w:cstheme="minorHAnsi"/>
          <w:szCs w:val="28"/>
        </w:rPr>
        <w:t xml:space="preserve">to the draft Directive (COM(2021)93) </w:t>
      </w:r>
      <w:r w:rsidR="005E1C3F" w:rsidRPr="001C338A">
        <w:rPr>
          <w:rFonts w:cstheme="minorHAnsi"/>
          <w:szCs w:val="28"/>
        </w:rPr>
        <w:t xml:space="preserve">in 2021 </w:t>
      </w:r>
      <w:r w:rsidRPr="001C338A">
        <w:rPr>
          <w:rFonts w:cstheme="minorHAnsi"/>
          <w:szCs w:val="28"/>
        </w:rPr>
        <w:t xml:space="preserve">states that:  </w:t>
      </w:r>
      <w:r w:rsidRPr="001C338A">
        <w:rPr>
          <w:rFonts w:cstheme="minorHAnsi"/>
          <w:i/>
          <w:iCs/>
          <w:szCs w:val="28"/>
        </w:rPr>
        <w:t>'Article 157(3) TFEU is the legal basis for the Recast Directive and the 2014 Recommendation. It therefore also serves as the legal basis for the binding pay</w:t>
      </w:r>
      <w:r w:rsidR="00C361DB" w:rsidRPr="001C338A">
        <w:rPr>
          <w:rFonts w:cstheme="minorHAnsi"/>
          <w:i/>
          <w:iCs/>
          <w:szCs w:val="28"/>
        </w:rPr>
        <w:t xml:space="preserve"> transparency measures under this initiative, which support the implementation and better enforcement of the principle of equal pay under Article 157 TFEU and the Recast Directive</w:t>
      </w:r>
      <w:r w:rsidR="00C361DB" w:rsidRPr="001C338A">
        <w:rPr>
          <w:rFonts w:cstheme="minorHAnsi"/>
          <w:szCs w:val="28"/>
        </w:rPr>
        <w:t>'</w:t>
      </w:r>
      <w:r w:rsidR="00D271AF" w:rsidRPr="001C338A">
        <w:rPr>
          <w:rFonts w:cstheme="minorHAnsi"/>
          <w:szCs w:val="28"/>
        </w:rPr>
        <w:t>.</w:t>
      </w:r>
      <w:r w:rsidR="00D47D79">
        <w:rPr>
          <w:rStyle w:val="FootnoteReference"/>
          <w:rFonts w:cstheme="minorHAnsi"/>
          <w:szCs w:val="28"/>
        </w:rPr>
        <w:footnoteReference w:id="33"/>
      </w:r>
    </w:p>
    <w:p w14:paraId="4A5B8A1C" w14:textId="5C80DAA2" w:rsidR="00646874" w:rsidRPr="001C338A" w:rsidRDefault="00646874" w:rsidP="001448E1">
      <w:pPr>
        <w:pStyle w:val="11NumPara"/>
      </w:pPr>
      <w:r w:rsidRPr="001C338A">
        <w:rPr>
          <w:rFonts w:cstheme="minorHAnsi"/>
          <w:szCs w:val="28"/>
        </w:rPr>
        <w:t xml:space="preserve">It will </w:t>
      </w:r>
      <w:proofErr w:type="gramStart"/>
      <w:r w:rsidR="00294C72">
        <w:rPr>
          <w:rFonts w:cstheme="minorHAnsi"/>
          <w:szCs w:val="28"/>
        </w:rPr>
        <w:t xml:space="preserve">be </w:t>
      </w:r>
      <w:r w:rsidRPr="001C338A">
        <w:rPr>
          <w:rFonts w:cstheme="minorHAnsi"/>
          <w:szCs w:val="28"/>
        </w:rPr>
        <w:t>noted</w:t>
      </w:r>
      <w:proofErr w:type="gramEnd"/>
      <w:r w:rsidRPr="001C338A">
        <w:rPr>
          <w:rFonts w:cstheme="minorHAnsi"/>
          <w:szCs w:val="28"/>
        </w:rPr>
        <w:t xml:space="preserve"> that </w:t>
      </w:r>
      <w:r w:rsidR="00CB0BF6" w:rsidRPr="001C338A">
        <w:rPr>
          <w:szCs w:val="28"/>
        </w:rPr>
        <w:t xml:space="preserve">some </w:t>
      </w:r>
      <w:r w:rsidR="008E060E">
        <w:rPr>
          <w:szCs w:val="28"/>
        </w:rPr>
        <w:t xml:space="preserve">of the </w:t>
      </w:r>
      <w:r w:rsidR="00CB0BF6" w:rsidRPr="001C338A">
        <w:rPr>
          <w:szCs w:val="28"/>
        </w:rPr>
        <w:t xml:space="preserve">key concepts in both Directives </w:t>
      </w:r>
      <w:r w:rsidRPr="001C338A">
        <w:rPr>
          <w:szCs w:val="28"/>
        </w:rPr>
        <w:t>are derived directly from Article 157 TFEU.</w:t>
      </w:r>
      <w:r w:rsidRPr="001C338A">
        <w:rPr>
          <w:rStyle w:val="FootnoteReference"/>
          <w:szCs w:val="28"/>
        </w:rPr>
        <w:footnoteReference w:id="34"/>
      </w:r>
    </w:p>
    <w:p w14:paraId="771D5B2E" w14:textId="77777777" w:rsidR="00831D8B" w:rsidRPr="001C338A" w:rsidRDefault="00831D8B" w:rsidP="00831D8B">
      <w:pPr>
        <w:pStyle w:val="11NumPara"/>
        <w:numPr>
          <w:ilvl w:val="0"/>
          <w:numId w:val="0"/>
        </w:numPr>
        <w:ind w:left="709"/>
        <w:rPr>
          <w:b/>
          <w:bCs/>
        </w:rPr>
      </w:pPr>
    </w:p>
    <w:p w14:paraId="719AD822" w14:textId="1C76B25B" w:rsidR="00831D8B" w:rsidRPr="001C338A" w:rsidRDefault="00831D8B" w:rsidP="00831D8B">
      <w:pPr>
        <w:pStyle w:val="11NumPara"/>
        <w:numPr>
          <w:ilvl w:val="0"/>
          <w:numId w:val="0"/>
        </w:numPr>
        <w:ind w:left="709"/>
        <w:rPr>
          <w:i/>
          <w:iCs/>
        </w:rPr>
      </w:pPr>
      <w:r w:rsidRPr="001C338A">
        <w:rPr>
          <w:i/>
          <w:iCs/>
        </w:rPr>
        <w:t>Facilitates implementation</w:t>
      </w:r>
      <w:r w:rsidR="00CB50A9" w:rsidRPr="001C338A">
        <w:rPr>
          <w:i/>
          <w:iCs/>
        </w:rPr>
        <w:t xml:space="preserve"> /application </w:t>
      </w:r>
      <w:r w:rsidRPr="001C338A">
        <w:rPr>
          <w:i/>
          <w:iCs/>
        </w:rPr>
        <w:t xml:space="preserve"> </w:t>
      </w:r>
    </w:p>
    <w:p w14:paraId="7B490056" w14:textId="7F952512" w:rsidR="001F2265" w:rsidRPr="001C338A" w:rsidRDefault="00B677A7" w:rsidP="00831D8B">
      <w:pPr>
        <w:pStyle w:val="11NumPara"/>
      </w:pPr>
      <w:r w:rsidRPr="001C338A">
        <w:rPr>
          <w:rFonts w:cstheme="minorHAnsi"/>
          <w:szCs w:val="28"/>
        </w:rPr>
        <w:t>Another relevant key factor is the degree to which the PTD</w:t>
      </w:r>
      <w:r w:rsidR="001F2265" w:rsidRPr="001C338A">
        <w:rPr>
          <w:rFonts w:cstheme="minorHAnsi"/>
          <w:szCs w:val="28"/>
        </w:rPr>
        <w:t xml:space="preserve"> facilitates or strengthens the implementation and enforcement</w:t>
      </w:r>
      <w:r w:rsidRPr="001C338A">
        <w:rPr>
          <w:rFonts w:cstheme="minorHAnsi"/>
          <w:szCs w:val="28"/>
        </w:rPr>
        <w:t xml:space="preserve"> </w:t>
      </w:r>
      <w:r w:rsidR="001F2265" w:rsidRPr="001C338A">
        <w:rPr>
          <w:rFonts w:cstheme="minorHAnsi"/>
          <w:szCs w:val="28"/>
        </w:rPr>
        <w:t xml:space="preserve">of </w:t>
      </w:r>
      <w:r w:rsidRPr="001C338A">
        <w:rPr>
          <w:rFonts w:cstheme="minorHAnsi"/>
          <w:szCs w:val="28"/>
        </w:rPr>
        <w:t>the Recast Directive</w:t>
      </w:r>
      <w:r w:rsidR="00EF56E4" w:rsidRPr="001C338A">
        <w:rPr>
          <w:rFonts w:cstheme="minorHAnsi"/>
          <w:szCs w:val="28"/>
        </w:rPr>
        <w:t xml:space="preserve"> as regards the principle of equal pay.</w:t>
      </w:r>
    </w:p>
    <w:p w14:paraId="2CA140AB" w14:textId="3A9EEE89" w:rsidR="006371B9" w:rsidRPr="001C338A" w:rsidRDefault="006371B9" w:rsidP="00831D8B">
      <w:pPr>
        <w:pStyle w:val="11NumPara"/>
      </w:pPr>
      <w:r w:rsidRPr="001C338A">
        <w:rPr>
          <w:rFonts w:cstheme="minorHAnsi"/>
          <w:szCs w:val="28"/>
        </w:rPr>
        <w:t xml:space="preserve">The Commissions are of the view that </w:t>
      </w:r>
      <w:r w:rsidR="00DB6831" w:rsidRPr="001C338A">
        <w:rPr>
          <w:rFonts w:cstheme="minorHAnsi"/>
          <w:szCs w:val="28"/>
        </w:rPr>
        <w:t xml:space="preserve">a primary aim of </w:t>
      </w:r>
      <w:r w:rsidRPr="001C338A">
        <w:rPr>
          <w:rFonts w:cstheme="minorHAnsi"/>
          <w:szCs w:val="28"/>
        </w:rPr>
        <w:t xml:space="preserve">the PTD </w:t>
      </w:r>
      <w:r w:rsidR="00DB6831" w:rsidRPr="001C338A">
        <w:rPr>
          <w:rFonts w:cstheme="minorHAnsi"/>
          <w:szCs w:val="28"/>
        </w:rPr>
        <w:t xml:space="preserve">is to </w:t>
      </w:r>
      <w:r w:rsidRPr="001C338A">
        <w:rPr>
          <w:rFonts w:cstheme="minorHAnsi"/>
          <w:szCs w:val="28"/>
        </w:rPr>
        <w:t xml:space="preserve">facilitate the implementation and enforcement of the </w:t>
      </w:r>
      <w:r w:rsidR="00DB08E7" w:rsidRPr="001C338A">
        <w:rPr>
          <w:rFonts w:cstheme="minorHAnsi"/>
          <w:szCs w:val="28"/>
        </w:rPr>
        <w:t xml:space="preserve">Recast </w:t>
      </w:r>
      <w:r w:rsidRPr="001C338A">
        <w:rPr>
          <w:rFonts w:cstheme="minorHAnsi"/>
          <w:szCs w:val="28"/>
        </w:rPr>
        <w:t>Directive</w:t>
      </w:r>
      <w:r w:rsidR="002C0F8B" w:rsidRPr="001C338A">
        <w:rPr>
          <w:rFonts w:cstheme="minorHAnsi"/>
          <w:szCs w:val="28"/>
        </w:rPr>
        <w:t>, as regards the principle of equal pay</w:t>
      </w:r>
      <w:r w:rsidRPr="001C338A">
        <w:rPr>
          <w:rFonts w:cstheme="minorHAnsi"/>
          <w:szCs w:val="28"/>
        </w:rPr>
        <w:t>.</w:t>
      </w:r>
    </w:p>
    <w:p w14:paraId="481D9148" w14:textId="3272255F" w:rsidR="00CF3495" w:rsidRPr="001C338A" w:rsidRDefault="00DB6831" w:rsidP="00831D8B">
      <w:pPr>
        <w:pStyle w:val="11NumPara"/>
      </w:pPr>
      <w:r w:rsidRPr="001C338A">
        <w:rPr>
          <w:rFonts w:cstheme="minorHAnsi"/>
          <w:szCs w:val="28"/>
        </w:rPr>
        <w:t xml:space="preserve">In particular, </w:t>
      </w:r>
      <w:proofErr w:type="gramStart"/>
      <w:r w:rsidR="00EA7D3C" w:rsidRPr="001C338A">
        <w:rPr>
          <w:rFonts w:cstheme="minorHAnsi"/>
          <w:szCs w:val="28"/>
        </w:rPr>
        <w:t>i</w:t>
      </w:r>
      <w:r w:rsidR="00B00367" w:rsidRPr="001C338A">
        <w:rPr>
          <w:rFonts w:cstheme="minorHAnsi"/>
          <w:szCs w:val="28"/>
        </w:rPr>
        <w:t xml:space="preserve">t </w:t>
      </w:r>
      <w:r w:rsidR="00B9521B" w:rsidRPr="001C338A">
        <w:rPr>
          <w:rFonts w:cstheme="minorHAnsi"/>
          <w:szCs w:val="28"/>
        </w:rPr>
        <w:t xml:space="preserve">is </w:t>
      </w:r>
      <w:r w:rsidR="00B00367" w:rsidRPr="001C338A">
        <w:rPr>
          <w:rFonts w:cstheme="minorHAnsi"/>
          <w:szCs w:val="28"/>
        </w:rPr>
        <w:t>clear</w:t>
      </w:r>
      <w:r w:rsidR="009A35DE" w:rsidRPr="001C338A">
        <w:rPr>
          <w:rFonts w:cstheme="minorHAnsi"/>
          <w:szCs w:val="28"/>
        </w:rPr>
        <w:t xml:space="preserve"> </w:t>
      </w:r>
      <w:r w:rsidR="00B00367" w:rsidRPr="001C338A">
        <w:rPr>
          <w:rFonts w:cstheme="minorHAnsi"/>
          <w:szCs w:val="28"/>
        </w:rPr>
        <w:t>that t</w:t>
      </w:r>
      <w:r w:rsidR="00AA6FDF" w:rsidRPr="001C338A">
        <w:rPr>
          <w:rFonts w:cstheme="minorHAnsi"/>
          <w:szCs w:val="28"/>
        </w:rPr>
        <w:t>he</w:t>
      </w:r>
      <w:proofErr w:type="gramEnd"/>
      <w:r w:rsidR="00AA6FDF" w:rsidRPr="001C338A">
        <w:rPr>
          <w:rFonts w:cstheme="minorHAnsi"/>
          <w:szCs w:val="28"/>
        </w:rPr>
        <w:t xml:space="preserve"> </w:t>
      </w:r>
      <w:r w:rsidR="00230EFD" w:rsidRPr="001C338A">
        <w:rPr>
          <w:rFonts w:cstheme="minorHAnsi"/>
          <w:szCs w:val="28"/>
        </w:rPr>
        <w:t xml:space="preserve">PTD </w:t>
      </w:r>
      <w:r w:rsidR="00B00367" w:rsidRPr="001C338A">
        <w:rPr>
          <w:rFonts w:cstheme="minorHAnsi"/>
          <w:szCs w:val="28"/>
        </w:rPr>
        <w:t xml:space="preserve">is </w:t>
      </w:r>
      <w:r w:rsidR="00AA6FDF" w:rsidRPr="001C338A">
        <w:rPr>
          <w:rFonts w:cstheme="minorHAnsi"/>
          <w:szCs w:val="28"/>
        </w:rPr>
        <w:t>aim</w:t>
      </w:r>
      <w:r w:rsidR="00B00367" w:rsidRPr="001C338A">
        <w:rPr>
          <w:rFonts w:cstheme="minorHAnsi"/>
          <w:szCs w:val="28"/>
        </w:rPr>
        <w:t>ed</w:t>
      </w:r>
      <w:r w:rsidR="00AA6FDF" w:rsidRPr="001C338A">
        <w:rPr>
          <w:rFonts w:cstheme="minorHAnsi"/>
          <w:szCs w:val="28"/>
        </w:rPr>
        <w:t xml:space="preserve"> </w:t>
      </w:r>
      <w:r w:rsidR="00B00367" w:rsidRPr="001C338A">
        <w:rPr>
          <w:rFonts w:cstheme="minorHAnsi"/>
          <w:szCs w:val="28"/>
        </w:rPr>
        <w:t>at</w:t>
      </w:r>
      <w:r w:rsidR="00AA6FDF" w:rsidRPr="001C338A">
        <w:rPr>
          <w:rFonts w:cstheme="minorHAnsi"/>
          <w:szCs w:val="28"/>
        </w:rPr>
        <w:t xml:space="preserve"> </w:t>
      </w:r>
      <w:r w:rsidR="00450191" w:rsidRPr="001C338A">
        <w:rPr>
          <w:rFonts w:cstheme="minorHAnsi"/>
          <w:szCs w:val="28"/>
          <w:u w:val="single"/>
        </w:rPr>
        <w:t>strengthen</w:t>
      </w:r>
      <w:r w:rsidR="00B00367" w:rsidRPr="001C338A">
        <w:rPr>
          <w:rFonts w:cstheme="minorHAnsi"/>
          <w:szCs w:val="28"/>
          <w:u w:val="single"/>
        </w:rPr>
        <w:t>ing</w:t>
      </w:r>
      <w:r w:rsidR="00450191" w:rsidRPr="001C338A">
        <w:rPr>
          <w:rFonts w:cstheme="minorHAnsi"/>
          <w:szCs w:val="28"/>
        </w:rPr>
        <w:t xml:space="preserve"> the application of the principle of equal pay and the prohibition of discrimination </w:t>
      </w:r>
      <w:r w:rsidR="007B0DD5" w:rsidRPr="001C338A">
        <w:rPr>
          <w:rFonts w:cstheme="minorHAnsi"/>
          <w:szCs w:val="28"/>
        </w:rPr>
        <w:t xml:space="preserve">set out </w:t>
      </w:r>
      <w:r w:rsidR="00450191" w:rsidRPr="001C338A">
        <w:rPr>
          <w:rFonts w:cstheme="minorHAnsi"/>
          <w:szCs w:val="28"/>
        </w:rPr>
        <w:t xml:space="preserve">in the </w:t>
      </w:r>
      <w:r w:rsidR="00887367" w:rsidRPr="001C338A">
        <w:rPr>
          <w:rFonts w:cstheme="minorHAnsi"/>
          <w:szCs w:val="28"/>
        </w:rPr>
        <w:lastRenderedPageBreak/>
        <w:t xml:space="preserve">Recast </w:t>
      </w:r>
      <w:r w:rsidR="00450191" w:rsidRPr="001C338A">
        <w:rPr>
          <w:rFonts w:cstheme="minorHAnsi"/>
          <w:szCs w:val="28"/>
        </w:rPr>
        <w:t>Directive,</w:t>
      </w:r>
      <w:r w:rsidR="00FA0E8B" w:rsidRPr="001C338A">
        <w:rPr>
          <w:rFonts w:cstheme="minorHAnsi"/>
          <w:szCs w:val="28"/>
        </w:rPr>
        <w:t xml:space="preserve"> </w:t>
      </w:r>
      <w:r w:rsidR="00CE669A" w:rsidRPr="001C338A">
        <w:rPr>
          <w:rFonts w:cstheme="minorHAnsi"/>
          <w:szCs w:val="28"/>
        </w:rPr>
        <w:t>through</w:t>
      </w:r>
      <w:r w:rsidR="008E002F" w:rsidRPr="001C338A">
        <w:rPr>
          <w:rFonts w:cstheme="minorHAnsi"/>
          <w:szCs w:val="28"/>
        </w:rPr>
        <w:t xml:space="preserve"> both</w:t>
      </w:r>
      <w:r w:rsidR="00CE669A" w:rsidRPr="001C338A">
        <w:rPr>
          <w:rFonts w:cstheme="minorHAnsi"/>
          <w:szCs w:val="28"/>
        </w:rPr>
        <w:t xml:space="preserve"> pay transparency and reinforced enforcement mechanisms</w:t>
      </w:r>
      <w:r w:rsidR="000C7130" w:rsidRPr="001C338A">
        <w:rPr>
          <w:rFonts w:cstheme="minorHAnsi"/>
          <w:szCs w:val="28"/>
        </w:rPr>
        <w:t xml:space="preserve">. </w:t>
      </w:r>
    </w:p>
    <w:p w14:paraId="12FE1899" w14:textId="1A37C370" w:rsidR="009419D1" w:rsidRPr="001C338A" w:rsidRDefault="000B0CEB" w:rsidP="00831D8B">
      <w:pPr>
        <w:pStyle w:val="11NumPara"/>
      </w:pPr>
      <w:r w:rsidRPr="001C338A">
        <w:rPr>
          <w:rFonts w:cstheme="minorHAnsi"/>
          <w:szCs w:val="28"/>
        </w:rPr>
        <w:t>Specifically, t</w:t>
      </w:r>
      <w:r w:rsidR="009419D1" w:rsidRPr="001C338A">
        <w:rPr>
          <w:rFonts w:cstheme="minorHAnsi"/>
          <w:szCs w:val="28"/>
        </w:rPr>
        <w:t>he PTD</w:t>
      </w:r>
      <w:r w:rsidR="00887367" w:rsidRPr="001C338A">
        <w:rPr>
          <w:rFonts w:cstheme="minorHAnsi"/>
          <w:szCs w:val="28"/>
        </w:rPr>
        <w:t xml:space="preserve"> makes clear</w:t>
      </w:r>
      <w:r w:rsidR="004A7F75" w:rsidRPr="001C338A">
        <w:rPr>
          <w:rFonts w:cstheme="minorHAnsi"/>
          <w:szCs w:val="28"/>
        </w:rPr>
        <w:t xml:space="preserve"> the</w:t>
      </w:r>
      <w:r w:rsidR="00887367" w:rsidRPr="001C338A">
        <w:rPr>
          <w:rFonts w:cstheme="minorHAnsi"/>
          <w:szCs w:val="28"/>
        </w:rPr>
        <w:t xml:space="preserve"> link between its key objective </w:t>
      </w:r>
      <w:r w:rsidR="004A7F75" w:rsidRPr="001C338A">
        <w:rPr>
          <w:rFonts w:cstheme="minorHAnsi"/>
          <w:szCs w:val="28"/>
        </w:rPr>
        <w:t>and a key objective of the Recast Directive. In particular,</w:t>
      </w:r>
      <w:r w:rsidR="009419D1" w:rsidRPr="001C338A">
        <w:rPr>
          <w:rFonts w:cstheme="minorHAnsi"/>
          <w:szCs w:val="28"/>
        </w:rPr>
        <w:t xml:space="preserve"> </w:t>
      </w:r>
      <w:r w:rsidR="004A7F75" w:rsidRPr="001C338A">
        <w:rPr>
          <w:rFonts w:cstheme="minorHAnsi"/>
          <w:szCs w:val="28"/>
        </w:rPr>
        <w:t xml:space="preserve">the PTD </w:t>
      </w:r>
      <w:r w:rsidR="00EB2B9C" w:rsidRPr="001C338A">
        <w:rPr>
          <w:rFonts w:cstheme="minorHAnsi"/>
          <w:szCs w:val="28"/>
        </w:rPr>
        <w:t>indicate</w:t>
      </w:r>
      <w:r w:rsidR="008E002F" w:rsidRPr="001C338A">
        <w:rPr>
          <w:rFonts w:cstheme="minorHAnsi"/>
          <w:szCs w:val="28"/>
        </w:rPr>
        <w:t>s</w:t>
      </w:r>
      <w:r w:rsidR="009419D1" w:rsidRPr="001C338A">
        <w:rPr>
          <w:rFonts w:cstheme="minorHAnsi"/>
          <w:szCs w:val="28"/>
        </w:rPr>
        <w:t xml:space="preserve">, </w:t>
      </w:r>
      <w:r w:rsidR="004A7F75" w:rsidRPr="001C338A">
        <w:rPr>
          <w:rFonts w:cstheme="minorHAnsi"/>
          <w:szCs w:val="28"/>
        </w:rPr>
        <w:t xml:space="preserve">at the outset, </w:t>
      </w:r>
      <w:r w:rsidR="009419D1" w:rsidRPr="001C338A">
        <w:rPr>
          <w:rFonts w:cstheme="minorHAnsi"/>
          <w:szCs w:val="28"/>
        </w:rPr>
        <w:t>in Article 1</w:t>
      </w:r>
      <w:r w:rsidR="007A24CD" w:rsidRPr="001C338A">
        <w:rPr>
          <w:rFonts w:cstheme="minorHAnsi"/>
          <w:szCs w:val="28"/>
        </w:rPr>
        <w:t xml:space="preserve"> (subject matter)</w:t>
      </w:r>
      <w:r w:rsidR="009419D1" w:rsidRPr="001C338A">
        <w:rPr>
          <w:rFonts w:cstheme="minorHAnsi"/>
          <w:szCs w:val="28"/>
        </w:rPr>
        <w:t xml:space="preserve">, that the PTD lays down minimum requirements </w:t>
      </w:r>
      <w:r w:rsidR="009419D1" w:rsidRPr="001C338A">
        <w:rPr>
          <w:rFonts w:cstheme="minorHAnsi"/>
          <w:szCs w:val="28"/>
          <w:u w:val="single"/>
        </w:rPr>
        <w:t>to strengthen</w:t>
      </w:r>
      <w:r w:rsidR="009419D1" w:rsidRPr="001C338A">
        <w:rPr>
          <w:rFonts w:cstheme="minorHAnsi"/>
          <w:szCs w:val="28"/>
        </w:rPr>
        <w:t xml:space="preserve"> the application of the principle of equal pay in Article 157 TFEU and the prohibition of discrimination </w:t>
      </w:r>
      <w:r w:rsidR="00FE502D" w:rsidRPr="001C338A">
        <w:rPr>
          <w:rFonts w:cstheme="minorHAnsi"/>
          <w:szCs w:val="28"/>
        </w:rPr>
        <w:t xml:space="preserve">in </w:t>
      </w:r>
      <w:r w:rsidR="00887367" w:rsidRPr="001C338A">
        <w:rPr>
          <w:rFonts w:cstheme="minorHAnsi"/>
          <w:szCs w:val="28"/>
        </w:rPr>
        <w:t xml:space="preserve">Article 4 of </w:t>
      </w:r>
      <w:r w:rsidR="00963173" w:rsidRPr="001C338A">
        <w:rPr>
          <w:rFonts w:cstheme="minorHAnsi"/>
          <w:szCs w:val="28"/>
        </w:rPr>
        <w:t xml:space="preserve">the </w:t>
      </w:r>
      <w:r w:rsidR="00887367" w:rsidRPr="001C338A">
        <w:rPr>
          <w:rFonts w:cstheme="minorHAnsi"/>
          <w:szCs w:val="28"/>
          <w:u w:val="single"/>
        </w:rPr>
        <w:t xml:space="preserve">Recast </w:t>
      </w:r>
      <w:r w:rsidR="00FE502D" w:rsidRPr="001C338A">
        <w:rPr>
          <w:rFonts w:cstheme="minorHAnsi"/>
          <w:szCs w:val="28"/>
          <w:u w:val="single"/>
        </w:rPr>
        <w:t>Directive</w:t>
      </w:r>
      <w:r w:rsidR="009419D1" w:rsidRPr="001C338A">
        <w:rPr>
          <w:rFonts w:cstheme="minorHAnsi"/>
          <w:szCs w:val="28"/>
        </w:rPr>
        <w:t xml:space="preserve">, in particular through pay transparency </w:t>
      </w:r>
      <w:r w:rsidR="009419D1" w:rsidRPr="001C338A">
        <w:rPr>
          <w:rFonts w:cstheme="minorHAnsi"/>
          <w:szCs w:val="28"/>
          <w:u w:val="single"/>
        </w:rPr>
        <w:t>and</w:t>
      </w:r>
      <w:r w:rsidR="009419D1" w:rsidRPr="001C338A">
        <w:rPr>
          <w:rFonts w:cstheme="minorHAnsi"/>
          <w:szCs w:val="28"/>
        </w:rPr>
        <w:t xml:space="preserve"> reinforced enforcement mechanisms</w:t>
      </w:r>
      <w:r w:rsidR="00E404DA" w:rsidRPr="001C338A">
        <w:rPr>
          <w:rFonts w:cstheme="minorHAnsi"/>
          <w:szCs w:val="28"/>
        </w:rPr>
        <w:t xml:space="preserve"> (our emphasis)</w:t>
      </w:r>
      <w:r w:rsidR="009419D1" w:rsidRPr="001C338A">
        <w:rPr>
          <w:rFonts w:cstheme="minorHAnsi"/>
          <w:szCs w:val="28"/>
        </w:rPr>
        <w:t>.</w:t>
      </w:r>
    </w:p>
    <w:p w14:paraId="748EC568" w14:textId="43ED6848" w:rsidR="00DA6075" w:rsidRPr="001C338A" w:rsidRDefault="00DA6075" w:rsidP="00831D8B">
      <w:pPr>
        <w:pStyle w:val="11NumPara"/>
      </w:pPr>
      <w:r w:rsidRPr="001C338A">
        <w:rPr>
          <w:rFonts w:cstheme="minorHAnsi"/>
          <w:szCs w:val="28"/>
        </w:rPr>
        <w:t>Importantly</w:t>
      </w:r>
      <w:r w:rsidR="00BB72D9" w:rsidRPr="001C338A">
        <w:rPr>
          <w:rFonts w:cstheme="minorHAnsi"/>
          <w:szCs w:val="28"/>
        </w:rPr>
        <w:t xml:space="preserve">, of note is that </w:t>
      </w:r>
      <w:r w:rsidRPr="001C338A">
        <w:rPr>
          <w:rFonts w:cstheme="minorHAnsi"/>
          <w:szCs w:val="28"/>
        </w:rPr>
        <w:t xml:space="preserve">it states that the application of the principle of equal pay is strengthened through </w:t>
      </w:r>
      <w:r w:rsidRPr="001C338A">
        <w:rPr>
          <w:rFonts w:cstheme="minorHAnsi"/>
          <w:szCs w:val="28"/>
          <w:u w:val="single"/>
        </w:rPr>
        <w:t>both</w:t>
      </w:r>
      <w:r w:rsidRPr="001C338A">
        <w:rPr>
          <w:rFonts w:cstheme="minorHAnsi"/>
          <w:szCs w:val="28"/>
        </w:rPr>
        <w:t xml:space="preserve"> pay transparency </w:t>
      </w:r>
      <w:r w:rsidRPr="001C338A">
        <w:rPr>
          <w:rFonts w:cstheme="minorHAnsi"/>
          <w:szCs w:val="28"/>
          <w:u w:val="single"/>
        </w:rPr>
        <w:t>and</w:t>
      </w:r>
      <w:r w:rsidRPr="001C338A">
        <w:rPr>
          <w:rFonts w:cstheme="minorHAnsi"/>
          <w:szCs w:val="28"/>
        </w:rPr>
        <w:t xml:space="preserve"> reinforced enforcement mechanisms, and that binding measures to improve pay transparency</w:t>
      </w:r>
      <w:r w:rsidRPr="001C338A">
        <w:rPr>
          <w:rFonts w:cstheme="minorHAnsi"/>
          <w:color w:val="333333"/>
          <w:szCs w:val="28"/>
          <w:shd w:val="clear" w:color="auto" w:fill="FFFFFF"/>
        </w:rPr>
        <w:t xml:space="preserve"> ‘</w:t>
      </w:r>
      <w:r w:rsidRPr="001C338A">
        <w:rPr>
          <w:rFonts w:cstheme="minorHAnsi"/>
          <w:i/>
          <w:iCs/>
          <w:color w:val="333333"/>
          <w:szCs w:val="28"/>
          <w:shd w:val="clear" w:color="auto" w:fill="FFFFFF"/>
        </w:rPr>
        <w:t>need to be complemented</w:t>
      </w:r>
      <w:r w:rsidRPr="001C338A">
        <w:rPr>
          <w:rFonts w:cstheme="minorHAnsi"/>
          <w:color w:val="333333"/>
          <w:szCs w:val="28"/>
          <w:shd w:val="clear" w:color="auto" w:fill="FFFFFF"/>
        </w:rPr>
        <w:t>’ by provisions clarifying existing legal concepts, such as the concepts of pay and work of equal value, and measures improving enforcement mechanisms and access to justice</w:t>
      </w:r>
      <w:r w:rsidR="003A4BD6">
        <w:rPr>
          <w:rFonts w:cstheme="minorHAnsi"/>
          <w:color w:val="333333"/>
          <w:szCs w:val="28"/>
          <w:shd w:val="clear" w:color="auto" w:fill="FFFFFF"/>
        </w:rPr>
        <w:t>.</w:t>
      </w:r>
      <w:r w:rsidRPr="001C338A">
        <w:rPr>
          <w:rStyle w:val="FootnoteReference"/>
          <w:rFonts w:cstheme="minorHAnsi"/>
          <w:color w:val="333333"/>
          <w:szCs w:val="28"/>
          <w:shd w:val="clear" w:color="auto" w:fill="FFFFFF"/>
        </w:rPr>
        <w:footnoteReference w:id="35"/>
      </w:r>
    </w:p>
    <w:p w14:paraId="5310EBE7" w14:textId="34E3B60C" w:rsidR="00CB0B91" w:rsidRPr="001C338A" w:rsidRDefault="009A72B9" w:rsidP="00831D8B">
      <w:pPr>
        <w:pStyle w:val="11NumPara"/>
      </w:pPr>
      <w:r w:rsidRPr="001C338A">
        <w:rPr>
          <w:rFonts w:cstheme="minorHAnsi"/>
          <w:color w:val="333333"/>
          <w:szCs w:val="28"/>
          <w:shd w:val="clear" w:color="auto" w:fill="FFFFFF"/>
        </w:rPr>
        <w:t xml:space="preserve">The recitals to the PTD </w:t>
      </w:r>
      <w:r w:rsidR="00081A80" w:rsidRPr="001C338A">
        <w:rPr>
          <w:rFonts w:cstheme="minorHAnsi"/>
          <w:color w:val="333333"/>
          <w:szCs w:val="28"/>
          <w:shd w:val="clear" w:color="auto" w:fill="FFFFFF"/>
        </w:rPr>
        <w:t xml:space="preserve">(Recital 11) </w:t>
      </w:r>
      <w:r w:rsidR="00A0438B" w:rsidRPr="001C338A">
        <w:rPr>
          <w:rFonts w:cstheme="minorHAnsi"/>
          <w:color w:val="333333"/>
          <w:szCs w:val="28"/>
          <w:shd w:val="clear" w:color="auto" w:fill="FFFFFF"/>
        </w:rPr>
        <w:t xml:space="preserve">reinforce this by indicating </w:t>
      </w:r>
      <w:r w:rsidR="007D7767" w:rsidRPr="001C338A">
        <w:rPr>
          <w:rFonts w:cstheme="minorHAnsi"/>
          <w:color w:val="333333"/>
          <w:szCs w:val="28"/>
          <w:shd w:val="clear" w:color="auto" w:fill="FFFFFF"/>
        </w:rPr>
        <w:t xml:space="preserve">that </w:t>
      </w:r>
      <w:r w:rsidR="0065467D" w:rsidRPr="001C338A">
        <w:rPr>
          <w:rFonts w:cstheme="minorHAnsi"/>
          <w:color w:val="333333"/>
          <w:szCs w:val="28"/>
          <w:shd w:val="clear" w:color="auto" w:fill="FFFFFF"/>
        </w:rPr>
        <w:t>a</w:t>
      </w:r>
      <w:r w:rsidR="00D17406" w:rsidRPr="001C338A">
        <w:rPr>
          <w:rFonts w:cstheme="minorHAnsi"/>
          <w:color w:val="333333"/>
          <w:szCs w:val="28"/>
          <w:shd w:val="clear" w:color="auto" w:fill="FFFFFF"/>
        </w:rPr>
        <w:t xml:space="preserve"> European Commission evaluation </w:t>
      </w:r>
      <w:r w:rsidR="001B1E56" w:rsidRPr="001C338A">
        <w:rPr>
          <w:rFonts w:cstheme="minorHAnsi"/>
          <w:color w:val="333333"/>
          <w:szCs w:val="28"/>
          <w:shd w:val="clear" w:color="auto" w:fill="FFFFFF"/>
        </w:rPr>
        <w:t>(2020)</w:t>
      </w:r>
      <w:r w:rsidR="00DB08E7" w:rsidRPr="001C338A">
        <w:rPr>
          <w:rFonts w:cstheme="minorHAnsi"/>
          <w:color w:val="333333"/>
          <w:szCs w:val="28"/>
          <w:shd w:val="clear" w:color="auto" w:fill="FFFFFF"/>
        </w:rPr>
        <w:t xml:space="preserve"> </w:t>
      </w:r>
      <w:r w:rsidR="00D17406" w:rsidRPr="001C338A">
        <w:rPr>
          <w:rFonts w:cstheme="minorHAnsi"/>
          <w:color w:val="333333"/>
          <w:szCs w:val="28"/>
          <w:shd w:val="clear" w:color="auto" w:fill="FFFFFF"/>
        </w:rPr>
        <w:t xml:space="preserve">of the </w:t>
      </w:r>
      <w:r w:rsidR="001B1E56" w:rsidRPr="001C338A">
        <w:rPr>
          <w:rFonts w:cstheme="minorHAnsi"/>
          <w:szCs w:val="28"/>
        </w:rPr>
        <w:t xml:space="preserve">Recast </w:t>
      </w:r>
      <w:r w:rsidR="0065467D" w:rsidRPr="001C338A">
        <w:rPr>
          <w:rFonts w:cstheme="minorHAnsi"/>
          <w:szCs w:val="28"/>
        </w:rPr>
        <w:t>Directive</w:t>
      </w:r>
      <w:r w:rsidR="008313B1" w:rsidRPr="001C338A">
        <w:rPr>
          <w:rFonts w:cstheme="minorHAnsi"/>
          <w:szCs w:val="28"/>
        </w:rPr>
        <w:t xml:space="preserve"> </w:t>
      </w:r>
      <w:r w:rsidR="007D7767" w:rsidRPr="001C338A">
        <w:rPr>
          <w:rFonts w:cstheme="minorHAnsi"/>
          <w:color w:val="333333"/>
          <w:szCs w:val="28"/>
          <w:shd w:val="clear" w:color="auto" w:fill="FFFFFF"/>
        </w:rPr>
        <w:t xml:space="preserve">found that the application of the principle of equal pay </w:t>
      </w:r>
      <w:r w:rsidR="0065467D" w:rsidRPr="001C338A">
        <w:rPr>
          <w:rFonts w:cstheme="minorHAnsi"/>
          <w:color w:val="333333"/>
          <w:szCs w:val="28"/>
          <w:shd w:val="clear" w:color="auto" w:fill="FFFFFF"/>
        </w:rPr>
        <w:t xml:space="preserve">was </w:t>
      </w:r>
      <w:r w:rsidRPr="001C338A">
        <w:rPr>
          <w:rFonts w:cstheme="minorHAnsi"/>
          <w:color w:val="333333"/>
          <w:szCs w:val="28"/>
          <w:shd w:val="clear" w:color="auto" w:fill="FFFFFF"/>
        </w:rPr>
        <w:t>hindered by a lack of transparency in pay systems, a lack of legal certainty on the concept of work of equal value, and by procedural obstacles faced by victims of discrimination. </w:t>
      </w:r>
      <w:r w:rsidR="00B6671E" w:rsidRPr="001C338A">
        <w:rPr>
          <w:rStyle w:val="FootnoteReference"/>
          <w:rFonts w:cstheme="minorHAnsi"/>
          <w:color w:val="333333"/>
          <w:szCs w:val="28"/>
          <w:shd w:val="clear" w:color="auto" w:fill="FFFFFF"/>
        </w:rPr>
        <w:footnoteReference w:id="36"/>
      </w:r>
    </w:p>
    <w:p w14:paraId="1B4903ED" w14:textId="77777777" w:rsidR="00831D8B" w:rsidRPr="001C338A" w:rsidRDefault="00B76D1F" w:rsidP="00D827CF">
      <w:pPr>
        <w:pStyle w:val="11NumPara"/>
      </w:pPr>
      <w:r w:rsidRPr="001C338A">
        <w:rPr>
          <w:rFonts w:asciiTheme="minorHAnsi" w:hAnsiTheme="minorHAnsi" w:cstheme="minorHAnsi"/>
          <w:szCs w:val="28"/>
        </w:rPr>
        <w:t xml:space="preserve">The </w:t>
      </w:r>
      <w:r w:rsidR="002253CC" w:rsidRPr="001C338A">
        <w:rPr>
          <w:rFonts w:asciiTheme="minorHAnsi" w:hAnsiTheme="minorHAnsi" w:cstheme="minorHAnsi"/>
          <w:color w:val="333333"/>
          <w:szCs w:val="28"/>
          <w:shd w:val="clear" w:color="auto" w:fill="FFFFFF"/>
        </w:rPr>
        <w:t>European Commission</w:t>
      </w:r>
      <w:r w:rsidR="00245C0C" w:rsidRPr="001C338A">
        <w:rPr>
          <w:rFonts w:asciiTheme="minorHAnsi" w:hAnsiTheme="minorHAnsi" w:cstheme="minorHAnsi"/>
          <w:color w:val="333333"/>
          <w:szCs w:val="28"/>
          <w:shd w:val="clear" w:color="auto" w:fill="FFFFFF"/>
        </w:rPr>
        <w:t>’s</w:t>
      </w:r>
      <w:r w:rsidR="002253CC" w:rsidRPr="001C338A">
        <w:rPr>
          <w:rFonts w:asciiTheme="minorHAnsi" w:hAnsiTheme="minorHAnsi" w:cstheme="minorHAnsi"/>
          <w:color w:val="333333"/>
          <w:szCs w:val="28"/>
          <w:shd w:val="clear" w:color="auto" w:fill="FFFFFF"/>
        </w:rPr>
        <w:t xml:space="preserve"> evaluation </w:t>
      </w:r>
      <w:r w:rsidR="001B1E56" w:rsidRPr="001C338A">
        <w:rPr>
          <w:rFonts w:asciiTheme="minorHAnsi" w:hAnsiTheme="minorHAnsi" w:cstheme="minorHAnsi"/>
          <w:color w:val="333333"/>
          <w:szCs w:val="28"/>
          <w:shd w:val="clear" w:color="auto" w:fill="FFFFFF"/>
        </w:rPr>
        <w:t xml:space="preserve">(2020) highlights </w:t>
      </w:r>
      <w:r w:rsidR="002253CC" w:rsidRPr="001C338A">
        <w:rPr>
          <w:rFonts w:asciiTheme="minorHAnsi" w:hAnsiTheme="minorHAnsi" w:cstheme="minorHAnsi"/>
          <w:color w:val="333333"/>
          <w:szCs w:val="28"/>
          <w:shd w:val="clear" w:color="auto" w:fill="FFFFFF"/>
        </w:rPr>
        <w:t xml:space="preserve">that </w:t>
      </w:r>
      <w:proofErr w:type="gramStart"/>
      <w:r w:rsidR="002253CC" w:rsidRPr="001C338A">
        <w:rPr>
          <w:rFonts w:asciiTheme="minorHAnsi" w:hAnsiTheme="minorHAnsi" w:cstheme="minorHAnsi"/>
          <w:szCs w:val="28"/>
        </w:rPr>
        <w:t>a</w:t>
      </w:r>
      <w:r w:rsidRPr="001C338A">
        <w:rPr>
          <w:rFonts w:asciiTheme="minorHAnsi" w:hAnsiTheme="minorHAnsi" w:cstheme="minorHAnsi"/>
          <w:szCs w:val="28"/>
        </w:rPr>
        <w:t xml:space="preserve"> number of</w:t>
      </w:r>
      <w:proofErr w:type="gramEnd"/>
      <w:r w:rsidRPr="001C338A">
        <w:rPr>
          <w:rFonts w:asciiTheme="minorHAnsi" w:hAnsiTheme="minorHAnsi" w:cstheme="minorHAnsi"/>
          <w:szCs w:val="28"/>
        </w:rPr>
        <w:t xml:space="preserve"> lessons emerged from the evaluation</w:t>
      </w:r>
      <w:r w:rsidR="002253CC" w:rsidRPr="001C338A">
        <w:rPr>
          <w:rFonts w:asciiTheme="minorHAnsi" w:hAnsiTheme="minorHAnsi" w:cstheme="minorHAnsi"/>
          <w:szCs w:val="28"/>
        </w:rPr>
        <w:t xml:space="preserve"> of the Recast Directive</w:t>
      </w:r>
      <w:r w:rsidRPr="001C338A">
        <w:rPr>
          <w:rFonts w:asciiTheme="minorHAnsi" w:hAnsiTheme="minorHAnsi" w:cstheme="minorHAnsi"/>
          <w:szCs w:val="28"/>
        </w:rPr>
        <w:t xml:space="preserve">, </w:t>
      </w:r>
      <w:r w:rsidR="002253CC" w:rsidRPr="001C338A">
        <w:rPr>
          <w:rFonts w:asciiTheme="minorHAnsi" w:hAnsiTheme="minorHAnsi" w:cstheme="minorHAnsi"/>
          <w:szCs w:val="28"/>
        </w:rPr>
        <w:t>“</w:t>
      </w:r>
      <w:r w:rsidRPr="001C338A">
        <w:rPr>
          <w:rFonts w:asciiTheme="minorHAnsi" w:hAnsiTheme="minorHAnsi" w:cstheme="minorHAnsi"/>
          <w:i/>
          <w:iCs/>
          <w:szCs w:val="28"/>
        </w:rPr>
        <w:t>reflecting further needs for better implementation of the principle of equal pay</w:t>
      </w:r>
      <w:r w:rsidR="002253CC" w:rsidRPr="001C338A">
        <w:rPr>
          <w:rFonts w:asciiTheme="minorHAnsi" w:hAnsiTheme="minorHAnsi" w:cstheme="minorHAnsi"/>
          <w:szCs w:val="28"/>
        </w:rPr>
        <w:t>”</w:t>
      </w:r>
      <w:r w:rsidR="00D827CF" w:rsidRPr="001C338A">
        <w:rPr>
          <w:rFonts w:asciiTheme="minorHAnsi" w:hAnsiTheme="minorHAnsi" w:cstheme="minorHAnsi"/>
          <w:szCs w:val="28"/>
        </w:rPr>
        <w:t xml:space="preserve">. </w:t>
      </w:r>
    </w:p>
    <w:p w14:paraId="69DCB6B7" w14:textId="32BD17DB" w:rsidR="00D827CF" w:rsidRPr="001C338A" w:rsidRDefault="00D827CF" w:rsidP="00D827CF">
      <w:pPr>
        <w:pStyle w:val="11NumPara"/>
      </w:pPr>
      <w:r w:rsidRPr="001C338A">
        <w:rPr>
          <w:rFonts w:asciiTheme="minorHAnsi" w:hAnsiTheme="minorHAnsi" w:cstheme="minorHAnsi"/>
          <w:szCs w:val="28"/>
        </w:rPr>
        <w:t>These included</w:t>
      </w:r>
      <w:r w:rsidR="001B1E56" w:rsidRPr="001C338A">
        <w:rPr>
          <w:rFonts w:asciiTheme="minorHAnsi" w:hAnsiTheme="minorHAnsi" w:cstheme="minorHAnsi"/>
          <w:szCs w:val="28"/>
        </w:rPr>
        <w:t xml:space="preserve"> the need:</w:t>
      </w:r>
    </w:p>
    <w:p w14:paraId="7B0CFE62" w14:textId="560F1463" w:rsidR="00831D8B" w:rsidRPr="001C338A" w:rsidRDefault="00831D8B" w:rsidP="00831D8B">
      <w:pPr>
        <w:pStyle w:val="11NumPara"/>
        <w:numPr>
          <w:ilvl w:val="0"/>
          <w:numId w:val="0"/>
        </w:numPr>
        <w:ind w:left="709"/>
      </w:pPr>
      <w:r w:rsidRPr="001C338A">
        <w:t xml:space="preserve">•to clarify how to apply and use </w:t>
      </w:r>
      <w:proofErr w:type="gramStart"/>
      <w:r w:rsidRPr="001C338A">
        <w:t>some</w:t>
      </w:r>
      <w:proofErr w:type="gramEnd"/>
      <w:r w:rsidRPr="001C338A">
        <w:t xml:space="preserve"> existing legal concepts</w:t>
      </w:r>
      <w:r w:rsidR="00984F63" w:rsidRPr="001C338A">
        <w:t>;</w:t>
      </w:r>
    </w:p>
    <w:p w14:paraId="3C87E8D8" w14:textId="1B8DFA66" w:rsidR="00831D8B" w:rsidRPr="001C338A" w:rsidRDefault="00831D8B" w:rsidP="00831D8B">
      <w:pPr>
        <w:pStyle w:val="11NumPara"/>
        <w:numPr>
          <w:ilvl w:val="0"/>
          <w:numId w:val="0"/>
        </w:numPr>
        <w:ind w:left="709"/>
      </w:pPr>
      <w:r w:rsidRPr="001C338A">
        <w:t>•to better define a mandate and increase resources of monitoring bodies (e.g. equality bodies and labour inspectorates)</w:t>
      </w:r>
      <w:r w:rsidR="00984F63" w:rsidRPr="001C338A">
        <w:t>;</w:t>
      </w:r>
    </w:p>
    <w:p w14:paraId="44FC6808" w14:textId="03718079" w:rsidR="00831D8B" w:rsidRPr="001C338A" w:rsidRDefault="00831D8B" w:rsidP="00831D8B">
      <w:pPr>
        <w:pStyle w:val="11NumPara"/>
        <w:numPr>
          <w:ilvl w:val="0"/>
          <w:numId w:val="0"/>
        </w:numPr>
        <w:ind w:left="709"/>
      </w:pPr>
      <w:r w:rsidRPr="001C338A">
        <w:t>•for a minimum level of fines and compensation in cases of gender-based pay discrimination</w:t>
      </w:r>
      <w:r w:rsidR="00984F63" w:rsidRPr="001C338A">
        <w:t>;</w:t>
      </w:r>
    </w:p>
    <w:p w14:paraId="222FD246" w14:textId="05FCF27C" w:rsidR="00831D8B" w:rsidRPr="001C338A" w:rsidRDefault="00831D8B" w:rsidP="00984F63">
      <w:pPr>
        <w:pStyle w:val="11NumPara"/>
        <w:numPr>
          <w:ilvl w:val="0"/>
          <w:numId w:val="0"/>
        </w:numPr>
        <w:ind w:left="709"/>
      </w:pPr>
      <w:r w:rsidRPr="001C338A">
        <w:t>•to promote awareness of rights to redress which would increase the incentive for victims to seek access to justice</w:t>
      </w:r>
      <w:r w:rsidR="00984F63" w:rsidRPr="001C338A">
        <w:t>;</w:t>
      </w:r>
    </w:p>
    <w:p w14:paraId="1FA29954" w14:textId="53EF44F4" w:rsidR="00831D8B" w:rsidRPr="001C338A" w:rsidRDefault="00831D8B" w:rsidP="00831D8B">
      <w:pPr>
        <w:pStyle w:val="11NumPara"/>
        <w:numPr>
          <w:ilvl w:val="0"/>
          <w:numId w:val="0"/>
        </w:numPr>
        <w:ind w:left="709"/>
      </w:pPr>
      <w:r w:rsidRPr="001C338A">
        <w:t>•to improve the practical application of the reversed burden of proof</w:t>
      </w:r>
      <w:r w:rsidR="00984F63" w:rsidRPr="001C338A">
        <w:t>;</w:t>
      </w:r>
      <w:r w:rsidRPr="001C338A">
        <w:t xml:space="preserve"> </w:t>
      </w:r>
    </w:p>
    <w:p w14:paraId="3BE0F373" w14:textId="7118FA18" w:rsidR="00831D8B" w:rsidRPr="001C338A" w:rsidRDefault="00831D8B" w:rsidP="00831D8B">
      <w:pPr>
        <w:pStyle w:val="11NumPara"/>
        <w:numPr>
          <w:ilvl w:val="0"/>
          <w:numId w:val="0"/>
        </w:numPr>
        <w:ind w:left="709"/>
      </w:pPr>
      <w:r w:rsidRPr="001C338A">
        <w:t>•to promote the use of gender-neutral job classifications/evaluations in Member States</w:t>
      </w:r>
      <w:r w:rsidR="00984F63" w:rsidRPr="001C338A">
        <w:t>;</w:t>
      </w:r>
    </w:p>
    <w:p w14:paraId="3FE844A4" w14:textId="04CD5D34" w:rsidR="00831D8B" w:rsidRPr="001C338A" w:rsidRDefault="00831D8B" w:rsidP="00831D8B">
      <w:pPr>
        <w:pStyle w:val="11NumPara"/>
        <w:numPr>
          <w:ilvl w:val="0"/>
          <w:numId w:val="0"/>
        </w:numPr>
        <w:ind w:left="709"/>
      </w:pPr>
      <w:r w:rsidRPr="001C338A">
        <w:lastRenderedPageBreak/>
        <w:t>•to ensure gender neutrality in terms of the actuarial factors used to calculate contributions and benefits in occupational social security schemes</w:t>
      </w:r>
      <w:r w:rsidR="00984F63" w:rsidRPr="001C338A">
        <w:t>;</w:t>
      </w:r>
    </w:p>
    <w:p w14:paraId="4C9E1474" w14:textId="3E67E740" w:rsidR="00831D8B" w:rsidRPr="001C338A" w:rsidRDefault="00831D8B" w:rsidP="00831D8B">
      <w:pPr>
        <w:pStyle w:val="11NumPara"/>
        <w:numPr>
          <w:ilvl w:val="0"/>
          <w:numId w:val="0"/>
        </w:numPr>
        <w:ind w:left="709"/>
      </w:pPr>
      <w:r w:rsidRPr="001C338A">
        <w:t>•</w:t>
      </w:r>
      <w:r w:rsidR="00135D78" w:rsidRPr="001C338A">
        <w:t>t</w:t>
      </w:r>
      <w:r w:rsidRPr="001C338A">
        <w:t>o promote training and the exchange of good practices on building gender-based pay discrimination cases</w:t>
      </w:r>
      <w:r w:rsidR="00984F63" w:rsidRPr="001C338A">
        <w:t>;</w:t>
      </w:r>
    </w:p>
    <w:p w14:paraId="67838DEA" w14:textId="14020038" w:rsidR="00831D8B" w:rsidRPr="001C338A" w:rsidRDefault="00831D8B" w:rsidP="00831D8B">
      <w:pPr>
        <w:pStyle w:val="11NumPara"/>
        <w:numPr>
          <w:ilvl w:val="0"/>
          <w:numId w:val="0"/>
        </w:numPr>
        <w:ind w:left="709"/>
      </w:pPr>
      <w:r w:rsidRPr="001C338A">
        <w:t xml:space="preserve">•to ensure pay transparency measures </w:t>
      </w:r>
      <w:proofErr w:type="gramStart"/>
      <w:r w:rsidRPr="001C338A">
        <w:t>are better implemented</w:t>
      </w:r>
      <w:proofErr w:type="gramEnd"/>
      <w:r w:rsidRPr="001C338A">
        <w:t xml:space="preserve"> across the EU</w:t>
      </w:r>
      <w:r w:rsidR="00984F63" w:rsidRPr="001C338A">
        <w:t>;</w:t>
      </w:r>
    </w:p>
    <w:p w14:paraId="3D0E1938" w14:textId="61FB2E1D" w:rsidR="00831D8B" w:rsidRPr="001C338A" w:rsidRDefault="00831D8B" w:rsidP="001448E1">
      <w:pPr>
        <w:pStyle w:val="11NumPara"/>
        <w:numPr>
          <w:ilvl w:val="0"/>
          <w:numId w:val="0"/>
        </w:numPr>
        <w:ind w:left="709"/>
      </w:pPr>
      <w:r w:rsidRPr="001C338A">
        <w:t>•to promote data collection and research on the impacts of policies that promote the application of the equal pay principle.</w:t>
      </w:r>
    </w:p>
    <w:p w14:paraId="5A13550B" w14:textId="29D655F0" w:rsidR="00496EBC" w:rsidRPr="001C338A" w:rsidRDefault="001B1E56" w:rsidP="00683BA0">
      <w:pPr>
        <w:pStyle w:val="11NumPara"/>
      </w:pPr>
      <w:r w:rsidRPr="001C338A">
        <w:rPr>
          <w:rFonts w:asciiTheme="minorHAnsi" w:hAnsiTheme="minorHAnsi" w:cstheme="minorHAnsi"/>
          <w:szCs w:val="28"/>
        </w:rPr>
        <w:t>It makes clear that “</w:t>
      </w:r>
      <w:r w:rsidRPr="001C338A">
        <w:rPr>
          <w:rFonts w:asciiTheme="minorHAnsi" w:hAnsiTheme="minorHAnsi" w:cstheme="minorHAnsi"/>
          <w:i/>
          <w:iCs/>
          <w:szCs w:val="28"/>
        </w:rPr>
        <w:t>a</w:t>
      </w:r>
      <w:r w:rsidR="00496EBC" w:rsidRPr="001C338A">
        <w:rPr>
          <w:rFonts w:asciiTheme="minorHAnsi" w:hAnsiTheme="minorHAnsi" w:cstheme="minorHAnsi"/>
          <w:i/>
          <w:iCs/>
          <w:szCs w:val="28"/>
        </w:rPr>
        <w:t>ddressing these needs would potentially strengthen the implementation of the ‘principle of equal pay for equal work’ in the EU</w:t>
      </w:r>
      <w:proofErr w:type="gramStart"/>
      <w:r w:rsidRPr="001C338A">
        <w:rPr>
          <w:rFonts w:asciiTheme="minorHAnsi" w:hAnsiTheme="minorHAnsi" w:cstheme="minorHAnsi"/>
          <w:szCs w:val="28"/>
        </w:rPr>
        <w:t>”</w:t>
      </w:r>
      <w:r w:rsidR="00496EBC" w:rsidRPr="001C338A">
        <w:rPr>
          <w:rFonts w:asciiTheme="minorHAnsi" w:hAnsiTheme="minorHAnsi" w:cstheme="minorHAnsi"/>
          <w:szCs w:val="28"/>
        </w:rPr>
        <w:t>.</w:t>
      </w:r>
      <w:proofErr w:type="gramEnd"/>
    </w:p>
    <w:p w14:paraId="5C379930" w14:textId="20A3AF8C" w:rsidR="00DB6761" w:rsidRPr="001C338A" w:rsidRDefault="001B1E56" w:rsidP="00DB6761">
      <w:pPr>
        <w:pStyle w:val="11NumPara"/>
      </w:pPr>
      <w:r w:rsidRPr="001C338A">
        <w:rPr>
          <w:rFonts w:asciiTheme="minorHAnsi" w:hAnsiTheme="minorHAnsi" w:cstheme="minorHAnsi"/>
          <w:szCs w:val="28"/>
        </w:rPr>
        <w:t xml:space="preserve">In summary, </w:t>
      </w:r>
      <w:r w:rsidR="00F131A5" w:rsidRPr="001C338A">
        <w:rPr>
          <w:rFonts w:asciiTheme="minorHAnsi" w:hAnsiTheme="minorHAnsi" w:cstheme="minorHAnsi"/>
          <w:szCs w:val="28"/>
        </w:rPr>
        <w:t>it is clear from the European Commission</w:t>
      </w:r>
      <w:r w:rsidR="00245C0C" w:rsidRPr="001C338A">
        <w:rPr>
          <w:rFonts w:asciiTheme="minorHAnsi" w:hAnsiTheme="minorHAnsi" w:cstheme="minorHAnsi"/>
          <w:szCs w:val="28"/>
        </w:rPr>
        <w:t>’s</w:t>
      </w:r>
      <w:r w:rsidR="00F131A5" w:rsidRPr="001C338A">
        <w:rPr>
          <w:rFonts w:asciiTheme="minorHAnsi" w:hAnsiTheme="minorHAnsi" w:cstheme="minorHAnsi"/>
          <w:szCs w:val="28"/>
        </w:rPr>
        <w:t xml:space="preserve"> evaluation </w:t>
      </w:r>
      <w:r w:rsidR="0085564C" w:rsidRPr="001C338A">
        <w:rPr>
          <w:rFonts w:asciiTheme="minorHAnsi" w:hAnsiTheme="minorHAnsi" w:cstheme="minorHAnsi"/>
          <w:szCs w:val="28"/>
        </w:rPr>
        <w:t xml:space="preserve">of the Recast Directive </w:t>
      </w:r>
      <w:r w:rsidR="00F131A5" w:rsidRPr="001C338A">
        <w:rPr>
          <w:rFonts w:asciiTheme="minorHAnsi" w:hAnsiTheme="minorHAnsi" w:cstheme="minorHAnsi"/>
          <w:szCs w:val="28"/>
        </w:rPr>
        <w:t xml:space="preserve">that these key provisions in the PTD </w:t>
      </w:r>
      <w:proofErr w:type="gramStart"/>
      <w:r w:rsidR="00F131A5" w:rsidRPr="001C338A">
        <w:rPr>
          <w:rFonts w:asciiTheme="minorHAnsi" w:hAnsiTheme="minorHAnsi" w:cstheme="minorHAnsi"/>
          <w:szCs w:val="28"/>
        </w:rPr>
        <w:t>were introduced</w:t>
      </w:r>
      <w:proofErr w:type="gramEnd"/>
      <w:r w:rsidR="0085564C" w:rsidRPr="001C338A">
        <w:rPr>
          <w:rFonts w:asciiTheme="minorHAnsi" w:hAnsiTheme="minorHAnsi" w:cstheme="minorHAnsi"/>
          <w:szCs w:val="28"/>
        </w:rPr>
        <w:t xml:space="preserve"> </w:t>
      </w:r>
      <w:r w:rsidR="001E54DB" w:rsidRPr="001C338A">
        <w:rPr>
          <w:rFonts w:asciiTheme="minorHAnsi" w:hAnsiTheme="minorHAnsi" w:cstheme="minorHAnsi"/>
          <w:szCs w:val="28"/>
        </w:rPr>
        <w:t>to strengthen the application of the principle of equal pay</w:t>
      </w:r>
      <w:r w:rsidR="00AB41EB" w:rsidRPr="001C338A">
        <w:rPr>
          <w:rFonts w:asciiTheme="minorHAnsi" w:hAnsiTheme="minorHAnsi" w:cstheme="minorHAnsi"/>
          <w:szCs w:val="28"/>
        </w:rPr>
        <w:t xml:space="preserve">, and </w:t>
      </w:r>
      <w:r w:rsidR="00661C28" w:rsidRPr="001C338A">
        <w:rPr>
          <w:rFonts w:asciiTheme="minorHAnsi" w:hAnsiTheme="minorHAnsi" w:cstheme="minorHAnsi"/>
          <w:szCs w:val="28"/>
        </w:rPr>
        <w:t>to address shortcomings in the implementation of the Recast Directive.</w:t>
      </w:r>
      <w:r w:rsidR="00661C28" w:rsidRPr="001C338A">
        <w:rPr>
          <w:rStyle w:val="FootnoteReference"/>
          <w:rFonts w:asciiTheme="minorHAnsi" w:hAnsiTheme="minorHAnsi" w:cstheme="minorHAnsi"/>
          <w:szCs w:val="28"/>
        </w:rPr>
        <w:footnoteReference w:id="37"/>
      </w:r>
    </w:p>
    <w:p w14:paraId="10F09B65" w14:textId="331F52E0" w:rsidR="00B1635F" w:rsidRPr="001C338A" w:rsidRDefault="00CF7A1E" w:rsidP="00831D8B">
      <w:pPr>
        <w:pStyle w:val="11NumPara"/>
      </w:pPr>
      <w:r w:rsidRPr="001C338A">
        <w:rPr>
          <w:rFonts w:cstheme="minorHAnsi"/>
          <w:szCs w:val="28"/>
        </w:rPr>
        <w:t>In addition, the European Commission’s explanatory memorandum to the draft Directive (COM(2021)93) states that</w:t>
      </w:r>
      <w:r w:rsidRPr="001C338A">
        <w:rPr>
          <w:rFonts w:cstheme="minorHAnsi"/>
          <w:color w:val="222222"/>
          <w:spacing w:val="4"/>
          <w:szCs w:val="28"/>
          <w:shd w:val="clear" w:color="auto" w:fill="FFFFFF"/>
        </w:rPr>
        <w:t xml:space="preserve"> the </w:t>
      </w:r>
      <w:r w:rsidR="00DE6696" w:rsidRPr="001C338A">
        <w:rPr>
          <w:rFonts w:cstheme="minorHAnsi"/>
          <w:color w:val="222222"/>
          <w:spacing w:val="4"/>
          <w:szCs w:val="28"/>
          <w:shd w:val="clear" w:color="auto" w:fill="FFFFFF"/>
        </w:rPr>
        <w:t>2014 Recommendation had not achieved the objective of more effective implementation of the equal pay principle through pay transparency</w:t>
      </w:r>
      <w:r w:rsidR="00DE6696" w:rsidRPr="001C338A">
        <w:rPr>
          <w:rFonts w:cstheme="minorHAnsi"/>
          <w:szCs w:val="28"/>
        </w:rPr>
        <w:t xml:space="preserve"> </w:t>
      </w:r>
      <w:r w:rsidR="00DE6696" w:rsidRPr="001C338A">
        <w:rPr>
          <w:rFonts w:cstheme="minorHAnsi"/>
          <w:color w:val="222222"/>
          <w:spacing w:val="4"/>
          <w:szCs w:val="28"/>
          <w:shd w:val="clear" w:color="auto" w:fill="FFFFFF"/>
        </w:rPr>
        <w:t>due to its non</w:t>
      </w:r>
      <w:r w:rsidR="00DE6696" w:rsidRPr="001C338A">
        <w:rPr>
          <w:rFonts w:cstheme="minorHAnsi"/>
          <w:color w:val="222222"/>
          <w:spacing w:val="4"/>
          <w:szCs w:val="28"/>
          <w:shd w:val="clear" w:color="auto" w:fill="FFFFFF"/>
        </w:rPr>
        <w:noBreakHyphen/>
        <w:t>binding nature and resulting limited implementation by Member States</w:t>
      </w:r>
      <w:r w:rsidR="00DE6696" w:rsidRPr="001C338A">
        <w:rPr>
          <w:rFonts w:cstheme="minorHAnsi"/>
          <w:szCs w:val="28"/>
        </w:rPr>
        <w:t xml:space="preserve"> and that the </w:t>
      </w:r>
      <w:r w:rsidR="000B40BA" w:rsidRPr="001C338A">
        <w:rPr>
          <w:rFonts w:cstheme="minorHAnsi"/>
          <w:szCs w:val="28"/>
        </w:rPr>
        <w:t xml:space="preserve">Recast </w:t>
      </w:r>
      <w:r w:rsidRPr="001C338A">
        <w:rPr>
          <w:rFonts w:cstheme="minorHAnsi"/>
          <w:szCs w:val="28"/>
        </w:rPr>
        <w:t>Directive</w:t>
      </w:r>
      <w:r w:rsidRPr="001C338A">
        <w:rPr>
          <w:rFonts w:cstheme="minorHAnsi"/>
          <w:color w:val="333333"/>
          <w:szCs w:val="28"/>
          <w:shd w:val="clear" w:color="auto" w:fill="FFFFFF"/>
        </w:rPr>
        <w:t xml:space="preserve"> </w:t>
      </w:r>
      <w:r w:rsidRPr="001C338A">
        <w:rPr>
          <w:rFonts w:cstheme="minorHAnsi"/>
          <w:color w:val="222222"/>
          <w:spacing w:val="4"/>
          <w:szCs w:val="28"/>
          <w:shd w:val="clear" w:color="auto" w:fill="FFFFFF"/>
        </w:rPr>
        <w:t>should therefore be “</w:t>
      </w:r>
      <w:r w:rsidRPr="001C338A">
        <w:rPr>
          <w:rFonts w:cstheme="minorHAnsi"/>
          <w:i/>
          <w:iCs/>
          <w:color w:val="222222"/>
          <w:spacing w:val="4"/>
          <w:szCs w:val="28"/>
          <w:shd w:val="clear" w:color="auto" w:fill="FFFFFF"/>
        </w:rPr>
        <w:t>complemented and supported</w:t>
      </w:r>
      <w:r w:rsidRPr="001C338A">
        <w:rPr>
          <w:rFonts w:cstheme="minorHAnsi"/>
          <w:color w:val="222222"/>
          <w:spacing w:val="4"/>
          <w:szCs w:val="28"/>
          <w:shd w:val="clear" w:color="auto" w:fill="FFFFFF"/>
        </w:rPr>
        <w:t>” by the proposed</w:t>
      </w:r>
      <w:r w:rsidR="00A31BEB" w:rsidRPr="001C338A">
        <w:rPr>
          <w:rFonts w:cstheme="minorHAnsi"/>
          <w:color w:val="222222"/>
          <w:spacing w:val="4"/>
          <w:szCs w:val="28"/>
          <w:shd w:val="clear" w:color="auto" w:fill="FFFFFF"/>
        </w:rPr>
        <w:t xml:space="preserve"> PTD</w:t>
      </w:r>
      <w:r w:rsidRPr="001C338A">
        <w:rPr>
          <w:rFonts w:cstheme="minorHAnsi"/>
          <w:color w:val="222222"/>
          <w:spacing w:val="4"/>
          <w:szCs w:val="28"/>
          <w:shd w:val="clear" w:color="auto" w:fill="FFFFFF"/>
        </w:rPr>
        <w:t>.</w:t>
      </w:r>
      <w:r w:rsidR="00DE6696" w:rsidRPr="001C338A">
        <w:rPr>
          <w:rStyle w:val="FootnoteReference"/>
          <w:rFonts w:cstheme="minorHAnsi"/>
          <w:color w:val="222222"/>
          <w:spacing w:val="4"/>
          <w:szCs w:val="28"/>
          <w:shd w:val="clear" w:color="auto" w:fill="FFFFFF"/>
        </w:rPr>
        <w:footnoteReference w:id="38"/>
      </w:r>
      <w:r w:rsidR="005021E4" w:rsidRPr="001C338A">
        <w:rPr>
          <w:rFonts w:cstheme="minorHAnsi"/>
          <w:color w:val="222222"/>
          <w:spacing w:val="4"/>
          <w:szCs w:val="28"/>
          <w:shd w:val="clear" w:color="auto" w:fill="FFFFFF"/>
        </w:rPr>
        <w:t xml:space="preserve"> </w:t>
      </w:r>
    </w:p>
    <w:p w14:paraId="382CD9D7" w14:textId="77777777" w:rsidR="00B30429" w:rsidRPr="001C338A" w:rsidRDefault="005021E4" w:rsidP="00831D8B">
      <w:pPr>
        <w:pStyle w:val="11NumPara"/>
      </w:pPr>
      <w:r w:rsidRPr="001C338A">
        <w:rPr>
          <w:rFonts w:cstheme="minorHAnsi"/>
          <w:color w:val="222222"/>
          <w:spacing w:val="4"/>
          <w:szCs w:val="28"/>
          <w:shd w:val="clear" w:color="auto" w:fill="FFFFFF"/>
        </w:rPr>
        <w:t xml:space="preserve">The European Commission also makes clear that </w:t>
      </w:r>
      <w:r w:rsidR="00D30EE0" w:rsidRPr="001C338A">
        <w:rPr>
          <w:rFonts w:cstheme="minorHAnsi"/>
          <w:color w:val="222222"/>
          <w:spacing w:val="4"/>
          <w:szCs w:val="28"/>
          <w:shd w:val="clear" w:color="auto" w:fill="FFFFFF"/>
        </w:rPr>
        <w:t xml:space="preserve">a key objective of </w:t>
      </w:r>
      <w:r w:rsidR="00187251" w:rsidRPr="001C338A">
        <w:rPr>
          <w:rFonts w:cstheme="minorHAnsi"/>
          <w:color w:val="222222"/>
          <w:spacing w:val="4"/>
          <w:szCs w:val="28"/>
          <w:shd w:val="clear" w:color="auto" w:fill="FFFFFF"/>
        </w:rPr>
        <w:t>the proposed PTD</w:t>
      </w:r>
      <w:r w:rsidR="00D30EE0" w:rsidRPr="001C338A">
        <w:rPr>
          <w:rFonts w:cstheme="minorHAnsi"/>
          <w:color w:val="222222"/>
          <w:spacing w:val="4"/>
          <w:szCs w:val="28"/>
          <w:shd w:val="clear" w:color="auto" w:fill="FFFFFF"/>
        </w:rPr>
        <w:t xml:space="preserve"> is “</w:t>
      </w:r>
      <w:r w:rsidR="00187251" w:rsidRPr="001C338A">
        <w:rPr>
          <w:rFonts w:cstheme="minorHAnsi"/>
          <w:i/>
          <w:iCs/>
          <w:color w:val="222222"/>
          <w:spacing w:val="4"/>
          <w:szCs w:val="28"/>
          <w:u w:val="single"/>
          <w:shd w:val="clear" w:color="auto" w:fill="FFFFFF"/>
        </w:rPr>
        <w:t>facilitating</w:t>
      </w:r>
      <w:r w:rsidR="00187251" w:rsidRPr="001C338A">
        <w:rPr>
          <w:rFonts w:cstheme="minorHAnsi"/>
          <w:i/>
          <w:iCs/>
          <w:color w:val="222222"/>
          <w:spacing w:val="4"/>
          <w:szCs w:val="28"/>
          <w:shd w:val="clear" w:color="auto" w:fill="FFFFFF"/>
        </w:rPr>
        <w:t xml:space="preserve"> the application of the key concepts relating to equal pay, including ‘pay’ and ‘work of equal value’</w:t>
      </w:r>
      <w:r w:rsidR="00D30EE0" w:rsidRPr="001C338A">
        <w:rPr>
          <w:rFonts w:cstheme="minorHAnsi"/>
          <w:color w:val="222222"/>
          <w:spacing w:val="4"/>
          <w:szCs w:val="28"/>
          <w:shd w:val="clear" w:color="auto" w:fill="FFFFFF"/>
        </w:rPr>
        <w:t>”</w:t>
      </w:r>
      <w:r w:rsidR="00D30EE0" w:rsidRPr="001C338A">
        <w:rPr>
          <w:rFonts w:cstheme="minorHAnsi"/>
          <w:szCs w:val="28"/>
        </w:rPr>
        <w:t xml:space="preserve"> (our emphasis).</w:t>
      </w:r>
      <w:r w:rsidR="00D30EE0" w:rsidRPr="001C338A">
        <w:rPr>
          <w:rStyle w:val="FootnoteReference"/>
          <w:rFonts w:cstheme="minorHAnsi"/>
          <w:color w:val="222222"/>
          <w:spacing w:val="4"/>
          <w:szCs w:val="28"/>
          <w:shd w:val="clear" w:color="auto" w:fill="FFFFFF"/>
        </w:rPr>
        <w:footnoteReference w:id="39"/>
      </w:r>
      <w:r w:rsidR="00B1635F" w:rsidRPr="001C338A">
        <w:rPr>
          <w:rFonts w:cstheme="minorHAnsi"/>
          <w:szCs w:val="28"/>
        </w:rPr>
        <w:t xml:space="preserve"> These are key concepts contained within the </w:t>
      </w:r>
      <w:r w:rsidR="003032FB" w:rsidRPr="001C338A">
        <w:rPr>
          <w:rFonts w:cstheme="minorHAnsi"/>
          <w:szCs w:val="28"/>
        </w:rPr>
        <w:t xml:space="preserve">Recast </w:t>
      </w:r>
      <w:r w:rsidR="00B1635F" w:rsidRPr="001C338A">
        <w:rPr>
          <w:rFonts w:cstheme="minorHAnsi"/>
          <w:szCs w:val="28"/>
        </w:rPr>
        <w:t>Directive.</w:t>
      </w:r>
      <w:r w:rsidR="008F179C" w:rsidRPr="001C338A">
        <w:rPr>
          <w:rFonts w:cstheme="minorHAnsi"/>
          <w:szCs w:val="28"/>
        </w:rPr>
        <w:t xml:space="preserve"> </w:t>
      </w:r>
    </w:p>
    <w:p w14:paraId="4115F130" w14:textId="4A3396CC" w:rsidR="00CF7A1E" w:rsidRPr="001C338A" w:rsidRDefault="008F179C" w:rsidP="00831D8B">
      <w:pPr>
        <w:pStyle w:val="11NumPara"/>
      </w:pPr>
      <w:r w:rsidRPr="001C338A">
        <w:rPr>
          <w:rFonts w:cstheme="minorHAnsi"/>
          <w:szCs w:val="28"/>
        </w:rPr>
        <w:t xml:space="preserve">The </w:t>
      </w:r>
      <w:r w:rsidR="00B96FC8" w:rsidRPr="001C338A">
        <w:rPr>
          <w:rFonts w:cstheme="minorHAnsi"/>
          <w:color w:val="222222"/>
          <w:spacing w:val="4"/>
          <w:szCs w:val="28"/>
          <w:shd w:val="clear" w:color="auto" w:fill="FFFFFF"/>
        </w:rPr>
        <w:t>European Commission also refers to the proposed PTD “</w:t>
      </w:r>
      <w:r w:rsidR="00B96FC8" w:rsidRPr="001C338A">
        <w:rPr>
          <w:rFonts w:cstheme="minorHAnsi"/>
          <w:i/>
          <w:iCs/>
          <w:color w:val="222222"/>
          <w:spacing w:val="4"/>
          <w:szCs w:val="28"/>
          <w:shd w:val="clear" w:color="auto" w:fill="FFFFFF"/>
        </w:rPr>
        <w:t>building on the Recast Directive</w:t>
      </w:r>
      <w:r w:rsidR="00B96FC8" w:rsidRPr="001C338A">
        <w:rPr>
          <w:rFonts w:cstheme="minorHAnsi"/>
          <w:color w:val="222222"/>
          <w:spacing w:val="4"/>
          <w:szCs w:val="28"/>
          <w:shd w:val="clear" w:color="auto" w:fill="FFFFFF"/>
        </w:rPr>
        <w:t xml:space="preserve">” </w:t>
      </w:r>
      <w:r w:rsidR="00E334E9" w:rsidRPr="001C338A">
        <w:rPr>
          <w:rFonts w:cstheme="minorHAnsi"/>
          <w:color w:val="222222"/>
          <w:spacing w:val="4"/>
          <w:szCs w:val="28"/>
          <w:shd w:val="clear" w:color="auto" w:fill="FFFFFF"/>
        </w:rPr>
        <w:t>and introducing “</w:t>
      </w:r>
      <w:r w:rsidR="00B96FC8" w:rsidRPr="001C338A">
        <w:rPr>
          <w:rFonts w:cstheme="minorHAnsi"/>
          <w:i/>
          <w:iCs/>
          <w:color w:val="222222"/>
          <w:spacing w:val="4"/>
          <w:szCs w:val="28"/>
          <w:shd w:val="clear" w:color="auto" w:fill="FFFFFF"/>
        </w:rPr>
        <w:t>new and more detailed rules to ensure compliance with the principle of equal pay between men and women for equal work or work of equal value</w:t>
      </w:r>
      <w:r w:rsidR="00B96FC8" w:rsidRPr="001C338A">
        <w:rPr>
          <w:rFonts w:cstheme="minorHAnsi"/>
          <w:color w:val="222222"/>
          <w:spacing w:val="4"/>
          <w:szCs w:val="28"/>
          <w:shd w:val="clear" w:color="auto" w:fill="FFFFFF"/>
        </w:rPr>
        <w:t>.”</w:t>
      </w:r>
    </w:p>
    <w:p w14:paraId="72CB5213" w14:textId="0095D083" w:rsidR="00370583" w:rsidRPr="001C338A" w:rsidRDefault="00246358" w:rsidP="001448E1">
      <w:pPr>
        <w:pStyle w:val="11NumPara"/>
      </w:pPr>
      <w:r w:rsidRPr="001C338A">
        <w:rPr>
          <w:rFonts w:cstheme="minorHAnsi"/>
          <w:color w:val="222222"/>
          <w:spacing w:val="4"/>
          <w:szCs w:val="28"/>
          <w:shd w:val="clear" w:color="auto" w:fill="FFFFFF"/>
        </w:rPr>
        <w:t>In addition</w:t>
      </w:r>
      <w:r w:rsidR="00BB67AB" w:rsidRPr="001C338A">
        <w:rPr>
          <w:rFonts w:cstheme="minorHAnsi"/>
          <w:color w:val="222222"/>
          <w:spacing w:val="4"/>
          <w:szCs w:val="28"/>
          <w:shd w:val="clear" w:color="auto" w:fill="FFFFFF"/>
        </w:rPr>
        <w:t>,</w:t>
      </w:r>
      <w:r w:rsidRPr="001C338A">
        <w:rPr>
          <w:rFonts w:cstheme="minorHAnsi"/>
          <w:color w:val="222222"/>
          <w:spacing w:val="4"/>
          <w:szCs w:val="28"/>
          <w:shd w:val="clear" w:color="auto" w:fill="FFFFFF"/>
        </w:rPr>
        <w:t xml:space="preserve"> the PTD</w:t>
      </w:r>
      <w:r w:rsidR="00370583" w:rsidRPr="001C338A">
        <w:t xml:space="preserve"> </w:t>
      </w:r>
      <w:r w:rsidR="00BB67AB" w:rsidRPr="001C338A">
        <w:t xml:space="preserve">in its recitals </w:t>
      </w:r>
      <w:r w:rsidR="00370583" w:rsidRPr="001C338A">
        <w:t>refers to ‘</w:t>
      </w:r>
      <w:r w:rsidR="00370583" w:rsidRPr="001C338A">
        <w:rPr>
          <w:i/>
          <w:iCs/>
        </w:rPr>
        <w:t>building on the developments brought by the definition of direct and indirect discrimination</w:t>
      </w:r>
      <w:r w:rsidR="00173295" w:rsidRPr="001C338A">
        <w:rPr>
          <w:i/>
          <w:iCs/>
        </w:rPr>
        <w:t>”</w:t>
      </w:r>
      <w:r w:rsidR="00BB67AB" w:rsidRPr="001C338A">
        <w:rPr>
          <w:i/>
          <w:iCs/>
        </w:rPr>
        <w:t xml:space="preserve"> </w:t>
      </w:r>
      <w:r w:rsidR="00BB67AB" w:rsidRPr="001C338A">
        <w:t>in the</w:t>
      </w:r>
      <w:r w:rsidR="00BB67AB" w:rsidRPr="001C338A">
        <w:rPr>
          <w:i/>
          <w:iCs/>
        </w:rPr>
        <w:t xml:space="preserve"> </w:t>
      </w:r>
      <w:r w:rsidRPr="001C338A">
        <w:t xml:space="preserve">Recast </w:t>
      </w:r>
      <w:r w:rsidR="00370583" w:rsidRPr="001C338A">
        <w:t xml:space="preserve">Directive, </w:t>
      </w:r>
      <w:proofErr w:type="gramStart"/>
      <w:r w:rsidR="00370583" w:rsidRPr="001C338A">
        <w:t>so</w:t>
      </w:r>
      <w:r w:rsidR="00370583" w:rsidRPr="001C338A">
        <w:rPr>
          <w:i/>
          <w:iCs/>
        </w:rPr>
        <w:t xml:space="preserve"> </w:t>
      </w:r>
      <w:r w:rsidR="00370583" w:rsidRPr="001C338A">
        <w:t>as to</w:t>
      </w:r>
      <w:proofErr w:type="gramEnd"/>
      <w:r w:rsidR="00370583" w:rsidRPr="001C338A">
        <w:t xml:space="preserve"> allow for the use of </w:t>
      </w:r>
      <w:r w:rsidR="00370583" w:rsidRPr="001C338A">
        <w:rPr>
          <w:color w:val="333333"/>
        </w:rPr>
        <w:t>a hypothetical comparator in claims of discrimination related to equal pay, in situations where no real-life comparator exists.</w:t>
      </w:r>
      <w:r w:rsidR="00370583" w:rsidRPr="001C338A">
        <w:rPr>
          <w:rStyle w:val="FootnoteReference"/>
          <w:rFonts w:cstheme="minorHAnsi"/>
          <w:szCs w:val="28"/>
        </w:rPr>
        <w:footnoteReference w:id="40"/>
      </w:r>
      <w:r w:rsidR="00370583" w:rsidRPr="001C338A">
        <w:t xml:space="preserve">  </w:t>
      </w:r>
    </w:p>
    <w:p w14:paraId="6B793569" w14:textId="64F46202" w:rsidR="00B9426C" w:rsidRPr="001C338A" w:rsidRDefault="00B9426C" w:rsidP="001448E1">
      <w:pPr>
        <w:pStyle w:val="11NumPara"/>
      </w:pPr>
      <w:r w:rsidRPr="001C338A">
        <w:rPr>
          <w:color w:val="222222"/>
        </w:rPr>
        <w:lastRenderedPageBreak/>
        <w:t>Further, the objectives of both the PTD and the Recast Directive are in</w:t>
      </w:r>
      <w:r w:rsidR="008D6C86" w:rsidRPr="001C338A">
        <w:rPr>
          <w:color w:val="222222"/>
        </w:rPr>
        <w:t xml:space="preserve"> line with the Charter, in particular, </w:t>
      </w:r>
      <w:r w:rsidR="00D2727D" w:rsidRPr="001C338A">
        <w:rPr>
          <w:color w:val="222222"/>
        </w:rPr>
        <w:t>Article</w:t>
      </w:r>
      <w:r w:rsidR="007A73B6" w:rsidRPr="001C338A">
        <w:rPr>
          <w:color w:val="222222"/>
        </w:rPr>
        <w:t>s</w:t>
      </w:r>
      <w:r w:rsidR="00D2727D" w:rsidRPr="001C338A">
        <w:rPr>
          <w:color w:val="222222"/>
        </w:rPr>
        <w:t xml:space="preserve"> 2</w:t>
      </w:r>
      <w:r w:rsidR="007A73B6" w:rsidRPr="001C338A">
        <w:rPr>
          <w:color w:val="222222"/>
        </w:rPr>
        <w:t xml:space="preserve">1 and 23, and the recitals of both the PTD and the Recast Directive reference these </w:t>
      </w:r>
      <w:r w:rsidR="006E0BDF" w:rsidRPr="001C338A">
        <w:rPr>
          <w:color w:val="222222"/>
        </w:rPr>
        <w:t xml:space="preserve">relevant Charter </w:t>
      </w:r>
      <w:r w:rsidR="007A73B6" w:rsidRPr="001C338A">
        <w:rPr>
          <w:color w:val="222222"/>
        </w:rPr>
        <w:t>provisions.</w:t>
      </w:r>
      <w:r w:rsidR="002F71A2" w:rsidRPr="001C338A">
        <w:rPr>
          <w:rStyle w:val="FootnoteReference"/>
          <w:rFonts w:cstheme="minorHAnsi"/>
          <w:color w:val="222222"/>
          <w:spacing w:val="4"/>
          <w:szCs w:val="28"/>
          <w:shd w:val="clear" w:color="auto" w:fill="FFFFFF"/>
        </w:rPr>
        <w:footnoteReference w:id="41"/>
      </w:r>
    </w:p>
    <w:p w14:paraId="0D1D5B19" w14:textId="77777777" w:rsidR="00195678" w:rsidRPr="001C338A" w:rsidRDefault="00195678" w:rsidP="00195678">
      <w:pPr>
        <w:pStyle w:val="11NumPara"/>
        <w:numPr>
          <w:ilvl w:val="0"/>
          <w:numId w:val="0"/>
        </w:numPr>
        <w:spacing w:after="240" w:line="276" w:lineRule="auto"/>
        <w:ind w:left="709"/>
        <w:jc w:val="both"/>
        <w:rPr>
          <w:rFonts w:cstheme="minorHAnsi"/>
          <w:i/>
          <w:iCs/>
          <w:szCs w:val="28"/>
        </w:rPr>
      </w:pPr>
    </w:p>
    <w:p w14:paraId="385E0D14" w14:textId="34A7D4E9" w:rsidR="003A5F43" w:rsidRPr="001C338A" w:rsidRDefault="000F693C" w:rsidP="003A5F43">
      <w:pPr>
        <w:pStyle w:val="11NumPara"/>
        <w:numPr>
          <w:ilvl w:val="0"/>
          <w:numId w:val="0"/>
        </w:numPr>
        <w:spacing w:after="240" w:line="276" w:lineRule="auto"/>
        <w:ind w:left="709"/>
        <w:jc w:val="both"/>
        <w:rPr>
          <w:rFonts w:cstheme="minorHAnsi"/>
          <w:i/>
          <w:iCs/>
          <w:szCs w:val="28"/>
        </w:rPr>
      </w:pPr>
      <w:r w:rsidRPr="001C338A">
        <w:rPr>
          <w:rFonts w:cstheme="minorHAnsi"/>
          <w:i/>
          <w:iCs/>
          <w:szCs w:val="28"/>
        </w:rPr>
        <w:t>E</w:t>
      </w:r>
      <w:r w:rsidR="003A5F43" w:rsidRPr="001C338A">
        <w:rPr>
          <w:rFonts w:cstheme="minorHAnsi"/>
          <w:i/>
          <w:iCs/>
          <w:szCs w:val="28"/>
        </w:rPr>
        <w:t>nforcement</w:t>
      </w:r>
    </w:p>
    <w:p w14:paraId="50859400" w14:textId="6CEEEC3B" w:rsidR="00860BD8" w:rsidRPr="001C338A" w:rsidRDefault="00FA0E8B" w:rsidP="00D47D79">
      <w:pPr>
        <w:pStyle w:val="11NumPara"/>
        <w:spacing w:after="240" w:line="276" w:lineRule="auto"/>
        <w:rPr>
          <w:rFonts w:cstheme="minorHAnsi"/>
          <w:i/>
          <w:iCs/>
          <w:szCs w:val="28"/>
        </w:rPr>
      </w:pPr>
      <w:r w:rsidRPr="001C338A">
        <w:t xml:space="preserve">Further, </w:t>
      </w:r>
      <w:r w:rsidR="00FB12E0" w:rsidRPr="001C338A">
        <w:t xml:space="preserve">the </w:t>
      </w:r>
      <w:r w:rsidR="001B68E1" w:rsidRPr="001C338A">
        <w:t>PTD</w:t>
      </w:r>
      <w:r w:rsidRPr="001C338A">
        <w:t xml:space="preserve"> makes clear that its</w:t>
      </w:r>
      <w:r w:rsidR="001B68E1" w:rsidRPr="001C338A">
        <w:t xml:space="preserve"> </w:t>
      </w:r>
      <w:r w:rsidR="00A07A52" w:rsidRPr="001C338A">
        <w:t xml:space="preserve">provisions relating to </w:t>
      </w:r>
      <w:r w:rsidR="001B68E1" w:rsidRPr="001C338A">
        <w:t>r</w:t>
      </w:r>
      <w:r w:rsidR="00B32016" w:rsidRPr="001C338A">
        <w:t xml:space="preserve">emedies </w:t>
      </w:r>
      <w:r w:rsidR="00B32016" w:rsidRPr="001C338A">
        <w:rPr>
          <w:u w:val="single"/>
        </w:rPr>
        <w:t>and</w:t>
      </w:r>
      <w:r w:rsidR="00B32016" w:rsidRPr="001C338A">
        <w:t xml:space="preserve"> </w:t>
      </w:r>
      <w:r w:rsidR="001B68E1" w:rsidRPr="001C338A">
        <w:t>e</w:t>
      </w:r>
      <w:r w:rsidR="00B32016" w:rsidRPr="001C338A">
        <w:t xml:space="preserve">nforcement </w:t>
      </w:r>
      <w:r w:rsidR="000B29C1" w:rsidRPr="001C338A">
        <w:t>“</w:t>
      </w:r>
      <w:r w:rsidR="00B32016" w:rsidRPr="001C338A">
        <w:rPr>
          <w:i/>
        </w:rPr>
        <w:t>apply to</w:t>
      </w:r>
      <w:r w:rsidR="000B29C1" w:rsidRPr="001C338A">
        <w:t>”</w:t>
      </w:r>
      <w:r w:rsidR="00B32016" w:rsidRPr="001C338A">
        <w:t xml:space="preserve"> </w:t>
      </w:r>
      <w:r w:rsidR="000C5332" w:rsidRPr="001C338A">
        <w:t>proc</w:t>
      </w:r>
      <w:r w:rsidR="009235C3" w:rsidRPr="001C338A">
        <w:t xml:space="preserve">eedings </w:t>
      </w:r>
      <w:r w:rsidR="00860BD8" w:rsidRPr="001C338A">
        <w:t>relating to any right or obligation relating to the principle of equal pay set out in the Recast Directive (Article 4</w:t>
      </w:r>
      <w:r w:rsidR="00860BD8" w:rsidRPr="001C338A">
        <w:rPr>
          <w:i/>
        </w:rPr>
        <w:t>).</w:t>
      </w:r>
    </w:p>
    <w:p w14:paraId="5AC5989C" w14:textId="2A7B7125" w:rsidR="00D600AC" w:rsidRPr="001C338A" w:rsidRDefault="001B68E1" w:rsidP="00D47D79">
      <w:pPr>
        <w:pStyle w:val="11NumPara"/>
        <w:spacing w:after="240" w:line="276" w:lineRule="auto"/>
        <w:rPr>
          <w:rFonts w:cstheme="minorHAnsi"/>
          <w:i/>
          <w:iCs/>
          <w:szCs w:val="28"/>
        </w:rPr>
      </w:pPr>
      <w:r w:rsidRPr="001C338A">
        <w:t>In particular, t</w:t>
      </w:r>
      <w:r w:rsidR="005A2E9F" w:rsidRPr="001C338A">
        <w:t xml:space="preserve">he </w:t>
      </w:r>
      <w:r w:rsidR="009861F3" w:rsidRPr="001C338A">
        <w:t>PTD</w:t>
      </w:r>
      <w:r w:rsidR="003B5264" w:rsidRPr="001C338A">
        <w:t>, at Article 26</w:t>
      </w:r>
      <w:r w:rsidR="000243D5" w:rsidRPr="001C338A">
        <w:t>,</w:t>
      </w:r>
      <w:r w:rsidR="003B5264" w:rsidRPr="001C338A">
        <w:t xml:space="preserve"> </w:t>
      </w:r>
      <w:r w:rsidR="003B7DE5" w:rsidRPr="001C338A">
        <w:t xml:space="preserve">states that </w:t>
      </w:r>
      <w:r w:rsidR="003B5264" w:rsidRPr="001C338A">
        <w:t xml:space="preserve">the </w:t>
      </w:r>
      <w:r w:rsidR="003B7DE5" w:rsidRPr="001C338A">
        <w:t>PTD</w:t>
      </w:r>
      <w:r w:rsidR="00FB54A8" w:rsidRPr="001C338A">
        <w:t>’s</w:t>
      </w:r>
      <w:r w:rsidR="003B7DE5" w:rsidRPr="001C338A">
        <w:t xml:space="preserve"> </w:t>
      </w:r>
      <w:r w:rsidR="00D272F3" w:rsidRPr="001C338A">
        <w:t>‘</w:t>
      </w:r>
      <w:r w:rsidR="00D600AC" w:rsidRPr="001C338A">
        <w:t>Remedies and Enforcement</w:t>
      </w:r>
      <w:r w:rsidR="00D272F3" w:rsidRPr="001C338A">
        <w:t>’</w:t>
      </w:r>
      <w:r w:rsidR="00D600AC" w:rsidRPr="001C338A">
        <w:t xml:space="preserve"> provisions</w:t>
      </w:r>
      <w:r w:rsidR="00FB0F3C" w:rsidRPr="001C338A">
        <w:t xml:space="preserve"> in Chapter III</w:t>
      </w:r>
      <w:r w:rsidR="00D600AC" w:rsidRPr="001C338A">
        <w:t xml:space="preserve"> </w:t>
      </w:r>
      <w:r w:rsidR="00FB0F3C" w:rsidRPr="001C338A">
        <w:t>“</w:t>
      </w:r>
      <w:r w:rsidR="009861F3" w:rsidRPr="001C338A">
        <w:rPr>
          <w:i/>
        </w:rPr>
        <w:t xml:space="preserve">apply to proceedings </w:t>
      </w:r>
      <w:r w:rsidR="00E9176A" w:rsidRPr="001C338A">
        <w:rPr>
          <w:i/>
        </w:rPr>
        <w:t xml:space="preserve">concerning any right or obligation relating to the principle of equal pay set out in Article 4 of </w:t>
      </w:r>
      <w:r w:rsidR="009861F3" w:rsidRPr="001C338A">
        <w:rPr>
          <w:i/>
        </w:rPr>
        <w:t>Directive</w:t>
      </w:r>
      <w:r w:rsidR="00664792" w:rsidRPr="001C338A">
        <w:rPr>
          <w:i/>
        </w:rPr>
        <w:t xml:space="preserve"> 2006/54/EC</w:t>
      </w:r>
      <w:r w:rsidR="00664792" w:rsidRPr="001C338A">
        <w:rPr>
          <w:rStyle w:val="FootnoteReference"/>
          <w:i/>
        </w:rPr>
        <w:t xml:space="preserve"> </w:t>
      </w:r>
      <w:r w:rsidR="00664792" w:rsidRPr="001C338A">
        <w:t>“</w:t>
      </w:r>
      <w:r w:rsidR="00323D90" w:rsidRPr="001C338A">
        <w:rPr>
          <w:rStyle w:val="FootnoteReference"/>
        </w:rPr>
        <w:footnoteReference w:id="42"/>
      </w:r>
      <w:r w:rsidR="002E06F2" w:rsidRPr="001C338A">
        <w:t>.</w:t>
      </w:r>
      <w:r w:rsidR="00664792" w:rsidRPr="001C338A">
        <w:t xml:space="preserve"> It will </w:t>
      </w:r>
      <w:proofErr w:type="gramStart"/>
      <w:r w:rsidR="00664792" w:rsidRPr="001C338A">
        <w:t>be noted</w:t>
      </w:r>
      <w:proofErr w:type="gramEnd"/>
      <w:r w:rsidR="00664792" w:rsidRPr="001C338A">
        <w:t xml:space="preserve"> that </w:t>
      </w:r>
      <w:r w:rsidR="00F05361" w:rsidRPr="001C338A">
        <w:t xml:space="preserve">Article 4 </w:t>
      </w:r>
      <w:r w:rsidR="00E9176A" w:rsidRPr="001C338A">
        <w:t xml:space="preserve">of the </w:t>
      </w:r>
      <w:r w:rsidR="00A24F92" w:rsidRPr="001C338A">
        <w:t xml:space="preserve">Recast </w:t>
      </w:r>
      <w:r w:rsidR="00664792" w:rsidRPr="001C338A">
        <w:t>Directive</w:t>
      </w:r>
      <w:r w:rsidR="001617D2" w:rsidRPr="001C338A">
        <w:t>, as regards equal pay,</w:t>
      </w:r>
      <w:r w:rsidR="00664792" w:rsidRPr="001C338A">
        <w:t xml:space="preserve"> </w:t>
      </w:r>
      <w:r w:rsidR="00F05361" w:rsidRPr="001C338A">
        <w:t>prohibits discrimination</w:t>
      </w:r>
      <w:r w:rsidR="00750492" w:rsidRPr="001C338A">
        <w:t xml:space="preserve"> (direct and indirect) on grounds of sex</w:t>
      </w:r>
      <w:r w:rsidR="0098344E">
        <w:t>.</w:t>
      </w:r>
      <w:r w:rsidR="00E56782" w:rsidRPr="001C338A">
        <w:rPr>
          <w:rStyle w:val="FootnoteReference"/>
        </w:rPr>
        <w:footnoteReference w:id="43"/>
      </w:r>
      <w:r w:rsidR="00E9176A" w:rsidRPr="001C338A">
        <w:t xml:space="preserve"> </w:t>
      </w:r>
    </w:p>
    <w:p w14:paraId="43EABAE0" w14:textId="5CB059DA" w:rsidR="00C90A71" w:rsidRPr="001C338A" w:rsidRDefault="00D272F3" w:rsidP="00D47D79">
      <w:pPr>
        <w:pStyle w:val="11NumPara"/>
        <w:spacing w:after="240" w:line="276" w:lineRule="auto"/>
        <w:rPr>
          <w:rFonts w:cstheme="minorHAnsi"/>
          <w:i/>
          <w:iCs/>
          <w:szCs w:val="28"/>
        </w:rPr>
      </w:pPr>
      <w:r w:rsidRPr="001C338A">
        <w:t xml:space="preserve">In addition, the </w:t>
      </w:r>
      <w:r w:rsidR="00FC52CB" w:rsidRPr="001C338A">
        <w:t xml:space="preserve">Recitals to the </w:t>
      </w:r>
      <w:r w:rsidR="003B7DE5" w:rsidRPr="001C338A">
        <w:t>PTD</w:t>
      </w:r>
      <w:r w:rsidR="00FC52CB" w:rsidRPr="001C338A">
        <w:t xml:space="preserve"> (</w:t>
      </w:r>
      <w:r w:rsidR="001B68E1" w:rsidRPr="001C338A">
        <w:t xml:space="preserve">Recital </w:t>
      </w:r>
      <w:r w:rsidR="00831114" w:rsidRPr="001C338A">
        <w:t>5</w:t>
      </w:r>
      <w:r w:rsidR="00B32304" w:rsidRPr="001C338A">
        <w:t>9</w:t>
      </w:r>
      <w:r w:rsidR="00831114" w:rsidRPr="001C338A">
        <w:t xml:space="preserve">) </w:t>
      </w:r>
      <w:r w:rsidR="00BA0535" w:rsidRPr="001C338A">
        <w:t xml:space="preserve">state </w:t>
      </w:r>
      <w:r w:rsidR="00831114" w:rsidRPr="001C338A">
        <w:t xml:space="preserve">that </w:t>
      </w:r>
      <w:r w:rsidR="00C24178" w:rsidRPr="001C338A">
        <w:t xml:space="preserve">the PTD </w:t>
      </w:r>
      <w:r w:rsidR="00C446D1" w:rsidRPr="001C338A">
        <w:t>‘</w:t>
      </w:r>
      <w:r w:rsidR="00DB7AFF" w:rsidRPr="001C338A">
        <w:rPr>
          <w:i/>
        </w:rPr>
        <w:t>should</w:t>
      </w:r>
      <w:r w:rsidR="00702040" w:rsidRPr="001C338A">
        <w:rPr>
          <w:i/>
        </w:rPr>
        <w:t xml:space="preserve"> </w:t>
      </w:r>
      <w:r w:rsidR="00831114" w:rsidRPr="001C338A">
        <w:rPr>
          <w:i/>
        </w:rPr>
        <w:t>strengthen the existing enforcement tools and procedures</w:t>
      </w:r>
      <w:r w:rsidR="00831114" w:rsidRPr="001C338A">
        <w:t xml:space="preserve">’ </w:t>
      </w:r>
      <w:r w:rsidR="007D2381" w:rsidRPr="001C338A">
        <w:t xml:space="preserve">in relation to </w:t>
      </w:r>
      <w:r w:rsidR="004A7258" w:rsidRPr="001C338A">
        <w:t xml:space="preserve">the equal pay provisions </w:t>
      </w:r>
      <w:r w:rsidR="00831114" w:rsidRPr="001C338A">
        <w:t xml:space="preserve">set out in </w:t>
      </w:r>
      <w:r w:rsidR="00C81C9A" w:rsidRPr="001C338A">
        <w:t xml:space="preserve">the Recast </w:t>
      </w:r>
      <w:r w:rsidR="00667A53" w:rsidRPr="001C338A">
        <w:t>Directive.</w:t>
      </w:r>
      <w:r w:rsidR="00667A53" w:rsidRPr="001C338A">
        <w:rPr>
          <w:rStyle w:val="FootnoteReference"/>
        </w:rPr>
        <w:footnoteReference w:id="44"/>
      </w:r>
      <w:r w:rsidR="00534089" w:rsidRPr="001C338A">
        <w:t xml:space="preserve">  </w:t>
      </w:r>
    </w:p>
    <w:p w14:paraId="45B3A231" w14:textId="5CBD6882" w:rsidR="000447ED" w:rsidRPr="001C338A" w:rsidRDefault="00E02CD1" w:rsidP="00D47D79">
      <w:pPr>
        <w:pStyle w:val="11NumPara"/>
        <w:spacing w:after="240" w:line="276" w:lineRule="auto"/>
        <w:rPr>
          <w:rFonts w:cstheme="minorHAnsi"/>
          <w:i/>
          <w:iCs/>
          <w:szCs w:val="28"/>
        </w:rPr>
      </w:pPr>
      <w:r w:rsidRPr="001C338A">
        <w:rPr>
          <w:color w:val="222222"/>
          <w:spacing w:val="4"/>
          <w:shd w:val="clear" w:color="auto" w:fill="FFFFFF"/>
        </w:rPr>
        <w:t>The European Commission has made clear that the proposed PTD’s “</w:t>
      </w:r>
      <w:r w:rsidRPr="001C338A">
        <w:rPr>
          <w:i/>
          <w:color w:val="222222"/>
          <w:spacing w:val="4"/>
          <w:shd w:val="clear" w:color="auto" w:fill="FFFFFF"/>
        </w:rPr>
        <w:t>enhanced enforcement measures will improve access to justice and the enforcement of rights granted under EU law</w:t>
      </w:r>
      <w:r w:rsidRPr="001C338A">
        <w:rPr>
          <w:color w:val="222222"/>
          <w:spacing w:val="4"/>
          <w:shd w:val="clear" w:color="auto" w:fill="FFFFFF"/>
        </w:rPr>
        <w:t>.</w:t>
      </w:r>
      <w:r w:rsidR="00C81C9A" w:rsidRPr="001C338A">
        <w:rPr>
          <w:color w:val="222222"/>
          <w:spacing w:val="4"/>
          <w:shd w:val="clear" w:color="auto" w:fill="FFFFFF"/>
        </w:rPr>
        <w:t>”</w:t>
      </w:r>
    </w:p>
    <w:p w14:paraId="34D39CD0" w14:textId="559FAEDE" w:rsidR="00C414A0" w:rsidRPr="001C338A" w:rsidRDefault="00C446D1" w:rsidP="00D47D79">
      <w:pPr>
        <w:pStyle w:val="11NumPara"/>
        <w:spacing w:after="240" w:line="276" w:lineRule="auto"/>
        <w:rPr>
          <w:rFonts w:cstheme="minorHAnsi"/>
          <w:i/>
          <w:iCs/>
          <w:szCs w:val="28"/>
        </w:rPr>
      </w:pPr>
      <w:r w:rsidRPr="001C338A">
        <w:t>T</w:t>
      </w:r>
      <w:r w:rsidR="00EE61C3" w:rsidRPr="001C338A">
        <w:t>herefore</w:t>
      </w:r>
      <w:r w:rsidR="00FF6EBE" w:rsidRPr="001C338A">
        <w:t>,</w:t>
      </w:r>
      <w:r w:rsidR="00EE61C3" w:rsidRPr="001C338A">
        <w:t xml:space="preserve"> </w:t>
      </w:r>
      <w:r w:rsidR="00225E2B" w:rsidRPr="001C338A">
        <w:t xml:space="preserve">in summary, </w:t>
      </w:r>
      <w:r w:rsidR="00C12289" w:rsidRPr="001C338A">
        <w:rPr>
          <w:color w:val="222222"/>
          <w:spacing w:val="4"/>
          <w:shd w:val="clear" w:color="auto" w:fill="FFFFFF"/>
        </w:rPr>
        <w:t>t</w:t>
      </w:r>
      <w:r w:rsidR="00C414A0" w:rsidRPr="001C338A">
        <w:rPr>
          <w:color w:val="222222"/>
          <w:spacing w:val="4"/>
          <w:shd w:val="clear" w:color="auto" w:fill="FFFFFF"/>
        </w:rPr>
        <w:t>he Commissions consider that th</w:t>
      </w:r>
      <w:r w:rsidR="00C12289" w:rsidRPr="001C338A">
        <w:rPr>
          <w:color w:val="222222"/>
          <w:spacing w:val="4"/>
          <w:shd w:val="clear" w:color="auto" w:fill="FFFFFF"/>
        </w:rPr>
        <w:t>ese</w:t>
      </w:r>
      <w:r w:rsidR="00C414A0" w:rsidRPr="001C338A">
        <w:rPr>
          <w:color w:val="222222"/>
          <w:spacing w:val="4"/>
          <w:shd w:val="clear" w:color="auto" w:fill="FFFFFF"/>
        </w:rPr>
        <w:t xml:space="preserve"> provision </w:t>
      </w:r>
      <w:r w:rsidR="00C12289" w:rsidRPr="001C338A">
        <w:t xml:space="preserve">in the PTD on remedies and enforcement (Chapter III) </w:t>
      </w:r>
      <w:r w:rsidR="00C414A0" w:rsidRPr="001C338A">
        <w:rPr>
          <w:color w:val="222222"/>
          <w:spacing w:val="4"/>
          <w:u w:val="single"/>
          <w:shd w:val="clear" w:color="auto" w:fill="FFFFFF"/>
        </w:rPr>
        <w:t xml:space="preserve">makes it </w:t>
      </w:r>
      <w:proofErr w:type="gramStart"/>
      <w:r w:rsidR="002E3FD3" w:rsidRPr="001C338A">
        <w:rPr>
          <w:color w:val="222222"/>
          <w:spacing w:val="4"/>
          <w:u w:val="single"/>
          <w:shd w:val="clear" w:color="auto" w:fill="FFFFFF"/>
        </w:rPr>
        <w:t xml:space="preserve">very </w:t>
      </w:r>
      <w:r w:rsidR="00C414A0" w:rsidRPr="001C338A">
        <w:rPr>
          <w:color w:val="222222"/>
          <w:spacing w:val="4"/>
          <w:u w:val="single"/>
          <w:shd w:val="clear" w:color="auto" w:fill="FFFFFF"/>
        </w:rPr>
        <w:t>clear</w:t>
      </w:r>
      <w:proofErr w:type="gramEnd"/>
      <w:r w:rsidR="00C414A0" w:rsidRPr="001C338A">
        <w:rPr>
          <w:color w:val="222222"/>
          <w:spacing w:val="4"/>
          <w:u w:val="single"/>
          <w:shd w:val="clear" w:color="auto" w:fill="FFFFFF"/>
        </w:rPr>
        <w:t xml:space="preserve"> </w:t>
      </w:r>
      <w:r w:rsidR="00C414A0" w:rsidRPr="001C338A">
        <w:rPr>
          <w:color w:val="222222"/>
          <w:spacing w:val="4"/>
          <w:shd w:val="clear" w:color="auto" w:fill="FFFFFF"/>
        </w:rPr>
        <w:t>that the PTD ‘amend</w:t>
      </w:r>
      <w:r w:rsidR="00C12289" w:rsidRPr="001C338A">
        <w:rPr>
          <w:color w:val="222222"/>
          <w:spacing w:val="4"/>
          <w:shd w:val="clear" w:color="auto" w:fill="FFFFFF"/>
        </w:rPr>
        <w:t>s</w:t>
      </w:r>
      <w:r w:rsidR="00C414A0" w:rsidRPr="001C338A">
        <w:rPr>
          <w:color w:val="222222"/>
          <w:spacing w:val="4"/>
          <w:shd w:val="clear" w:color="auto" w:fill="FFFFFF"/>
        </w:rPr>
        <w:t xml:space="preserve"> and replace</w:t>
      </w:r>
      <w:r w:rsidR="00C12289" w:rsidRPr="001C338A">
        <w:rPr>
          <w:color w:val="222222"/>
          <w:spacing w:val="4"/>
          <w:shd w:val="clear" w:color="auto" w:fill="FFFFFF"/>
        </w:rPr>
        <w:t>s</w:t>
      </w:r>
      <w:r w:rsidR="00C414A0" w:rsidRPr="001C338A">
        <w:rPr>
          <w:color w:val="222222"/>
          <w:spacing w:val="4"/>
          <w:shd w:val="clear" w:color="auto" w:fill="FFFFFF"/>
        </w:rPr>
        <w:t>’ the provisions in the Recast Directive in these areas</w:t>
      </w:r>
      <w:r w:rsidR="000262CF" w:rsidRPr="001C338A">
        <w:rPr>
          <w:color w:val="222222"/>
          <w:spacing w:val="4"/>
          <w:shd w:val="clear" w:color="auto" w:fill="FFFFFF"/>
        </w:rPr>
        <w:t>, for the purposes of WF Article 13</w:t>
      </w:r>
      <w:r w:rsidR="00C414A0" w:rsidRPr="001C338A">
        <w:rPr>
          <w:color w:val="222222"/>
          <w:spacing w:val="4"/>
          <w:shd w:val="clear" w:color="auto" w:fill="FFFFFF"/>
        </w:rPr>
        <w:t>.</w:t>
      </w:r>
    </w:p>
    <w:p w14:paraId="461C5021" w14:textId="59E753DD" w:rsidR="00A7796F" w:rsidRPr="001C338A" w:rsidRDefault="00A7796F" w:rsidP="00D47D79">
      <w:pPr>
        <w:pStyle w:val="11NumPara"/>
        <w:spacing w:after="240" w:line="276" w:lineRule="auto"/>
        <w:rPr>
          <w:rFonts w:cstheme="minorHAnsi"/>
          <w:i/>
          <w:iCs/>
          <w:szCs w:val="28"/>
        </w:rPr>
      </w:pPr>
      <w:r w:rsidRPr="001C338A">
        <w:t>This includes</w:t>
      </w:r>
      <w:r w:rsidR="00DF5650" w:rsidRPr="001C338A">
        <w:t xml:space="preserve">, but </w:t>
      </w:r>
      <w:proofErr w:type="gramStart"/>
      <w:r w:rsidR="00771816" w:rsidRPr="001C338A">
        <w:t>is</w:t>
      </w:r>
      <w:r w:rsidR="00DF5650" w:rsidRPr="001C338A">
        <w:t xml:space="preserve"> not limited</w:t>
      </w:r>
      <w:proofErr w:type="gramEnd"/>
      <w:r w:rsidR="00DF5650" w:rsidRPr="001C338A">
        <w:t xml:space="preserve"> to, </w:t>
      </w:r>
      <w:r w:rsidRPr="001C338A">
        <w:t xml:space="preserve">provisions </w:t>
      </w:r>
      <w:r w:rsidR="00DF5650" w:rsidRPr="001C338A">
        <w:t xml:space="preserve">of the PTD </w:t>
      </w:r>
      <w:r w:rsidRPr="001C338A">
        <w:t>refe</w:t>
      </w:r>
      <w:r w:rsidR="00DF5650" w:rsidRPr="001C338A">
        <w:t>re</w:t>
      </w:r>
      <w:r w:rsidRPr="001C338A">
        <w:t xml:space="preserve">nced below on </w:t>
      </w:r>
      <w:r w:rsidR="00735638" w:rsidRPr="001C338A">
        <w:t xml:space="preserve">limitation periods (Article 21); </w:t>
      </w:r>
      <w:r w:rsidR="004B7679" w:rsidRPr="001C338A">
        <w:t xml:space="preserve">penalties (Article 23); </w:t>
      </w:r>
      <w:r w:rsidR="007B4324" w:rsidRPr="001C338A">
        <w:t>right to compensation (Article 16); and proof of equal work or work of equal value (Article 19)</w:t>
      </w:r>
      <w:r w:rsidR="00DF5650" w:rsidRPr="001C338A">
        <w:t>.</w:t>
      </w:r>
    </w:p>
    <w:p w14:paraId="572CE509" w14:textId="7D37082B" w:rsidR="00581697" w:rsidRPr="001C338A" w:rsidRDefault="00C8327E" w:rsidP="00D47D79">
      <w:pPr>
        <w:pStyle w:val="11NumPara"/>
        <w:spacing w:after="240" w:line="276" w:lineRule="auto"/>
        <w:rPr>
          <w:rFonts w:cstheme="minorHAnsi"/>
          <w:i/>
          <w:iCs/>
          <w:szCs w:val="28"/>
        </w:rPr>
      </w:pPr>
      <w:r w:rsidRPr="001C338A">
        <w:lastRenderedPageBreak/>
        <w:t>Further, a</w:t>
      </w:r>
      <w:r w:rsidR="00581697" w:rsidRPr="001C338A">
        <w:t xml:space="preserve">s set out in more detail below, </w:t>
      </w:r>
      <w:proofErr w:type="gramStart"/>
      <w:r w:rsidR="00581697" w:rsidRPr="001C338A">
        <w:t>a number of</w:t>
      </w:r>
      <w:proofErr w:type="gramEnd"/>
      <w:r w:rsidR="00581697" w:rsidRPr="001C338A">
        <w:t xml:space="preserve"> Articles within</w:t>
      </w:r>
      <w:r w:rsidR="0080059D" w:rsidRPr="001C338A">
        <w:t xml:space="preserve"> </w:t>
      </w:r>
      <w:r w:rsidR="004356CB" w:rsidRPr="001C338A">
        <w:t xml:space="preserve">the </w:t>
      </w:r>
      <w:r w:rsidR="0080059D" w:rsidRPr="001C338A">
        <w:t xml:space="preserve">‘Remedies and Enforcement’ provisions in PTD Chapter III also </w:t>
      </w:r>
      <w:r w:rsidR="002F589C" w:rsidRPr="001C338A">
        <w:t xml:space="preserve">incorporate </w:t>
      </w:r>
      <w:r w:rsidR="0080059D" w:rsidRPr="001C338A">
        <w:t xml:space="preserve">a number of </w:t>
      </w:r>
      <w:r w:rsidR="002F589C" w:rsidRPr="001C338A">
        <w:t>clarifications</w:t>
      </w:r>
      <w:r w:rsidRPr="001C338A">
        <w:t xml:space="preserve"> established in case law of the CJEU. </w:t>
      </w:r>
    </w:p>
    <w:p w14:paraId="7BA4C831" w14:textId="77777777" w:rsidR="000F693C" w:rsidRPr="001C338A" w:rsidRDefault="000F693C" w:rsidP="00D47D79">
      <w:pPr>
        <w:pStyle w:val="11NumPara"/>
        <w:numPr>
          <w:ilvl w:val="0"/>
          <w:numId w:val="0"/>
        </w:numPr>
        <w:spacing w:after="240" w:line="276" w:lineRule="auto"/>
        <w:ind w:left="709"/>
        <w:rPr>
          <w:rFonts w:cstheme="minorHAnsi"/>
          <w:i/>
          <w:iCs/>
          <w:szCs w:val="28"/>
        </w:rPr>
      </w:pPr>
    </w:p>
    <w:p w14:paraId="1B093224" w14:textId="259FB9BA" w:rsidR="00C12289" w:rsidRPr="001C338A" w:rsidRDefault="00C12289" w:rsidP="00D47D79">
      <w:pPr>
        <w:pStyle w:val="11NumPara"/>
        <w:numPr>
          <w:ilvl w:val="0"/>
          <w:numId w:val="0"/>
        </w:numPr>
        <w:spacing w:after="240" w:line="276" w:lineRule="auto"/>
        <w:ind w:left="709"/>
        <w:rPr>
          <w:rFonts w:cstheme="minorHAnsi"/>
          <w:i/>
          <w:iCs/>
          <w:szCs w:val="28"/>
        </w:rPr>
      </w:pPr>
      <w:r w:rsidRPr="001C338A">
        <w:rPr>
          <w:rFonts w:cstheme="minorHAnsi"/>
          <w:i/>
          <w:iCs/>
          <w:szCs w:val="28"/>
        </w:rPr>
        <w:t>Degree of overlap</w:t>
      </w:r>
    </w:p>
    <w:p w14:paraId="1A4F0330" w14:textId="75E00B6A" w:rsidR="00126DD8" w:rsidRPr="0073633B" w:rsidRDefault="000F693C" w:rsidP="0073633B">
      <w:pPr>
        <w:pStyle w:val="11NumPara"/>
        <w:spacing w:after="240" w:line="276" w:lineRule="auto"/>
        <w:rPr>
          <w:i/>
        </w:rPr>
      </w:pPr>
      <w:r w:rsidRPr="001C338A">
        <w:t xml:space="preserve">Another relevant key factor is the degree </w:t>
      </w:r>
      <w:r w:rsidR="00206321" w:rsidRPr="001C338A">
        <w:t xml:space="preserve">of </w:t>
      </w:r>
      <w:r w:rsidRPr="001C338A">
        <w:t xml:space="preserve">overlap </w:t>
      </w:r>
      <w:r w:rsidR="000E3E02" w:rsidRPr="001C338A">
        <w:t xml:space="preserve">in terms of </w:t>
      </w:r>
      <w:r w:rsidRPr="001C338A">
        <w:rPr>
          <w:rFonts w:asciiTheme="minorHAnsi" w:hAnsiTheme="minorHAnsi"/>
        </w:rPr>
        <w:t xml:space="preserve">the substance of the rights and safeguards between the </w:t>
      </w:r>
      <w:r w:rsidRPr="001C338A">
        <w:t xml:space="preserve">PTD </w:t>
      </w:r>
      <w:r w:rsidRPr="001C338A">
        <w:rPr>
          <w:rFonts w:asciiTheme="minorHAnsi" w:hAnsiTheme="minorHAnsi"/>
        </w:rPr>
        <w:t xml:space="preserve">and the </w:t>
      </w:r>
      <w:r w:rsidRPr="001C338A">
        <w:t>Recast D</w:t>
      </w:r>
      <w:r w:rsidRPr="001C338A">
        <w:rPr>
          <w:rFonts w:asciiTheme="minorHAnsi" w:hAnsiTheme="minorHAnsi"/>
        </w:rPr>
        <w:t>irective</w:t>
      </w:r>
      <w:r w:rsidR="009F395D" w:rsidRPr="001C338A">
        <w:rPr>
          <w:rFonts w:asciiTheme="minorHAnsi" w:hAnsiTheme="minorHAnsi"/>
        </w:rPr>
        <w:t>.</w:t>
      </w:r>
      <w:r w:rsidR="00420F1E" w:rsidRPr="001C338A">
        <w:rPr>
          <w:rFonts w:asciiTheme="minorHAnsi" w:hAnsiTheme="minorHAnsi"/>
        </w:rPr>
        <w:t xml:space="preserve"> In </w:t>
      </w:r>
      <w:r w:rsidR="002E3FD3" w:rsidRPr="001C338A">
        <w:rPr>
          <w:rFonts w:asciiTheme="minorHAnsi" w:hAnsiTheme="minorHAnsi"/>
        </w:rPr>
        <w:t>summary</w:t>
      </w:r>
      <w:r w:rsidR="00420F1E" w:rsidRPr="001C338A">
        <w:rPr>
          <w:rFonts w:asciiTheme="minorHAnsi" w:hAnsiTheme="minorHAnsi"/>
        </w:rPr>
        <w:t xml:space="preserve">, </w:t>
      </w:r>
      <w:r w:rsidR="00420F1E" w:rsidRPr="001C338A">
        <w:t>t</w:t>
      </w:r>
      <w:r w:rsidR="000E3E02" w:rsidRPr="001C338A">
        <w:t xml:space="preserve">he Commissions consider that </w:t>
      </w:r>
      <w:r w:rsidR="00AD1106" w:rsidRPr="001C338A">
        <w:t xml:space="preserve">there is a </w:t>
      </w:r>
      <w:r w:rsidR="00EC1A01" w:rsidRPr="001C338A">
        <w:t xml:space="preserve">considerable degree of </w:t>
      </w:r>
      <w:r w:rsidR="00AD1106" w:rsidRPr="001C338A">
        <w:t>overlap</w:t>
      </w:r>
      <w:r w:rsidR="002E3FD3" w:rsidRPr="001C338A">
        <w:t xml:space="preserve"> in these areas</w:t>
      </w:r>
      <w:r w:rsidR="00CF163D">
        <w:t>.</w:t>
      </w:r>
      <w:r w:rsidR="002E3FD3" w:rsidRPr="001C338A">
        <w:t xml:space="preserve"> </w:t>
      </w:r>
    </w:p>
    <w:p w14:paraId="1670F40E" w14:textId="01C4D708" w:rsidR="00C12289" w:rsidRPr="001C338A" w:rsidRDefault="00AD1106" w:rsidP="00D47D79">
      <w:pPr>
        <w:pStyle w:val="11NumPara"/>
        <w:spacing w:after="240" w:line="276" w:lineRule="auto"/>
        <w:rPr>
          <w:rFonts w:cstheme="minorHAnsi"/>
          <w:i/>
          <w:iCs/>
          <w:szCs w:val="28"/>
        </w:rPr>
      </w:pPr>
      <w:r w:rsidRPr="001C338A">
        <w:t xml:space="preserve">As noted above, the PTD makes clear that its provisions relating to remedies </w:t>
      </w:r>
      <w:r w:rsidRPr="001C338A">
        <w:rPr>
          <w:u w:val="single"/>
        </w:rPr>
        <w:t>and</w:t>
      </w:r>
      <w:r w:rsidRPr="001C338A">
        <w:t xml:space="preserve"> enforcement </w:t>
      </w:r>
      <w:r w:rsidRPr="001C338A">
        <w:rPr>
          <w:u w:val="single"/>
        </w:rPr>
        <w:t>apply to</w:t>
      </w:r>
      <w:r w:rsidRPr="001C338A">
        <w:t xml:space="preserve"> proceedings relating to rights </w:t>
      </w:r>
      <w:r w:rsidR="003D3DE8" w:rsidRPr="001C338A">
        <w:t xml:space="preserve">as regards the principle of equal pay in the Recast </w:t>
      </w:r>
      <w:r w:rsidRPr="001C338A">
        <w:t xml:space="preserve">Directive. </w:t>
      </w:r>
    </w:p>
    <w:p w14:paraId="1590A64C" w14:textId="1117C51C" w:rsidR="008250D8" w:rsidRPr="001C338A" w:rsidRDefault="00AD1106" w:rsidP="00D47D79">
      <w:pPr>
        <w:pStyle w:val="11NumPara"/>
        <w:spacing w:after="240" w:line="276" w:lineRule="auto"/>
        <w:rPr>
          <w:rFonts w:cstheme="minorHAnsi"/>
          <w:i/>
          <w:iCs/>
          <w:szCs w:val="28"/>
        </w:rPr>
      </w:pPr>
      <w:r w:rsidRPr="001C338A">
        <w:t>Further, as</w:t>
      </w:r>
      <w:r w:rsidR="00AD4E46" w:rsidRPr="001C338A">
        <w:t xml:space="preserve"> noted above</w:t>
      </w:r>
      <w:r w:rsidRPr="001C338A">
        <w:t xml:space="preserve">, the PTD </w:t>
      </w:r>
      <w:r w:rsidR="00B4486E" w:rsidRPr="001C338A">
        <w:t xml:space="preserve">recitals </w:t>
      </w:r>
      <w:r w:rsidR="0006562F" w:rsidRPr="001C338A">
        <w:t xml:space="preserve">expressly </w:t>
      </w:r>
      <w:r w:rsidR="00B4486E" w:rsidRPr="001C338A">
        <w:t>states</w:t>
      </w:r>
      <w:r w:rsidR="0006562F" w:rsidRPr="001C338A">
        <w:t xml:space="preserve"> that it </w:t>
      </w:r>
      <w:r w:rsidR="003D3DE8" w:rsidRPr="001C338A">
        <w:t>“</w:t>
      </w:r>
      <w:r w:rsidRPr="001C338A">
        <w:rPr>
          <w:i/>
        </w:rPr>
        <w:t>builds on</w:t>
      </w:r>
      <w:r w:rsidR="003D3DE8" w:rsidRPr="001C338A">
        <w:rPr>
          <w:i/>
        </w:rPr>
        <w:t>”</w:t>
      </w:r>
      <w:r w:rsidR="0006562F" w:rsidRPr="001C338A">
        <w:t xml:space="preserve"> </w:t>
      </w:r>
      <w:r w:rsidR="00424A3B" w:rsidRPr="001C338A">
        <w:t xml:space="preserve">similar </w:t>
      </w:r>
      <w:r w:rsidRPr="001C338A">
        <w:t>existing provisions in the Recast Directive</w:t>
      </w:r>
      <w:r w:rsidR="00801F83">
        <w:t>,</w:t>
      </w:r>
      <w:r w:rsidRPr="001C338A">
        <w:t xml:space="preserve"> </w:t>
      </w:r>
      <w:r w:rsidR="008250D8" w:rsidRPr="001C338A">
        <w:t xml:space="preserve">for example, as regards the defence of rights. </w:t>
      </w:r>
      <w:r w:rsidR="0006562F" w:rsidRPr="001C338A">
        <w:t xml:space="preserve">In </w:t>
      </w:r>
      <w:proofErr w:type="gramStart"/>
      <w:r w:rsidR="008250D8" w:rsidRPr="001C338A">
        <w:t>some</w:t>
      </w:r>
      <w:proofErr w:type="gramEnd"/>
      <w:r w:rsidR="008250D8" w:rsidRPr="001C338A">
        <w:t xml:space="preserve"> instances</w:t>
      </w:r>
      <w:r w:rsidR="0006562F" w:rsidRPr="001C338A">
        <w:t>, detailed below,</w:t>
      </w:r>
      <w:r w:rsidR="008250D8" w:rsidRPr="001C338A">
        <w:t xml:space="preserve"> the provisions in the PTD strengthen and improve rights for individuals and the powers of ECNI, </w:t>
      </w:r>
      <w:r w:rsidR="0079202D" w:rsidRPr="001C338A">
        <w:t xml:space="preserve">in areas covered by </w:t>
      </w:r>
      <w:r w:rsidR="008250D8" w:rsidRPr="001C338A">
        <w:rPr>
          <w:u w:val="single"/>
        </w:rPr>
        <w:t>existing provisions</w:t>
      </w:r>
      <w:r w:rsidR="008250D8" w:rsidRPr="001C338A">
        <w:t xml:space="preserve"> in the Recast Directive.</w:t>
      </w:r>
    </w:p>
    <w:p w14:paraId="02210344" w14:textId="1CFABEE0" w:rsidR="00C12289" w:rsidRPr="001C338A" w:rsidRDefault="00B4059B" w:rsidP="00D47D79">
      <w:pPr>
        <w:pStyle w:val="11NumPara"/>
        <w:spacing w:after="240" w:line="276" w:lineRule="auto"/>
        <w:rPr>
          <w:rFonts w:cstheme="minorHAnsi"/>
          <w:i/>
          <w:iCs/>
          <w:szCs w:val="28"/>
        </w:rPr>
      </w:pPr>
      <w:r w:rsidRPr="001C338A">
        <w:rPr>
          <w:lang w:eastAsia="en-GB"/>
        </w:rPr>
        <w:t>Further, i</w:t>
      </w:r>
      <w:r w:rsidR="008250D8" w:rsidRPr="001C338A">
        <w:rPr>
          <w:lang w:eastAsia="en-GB"/>
        </w:rPr>
        <w:t xml:space="preserve">n considering </w:t>
      </w:r>
      <w:r w:rsidR="00376F2D" w:rsidRPr="001C338A">
        <w:rPr>
          <w:lang w:eastAsia="en-GB"/>
        </w:rPr>
        <w:t>the extent to which the PTD ‘amends or replaces’ the Recast Directive</w:t>
      </w:r>
      <w:r w:rsidR="008250D8" w:rsidRPr="001C338A">
        <w:rPr>
          <w:lang w:eastAsia="en-GB"/>
        </w:rPr>
        <w:t>, the Commissions consider that it is essential that the provisions of the PTD</w:t>
      </w:r>
      <w:r w:rsidR="0052269A" w:rsidRPr="001C338A">
        <w:rPr>
          <w:lang w:eastAsia="en-GB"/>
        </w:rPr>
        <w:t>, and their application</w:t>
      </w:r>
      <w:r w:rsidR="00141DBD" w:rsidRPr="001C338A">
        <w:rPr>
          <w:lang w:eastAsia="en-GB"/>
        </w:rPr>
        <w:t>s</w:t>
      </w:r>
      <w:r w:rsidR="0052269A" w:rsidRPr="001C338A">
        <w:rPr>
          <w:lang w:eastAsia="en-GB"/>
        </w:rPr>
        <w:t>,</w:t>
      </w:r>
      <w:r w:rsidR="008250D8" w:rsidRPr="001C338A">
        <w:rPr>
          <w:lang w:eastAsia="en-GB"/>
        </w:rPr>
        <w:t xml:space="preserve"> </w:t>
      </w:r>
      <w:proofErr w:type="gramStart"/>
      <w:r w:rsidR="00141DBD" w:rsidRPr="001C338A">
        <w:rPr>
          <w:lang w:eastAsia="en-GB"/>
        </w:rPr>
        <w:t>are</w:t>
      </w:r>
      <w:r w:rsidR="0052269A" w:rsidRPr="001C338A">
        <w:rPr>
          <w:lang w:eastAsia="en-GB"/>
        </w:rPr>
        <w:t xml:space="preserve"> considered</w:t>
      </w:r>
      <w:proofErr w:type="gramEnd"/>
      <w:r w:rsidR="0052269A" w:rsidRPr="001C338A">
        <w:rPr>
          <w:lang w:eastAsia="en-GB"/>
        </w:rPr>
        <w:t xml:space="preserve"> </w:t>
      </w:r>
      <w:r w:rsidR="008250D8" w:rsidRPr="001C338A">
        <w:rPr>
          <w:u w:val="single"/>
          <w:lang w:eastAsia="en-GB"/>
        </w:rPr>
        <w:t>in their entirety</w:t>
      </w:r>
      <w:r w:rsidR="00C12289" w:rsidRPr="001C338A">
        <w:rPr>
          <w:lang w:eastAsia="en-GB"/>
        </w:rPr>
        <w:t>.</w:t>
      </w:r>
    </w:p>
    <w:p w14:paraId="7EABABA7" w14:textId="77777777" w:rsidR="00C12289" w:rsidRPr="001C338A" w:rsidRDefault="008250D8" w:rsidP="00D47D79">
      <w:pPr>
        <w:pStyle w:val="11NumPara"/>
        <w:spacing w:after="240" w:line="276" w:lineRule="auto"/>
        <w:rPr>
          <w:rFonts w:cstheme="minorHAnsi"/>
          <w:i/>
          <w:iCs/>
          <w:szCs w:val="28"/>
        </w:rPr>
      </w:pPr>
      <w:r w:rsidRPr="001C338A">
        <w:rPr>
          <w:lang w:eastAsia="en-GB"/>
        </w:rPr>
        <w:t xml:space="preserve">For example, in certain areas, the provisions on remedies and enforcement in </w:t>
      </w:r>
      <w:r w:rsidR="00141DBD" w:rsidRPr="001C338A">
        <w:rPr>
          <w:lang w:eastAsia="en-GB"/>
        </w:rPr>
        <w:t xml:space="preserve">PTD </w:t>
      </w:r>
      <w:r w:rsidRPr="001C338A">
        <w:rPr>
          <w:lang w:eastAsia="en-GB"/>
        </w:rPr>
        <w:t xml:space="preserve">Chapter III cross reference and </w:t>
      </w:r>
      <w:r w:rsidRPr="001C338A">
        <w:rPr>
          <w:i/>
          <w:lang w:eastAsia="en-GB"/>
        </w:rPr>
        <w:t>relate to</w:t>
      </w:r>
      <w:r w:rsidRPr="001C338A">
        <w:rPr>
          <w:lang w:eastAsia="en-GB"/>
        </w:rPr>
        <w:t xml:space="preserve"> provisions in other </w:t>
      </w:r>
      <w:r w:rsidR="00141DBD" w:rsidRPr="001C338A">
        <w:rPr>
          <w:lang w:eastAsia="en-GB"/>
        </w:rPr>
        <w:t xml:space="preserve">PTD </w:t>
      </w:r>
      <w:r w:rsidRPr="001C338A">
        <w:rPr>
          <w:lang w:eastAsia="en-GB"/>
        </w:rPr>
        <w:t>Chapters.</w:t>
      </w:r>
      <w:r w:rsidRPr="001C338A">
        <w:rPr>
          <w:rStyle w:val="FootnoteReference"/>
          <w:lang w:eastAsia="en-GB"/>
        </w:rPr>
        <w:footnoteReference w:id="45"/>
      </w:r>
      <w:r w:rsidRPr="001C338A">
        <w:rPr>
          <w:lang w:eastAsia="en-GB"/>
        </w:rPr>
        <w:t xml:space="preserve">  </w:t>
      </w:r>
    </w:p>
    <w:p w14:paraId="6415A03D" w14:textId="62B3D74B" w:rsidR="00D735E2" w:rsidRPr="001C338A" w:rsidRDefault="008250D8" w:rsidP="00D47D79">
      <w:pPr>
        <w:pStyle w:val="11NumPara"/>
        <w:spacing w:after="240" w:line="276" w:lineRule="auto"/>
        <w:rPr>
          <w:rFonts w:cstheme="minorHAnsi"/>
          <w:i/>
          <w:iCs/>
          <w:szCs w:val="28"/>
        </w:rPr>
      </w:pPr>
      <w:r w:rsidRPr="001C338A">
        <w:rPr>
          <w:lang w:eastAsia="en-GB"/>
        </w:rPr>
        <w:t xml:space="preserve">Further, some of the provisions on remedies and enforcement are </w:t>
      </w:r>
      <w:r w:rsidRPr="001C338A">
        <w:rPr>
          <w:i/>
        </w:rPr>
        <w:t>complemented and supported</w:t>
      </w:r>
      <w:r w:rsidRPr="001C338A">
        <w:t xml:space="preserve"> by provisions in other </w:t>
      </w:r>
      <w:r w:rsidR="00141DBD" w:rsidRPr="001C338A">
        <w:t xml:space="preserve">PTD </w:t>
      </w:r>
      <w:r w:rsidRPr="001C338A">
        <w:t>Chapters.</w:t>
      </w:r>
      <w:r w:rsidRPr="001C338A">
        <w:rPr>
          <w:rStyle w:val="FootnoteReference"/>
        </w:rPr>
        <w:footnoteReference w:id="46"/>
      </w:r>
      <w:r w:rsidRPr="001C338A">
        <w:t xml:space="preserve">  Taking a piece meal and limited approach to the transposition of the PTD, for example, by only transposing certain </w:t>
      </w:r>
      <w:r w:rsidR="002464B3" w:rsidRPr="001C338A">
        <w:t xml:space="preserve">(and not all) </w:t>
      </w:r>
      <w:r w:rsidR="0092343D" w:rsidRPr="001C338A">
        <w:t xml:space="preserve">of </w:t>
      </w:r>
      <w:r w:rsidR="00D50224" w:rsidRPr="001C338A">
        <w:t xml:space="preserve">the </w:t>
      </w:r>
      <w:r w:rsidRPr="001C338A">
        <w:t xml:space="preserve">provisions, would </w:t>
      </w:r>
      <w:r w:rsidR="00141DBD" w:rsidRPr="001C338A">
        <w:t xml:space="preserve">therefore </w:t>
      </w:r>
      <w:r w:rsidRPr="001C338A">
        <w:t>weaken the overall effectiveness of the</w:t>
      </w:r>
      <w:r w:rsidR="0092343D" w:rsidRPr="001C338A">
        <w:t>se</w:t>
      </w:r>
      <w:r w:rsidRPr="001C338A">
        <w:t xml:space="preserve"> provisions, including on enforcement and remedies.</w:t>
      </w:r>
      <w:r w:rsidR="004A48DF" w:rsidRPr="001C338A">
        <w:t xml:space="preserve"> </w:t>
      </w:r>
    </w:p>
    <w:p w14:paraId="572E1A43" w14:textId="28574C89" w:rsidR="00D61254" w:rsidRPr="001C338A" w:rsidRDefault="004A48DF" w:rsidP="00D47D79">
      <w:pPr>
        <w:pStyle w:val="11NumPara"/>
        <w:spacing w:after="240" w:line="276" w:lineRule="auto"/>
        <w:rPr>
          <w:rFonts w:cstheme="minorHAnsi"/>
          <w:i/>
          <w:iCs/>
          <w:szCs w:val="28"/>
        </w:rPr>
      </w:pPr>
      <w:r w:rsidRPr="001C338A">
        <w:t xml:space="preserve">This is subject to the caveat that </w:t>
      </w:r>
      <w:r w:rsidR="00E17510" w:rsidRPr="001C338A">
        <w:t xml:space="preserve">the Commissions consider that </w:t>
      </w:r>
      <w:r w:rsidRPr="001C338A">
        <w:t>a small number of provisions of the PTD are no</w:t>
      </w:r>
      <w:r w:rsidR="00CE08E2">
        <w:t xml:space="preserve"> longer</w:t>
      </w:r>
      <w:r w:rsidR="000E3339" w:rsidRPr="001C338A">
        <w:t xml:space="preserve"> relevant </w:t>
      </w:r>
      <w:r w:rsidR="00CE08E2">
        <w:t>now</w:t>
      </w:r>
      <w:r w:rsidR="00F266E8">
        <w:t xml:space="preserve"> </w:t>
      </w:r>
      <w:r w:rsidR="000E3339" w:rsidRPr="001C338A">
        <w:t>that the UK has left the EU</w:t>
      </w:r>
      <w:r w:rsidR="00801F83">
        <w:t>,</w:t>
      </w:r>
      <w:r w:rsidR="000E3339" w:rsidRPr="001C338A">
        <w:t xml:space="preserve"> for example, reporting requirements to the European Commission, </w:t>
      </w:r>
      <w:r w:rsidR="000E3339" w:rsidRPr="001C338A">
        <w:lastRenderedPageBreak/>
        <w:t>as outlined below</w:t>
      </w:r>
      <w:r w:rsidR="004554EA">
        <w:t>.</w:t>
      </w:r>
      <w:r w:rsidR="00F53158" w:rsidRPr="001C338A">
        <w:rPr>
          <w:rStyle w:val="FootnoteReference"/>
        </w:rPr>
        <w:footnoteReference w:id="47"/>
      </w:r>
      <w:r w:rsidR="00D61254" w:rsidRPr="001C338A">
        <w:t xml:space="preserve"> However, </w:t>
      </w:r>
      <w:r w:rsidR="004B7C8A" w:rsidRPr="001C338A">
        <w:t xml:space="preserve">whilst it may no longer be </w:t>
      </w:r>
      <w:r w:rsidR="0026394B" w:rsidRPr="001C338A">
        <w:t xml:space="preserve">appropriate </w:t>
      </w:r>
      <w:r w:rsidR="004B7C8A" w:rsidRPr="001C338A">
        <w:t xml:space="preserve">for the UK Government to </w:t>
      </w:r>
      <w:r w:rsidR="007B49A4" w:rsidRPr="001C338A">
        <w:t>report to the European Commission on these matters</w:t>
      </w:r>
      <w:r w:rsidR="000C329E" w:rsidRPr="001C338A">
        <w:t xml:space="preserve">, </w:t>
      </w:r>
      <w:r w:rsidR="00D61254" w:rsidRPr="001C338A">
        <w:t xml:space="preserve">the Commissions consider that </w:t>
      </w:r>
      <w:r w:rsidR="000C329E" w:rsidRPr="001C338A">
        <w:t xml:space="preserve">there is value in </w:t>
      </w:r>
      <w:r w:rsidR="0026394B" w:rsidRPr="001C338A">
        <w:t>the UK G</w:t>
      </w:r>
      <w:r w:rsidR="004B7C8A" w:rsidRPr="001C338A">
        <w:t>overnment</w:t>
      </w:r>
      <w:r w:rsidR="0026394B" w:rsidRPr="001C338A">
        <w:t xml:space="preserve">/ NI Executive </w:t>
      </w:r>
      <w:r w:rsidR="004B7C8A" w:rsidRPr="001C338A">
        <w:t xml:space="preserve"> taking forward a number of these measures</w:t>
      </w:r>
      <w:r w:rsidR="004920CF">
        <w:t>. This includes,</w:t>
      </w:r>
      <w:r w:rsidR="0026394B" w:rsidRPr="001C338A">
        <w:t xml:space="preserve"> for example,</w:t>
      </w:r>
      <w:r w:rsidR="004B7C8A" w:rsidRPr="001C338A">
        <w:t xml:space="preserve"> </w:t>
      </w:r>
      <w:r w:rsidR="00D61254" w:rsidRPr="001C338A">
        <w:t xml:space="preserve">the regular </w:t>
      </w:r>
      <w:r w:rsidR="005F7D90" w:rsidRPr="001C338A">
        <w:t xml:space="preserve">collection and </w:t>
      </w:r>
      <w:r w:rsidR="00D61254" w:rsidRPr="001C338A">
        <w:t xml:space="preserve">publication of </w:t>
      </w:r>
      <w:r w:rsidR="0026394B" w:rsidRPr="001C338A">
        <w:t xml:space="preserve">gender pay </w:t>
      </w:r>
      <w:r w:rsidR="00D61254" w:rsidRPr="001C338A">
        <w:t>data relating to Northern Ireland,</w:t>
      </w:r>
      <w:r w:rsidR="0026394B" w:rsidRPr="001C338A">
        <w:t xml:space="preserve"> </w:t>
      </w:r>
      <w:proofErr w:type="gramStart"/>
      <w:r w:rsidR="0026394B" w:rsidRPr="001C338A">
        <w:t>so as to</w:t>
      </w:r>
      <w:proofErr w:type="gramEnd"/>
      <w:r w:rsidR="00D61254" w:rsidRPr="001C338A">
        <w:t xml:space="preserve"> assist with data comparisons with EU countries in this area, as </w:t>
      </w:r>
      <w:r w:rsidR="0026394B" w:rsidRPr="001C338A">
        <w:t xml:space="preserve">referred to </w:t>
      </w:r>
      <w:r w:rsidR="00D61254" w:rsidRPr="001C338A">
        <w:t>in more detail below.</w:t>
      </w:r>
    </w:p>
    <w:p w14:paraId="029017E2" w14:textId="77777777" w:rsidR="00A70063" w:rsidRPr="001C338A" w:rsidRDefault="00A70063" w:rsidP="00D47D79">
      <w:pPr>
        <w:pStyle w:val="11NumPara"/>
        <w:numPr>
          <w:ilvl w:val="0"/>
          <w:numId w:val="0"/>
        </w:numPr>
        <w:spacing w:after="240" w:line="276" w:lineRule="auto"/>
        <w:rPr>
          <w:rFonts w:cstheme="minorHAnsi"/>
          <w:i/>
          <w:iCs/>
          <w:szCs w:val="28"/>
        </w:rPr>
      </w:pPr>
    </w:p>
    <w:p w14:paraId="594041AA" w14:textId="31E8FC3B" w:rsidR="00C12289" w:rsidRPr="001C338A" w:rsidRDefault="00C12289" w:rsidP="00D47D79">
      <w:pPr>
        <w:pStyle w:val="11NumPara"/>
        <w:numPr>
          <w:ilvl w:val="0"/>
          <w:numId w:val="0"/>
        </w:numPr>
        <w:spacing w:after="240" w:line="276" w:lineRule="auto"/>
        <w:ind w:left="709"/>
        <w:rPr>
          <w:rFonts w:cstheme="minorHAnsi"/>
          <w:i/>
          <w:iCs/>
          <w:szCs w:val="28"/>
        </w:rPr>
      </w:pPr>
      <w:r w:rsidRPr="001C338A">
        <w:rPr>
          <w:rFonts w:cstheme="minorHAnsi"/>
          <w:i/>
          <w:iCs/>
          <w:szCs w:val="28"/>
        </w:rPr>
        <w:t>Clarifies existing concepts, including core concepts: CJEU case law</w:t>
      </w:r>
    </w:p>
    <w:p w14:paraId="751B1B96" w14:textId="34C5E031" w:rsidR="00E119E6" w:rsidRPr="001C338A" w:rsidRDefault="007F2917" w:rsidP="00D47D79">
      <w:pPr>
        <w:pStyle w:val="11NumPara"/>
        <w:spacing w:after="240" w:line="276" w:lineRule="auto"/>
        <w:rPr>
          <w:rFonts w:cstheme="minorHAnsi"/>
          <w:i/>
          <w:iCs/>
          <w:szCs w:val="28"/>
        </w:rPr>
      </w:pPr>
      <w:r w:rsidRPr="001C338A">
        <w:t>A</w:t>
      </w:r>
      <w:r w:rsidR="006C2F68" w:rsidRPr="001C338A">
        <w:t xml:space="preserve">nother relevant </w:t>
      </w:r>
      <w:r w:rsidR="00FB4A9F" w:rsidRPr="001C338A">
        <w:t xml:space="preserve">consideration </w:t>
      </w:r>
      <w:r w:rsidR="006C2F68" w:rsidRPr="001C338A">
        <w:t xml:space="preserve">is the extent to which the PTD </w:t>
      </w:r>
      <w:r w:rsidR="00E119E6" w:rsidRPr="001C338A">
        <w:t xml:space="preserve">clarifies existing provisions and/or concepts in the </w:t>
      </w:r>
      <w:r w:rsidR="00C12289" w:rsidRPr="001C338A">
        <w:t xml:space="preserve">Recast </w:t>
      </w:r>
      <w:r w:rsidR="00E119E6" w:rsidRPr="001C338A">
        <w:t>Directive</w:t>
      </w:r>
      <w:r w:rsidR="003B3057" w:rsidRPr="001C338A">
        <w:t>,</w:t>
      </w:r>
      <w:r w:rsidR="003B3057" w:rsidRPr="001C338A">
        <w:rPr>
          <w:color w:val="333333"/>
          <w:shd w:val="clear" w:color="auto" w:fill="FFFFFF"/>
        </w:rPr>
        <w:t xml:space="preserve"> including </w:t>
      </w:r>
      <w:r w:rsidR="003B3057" w:rsidRPr="001C338A">
        <w:t xml:space="preserve">in accordance with CJEU case law. </w:t>
      </w:r>
    </w:p>
    <w:p w14:paraId="22E80E72" w14:textId="3076056F" w:rsidR="009E2642" w:rsidRPr="001C338A" w:rsidRDefault="00CA2204" w:rsidP="00D47D79">
      <w:pPr>
        <w:pStyle w:val="11NumPara"/>
        <w:spacing w:after="240" w:line="276" w:lineRule="auto"/>
        <w:rPr>
          <w:rFonts w:cstheme="minorHAnsi"/>
          <w:i/>
          <w:iCs/>
          <w:szCs w:val="28"/>
        </w:rPr>
      </w:pPr>
      <w:r w:rsidRPr="001C338A">
        <w:t>T</w:t>
      </w:r>
      <w:r w:rsidR="009E2642" w:rsidRPr="001C338A">
        <w:t xml:space="preserve">his </w:t>
      </w:r>
      <w:r w:rsidR="00A67083" w:rsidRPr="001C338A">
        <w:t xml:space="preserve">must </w:t>
      </w:r>
      <w:proofErr w:type="gramStart"/>
      <w:r w:rsidR="00A67083" w:rsidRPr="001C338A">
        <w:t>be considered</w:t>
      </w:r>
      <w:proofErr w:type="gramEnd"/>
      <w:r w:rsidR="00A67083" w:rsidRPr="001C338A">
        <w:t xml:space="preserve"> in the context of the </w:t>
      </w:r>
      <w:r w:rsidR="009E2642" w:rsidRPr="001C338A">
        <w:t xml:space="preserve">obligation </w:t>
      </w:r>
      <w:r w:rsidR="00A67083" w:rsidRPr="001C338A">
        <w:t>on the UK Government</w:t>
      </w:r>
      <w:r w:rsidR="0039463B" w:rsidRPr="001C338A">
        <w:t xml:space="preserve">, under the WF, </w:t>
      </w:r>
      <w:r w:rsidR="009E2642" w:rsidRPr="001C338A">
        <w:t xml:space="preserve">that </w:t>
      </w:r>
      <w:r w:rsidR="00A67083" w:rsidRPr="001C338A">
        <w:t xml:space="preserve">the </w:t>
      </w:r>
      <w:r w:rsidR="0039463B" w:rsidRPr="001C338A">
        <w:t>Annex 1 Directives,</w:t>
      </w:r>
      <w:r w:rsidR="00B830DF" w:rsidRPr="001C338A">
        <w:t xml:space="preserve"> which</w:t>
      </w:r>
      <w:r w:rsidR="0039463B" w:rsidRPr="001C338A">
        <w:t xml:space="preserve"> includ</w:t>
      </w:r>
      <w:r w:rsidR="00B830DF" w:rsidRPr="001C338A">
        <w:t>e</w:t>
      </w:r>
      <w:r w:rsidR="0039463B" w:rsidRPr="001C338A">
        <w:t xml:space="preserve"> the </w:t>
      </w:r>
      <w:r w:rsidR="00954B1A" w:rsidRPr="001C338A">
        <w:t xml:space="preserve">Recast </w:t>
      </w:r>
      <w:r w:rsidR="0039463B" w:rsidRPr="001C338A">
        <w:t xml:space="preserve">Directive, </w:t>
      </w:r>
      <w:r w:rsidR="009E2642" w:rsidRPr="001C338A">
        <w:t>must be interpreted in line with CJEU case law</w:t>
      </w:r>
      <w:r w:rsidR="00D20737" w:rsidRPr="001C338A">
        <w:t xml:space="preserve"> </w:t>
      </w:r>
      <w:r w:rsidR="00B422BB" w:rsidRPr="001C338A">
        <w:t xml:space="preserve">relating to the Annex 1 Directives </w:t>
      </w:r>
      <w:r w:rsidR="002E226B" w:rsidRPr="001C338A">
        <w:t xml:space="preserve">delivered both before and after the </w:t>
      </w:r>
      <w:r w:rsidR="009E2642" w:rsidRPr="001C338A">
        <w:t>end of the</w:t>
      </w:r>
      <w:r w:rsidR="0039463B" w:rsidRPr="001C338A">
        <w:t xml:space="preserve"> Brexit</w:t>
      </w:r>
      <w:r w:rsidR="009E2642" w:rsidRPr="001C338A">
        <w:t xml:space="preserve"> implementation period.</w:t>
      </w:r>
    </w:p>
    <w:p w14:paraId="03EF82AB" w14:textId="33D5618E" w:rsidR="00D523E7" w:rsidRPr="001C338A" w:rsidRDefault="00B830DF" w:rsidP="00D47D79">
      <w:pPr>
        <w:pStyle w:val="11NumPara"/>
        <w:spacing w:after="240" w:line="276" w:lineRule="auto"/>
        <w:rPr>
          <w:rFonts w:cstheme="minorHAnsi"/>
          <w:i/>
          <w:iCs/>
          <w:szCs w:val="28"/>
        </w:rPr>
      </w:pPr>
      <w:r w:rsidRPr="001C338A">
        <w:t>T</w:t>
      </w:r>
      <w:r w:rsidR="000A0343" w:rsidRPr="001C338A">
        <w:t xml:space="preserve">he </w:t>
      </w:r>
      <w:r w:rsidR="00854E5A" w:rsidRPr="001C338A">
        <w:t xml:space="preserve">PTD </w:t>
      </w:r>
      <w:r w:rsidR="00B55980" w:rsidRPr="001C338A">
        <w:t xml:space="preserve">makes </w:t>
      </w:r>
      <w:r w:rsidR="00ED6AD4" w:rsidRPr="001C338A">
        <w:t xml:space="preserve">it </w:t>
      </w:r>
      <w:r w:rsidR="00B55980" w:rsidRPr="001C338A">
        <w:t>clear</w:t>
      </w:r>
      <w:r w:rsidR="00E82F4D" w:rsidRPr="001C338A">
        <w:t xml:space="preserve"> that it </w:t>
      </w:r>
      <w:r w:rsidR="00D33E0F" w:rsidRPr="001C338A">
        <w:t>c</w:t>
      </w:r>
      <w:r w:rsidR="00DB4DAD" w:rsidRPr="001C338A">
        <w:t>larifi</w:t>
      </w:r>
      <w:r w:rsidR="00D33E0F" w:rsidRPr="001C338A">
        <w:t>es</w:t>
      </w:r>
      <w:r w:rsidR="00DB4DAD" w:rsidRPr="001C338A">
        <w:t xml:space="preserve"> </w:t>
      </w:r>
      <w:proofErr w:type="gramStart"/>
      <w:r w:rsidR="008F6C23" w:rsidRPr="001C338A">
        <w:t>a number of</w:t>
      </w:r>
      <w:proofErr w:type="gramEnd"/>
      <w:r w:rsidR="008F6C23" w:rsidRPr="001C338A">
        <w:t xml:space="preserve"> </w:t>
      </w:r>
      <w:r w:rsidR="00DB4DAD" w:rsidRPr="001C338A">
        <w:rPr>
          <w:u w:val="single"/>
        </w:rPr>
        <w:t>existing</w:t>
      </w:r>
      <w:r w:rsidR="00DB4DAD" w:rsidRPr="001C338A">
        <w:t xml:space="preserve"> concepts</w:t>
      </w:r>
      <w:r w:rsidR="008F6C23" w:rsidRPr="001C338A">
        <w:t>, including core concepts</w:t>
      </w:r>
      <w:r w:rsidR="00432011" w:rsidRPr="001C338A">
        <w:t xml:space="preserve"> </w:t>
      </w:r>
      <w:r w:rsidR="00432011" w:rsidRPr="001C338A">
        <w:rPr>
          <w:color w:val="333333"/>
          <w:shd w:val="clear" w:color="auto" w:fill="FFFFFF"/>
        </w:rPr>
        <w:t>related to equal pay</w:t>
      </w:r>
      <w:r w:rsidR="008F6C23" w:rsidRPr="001C338A">
        <w:rPr>
          <w:color w:val="333333"/>
          <w:shd w:val="clear" w:color="auto" w:fill="FFFFFF"/>
        </w:rPr>
        <w:t xml:space="preserve"> </w:t>
      </w:r>
      <w:r w:rsidR="00021C06" w:rsidRPr="001C338A">
        <w:rPr>
          <w:color w:val="333333"/>
          <w:shd w:val="clear" w:color="auto" w:fill="FFFFFF"/>
        </w:rPr>
        <w:t>for equal work</w:t>
      </w:r>
      <w:r w:rsidR="00121237" w:rsidRPr="001C338A">
        <w:rPr>
          <w:color w:val="333333"/>
          <w:shd w:val="clear" w:color="auto" w:fill="FFFFFF"/>
        </w:rPr>
        <w:t xml:space="preserve"> or work of equal value,</w:t>
      </w:r>
      <w:r w:rsidR="005A1E4D" w:rsidRPr="001C338A">
        <w:rPr>
          <w:color w:val="333333"/>
          <w:shd w:val="clear" w:color="auto" w:fill="FFFFFF"/>
        </w:rPr>
        <w:t xml:space="preserve"> </w:t>
      </w:r>
      <w:r w:rsidR="00BA1255" w:rsidRPr="001C338A">
        <w:rPr>
          <w:color w:val="333333"/>
          <w:shd w:val="clear" w:color="auto" w:fill="FFFFFF"/>
        </w:rPr>
        <w:t xml:space="preserve">including </w:t>
      </w:r>
      <w:r w:rsidR="007D470F" w:rsidRPr="001C338A">
        <w:t>in accordance with CJEU case law</w:t>
      </w:r>
      <w:r w:rsidR="007B423F">
        <w:t>;</w:t>
      </w:r>
      <w:r w:rsidR="00C56929" w:rsidRPr="001C338A">
        <w:rPr>
          <w:rStyle w:val="FootnoteReference"/>
        </w:rPr>
        <w:footnoteReference w:id="48"/>
      </w:r>
      <w:r w:rsidRPr="001C338A">
        <w:t xml:space="preserve"> case law </w:t>
      </w:r>
      <w:r w:rsidR="002E226B" w:rsidRPr="001C338A">
        <w:t xml:space="preserve">which </w:t>
      </w:r>
      <w:r w:rsidRPr="001C338A">
        <w:t>pre-dates the end of the Brexit transition period.</w:t>
      </w:r>
      <w:r w:rsidR="00923E69" w:rsidRPr="001C338A">
        <w:t xml:space="preserve"> These clarifications strengthen rights for individuals facing pay discrimination and facilitate the application of those concepts.</w:t>
      </w:r>
    </w:p>
    <w:p w14:paraId="4A0CA969" w14:textId="52443890" w:rsidR="002E226B" w:rsidRPr="001C338A" w:rsidRDefault="00A07A52" w:rsidP="00D47D79">
      <w:pPr>
        <w:pStyle w:val="11NumPara"/>
        <w:spacing w:after="240" w:line="276" w:lineRule="auto"/>
        <w:rPr>
          <w:rFonts w:cstheme="minorHAnsi"/>
          <w:i/>
          <w:iCs/>
          <w:szCs w:val="28"/>
        </w:rPr>
      </w:pPr>
      <w:r w:rsidRPr="001C338A">
        <w:t xml:space="preserve">Examples of </w:t>
      </w:r>
      <w:r w:rsidR="00110562" w:rsidRPr="001C338A">
        <w:t xml:space="preserve">these </w:t>
      </w:r>
      <w:r w:rsidR="00413565" w:rsidRPr="001C338A">
        <w:t xml:space="preserve">clarifications </w:t>
      </w:r>
      <w:r w:rsidRPr="001C338A">
        <w:t>are set out below.</w:t>
      </w:r>
    </w:p>
    <w:p w14:paraId="5102AF56" w14:textId="77777777" w:rsidR="003900C3" w:rsidRDefault="003900C3" w:rsidP="00D47D79">
      <w:pPr>
        <w:ind w:firstLine="709"/>
        <w:rPr>
          <w:b/>
          <w:bCs/>
          <w:sz w:val="28"/>
          <w:szCs w:val="28"/>
        </w:rPr>
      </w:pPr>
    </w:p>
    <w:p w14:paraId="6B75B66E" w14:textId="77777777" w:rsidR="003900C3" w:rsidRDefault="003900C3" w:rsidP="00D47D79">
      <w:pPr>
        <w:ind w:firstLine="709"/>
        <w:rPr>
          <w:b/>
          <w:bCs/>
          <w:sz w:val="28"/>
          <w:szCs w:val="28"/>
        </w:rPr>
      </w:pPr>
    </w:p>
    <w:p w14:paraId="63716C3B" w14:textId="77777777" w:rsidR="003900C3" w:rsidRDefault="003900C3" w:rsidP="00D47D79">
      <w:pPr>
        <w:ind w:firstLine="709"/>
        <w:rPr>
          <w:b/>
          <w:bCs/>
          <w:sz w:val="28"/>
          <w:szCs w:val="28"/>
        </w:rPr>
      </w:pPr>
    </w:p>
    <w:p w14:paraId="119AAA7D" w14:textId="77777777" w:rsidR="003900C3" w:rsidRDefault="003900C3" w:rsidP="00D47D79">
      <w:pPr>
        <w:ind w:firstLine="709"/>
        <w:rPr>
          <w:b/>
          <w:bCs/>
          <w:sz w:val="28"/>
          <w:szCs w:val="28"/>
        </w:rPr>
      </w:pPr>
    </w:p>
    <w:p w14:paraId="7A1B4C66" w14:textId="77777777" w:rsidR="003900C3" w:rsidRDefault="003900C3" w:rsidP="00D47D79">
      <w:pPr>
        <w:ind w:firstLine="709"/>
        <w:rPr>
          <w:b/>
          <w:bCs/>
          <w:sz w:val="28"/>
          <w:szCs w:val="28"/>
        </w:rPr>
      </w:pPr>
    </w:p>
    <w:p w14:paraId="5F84C054" w14:textId="77777777" w:rsidR="003900C3" w:rsidRDefault="003900C3" w:rsidP="00D47D79">
      <w:pPr>
        <w:ind w:firstLine="709"/>
        <w:rPr>
          <w:b/>
          <w:bCs/>
          <w:sz w:val="28"/>
          <w:szCs w:val="28"/>
        </w:rPr>
      </w:pPr>
    </w:p>
    <w:p w14:paraId="7D79A7A1" w14:textId="77777777" w:rsidR="003900C3" w:rsidRDefault="003900C3" w:rsidP="00D47D79">
      <w:pPr>
        <w:ind w:firstLine="709"/>
        <w:rPr>
          <w:b/>
          <w:bCs/>
          <w:sz w:val="28"/>
          <w:szCs w:val="28"/>
        </w:rPr>
      </w:pPr>
    </w:p>
    <w:p w14:paraId="1733B195" w14:textId="02D34138" w:rsidR="000A0343" w:rsidRPr="001C338A" w:rsidRDefault="003D32D7" w:rsidP="00D47D79">
      <w:pPr>
        <w:ind w:firstLine="709"/>
        <w:rPr>
          <w:b/>
          <w:bCs/>
          <w:sz w:val="28"/>
          <w:szCs w:val="28"/>
        </w:rPr>
      </w:pPr>
      <w:r w:rsidRPr="001C338A">
        <w:rPr>
          <w:b/>
          <w:bCs/>
          <w:sz w:val="28"/>
          <w:szCs w:val="28"/>
        </w:rPr>
        <w:lastRenderedPageBreak/>
        <w:t xml:space="preserve">Examples: </w:t>
      </w:r>
      <w:r w:rsidR="000A0343" w:rsidRPr="001C338A">
        <w:rPr>
          <w:b/>
          <w:bCs/>
          <w:sz w:val="28"/>
          <w:szCs w:val="28"/>
        </w:rPr>
        <w:t>Concept / Definition of pay (Article 3)</w:t>
      </w:r>
    </w:p>
    <w:p w14:paraId="27780433" w14:textId="07A8CA9A" w:rsidR="001A2BE6" w:rsidRPr="001C338A" w:rsidRDefault="00344C40" w:rsidP="00D47D79">
      <w:pPr>
        <w:pStyle w:val="11NumPara"/>
        <w:spacing w:after="240" w:line="276" w:lineRule="auto"/>
        <w:rPr>
          <w:rFonts w:cstheme="minorHAnsi"/>
          <w:i/>
          <w:iCs/>
          <w:szCs w:val="28"/>
        </w:rPr>
      </w:pPr>
      <w:r w:rsidRPr="001C338A">
        <w:rPr>
          <w:color w:val="333333"/>
          <w:shd w:val="clear" w:color="auto" w:fill="FFFFFF"/>
        </w:rPr>
        <w:t xml:space="preserve">The PTD </w:t>
      </w:r>
      <w:r w:rsidR="00A07899" w:rsidRPr="001C338A">
        <w:rPr>
          <w:color w:val="333333"/>
          <w:shd w:val="clear" w:color="auto" w:fill="FFFFFF"/>
        </w:rPr>
        <w:t xml:space="preserve">in its recitals </w:t>
      </w:r>
      <w:r w:rsidR="00110562" w:rsidRPr="001C338A">
        <w:rPr>
          <w:color w:val="333333"/>
          <w:shd w:val="clear" w:color="auto" w:fill="FFFFFF"/>
        </w:rPr>
        <w:t xml:space="preserve">states that the PTD </w:t>
      </w:r>
      <w:r w:rsidR="001B7D3C" w:rsidRPr="001C338A">
        <w:rPr>
          <w:color w:val="333333"/>
          <w:shd w:val="clear" w:color="auto" w:fill="FFFFFF"/>
        </w:rPr>
        <w:t>clarifies</w:t>
      </w:r>
      <w:r w:rsidR="008F6C23" w:rsidRPr="001C338A">
        <w:rPr>
          <w:color w:val="333333"/>
          <w:shd w:val="clear" w:color="auto" w:fill="FFFFFF"/>
        </w:rPr>
        <w:t xml:space="preserve"> that</w:t>
      </w:r>
      <w:r w:rsidR="001B7D3C" w:rsidRPr="001C338A">
        <w:rPr>
          <w:color w:val="333333"/>
          <w:shd w:val="clear" w:color="auto" w:fill="FFFFFF"/>
        </w:rPr>
        <w:t>,</w:t>
      </w:r>
      <w:r w:rsidR="001B7D3C" w:rsidRPr="001C338A">
        <w:t xml:space="preserve"> </w:t>
      </w:r>
      <w:r w:rsidR="00145326" w:rsidRPr="001C338A">
        <w:t>“</w:t>
      </w:r>
      <w:r w:rsidR="001B7D3C" w:rsidRPr="001C338A">
        <w:rPr>
          <w:i/>
        </w:rPr>
        <w:t>in accordance with CJEU case law</w:t>
      </w:r>
      <w:proofErr w:type="gramStart"/>
      <w:r w:rsidR="00145326" w:rsidRPr="003B3834">
        <w:t>”</w:t>
      </w:r>
      <w:r w:rsidR="001B7D3C" w:rsidRPr="001C338A">
        <w:t>,</w:t>
      </w:r>
      <w:proofErr w:type="gramEnd"/>
      <w:r w:rsidR="001B7D3C" w:rsidRPr="001C338A">
        <w:rPr>
          <w:color w:val="333333"/>
          <w:shd w:val="clear" w:color="auto" w:fill="FFFFFF"/>
        </w:rPr>
        <w:t xml:space="preserve"> </w:t>
      </w:r>
      <w:r w:rsidR="001A2BE6" w:rsidRPr="001C338A">
        <w:rPr>
          <w:color w:val="333333"/>
          <w:shd w:val="clear" w:color="auto" w:fill="FFFFFF"/>
        </w:rPr>
        <w:t xml:space="preserve">the </w:t>
      </w:r>
      <w:r w:rsidR="001B7D3C" w:rsidRPr="001C338A">
        <w:rPr>
          <w:color w:val="333333"/>
          <w:shd w:val="clear" w:color="auto" w:fill="FFFFFF"/>
        </w:rPr>
        <w:t>‘</w:t>
      </w:r>
      <w:r w:rsidR="001A2BE6" w:rsidRPr="001C338A">
        <w:rPr>
          <w:color w:val="333333"/>
          <w:shd w:val="clear" w:color="auto" w:fill="FFFFFF"/>
        </w:rPr>
        <w:t>concept of pay</w:t>
      </w:r>
      <w:r w:rsidR="001B7D3C" w:rsidRPr="001C338A">
        <w:rPr>
          <w:color w:val="333333"/>
          <w:shd w:val="clear" w:color="auto" w:fill="FFFFFF"/>
        </w:rPr>
        <w:t>’</w:t>
      </w:r>
      <w:r w:rsidR="001A2BE6" w:rsidRPr="001C338A">
        <w:rPr>
          <w:color w:val="333333"/>
          <w:shd w:val="clear" w:color="auto" w:fill="FFFFFF"/>
        </w:rPr>
        <w:t xml:space="preserve"> should comprise not only salary, but also complementary or variable components of the pay.</w:t>
      </w:r>
      <w:r w:rsidR="001B7D3C" w:rsidRPr="001C338A">
        <w:rPr>
          <w:rStyle w:val="FootnoteReference"/>
          <w:color w:val="333333"/>
          <w:shd w:val="clear" w:color="auto" w:fill="FFFFFF"/>
        </w:rPr>
        <w:footnoteReference w:id="49"/>
      </w:r>
      <w:r w:rsidR="0046170B" w:rsidRPr="63A0DD99">
        <w:rPr>
          <w:color w:val="333333"/>
        </w:rPr>
        <w:t xml:space="preserve"> </w:t>
      </w:r>
      <w:r w:rsidR="00126ED7" w:rsidRPr="001C338A">
        <w:rPr>
          <w:rStyle w:val="FootnoteReference"/>
          <w:color w:val="333333"/>
          <w:shd w:val="clear" w:color="auto" w:fill="FFFFFF"/>
        </w:rPr>
        <w:footnoteReference w:id="50"/>
      </w:r>
    </w:p>
    <w:p w14:paraId="0533542D" w14:textId="5B85DB3B" w:rsidR="00DF345A" w:rsidRPr="001C338A" w:rsidRDefault="00E309A8" w:rsidP="00D47D79">
      <w:pPr>
        <w:pStyle w:val="11NumPara"/>
        <w:spacing w:after="240" w:line="276" w:lineRule="auto"/>
        <w:rPr>
          <w:rFonts w:cstheme="minorHAnsi"/>
          <w:i/>
          <w:iCs/>
          <w:szCs w:val="28"/>
        </w:rPr>
      </w:pPr>
      <w:r w:rsidRPr="001C338A">
        <w:rPr>
          <w:color w:val="333333"/>
          <w:shd w:val="clear" w:color="auto" w:fill="FFFFFF"/>
        </w:rPr>
        <w:t>Further, a</w:t>
      </w:r>
      <w:r w:rsidR="0029357F" w:rsidRPr="001C338A">
        <w:rPr>
          <w:color w:val="333333"/>
          <w:shd w:val="clear" w:color="auto" w:fill="FFFFFF"/>
        </w:rPr>
        <w:t>s regards to the concept of work of equal value, i</w:t>
      </w:r>
      <w:r w:rsidR="00EC4517" w:rsidRPr="001C338A">
        <w:rPr>
          <w:color w:val="333333"/>
          <w:shd w:val="clear" w:color="auto" w:fill="FFFFFF"/>
        </w:rPr>
        <w:t xml:space="preserve">t refers to </w:t>
      </w:r>
      <w:r w:rsidR="002356BD" w:rsidRPr="001C338A">
        <w:rPr>
          <w:color w:val="333333"/>
          <w:shd w:val="clear" w:color="auto" w:fill="FFFFFF"/>
        </w:rPr>
        <w:t>the need to assess and compare the value of work</w:t>
      </w:r>
      <w:r w:rsidR="002356BD" w:rsidRPr="003B3834">
        <w:rPr>
          <w:i/>
          <w:color w:val="333333"/>
          <w:shd w:val="clear" w:color="auto" w:fill="FFFFFF"/>
        </w:rPr>
        <w:t xml:space="preserve">, </w:t>
      </w:r>
      <w:r w:rsidR="00145326" w:rsidRPr="001C338A">
        <w:rPr>
          <w:i/>
          <w:color w:val="333333"/>
          <w:u w:val="single"/>
        </w:rPr>
        <w:t>“</w:t>
      </w:r>
      <w:r w:rsidR="00964359" w:rsidRPr="001C338A">
        <w:rPr>
          <w:i/>
          <w:color w:val="333333"/>
          <w:u w:val="single"/>
          <w:shd w:val="clear" w:color="auto" w:fill="FFFFFF"/>
        </w:rPr>
        <w:t xml:space="preserve"> </w:t>
      </w:r>
      <w:r w:rsidR="002356BD" w:rsidRPr="001C338A">
        <w:rPr>
          <w:i/>
          <w:color w:val="333333"/>
          <w:u w:val="single"/>
          <w:shd w:val="clear" w:color="auto" w:fill="FFFFFF"/>
        </w:rPr>
        <w:t>i</w:t>
      </w:r>
      <w:r w:rsidR="00964359" w:rsidRPr="001C338A">
        <w:rPr>
          <w:i/>
          <w:color w:val="333333"/>
          <w:u w:val="single"/>
          <w:shd w:val="clear" w:color="auto" w:fill="FFFFFF"/>
        </w:rPr>
        <w:t>n accordance with the case law of the</w:t>
      </w:r>
      <w:r w:rsidR="002356BD" w:rsidRPr="001C338A">
        <w:rPr>
          <w:i/>
          <w:color w:val="333333"/>
          <w:u w:val="single"/>
          <w:shd w:val="clear" w:color="auto" w:fill="FFFFFF"/>
        </w:rPr>
        <w:t xml:space="preserve"> CJEU</w:t>
      </w:r>
      <w:r w:rsidR="00145326" w:rsidRPr="001C338A">
        <w:rPr>
          <w:i/>
          <w:color w:val="333333"/>
          <w:u w:val="single"/>
        </w:rPr>
        <w:t>”</w:t>
      </w:r>
      <w:r w:rsidR="00964359" w:rsidRPr="001C338A">
        <w:rPr>
          <w:color w:val="333333"/>
          <w:shd w:val="clear" w:color="auto" w:fill="FFFFFF"/>
        </w:rPr>
        <w:t>, on the basis of objective criteria,</w:t>
      </w:r>
      <w:r w:rsidR="00B54C96" w:rsidRPr="001C338A">
        <w:rPr>
          <w:color w:val="333333"/>
          <w:shd w:val="clear" w:color="auto" w:fill="FFFFFF"/>
        </w:rPr>
        <w:t xml:space="preserve"> </w:t>
      </w:r>
      <w:r w:rsidR="00683649" w:rsidRPr="001C338A">
        <w:rPr>
          <w:color w:val="333333"/>
          <w:shd w:val="clear" w:color="auto" w:fill="FFFFFF"/>
        </w:rPr>
        <w:t xml:space="preserve">and sets out </w:t>
      </w:r>
      <w:r w:rsidR="00BD1040" w:rsidRPr="001C338A">
        <w:rPr>
          <w:color w:val="333333"/>
          <w:shd w:val="clear" w:color="auto" w:fill="FFFFFF"/>
        </w:rPr>
        <w:t xml:space="preserve">examples of </w:t>
      </w:r>
      <w:r w:rsidR="00683649" w:rsidRPr="001C338A">
        <w:rPr>
          <w:color w:val="333333"/>
          <w:shd w:val="clear" w:color="auto" w:fill="FFFFFF"/>
        </w:rPr>
        <w:t>a number of c</w:t>
      </w:r>
      <w:r w:rsidR="00BD1040" w:rsidRPr="001C338A">
        <w:rPr>
          <w:color w:val="333333"/>
          <w:shd w:val="clear" w:color="auto" w:fill="FFFFFF"/>
        </w:rPr>
        <w:t>riteria that should be used</w:t>
      </w:r>
      <w:r w:rsidR="00DF345A" w:rsidRPr="001C338A">
        <w:rPr>
          <w:color w:val="333333"/>
          <w:shd w:val="clear" w:color="auto" w:fill="FFFFFF"/>
        </w:rPr>
        <w:t>.</w:t>
      </w:r>
      <w:r w:rsidR="00DF345A" w:rsidRPr="001C338A">
        <w:rPr>
          <w:rStyle w:val="FootnoteReference"/>
          <w:color w:val="333333"/>
          <w:shd w:val="clear" w:color="auto" w:fill="FFFFFF"/>
        </w:rPr>
        <w:footnoteReference w:id="51"/>
      </w:r>
    </w:p>
    <w:p w14:paraId="6483F754" w14:textId="4B80E093" w:rsidR="004F1FB1" w:rsidRPr="001C338A" w:rsidRDefault="00A07899" w:rsidP="00D47D79">
      <w:pPr>
        <w:pStyle w:val="11NumPara"/>
        <w:spacing w:after="240" w:line="276" w:lineRule="auto"/>
        <w:rPr>
          <w:rFonts w:cstheme="minorHAnsi"/>
          <w:i/>
          <w:iCs/>
          <w:szCs w:val="28"/>
        </w:rPr>
      </w:pPr>
      <w:r w:rsidRPr="001C338A">
        <w:rPr>
          <w:color w:val="333333"/>
          <w:shd w:val="clear" w:color="auto" w:fill="FFFFFF"/>
        </w:rPr>
        <w:t xml:space="preserve">The PTD </w:t>
      </w:r>
      <w:r w:rsidR="00121237" w:rsidRPr="001C338A">
        <w:rPr>
          <w:color w:val="333333"/>
          <w:shd w:val="clear" w:color="auto" w:fill="FFFFFF"/>
        </w:rPr>
        <w:t xml:space="preserve">highlights </w:t>
      </w:r>
      <w:r w:rsidRPr="001C338A">
        <w:rPr>
          <w:color w:val="333333"/>
          <w:shd w:val="clear" w:color="auto" w:fill="FFFFFF"/>
        </w:rPr>
        <w:t xml:space="preserve">in its recitals </w:t>
      </w:r>
      <w:r w:rsidR="00121237" w:rsidRPr="001C338A">
        <w:rPr>
          <w:color w:val="333333"/>
          <w:shd w:val="clear" w:color="auto" w:fill="FFFFFF"/>
        </w:rPr>
        <w:t>that the reasons for clarifying these core concepts is so as to “</w:t>
      </w:r>
      <w:r w:rsidR="00121237" w:rsidRPr="001C338A">
        <w:rPr>
          <w:i/>
          <w:color w:val="333333"/>
          <w:shd w:val="clear" w:color="auto" w:fill="FFFFFF"/>
        </w:rPr>
        <w:t>remove obstacles for victims of gender-based pay discrimination to exercise their right to equal pay</w:t>
      </w:r>
      <w:r w:rsidR="00121237" w:rsidRPr="001C338A">
        <w:rPr>
          <w:color w:val="333333"/>
          <w:shd w:val="clear" w:color="auto" w:fill="FFFFFF"/>
        </w:rPr>
        <w:t>”, and to “</w:t>
      </w:r>
      <w:r w:rsidR="00121237" w:rsidRPr="001C338A">
        <w:rPr>
          <w:i/>
          <w:color w:val="333333"/>
          <w:shd w:val="clear" w:color="auto" w:fill="FFFFFF"/>
        </w:rPr>
        <w:t>guide employers in ensuring respect of that right</w:t>
      </w:r>
      <w:r w:rsidR="00121237" w:rsidRPr="001C338A">
        <w:rPr>
          <w:color w:val="333333"/>
          <w:shd w:val="clear" w:color="auto" w:fill="FFFFFF"/>
        </w:rPr>
        <w:t>”.</w:t>
      </w:r>
      <w:r w:rsidR="00B361AB" w:rsidRPr="001C338A">
        <w:rPr>
          <w:rStyle w:val="FootnoteReference"/>
          <w:color w:val="333333"/>
          <w:shd w:val="clear" w:color="auto" w:fill="FFFFFF"/>
        </w:rPr>
        <w:footnoteReference w:id="52"/>
      </w:r>
      <w:r w:rsidR="00F14476" w:rsidRPr="001C338A">
        <w:rPr>
          <w:color w:val="333333"/>
          <w:shd w:val="clear" w:color="auto" w:fill="FFFFFF"/>
        </w:rPr>
        <w:t xml:space="preserve"> The recitals also refer to</w:t>
      </w:r>
      <w:r w:rsidR="004550D8" w:rsidRPr="001C338A">
        <w:rPr>
          <w:color w:val="333333"/>
          <w:shd w:val="clear" w:color="auto" w:fill="FFFFFF"/>
        </w:rPr>
        <w:t xml:space="preserve"> that this clarification </w:t>
      </w:r>
      <w:r w:rsidR="00F14476" w:rsidRPr="001C338A">
        <w:rPr>
          <w:color w:val="333333"/>
          <w:shd w:val="clear" w:color="auto" w:fill="FFFFFF"/>
        </w:rPr>
        <w:t xml:space="preserve"> </w:t>
      </w:r>
      <w:r w:rsidR="00FE410B" w:rsidRPr="001C338A">
        <w:rPr>
          <w:color w:val="333333"/>
          <w:shd w:val="clear" w:color="auto" w:fill="FFFFFF"/>
        </w:rPr>
        <w:t>will</w:t>
      </w:r>
      <w:r w:rsidR="00F14476" w:rsidRPr="001C338A">
        <w:t xml:space="preserve"> </w:t>
      </w:r>
      <w:r w:rsidR="00FE410B" w:rsidRPr="001C338A">
        <w:t>“</w:t>
      </w:r>
      <w:r w:rsidR="00F14476" w:rsidRPr="001C338A">
        <w:rPr>
          <w:i/>
        </w:rPr>
        <w:t>facilitate the application of the concept of work of equal value, especially for micro, small and medium-sized enterprises</w:t>
      </w:r>
      <w:r w:rsidR="00FE410B" w:rsidRPr="001C338A">
        <w:t>”.</w:t>
      </w:r>
      <w:r w:rsidR="00FE410B" w:rsidRPr="001C338A">
        <w:rPr>
          <w:rStyle w:val="FootnoteReference"/>
        </w:rPr>
        <w:footnoteReference w:id="53"/>
      </w:r>
    </w:p>
    <w:p w14:paraId="4A7E324F" w14:textId="387161D0" w:rsidR="00060278" w:rsidRPr="000C689F" w:rsidRDefault="00060278" w:rsidP="00122360">
      <w:pPr>
        <w:pStyle w:val="11NumPara"/>
        <w:rPr>
          <w:rFonts w:cstheme="minorHAnsi"/>
          <w:szCs w:val="28"/>
        </w:rPr>
      </w:pPr>
      <w:r w:rsidRPr="63A0DD99">
        <w:t xml:space="preserve">It is therefore apparent from the above analysis that both the PTD and the provisions within the Recast Directive on equal pay </w:t>
      </w:r>
      <w:proofErr w:type="gramStart"/>
      <w:r w:rsidRPr="63A0DD99">
        <w:t>are primarily aimed</w:t>
      </w:r>
      <w:proofErr w:type="gramEnd"/>
      <w:r w:rsidRPr="63A0DD99">
        <w:t xml:space="preserve"> at strengthening the application </w:t>
      </w:r>
      <w:r w:rsidRPr="00122360">
        <w:t>and</w:t>
      </w:r>
      <w:r w:rsidRPr="63A0DD99">
        <w:t xml:space="preserve"> enforcement of the principle of equal pay and the prohibition of discrimination. In addition, provisions in the PTD build on and improve existing provisions in the Recast Directive in this area.</w:t>
      </w:r>
    </w:p>
    <w:p w14:paraId="413F6BD5" w14:textId="288E168F" w:rsidR="00060278" w:rsidRPr="000C689F" w:rsidRDefault="00060278" w:rsidP="000C689F">
      <w:pPr>
        <w:pStyle w:val="11NumPara"/>
        <w:rPr>
          <w:rFonts w:cstheme="minorHAnsi"/>
          <w:szCs w:val="28"/>
        </w:rPr>
      </w:pPr>
      <w:r w:rsidRPr="000C689F">
        <w:rPr>
          <w:rFonts w:cstheme="minorHAnsi"/>
          <w:szCs w:val="28"/>
        </w:rPr>
        <w:t>Aligned to this, the Commissions have set out in section 4 below their views on the specific provisions of the PTD in the context of these factors.</w:t>
      </w:r>
    </w:p>
    <w:p w14:paraId="3DF7F68A" w14:textId="1844A5EF" w:rsidR="00C70164" w:rsidRPr="001C338A" w:rsidRDefault="00195780" w:rsidP="001448E1">
      <w:pPr>
        <w:pStyle w:val="Heading1"/>
        <w:spacing w:line="240" w:lineRule="auto"/>
        <w:ind w:left="851" w:hanging="851"/>
      </w:pPr>
      <w:r w:rsidRPr="001C338A">
        <w:lastRenderedPageBreak/>
        <w:t xml:space="preserve">Specific </w:t>
      </w:r>
      <w:r w:rsidR="00C70164" w:rsidRPr="001C338A">
        <w:t>Provisions of the Pay Transparency Directive</w:t>
      </w:r>
    </w:p>
    <w:p w14:paraId="3073AD41" w14:textId="77777777" w:rsidR="00C70164" w:rsidRPr="001C338A" w:rsidRDefault="00C70164" w:rsidP="001448E1">
      <w:pPr>
        <w:pStyle w:val="ListParagraph"/>
        <w:numPr>
          <w:ilvl w:val="0"/>
          <w:numId w:val="8"/>
        </w:numPr>
        <w:ind w:left="502"/>
        <w:rPr>
          <w:vanish/>
          <w:kern w:val="2"/>
          <w:szCs w:val="22"/>
          <w14:ligatures w14:val="standardContextual"/>
        </w:rPr>
      </w:pPr>
    </w:p>
    <w:p w14:paraId="60CA6476" w14:textId="5F1356D5" w:rsidR="00C70164" w:rsidRPr="001C338A" w:rsidRDefault="00C70164" w:rsidP="00C70164">
      <w:pPr>
        <w:pStyle w:val="11NumPara"/>
        <w:numPr>
          <w:ilvl w:val="0"/>
          <w:numId w:val="0"/>
        </w:numPr>
        <w:ind w:left="709"/>
        <w:rPr>
          <w:b/>
          <w:bCs/>
          <w:i/>
          <w:iCs/>
        </w:rPr>
      </w:pPr>
      <w:r w:rsidRPr="001C338A">
        <w:rPr>
          <w:b/>
          <w:bCs/>
          <w:i/>
          <w:iCs/>
        </w:rPr>
        <w:t>Introduction</w:t>
      </w:r>
    </w:p>
    <w:p w14:paraId="72BE2957" w14:textId="28681FF5" w:rsidR="003D2203" w:rsidRPr="001C338A" w:rsidRDefault="00C70164" w:rsidP="001448E1">
      <w:pPr>
        <w:pStyle w:val="11NumPara"/>
      </w:pPr>
      <w:r w:rsidRPr="001C338A">
        <w:rPr>
          <w:rFonts w:asciiTheme="minorHAnsi" w:hAnsiTheme="minorHAnsi" w:cstheme="minorHAnsi"/>
          <w:szCs w:val="28"/>
        </w:rPr>
        <w:t xml:space="preserve">The Commissions </w:t>
      </w:r>
      <w:r w:rsidR="00EE3DF5" w:rsidRPr="001C338A">
        <w:rPr>
          <w:rFonts w:asciiTheme="minorHAnsi" w:hAnsiTheme="minorHAnsi" w:cstheme="minorHAnsi"/>
          <w:szCs w:val="28"/>
        </w:rPr>
        <w:t xml:space="preserve">have </w:t>
      </w:r>
      <w:r w:rsidR="008A1AE0" w:rsidRPr="001C338A">
        <w:rPr>
          <w:rFonts w:asciiTheme="minorHAnsi" w:hAnsiTheme="minorHAnsi" w:cstheme="minorHAnsi"/>
          <w:szCs w:val="28"/>
        </w:rPr>
        <w:t xml:space="preserve">elaborated </w:t>
      </w:r>
      <w:r w:rsidR="00EE3DF5" w:rsidRPr="001C338A">
        <w:rPr>
          <w:rFonts w:asciiTheme="minorHAnsi" w:hAnsiTheme="minorHAnsi" w:cstheme="minorHAnsi"/>
          <w:szCs w:val="28"/>
        </w:rPr>
        <w:t xml:space="preserve">below on </w:t>
      </w:r>
      <w:r w:rsidR="00301B23" w:rsidRPr="001C338A">
        <w:rPr>
          <w:rFonts w:asciiTheme="minorHAnsi" w:hAnsiTheme="minorHAnsi" w:cstheme="minorHAnsi"/>
          <w:szCs w:val="28"/>
        </w:rPr>
        <w:t>their</w:t>
      </w:r>
      <w:r w:rsidR="00FD52BC" w:rsidRPr="001C338A">
        <w:rPr>
          <w:rFonts w:asciiTheme="minorHAnsi" w:hAnsiTheme="minorHAnsi" w:cstheme="minorHAnsi"/>
          <w:szCs w:val="28"/>
        </w:rPr>
        <w:t xml:space="preserve"> views on </w:t>
      </w:r>
      <w:r w:rsidR="008A1AE0" w:rsidRPr="001C338A">
        <w:rPr>
          <w:rFonts w:asciiTheme="minorHAnsi" w:hAnsiTheme="minorHAnsi" w:cstheme="minorHAnsi"/>
          <w:i/>
          <w:iCs/>
          <w:szCs w:val="28"/>
        </w:rPr>
        <w:t xml:space="preserve">specific </w:t>
      </w:r>
      <w:r w:rsidR="008A1AE0" w:rsidRPr="001C338A">
        <w:rPr>
          <w:rFonts w:asciiTheme="minorHAnsi" w:hAnsiTheme="minorHAnsi" w:cstheme="minorHAnsi"/>
          <w:szCs w:val="28"/>
        </w:rPr>
        <w:t xml:space="preserve">provisions of the PTD </w:t>
      </w:r>
      <w:r w:rsidR="00FD52BC" w:rsidRPr="001C338A">
        <w:rPr>
          <w:rFonts w:asciiTheme="minorHAnsi" w:hAnsiTheme="minorHAnsi" w:cstheme="minorHAnsi"/>
          <w:szCs w:val="28"/>
        </w:rPr>
        <w:t xml:space="preserve">in the context of the factors outlined above, in terms of assessing </w:t>
      </w:r>
      <w:proofErr w:type="gramStart"/>
      <w:r w:rsidR="00FD52BC" w:rsidRPr="001C338A">
        <w:rPr>
          <w:rFonts w:asciiTheme="minorHAnsi" w:hAnsiTheme="minorHAnsi" w:cstheme="minorHAnsi"/>
          <w:szCs w:val="28"/>
        </w:rPr>
        <w:t>whether or not</w:t>
      </w:r>
      <w:proofErr w:type="gramEnd"/>
      <w:r w:rsidR="00FD52BC" w:rsidRPr="001C338A">
        <w:rPr>
          <w:rFonts w:asciiTheme="minorHAnsi" w:hAnsiTheme="minorHAnsi" w:cstheme="minorHAnsi"/>
          <w:szCs w:val="28"/>
        </w:rPr>
        <w:t xml:space="preserve"> the PTD ‘amends or replaces’ the PTD, further to WF Article 13.</w:t>
      </w:r>
    </w:p>
    <w:p w14:paraId="196EE33D" w14:textId="6E70055D" w:rsidR="00486A63" w:rsidRPr="001C338A" w:rsidRDefault="003D2203" w:rsidP="00486A63">
      <w:pPr>
        <w:pStyle w:val="11NumPara"/>
      </w:pPr>
      <w:r w:rsidRPr="001C338A">
        <w:rPr>
          <w:rFonts w:asciiTheme="minorHAnsi" w:hAnsiTheme="minorHAnsi" w:cstheme="minorHAnsi"/>
          <w:szCs w:val="28"/>
        </w:rPr>
        <w:t xml:space="preserve">This includes an indication of the </w:t>
      </w:r>
      <w:r w:rsidR="00486A63" w:rsidRPr="001C338A">
        <w:rPr>
          <w:rFonts w:asciiTheme="minorHAnsi" w:hAnsiTheme="minorHAnsi" w:cstheme="minorHAnsi"/>
          <w:szCs w:val="28"/>
        </w:rPr>
        <w:t xml:space="preserve">Commissions’ views on </w:t>
      </w:r>
      <w:r w:rsidR="00486A63" w:rsidRPr="001C338A">
        <w:rPr>
          <w:rFonts w:cstheme="minorHAnsi"/>
          <w:color w:val="333333"/>
          <w:szCs w:val="28"/>
          <w:shd w:val="clear" w:color="auto" w:fill="FFFFFF"/>
        </w:rPr>
        <w:t xml:space="preserve">the degree to which they consider the provisions </w:t>
      </w:r>
      <w:r w:rsidR="00486A63" w:rsidRPr="001C338A">
        <w:rPr>
          <w:rFonts w:cstheme="minorHAnsi"/>
          <w:szCs w:val="28"/>
        </w:rPr>
        <w:t xml:space="preserve">strengthen the application of the principle of equal pay and the prohibition of pay discrimination, and/or build on </w:t>
      </w:r>
      <w:r w:rsidR="00204B23" w:rsidRPr="001C338A">
        <w:rPr>
          <w:rFonts w:cstheme="minorHAnsi"/>
          <w:szCs w:val="28"/>
        </w:rPr>
        <w:t xml:space="preserve">and improve </w:t>
      </w:r>
      <w:r w:rsidR="00486A63" w:rsidRPr="001C338A">
        <w:rPr>
          <w:rFonts w:cstheme="minorHAnsi"/>
          <w:szCs w:val="28"/>
        </w:rPr>
        <w:t>existing provisions in the Recast Directive in this area.</w:t>
      </w:r>
    </w:p>
    <w:p w14:paraId="51060B0C" w14:textId="77777777" w:rsidR="00FD52BC" w:rsidRPr="001C338A" w:rsidRDefault="00FD52BC" w:rsidP="001448E1">
      <w:pPr>
        <w:pStyle w:val="11NumPara"/>
        <w:numPr>
          <w:ilvl w:val="0"/>
          <w:numId w:val="0"/>
        </w:numPr>
        <w:rPr>
          <w:rFonts w:asciiTheme="minorHAnsi" w:hAnsiTheme="minorHAnsi" w:cstheme="minorHAnsi"/>
          <w:b/>
          <w:bCs/>
          <w:szCs w:val="28"/>
          <w:u w:val="single"/>
        </w:rPr>
      </w:pPr>
    </w:p>
    <w:p w14:paraId="08564D73" w14:textId="75E799D9" w:rsidR="00C70164" w:rsidRPr="001C338A" w:rsidRDefault="00153D06" w:rsidP="00C70164">
      <w:pPr>
        <w:pStyle w:val="11NumPara"/>
        <w:numPr>
          <w:ilvl w:val="0"/>
          <w:numId w:val="0"/>
        </w:numPr>
        <w:ind w:left="709"/>
        <w:rPr>
          <w:b/>
          <w:bCs/>
          <w:sz w:val="32"/>
          <w:szCs w:val="32"/>
          <w:u w:val="single"/>
        </w:rPr>
      </w:pPr>
      <w:r w:rsidRPr="001C338A">
        <w:rPr>
          <w:rFonts w:asciiTheme="minorHAnsi" w:hAnsiTheme="minorHAnsi" w:cstheme="minorHAnsi"/>
          <w:b/>
          <w:bCs/>
          <w:sz w:val="32"/>
          <w:szCs w:val="32"/>
          <w:u w:val="single"/>
        </w:rPr>
        <w:t>Chapter 1-General Provisions</w:t>
      </w:r>
    </w:p>
    <w:p w14:paraId="4ACE1C02" w14:textId="77777777" w:rsidR="00153D06" w:rsidRPr="001C338A" w:rsidRDefault="00153D06" w:rsidP="00C70164">
      <w:pPr>
        <w:pStyle w:val="11NumPara"/>
        <w:numPr>
          <w:ilvl w:val="0"/>
          <w:numId w:val="0"/>
        </w:numPr>
        <w:ind w:left="709"/>
        <w:rPr>
          <w:b/>
          <w:bCs/>
        </w:rPr>
      </w:pPr>
    </w:p>
    <w:p w14:paraId="6F8D27DB" w14:textId="3F46813B" w:rsidR="00C70164" w:rsidRPr="001C338A" w:rsidRDefault="00C70164" w:rsidP="00C70164">
      <w:pPr>
        <w:pStyle w:val="11NumPara"/>
        <w:numPr>
          <w:ilvl w:val="0"/>
          <w:numId w:val="0"/>
        </w:numPr>
        <w:ind w:left="709"/>
        <w:rPr>
          <w:b/>
          <w:bCs/>
        </w:rPr>
      </w:pPr>
      <w:r w:rsidRPr="001C338A">
        <w:rPr>
          <w:b/>
          <w:bCs/>
        </w:rPr>
        <w:t>Article 3 -</w:t>
      </w:r>
      <w:r w:rsidR="004F2724">
        <w:rPr>
          <w:b/>
          <w:bCs/>
        </w:rPr>
        <w:t xml:space="preserve"> </w:t>
      </w:r>
      <w:r w:rsidRPr="001C338A">
        <w:rPr>
          <w:b/>
          <w:bCs/>
        </w:rPr>
        <w:t>Definitions</w:t>
      </w:r>
    </w:p>
    <w:p w14:paraId="25477B6A" w14:textId="7D4687E0" w:rsidR="00953593" w:rsidRPr="001C338A" w:rsidRDefault="00953593" w:rsidP="00C70164">
      <w:pPr>
        <w:pStyle w:val="11NumPara"/>
      </w:pPr>
      <w:r w:rsidRPr="001C338A">
        <w:t xml:space="preserve">As noted above, </w:t>
      </w:r>
      <w:r w:rsidR="00886CB9" w:rsidRPr="001C338A">
        <w:t xml:space="preserve">in Article 3, </w:t>
      </w:r>
      <w:r w:rsidR="00886CB9" w:rsidRPr="001C338A">
        <w:rPr>
          <w:rFonts w:cstheme="minorHAnsi"/>
          <w:szCs w:val="28"/>
        </w:rPr>
        <w:t xml:space="preserve">the PTD clarifies </w:t>
      </w:r>
      <w:proofErr w:type="gramStart"/>
      <w:r w:rsidR="00886CB9" w:rsidRPr="001C338A">
        <w:rPr>
          <w:rFonts w:cstheme="minorHAnsi"/>
          <w:szCs w:val="28"/>
        </w:rPr>
        <w:t>a number of</w:t>
      </w:r>
      <w:proofErr w:type="gramEnd"/>
      <w:r w:rsidR="00886CB9" w:rsidRPr="001C338A">
        <w:rPr>
          <w:rFonts w:cstheme="minorHAnsi"/>
          <w:szCs w:val="28"/>
        </w:rPr>
        <w:t xml:space="preserve"> </w:t>
      </w:r>
      <w:r w:rsidR="00886CB9" w:rsidRPr="001C338A">
        <w:rPr>
          <w:rFonts w:cstheme="minorHAnsi"/>
          <w:szCs w:val="28"/>
          <w:u w:val="single"/>
        </w:rPr>
        <w:t>existing</w:t>
      </w:r>
      <w:r w:rsidR="00886CB9" w:rsidRPr="001C338A">
        <w:rPr>
          <w:rFonts w:cstheme="minorHAnsi"/>
          <w:szCs w:val="28"/>
        </w:rPr>
        <w:t xml:space="preserve"> concepts, including core concepts </w:t>
      </w:r>
      <w:r w:rsidR="00886CB9" w:rsidRPr="001C338A">
        <w:rPr>
          <w:rFonts w:cstheme="minorHAnsi"/>
          <w:color w:val="333333"/>
          <w:szCs w:val="28"/>
          <w:shd w:val="clear" w:color="auto" w:fill="FFFFFF"/>
        </w:rPr>
        <w:t xml:space="preserve">related to equal pay for equal work or work of equal value, including </w:t>
      </w:r>
      <w:r w:rsidR="00886CB9" w:rsidRPr="001C338A">
        <w:rPr>
          <w:rFonts w:cstheme="minorHAnsi"/>
          <w:szCs w:val="28"/>
        </w:rPr>
        <w:t>in accordance with CJEU case law.</w:t>
      </w:r>
    </w:p>
    <w:p w14:paraId="19ECEC92" w14:textId="4276E427" w:rsidR="00437593" w:rsidRPr="001C338A" w:rsidRDefault="00886CB9" w:rsidP="00C70164">
      <w:pPr>
        <w:pStyle w:val="11NumPara"/>
      </w:pPr>
      <w:r w:rsidRPr="001C338A">
        <w:rPr>
          <w:rFonts w:asciiTheme="minorHAnsi" w:hAnsiTheme="minorHAnsi" w:cstheme="minorHAnsi"/>
          <w:color w:val="222222"/>
          <w:spacing w:val="4"/>
          <w:szCs w:val="28"/>
          <w:shd w:val="clear" w:color="auto" w:fill="FFFFFF"/>
        </w:rPr>
        <w:t xml:space="preserve">Further, </w:t>
      </w:r>
      <w:r w:rsidR="00437593" w:rsidRPr="001C338A">
        <w:rPr>
          <w:rFonts w:asciiTheme="minorHAnsi" w:hAnsiTheme="minorHAnsi" w:cstheme="minorHAnsi"/>
          <w:color w:val="222222"/>
          <w:spacing w:val="4"/>
          <w:szCs w:val="28"/>
          <w:shd w:val="clear" w:color="auto" w:fill="FFFFFF"/>
        </w:rPr>
        <w:t xml:space="preserve">the PTD terms and concepts </w:t>
      </w:r>
      <w:r w:rsidRPr="001C338A">
        <w:rPr>
          <w:rFonts w:asciiTheme="minorHAnsi" w:hAnsiTheme="minorHAnsi" w:cstheme="minorHAnsi"/>
          <w:color w:val="222222"/>
          <w:spacing w:val="4"/>
          <w:szCs w:val="28"/>
          <w:shd w:val="clear" w:color="auto" w:fill="FFFFFF"/>
        </w:rPr>
        <w:t xml:space="preserve">in </w:t>
      </w:r>
      <w:r w:rsidR="00437593" w:rsidRPr="001C338A">
        <w:rPr>
          <w:rFonts w:asciiTheme="minorHAnsi" w:hAnsiTheme="minorHAnsi" w:cstheme="minorHAnsi"/>
          <w:color w:val="222222"/>
          <w:spacing w:val="4"/>
          <w:szCs w:val="28"/>
          <w:shd w:val="clear" w:color="auto" w:fill="FFFFFF"/>
        </w:rPr>
        <w:t xml:space="preserve">Article 3 include not only relevant existing definitions </w:t>
      </w:r>
      <w:r w:rsidR="00211235" w:rsidRPr="001C338A">
        <w:rPr>
          <w:rFonts w:asciiTheme="minorHAnsi" w:hAnsiTheme="minorHAnsi" w:cstheme="minorHAnsi"/>
          <w:color w:val="222222"/>
          <w:spacing w:val="4"/>
          <w:szCs w:val="28"/>
          <w:shd w:val="clear" w:color="auto" w:fill="FFFFFF"/>
        </w:rPr>
        <w:t>in</w:t>
      </w:r>
      <w:r w:rsidR="00437593" w:rsidRPr="001C338A">
        <w:rPr>
          <w:rFonts w:asciiTheme="minorHAnsi" w:hAnsiTheme="minorHAnsi" w:cstheme="minorHAnsi"/>
          <w:color w:val="222222"/>
          <w:spacing w:val="4"/>
          <w:szCs w:val="28"/>
          <w:shd w:val="clear" w:color="auto" w:fill="FFFFFF"/>
        </w:rPr>
        <w:t xml:space="preserve"> the Recast Directive (pay, direct discrimination, indirect discrimination)</w:t>
      </w:r>
      <w:r w:rsidR="00211235" w:rsidRPr="001C338A">
        <w:rPr>
          <w:rFonts w:asciiTheme="minorHAnsi" w:hAnsiTheme="minorHAnsi" w:cstheme="minorHAnsi"/>
          <w:color w:val="222222"/>
          <w:spacing w:val="4"/>
          <w:szCs w:val="28"/>
          <w:shd w:val="clear" w:color="auto" w:fill="FFFFFF"/>
        </w:rPr>
        <w:t>,</w:t>
      </w:r>
      <w:r w:rsidR="00437593" w:rsidRPr="001C338A">
        <w:rPr>
          <w:rFonts w:asciiTheme="minorHAnsi" w:hAnsiTheme="minorHAnsi" w:cstheme="minorHAnsi"/>
          <w:color w:val="222222"/>
          <w:spacing w:val="4"/>
          <w:szCs w:val="28"/>
          <w:shd w:val="clear" w:color="auto" w:fill="FFFFFF"/>
        </w:rPr>
        <w:t xml:space="preserve"> but also new concepts specifically related to the right of equal pay, such as pay levels, pay gap, median pay, median pay gap, quartile pay band, and categories of workers.</w:t>
      </w:r>
      <w:r w:rsidR="00437593" w:rsidRPr="001C338A">
        <w:rPr>
          <w:rStyle w:val="FootnoteReference"/>
          <w:rFonts w:asciiTheme="minorHAnsi" w:hAnsiTheme="minorHAnsi" w:cstheme="minorHAnsi"/>
          <w:color w:val="222222"/>
          <w:spacing w:val="4"/>
          <w:szCs w:val="28"/>
          <w:shd w:val="clear" w:color="auto" w:fill="FFFFFF"/>
        </w:rPr>
        <w:footnoteReference w:id="54"/>
      </w:r>
    </w:p>
    <w:p w14:paraId="313C516A" w14:textId="259EB210" w:rsidR="00437593" w:rsidRPr="001C338A" w:rsidRDefault="00437593" w:rsidP="00C70164">
      <w:pPr>
        <w:pStyle w:val="11NumPara"/>
      </w:pPr>
      <w:r w:rsidRPr="001C338A">
        <w:rPr>
          <w:rFonts w:asciiTheme="minorHAnsi" w:hAnsiTheme="minorHAnsi" w:cstheme="minorHAnsi"/>
          <w:color w:val="333333"/>
          <w:szCs w:val="28"/>
          <w:shd w:val="clear" w:color="auto" w:fill="FFFFFF"/>
        </w:rPr>
        <w:t xml:space="preserve">In addition, the PTD clarifies, in Article 3, via a new definition, that discrimination includes </w:t>
      </w:r>
      <w:r w:rsidRPr="001C338A">
        <w:rPr>
          <w:rFonts w:asciiTheme="minorHAnsi" w:hAnsiTheme="minorHAnsi" w:cstheme="minorHAnsi"/>
          <w:color w:val="333333"/>
          <w:szCs w:val="28"/>
        </w:rPr>
        <w:t>“intersectional discrimination</w:t>
      </w:r>
      <w:r w:rsidR="00B850CA" w:rsidRPr="001C338A">
        <w:rPr>
          <w:rFonts w:asciiTheme="minorHAnsi" w:hAnsiTheme="minorHAnsi" w:cstheme="minorHAnsi"/>
          <w:color w:val="333333"/>
          <w:szCs w:val="28"/>
        </w:rPr>
        <w:t>”</w:t>
      </w:r>
      <w:r w:rsidRPr="001C338A">
        <w:rPr>
          <w:rFonts w:asciiTheme="minorHAnsi" w:hAnsiTheme="minorHAnsi" w:cstheme="minorHAnsi"/>
          <w:color w:val="333333"/>
          <w:szCs w:val="28"/>
        </w:rPr>
        <w:t xml:space="preserve">, which is discrimination based on a combination of sex and </w:t>
      </w:r>
      <w:proofErr w:type="gramStart"/>
      <w:r w:rsidRPr="001C338A">
        <w:rPr>
          <w:rFonts w:asciiTheme="minorHAnsi" w:hAnsiTheme="minorHAnsi" w:cstheme="minorHAnsi"/>
          <w:color w:val="333333"/>
          <w:szCs w:val="28"/>
        </w:rPr>
        <w:t>a number of</w:t>
      </w:r>
      <w:proofErr w:type="gramEnd"/>
      <w:r w:rsidRPr="001C338A">
        <w:rPr>
          <w:rFonts w:asciiTheme="minorHAnsi" w:hAnsiTheme="minorHAnsi" w:cstheme="minorHAnsi"/>
          <w:color w:val="333333"/>
          <w:szCs w:val="28"/>
        </w:rPr>
        <w:t xml:space="preserve"> other equality ground/s</w:t>
      </w:r>
      <w:r w:rsidR="00F93A03" w:rsidRPr="001C338A">
        <w:rPr>
          <w:rFonts w:asciiTheme="minorHAnsi" w:hAnsiTheme="minorHAnsi" w:cstheme="minorHAnsi"/>
          <w:color w:val="333333"/>
          <w:szCs w:val="28"/>
        </w:rPr>
        <w:t xml:space="preserve"> protected under EU equality Directives</w:t>
      </w:r>
      <w:r w:rsidRPr="001C338A">
        <w:rPr>
          <w:rFonts w:asciiTheme="minorHAnsi" w:hAnsiTheme="minorHAnsi" w:cstheme="minorHAnsi"/>
          <w:color w:val="333333"/>
          <w:szCs w:val="28"/>
        </w:rPr>
        <w:t>.</w:t>
      </w:r>
      <w:r w:rsidRPr="001C338A">
        <w:rPr>
          <w:rStyle w:val="FootnoteReference"/>
          <w:rFonts w:asciiTheme="minorHAnsi" w:hAnsiTheme="minorHAnsi" w:cstheme="minorHAnsi"/>
          <w:color w:val="333333"/>
          <w:szCs w:val="28"/>
        </w:rPr>
        <w:footnoteReference w:id="55"/>
      </w:r>
    </w:p>
    <w:p w14:paraId="576A2F34" w14:textId="77777777" w:rsidR="00437593" w:rsidRPr="001C338A" w:rsidRDefault="00437593" w:rsidP="00C70164">
      <w:pPr>
        <w:pStyle w:val="11NumPara"/>
      </w:pPr>
      <w:r w:rsidRPr="001C338A">
        <w:rPr>
          <w:rFonts w:cstheme="minorHAnsi"/>
          <w:color w:val="333333"/>
          <w:szCs w:val="28"/>
          <w:shd w:val="clear" w:color="auto" w:fill="FFFFFF"/>
        </w:rPr>
        <w:t>Further, the recitals to the PTD highlight that this clarification will result in “</w:t>
      </w:r>
      <w:r w:rsidRPr="001C338A">
        <w:rPr>
          <w:rFonts w:cstheme="minorHAnsi"/>
          <w:i/>
          <w:iCs/>
          <w:color w:val="333333"/>
          <w:szCs w:val="28"/>
          <w:shd w:val="clear" w:color="auto" w:fill="FFFFFF"/>
        </w:rPr>
        <w:t>removing any</w:t>
      </w:r>
      <w:r w:rsidRPr="001C338A">
        <w:rPr>
          <w:rFonts w:cstheme="minorHAnsi"/>
          <w:color w:val="333333"/>
          <w:szCs w:val="28"/>
          <w:shd w:val="clear" w:color="auto" w:fill="FFFFFF"/>
        </w:rPr>
        <w:t xml:space="preserve"> </w:t>
      </w:r>
      <w:r w:rsidRPr="001C338A">
        <w:rPr>
          <w:rFonts w:cstheme="minorHAnsi"/>
          <w:i/>
          <w:iCs/>
          <w:color w:val="333333"/>
          <w:szCs w:val="28"/>
        </w:rPr>
        <w:t xml:space="preserve">doubt that may exist in this regard under the </w:t>
      </w:r>
      <w:r w:rsidRPr="001C338A">
        <w:rPr>
          <w:rFonts w:cstheme="minorHAnsi"/>
          <w:i/>
          <w:iCs/>
          <w:color w:val="333333"/>
          <w:szCs w:val="28"/>
          <w:u w:val="single"/>
        </w:rPr>
        <w:t>existing</w:t>
      </w:r>
      <w:r w:rsidRPr="001C338A">
        <w:rPr>
          <w:rFonts w:cstheme="minorHAnsi"/>
          <w:i/>
          <w:iCs/>
          <w:color w:val="333333"/>
          <w:szCs w:val="28"/>
        </w:rPr>
        <w:t xml:space="preserve"> </w:t>
      </w:r>
      <w:r w:rsidRPr="001C338A">
        <w:rPr>
          <w:rFonts w:cstheme="minorHAnsi"/>
          <w:color w:val="333333"/>
          <w:szCs w:val="28"/>
        </w:rPr>
        <w:t>(our emphasis)</w:t>
      </w:r>
      <w:r w:rsidRPr="001C338A">
        <w:rPr>
          <w:rFonts w:cstheme="minorHAnsi"/>
          <w:i/>
          <w:iCs/>
          <w:color w:val="333333"/>
          <w:szCs w:val="28"/>
        </w:rPr>
        <w:t xml:space="preserve"> legal framework and enabling national courts, equality bodies and other competent authorities to take due account of any situation of </w:t>
      </w:r>
      <w:r w:rsidRPr="001C338A">
        <w:rPr>
          <w:rFonts w:cstheme="minorHAnsi"/>
          <w:i/>
          <w:iCs/>
          <w:color w:val="333333"/>
          <w:szCs w:val="28"/>
        </w:rPr>
        <w:lastRenderedPageBreak/>
        <w:t>disadvantage arising from intersectional discrimination, in particular for substantive and procedural purposes</w:t>
      </w:r>
      <w:r w:rsidRPr="001C338A">
        <w:rPr>
          <w:rFonts w:cstheme="minorHAnsi"/>
          <w:color w:val="333333"/>
          <w:szCs w:val="28"/>
        </w:rPr>
        <w:t>”.</w:t>
      </w:r>
      <w:r w:rsidRPr="001C338A">
        <w:rPr>
          <w:rStyle w:val="FootnoteReference"/>
          <w:rFonts w:cstheme="minorHAnsi"/>
          <w:color w:val="333333"/>
          <w:szCs w:val="28"/>
        </w:rPr>
        <w:footnoteReference w:id="56"/>
      </w:r>
    </w:p>
    <w:p w14:paraId="5A289BEA" w14:textId="4B2BFFA5" w:rsidR="00492CF3" w:rsidRPr="001C338A" w:rsidRDefault="005E5721" w:rsidP="00FC12B4">
      <w:pPr>
        <w:pStyle w:val="11NumPara"/>
      </w:pPr>
      <w:r w:rsidRPr="001C338A">
        <w:rPr>
          <w:rFonts w:cstheme="minorHAnsi"/>
          <w:color w:val="333333"/>
          <w:szCs w:val="28"/>
          <w:shd w:val="clear" w:color="auto" w:fill="FFFFFF"/>
        </w:rPr>
        <w:t xml:space="preserve">The Commissions consider that the provisions on </w:t>
      </w:r>
      <w:r w:rsidRPr="001C338A">
        <w:t xml:space="preserve">definitions </w:t>
      </w:r>
      <w:r w:rsidRPr="001C338A">
        <w:rPr>
          <w:rFonts w:cstheme="minorHAnsi"/>
          <w:szCs w:val="28"/>
        </w:rPr>
        <w:t xml:space="preserve">strengthen the application of the principle of equal pay and the prohibition of </w:t>
      </w:r>
      <w:r w:rsidR="00541E14" w:rsidRPr="001C338A">
        <w:rPr>
          <w:rFonts w:cstheme="minorHAnsi"/>
          <w:szCs w:val="28"/>
        </w:rPr>
        <w:t xml:space="preserve">pay </w:t>
      </w:r>
      <w:r w:rsidRPr="001C338A">
        <w:rPr>
          <w:rFonts w:cstheme="minorHAnsi"/>
          <w:szCs w:val="28"/>
        </w:rPr>
        <w:t>discrimination</w:t>
      </w:r>
      <w:r w:rsidR="00152D3E" w:rsidRPr="001C338A">
        <w:rPr>
          <w:rFonts w:cstheme="minorHAnsi"/>
          <w:szCs w:val="28"/>
        </w:rPr>
        <w:t xml:space="preserve">, and build on </w:t>
      </w:r>
      <w:r w:rsidR="00204B23" w:rsidRPr="001C338A">
        <w:rPr>
          <w:rFonts w:cstheme="minorHAnsi"/>
          <w:szCs w:val="28"/>
        </w:rPr>
        <w:t xml:space="preserve">and enhance </w:t>
      </w:r>
      <w:r w:rsidR="00152D3E" w:rsidRPr="001C338A">
        <w:rPr>
          <w:rFonts w:cstheme="minorHAnsi"/>
          <w:szCs w:val="28"/>
        </w:rPr>
        <w:t>existing provisions in the Recast Directive</w:t>
      </w:r>
      <w:r w:rsidR="006535F7" w:rsidRPr="001C338A">
        <w:rPr>
          <w:rFonts w:cstheme="minorHAnsi"/>
          <w:szCs w:val="28"/>
        </w:rPr>
        <w:t xml:space="preserve"> in this area</w:t>
      </w:r>
      <w:r w:rsidRPr="001C338A">
        <w:rPr>
          <w:rFonts w:cstheme="minorHAnsi"/>
          <w:szCs w:val="28"/>
        </w:rPr>
        <w:t>.</w:t>
      </w:r>
    </w:p>
    <w:p w14:paraId="0E339B72" w14:textId="77777777" w:rsidR="00153D06" w:rsidRPr="001C338A" w:rsidRDefault="00153D06" w:rsidP="00C70164">
      <w:pPr>
        <w:pStyle w:val="11NumPara"/>
        <w:numPr>
          <w:ilvl w:val="0"/>
          <w:numId w:val="0"/>
        </w:numPr>
        <w:ind w:left="709"/>
        <w:rPr>
          <w:b/>
          <w:bCs/>
        </w:rPr>
      </w:pPr>
    </w:p>
    <w:p w14:paraId="3B22B804" w14:textId="4231DE8D" w:rsidR="00C70164" w:rsidRPr="001C338A" w:rsidRDefault="00C70164" w:rsidP="00C70164">
      <w:pPr>
        <w:pStyle w:val="11NumPara"/>
        <w:numPr>
          <w:ilvl w:val="0"/>
          <w:numId w:val="0"/>
        </w:numPr>
        <w:ind w:left="709"/>
        <w:rPr>
          <w:b/>
          <w:bCs/>
        </w:rPr>
      </w:pPr>
      <w:r w:rsidRPr="001C338A">
        <w:rPr>
          <w:b/>
          <w:bCs/>
        </w:rPr>
        <w:t>Article 4 (Equal work and work of equal value)</w:t>
      </w:r>
    </w:p>
    <w:p w14:paraId="4D2B9CE3" w14:textId="52DDF878" w:rsidR="005F05FC" w:rsidRPr="001C338A" w:rsidRDefault="005F05FC" w:rsidP="00C70164">
      <w:pPr>
        <w:pStyle w:val="11NumPara"/>
      </w:pPr>
      <w:r w:rsidRPr="001C338A">
        <w:rPr>
          <w:rFonts w:cstheme="minorHAnsi"/>
          <w:color w:val="333333"/>
          <w:szCs w:val="28"/>
        </w:rPr>
        <w:t xml:space="preserve">These provisions in the PTD on equal work and work of equal value </w:t>
      </w:r>
      <w:r w:rsidR="00DE24BC" w:rsidRPr="001C338A">
        <w:rPr>
          <w:rFonts w:cstheme="minorHAnsi"/>
          <w:color w:val="333333"/>
          <w:szCs w:val="28"/>
        </w:rPr>
        <w:t xml:space="preserve">build on, and </w:t>
      </w:r>
      <w:r w:rsidRPr="001C338A">
        <w:rPr>
          <w:rFonts w:cstheme="minorHAnsi"/>
          <w:color w:val="333333"/>
          <w:szCs w:val="28"/>
        </w:rPr>
        <w:t>enhance</w:t>
      </w:r>
      <w:r w:rsidR="00DE24BC" w:rsidRPr="001C338A">
        <w:rPr>
          <w:rFonts w:cstheme="minorHAnsi"/>
          <w:color w:val="333333"/>
          <w:szCs w:val="28"/>
        </w:rPr>
        <w:t xml:space="preserve">, existing </w:t>
      </w:r>
      <w:r w:rsidRPr="001C338A">
        <w:rPr>
          <w:rFonts w:cstheme="minorHAnsi"/>
          <w:color w:val="333333"/>
          <w:szCs w:val="28"/>
        </w:rPr>
        <w:t xml:space="preserve">provisions in the Recast Directive in this </w:t>
      </w:r>
      <w:r w:rsidR="00DE24BC" w:rsidRPr="001C338A">
        <w:rPr>
          <w:rFonts w:cstheme="minorHAnsi"/>
          <w:color w:val="333333"/>
          <w:szCs w:val="28"/>
        </w:rPr>
        <w:t xml:space="preserve">area </w:t>
      </w:r>
      <w:r w:rsidRPr="001C338A">
        <w:rPr>
          <w:rFonts w:cstheme="minorHAnsi"/>
          <w:color w:val="333333"/>
          <w:szCs w:val="28"/>
        </w:rPr>
        <w:t xml:space="preserve">(Article </w:t>
      </w:r>
      <w:r w:rsidR="00DE24BC" w:rsidRPr="001C338A">
        <w:rPr>
          <w:rFonts w:cstheme="minorHAnsi"/>
          <w:color w:val="333333"/>
          <w:szCs w:val="28"/>
        </w:rPr>
        <w:t>4</w:t>
      </w:r>
      <w:r w:rsidRPr="001C338A">
        <w:rPr>
          <w:rFonts w:cstheme="minorHAnsi"/>
          <w:color w:val="333333"/>
          <w:szCs w:val="28"/>
        </w:rPr>
        <w:t>)</w:t>
      </w:r>
      <w:r w:rsidR="00AE0FAB" w:rsidRPr="001C338A">
        <w:rPr>
          <w:rFonts w:cstheme="minorHAnsi"/>
          <w:color w:val="333333"/>
          <w:szCs w:val="28"/>
        </w:rPr>
        <w:t xml:space="preserve">, including </w:t>
      </w:r>
      <w:r w:rsidR="00233F90" w:rsidRPr="001C338A">
        <w:rPr>
          <w:rFonts w:cstheme="minorHAnsi"/>
          <w:color w:val="333333"/>
          <w:szCs w:val="28"/>
        </w:rPr>
        <w:t xml:space="preserve">in accordance with </w:t>
      </w:r>
      <w:r w:rsidR="00AE0FAB" w:rsidRPr="001C338A">
        <w:rPr>
          <w:rFonts w:cstheme="minorHAnsi"/>
          <w:color w:val="333333"/>
          <w:szCs w:val="28"/>
        </w:rPr>
        <w:t>CJEU case law</w:t>
      </w:r>
      <w:r w:rsidR="00DE24BC" w:rsidRPr="001C338A">
        <w:rPr>
          <w:rFonts w:cstheme="minorHAnsi"/>
          <w:color w:val="333333"/>
          <w:szCs w:val="28"/>
        </w:rPr>
        <w:t>.</w:t>
      </w:r>
      <w:r w:rsidR="004106C7" w:rsidRPr="001C338A">
        <w:rPr>
          <w:rFonts w:cstheme="minorHAnsi"/>
          <w:color w:val="333333"/>
          <w:szCs w:val="28"/>
        </w:rPr>
        <w:t xml:space="preserve"> Article 4 of the Recast Directive </w:t>
      </w:r>
      <w:r w:rsidR="004160A0" w:rsidRPr="001C338A">
        <w:rPr>
          <w:rFonts w:cstheme="minorHAnsi"/>
          <w:color w:val="333333"/>
          <w:szCs w:val="28"/>
        </w:rPr>
        <w:t xml:space="preserve">includes provisions </w:t>
      </w:r>
      <w:r w:rsidR="009C4347" w:rsidRPr="001C338A">
        <w:rPr>
          <w:rFonts w:cstheme="minorHAnsi"/>
          <w:color w:val="333333"/>
          <w:szCs w:val="28"/>
        </w:rPr>
        <w:t>pro</w:t>
      </w:r>
      <w:r w:rsidR="00857817" w:rsidRPr="001C338A">
        <w:rPr>
          <w:rFonts w:cstheme="minorHAnsi"/>
          <w:color w:val="333333"/>
          <w:szCs w:val="28"/>
        </w:rPr>
        <w:t>hibit</w:t>
      </w:r>
      <w:r w:rsidR="004160A0" w:rsidRPr="001C338A">
        <w:rPr>
          <w:rFonts w:cstheme="minorHAnsi"/>
          <w:color w:val="333333"/>
          <w:szCs w:val="28"/>
        </w:rPr>
        <w:t>ing</w:t>
      </w:r>
      <w:r w:rsidR="00857817" w:rsidRPr="001C338A">
        <w:rPr>
          <w:rFonts w:cstheme="minorHAnsi"/>
          <w:color w:val="333333"/>
          <w:szCs w:val="28"/>
        </w:rPr>
        <w:t xml:space="preserve"> direct and indirect discrimination on the grounds of sex</w:t>
      </w:r>
      <w:r w:rsidR="004160A0" w:rsidRPr="001C338A">
        <w:rPr>
          <w:rFonts w:cstheme="minorHAnsi"/>
          <w:color w:val="333333"/>
          <w:szCs w:val="28"/>
        </w:rPr>
        <w:t xml:space="preserve"> </w:t>
      </w:r>
      <w:r w:rsidR="004160A0" w:rsidRPr="001C338A">
        <w:t>f</w:t>
      </w:r>
      <w:r w:rsidR="004106C7" w:rsidRPr="001C338A">
        <w:t xml:space="preserve">or the same work or for work </w:t>
      </w:r>
      <w:r w:rsidR="004160A0" w:rsidRPr="001C338A">
        <w:t xml:space="preserve">of </w:t>
      </w:r>
      <w:r w:rsidR="004106C7" w:rsidRPr="001C338A">
        <w:t>equal value.</w:t>
      </w:r>
      <w:r w:rsidR="004160A0" w:rsidRPr="001C338A">
        <w:rPr>
          <w:rStyle w:val="FootnoteReference"/>
          <w:rFonts w:cstheme="minorHAnsi"/>
          <w:szCs w:val="28"/>
        </w:rPr>
        <w:footnoteReference w:id="57"/>
      </w:r>
    </w:p>
    <w:p w14:paraId="213B011B" w14:textId="3BB81672" w:rsidR="001D584A" w:rsidRPr="001C338A" w:rsidRDefault="00120987" w:rsidP="00C70164">
      <w:pPr>
        <w:pStyle w:val="11NumPara"/>
      </w:pPr>
      <w:r w:rsidRPr="001C338A">
        <w:rPr>
          <w:rFonts w:cstheme="minorHAnsi"/>
          <w:color w:val="333333"/>
          <w:szCs w:val="28"/>
          <w:shd w:val="clear" w:color="auto" w:fill="FFFFFF"/>
        </w:rPr>
        <w:t xml:space="preserve">Article </w:t>
      </w:r>
      <w:r w:rsidR="00332DD1" w:rsidRPr="001C338A">
        <w:rPr>
          <w:rFonts w:cstheme="minorHAnsi"/>
          <w:color w:val="333333"/>
          <w:szCs w:val="28"/>
          <w:shd w:val="clear" w:color="auto" w:fill="FFFFFF"/>
        </w:rPr>
        <w:t xml:space="preserve">4 </w:t>
      </w:r>
      <w:r w:rsidR="000348D5" w:rsidRPr="001C338A">
        <w:rPr>
          <w:rFonts w:cstheme="minorHAnsi"/>
          <w:color w:val="333333"/>
          <w:szCs w:val="28"/>
          <w:shd w:val="clear" w:color="auto" w:fill="FFFFFF"/>
        </w:rPr>
        <w:t xml:space="preserve">(1) </w:t>
      </w:r>
      <w:r w:rsidR="00332DD1" w:rsidRPr="001C338A">
        <w:rPr>
          <w:rFonts w:cstheme="minorHAnsi"/>
          <w:color w:val="333333"/>
          <w:szCs w:val="28"/>
          <w:shd w:val="clear" w:color="auto" w:fill="FFFFFF"/>
        </w:rPr>
        <w:t xml:space="preserve">of the PTD </w:t>
      </w:r>
      <w:r w:rsidR="00E34909" w:rsidRPr="001C338A">
        <w:rPr>
          <w:rFonts w:cstheme="minorHAnsi"/>
          <w:color w:val="333333"/>
          <w:szCs w:val="28"/>
          <w:shd w:val="clear" w:color="auto" w:fill="FFFFFF"/>
        </w:rPr>
        <w:t xml:space="preserve">provides </w:t>
      </w:r>
      <w:r w:rsidR="00332DD1" w:rsidRPr="001C338A">
        <w:rPr>
          <w:rFonts w:cstheme="minorHAnsi"/>
          <w:color w:val="333333"/>
          <w:szCs w:val="28"/>
          <w:shd w:val="clear" w:color="auto" w:fill="FFFFFF"/>
        </w:rPr>
        <w:t xml:space="preserve">that </w:t>
      </w:r>
      <w:r w:rsidR="00332DD1" w:rsidRPr="001C338A">
        <w:rPr>
          <w:rFonts w:cstheme="minorHAnsi"/>
          <w:szCs w:val="28"/>
        </w:rPr>
        <w:t>Member States “</w:t>
      </w:r>
      <w:r w:rsidR="00332DD1" w:rsidRPr="001C338A">
        <w:rPr>
          <w:rFonts w:cstheme="minorHAnsi"/>
          <w:i/>
          <w:iCs/>
          <w:szCs w:val="28"/>
        </w:rPr>
        <w:t>shall take the necessary measures to ensure that employers have pay structures ensuring equal pay for equal work or work of equal value</w:t>
      </w:r>
      <w:r w:rsidR="00332DD1" w:rsidRPr="001C338A">
        <w:rPr>
          <w:rFonts w:cstheme="minorHAnsi"/>
          <w:szCs w:val="28"/>
        </w:rPr>
        <w:t>”.</w:t>
      </w:r>
      <w:r w:rsidR="00332DD1" w:rsidRPr="001C338A">
        <w:rPr>
          <w:rStyle w:val="FootnoteReference"/>
          <w:rFonts w:cstheme="minorHAnsi"/>
          <w:szCs w:val="28"/>
        </w:rPr>
        <w:footnoteReference w:id="58"/>
      </w:r>
      <w:r w:rsidR="004B2372" w:rsidRPr="001C338A">
        <w:rPr>
          <w:rFonts w:cstheme="minorHAnsi"/>
          <w:szCs w:val="28"/>
        </w:rPr>
        <w:t xml:space="preserve"> </w:t>
      </w:r>
    </w:p>
    <w:p w14:paraId="004C4A87" w14:textId="678076AB" w:rsidR="004241D9" w:rsidRPr="001C338A" w:rsidRDefault="00C56C05" w:rsidP="00C70164">
      <w:pPr>
        <w:pStyle w:val="11NumPara"/>
      </w:pPr>
      <w:r w:rsidRPr="001C338A">
        <w:rPr>
          <w:rFonts w:cstheme="minorHAnsi"/>
          <w:color w:val="333333"/>
          <w:szCs w:val="28"/>
          <w:shd w:val="clear" w:color="auto" w:fill="FFFFFF"/>
        </w:rPr>
        <w:t xml:space="preserve">Further, </w:t>
      </w:r>
      <w:r w:rsidR="007470C9" w:rsidRPr="001C338A">
        <w:rPr>
          <w:rFonts w:cstheme="minorHAnsi"/>
          <w:color w:val="333333"/>
          <w:szCs w:val="28"/>
          <w:shd w:val="clear" w:color="auto" w:fill="FFFFFF"/>
        </w:rPr>
        <w:t xml:space="preserve">the PTD recitals state that </w:t>
      </w:r>
      <w:r w:rsidR="004241D9" w:rsidRPr="001C338A">
        <w:rPr>
          <w:rFonts w:cstheme="minorHAnsi"/>
          <w:color w:val="333333"/>
          <w:szCs w:val="28"/>
          <w:shd w:val="clear" w:color="auto" w:fill="FFFFFF"/>
        </w:rPr>
        <w:t>Article 4</w:t>
      </w:r>
      <w:r w:rsidR="005D76EC" w:rsidRPr="001C338A">
        <w:rPr>
          <w:rFonts w:cstheme="minorHAnsi"/>
          <w:color w:val="333333"/>
          <w:szCs w:val="28"/>
          <w:shd w:val="clear" w:color="auto" w:fill="FFFFFF"/>
        </w:rPr>
        <w:t xml:space="preserve"> (2)</w:t>
      </w:r>
      <w:r w:rsidR="003F4323" w:rsidRPr="001C338A">
        <w:rPr>
          <w:rFonts w:cstheme="minorHAnsi"/>
          <w:color w:val="333333"/>
          <w:szCs w:val="28"/>
          <w:shd w:val="clear" w:color="auto" w:fill="FFFFFF"/>
        </w:rPr>
        <w:t xml:space="preserve"> of</w:t>
      </w:r>
      <w:r w:rsidR="004241D9" w:rsidRPr="001C338A">
        <w:rPr>
          <w:rFonts w:cstheme="minorHAnsi"/>
          <w:color w:val="333333"/>
          <w:szCs w:val="28"/>
          <w:shd w:val="clear" w:color="auto" w:fill="FFFFFF"/>
        </w:rPr>
        <w:t xml:space="preserve"> the PTD requires that </w:t>
      </w:r>
      <w:r w:rsidRPr="001C338A">
        <w:rPr>
          <w:rFonts w:cstheme="minorHAnsi"/>
          <w:szCs w:val="28"/>
        </w:rPr>
        <w:t>Member States</w:t>
      </w:r>
      <w:r w:rsidRPr="001C338A">
        <w:rPr>
          <w:rFonts w:cstheme="minorHAnsi"/>
          <w:color w:val="333333"/>
          <w:szCs w:val="28"/>
          <w:shd w:val="clear" w:color="auto" w:fill="FFFFFF"/>
        </w:rPr>
        <w:t xml:space="preserve"> ensure that </w:t>
      </w:r>
      <w:r w:rsidR="004241D9" w:rsidRPr="001C338A">
        <w:rPr>
          <w:rFonts w:cstheme="minorHAnsi"/>
          <w:color w:val="333333"/>
          <w:szCs w:val="28"/>
          <w:shd w:val="clear" w:color="auto" w:fill="FFFFFF"/>
        </w:rPr>
        <w:t>“</w:t>
      </w:r>
      <w:r w:rsidR="004241D9" w:rsidRPr="001C338A">
        <w:rPr>
          <w:rFonts w:cstheme="minorHAnsi"/>
          <w:i/>
          <w:iCs/>
          <w:color w:val="333333"/>
          <w:szCs w:val="28"/>
          <w:shd w:val="clear" w:color="auto" w:fill="FFFFFF"/>
        </w:rPr>
        <w:t>training and specific tools and methodologies are made available to support and guide employers in the assessment of what constitutes work of equal value</w:t>
      </w:r>
      <w:r w:rsidR="004241D9" w:rsidRPr="001C338A">
        <w:rPr>
          <w:rFonts w:cstheme="minorHAnsi"/>
          <w:color w:val="333333"/>
          <w:szCs w:val="28"/>
          <w:shd w:val="clear" w:color="auto" w:fill="FFFFFF"/>
        </w:rPr>
        <w:t>”. </w:t>
      </w:r>
      <w:r w:rsidR="004241D9" w:rsidRPr="001C338A">
        <w:rPr>
          <w:rStyle w:val="FootnoteReference"/>
          <w:rFonts w:cstheme="minorHAnsi"/>
          <w:color w:val="333333"/>
          <w:szCs w:val="28"/>
          <w:shd w:val="clear" w:color="auto" w:fill="FFFFFF"/>
        </w:rPr>
        <w:footnoteReference w:id="59"/>
      </w:r>
      <w:r w:rsidR="00B52AB8">
        <w:rPr>
          <w:rFonts w:cstheme="minorHAnsi"/>
          <w:color w:val="333333"/>
          <w:szCs w:val="28"/>
          <w:shd w:val="clear" w:color="auto" w:fill="FFFFFF"/>
        </w:rPr>
        <w:t xml:space="preserve"> </w:t>
      </w:r>
      <w:r w:rsidR="00EB09FB" w:rsidRPr="001C338A">
        <w:rPr>
          <w:rStyle w:val="FootnoteReference"/>
          <w:rFonts w:cstheme="minorHAnsi"/>
          <w:color w:val="333333"/>
          <w:szCs w:val="28"/>
          <w:shd w:val="clear" w:color="auto" w:fill="FFFFFF"/>
        </w:rPr>
        <w:footnoteReference w:id="60"/>
      </w:r>
    </w:p>
    <w:p w14:paraId="126560AF" w14:textId="2F56F72C" w:rsidR="00880076" w:rsidRPr="001C338A" w:rsidRDefault="00FF4B6F" w:rsidP="00C70164">
      <w:pPr>
        <w:pStyle w:val="11NumPara"/>
      </w:pPr>
      <w:r w:rsidRPr="001C338A">
        <w:rPr>
          <w:rFonts w:cstheme="minorHAnsi"/>
          <w:szCs w:val="28"/>
        </w:rPr>
        <w:t xml:space="preserve">In addition, </w:t>
      </w:r>
      <w:r w:rsidR="00880076" w:rsidRPr="001C338A">
        <w:rPr>
          <w:rFonts w:cstheme="minorHAnsi"/>
          <w:szCs w:val="28"/>
        </w:rPr>
        <w:t xml:space="preserve">Article 4 </w:t>
      </w:r>
      <w:r w:rsidR="005D76EC" w:rsidRPr="001C338A">
        <w:rPr>
          <w:rFonts w:cstheme="minorHAnsi"/>
          <w:szCs w:val="28"/>
        </w:rPr>
        <w:t xml:space="preserve">(4) </w:t>
      </w:r>
      <w:r w:rsidR="00DC35B1" w:rsidRPr="001C338A">
        <w:rPr>
          <w:rFonts w:cstheme="minorHAnsi"/>
          <w:szCs w:val="28"/>
        </w:rPr>
        <w:t>of the PTD specifies that</w:t>
      </w:r>
      <w:r w:rsidR="00121055" w:rsidRPr="001C338A">
        <w:rPr>
          <w:rFonts w:cstheme="minorHAnsi"/>
          <w:szCs w:val="28"/>
        </w:rPr>
        <w:t>:</w:t>
      </w:r>
      <w:r w:rsidR="00DC35B1" w:rsidRPr="001C338A">
        <w:rPr>
          <w:rFonts w:cstheme="minorHAnsi"/>
          <w:szCs w:val="28"/>
        </w:rPr>
        <w:t xml:space="preserve"> “</w:t>
      </w:r>
      <w:r w:rsidR="005D76EC" w:rsidRPr="001C338A">
        <w:rPr>
          <w:rFonts w:cstheme="minorHAnsi"/>
          <w:i/>
          <w:iCs/>
          <w:szCs w:val="28"/>
        </w:rPr>
        <w:t xml:space="preserve">Pay structures shall be such as to enable the assessment of whether workers are in a comparable situation </w:t>
      </w:r>
      <w:proofErr w:type="gramStart"/>
      <w:r w:rsidR="005D76EC" w:rsidRPr="001C338A">
        <w:rPr>
          <w:rFonts w:cstheme="minorHAnsi"/>
          <w:i/>
          <w:iCs/>
          <w:szCs w:val="28"/>
        </w:rPr>
        <w:t>in regard to</w:t>
      </w:r>
      <w:proofErr w:type="gramEnd"/>
      <w:r w:rsidR="005D76EC" w:rsidRPr="001C338A">
        <w:rPr>
          <w:rFonts w:cstheme="minorHAnsi"/>
          <w:i/>
          <w:iCs/>
          <w:szCs w:val="28"/>
        </w:rPr>
        <w:t xml:space="preserve"> the value of work on the basis of objective, gender-neutral criteria agreed with workers’ representatives where such representatives exist. Those criteria shall not be based directly or indirectly on workers’ sex. They shall include skills, effort, responsibility and working conditions, and, if appropriate, any other factors which are relevant to the specific job or position. They shall </w:t>
      </w:r>
      <w:proofErr w:type="gramStart"/>
      <w:r w:rsidR="005D76EC" w:rsidRPr="001C338A">
        <w:rPr>
          <w:rFonts w:cstheme="minorHAnsi"/>
          <w:i/>
          <w:iCs/>
          <w:szCs w:val="28"/>
        </w:rPr>
        <w:t>be applied</w:t>
      </w:r>
      <w:proofErr w:type="gramEnd"/>
      <w:r w:rsidR="005D76EC" w:rsidRPr="001C338A">
        <w:rPr>
          <w:rFonts w:cstheme="minorHAnsi"/>
          <w:i/>
          <w:iCs/>
          <w:szCs w:val="28"/>
        </w:rPr>
        <w:t xml:space="preserve"> in an objective gender-neutral manner, excluding any direct or indirect discrimination based on sex</w:t>
      </w:r>
      <w:r w:rsidR="005D76EC" w:rsidRPr="001C338A">
        <w:rPr>
          <w:rFonts w:cstheme="minorHAnsi"/>
          <w:szCs w:val="28"/>
        </w:rPr>
        <w:t>.</w:t>
      </w:r>
      <w:r w:rsidR="005961CB" w:rsidRPr="001C338A">
        <w:rPr>
          <w:rFonts w:cstheme="minorHAnsi"/>
          <w:szCs w:val="28"/>
        </w:rPr>
        <w:t>”</w:t>
      </w:r>
    </w:p>
    <w:p w14:paraId="6CC6F6A0" w14:textId="046BEE4D" w:rsidR="00133EF2" w:rsidRPr="001C338A" w:rsidRDefault="00821640" w:rsidP="00C70164">
      <w:pPr>
        <w:pStyle w:val="11NumPara"/>
      </w:pPr>
      <w:r w:rsidRPr="001C338A">
        <w:rPr>
          <w:rFonts w:cstheme="minorHAnsi"/>
          <w:szCs w:val="28"/>
        </w:rPr>
        <w:lastRenderedPageBreak/>
        <w:t xml:space="preserve">The </w:t>
      </w:r>
      <w:r w:rsidR="00C70164" w:rsidRPr="001C338A">
        <w:rPr>
          <w:rFonts w:cstheme="minorHAnsi"/>
          <w:szCs w:val="28"/>
        </w:rPr>
        <w:t xml:space="preserve">PTD </w:t>
      </w:r>
      <w:r w:rsidRPr="001C338A">
        <w:rPr>
          <w:rFonts w:cstheme="minorHAnsi"/>
          <w:szCs w:val="28"/>
        </w:rPr>
        <w:t>recitals also make clear that “</w:t>
      </w:r>
      <w:r w:rsidRPr="001C338A">
        <w:rPr>
          <w:rFonts w:cstheme="minorHAnsi"/>
          <w:i/>
          <w:iCs/>
          <w:szCs w:val="28"/>
          <w:u w:val="single"/>
        </w:rPr>
        <w:t>i</w:t>
      </w:r>
      <w:r w:rsidR="00133EF2" w:rsidRPr="001C338A">
        <w:rPr>
          <w:rFonts w:cstheme="minorHAnsi"/>
          <w:i/>
          <w:iCs/>
          <w:szCs w:val="28"/>
          <w:u w:val="single"/>
        </w:rPr>
        <w:t>n accordance with the case law of the Court of Justice</w:t>
      </w:r>
      <w:r w:rsidR="00D83631" w:rsidRPr="001C338A">
        <w:rPr>
          <w:rFonts w:cstheme="minorHAnsi"/>
          <w:i/>
          <w:iCs/>
          <w:szCs w:val="28"/>
        </w:rPr>
        <w:t xml:space="preserve"> (our emphasis)</w:t>
      </w:r>
      <w:r w:rsidR="00133EF2" w:rsidRPr="001C338A">
        <w:rPr>
          <w:rFonts w:cstheme="minorHAnsi"/>
          <w:i/>
          <w:iCs/>
          <w:szCs w:val="28"/>
        </w:rPr>
        <w:t>, the value of work should be assessed and compared on the basis of objective criteria, including educational, professional and training requirements, skills, effort, responsibility and working conditions, irrespective of differences in working patterns</w:t>
      </w:r>
      <w:r w:rsidR="00133EF2" w:rsidRPr="001C338A">
        <w:rPr>
          <w:rFonts w:cstheme="minorHAnsi"/>
          <w:szCs w:val="28"/>
        </w:rPr>
        <w:t>.</w:t>
      </w:r>
      <w:r w:rsidR="00D83631" w:rsidRPr="001C338A">
        <w:rPr>
          <w:rFonts w:cstheme="minorHAnsi"/>
          <w:szCs w:val="28"/>
        </w:rPr>
        <w:t>”</w:t>
      </w:r>
      <w:r w:rsidR="00133EF2" w:rsidRPr="001C338A">
        <w:rPr>
          <w:rFonts w:cstheme="minorHAnsi"/>
          <w:szCs w:val="28"/>
        </w:rPr>
        <w:t xml:space="preserve"> </w:t>
      </w:r>
      <w:r w:rsidRPr="001C338A">
        <w:rPr>
          <w:rStyle w:val="FootnoteReference"/>
          <w:rFonts w:cstheme="minorHAnsi"/>
          <w:szCs w:val="28"/>
        </w:rPr>
        <w:footnoteReference w:id="61"/>
      </w:r>
    </w:p>
    <w:p w14:paraId="7A4EDAFB" w14:textId="6345A0F2" w:rsidR="00507AAC" w:rsidRPr="001C338A" w:rsidRDefault="00507AAC" w:rsidP="00C70164">
      <w:pPr>
        <w:pStyle w:val="11NumPara"/>
      </w:pPr>
      <w:r w:rsidRPr="001C338A">
        <w:rPr>
          <w:rFonts w:cstheme="minorHAnsi"/>
          <w:color w:val="333333"/>
          <w:szCs w:val="28"/>
          <w:shd w:val="clear" w:color="auto" w:fill="FFFFFF"/>
        </w:rPr>
        <w:t xml:space="preserve">The PTD </w:t>
      </w:r>
      <w:r w:rsidR="00C70164" w:rsidRPr="001C338A">
        <w:rPr>
          <w:rFonts w:cstheme="minorHAnsi"/>
          <w:color w:val="333333"/>
          <w:szCs w:val="28"/>
          <w:shd w:val="clear" w:color="auto" w:fill="FFFFFF"/>
        </w:rPr>
        <w:t xml:space="preserve">recitals </w:t>
      </w:r>
      <w:r w:rsidRPr="001C338A">
        <w:rPr>
          <w:rFonts w:cstheme="minorHAnsi"/>
          <w:color w:val="333333"/>
          <w:szCs w:val="28"/>
          <w:shd w:val="clear" w:color="auto" w:fill="FFFFFF"/>
        </w:rPr>
        <w:t>make clear that t</w:t>
      </w:r>
      <w:r w:rsidRPr="001C338A">
        <w:rPr>
          <w:rFonts w:cstheme="minorHAnsi"/>
          <w:szCs w:val="28"/>
        </w:rPr>
        <w:t>o “</w:t>
      </w:r>
      <w:r w:rsidRPr="001C338A">
        <w:rPr>
          <w:rFonts w:cstheme="minorHAnsi"/>
          <w:i/>
          <w:iCs/>
          <w:szCs w:val="28"/>
        </w:rPr>
        <w:t>facilitate the application of the concept of work of equal value</w:t>
      </w:r>
      <w:proofErr w:type="gramStart"/>
      <w:r w:rsidR="00121055" w:rsidRPr="001C338A">
        <w:rPr>
          <w:rFonts w:cstheme="minorHAnsi"/>
          <w:szCs w:val="28"/>
        </w:rPr>
        <w:t>”</w:t>
      </w:r>
      <w:r w:rsidRPr="001C338A">
        <w:rPr>
          <w:rFonts w:cstheme="minorHAnsi"/>
          <w:szCs w:val="28"/>
        </w:rPr>
        <w:t>,</w:t>
      </w:r>
      <w:proofErr w:type="gramEnd"/>
      <w:r w:rsidRPr="001C338A">
        <w:rPr>
          <w:rFonts w:cstheme="minorHAnsi"/>
          <w:szCs w:val="28"/>
        </w:rPr>
        <w:t xml:space="preserve"> especially for micro, small and medium-sized enterprises, the objective criteria to be used should include four factors: skills, effort, responsibility and working conditions.</w:t>
      </w:r>
      <w:r w:rsidRPr="001C338A">
        <w:rPr>
          <w:rStyle w:val="FootnoteReference"/>
          <w:rFonts w:cstheme="minorHAnsi"/>
          <w:szCs w:val="28"/>
        </w:rPr>
        <w:footnoteReference w:id="62"/>
      </w:r>
      <w:r w:rsidR="0070425C">
        <w:rPr>
          <w:rFonts w:cstheme="minorHAnsi"/>
          <w:szCs w:val="28"/>
          <w:vertAlign w:val="superscript"/>
        </w:rPr>
        <w:t xml:space="preserve"> </w:t>
      </w:r>
      <w:r w:rsidRPr="001C338A">
        <w:rPr>
          <w:rStyle w:val="FootnoteReference"/>
          <w:rFonts w:cstheme="minorHAnsi"/>
          <w:szCs w:val="28"/>
        </w:rPr>
        <w:footnoteReference w:id="63"/>
      </w:r>
    </w:p>
    <w:p w14:paraId="4380441A" w14:textId="0B8E9EA9" w:rsidR="002064B8" w:rsidRPr="001C338A" w:rsidRDefault="002064B8" w:rsidP="00C70164">
      <w:pPr>
        <w:pStyle w:val="11NumPara"/>
      </w:pPr>
      <w:r w:rsidRPr="001C338A">
        <w:rPr>
          <w:rFonts w:cstheme="minorHAnsi"/>
          <w:szCs w:val="28"/>
        </w:rPr>
        <w:t xml:space="preserve">In addition, the European Commission’s Explanatory Memorandum </w:t>
      </w:r>
      <w:r w:rsidR="00347BE3" w:rsidRPr="001C338A">
        <w:rPr>
          <w:rFonts w:cstheme="minorHAnsi"/>
          <w:szCs w:val="28"/>
        </w:rPr>
        <w:t xml:space="preserve">on the draft PTD, </w:t>
      </w:r>
      <w:r w:rsidRPr="001C338A">
        <w:rPr>
          <w:rFonts w:cstheme="minorHAnsi"/>
          <w:color w:val="222222"/>
          <w:spacing w:val="4"/>
          <w:szCs w:val="28"/>
          <w:shd w:val="clear" w:color="auto" w:fill="FFFFFF"/>
        </w:rPr>
        <w:t>makes clear</w:t>
      </w:r>
      <w:r w:rsidR="00A9350E" w:rsidRPr="001C338A">
        <w:rPr>
          <w:rFonts w:cstheme="minorHAnsi"/>
          <w:color w:val="222222"/>
          <w:spacing w:val="4"/>
          <w:szCs w:val="28"/>
          <w:shd w:val="clear" w:color="auto" w:fill="FFFFFF"/>
        </w:rPr>
        <w:t xml:space="preserve"> that this Article </w:t>
      </w:r>
      <w:r w:rsidR="00012F12" w:rsidRPr="001C338A">
        <w:rPr>
          <w:rFonts w:cstheme="minorHAnsi"/>
          <w:color w:val="222222"/>
          <w:spacing w:val="4"/>
          <w:szCs w:val="28"/>
          <w:shd w:val="clear" w:color="auto" w:fill="FFFFFF"/>
        </w:rPr>
        <w:t>“</w:t>
      </w:r>
      <w:r w:rsidR="00A9350E" w:rsidRPr="001C338A">
        <w:rPr>
          <w:rFonts w:cstheme="minorHAnsi"/>
          <w:i/>
          <w:iCs/>
          <w:color w:val="222222"/>
          <w:spacing w:val="4"/>
          <w:szCs w:val="28"/>
          <w:shd w:val="clear" w:color="auto" w:fill="FFFFFF"/>
        </w:rPr>
        <w:t>recalls the requirement set out in Article 4, paragraph 2 of the Recast Directive</w:t>
      </w:r>
      <w:r w:rsidR="00A9350E" w:rsidRPr="001C338A">
        <w:rPr>
          <w:rFonts w:cstheme="minorHAnsi"/>
          <w:color w:val="222222"/>
          <w:spacing w:val="4"/>
          <w:szCs w:val="28"/>
          <w:shd w:val="clear" w:color="auto" w:fill="FFFFFF"/>
        </w:rPr>
        <w:t xml:space="preserve">, </w:t>
      </w:r>
      <w:r w:rsidR="00A9350E" w:rsidRPr="001C338A">
        <w:rPr>
          <w:rFonts w:cstheme="minorHAnsi"/>
          <w:i/>
          <w:iCs/>
          <w:color w:val="222222"/>
          <w:spacing w:val="4"/>
          <w:szCs w:val="28"/>
          <w:shd w:val="clear" w:color="auto" w:fill="FFFFFF"/>
        </w:rPr>
        <w:t>that where job evaluation and classification systems are used for determining pay, they should be based on the same gender-neutral criteria for both men and women to exclude any discrimination on grounds of sex</w:t>
      </w:r>
      <w:r w:rsidR="00012F12" w:rsidRPr="001C338A">
        <w:rPr>
          <w:rFonts w:cstheme="minorHAnsi"/>
          <w:color w:val="222222"/>
          <w:spacing w:val="4"/>
          <w:szCs w:val="28"/>
          <w:shd w:val="clear" w:color="auto" w:fill="FFFFFF"/>
        </w:rPr>
        <w:t>”</w:t>
      </w:r>
      <w:r w:rsidR="00A9350E" w:rsidRPr="001C338A">
        <w:rPr>
          <w:rFonts w:cstheme="minorHAnsi"/>
          <w:color w:val="222222"/>
          <w:spacing w:val="4"/>
          <w:szCs w:val="28"/>
          <w:shd w:val="clear" w:color="auto" w:fill="FFFFFF"/>
        </w:rPr>
        <w:t>.</w:t>
      </w:r>
      <w:r w:rsidRPr="001C338A">
        <w:rPr>
          <w:rStyle w:val="FootnoteReference"/>
          <w:rFonts w:cstheme="minorHAnsi"/>
          <w:color w:val="222222"/>
          <w:spacing w:val="4"/>
          <w:szCs w:val="28"/>
          <w:shd w:val="clear" w:color="auto" w:fill="FFFFFF"/>
        </w:rPr>
        <w:footnoteReference w:id="64"/>
      </w:r>
      <w:r w:rsidR="00CC3EC4" w:rsidRPr="001C338A">
        <w:rPr>
          <w:rFonts w:cstheme="minorHAnsi"/>
          <w:color w:val="222222"/>
          <w:spacing w:val="4"/>
          <w:szCs w:val="28"/>
          <w:shd w:val="clear" w:color="auto" w:fill="FFFFFF"/>
        </w:rPr>
        <w:t xml:space="preserve"> The</w:t>
      </w:r>
      <w:r w:rsidR="001523F1" w:rsidRPr="001C338A">
        <w:rPr>
          <w:rFonts w:cstheme="minorHAnsi"/>
          <w:color w:val="222222"/>
          <w:spacing w:val="4"/>
          <w:szCs w:val="28"/>
          <w:shd w:val="clear" w:color="auto" w:fill="FFFFFF"/>
        </w:rPr>
        <w:t>re is th</w:t>
      </w:r>
      <w:r w:rsidR="00C939FC" w:rsidRPr="001C338A">
        <w:rPr>
          <w:rFonts w:cstheme="minorHAnsi"/>
          <w:color w:val="222222"/>
          <w:spacing w:val="4"/>
          <w:szCs w:val="28"/>
          <w:shd w:val="clear" w:color="auto" w:fill="FFFFFF"/>
        </w:rPr>
        <w:t>erefore a direct reference back to Article 4(2) of the Recast Directive.</w:t>
      </w:r>
    </w:p>
    <w:p w14:paraId="3C393573" w14:textId="37B8E89A" w:rsidR="00357468" w:rsidRPr="001C338A" w:rsidRDefault="00E2126D" w:rsidP="00C70164">
      <w:pPr>
        <w:pStyle w:val="11NumPara"/>
      </w:pPr>
      <w:r w:rsidRPr="001C338A">
        <w:rPr>
          <w:rFonts w:cstheme="minorHAnsi"/>
          <w:color w:val="333333"/>
          <w:szCs w:val="28"/>
          <w:shd w:val="clear" w:color="auto" w:fill="FFFFFF"/>
        </w:rPr>
        <w:t>T</w:t>
      </w:r>
      <w:r w:rsidR="00357468" w:rsidRPr="001C338A">
        <w:rPr>
          <w:rFonts w:cstheme="minorHAnsi"/>
          <w:color w:val="333333"/>
          <w:szCs w:val="28"/>
          <w:shd w:val="clear" w:color="auto" w:fill="FFFFFF"/>
        </w:rPr>
        <w:t>he Commissions</w:t>
      </w:r>
      <w:r w:rsidR="00023472" w:rsidRPr="001C338A">
        <w:rPr>
          <w:rFonts w:cstheme="minorHAnsi"/>
          <w:color w:val="333333"/>
          <w:szCs w:val="28"/>
          <w:shd w:val="clear" w:color="auto" w:fill="FFFFFF"/>
        </w:rPr>
        <w:t xml:space="preserve"> </w:t>
      </w:r>
      <w:r w:rsidR="005E5721" w:rsidRPr="001C338A">
        <w:rPr>
          <w:rFonts w:cstheme="minorHAnsi"/>
          <w:color w:val="333333"/>
          <w:szCs w:val="28"/>
          <w:shd w:val="clear" w:color="auto" w:fill="FFFFFF"/>
        </w:rPr>
        <w:t xml:space="preserve">consider that </w:t>
      </w:r>
      <w:r w:rsidRPr="001C338A">
        <w:rPr>
          <w:rFonts w:cstheme="minorHAnsi"/>
          <w:color w:val="333333"/>
          <w:szCs w:val="28"/>
          <w:shd w:val="clear" w:color="auto" w:fill="FFFFFF"/>
        </w:rPr>
        <w:t>the</w:t>
      </w:r>
      <w:r w:rsidR="00316571" w:rsidRPr="001C338A">
        <w:rPr>
          <w:rFonts w:cstheme="minorHAnsi"/>
          <w:color w:val="333333"/>
          <w:szCs w:val="28"/>
          <w:shd w:val="clear" w:color="auto" w:fill="FFFFFF"/>
        </w:rPr>
        <w:t>se</w:t>
      </w:r>
      <w:r w:rsidRPr="001C338A">
        <w:rPr>
          <w:rFonts w:cstheme="minorHAnsi"/>
          <w:color w:val="333333"/>
          <w:szCs w:val="28"/>
          <w:shd w:val="clear" w:color="auto" w:fill="FFFFFF"/>
        </w:rPr>
        <w:t xml:space="preserve"> provisions </w:t>
      </w:r>
      <w:r w:rsidR="005E5721" w:rsidRPr="001C338A">
        <w:rPr>
          <w:rFonts w:cstheme="minorHAnsi"/>
          <w:color w:val="333333"/>
          <w:szCs w:val="28"/>
          <w:shd w:val="clear" w:color="auto" w:fill="FFFFFF"/>
        </w:rPr>
        <w:t xml:space="preserve">on </w:t>
      </w:r>
      <w:r w:rsidR="005E5721" w:rsidRPr="001C338A">
        <w:t>equal work and work of equal value</w:t>
      </w:r>
      <w:r w:rsidR="005E5721" w:rsidRPr="001C338A">
        <w:rPr>
          <w:rFonts w:cstheme="minorHAnsi"/>
          <w:szCs w:val="28"/>
        </w:rPr>
        <w:t xml:space="preserve"> </w:t>
      </w:r>
      <w:r w:rsidR="00357468" w:rsidRPr="001C338A">
        <w:rPr>
          <w:rFonts w:cstheme="minorHAnsi"/>
          <w:szCs w:val="28"/>
        </w:rPr>
        <w:t xml:space="preserve">strengthen </w:t>
      </w:r>
      <w:r w:rsidR="00891262" w:rsidRPr="001C338A">
        <w:rPr>
          <w:rFonts w:cstheme="minorHAnsi"/>
          <w:szCs w:val="28"/>
        </w:rPr>
        <w:t xml:space="preserve">the application of the principle of equal pay and the prohibition of </w:t>
      </w:r>
      <w:r w:rsidR="00541E14" w:rsidRPr="001C338A">
        <w:rPr>
          <w:rFonts w:cstheme="minorHAnsi"/>
          <w:szCs w:val="28"/>
        </w:rPr>
        <w:t xml:space="preserve">pay </w:t>
      </w:r>
      <w:r w:rsidR="00891262" w:rsidRPr="001C338A">
        <w:rPr>
          <w:rFonts w:cstheme="minorHAnsi"/>
          <w:szCs w:val="28"/>
        </w:rPr>
        <w:t>discrimination</w:t>
      </w:r>
      <w:r w:rsidR="003563F8" w:rsidRPr="001C338A">
        <w:rPr>
          <w:rFonts w:cstheme="minorHAnsi"/>
          <w:szCs w:val="28"/>
        </w:rPr>
        <w:t>,</w:t>
      </w:r>
      <w:r w:rsidR="00891262" w:rsidRPr="001C338A">
        <w:rPr>
          <w:rFonts w:cstheme="minorHAnsi"/>
          <w:szCs w:val="28"/>
        </w:rPr>
        <w:t xml:space="preserve"> </w:t>
      </w:r>
      <w:r w:rsidR="003563F8" w:rsidRPr="001C338A">
        <w:rPr>
          <w:rFonts w:cstheme="minorHAnsi"/>
          <w:szCs w:val="28"/>
        </w:rPr>
        <w:t xml:space="preserve">and build on </w:t>
      </w:r>
      <w:r w:rsidR="00FD0486" w:rsidRPr="001C338A">
        <w:rPr>
          <w:rFonts w:cstheme="minorHAnsi"/>
          <w:szCs w:val="28"/>
        </w:rPr>
        <w:t xml:space="preserve">and improve </w:t>
      </w:r>
      <w:r w:rsidR="005E5721" w:rsidRPr="001C338A">
        <w:rPr>
          <w:rFonts w:cstheme="minorHAnsi"/>
          <w:szCs w:val="28"/>
        </w:rPr>
        <w:t xml:space="preserve">existing </w:t>
      </w:r>
      <w:r w:rsidR="003563F8" w:rsidRPr="001C338A">
        <w:rPr>
          <w:rFonts w:cstheme="minorHAnsi"/>
          <w:szCs w:val="28"/>
        </w:rPr>
        <w:t xml:space="preserve">provisions </w:t>
      </w:r>
      <w:r w:rsidR="00891262" w:rsidRPr="001C338A">
        <w:rPr>
          <w:rFonts w:cstheme="minorHAnsi"/>
          <w:szCs w:val="28"/>
        </w:rPr>
        <w:t xml:space="preserve">in the </w:t>
      </w:r>
      <w:r w:rsidRPr="001C338A">
        <w:rPr>
          <w:rFonts w:cstheme="minorHAnsi"/>
          <w:szCs w:val="28"/>
        </w:rPr>
        <w:t xml:space="preserve">Recast </w:t>
      </w:r>
      <w:r w:rsidR="00891262" w:rsidRPr="001C338A">
        <w:rPr>
          <w:rFonts w:cstheme="minorHAnsi"/>
          <w:szCs w:val="28"/>
        </w:rPr>
        <w:t>Directive</w:t>
      </w:r>
      <w:r w:rsidR="006411F6" w:rsidRPr="001C338A">
        <w:rPr>
          <w:rFonts w:cstheme="minorHAnsi"/>
          <w:szCs w:val="28"/>
        </w:rPr>
        <w:t xml:space="preserve"> in this area</w:t>
      </w:r>
      <w:r w:rsidR="00891262" w:rsidRPr="001C338A">
        <w:rPr>
          <w:rFonts w:cstheme="minorHAnsi"/>
          <w:szCs w:val="28"/>
        </w:rPr>
        <w:t xml:space="preserve"> </w:t>
      </w:r>
      <w:r w:rsidR="00856781" w:rsidRPr="001C338A">
        <w:rPr>
          <w:rFonts w:cstheme="minorHAnsi"/>
          <w:szCs w:val="28"/>
        </w:rPr>
        <w:t>(</w:t>
      </w:r>
      <w:r w:rsidR="00357468" w:rsidRPr="001C338A">
        <w:rPr>
          <w:rFonts w:cstheme="minorHAnsi"/>
          <w:szCs w:val="28"/>
        </w:rPr>
        <w:t>Article 4</w:t>
      </w:r>
      <w:r w:rsidR="00856781" w:rsidRPr="001C338A">
        <w:rPr>
          <w:rFonts w:cstheme="minorHAnsi"/>
          <w:szCs w:val="28"/>
        </w:rPr>
        <w:t>).</w:t>
      </w:r>
    </w:p>
    <w:p w14:paraId="51A81F31" w14:textId="77777777" w:rsidR="00153D06" w:rsidRPr="001C338A" w:rsidRDefault="00153D06" w:rsidP="00153D06">
      <w:pPr>
        <w:pStyle w:val="11NumPara"/>
        <w:numPr>
          <w:ilvl w:val="0"/>
          <w:numId w:val="0"/>
        </w:numPr>
        <w:ind w:left="709"/>
        <w:rPr>
          <w:b/>
          <w:bCs/>
        </w:rPr>
      </w:pPr>
    </w:p>
    <w:p w14:paraId="611DC3D9" w14:textId="6A638A4B" w:rsidR="00153D06" w:rsidRPr="001C338A" w:rsidRDefault="00153D06" w:rsidP="00153D06">
      <w:pPr>
        <w:pStyle w:val="11NumPara"/>
        <w:numPr>
          <w:ilvl w:val="0"/>
          <w:numId w:val="0"/>
        </w:numPr>
        <w:ind w:left="709"/>
        <w:rPr>
          <w:b/>
          <w:bCs/>
          <w:sz w:val="32"/>
          <w:szCs w:val="32"/>
        </w:rPr>
      </w:pPr>
      <w:r w:rsidRPr="001C338A">
        <w:rPr>
          <w:b/>
          <w:bCs/>
          <w:sz w:val="32"/>
          <w:szCs w:val="32"/>
        </w:rPr>
        <w:t xml:space="preserve">Chapter II – Pay </w:t>
      </w:r>
      <w:r w:rsidR="00757543" w:rsidRPr="001C338A">
        <w:rPr>
          <w:b/>
          <w:bCs/>
          <w:sz w:val="32"/>
          <w:szCs w:val="32"/>
        </w:rPr>
        <w:t>T</w:t>
      </w:r>
      <w:r w:rsidRPr="001C338A">
        <w:rPr>
          <w:b/>
          <w:bCs/>
          <w:sz w:val="32"/>
          <w:szCs w:val="32"/>
        </w:rPr>
        <w:t>ransparenc</w:t>
      </w:r>
      <w:r w:rsidR="00757543" w:rsidRPr="001C338A">
        <w:rPr>
          <w:b/>
          <w:bCs/>
          <w:sz w:val="32"/>
          <w:szCs w:val="32"/>
        </w:rPr>
        <w:t>y</w:t>
      </w:r>
    </w:p>
    <w:p w14:paraId="67A7974C" w14:textId="77777777" w:rsidR="00CA4EA7" w:rsidRPr="001C338A" w:rsidRDefault="00CA4EA7" w:rsidP="00153D06">
      <w:pPr>
        <w:pStyle w:val="11NumPara"/>
        <w:numPr>
          <w:ilvl w:val="0"/>
          <w:numId w:val="0"/>
        </w:numPr>
        <w:ind w:left="709"/>
        <w:rPr>
          <w:b/>
          <w:bCs/>
        </w:rPr>
      </w:pPr>
    </w:p>
    <w:p w14:paraId="41B59A6C" w14:textId="28051FF4" w:rsidR="004A6653" w:rsidRPr="001C338A" w:rsidRDefault="004A6653" w:rsidP="00153D06">
      <w:pPr>
        <w:pStyle w:val="11NumPara"/>
        <w:numPr>
          <w:ilvl w:val="0"/>
          <w:numId w:val="0"/>
        </w:numPr>
        <w:ind w:left="709"/>
        <w:rPr>
          <w:b/>
          <w:bCs/>
        </w:rPr>
      </w:pPr>
      <w:r w:rsidRPr="001C338A">
        <w:rPr>
          <w:b/>
          <w:bCs/>
        </w:rPr>
        <w:t>Introduction</w:t>
      </w:r>
    </w:p>
    <w:p w14:paraId="6DEA5C0D" w14:textId="222B72DD" w:rsidR="0033453F" w:rsidRPr="001C338A" w:rsidRDefault="00004B71" w:rsidP="00153D06">
      <w:pPr>
        <w:pStyle w:val="11NumPara"/>
      </w:pPr>
      <w:r w:rsidRPr="001C338A">
        <w:rPr>
          <w:rFonts w:cstheme="minorHAnsi"/>
          <w:szCs w:val="28"/>
        </w:rPr>
        <w:t>As set out above</w:t>
      </w:r>
      <w:r w:rsidR="009132F1" w:rsidRPr="001C338A">
        <w:rPr>
          <w:rFonts w:cstheme="minorHAnsi"/>
          <w:szCs w:val="28"/>
        </w:rPr>
        <w:t>,</w:t>
      </w:r>
      <w:r w:rsidRPr="001C338A">
        <w:rPr>
          <w:rFonts w:cstheme="minorHAnsi"/>
          <w:szCs w:val="28"/>
        </w:rPr>
        <w:t xml:space="preserve"> the PTD states that the application of the principle of equal pay </w:t>
      </w:r>
      <w:proofErr w:type="gramStart"/>
      <w:r w:rsidRPr="001C338A">
        <w:rPr>
          <w:rFonts w:cstheme="minorHAnsi"/>
          <w:szCs w:val="28"/>
        </w:rPr>
        <w:t xml:space="preserve">is </w:t>
      </w:r>
      <w:r w:rsidRPr="001C338A">
        <w:rPr>
          <w:rFonts w:cstheme="minorHAnsi"/>
          <w:szCs w:val="28"/>
          <w:u w:val="single"/>
        </w:rPr>
        <w:t>strengthened</w:t>
      </w:r>
      <w:proofErr w:type="gramEnd"/>
      <w:r w:rsidRPr="001C338A">
        <w:rPr>
          <w:rFonts w:cstheme="minorHAnsi"/>
          <w:szCs w:val="28"/>
        </w:rPr>
        <w:t xml:space="preserve"> through pay transparency measures.</w:t>
      </w:r>
      <w:r w:rsidR="00757543" w:rsidRPr="001C338A">
        <w:rPr>
          <w:rFonts w:cstheme="minorHAnsi"/>
          <w:szCs w:val="28"/>
        </w:rPr>
        <w:t xml:space="preserve"> These provisions on pay transparency are set out in Chapter II of the PTD.</w:t>
      </w:r>
      <w:r w:rsidR="00163A67" w:rsidRPr="001C338A">
        <w:rPr>
          <w:rFonts w:cstheme="minorHAnsi"/>
          <w:szCs w:val="28"/>
        </w:rPr>
        <w:t xml:space="preserve"> </w:t>
      </w:r>
    </w:p>
    <w:p w14:paraId="7AE4B808" w14:textId="2203EF0B" w:rsidR="00153D06" w:rsidRPr="001C338A" w:rsidRDefault="00AF1557" w:rsidP="00153D06">
      <w:pPr>
        <w:pStyle w:val="11NumPara"/>
      </w:pPr>
      <w:r w:rsidRPr="001C338A">
        <w:rPr>
          <w:rFonts w:cstheme="minorHAnsi"/>
          <w:szCs w:val="28"/>
        </w:rPr>
        <w:t>Th</w:t>
      </w:r>
      <w:r w:rsidR="0088437D" w:rsidRPr="001C338A">
        <w:rPr>
          <w:rFonts w:cstheme="minorHAnsi"/>
          <w:szCs w:val="28"/>
        </w:rPr>
        <w:t>is</w:t>
      </w:r>
      <w:r w:rsidRPr="001C338A">
        <w:rPr>
          <w:rFonts w:cstheme="minorHAnsi"/>
          <w:szCs w:val="28"/>
        </w:rPr>
        <w:t xml:space="preserve"> is elaborated on in t</w:t>
      </w:r>
      <w:r w:rsidR="007D1E0B" w:rsidRPr="001C338A">
        <w:rPr>
          <w:rFonts w:cstheme="minorHAnsi"/>
          <w:szCs w:val="28"/>
        </w:rPr>
        <w:t xml:space="preserve">he recitals to the PTD </w:t>
      </w:r>
      <w:r w:rsidRPr="001C338A">
        <w:rPr>
          <w:rFonts w:cstheme="minorHAnsi"/>
          <w:szCs w:val="28"/>
        </w:rPr>
        <w:t xml:space="preserve">which </w:t>
      </w:r>
      <w:r w:rsidR="007D1E0B" w:rsidRPr="001C338A">
        <w:rPr>
          <w:rFonts w:cstheme="minorHAnsi"/>
          <w:szCs w:val="28"/>
        </w:rPr>
        <w:t xml:space="preserve">make clear that </w:t>
      </w:r>
      <w:r w:rsidR="00B00C89" w:rsidRPr="001C338A">
        <w:rPr>
          <w:rFonts w:cstheme="minorHAnsi"/>
          <w:szCs w:val="28"/>
        </w:rPr>
        <w:t>“</w:t>
      </w:r>
      <w:r w:rsidR="007D1E0B" w:rsidRPr="001C338A">
        <w:rPr>
          <w:rFonts w:cstheme="minorHAnsi"/>
          <w:i/>
          <w:iCs/>
          <w:szCs w:val="28"/>
        </w:rPr>
        <w:t>a</w:t>
      </w:r>
      <w:r w:rsidR="0033453F" w:rsidRPr="001C338A">
        <w:rPr>
          <w:rFonts w:cstheme="minorHAnsi"/>
          <w:i/>
          <w:iCs/>
          <w:szCs w:val="28"/>
        </w:rPr>
        <w:t xml:space="preserve"> general lack of transparency about pay levels within organisations maintains a situation where gender-based pay discrimination and bias can go undetected or, where suspected, are difficult to prove</w:t>
      </w:r>
      <w:proofErr w:type="gramStart"/>
      <w:r w:rsidR="00B00C89" w:rsidRPr="001C338A">
        <w:rPr>
          <w:rFonts w:cstheme="minorHAnsi"/>
          <w:szCs w:val="28"/>
        </w:rPr>
        <w:t>”</w:t>
      </w:r>
      <w:r w:rsidR="0033453F" w:rsidRPr="001C338A">
        <w:rPr>
          <w:rFonts w:cstheme="minorHAnsi"/>
          <w:szCs w:val="28"/>
        </w:rPr>
        <w:t>.</w:t>
      </w:r>
      <w:proofErr w:type="gramEnd"/>
      <w:r w:rsidR="00AB2DE8" w:rsidRPr="001C338A">
        <w:rPr>
          <w:rStyle w:val="FootnoteReference"/>
          <w:rFonts w:cstheme="minorHAnsi"/>
          <w:szCs w:val="28"/>
        </w:rPr>
        <w:footnoteReference w:id="65"/>
      </w:r>
    </w:p>
    <w:p w14:paraId="1EAC3985" w14:textId="08AD0FCC" w:rsidR="0033453F" w:rsidRPr="001C338A" w:rsidRDefault="0057442C" w:rsidP="00153D06">
      <w:pPr>
        <w:pStyle w:val="11NumPara"/>
      </w:pPr>
      <w:r w:rsidRPr="001C338A">
        <w:rPr>
          <w:rFonts w:cstheme="minorHAnsi"/>
          <w:szCs w:val="28"/>
        </w:rPr>
        <w:t>They further state that b</w:t>
      </w:r>
      <w:r w:rsidR="0033453F" w:rsidRPr="001C338A">
        <w:rPr>
          <w:rFonts w:cstheme="minorHAnsi"/>
          <w:szCs w:val="28"/>
        </w:rPr>
        <w:t xml:space="preserve">inding measures </w:t>
      </w:r>
      <w:proofErr w:type="gramStart"/>
      <w:r w:rsidR="0033453F" w:rsidRPr="001C338A">
        <w:rPr>
          <w:rFonts w:cstheme="minorHAnsi"/>
          <w:szCs w:val="28"/>
        </w:rPr>
        <w:t>are therefore needed</w:t>
      </w:r>
      <w:proofErr w:type="gramEnd"/>
      <w:r w:rsidR="0033453F" w:rsidRPr="001C338A">
        <w:rPr>
          <w:rFonts w:cstheme="minorHAnsi"/>
          <w:szCs w:val="28"/>
        </w:rPr>
        <w:t xml:space="preserve"> </w:t>
      </w:r>
      <w:r w:rsidR="00B57C21" w:rsidRPr="001C338A">
        <w:rPr>
          <w:rFonts w:cstheme="minorHAnsi"/>
          <w:szCs w:val="28"/>
        </w:rPr>
        <w:t>“</w:t>
      </w:r>
      <w:r w:rsidR="0033453F" w:rsidRPr="001C338A">
        <w:rPr>
          <w:rFonts w:cstheme="minorHAnsi"/>
          <w:i/>
          <w:iCs/>
          <w:szCs w:val="28"/>
        </w:rPr>
        <w:t xml:space="preserve">to improve pay transparency, encourage organisations to review their pay structures to ensure </w:t>
      </w:r>
      <w:r w:rsidR="0033453F" w:rsidRPr="001C338A">
        <w:rPr>
          <w:rFonts w:cstheme="minorHAnsi"/>
          <w:i/>
          <w:iCs/>
          <w:szCs w:val="28"/>
        </w:rPr>
        <w:lastRenderedPageBreak/>
        <w:t xml:space="preserve">equal pay for women and men performing the same work or work of equal value, </w:t>
      </w:r>
      <w:r w:rsidR="0033453F" w:rsidRPr="001C338A">
        <w:rPr>
          <w:rFonts w:cstheme="minorHAnsi"/>
          <w:i/>
          <w:iCs/>
          <w:szCs w:val="28"/>
          <w:u w:val="single"/>
        </w:rPr>
        <w:t>and to enable victims of discrimination to exercise their right to equal pay</w:t>
      </w:r>
      <w:r w:rsidR="00B57C21" w:rsidRPr="001C338A">
        <w:rPr>
          <w:rFonts w:cstheme="minorHAnsi"/>
          <w:szCs w:val="28"/>
        </w:rPr>
        <w:t>”</w:t>
      </w:r>
      <w:r w:rsidR="00553EE8" w:rsidRPr="001C338A">
        <w:rPr>
          <w:rFonts w:cstheme="minorHAnsi"/>
          <w:szCs w:val="28"/>
        </w:rPr>
        <w:t xml:space="preserve"> </w:t>
      </w:r>
      <w:r w:rsidR="00B57C21" w:rsidRPr="001C338A">
        <w:rPr>
          <w:rFonts w:cstheme="minorHAnsi"/>
          <w:szCs w:val="28"/>
        </w:rPr>
        <w:t>(our emphasis)</w:t>
      </w:r>
      <w:r w:rsidR="0033453F" w:rsidRPr="001C338A">
        <w:rPr>
          <w:rFonts w:cstheme="minorHAnsi"/>
          <w:szCs w:val="28"/>
        </w:rPr>
        <w:t>.</w:t>
      </w:r>
      <w:r w:rsidR="0033453F" w:rsidRPr="001C338A">
        <w:rPr>
          <w:rStyle w:val="FootnoteReference"/>
          <w:rFonts w:cstheme="minorHAnsi"/>
          <w:szCs w:val="28"/>
        </w:rPr>
        <w:footnoteReference w:id="66"/>
      </w:r>
    </w:p>
    <w:p w14:paraId="3D54A445" w14:textId="77777777" w:rsidR="00893A8B" w:rsidRPr="001C338A" w:rsidRDefault="0088437D" w:rsidP="00153D06">
      <w:pPr>
        <w:pStyle w:val="11NumPara"/>
      </w:pPr>
      <w:r w:rsidRPr="001C338A">
        <w:rPr>
          <w:rFonts w:cstheme="minorHAnsi"/>
          <w:szCs w:val="28"/>
        </w:rPr>
        <w:t xml:space="preserve">The PTD recitals further clarify </w:t>
      </w:r>
      <w:r w:rsidR="00116F3D" w:rsidRPr="001C338A">
        <w:rPr>
          <w:rFonts w:cstheme="minorHAnsi"/>
          <w:szCs w:val="28"/>
        </w:rPr>
        <w:t xml:space="preserve">how </w:t>
      </w:r>
      <w:r w:rsidR="002D00FA" w:rsidRPr="001C338A">
        <w:rPr>
          <w:rFonts w:cstheme="minorHAnsi"/>
          <w:szCs w:val="28"/>
        </w:rPr>
        <w:t xml:space="preserve">the </w:t>
      </w:r>
      <w:r w:rsidR="00116F3D" w:rsidRPr="001C338A">
        <w:rPr>
          <w:rFonts w:cstheme="minorHAnsi"/>
          <w:szCs w:val="28"/>
        </w:rPr>
        <w:t xml:space="preserve">new </w:t>
      </w:r>
      <w:r w:rsidR="002D00FA" w:rsidRPr="001C338A">
        <w:rPr>
          <w:rFonts w:cstheme="minorHAnsi"/>
          <w:szCs w:val="28"/>
        </w:rPr>
        <w:t xml:space="preserve">obligations on </w:t>
      </w:r>
      <w:r w:rsidR="00116F3D" w:rsidRPr="001C338A">
        <w:rPr>
          <w:rFonts w:cstheme="minorHAnsi"/>
          <w:szCs w:val="28"/>
        </w:rPr>
        <w:t xml:space="preserve">employers in terms of </w:t>
      </w:r>
      <w:r w:rsidRPr="001C338A">
        <w:rPr>
          <w:rFonts w:cstheme="minorHAnsi"/>
          <w:szCs w:val="28"/>
        </w:rPr>
        <w:t>pay reporting</w:t>
      </w:r>
      <w:r w:rsidR="009B7AFE" w:rsidRPr="001C338A">
        <w:rPr>
          <w:rFonts w:cstheme="minorHAnsi"/>
          <w:szCs w:val="28"/>
        </w:rPr>
        <w:t xml:space="preserve"> and joint pay assessments</w:t>
      </w:r>
      <w:r w:rsidR="00116F3D" w:rsidRPr="001C338A">
        <w:rPr>
          <w:rFonts w:cstheme="minorHAnsi"/>
          <w:szCs w:val="28"/>
        </w:rPr>
        <w:t xml:space="preserve"> link with </w:t>
      </w:r>
      <w:r w:rsidR="00893A8B" w:rsidRPr="001C338A">
        <w:rPr>
          <w:rFonts w:cstheme="minorHAnsi"/>
          <w:szCs w:val="28"/>
        </w:rPr>
        <w:t xml:space="preserve">ensuring </w:t>
      </w:r>
      <w:r w:rsidR="00116F3D" w:rsidRPr="001C338A">
        <w:rPr>
          <w:rFonts w:cstheme="minorHAnsi"/>
          <w:szCs w:val="28"/>
        </w:rPr>
        <w:t>compliance</w:t>
      </w:r>
      <w:r w:rsidR="002D00FA" w:rsidRPr="001C338A">
        <w:rPr>
          <w:rFonts w:cstheme="minorHAnsi"/>
          <w:szCs w:val="28"/>
        </w:rPr>
        <w:t xml:space="preserve"> the principle of equal pay. </w:t>
      </w:r>
    </w:p>
    <w:p w14:paraId="54D2B5A7" w14:textId="5FD19208" w:rsidR="0088437D" w:rsidRPr="001C338A" w:rsidRDefault="002D00FA" w:rsidP="00153D06">
      <w:pPr>
        <w:pStyle w:val="11NumPara"/>
      </w:pPr>
      <w:proofErr w:type="gramStart"/>
      <w:r w:rsidRPr="001C338A">
        <w:rPr>
          <w:rFonts w:cstheme="minorHAnsi"/>
          <w:szCs w:val="28"/>
        </w:rPr>
        <w:t xml:space="preserve">It </w:t>
      </w:r>
      <w:r w:rsidR="00116F3D" w:rsidRPr="001C338A">
        <w:rPr>
          <w:rFonts w:cstheme="minorHAnsi"/>
          <w:szCs w:val="28"/>
        </w:rPr>
        <w:t>particular</w:t>
      </w:r>
      <w:r w:rsidRPr="001C338A">
        <w:rPr>
          <w:rFonts w:cstheme="minorHAnsi"/>
          <w:szCs w:val="28"/>
        </w:rPr>
        <w:t>, they</w:t>
      </w:r>
      <w:proofErr w:type="gramEnd"/>
      <w:r w:rsidRPr="001C338A">
        <w:rPr>
          <w:rFonts w:cstheme="minorHAnsi"/>
          <w:szCs w:val="28"/>
        </w:rPr>
        <w:t xml:space="preserve"> state that</w:t>
      </w:r>
      <w:r w:rsidR="00693703" w:rsidRPr="001C338A">
        <w:rPr>
          <w:rFonts w:cstheme="minorHAnsi"/>
          <w:szCs w:val="28"/>
        </w:rPr>
        <w:t>:</w:t>
      </w:r>
      <w:r w:rsidRPr="001C338A">
        <w:rPr>
          <w:rFonts w:cstheme="minorHAnsi"/>
          <w:szCs w:val="28"/>
        </w:rPr>
        <w:t xml:space="preserve"> “</w:t>
      </w:r>
      <w:r w:rsidR="0088437D" w:rsidRPr="001C338A">
        <w:rPr>
          <w:rFonts w:cstheme="minorHAnsi"/>
          <w:i/>
          <w:iCs/>
          <w:szCs w:val="28"/>
        </w:rPr>
        <w:t xml:space="preserve">Pay reporting should allow employers to evaluate and monitor their pay structures and policies, allowing them to proactively comply with the principle of equal pay. Reporting and joint pay assessments contribute to an increased awareness of gender bias in pay structures and of pay discrimination and contribute to addressing such bias and discrimination in an effective and systemic way, thereby benefitting all workers employed by the same employer. At the same time, the sex-disaggregated data should assist competent public authorities, workers’ </w:t>
      </w:r>
      <w:proofErr w:type="gramStart"/>
      <w:r w:rsidR="0088437D" w:rsidRPr="001C338A">
        <w:rPr>
          <w:rFonts w:cstheme="minorHAnsi"/>
          <w:i/>
          <w:iCs/>
          <w:szCs w:val="28"/>
        </w:rPr>
        <w:t>representatives</w:t>
      </w:r>
      <w:proofErr w:type="gramEnd"/>
      <w:r w:rsidR="0088437D" w:rsidRPr="001C338A">
        <w:rPr>
          <w:rFonts w:cstheme="minorHAnsi"/>
          <w:i/>
          <w:iCs/>
          <w:szCs w:val="28"/>
        </w:rPr>
        <w:t xml:space="preserve"> and other stakeholders in monitoring the gender pay gap across sectors (horizontal segregation) and functions (vertical segregation)</w:t>
      </w:r>
      <w:r w:rsidRPr="001C338A">
        <w:rPr>
          <w:rFonts w:cstheme="minorHAnsi"/>
          <w:szCs w:val="28"/>
        </w:rPr>
        <w:t>.”</w:t>
      </w:r>
      <w:r w:rsidRPr="001C338A">
        <w:rPr>
          <w:rStyle w:val="FootnoteReference"/>
          <w:rFonts w:cstheme="minorHAnsi"/>
          <w:szCs w:val="28"/>
        </w:rPr>
        <w:footnoteReference w:id="67"/>
      </w:r>
    </w:p>
    <w:p w14:paraId="4392F042" w14:textId="45E003F1" w:rsidR="00B5586D" w:rsidRPr="001C338A" w:rsidRDefault="00B5586D" w:rsidP="00153D06">
      <w:pPr>
        <w:pStyle w:val="11NumPara"/>
      </w:pPr>
      <w:r w:rsidRPr="001C338A">
        <w:rPr>
          <w:rFonts w:cstheme="minorHAnsi"/>
          <w:szCs w:val="28"/>
        </w:rPr>
        <w:t xml:space="preserve">In addition, </w:t>
      </w:r>
      <w:proofErr w:type="gramStart"/>
      <w:r w:rsidRPr="001C338A">
        <w:rPr>
          <w:rFonts w:cstheme="minorHAnsi"/>
          <w:szCs w:val="28"/>
        </w:rPr>
        <w:t>some of</w:t>
      </w:r>
      <w:proofErr w:type="gramEnd"/>
      <w:r w:rsidRPr="001C338A">
        <w:rPr>
          <w:rFonts w:cstheme="minorHAnsi"/>
          <w:szCs w:val="28"/>
        </w:rPr>
        <w:t xml:space="preserve"> the provisions in the PTD</w:t>
      </w:r>
      <w:r w:rsidR="00460308" w:rsidRPr="001C338A">
        <w:rPr>
          <w:rFonts w:cstheme="minorHAnsi"/>
          <w:szCs w:val="28"/>
        </w:rPr>
        <w:t xml:space="preserve"> in this section</w:t>
      </w:r>
      <w:r w:rsidRPr="001C338A">
        <w:rPr>
          <w:rFonts w:cstheme="minorHAnsi"/>
          <w:szCs w:val="28"/>
        </w:rPr>
        <w:t>, such as on prohibiting the use of pay secrecy clauses, make clear the link with enforcement of the principle of equal pay.</w:t>
      </w:r>
    </w:p>
    <w:p w14:paraId="35A06211" w14:textId="32DC08EB" w:rsidR="007F4155" w:rsidRPr="001C338A" w:rsidRDefault="002A3B42" w:rsidP="006F34FC">
      <w:pPr>
        <w:pStyle w:val="11NumPara"/>
      </w:pPr>
      <w:r w:rsidRPr="001C338A">
        <w:rPr>
          <w:rFonts w:cstheme="minorHAnsi"/>
          <w:szCs w:val="28"/>
        </w:rPr>
        <w:t xml:space="preserve">These minimum standards on pay transparency (Articles 5-13) include the following key measures set out </w:t>
      </w:r>
      <w:r w:rsidR="007F640F" w:rsidRPr="001C338A">
        <w:rPr>
          <w:rFonts w:cstheme="minorHAnsi"/>
          <w:szCs w:val="28"/>
        </w:rPr>
        <w:t xml:space="preserve">in more detail </w:t>
      </w:r>
      <w:r w:rsidRPr="001C338A">
        <w:rPr>
          <w:rFonts w:cstheme="minorHAnsi"/>
          <w:szCs w:val="28"/>
        </w:rPr>
        <w:t>below.</w:t>
      </w:r>
      <w:r w:rsidR="004913CA" w:rsidRPr="001C338A">
        <w:rPr>
          <w:rFonts w:cstheme="minorHAnsi"/>
          <w:szCs w:val="28"/>
        </w:rPr>
        <w:t xml:space="preserve"> </w:t>
      </w:r>
      <w:r w:rsidR="006F34FC" w:rsidRPr="001C338A">
        <w:rPr>
          <w:rFonts w:cstheme="minorHAnsi"/>
          <w:color w:val="222222"/>
          <w:spacing w:val="4"/>
          <w:szCs w:val="28"/>
          <w:shd w:val="clear" w:color="auto" w:fill="FFFFFF"/>
        </w:rPr>
        <w:t xml:space="preserve">They include provisions which </w:t>
      </w:r>
      <w:r w:rsidR="004F0405" w:rsidRPr="001C338A">
        <w:rPr>
          <w:rFonts w:cstheme="minorHAnsi"/>
          <w:color w:val="222222"/>
          <w:spacing w:val="4"/>
          <w:szCs w:val="28"/>
          <w:shd w:val="clear" w:color="auto" w:fill="FFFFFF"/>
        </w:rPr>
        <w:t xml:space="preserve">reflect the specific nature </w:t>
      </w:r>
      <w:r w:rsidR="00464696" w:rsidRPr="001C338A">
        <w:rPr>
          <w:rFonts w:cstheme="minorHAnsi"/>
          <w:color w:val="222222"/>
          <w:spacing w:val="4"/>
          <w:szCs w:val="28"/>
          <w:shd w:val="clear" w:color="auto" w:fill="FFFFFF"/>
        </w:rPr>
        <w:t>and requirements of the PTD</w:t>
      </w:r>
      <w:r w:rsidR="008D233C" w:rsidRPr="001C338A">
        <w:rPr>
          <w:rFonts w:cstheme="minorHAnsi"/>
          <w:color w:val="222222"/>
          <w:spacing w:val="4"/>
          <w:szCs w:val="28"/>
          <w:shd w:val="clear" w:color="auto" w:fill="FFFFFF"/>
        </w:rPr>
        <w:t xml:space="preserve">. For example, </w:t>
      </w:r>
      <w:r w:rsidR="005871CA" w:rsidRPr="001C338A">
        <w:rPr>
          <w:rFonts w:cstheme="minorHAnsi"/>
          <w:color w:val="222222"/>
          <w:spacing w:val="4"/>
          <w:szCs w:val="28"/>
          <w:shd w:val="clear" w:color="auto" w:fill="FFFFFF"/>
        </w:rPr>
        <w:t xml:space="preserve">the </w:t>
      </w:r>
      <w:r w:rsidR="008D233C" w:rsidRPr="001C338A">
        <w:rPr>
          <w:rFonts w:cstheme="minorHAnsi"/>
          <w:color w:val="222222"/>
          <w:spacing w:val="4"/>
          <w:szCs w:val="28"/>
          <w:shd w:val="clear" w:color="auto" w:fill="FFFFFF"/>
        </w:rPr>
        <w:t xml:space="preserve">provisions on data protection </w:t>
      </w:r>
      <w:r w:rsidR="00603509" w:rsidRPr="001C338A">
        <w:rPr>
          <w:rFonts w:cstheme="minorHAnsi"/>
          <w:color w:val="222222"/>
          <w:spacing w:val="4"/>
          <w:szCs w:val="28"/>
          <w:shd w:val="clear" w:color="auto" w:fill="FFFFFF"/>
        </w:rPr>
        <w:t xml:space="preserve">are relevant to the new obligations </w:t>
      </w:r>
      <w:r w:rsidR="004F0405" w:rsidRPr="001C338A">
        <w:rPr>
          <w:rFonts w:cstheme="minorHAnsi"/>
          <w:color w:val="222222"/>
          <w:spacing w:val="4"/>
          <w:szCs w:val="28"/>
          <w:shd w:val="clear" w:color="auto" w:fill="FFFFFF"/>
        </w:rPr>
        <w:t>on certain employers to collect and publish certain gender pay data</w:t>
      </w:r>
      <w:r w:rsidR="00603509" w:rsidRPr="001C338A">
        <w:rPr>
          <w:rFonts w:cstheme="minorHAnsi"/>
          <w:color w:val="222222"/>
          <w:spacing w:val="4"/>
          <w:szCs w:val="28"/>
          <w:shd w:val="clear" w:color="auto" w:fill="FFFFFF"/>
        </w:rPr>
        <w:t>.</w:t>
      </w:r>
    </w:p>
    <w:p w14:paraId="27682B0E" w14:textId="0149BEFB" w:rsidR="00106431" w:rsidRPr="001C338A" w:rsidRDefault="006F34FC" w:rsidP="00965418">
      <w:pPr>
        <w:pStyle w:val="11NumPara"/>
      </w:pPr>
      <w:r w:rsidRPr="001C338A">
        <w:rPr>
          <w:rFonts w:cstheme="minorHAnsi"/>
          <w:color w:val="222222"/>
          <w:spacing w:val="4"/>
          <w:szCs w:val="28"/>
          <w:shd w:val="clear" w:color="auto" w:fill="FFFFFF"/>
        </w:rPr>
        <w:t xml:space="preserve">Whilst there are no existing similar provisions in the Recast Directive on pay transparency, </w:t>
      </w:r>
      <w:r w:rsidR="000908FC" w:rsidRPr="001C338A">
        <w:rPr>
          <w:rFonts w:cstheme="minorHAnsi"/>
          <w:szCs w:val="28"/>
        </w:rPr>
        <w:t xml:space="preserve">the </w:t>
      </w:r>
      <w:r w:rsidR="00B57C21" w:rsidRPr="001C338A">
        <w:rPr>
          <w:rFonts w:cstheme="minorHAnsi"/>
          <w:szCs w:val="28"/>
        </w:rPr>
        <w:t>Commissions consider</w:t>
      </w:r>
      <w:r w:rsidR="000908FC" w:rsidRPr="001C338A">
        <w:rPr>
          <w:rFonts w:cstheme="minorHAnsi"/>
          <w:szCs w:val="28"/>
        </w:rPr>
        <w:t xml:space="preserve"> </w:t>
      </w:r>
      <w:r w:rsidRPr="001C338A">
        <w:rPr>
          <w:rFonts w:cstheme="minorHAnsi"/>
          <w:szCs w:val="28"/>
        </w:rPr>
        <w:t xml:space="preserve">that these provisions on pay transparency </w:t>
      </w:r>
      <w:r w:rsidR="00B57C21" w:rsidRPr="001C338A">
        <w:rPr>
          <w:rFonts w:cstheme="minorHAnsi"/>
          <w:szCs w:val="28"/>
        </w:rPr>
        <w:t xml:space="preserve">strengthen the application </w:t>
      </w:r>
      <w:r w:rsidR="006F2499" w:rsidRPr="001C338A">
        <w:rPr>
          <w:rFonts w:cstheme="minorHAnsi"/>
          <w:szCs w:val="28"/>
        </w:rPr>
        <w:t xml:space="preserve">and enforcement </w:t>
      </w:r>
      <w:r w:rsidR="00B57C21" w:rsidRPr="001C338A">
        <w:rPr>
          <w:rFonts w:cstheme="minorHAnsi"/>
          <w:szCs w:val="28"/>
        </w:rPr>
        <w:t xml:space="preserve">of the principle of equal pay and the prohibition of </w:t>
      </w:r>
      <w:r w:rsidR="00541E14" w:rsidRPr="001C338A">
        <w:rPr>
          <w:rFonts w:cstheme="minorHAnsi"/>
          <w:szCs w:val="28"/>
        </w:rPr>
        <w:t xml:space="preserve">pay </w:t>
      </w:r>
      <w:r w:rsidR="00B57C21" w:rsidRPr="001C338A">
        <w:rPr>
          <w:rFonts w:cstheme="minorHAnsi"/>
          <w:szCs w:val="28"/>
        </w:rPr>
        <w:t>discrimination</w:t>
      </w:r>
      <w:r w:rsidRPr="001C338A">
        <w:rPr>
          <w:rFonts w:cstheme="minorHAnsi"/>
          <w:szCs w:val="28"/>
        </w:rPr>
        <w:t xml:space="preserve"> set out in the Recast Directive</w:t>
      </w:r>
      <w:r w:rsidR="00965418" w:rsidRPr="001C338A">
        <w:rPr>
          <w:rFonts w:cstheme="minorHAnsi"/>
          <w:szCs w:val="28"/>
        </w:rPr>
        <w:t>.</w:t>
      </w:r>
    </w:p>
    <w:p w14:paraId="03C60604" w14:textId="77777777" w:rsidR="00965418" w:rsidRPr="001C338A" w:rsidRDefault="00965418" w:rsidP="00965418">
      <w:pPr>
        <w:pStyle w:val="11NumPara"/>
        <w:numPr>
          <w:ilvl w:val="0"/>
          <w:numId w:val="0"/>
        </w:numPr>
        <w:ind w:left="709"/>
      </w:pPr>
    </w:p>
    <w:p w14:paraId="4F77F47E" w14:textId="653B228F" w:rsidR="00106431" w:rsidRPr="001C338A" w:rsidRDefault="00106431" w:rsidP="00106431">
      <w:pPr>
        <w:pStyle w:val="11NumPara"/>
        <w:numPr>
          <w:ilvl w:val="0"/>
          <w:numId w:val="0"/>
        </w:numPr>
        <w:ind w:left="709"/>
      </w:pPr>
      <w:r w:rsidRPr="001C338A">
        <w:rPr>
          <w:rFonts w:asciiTheme="minorHAnsi" w:hAnsiTheme="minorHAnsi" w:cstheme="minorHAnsi"/>
          <w:b/>
          <w:bCs/>
          <w:color w:val="222222"/>
          <w:spacing w:val="4"/>
          <w:szCs w:val="28"/>
          <w:shd w:val="clear" w:color="auto" w:fill="FFFFFF"/>
        </w:rPr>
        <w:t>Article 5 – Pay transparency prior to employment</w:t>
      </w:r>
    </w:p>
    <w:p w14:paraId="3E521990" w14:textId="2A4A2C85" w:rsidR="006A54B7" w:rsidRPr="001C338A" w:rsidRDefault="00592A8F" w:rsidP="00106431">
      <w:pPr>
        <w:pStyle w:val="11NumPara"/>
      </w:pPr>
      <w:r w:rsidRPr="001C338A">
        <w:rPr>
          <w:rFonts w:asciiTheme="minorHAnsi" w:hAnsiTheme="minorHAnsi" w:cstheme="minorHAnsi"/>
          <w:color w:val="222222"/>
          <w:spacing w:val="4"/>
          <w:szCs w:val="28"/>
          <w:shd w:val="clear" w:color="auto" w:fill="FFFFFF"/>
        </w:rPr>
        <w:t>This provision requires that employers indicate the initial pay level or its range (based on objective and gender-neutral criteria) to be paid to the future worker for a specific position or job</w:t>
      </w:r>
      <w:proofErr w:type="gramStart"/>
      <w:r w:rsidRPr="001C338A">
        <w:rPr>
          <w:rFonts w:asciiTheme="minorHAnsi" w:hAnsiTheme="minorHAnsi" w:cstheme="minorHAnsi"/>
          <w:color w:val="222222"/>
          <w:spacing w:val="4"/>
          <w:szCs w:val="28"/>
          <w:shd w:val="clear" w:color="auto" w:fill="FFFFFF"/>
        </w:rPr>
        <w:t xml:space="preserve">. </w:t>
      </w:r>
      <w:r w:rsidR="008B49EF" w:rsidRPr="001C338A">
        <w:rPr>
          <w:rFonts w:asciiTheme="minorHAnsi" w:hAnsiTheme="minorHAnsi" w:cstheme="minorHAnsi"/>
          <w:color w:val="222222"/>
          <w:spacing w:val="4"/>
          <w:szCs w:val="28"/>
        </w:rPr>
        <w:t xml:space="preserve"> </w:t>
      </w:r>
      <w:proofErr w:type="gramEnd"/>
      <w:r w:rsidRPr="001C338A">
        <w:rPr>
          <w:rFonts w:asciiTheme="minorHAnsi" w:hAnsiTheme="minorHAnsi" w:cstheme="minorHAnsi"/>
          <w:color w:val="222222"/>
          <w:spacing w:val="4"/>
          <w:szCs w:val="28"/>
          <w:shd w:val="clear" w:color="auto" w:fill="FFFFFF"/>
        </w:rPr>
        <w:t>In addition, it prohibits employers to ask prospective workers about their pay history of their former employment relationship.</w:t>
      </w:r>
    </w:p>
    <w:p w14:paraId="577F91D7" w14:textId="033B20C8" w:rsidR="00B045B6" w:rsidRPr="001C338A" w:rsidRDefault="00597B6B" w:rsidP="00106431">
      <w:pPr>
        <w:pStyle w:val="11NumPara"/>
      </w:pPr>
      <w:r w:rsidRPr="001C338A">
        <w:rPr>
          <w:rFonts w:asciiTheme="minorHAnsi" w:hAnsiTheme="minorHAnsi" w:cstheme="minorHAnsi"/>
          <w:szCs w:val="28"/>
        </w:rPr>
        <w:lastRenderedPageBreak/>
        <w:t>The recitals to the PTD state that</w:t>
      </w:r>
      <w:r w:rsidR="00EF257D" w:rsidRPr="001C338A">
        <w:rPr>
          <w:rFonts w:asciiTheme="minorHAnsi" w:hAnsiTheme="minorHAnsi" w:cstheme="minorHAnsi"/>
          <w:szCs w:val="28"/>
        </w:rPr>
        <w:t xml:space="preserve"> “</w:t>
      </w:r>
      <w:r w:rsidR="00EF257D" w:rsidRPr="001C338A">
        <w:rPr>
          <w:rFonts w:asciiTheme="minorHAnsi" w:hAnsiTheme="minorHAnsi" w:cstheme="minorHAnsi"/>
          <w:i/>
          <w:iCs/>
          <w:szCs w:val="28"/>
        </w:rPr>
        <w:t>a</w:t>
      </w:r>
      <w:r w:rsidRPr="001C338A">
        <w:rPr>
          <w:rFonts w:asciiTheme="minorHAnsi" w:hAnsiTheme="minorHAnsi" w:cstheme="minorHAnsi"/>
          <w:i/>
          <w:iCs/>
          <w:szCs w:val="28"/>
        </w:rPr>
        <w:t>n important element of eliminating pay discrimination is pay transparency prior to employment</w:t>
      </w:r>
      <w:r w:rsidR="00D52BA3" w:rsidRPr="001C338A">
        <w:rPr>
          <w:rFonts w:asciiTheme="minorHAnsi" w:hAnsiTheme="minorHAnsi" w:cstheme="minorHAnsi"/>
          <w:szCs w:val="28"/>
        </w:rPr>
        <w:t xml:space="preserve">” and makes clear that the PTD </w:t>
      </w:r>
      <w:r w:rsidRPr="001C338A">
        <w:rPr>
          <w:rFonts w:asciiTheme="minorHAnsi" w:hAnsiTheme="minorHAnsi" w:cstheme="minorHAnsi"/>
          <w:szCs w:val="28"/>
        </w:rPr>
        <w:t>should therefore also apply to applicants for employment</w:t>
      </w:r>
      <w:r w:rsidR="00D52BA3" w:rsidRPr="001C338A">
        <w:rPr>
          <w:rFonts w:asciiTheme="minorHAnsi" w:hAnsiTheme="minorHAnsi" w:cstheme="minorHAnsi"/>
          <w:szCs w:val="28"/>
        </w:rPr>
        <w:t>.</w:t>
      </w:r>
      <w:r w:rsidR="00D52BA3" w:rsidRPr="001C338A">
        <w:rPr>
          <w:rStyle w:val="FootnoteReference"/>
          <w:rFonts w:asciiTheme="minorHAnsi" w:hAnsiTheme="minorHAnsi" w:cstheme="minorHAnsi"/>
          <w:szCs w:val="28"/>
        </w:rPr>
        <w:footnoteReference w:id="68"/>
      </w:r>
    </w:p>
    <w:p w14:paraId="456C852B" w14:textId="2E8DFC9E" w:rsidR="006C1F49" w:rsidRPr="0011718E" w:rsidRDefault="006D10ED" w:rsidP="0011718E">
      <w:pPr>
        <w:pStyle w:val="11NumPara"/>
      </w:pPr>
      <w:r w:rsidRPr="001C338A">
        <w:rPr>
          <w:rFonts w:cstheme="minorHAnsi"/>
          <w:szCs w:val="28"/>
        </w:rPr>
        <w:t xml:space="preserve">The Commissions consider that these provisions on </w:t>
      </w:r>
      <w:r w:rsidRPr="001C338A">
        <w:rPr>
          <w:rFonts w:asciiTheme="minorHAnsi" w:hAnsiTheme="minorHAnsi" w:cstheme="minorHAnsi"/>
          <w:szCs w:val="28"/>
        </w:rPr>
        <w:t>pay transparency prior to employment</w:t>
      </w:r>
      <w:r w:rsidRPr="001C338A">
        <w:rPr>
          <w:rFonts w:cstheme="minorHAnsi"/>
          <w:szCs w:val="28"/>
        </w:rPr>
        <w:t xml:space="preserve"> strengthen the application of the principle of equal pay and the prohibition of </w:t>
      </w:r>
      <w:r w:rsidR="00541E14" w:rsidRPr="001C338A">
        <w:rPr>
          <w:rFonts w:cstheme="minorHAnsi"/>
          <w:szCs w:val="28"/>
        </w:rPr>
        <w:t xml:space="preserve">pay </w:t>
      </w:r>
      <w:r w:rsidRPr="001C338A">
        <w:rPr>
          <w:rFonts w:cstheme="minorHAnsi"/>
          <w:szCs w:val="28"/>
        </w:rPr>
        <w:t>discrimination.</w:t>
      </w:r>
    </w:p>
    <w:p w14:paraId="27C54245" w14:textId="77777777" w:rsidR="006C1F49" w:rsidRPr="001C338A" w:rsidRDefault="006C1F49" w:rsidP="00106431">
      <w:pPr>
        <w:pStyle w:val="11NumPara"/>
        <w:numPr>
          <w:ilvl w:val="0"/>
          <w:numId w:val="0"/>
        </w:numPr>
        <w:ind w:left="709"/>
        <w:rPr>
          <w:rFonts w:asciiTheme="minorHAnsi" w:hAnsiTheme="minorHAnsi" w:cstheme="minorHAnsi"/>
          <w:b/>
          <w:bCs/>
          <w:color w:val="222222"/>
          <w:spacing w:val="4"/>
          <w:szCs w:val="28"/>
          <w:shd w:val="clear" w:color="auto" w:fill="FFFFFF"/>
        </w:rPr>
      </w:pPr>
    </w:p>
    <w:p w14:paraId="01F50046" w14:textId="6F3D8FDF" w:rsidR="00106431" w:rsidRPr="001C338A" w:rsidRDefault="00106431" w:rsidP="00106431">
      <w:pPr>
        <w:pStyle w:val="11NumPara"/>
        <w:numPr>
          <w:ilvl w:val="0"/>
          <w:numId w:val="0"/>
        </w:numPr>
        <w:ind w:left="709"/>
      </w:pPr>
      <w:r w:rsidRPr="001C338A">
        <w:rPr>
          <w:rFonts w:asciiTheme="minorHAnsi" w:hAnsiTheme="minorHAnsi" w:cstheme="minorHAnsi"/>
          <w:b/>
          <w:bCs/>
          <w:color w:val="222222"/>
          <w:spacing w:val="4"/>
          <w:szCs w:val="28"/>
          <w:shd w:val="clear" w:color="auto" w:fill="FFFFFF"/>
        </w:rPr>
        <w:t>Article 6 – Transparency of pay setting and career progression policy</w:t>
      </w:r>
    </w:p>
    <w:p w14:paraId="434E6885" w14:textId="748473FB" w:rsidR="00106431" w:rsidRPr="001C338A" w:rsidRDefault="006A54B7" w:rsidP="00106431">
      <w:pPr>
        <w:pStyle w:val="11NumPara"/>
      </w:pPr>
      <w:r w:rsidRPr="001C338A">
        <w:rPr>
          <w:rFonts w:cstheme="minorHAnsi"/>
          <w:color w:val="222222"/>
          <w:spacing w:val="4"/>
          <w:szCs w:val="28"/>
          <w:shd w:val="clear" w:color="auto" w:fill="FFFFFF"/>
        </w:rPr>
        <w:t>T</w:t>
      </w:r>
      <w:r w:rsidR="00592A8F" w:rsidRPr="001C338A">
        <w:rPr>
          <w:rFonts w:cstheme="minorHAnsi"/>
          <w:color w:val="222222"/>
          <w:spacing w:val="4"/>
          <w:szCs w:val="28"/>
          <w:shd w:val="clear" w:color="auto" w:fill="FFFFFF"/>
        </w:rPr>
        <w:t>his provision requires employers to make accessible to workers a description of the gender-neutral criteria used to define their pay and career progression</w:t>
      </w:r>
      <w:r w:rsidRPr="001C338A">
        <w:rPr>
          <w:rFonts w:cstheme="minorHAnsi"/>
          <w:color w:val="222222"/>
          <w:spacing w:val="4"/>
          <w:szCs w:val="28"/>
          <w:shd w:val="clear" w:color="auto" w:fill="FFFFFF"/>
        </w:rPr>
        <w:t xml:space="preserve">, </w:t>
      </w:r>
      <w:proofErr w:type="gramStart"/>
      <w:r w:rsidRPr="001C338A">
        <w:rPr>
          <w:rFonts w:cstheme="minorHAnsi"/>
          <w:color w:val="222222"/>
          <w:spacing w:val="4"/>
          <w:szCs w:val="28"/>
          <w:shd w:val="clear" w:color="auto" w:fill="FFFFFF"/>
        </w:rPr>
        <w:t>in order to</w:t>
      </w:r>
      <w:proofErr w:type="gramEnd"/>
      <w:r w:rsidRPr="001C338A">
        <w:rPr>
          <w:rFonts w:cstheme="minorHAnsi"/>
          <w:color w:val="222222"/>
          <w:spacing w:val="4"/>
          <w:szCs w:val="28"/>
          <w:shd w:val="clear" w:color="auto" w:fill="FFFFFF"/>
        </w:rPr>
        <w:t xml:space="preserve"> ensure the gender-neutrality of pay setting and career progression.</w:t>
      </w:r>
    </w:p>
    <w:p w14:paraId="2268C87D" w14:textId="15C5C831" w:rsidR="006D10ED" w:rsidRPr="001C338A" w:rsidRDefault="006D10ED" w:rsidP="006D10ED">
      <w:pPr>
        <w:pStyle w:val="11NumPara"/>
      </w:pPr>
      <w:r w:rsidRPr="001C338A">
        <w:rPr>
          <w:rFonts w:cstheme="minorHAnsi"/>
          <w:szCs w:val="28"/>
        </w:rPr>
        <w:t xml:space="preserve">The Commissions consider that these provisions on </w:t>
      </w:r>
      <w:r w:rsidRPr="001C338A">
        <w:rPr>
          <w:rFonts w:asciiTheme="minorHAnsi" w:hAnsiTheme="minorHAnsi" w:cstheme="minorHAnsi"/>
          <w:szCs w:val="28"/>
        </w:rPr>
        <w:t xml:space="preserve">transparency of pay setting and career progression policy </w:t>
      </w:r>
      <w:r w:rsidRPr="001C338A">
        <w:rPr>
          <w:rFonts w:cstheme="minorHAnsi"/>
          <w:szCs w:val="28"/>
        </w:rPr>
        <w:t xml:space="preserve">strengthen the application of the principle of equal pay and the prohibition of </w:t>
      </w:r>
      <w:r w:rsidR="00541E14" w:rsidRPr="001C338A">
        <w:rPr>
          <w:rFonts w:cstheme="minorHAnsi"/>
          <w:szCs w:val="28"/>
        </w:rPr>
        <w:t xml:space="preserve">pay </w:t>
      </w:r>
      <w:r w:rsidRPr="001C338A">
        <w:rPr>
          <w:rFonts w:cstheme="minorHAnsi"/>
          <w:szCs w:val="28"/>
        </w:rPr>
        <w:t>discrimination.</w:t>
      </w:r>
    </w:p>
    <w:p w14:paraId="18FFA4FA" w14:textId="77777777" w:rsidR="006D10ED" w:rsidRPr="001C338A" w:rsidRDefault="006D10ED" w:rsidP="006D10ED">
      <w:pPr>
        <w:pStyle w:val="11NumPara"/>
        <w:numPr>
          <w:ilvl w:val="0"/>
          <w:numId w:val="0"/>
        </w:numPr>
        <w:ind w:left="709"/>
      </w:pPr>
    </w:p>
    <w:p w14:paraId="28257325" w14:textId="66364669" w:rsidR="00106431" w:rsidRPr="001C338A" w:rsidRDefault="00106431" w:rsidP="00106431">
      <w:pPr>
        <w:pStyle w:val="11NumPara"/>
        <w:numPr>
          <w:ilvl w:val="0"/>
          <w:numId w:val="0"/>
        </w:numPr>
        <w:ind w:left="709"/>
      </w:pPr>
      <w:r w:rsidRPr="001C338A">
        <w:rPr>
          <w:rFonts w:asciiTheme="minorHAnsi" w:hAnsiTheme="minorHAnsi" w:cstheme="minorHAnsi"/>
          <w:b/>
          <w:bCs/>
          <w:color w:val="222222"/>
          <w:spacing w:val="4"/>
          <w:szCs w:val="28"/>
          <w:shd w:val="clear" w:color="auto" w:fill="FFFFFF"/>
        </w:rPr>
        <w:t>Articles 7/ 8</w:t>
      </w:r>
      <w:r w:rsidR="00530074">
        <w:rPr>
          <w:rFonts w:asciiTheme="minorHAnsi" w:hAnsiTheme="minorHAnsi" w:cstheme="minorHAnsi"/>
          <w:b/>
          <w:bCs/>
          <w:color w:val="222222"/>
          <w:spacing w:val="4"/>
          <w:szCs w:val="28"/>
          <w:shd w:val="clear" w:color="auto" w:fill="FFFFFF"/>
        </w:rPr>
        <w:t xml:space="preserve"> </w:t>
      </w:r>
      <w:r w:rsidRPr="001C338A">
        <w:rPr>
          <w:rFonts w:asciiTheme="minorHAnsi" w:hAnsiTheme="minorHAnsi" w:cstheme="minorHAnsi"/>
          <w:b/>
          <w:bCs/>
          <w:color w:val="222222"/>
          <w:spacing w:val="4"/>
          <w:szCs w:val="28"/>
          <w:shd w:val="clear" w:color="auto" w:fill="FFFFFF"/>
        </w:rPr>
        <w:t>– Right to information/ Accessibility of information</w:t>
      </w:r>
    </w:p>
    <w:p w14:paraId="134B84A5" w14:textId="0DD27BDE" w:rsidR="00106431" w:rsidRPr="001C338A" w:rsidRDefault="002F6F03" w:rsidP="00106431">
      <w:pPr>
        <w:pStyle w:val="11NumPara"/>
      </w:pPr>
      <w:r w:rsidRPr="001C338A">
        <w:rPr>
          <w:rFonts w:cstheme="minorHAnsi"/>
          <w:color w:val="222222"/>
          <w:spacing w:val="4"/>
          <w:szCs w:val="28"/>
          <w:shd w:val="clear" w:color="auto" w:fill="FFFFFF"/>
        </w:rPr>
        <w:t>The European Commission has made clear that the</w:t>
      </w:r>
      <w:r w:rsidR="00592A8F" w:rsidRPr="001C338A">
        <w:rPr>
          <w:rFonts w:cstheme="minorHAnsi"/>
          <w:color w:val="222222"/>
          <w:spacing w:val="4"/>
          <w:szCs w:val="28"/>
          <w:shd w:val="clear" w:color="auto" w:fill="FFFFFF"/>
        </w:rPr>
        <w:t xml:space="preserve"> provision</w:t>
      </w:r>
      <w:r w:rsidRPr="001C338A">
        <w:rPr>
          <w:rFonts w:cstheme="minorHAnsi"/>
          <w:color w:val="222222"/>
          <w:spacing w:val="4"/>
          <w:szCs w:val="28"/>
          <w:shd w:val="clear" w:color="auto" w:fill="FFFFFF"/>
        </w:rPr>
        <w:t>s on right to information</w:t>
      </w:r>
      <w:r w:rsidR="00DF0FA7" w:rsidRPr="001C338A">
        <w:rPr>
          <w:rFonts w:cstheme="minorHAnsi"/>
          <w:color w:val="222222"/>
          <w:spacing w:val="4"/>
          <w:szCs w:val="28"/>
          <w:shd w:val="clear" w:color="auto" w:fill="FFFFFF"/>
        </w:rPr>
        <w:t xml:space="preserve"> is</w:t>
      </w:r>
      <w:r w:rsidR="006D10ED" w:rsidRPr="001C338A">
        <w:rPr>
          <w:rFonts w:cstheme="minorHAnsi"/>
          <w:color w:val="222222"/>
          <w:spacing w:val="4"/>
          <w:szCs w:val="28"/>
          <w:shd w:val="clear" w:color="auto" w:fill="FFFFFF"/>
        </w:rPr>
        <w:t xml:space="preserve"> </w:t>
      </w:r>
      <w:r w:rsidR="00592A8F" w:rsidRPr="001C338A">
        <w:rPr>
          <w:rFonts w:cstheme="minorHAnsi"/>
          <w:color w:val="222222"/>
          <w:spacing w:val="4"/>
          <w:szCs w:val="28"/>
          <w:shd w:val="clear" w:color="auto" w:fill="FFFFFF"/>
        </w:rPr>
        <w:t>aim</w:t>
      </w:r>
      <w:r w:rsidR="00DF0FA7" w:rsidRPr="001C338A">
        <w:rPr>
          <w:rFonts w:cstheme="minorHAnsi"/>
          <w:color w:val="222222"/>
          <w:spacing w:val="4"/>
          <w:szCs w:val="28"/>
          <w:shd w:val="clear" w:color="auto" w:fill="FFFFFF"/>
        </w:rPr>
        <w:t>ed</w:t>
      </w:r>
      <w:r w:rsidR="00592A8F" w:rsidRPr="001C338A">
        <w:rPr>
          <w:rFonts w:cstheme="minorHAnsi"/>
          <w:color w:val="222222"/>
          <w:spacing w:val="4"/>
          <w:szCs w:val="28"/>
          <w:shd w:val="clear" w:color="auto" w:fill="FFFFFF"/>
        </w:rPr>
        <w:t xml:space="preserve"> at providing workers with the necessary information to assess whether they are paid in a non-discriminatory manner compared to other workers in the same organisation carrying out equal work or work of equal value, </w:t>
      </w:r>
      <w:r w:rsidR="00592A8F" w:rsidRPr="001C338A">
        <w:rPr>
          <w:rFonts w:cstheme="minorHAnsi"/>
          <w:color w:val="222222"/>
          <w:spacing w:val="4"/>
          <w:szCs w:val="28"/>
          <w:u w:val="single"/>
          <w:shd w:val="clear" w:color="auto" w:fill="FFFFFF"/>
        </w:rPr>
        <w:t>and to enforce their right to equal pay if needed</w:t>
      </w:r>
      <w:r w:rsidR="00DF0FA7" w:rsidRPr="002E52E1">
        <w:rPr>
          <w:rFonts w:cstheme="minorHAnsi"/>
          <w:color w:val="222222"/>
          <w:spacing w:val="4"/>
          <w:szCs w:val="28"/>
          <w:shd w:val="clear" w:color="auto" w:fill="FFFFFF"/>
        </w:rPr>
        <w:t xml:space="preserve"> (</w:t>
      </w:r>
      <w:r w:rsidR="00DF0FA7" w:rsidRPr="001C338A">
        <w:rPr>
          <w:rFonts w:cstheme="minorHAnsi"/>
          <w:color w:val="222222"/>
          <w:spacing w:val="4"/>
          <w:szCs w:val="28"/>
          <w:shd w:val="clear" w:color="auto" w:fill="FFFFFF"/>
        </w:rPr>
        <w:t>our emphasis)</w:t>
      </w:r>
      <w:r w:rsidR="00592A8F" w:rsidRPr="001C338A">
        <w:rPr>
          <w:rFonts w:cstheme="minorHAnsi"/>
          <w:color w:val="222222"/>
          <w:spacing w:val="4"/>
          <w:szCs w:val="28"/>
          <w:shd w:val="clear" w:color="auto" w:fill="FFFFFF"/>
        </w:rPr>
        <w:t>.</w:t>
      </w:r>
      <w:r w:rsidR="00DF0FA7" w:rsidRPr="001C338A">
        <w:rPr>
          <w:rStyle w:val="FootnoteReference"/>
          <w:rFonts w:asciiTheme="minorHAnsi" w:hAnsiTheme="minorHAnsi" w:cstheme="minorHAnsi"/>
          <w:color w:val="222222"/>
          <w:spacing w:val="4"/>
          <w:szCs w:val="28"/>
          <w:shd w:val="clear" w:color="auto" w:fill="FFFFFF"/>
        </w:rPr>
        <w:footnoteReference w:id="69"/>
      </w:r>
    </w:p>
    <w:p w14:paraId="75E47AB5" w14:textId="77777777" w:rsidR="00106431" w:rsidRPr="001C338A" w:rsidRDefault="00592A8F" w:rsidP="00106431">
      <w:pPr>
        <w:pStyle w:val="11NumPara"/>
      </w:pPr>
      <w:r w:rsidRPr="001C338A">
        <w:rPr>
          <w:rFonts w:cstheme="minorHAnsi"/>
          <w:color w:val="222222"/>
          <w:spacing w:val="4"/>
          <w:szCs w:val="28"/>
          <w:shd w:val="clear" w:color="auto" w:fill="FFFFFF"/>
        </w:rPr>
        <w:t>It provides the right to workers to request information from their employer on their individual pay level and on the average pay levels, broken down by sex, for categories of workers doing the same work or work of equal value.</w:t>
      </w:r>
    </w:p>
    <w:p w14:paraId="3D8760E4" w14:textId="4C286671" w:rsidR="00106431" w:rsidRPr="001C338A" w:rsidRDefault="00592A8F" w:rsidP="00106431">
      <w:pPr>
        <w:pStyle w:val="11NumPara"/>
      </w:pPr>
      <w:r w:rsidRPr="001C338A">
        <w:rPr>
          <w:rFonts w:cstheme="minorHAnsi"/>
          <w:color w:val="222222"/>
          <w:spacing w:val="4"/>
          <w:szCs w:val="28"/>
          <w:shd w:val="clear" w:color="auto" w:fill="FFFFFF"/>
        </w:rPr>
        <w:t xml:space="preserve">The employer is obliged to inform all workers, on an annual basis, of their right to receive such information and provide the requested information within a reasonable </w:t>
      </w:r>
      <w:proofErr w:type="gramStart"/>
      <w:r w:rsidRPr="001C338A">
        <w:rPr>
          <w:rFonts w:cstheme="minorHAnsi"/>
          <w:color w:val="222222"/>
          <w:spacing w:val="4"/>
          <w:szCs w:val="28"/>
          <w:shd w:val="clear" w:color="auto" w:fill="FFFFFF"/>
        </w:rPr>
        <w:t>period of time</w:t>
      </w:r>
      <w:proofErr w:type="gramEnd"/>
      <w:r w:rsidRPr="001C338A">
        <w:rPr>
          <w:rFonts w:cstheme="minorHAnsi"/>
          <w:color w:val="222222"/>
          <w:spacing w:val="4"/>
          <w:szCs w:val="28"/>
          <w:shd w:val="clear" w:color="auto" w:fill="FFFFFF"/>
        </w:rPr>
        <w:t xml:space="preserve"> and in accessible formats for workers with disabilities upon their request.</w:t>
      </w:r>
      <w:r w:rsidR="006B351D" w:rsidRPr="001C338A">
        <w:rPr>
          <w:rFonts w:cstheme="minorHAnsi"/>
          <w:color w:val="222222"/>
          <w:spacing w:val="4"/>
          <w:szCs w:val="28"/>
          <w:shd w:val="clear" w:color="auto" w:fill="FFFFFF"/>
        </w:rPr>
        <w:t xml:space="preserve"> </w:t>
      </w:r>
      <w:r w:rsidR="00A96E31" w:rsidRPr="001C338A">
        <w:rPr>
          <w:rFonts w:cstheme="minorHAnsi"/>
          <w:color w:val="222222"/>
          <w:spacing w:val="4"/>
          <w:szCs w:val="28"/>
          <w:shd w:val="clear" w:color="auto" w:fill="FFFFFF"/>
        </w:rPr>
        <w:t>T</w:t>
      </w:r>
      <w:r w:rsidRPr="001C338A">
        <w:rPr>
          <w:rFonts w:cstheme="minorHAnsi"/>
          <w:color w:val="222222"/>
          <w:spacing w:val="4"/>
          <w:szCs w:val="28"/>
          <w:shd w:val="clear" w:color="auto" w:fill="FFFFFF"/>
        </w:rPr>
        <w:t>he provision allows them to request the information through their representatives or through an equality body.</w:t>
      </w:r>
    </w:p>
    <w:p w14:paraId="06F88131" w14:textId="07CC316E" w:rsidR="00106431" w:rsidRPr="001C338A" w:rsidRDefault="00592A8F" w:rsidP="00106431">
      <w:pPr>
        <w:pStyle w:val="11NumPara"/>
      </w:pPr>
      <w:proofErr w:type="gramStart"/>
      <w:r w:rsidRPr="001C338A">
        <w:rPr>
          <w:rFonts w:cstheme="minorHAnsi"/>
          <w:color w:val="222222"/>
          <w:spacing w:val="4"/>
          <w:szCs w:val="28"/>
          <w:shd w:val="clear" w:color="auto" w:fill="FFFFFF"/>
        </w:rPr>
        <w:t>In order to</w:t>
      </w:r>
      <w:proofErr w:type="gramEnd"/>
      <w:r w:rsidRPr="001C338A">
        <w:rPr>
          <w:rFonts w:cstheme="minorHAnsi"/>
          <w:color w:val="222222"/>
          <w:spacing w:val="4"/>
          <w:szCs w:val="28"/>
          <w:shd w:val="clear" w:color="auto" w:fill="FFFFFF"/>
        </w:rPr>
        <w:t xml:space="preserve"> assist po</w:t>
      </w:r>
      <w:r w:rsidR="00135EB8" w:rsidRPr="001C338A">
        <w:rPr>
          <w:rFonts w:cstheme="minorHAnsi"/>
          <w:color w:val="222222"/>
          <w:spacing w:val="4"/>
          <w:szCs w:val="28"/>
          <w:shd w:val="clear" w:color="auto" w:fill="FFFFFF"/>
        </w:rPr>
        <w:t>tential</w:t>
      </w:r>
      <w:r w:rsidRPr="001C338A">
        <w:rPr>
          <w:rFonts w:cstheme="minorHAnsi"/>
          <w:color w:val="222222"/>
          <w:spacing w:val="4"/>
          <w:szCs w:val="28"/>
          <w:shd w:val="clear" w:color="auto" w:fill="FFFFFF"/>
        </w:rPr>
        <w:t xml:space="preserve"> victims of gender pay discrimination, </w:t>
      </w:r>
      <w:r w:rsidR="00135EB8" w:rsidRPr="001C338A">
        <w:rPr>
          <w:rFonts w:cstheme="minorHAnsi"/>
          <w:color w:val="222222"/>
          <w:spacing w:val="4"/>
          <w:szCs w:val="28"/>
          <w:shd w:val="clear" w:color="auto" w:fill="FFFFFF"/>
        </w:rPr>
        <w:t>employers are prohibited from using</w:t>
      </w:r>
      <w:r w:rsidRPr="001C338A">
        <w:rPr>
          <w:rFonts w:cstheme="minorHAnsi"/>
          <w:color w:val="222222"/>
          <w:spacing w:val="4"/>
          <w:szCs w:val="28"/>
          <w:shd w:val="clear" w:color="auto" w:fill="FFFFFF"/>
        </w:rPr>
        <w:t xml:space="preserve"> </w:t>
      </w:r>
      <w:r w:rsidR="00966D3F" w:rsidRPr="001C338A">
        <w:rPr>
          <w:rFonts w:cstheme="minorHAnsi"/>
          <w:color w:val="222222"/>
          <w:spacing w:val="4"/>
          <w:szCs w:val="28"/>
          <w:shd w:val="clear" w:color="auto" w:fill="FFFFFF"/>
        </w:rPr>
        <w:t xml:space="preserve">pay secrecy or </w:t>
      </w:r>
      <w:r w:rsidRPr="001C338A">
        <w:rPr>
          <w:rFonts w:cstheme="minorHAnsi"/>
          <w:color w:val="222222"/>
          <w:spacing w:val="4"/>
          <w:szCs w:val="28"/>
          <w:shd w:val="clear" w:color="auto" w:fill="FFFFFF"/>
        </w:rPr>
        <w:t>confidentiality clauses</w:t>
      </w:r>
      <w:r w:rsidR="0026697D" w:rsidRPr="001C338A">
        <w:rPr>
          <w:rFonts w:cstheme="minorHAnsi"/>
          <w:color w:val="222222"/>
          <w:spacing w:val="4"/>
          <w:szCs w:val="28"/>
          <w:shd w:val="clear" w:color="auto" w:fill="FFFFFF"/>
        </w:rPr>
        <w:t xml:space="preserve"> </w:t>
      </w:r>
      <w:r w:rsidRPr="001C338A">
        <w:rPr>
          <w:rFonts w:cstheme="minorHAnsi"/>
          <w:color w:val="222222"/>
          <w:spacing w:val="4"/>
          <w:szCs w:val="28"/>
          <w:shd w:val="clear" w:color="auto" w:fill="FFFFFF"/>
        </w:rPr>
        <w:t>insofar as the disclosure of pay information aims at enforcing the right of equal pay between men and women for equal work or work of equal value</w:t>
      </w:r>
      <w:r w:rsidR="003D1CE5">
        <w:rPr>
          <w:rFonts w:cstheme="minorHAnsi"/>
          <w:color w:val="222222"/>
          <w:spacing w:val="4"/>
          <w:szCs w:val="28"/>
          <w:shd w:val="clear" w:color="auto" w:fill="FFFFFF"/>
        </w:rPr>
        <w:t>.</w:t>
      </w:r>
      <w:r w:rsidR="00C5177C" w:rsidRPr="001C338A">
        <w:rPr>
          <w:rFonts w:cstheme="minorHAnsi"/>
          <w:color w:val="222222"/>
          <w:spacing w:val="4"/>
          <w:szCs w:val="28"/>
          <w:shd w:val="clear" w:color="auto" w:fill="FFFFFF"/>
        </w:rPr>
        <w:t xml:space="preserve"> </w:t>
      </w:r>
      <w:r w:rsidR="003D1CE5">
        <w:rPr>
          <w:rFonts w:cstheme="minorHAnsi"/>
          <w:color w:val="222222"/>
          <w:spacing w:val="4"/>
          <w:szCs w:val="28"/>
          <w:shd w:val="clear" w:color="auto" w:fill="FFFFFF"/>
        </w:rPr>
        <w:t>However</w:t>
      </w:r>
      <w:r w:rsidR="00A71FEC">
        <w:rPr>
          <w:rFonts w:cstheme="minorHAnsi"/>
          <w:color w:val="222222"/>
          <w:spacing w:val="4"/>
          <w:szCs w:val="28"/>
          <w:shd w:val="clear" w:color="auto" w:fill="FFFFFF"/>
        </w:rPr>
        <w:t xml:space="preserve"> </w:t>
      </w:r>
      <w:r w:rsidR="008B7D42" w:rsidRPr="001C338A">
        <w:rPr>
          <w:rFonts w:cstheme="minorHAnsi"/>
          <w:color w:val="222222"/>
          <w:spacing w:val="4"/>
          <w:szCs w:val="28"/>
          <w:shd w:val="clear" w:color="auto" w:fill="FFFFFF"/>
        </w:rPr>
        <w:t>employers may request that the use of any information obtained remains limited to the enforcement of the right to equal pay.</w:t>
      </w:r>
    </w:p>
    <w:p w14:paraId="52C3B895" w14:textId="0FEAC7F1" w:rsidR="00966D3F" w:rsidRPr="001C338A" w:rsidRDefault="00C5177C" w:rsidP="00106431">
      <w:pPr>
        <w:pStyle w:val="11NumPara"/>
      </w:pPr>
      <w:r w:rsidRPr="001C338A">
        <w:rPr>
          <w:rFonts w:cstheme="minorHAnsi"/>
          <w:szCs w:val="28"/>
        </w:rPr>
        <w:lastRenderedPageBreak/>
        <w:t xml:space="preserve">Critically, the PTD itself </w:t>
      </w:r>
      <w:r w:rsidR="00966D3F" w:rsidRPr="001C338A">
        <w:rPr>
          <w:rFonts w:cstheme="minorHAnsi"/>
          <w:szCs w:val="28"/>
        </w:rPr>
        <w:t xml:space="preserve">makes clear the link with this measure and the </w:t>
      </w:r>
      <w:r w:rsidR="00966D3F" w:rsidRPr="001C338A">
        <w:rPr>
          <w:rFonts w:cstheme="minorHAnsi"/>
          <w:szCs w:val="28"/>
          <w:u w:val="single"/>
        </w:rPr>
        <w:t>enforcement</w:t>
      </w:r>
      <w:r w:rsidR="00966D3F" w:rsidRPr="001C338A">
        <w:rPr>
          <w:rFonts w:cstheme="minorHAnsi"/>
          <w:szCs w:val="28"/>
        </w:rPr>
        <w:t xml:space="preserve"> of the principle of equal pay.</w:t>
      </w:r>
      <w:r w:rsidR="00966D3F" w:rsidRPr="001C338A">
        <w:rPr>
          <w:rStyle w:val="FootnoteReference"/>
          <w:rFonts w:asciiTheme="minorHAnsi" w:hAnsiTheme="minorHAnsi" w:cstheme="minorHAnsi"/>
          <w:szCs w:val="28"/>
        </w:rPr>
        <w:footnoteReference w:id="70"/>
      </w:r>
    </w:p>
    <w:p w14:paraId="5D705941" w14:textId="03EEAB94" w:rsidR="00FD5A2A" w:rsidRPr="001C338A" w:rsidRDefault="00FD5A2A" w:rsidP="00FD5A2A">
      <w:pPr>
        <w:pStyle w:val="11NumPara"/>
      </w:pPr>
      <w:r w:rsidRPr="19FCFAC6">
        <w:t xml:space="preserve">The Commissions consider that these provisions on </w:t>
      </w:r>
      <w:r w:rsidRPr="19FCFAC6">
        <w:rPr>
          <w:color w:val="222222"/>
          <w:spacing w:val="4"/>
          <w:shd w:val="clear" w:color="auto" w:fill="FFFFFF"/>
        </w:rPr>
        <w:t>right to information</w:t>
      </w:r>
      <w:r w:rsidRPr="19FCFAC6">
        <w:rPr>
          <w:rFonts w:asciiTheme="minorHAnsi" w:hAnsiTheme="minorHAnsi"/>
        </w:rPr>
        <w:t xml:space="preserve"> and accessibility of information </w:t>
      </w:r>
      <w:r w:rsidRPr="19FCFAC6">
        <w:t xml:space="preserve">strengthen the application </w:t>
      </w:r>
      <w:r w:rsidR="00CB0FE8" w:rsidRPr="19FCFAC6">
        <w:t xml:space="preserve">and enforcement </w:t>
      </w:r>
      <w:r w:rsidRPr="19FCFAC6">
        <w:t xml:space="preserve">of the principle of equal pay and the prohibition of </w:t>
      </w:r>
      <w:r w:rsidR="00541E14" w:rsidRPr="19FCFAC6">
        <w:t xml:space="preserve">pay </w:t>
      </w:r>
      <w:r w:rsidRPr="19FCFAC6">
        <w:t>discrimination.</w:t>
      </w:r>
    </w:p>
    <w:p w14:paraId="77D09794" w14:textId="77777777" w:rsidR="006C1F49" w:rsidRPr="001C338A" w:rsidRDefault="006C1F49" w:rsidP="0011718E">
      <w:pPr>
        <w:pStyle w:val="11NumPara"/>
        <w:numPr>
          <w:ilvl w:val="0"/>
          <w:numId w:val="0"/>
        </w:numPr>
        <w:rPr>
          <w:rFonts w:asciiTheme="minorHAnsi" w:hAnsiTheme="minorHAnsi" w:cstheme="minorHAnsi"/>
          <w:b/>
          <w:bCs/>
          <w:color w:val="222222"/>
          <w:spacing w:val="4"/>
          <w:szCs w:val="28"/>
          <w:shd w:val="clear" w:color="auto" w:fill="FFFFFF"/>
        </w:rPr>
      </w:pPr>
    </w:p>
    <w:p w14:paraId="18CF5230" w14:textId="558C060A" w:rsidR="002227FC" w:rsidRPr="001C338A" w:rsidRDefault="00106431" w:rsidP="002227FC">
      <w:pPr>
        <w:pStyle w:val="11NumPara"/>
        <w:numPr>
          <w:ilvl w:val="0"/>
          <w:numId w:val="0"/>
        </w:numPr>
        <w:ind w:left="709"/>
      </w:pPr>
      <w:r w:rsidRPr="001C338A">
        <w:rPr>
          <w:rFonts w:asciiTheme="minorHAnsi" w:hAnsiTheme="minorHAnsi" w:cstheme="minorHAnsi"/>
          <w:b/>
          <w:bCs/>
          <w:color w:val="222222"/>
          <w:spacing w:val="4"/>
          <w:szCs w:val="28"/>
          <w:shd w:val="clear" w:color="auto" w:fill="FFFFFF"/>
        </w:rPr>
        <w:t>Article 9 – Reporting on pay gap between female and male workers</w:t>
      </w:r>
    </w:p>
    <w:p w14:paraId="4D3C049B" w14:textId="42845A63" w:rsidR="002227FC" w:rsidRPr="001C338A" w:rsidRDefault="002227FC" w:rsidP="002227FC">
      <w:pPr>
        <w:pStyle w:val="11NumPara"/>
      </w:pPr>
      <w:r w:rsidRPr="001C338A">
        <w:t>The PTD introduces the following new gender pay gap reporting requirements on certain employers</w:t>
      </w:r>
      <w:r w:rsidR="002B10F5" w:rsidRPr="001C338A">
        <w:t>:</w:t>
      </w:r>
    </w:p>
    <w:p w14:paraId="12898BAC" w14:textId="2D646819" w:rsidR="002227FC" w:rsidRPr="001C338A" w:rsidRDefault="002227FC" w:rsidP="002227FC">
      <w:pPr>
        <w:pStyle w:val="11NumPara"/>
        <w:numPr>
          <w:ilvl w:val="0"/>
          <w:numId w:val="0"/>
        </w:numPr>
        <w:ind w:left="709"/>
      </w:pPr>
      <w:r w:rsidRPr="001C338A">
        <w:t xml:space="preserve">•Employers with at least 250 workers </w:t>
      </w:r>
      <w:proofErr w:type="gramStart"/>
      <w:r w:rsidRPr="001C338A">
        <w:t>are required</w:t>
      </w:r>
      <w:proofErr w:type="gramEnd"/>
      <w:r w:rsidRPr="001C338A">
        <w:t xml:space="preserve"> to report annually, from 7 June 202</w:t>
      </w:r>
      <w:r w:rsidR="00CB0FE8" w:rsidRPr="001C338A">
        <w:t>7,</w:t>
      </w:r>
      <w:r w:rsidRPr="001C338A">
        <w:t xml:space="preserve"> on the gender pay gap in their organisation to the relevant national authority.</w:t>
      </w:r>
    </w:p>
    <w:p w14:paraId="51B673FB" w14:textId="482DCBD7" w:rsidR="002227FC" w:rsidRPr="001C338A" w:rsidRDefault="002227FC" w:rsidP="002227FC">
      <w:pPr>
        <w:pStyle w:val="11NumPara"/>
        <w:numPr>
          <w:ilvl w:val="0"/>
          <w:numId w:val="0"/>
        </w:numPr>
        <w:ind w:left="709"/>
      </w:pPr>
      <w:r w:rsidRPr="001C338A">
        <w:t>•For employers with 150 to 249 workers, the reporting obligation will take place every three years, from 7 June 202</w:t>
      </w:r>
      <w:r w:rsidR="00524932" w:rsidRPr="001C338A">
        <w:t>7.</w:t>
      </w:r>
      <w:r w:rsidRPr="001C338A">
        <w:t xml:space="preserve"> For employers with 100 to 149 workers, the reporting obligation will take place every three years, from 7 June 2031.</w:t>
      </w:r>
      <w:r w:rsidR="00D7627D" w:rsidRPr="001C338A">
        <w:t xml:space="preserve"> Therefore, employers with 100-149 employees have a longer time to comply with the PTD compared with larger employers; namely, 5</w:t>
      </w:r>
      <w:r w:rsidR="004B7101">
        <w:t xml:space="preserve"> </w:t>
      </w:r>
      <w:r w:rsidR="00D7627D" w:rsidRPr="001C338A">
        <w:t xml:space="preserve">years after the PTD must </w:t>
      </w:r>
      <w:proofErr w:type="gramStart"/>
      <w:r w:rsidR="00D7627D" w:rsidRPr="001C338A">
        <w:t>be transposed</w:t>
      </w:r>
      <w:proofErr w:type="gramEnd"/>
      <w:r w:rsidR="00D7627D" w:rsidRPr="001C338A">
        <w:t xml:space="preserve"> (</w:t>
      </w:r>
      <w:r w:rsidR="00BF0DF4" w:rsidRPr="001C338A">
        <w:t xml:space="preserve">i.e. </w:t>
      </w:r>
      <w:r w:rsidR="00D7627D" w:rsidRPr="001C338A">
        <w:t>by 2031).</w:t>
      </w:r>
    </w:p>
    <w:p w14:paraId="011F9643" w14:textId="2A2467FF" w:rsidR="00DF7998" w:rsidRPr="001C338A" w:rsidRDefault="00EF257D" w:rsidP="00106431">
      <w:pPr>
        <w:pStyle w:val="11NumPara"/>
      </w:pPr>
      <w:r w:rsidRPr="001C338A">
        <w:rPr>
          <w:rFonts w:asciiTheme="minorHAnsi" w:hAnsiTheme="minorHAnsi" w:cstheme="minorHAnsi"/>
          <w:color w:val="3F4A52"/>
          <w:szCs w:val="28"/>
        </w:rPr>
        <w:t xml:space="preserve">Employers </w:t>
      </w:r>
      <w:r w:rsidR="00DF7998" w:rsidRPr="001C338A">
        <w:rPr>
          <w:rFonts w:asciiTheme="minorHAnsi" w:hAnsiTheme="minorHAnsi" w:cstheme="minorHAnsi"/>
          <w:color w:val="3F4A52"/>
          <w:szCs w:val="28"/>
        </w:rPr>
        <w:t xml:space="preserve">with less than </w:t>
      </w:r>
      <w:proofErr w:type="gramStart"/>
      <w:r w:rsidR="00DF7998" w:rsidRPr="001C338A">
        <w:rPr>
          <w:rFonts w:asciiTheme="minorHAnsi" w:hAnsiTheme="minorHAnsi" w:cstheme="minorHAnsi"/>
          <w:color w:val="3F4A52"/>
          <w:szCs w:val="28"/>
        </w:rPr>
        <w:t>100</w:t>
      </w:r>
      <w:proofErr w:type="gramEnd"/>
      <w:r w:rsidR="00DF7998" w:rsidRPr="001C338A">
        <w:rPr>
          <w:rFonts w:asciiTheme="minorHAnsi" w:hAnsiTheme="minorHAnsi" w:cstheme="minorHAnsi"/>
          <w:color w:val="3F4A52"/>
          <w:szCs w:val="28"/>
        </w:rPr>
        <w:t xml:space="preserve"> </w:t>
      </w:r>
      <w:r w:rsidR="00676DB6" w:rsidRPr="001C338A">
        <w:rPr>
          <w:rFonts w:asciiTheme="minorHAnsi" w:hAnsiTheme="minorHAnsi" w:cstheme="minorHAnsi"/>
          <w:color w:val="3F4A52"/>
          <w:szCs w:val="28"/>
        </w:rPr>
        <w:t xml:space="preserve">workers </w:t>
      </w:r>
      <w:r w:rsidR="001B3EEC" w:rsidRPr="001C338A">
        <w:rPr>
          <w:rFonts w:asciiTheme="minorHAnsi" w:hAnsiTheme="minorHAnsi" w:cstheme="minorHAnsi"/>
          <w:color w:val="3F4A52"/>
          <w:szCs w:val="28"/>
        </w:rPr>
        <w:t>do no</w:t>
      </w:r>
      <w:r w:rsidR="00DF7998" w:rsidRPr="001C338A">
        <w:rPr>
          <w:rFonts w:asciiTheme="minorHAnsi" w:hAnsiTheme="minorHAnsi" w:cstheme="minorHAnsi"/>
          <w:color w:val="3F4A52"/>
          <w:szCs w:val="28"/>
        </w:rPr>
        <w:t>t have any reporting obligation</w:t>
      </w:r>
      <w:r w:rsidRPr="001C338A">
        <w:rPr>
          <w:rFonts w:asciiTheme="minorHAnsi" w:hAnsiTheme="minorHAnsi" w:cstheme="minorHAnsi"/>
          <w:color w:val="3F4A52"/>
          <w:szCs w:val="28"/>
        </w:rPr>
        <w:t>s</w:t>
      </w:r>
      <w:r w:rsidR="00676DB6" w:rsidRPr="001C338A">
        <w:rPr>
          <w:rFonts w:asciiTheme="minorHAnsi" w:hAnsiTheme="minorHAnsi" w:cstheme="minorHAnsi"/>
          <w:color w:val="3F4A52"/>
          <w:szCs w:val="28"/>
        </w:rPr>
        <w:t>, but can do so on a voluntary basis</w:t>
      </w:r>
      <w:r w:rsidR="00DF7998" w:rsidRPr="001C338A">
        <w:rPr>
          <w:rFonts w:asciiTheme="minorHAnsi" w:hAnsiTheme="minorHAnsi" w:cstheme="minorHAnsi"/>
          <w:color w:val="3F4A52"/>
          <w:szCs w:val="28"/>
        </w:rPr>
        <w:t>.</w:t>
      </w:r>
    </w:p>
    <w:p w14:paraId="4D05A1F6" w14:textId="56B5FCD4" w:rsidR="00820033" w:rsidRPr="001C338A" w:rsidRDefault="00820033" w:rsidP="00106431">
      <w:pPr>
        <w:pStyle w:val="11NumPara"/>
      </w:pPr>
      <w:r w:rsidRPr="001C338A">
        <w:rPr>
          <w:rFonts w:cstheme="minorHAnsi"/>
          <w:color w:val="222222"/>
          <w:spacing w:val="4"/>
          <w:szCs w:val="28"/>
          <w:shd w:val="clear" w:color="auto" w:fill="FFFFFF"/>
        </w:rPr>
        <w:t xml:space="preserve">The information that employers </w:t>
      </w:r>
      <w:r w:rsidR="00227108" w:rsidRPr="001C338A">
        <w:rPr>
          <w:rFonts w:cstheme="minorHAnsi"/>
          <w:color w:val="222222"/>
          <w:spacing w:val="4"/>
          <w:szCs w:val="28"/>
          <w:shd w:val="clear" w:color="auto" w:fill="FFFFFF"/>
        </w:rPr>
        <w:t xml:space="preserve">with </w:t>
      </w:r>
      <w:r w:rsidR="00A36E5F" w:rsidRPr="001C338A">
        <w:rPr>
          <w:rFonts w:cstheme="minorHAnsi"/>
          <w:color w:val="222222"/>
          <w:spacing w:val="4"/>
          <w:szCs w:val="28"/>
          <w:shd w:val="clear" w:color="auto" w:fill="FFFFFF"/>
        </w:rPr>
        <w:t xml:space="preserve">at least 100 workers </w:t>
      </w:r>
      <w:r w:rsidRPr="001C338A">
        <w:rPr>
          <w:rFonts w:cstheme="minorHAnsi"/>
          <w:color w:val="222222"/>
          <w:spacing w:val="4"/>
          <w:szCs w:val="28"/>
          <w:shd w:val="clear" w:color="auto" w:fill="FFFFFF"/>
        </w:rPr>
        <w:t xml:space="preserve">must provide is as follows: </w:t>
      </w:r>
      <w:r w:rsidR="00DD1596">
        <w:rPr>
          <w:rFonts w:cstheme="minorHAnsi"/>
          <w:color w:val="222222"/>
          <w:spacing w:val="4"/>
          <w:szCs w:val="28"/>
          <w:shd w:val="clear" w:color="auto" w:fill="FFFFFF"/>
        </w:rPr>
        <w:t xml:space="preserve">(a) </w:t>
      </w:r>
      <w:r w:rsidRPr="001C338A">
        <w:rPr>
          <w:rFonts w:cstheme="minorHAnsi"/>
          <w:color w:val="222222"/>
          <w:spacing w:val="4"/>
          <w:szCs w:val="28"/>
          <w:shd w:val="clear" w:color="auto" w:fill="FFFFFF"/>
        </w:rPr>
        <w:t xml:space="preserve">the </w:t>
      </w:r>
      <w:r w:rsidR="00A36E5F" w:rsidRPr="001C338A">
        <w:rPr>
          <w:rFonts w:cstheme="minorHAnsi"/>
          <w:color w:val="222222"/>
          <w:spacing w:val="4"/>
          <w:szCs w:val="28"/>
          <w:shd w:val="clear" w:color="auto" w:fill="FFFFFF"/>
        </w:rPr>
        <w:t>g</w:t>
      </w:r>
      <w:r w:rsidRPr="001C338A">
        <w:rPr>
          <w:rFonts w:cstheme="minorHAnsi"/>
          <w:color w:val="222222"/>
          <w:spacing w:val="4"/>
          <w:szCs w:val="28"/>
          <w:shd w:val="clear" w:color="auto" w:fill="FFFFFF"/>
        </w:rPr>
        <w:t xml:space="preserve">ender pay gap; </w:t>
      </w:r>
      <w:r w:rsidR="00DD1596">
        <w:rPr>
          <w:rFonts w:cstheme="minorHAnsi"/>
          <w:color w:val="222222"/>
          <w:spacing w:val="4"/>
          <w:szCs w:val="28"/>
          <w:shd w:val="clear" w:color="auto" w:fill="FFFFFF"/>
        </w:rPr>
        <w:t>(b)</w:t>
      </w:r>
      <w:r w:rsidRPr="001C338A">
        <w:rPr>
          <w:rFonts w:cstheme="minorHAnsi"/>
          <w:color w:val="222222"/>
          <w:spacing w:val="4"/>
          <w:szCs w:val="28"/>
          <w:shd w:val="clear" w:color="auto" w:fill="FFFFFF"/>
        </w:rPr>
        <w:t xml:space="preserve">the gender pay gap in complementary or variable components; </w:t>
      </w:r>
      <w:r w:rsidR="00DD1596">
        <w:rPr>
          <w:rFonts w:cstheme="minorHAnsi"/>
          <w:color w:val="222222"/>
          <w:spacing w:val="4"/>
          <w:szCs w:val="28"/>
          <w:shd w:val="clear" w:color="auto" w:fill="FFFFFF"/>
        </w:rPr>
        <w:t>(c)</w:t>
      </w:r>
      <w:r w:rsidRPr="001C338A">
        <w:rPr>
          <w:rFonts w:cstheme="minorHAnsi"/>
          <w:color w:val="222222"/>
          <w:spacing w:val="4"/>
          <w:szCs w:val="28"/>
          <w:shd w:val="clear" w:color="auto" w:fill="FFFFFF"/>
        </w:rPr>
        <w:t>the median gender pay gap;</w:t>
      </w:r>
      <w:r w:rsidR="00DD1596">
        <w:rPr>
          <w:rFonts w:cstheme="minorHAnsi"/>
          <w:color w:val="222222"/>
          <w:spacing w:val="4"/>
          <w:szCs w:val="28"/>
          <w:shd w:val="clear" w:color="auto" w:fill="FFFFFF"/>
        </w:rPr>
        <w:t xml:space="preserve"> (d)</w:t>
      </w:r>
      <w:r w:rsidRPr="001C338A">
        <w:rPr>
          <w:rFonts w:cstheme="minorHAnsi"/>
          <w:color w:val="222222"/>
          <w:spacing w:val="4"/>
          <w:szCs w:val="28"/>
          <w:shd w:val="clear" w:color="auto" w:fill="FFFFFF"/>
        </w:rPr>
        <w:t xml:space="preserve"> the median gender pay gap in complementary or variable components; </w:t>
      </w:r>
      <w:r w:rsidR="00DD1596">
        <w:rPr>
          <w:rFonts w:cstheme="minorHAnsi"/>
          <w:color w:val="222222"/>
          <w:spacing w:val="4"/>
          <w:szCs w:val="28"/>
          <w:shd w:val="clear" w:color="auto" w:fill="FFFFFF"/>
        </w:rPr>
        <w:t>(e)</w:t>
      </w:r>
      <w:r w:rsidRPr="001C338A">
        <w:rPr>
          <w:rFonts w:cstheme="minorHAnsi"/>
          <w:szCs w:val="28"/>
        </w:rPr>
        <w:t xml:space="preserve">the proportion of female and male workers receiving complementary or variable components; </w:t>
      </w:r>
      <w:r w:rsidR="000163DD">
        <w:rPr>
          <w:rFonts w:cstheme="minorHAnsi"/>
          <w:szCs w:val="28"/>
        </w:rPr>
        <w:t xml:space="preserve">(f) </w:t>
      </w:r>
      <w:r w:rsidRPr="001C338A">
        <w:rPr>
          <w:rFonts w:cstheme="minorHAnsi"/>
          <w:szCs w:val="28"/>
        </w:rPr>
        <w:t xml:space="preserve">the proportion of female and male workers in each quartile pay band; </w:t>
      </w:r>
      <w:r w:rsidR="000163DD">
        <w:rPr>
          <w:rFonts w:cstheme="minorHAnsi"/>
          <w:szCs w:val="28"/>
        </w:rPr>
        <w:t>(g)</w:t>
      </w:r>
      <w:r w:rsidRPr="001C338A">
        <w:rPr>
          <w:rFonts w:cstheme="minorHAnsi"/>
          <w:szCs w:val="28"/>
        </w:rPr>
        <w:t xml:space="preserve"> the gender pay gap between workers by categories of workers broken down by ordinary basic wage or salary and complementary or variable components. </w:t>
      </w:r>
    </w:p>
    <w:p w14:paraId="28043066" w14:textId="7F4C9497" w:rsidR="005251D9" w:rsidRPr="001C338A" w:rsidRDefault="005251D9" w:rsidP="00106431">
      <w:pPr>
        <w:pStyle w:val="11NumPara"/>
      </w:pPr>
      <w:r w:rsidRPr="001C338A">
        <w:rPr>
          <w:rFonts w:asciiTheme="minorHAnsi" w:hAnsiTheme="minorHAnsi" w:cstheme="minorHAnsi"/>
          <w:color w:val="222222"/>
          <w:spacing w:val="4"/>
          <w:szCs w:val="28"/>
          <w:shd w:val="clear" w:color="auto" w:fill="FFFFFF"/>
        </w:rPr>
        <w:t xml:space="preserve">Employers </w:t>
      </w:r>
      <w:r w:rsidR="005A2FB0">
        <w:rPr>
          <w:rFonts w:asciiTheme="minorHAnsi" w:hAnsiTheme="minorHAnsi" w:cstheme="minorHAnsi"/>
          <w:color w:val="222222"/>
          <w:spacing w:val="4"/>
          <w:szCs w:val="28"/>
          <w:shd w:val="clear" w:color="auto" w:fill="FFFFFF"/>
        </w:rPr>
        <w:t xml:space="preserve">must report </w:t>
      </w:r>
      <w:r w:rsidR="009D2265">
        <w:rPr>
          <w:rFonts w:asciiTheme="minorHAnsi" w:hAnsiTheme="minorHAnsi" w:cstheme="minorHAnsi"/>
          <w:color w:val="222222"/>
          <w:spacing w:val="4"/>
          <w:szCs w:val="28"/>
          <w:shd w:val="clear" w:color="auto" w:fill="FFFFFF"/>
        </w:rPr>
        <w:t xml:space="preserve">on this data </w:t>
      </w:r>
      <w:r w:rsidR="005A2FB0">
        <w:rPr>
          <w:rFonts w:asciiTheme="minorHAnsi" w:hAnsiTheme="minorHAnsi" w:cstheme="minorHAnsi"/>
          <w:color w:val="222222"/>
          <w:spacing w:val="4"/>
          <w:szCs w:val="28"/>
          <w:shd w:val="clear" w:color="auto" w:fill="FFFFFF"/>
        </w:rPr>
        <w:t xml:space="preserve">to the monitoring body </w:t>
      </w:r>
      <w:r w:rsidR="0043667A">
        <w:rPr>
          <w:rFonts w:asciiTheme="minorHAnsi" w:hAnsiTheme="minorHAnsi" w:cstheme="minorHAnsi"/>
          <w:color w:val="222222"/>
          <w:spacing w:val="4"/>
          <w:szCs w:val="28"/>
          <w:shd w:val="clear" w:color="auto" w:fill="FFFFFF"/>
        </w:rPr>
        <w:t xml:space="preserve">charged with compiling and publishing </w:t>
      </w:r>
      <w:r w:rsidR="009D2265">
        <w:rPr>
          <w:rFonts w:asciiTheme="minorHAnsi" w:hAnsiTheme="minorHAnsi" w:cstheme="minorHAnsi"/>
          <w:color w:val="222222"/>
          <w:spacing w:val="4"/>
          <w:szCs w:val="28"/>
          <w:shd w:val="clear" w:color="auto" w:fill="FFFFFF"/>
        </w:rPr>
        <w:t xml:space="preserve">such data. Employers </w:t>
      </w:r>
      <w:r w:rsidR="00852A00">
        <w:rPr>
          <w:rFonts w:asciiTheme="minorHAnsi" w:hAnsiTheme="minorHAnsi" w:cstheme="minorHAnsi"/>
          <w:color w:val="222222"/>
          <w:spacing w:val="4"/>
          <w:szCs w:val="28"/>
          <w:shd w:val="clear" w:color="auto" w:fill="FFFFFF"/>
        </w:rPr>
        <w:t xml:space="preserve">may publish </w:t>
      </w:r>
      <w:proofErr w:type="gramStart"/>
      <w:r w:rsidR="00852A00">
        <w:rPr>
          <w:rFonts w:asciiTheme="minorHAnsi" w:hAnsiTheme="minorHAnsi" w:cstheme="minorHAnsi"/>
          <w:color w:val="222222"/>
          <w:spacing w:val="4"/>
          <w:szCs w:val="28"/>
          <w:shd w:val="clear" w:color="auto" w:fill="FFFFFF"/>
        </w:rPr>
        <w:t>some of</w:t>
      </w:r>
      <w:proofErr w:type="gramEnd"/>
      <w:r w:rsidR="00852A00">
        <w:rPr>
          <w:rFonts w:asciiTheme="minorHAnsi" w:hAnsiTheme="minorHAnsi" w:cstheme="minorHAnsi"/>
          <w:color w:val="222222"/>
          <w:spacing w:val="4"/>
          <w:szCs w:val="28"/>
          <w:shd w:val="clear" w:color="auto" w:fill="FFFFFF"/>
        </w:rPr>
        <w:t xml:space="preserve"> this information (</w:t>
      </w:r>
      <w:r w:rsidR="002565BE">
        <w:rPr>
          <w:rFonts w:asciiTheme="minorHAnsi" w:hAnsiTheme="minorHAnsi" w:cstheme="minorHAnsi"/>
          <w:color w:val="222222"/>
          <w:spacing w:val="4"/>
          <w:szCs w:val="28"/>
          <w:shd w:val="clear" w:color="auto" w:fill="FFFFFF"/>
        </w:rPr>
        <w:t xml:space="preserve">namely </w:t>
      </w:r>
      <w:r w:rsidR="00AE549F">
        <w:rPr>
          <w:rFonts w:asciiTheme="minorHAnsi" w:hAnsiTheme="minorHAnsi" w:cstheme="minorHAnsi"/>
          <w:color w:val="222222"/>
          <w:spacing w:val="4"/>
          <w:szCs w:val="28"/>
          <w:shd w:val="clear" w:color="auto" w:fill="FFFFFF"/>
        </w:rPr>
        <w:t xml:space="preserve">(a) to (f) above) </w:t>
      </w:r>
      <w:r w:rsidR="00F9270D">
        <w:rPr>
          <w:rFonts w:asciiTheme="minorHAnsi" w:hAnsiTheme="minorHAnsi" w:cstheme="minorHAnsi"/>
          <w:color w:val="222222"/>
          <w:spacing w:val="4"/>
          <w:szCs w:val="28"/>
          <w:shd w:val="clear" w:color="auto" w:fill="FFFFFF"/>
        </w:rPr>
        <w:t xml:space="preserve">on </w:t>
      </w:r>
      <w:r w:rsidR="002565BE">
        <w:rPr>
          <w:rFonts w:asciiTheme="minorHAnsi" w:hAnsiTheme="minorHAnsi" w:cstheme="minorHAnsi"/>
          <w:color w:val="222222"/>
          <w:spacing w:val="4"/>
          <w:szCs w:val="28"/>
          <w:shd w:val="clear" w:color="auto" w:fill="FFFFFF"/>
        </w:rPr>
        <w:t>their</w:t>
      </w:r>
      <w:r w:rsidR="00F9270D">
        <w:rPr>
          <w:rFonts w:asciiTheme="minorHAnsi" w:hAnsiTheme="minorHAnsi" w:cstheme="minorHAnsi"/>
          <w:color w:val="222222"/>
          <w:spacing w:val="4"/>
          <w:szCs w:val="28"/>
          <w:shd w:val="clear" w:color="auto" w:fill="FFFFFF"/>
        </w:rPr>
        <w:t xml:space="preserve"> website</w:t>
      </w:r>
      <w:r w:rsidR="002565BE">
        <w:rPr>
          <w:rFonts w:asciiTheme="minorHAnsi" w:hAnsiTheme="minorHAnsi" w:cstheme="minorHAnsi"/>
          <w:color w:val="222222"/>
          <w:spacing w:val="4"/>
          <w:szCs w:val="28"/>
          <w:shd w:val="clear" w:color="auto" w:fill="FFFFFF"/>
        </w:rPr>
        <w:t>s</w:t>
      </w:r>
      <w:r w:rsidR="00F9270D">
        <w:rPr>
          <w:rFonts w:asciiTheme="minorHAnsi" w:hAnsiTheme="minorHAnsi" w:cstheme="minorHAnsi"/>
          <w:color w:val="222222"/>
          <w:spacing w:val="4"/>
          <w:szCs w:val="28"/>
          <w:shd w:val="clear" w:color="auto" w:fill="FFFFFF"/>
        </w:rPr>
        <w:t xml:space="preserve"> </w:t>
      </w:r>
      <w:r w:rsidR="000950F8">
        <w:rPr>
          <w:rFonts w:asciiTheme="minorHAnsi" w:hAnsiTheme="minorHAnsi" w:cstheme="minorHAnsi"/>
          <w:color w:val="222222"/>
          <w:spacing w:val="4"/>
          <w:szCs w:val="28"/>
          <w:shd w:val="clear" w:color="auto" w:fill="FFFFFF"/>
        </w:rPr>
        <w:t xml:space="preserve">or make them publicly available in another manner. </w:t>
      </w:r>
      <w:r w:rsidR="00FE1B2B">
        <w:rPr>
          <w:rFonts w:asciiTheme="minorHAnsi" w:hAnsiTheme="minorHAnsi" w:cstheme="minorHAnsi"/>
          <w:color w:val="222222"/>
          <w:spacing w:val="4"/>
          <w:szCs w:val="28"/>
          <w:shd w:val="clear" w:color="auto" w:fill="FFFFFF"/>
        </w:rPr>
        <w:t xml:space="preserve">Employers </w:t>
      </w:r>
      <w:r w:rsidR="00E24A3C" w:rsidRPr="001C338A">
        <w:rPr>
          <w:rFonts w:asciiTheme="minorHAnsi" w:hAnsiTheme="minorHAnsi" w:cstheme="minorHAnsi"/>
          <w:color w:val="222222"/>
          <w:spacing w:val="4"/>
          <w:szCs w:val="28"/>
          <w:shd w:val="clear" w:color="auto" w:fill="FFFFFF"/>
        </w:rPr>
        <w:t xml:space="preserve">must </w:t>
      </w:r>
      <w:r w:rsidRPr="001C338A">
        <w:rPr>
          <w:rFonts w:asciiTheme="minorHAnsi" w:hAnsiTheme="minorHAnsi" w:cstheme="minorHAnsi"/>
          <w:color w:val="222222"/>
          <w:spacing w:val="4"/>
          <w:szCs w:val="28"/>
          <w:shd w:val="clear" w:color="auto" w:fill="FFFFFF"/>
        </w:rPr>
        <w:t xml:space="preserve">provide </w:t>
      </w:r>
      <w:r w:rsidR="006737C1">
        <w:rPr>
          <w:rFonts w:asciiTheme="minorHAnsi" w:hAnsiTheme="minorHAnsi" w:cstheme="minorHAnsi"/>
          <w:color w:val="222222"/>
          <w:spacing w:val="4"/>
          <w:szCs w:val="28"/>
          <w:shd w:val="clear" w:color="auto" w:fill="FFFFFF"/>
        </w:rPr>
        <w:t xml:space="preserve">the </w:t>
      </w:r>
      <w:r w:rsidRPr="001C338A">
        <w:rPr>
          <w:rFonts w:asciiTheme="minorHAnsi" w:hAnsiTheme="minorHAnsi" w:cstheme="minorHAnsi"/>
          <w:color w:val="222222"/>
          <w:spacing w:val="4"/>
          <w:szCs w:val="28"/>
          <w:shd w:val="clear" w:color="auto" w:fill="FFFFFF"/>
        </w:rPr>
        <w:t xml:space="preserve">information </w:t>
      </w:r>
      <w:r w:rsidR="006737C1">
        <w:rPr>
          <w:rFonts w:asciiTheme="minorHAnsi" w:hAnsiTheme="minorHAnsi" w:cstheme="minorHAnsi"/>
          <w:color w:val="222222"/>
          <w:spacing w:val="4"/>
          <w:szCs w:val="28"/>
          <w:shd w:val="clear" w:color="auto" w:fill="FFFFFF"/>
        </w:rPr>
        <w:t xml:space="preserve">outlined </w:t>
      </w:r>
      <w:r w:rsidR="00FE1B2B">
        <w:rPr>
          <w:rFonts w:asciiTheme="minorHAnsi" w:hAnsiTheme="minorHAnsi" w:cstheme="minorHAnsi"/>
          <w:color w:val="222222"/>
          <w:spacing w:val="4"/>
          <w:szCs w:val="28"/>
          <w:shd w:val="clear" w:color="auto" w:fill="FFFFFF"/>
        </w:rPr>
        <w:t xml:space="preserve">in point (g) above </w:t>
      </w:r>
      <w:r w:rsidRPr="001C338A">
        <w:rPr>
          <w:rFonts w:asciiTheme="minorHAnsi" w:hAnsiTheme="minorHAnsi" w:cstheme="minorHAnsi"/>
          <w:color w:val="222222"/>
          <w:spacing w:val="4"/>
          <w:szCs w:val="28"/>
          <w:shd w:val="clear" w:color="auto" w:fill="FFFFFF"/>
        </w:rPr>
        <w:t xml:space="preserve">to all workers and their representatives, and labour inspectorate and equality bodies should be able to obtain the information upon request. </w:t>
      </w:r>
    </w:p>
    <w:p w14:paraId="1293E84B" w14:textId="31FFDB00" w:rsidR="002F309A" w:rsidRPr="001C338A" w:rsidRDefault="00A77CF3" w:rsidP="00106431">
      <w:pPr>
        <w:pStyle w:val="11NumPara"/>
      </w:pPr>
      <w:r w:rsidRPr="001C338A">
        <w:rPr>
          <w:rFonts w:asciiTheme="minorHAnsi" w:hAnsiTheme="minorHAnsi" w:cstheme="minorHAnsi"/>
          <w:color w:val="222222"/>
          <w:spacing w:val="4"/>
          <w:szCs w:val="28"/>
          <w:shd w:val="clear" w:color="auto" w:fill="FFFFFF"/>
        </w:rPr>
        <w:t>W</w:t>
      </w:r>
      <w:r w:rsidR="002F309A" w:rsidRPr="001C338A">
        <w:rPr>
          <w:rFonts w:asciiTheme="minorHAnsi" w:hAnsiTheme="minorHAnsi" w:cstheme="minorHAnsi"/>
          <w:color w:val="222222"/>
          <w:spacing w:val="4"/>
          <w:szCs w:val="28"/>
          <w:shd w:val="clear" w:color="auto" w:fill="FFFFFF"/>
        </w:rPr>
        <w:t xml:space="preserve">orkers and their representatives, labour inspectorates and equality bodies have the right to ask the employer for clarifications and details regarding </w:t>
      </w:r>
      <w:r w:rsidRPr="001C338A">
        <w:rPr>
          <w:rFonts w:asciiTheme="minorHAnsi" w:hAnsiTheme="minorHAnsi" w:cstheme="minorHAnsi"/>
          <w:color w:val="222222"/>
          <w:spacing w:val="4"/>
          <w:szCs w:val="28"/>
          <w:shd w:val="clear" w:color="auto" w:fill="FFFFFF"/>
        </w:rPr>
        <w:t xml:space="preserve">any </w:t>
      </w:r>
      <w:r w:rsidRPr="001C338A">
        <w:rPr>
          <w:rFonts w:asciiTheme="minorHAnsi" w:hAnsiTheme="minorHAnsi" w:cstheme="minorHAnsi"/>
          <w:color w:val="222222"/>
          <w:spacing w:val="4"/>
          <w:szCs w:val="28"/>
          <w:shd w:val="clear" w:color="auto" w:fill="FFFFFF"/>
        </w:rPr>
        <w:lastRenderedPageBreak/>
        <w:t>data provided</w:t>
      </w:r>
      <w:r w:rsidR="00EB1C55" w:rsidRPr="001C338A">
        <w:rPr>
          <w:rFonts w:asciiTheme="minorHAnsi" w:hAnsiTheme="minorHAnsi" w:cstheme="minorHAnsi"/>
          <w:color w:val="222222"/>
          <w:spacing w:val="4"/>
          <w:szCs w:val="28"/>
          <w:shd w:val="clear" w:color="auto" w:fill="FFFFFF"/>
        </w:rPr>
        <w:t xml:space="preserve">, </w:t>
      </w:r>
      <w:r w:rsidR="002F309A" w:rsidRPr="001C338A">
        <w:rPr>
          <w:rFonts w:asciiTheme="minorHAnsi" w:hAnsiTheme="minorHAnsi" w:cstheme="minorHAnsi"/>
          <w:color w:val="222222"/>
          <w:spacing w:val="4"/>
          <w:szCs w:val="28"/>
          <w:shd w:val="clear" w:color="auto" w:fill="FFFFFF"/>
        </w:rPr>
        <w:t xml:space="preserve">including explanations concerning any gender pay differences. The employer </w:t>
      </w:r>
      <w:proofErr w:type="gramStart"/>
      <w:r w:rsidR="002F309A" w:rsidRPr="001C338A">
        <w:rPr>
          <w:rFonts w:asciiTheme="minorHAnsi" w:hAnsiTheme="minorHAnsi" w:cstheme="minorHAnsi"/>
          <w:color w:val="222222"/>
          <w:spacing w:val="4"/>
          <w:szCs w:val="28"/>
          <w:shd w:val="clear" w:color="auto" w:fill="FFFFFF"/>
        </w:rPr>
        <w:t>is required</w:t>
      </w:r>
      <w:proofErr w:type="gramEnd"/>
      <w:r w:rsidR="002F309A" w:rsidRPr="001C338A">
        <w:rPr>
          <w:rFonts w:asciiTheme="minorHAnsi" w:hAnsiTheme="minorHAnsi" w:cstheme="minorHAnsi"/>
          <w:color w:val="222222"/>
          <w:spacing w:val="4"/>
          <w:szCs w:val="28"/>
          <w:shd w:val="clear" w:color="auto" w:fill="FFFFFF"/>
        </w:rPr>
        <w:t xml:space="preserve"> to respond to such requests within a reasonable time by providing a substantiated reply. In case gender pay differences </w:t>
      </w:r>
      <w:proofErr w:type="gramStart"/>
      <w:r w:rsidR="002F309A" w:rsidRPr="001C338A">
        <w:rPr>
          <w:rFonts w:asciiTheme="minorHAnsi" w:hAnsiTheme="minorHAnsi" w:cstheme="minorHAnsi"/>
          <w:color w:val="222222"/>
          <w:spacing w:val="4"/>
          <w:szCs w:val="28"/>
          <w:shd w:val="clear" w:color="auto" w:fill="FFFFFF"/>
        </w:rPr>
        <w:t>are not justified</w:t>
      </w:r>
      <w:proofErr w:type="gramEnd"/>
      <w:r w:rsidR="002F309A" w:rsidRPr="001C338A">
        <w:rPr>
          <w:rFonts w:asciiTheme="minorHAnsi" w:hAnsiTheme="minorHAnsi" w:cstheme="minorHAnsi"/>
          <w:color w:val="222222"/>
          <w:spacing w:val="4"/>
          <w:szCs w:val="28"/>
          <w:shd w:val="clear" w:color="auto" w:fill="FFFFFF"/>
        </w:rPr>
        <w:t xml:space="preserve"> by objective and gender-neutral factors, the employer is required to remedy the situation in close cooperation with the workers’ representatives, the labour inspectorate and/or the equality body.</w:t>
      </w:r>
    </w:p>
    <w:p w14:paraId="0D7D2C48" w14:textId="4AC6D1E3" w:rsidR="00106431" w:rsidRPr="001C338A" w:rsidRDefault="005251D9" w:rsidP="00106431">
      <w:pPr>
        <w:pStyle w:val="11NumPara"/>
      </w:pPr>
      <w:r w:rsidRPr="001C338A">
        <w:rPr>
          <w:rFonts w:asciiTheme="minorHAnsi" w:hAnsiTheme="minorHAnsi" w:cstheme="minorHAnsi"/>
          <w:color w:val="222222"/>
          <w:spacing w:val="4"/>
          <w:szCs w:val="28"/>
          <w:shd w:val="clear" w:color="auto" w:fill="FFFFFF"/>
        </w:rPr>
        <w:t>The European Commission has made clear that</w:t>
      </w:r>
      <w:r w:rsidR="00985F46" w:rsidRPr="001C338A">
        <w:rPr>
          <w:rFonts w:asciiTheme="minorHAnsi" w:hAnsiTheme="minorHAnsi" w:cstheme="minorHAnsi"/>
          <w:color w:val="222222"/>
          <w:spacing w:val="4"/>
          <w:szCs w:val="28"/>
          <w:shd w:val="clear" w:color="auto" w:fill="FFFFFF"/>
        </w:rPr>
        <w:t>:</w:t>
      </w:r>
      <w:r w:rsidRPr="001C338A">
        <w:rPr>
          <w:rFonts w:asciiTheme="minorHAnsi" w:hAnsiTheme="minorHAnsi" w:cstheme="minorHAnsi"/>
          <w:color w:val="222222"/>
          <w:spacing w:val="4"/>
          <w:szCs w:val="28"/>
          <w:shd w:val="clear" w:color="auto" w:fill="FFFFFF"/>
        </w:rPr>
        <w:t xml:space="preserve"> “</w:t>
      </w:r>
      <w:r w:rsidRPr="001C338A">
        <w:rPr>
          <w:rFonts w:asciiTheme="minorHAnsi" w:hAnsiTheme="minorHAnsi" w:cstheme="minorHAnsi"/>
          <w:i/>
          <w:iCs/>
          <w:color w:val="222222"/>
          <w:spacing w:val="4"/>
          <w:szCs w:val="28"/>
          <w:shd w:val="clear" w:color="auto" w:fill="FFFFFF"/>
        </w:rPr>
        <w:t>Information on the pay gap between female and male workers by categories of workers will be instrumental to reinforce a self-regulatory approach by employers</w:t>
      </w:r>
      <w:r w:rsidRPr="001C338A">
        <w:rPr>
          <w:rFonts w:asciiTheme="minorHAnsi" w:hAnsiTheme="minorHAnsi" w:cstheme="minorHAnsi"/>
          <w:color w:val="222222"/>
          <w:spacing w:val="4"/>
          <w:szCs w:val="28"/>
          <w:shd w:val="clear" w:color="auto" w:fill="FFFFFF"/>
        </w:rPr>
        <w:t xml:space="preserve"> </w:t>
      </w:r>
      <w:r w:rsidRPr="001C338A">
        <w:rPr>
          <w:rFonts w:asciiTheme="minorHAnsi" w:hAnsiTheme="minorHAnsi" w:cstheme="minorHAnsi"/>
          <w:i/>
          <w:iCs/>
          <w:color w:val="222222"/>
          <w:spacing w:val="4"/>
          <w:szCs w:val="28"/>
          <w:u w:val="single"/>
          <w:shd w:val="clear" w:color="auto" w:fill="FFFFFF"/>
        </w:rPr>
        <w:t xml:space="preserve">and enable workers and their representatives to require compliance with the principle of equal pay </w:t>
      </w:r>
      <w:r w:rsidRPr="001C338A">
        <w:rPr>
          <w:rFonts w:asciiTheme="minorHAnsi" w:hAnsiTheme="minorHAnsi" w:cstheme="minorHAnsi"/>
          <w:color w:val="222222"/>
          <w:spacing w:val="4"/>
          <w:szCs w:val="28"/>
          <w:shd w:val="clear" w:color="auto" w:fill="FFFFFF"/>
        </w:rPr>
        <w:t>(our emphasis).”</w:t>
      </w:r>
      <w:r w:rsidRPr="001C338A">
        <w:rPr>
          <w:rStyle w:val="FootnoteReference"/>
          <w:rFonts w:asciiTheme="minorHAnsi" w:hAnsiTheme="minorHAnsi" w:cstheme="minorHAnsi"/>
          <w:color w:val="222222"/>
          <w:spacing w:val="4"/>
          <w:szCs w:val="28"/>
          <w:shd w:val="clear" w:color="auto" w:fill="FFFFFF"/>
        </w:rPr>
        <w:footnoteReference w:id="71"/>
      </w:r>
      <w:r w:rsidR="00E24A3C" w:rsidRPr="001C338A">
        <w:rPr>
          <w:rFonts w:asciiTheme="minorHAnsi" w:hAnsiTheme="minorHAnsi" w:cstheme="minorHAnsi"/>
          <w:color w:val="222222"/>
          <w:spacing w:val="4"/>
          <w:szCs w:val="28"/>
          <w:shd w:val="clear" w:color="auto" w:fill="FFFFFF"/>
        </w:rPr>
        <w:t xml:space="preserve"> </w:t>
      </w:r>
      <w:r w:rsidRPr="001C338A">
        <w:rPr>
          <w:rFonts w:asciiTheme="minorHAnsi" w:hAnsiTheme="minorHAnsi" w:cstheme="minorHAnsi"/>
          <w:color w:val="222222"/>
          <w:spacing w:val="4"/>
          <w:szCs w:val="28"/>
          <w:shd w:val="clear" w:color="auto" w:fill="FFFFFF"/>
        </w:rPr>
        <w:t xml:space="preserve">This information also serves as a trigger to launch a joint pay assessment as set out in Article </w:t>
      </w:r>
      <w:r w:rsidR="00E24A3C" w:rsidRPr="001C338A">
        <w:rPr>
          <w:rFonts w:asciiTheme="minorHAnsi" w:hAnsiTheme="minorHAnsi" w:cstheme="minorHAnsi"/>
          <w:color w:val="222222"/>
          <w:spacing w:val="4"/>
          <w:szCs w:val="28"/>
          <w:shd w:val="clear" w:color="auto" w:fill="FFFFFF"/>
        </w:rPr>
        <w:t>10 (see below)</w:t>
      </w:r>
      <w:r w:rsidRPr="001C338A">
        <w:rPr>
          <w:rFonts w:asciiTheme="minorHAnsi" w:hAnsiTheme="minorHAnsi" w:cstheme="minorHAnsi"/>
          <w:color w:val="222222"/>
          <w:spacing w:val="4"/>
          <w:szCs w:val="28"/>
          <w:shd w:val="clear" w:color="auto" w:fill="FFFFFF"/>
        </w:rPr>
        <w:t>.</w:t>
      </w:r>
    </w:p>
    <w:p w14:paraId="517359A4" w14:textId="61E1B8C4" w:rsidR="00315821" w:rsidRPr="001C338A" w:rsidRDefault="00315821" w:rsidP="00315821">
      <w:pPr>
        <w:pStyle w:val="11NumPara"/>
      </w:pPr>
      <w:r w:rsidRPr="001C338A">
        <w:t xml:space="preserve">The Commissions consider that these provisions on gender pay gap reporting strengthen the application of the principle of equal pay and the prohibition of </w:t>
      </w:r>
      <w:r w:rsidR="00541E14" w:rsidRPr="001C338A">
        <w:t xml:space="preserve">pay </w:t>
      </w:r>
      <w:r w:rsidRPr="001C338A">
        <w:t>discrimination.</w:t>
      </w:r>
    </w:p>
    <w:p w14:paraId="748CFF80" w14:textId="77777777" w:rsidR="00985F46" w:rsidRPr="001C338A" w:rsidRDefault="00985F46" w:rsidP="00315821">
      <w:pPr>
        <w:pStyle w:val="11NumPara"/>
        <w:numPr>
          <w:ilvl w:val="0"/>
          <w:numId w:val="0"/>
        </w:numPr>
        <w:ind w:left="709"/>
      </w:pPr>
    </w:p>
    <w:p w14:paraId="2A5C846A" w14:textId="48A8A0D2" w:rsidR="00106431" w:rsidRPr="001C338A" w:rsidRDefault="00106431" w:rsidP="00106431">
      <w:pPr>
        <w:pStyle w:val="11NumPara"/>
        <w:numPr>
          <w:ilvl w:val="0"/>
          <w:numId w:val="0"/>
        </w:numPr>
        <w:ind w:left="709"/>
        <w:rPr>
          <w:b/>
          <w:bCs/>
        </w:rPr>
      </w:pPr>
      <w:r w:rsidRPr="001C338A">
        <w:rPr>
          <w:b/>
          <w:bCs/>
        </w:rPr>
        <w:t xml:space="preserve">Article 10 </w:t>
      </w:r>
      <w:r w:rsidR="00BD735D">
        <w:rPr>
          <w:b/>
          <w:bCs/>
        </w:rPr>
        <w:t xml:space="preserve">- </w:t>
      </w:r>
      <w:r w:rsidRPr="001C338A">
        <w:rPr>
          <w:b/>
          <w:bCs/>
        </w:rPr>
        <w:t>Joint pay assessment</w:t>
      </w:r>
    </w:p>
    <w:p w14:paraId="33D42916" w14:textId="0E90C848" w:rsidR="00DF7998" w:rsidRPr="006E52CE" w:rsidRDefault="008241A0" w:rsidP="00106431">
      <w:pPr>
        <w:pStyle w:val="11NumPara"/>
      </w:pPr>
      <w:r w:rsidRPr="002E52E1">
        <w:rPr>
          <w:rFonts w:asciiTheme="minorHAnsi" w:hAnsiTheme="minorHAnsi" w:cstheme="minorHAnsi"/>
          <w:szCs w:val="28"/>
        </w:rPr>
        <w:t>As regards employers who are subject to the pay gap reporting requirements, i</w:t>
      </w:r>
      <w:r w:rsidR="00DF7998" w:rsidRPr="002E52E1">
        <w:rPr>
          <w:rFonts w:asciiTheme="minorHAnsi" w:hAnsiTheme="minorHAnsi" w:cstheme="minorHAnsi"/>
          <w:szCs w:val="28"/>
        </w:rPr>
        <w:t>f the</w:t>
      </w:r>
      <w:r w:rsidR="00F00493" w:rsidRPr="002E52E1">
        <w:rPr>
          <w:rFonts w:asciiTheme="minorHAnsi" w:hAnsiTheme="minorHAnsi" w:cstheme="minorHAnsi"/>
          <w:szCs w:val="28"/>
        </w:rPr>
        <w:t xml:space="preserve"> pay</w:t>
      </w:r>
      <w:r w:rsidR="00DF7998" w:rsidRPr="002E52E1">
        <w:rPr>
          <w:rFonts w:asciiTheme="minorHAnsi" w:hAnsiTheme="minorHAnsi" w:cstheme="minorHAnsi"/>
          <w:szCs w:val="28"/>
        </w:rPr>
        <w:t xml:space="preserve"> report</w:t>
      </w:r>
      <w:r w:rsidR="00F00493" w:rsidRPr="002E52E1">
        <w:rPr>
          <w:rFonts w:asciiTheme="minorHAnsi" w:hAnsiTheme="minorHAnsi" w:cstheme="minorHAnsi"/>
          <w:szCs w:val="28"/>
        </w:rPr>
        <w:t>ing</w:t>
      </w:r>
      <w:r w:rsidR="00DF7998" w:rsidRPr="002E52E1">
        <w:rPr>
          <w:rFonts w:asciiTheme="minorHAnsi" w:hAnsiTheme="minorHAnsi" w:cstheme="minorHAnsi"/>
          <w:szCs w:val="28"/>
        </w:rPr>
        <w:t xml:space="preserve"> reveals a</w:t>
      </w:r>
      <w:r w:rsidR="00F00493" w:rsidRPr="002E52E1">
        <w:rPr>
          <w:rFonts w:asciiTheme="minorHAnsi" w:hAnsiTheme="minorHAnsi" w:cstheme="minorHAnsi"/>
          <w:szCs w:val="28"/>
        </w:rPr>
        <w:t xml:space="preserve"> gender</w:t>
      </w:r>
      <w:r w:rsidR="00DF7998" w:rsidRPr="002E52E1">
        <w:rPr>
          <w:rFonts w:asciiTheme="minorHAnsi" w:hAnsiTheme="minorHAnsi" w:cstheme="minorHAnsi"/>
          <w:szCs w:val="28"/>
        </w:rPr>
        <w:t> </w:t>
      </w:r>
      <w:r w:rsidR="00DF7998" w:rsidRPr="002E52E1">
        <w:rPr>
          <w:rStyle w:val="Strong"/>
          <w:rFonts w:asciiTheme="minorHAnsi" w:hAnsiTheme="minorHAnsi" w:cstheme="minorHAnsi"/>
          <w:b w:val="0"/>
          <w:bCs w:val="0"/>
          <w:szCs w:val="28"/>
        </w:rPr>
        <w:t xml:space="preserve">pay gap of </w:t>
      </w:r>
      <w:r w:rsidR="00996077" w:rsidRPr="002E52E1">
        <w:rPr>
          <w:rStyle w:val="Strong"/>
          <w:rFonts w:asciiTheme="minorHAnsi" w:hAnsiTheme="minorHAnsi" w:cstheme="minorHAnsi"/>
          <w:b w:val="0"/>
          <w:bCs w:val="0"/>
          <w:szCs w:val="28"/>
        </w:rPr>
        <w:t xml:space="preserve">at least </w:t>
      </w:r>
      <w:r w:rsidR="00DF7998" w:rsidRPr="002E52E1">
        <w:rPr>
          <w:rStyle w:val="Strong"/>
          <w:rFonts w:asciiTheme="minorHAnsi" w:hAnsiTheme="minorHAnsi" w:cstheme="minorHAnsi"/>
          <w:b w:val="0"/>
          <w:bCs w:val="0"/>
          <w:szCs w:val="28"/>
        </w:rPr>
        <w:t>5%</w:t>
      </w:r>
      <w:r w:rsidR="00996077" w:rsidRPr="002E52E1">
        <w:rPr>
          <w:rStyle w:val="Strong"/>
          <w:rFonts w:asciiTheme="minorHAnsi" w:hAnsiTheme="minorHAnsi" w:cstheme="minorHAnsi"/>
          <w:b w:val="0"/>
          <w:bCs w:val="0"/>
          <w:szCs w:val="28"/>
        </w:rPr>
        <w:t xml:space="preserve"> in any category of workers</w:t>
      </w:r>
      <w:r w:rsidR="00DF7998" w:rsidRPr="002E52E1">
        <w:rPr>
          <w:rFonts w:asciiTheme="minorHAnsi" w:hAnsiTheme="minorHAnsi" w:cstheme="minorHAnsi"/>
          <w:szCs w:val="28"/>
        </w:rPr>
        <w:t xml:space="preserve"> that cannot be justified by objective, gender-neutral criteria, </w:t>
      </w:r>
      <w:r w:rsidR="0029161A" w:rsidRPr="002E52E1">
        <w:rPr>
          <w:rFonts w:asciiTheme="minorHAnsi" w:hAnsiTheme="minorHAnsi" w:cstheme="minorHAnsi"/>
          <w:szCs w:val="28"/>
        </w:rPr>
        <w:t xml:space="preserve">the </w:t>
      </w:r>
      <w:r w:rsidR="00CC5A48" w:rsidRPr="002E52E1">
        <w:rPr>
          <w:rFonts w:asciiTheme="minorHAnsi" w:hAnsiTheme="minorHAnsi" w:cstheme="minorHAnsi"/>
          <w:szCs w:val="28"/>
        </w:rPr>
        <w:t>employe</w:t>
      </w:r>
      <w:r w:rsidR="0029161A" w:rsidRPr="002E52E1">
        <w:rPr>
          <w:rFonts w:asciiTheme="minorHAnsi" w:hAnsiTheme="minorHAnsi" w:cstheme="minorHAnsi"/>
          <w:szCs w:val="28"/>
        </w:rPr>
        <w:t>r</w:t>
      </w:r>
      <w:r w:rsidR="00CC5A48" w:rsidRPr="002E52E1">
        <w:rPr>
          <w:rFonts w:asciiTheme="minorHAnsi" w:hAnsiTheme="minorHAnsi" w:cstheme="minorHAnsi"/>
          <w:szCs w:val="28"/>
        </w:rPr>
        <w:t xml:space="preserve"> </w:t>
      </w:r>
      <w:r w:rsidR="00DF7998" w:rsidRPr="002E52E1">
        <w:rPr>
          <w:rFonts w:asciiTheme="minorHAnsi" w:hAnsiTheme="minorHAnsi" w:cstheme="minorHAnsi"/>
          <w:szCs w:val="28"/>
        </w:rPr>
        <w:t>will be required to take action in the form of a </w:t>
      </w:r>
      <w:r w:rsidR="00DF7998" w:rsidRPr="002E52E1">
        <w:rPr>
          <w:rStyle w:val="Strong"/>
          <w:rFonts w:asciiTheme="minorHAnsi" w:hAnsiTheme="minorHAnsi" w:cstheme="minorHAnsi"/>
          <w:szCs w:val="28"/>
        </w:rPr>
        <w:t>joint pay assessment</w:t>
      </w:r>
      <w:r w:rsidR="00DF7998" w:rsidRPr="002E52E1">
        <w:rPr>
          <w:rFonts w:asciiTheme="minorHAnsi" w:hAnsiTheme="minorHAnsi" w:cstheme="minorHAnsi"/>
          <w:szCs w:val="28"/>
        </w:rPr>
        <w:t> </w:t>
      </w:r>
      <w:r w:rsidR="006E6AFA" w:rsidRPr="002E52E1">
        <w:rPr>
          <w:rFonts w:asciiTheme="minorHAnsi" w:hAnsiTheme="minorHAnsi" w:cstheme="minorHAnsi"/>
          <w:szCs w:val="28"/>
        </w:rPr>
        <w:t xml:space="preserve">and </w:t>
      </w:r>
      <w:r w:rsidR="00DF7998" w:rsidRPr="002E52E1">
        <w:rPr>
          <w:rFonts w:asciiTheme="minorHAnsi" w:hAnsiTheme="minorHAnsi" w:cstheme="minorHAnsi"/>
          <w:szCs w:val="28"/>
        </w:rPr>
        <w:t>carried out in cooperation with workers’ representatives.</w:t>
      </w:r>
      <w:r w:rsidR="00300E2B" w:rsidRPr="002E52E1">
        <w:rPr>
          <w:rStyle w:val="FootnoteReference"/>
          <w:rFonts w:asciiTheme="minorHAnsi" w:hAnsiTheme="minorHAnsi" w:cstheme="minorHAnsi"/>
          <w:szCs w:val="28"/>
        </w:rPr>
        <w:footnoteReference w:id="72"/>
      </w:r>
    </w:p>
    <w:p w14:paraId="4FC82148" w14:textId="300CB695" w:rsidR="00A04282" w:rsidRPr="001C338A" w:rsidRDefault="0029261C" w:rsidP="00106431">
      <w:pPr>
        <w:pStyle w:val="11NumPara"/>
      </w:pPr>
      <w:r w:rsidRPr="001C338A">
        <w:rPr>
          <w:rFonts w:cstheme="minorHAnsi"/>
          <w:color w:val="222222"/>
          <w:spacing w:val="4"/>
          <w:szCs w:val="28"/>
          <w:shd w:val="clear" w:color="auto" w:fill="FFFFFF"/>
        </w:rPr>
        <w:t>Employers</w:t>
      </w:r>
      <w:r w:rsidR="000042B6" w:rsidRPr="001C338A">
        <w:rPr>
          <w:rFonts w:cstheme="minorHAnsi"/>
          <w:color w:val="222222"/>
          <w:spacing w:val="4"/>
          <w:szCs w:val="28"/>
          <w:shd w:val="clear" w:color="auto" w:fill="FFFFFF"/>
        </w:rPr>
        <w:t xml:space="preserve"> are required, </w:t>
      </w:r>
      <w:r w:rsidR="000042B6" w:rsidRPr="001C338A">
        <w:rPr>
          <w:rFonts w:cstheme="minorHAnsi"/>
          <w:szCs w:val="28"/>
        </w:rPr>
        <w:t xml:space="preserve">when implementing the measures arising from the joint pay assessment, to remedy the unjustified differences in pay within a reasonable </w:t>
      </w:r>
      <w:proofErr w:type="gramStart"/>
      <w:r w:rsidR="000042B6" w:rsidRPr="001C338A">
        <w:rPr>
          <w:rFonts w:cstheme="minorHAnsi"/>
          <w:szCs w:val="28"/>
        </w:rPr>
        <w:t>period of time</w:t>
      </w:r>
      <w:proofErr w:type="gramEnd"/>
      <w:r w:rsidR="000042B6" w:rsidRPr="001C338A">
        <w:rPr>
          <w:rFonts w:cstheme="minorHAnsi"/>
          <w:szCs w:val="28"/>
        </w:rPr>
        <w:t>, in close cooperation</w:t>
      </w:r>
      <w:r w:rsidR="00A04282" w:rsidRPr="001C338A">
        <w:rPr>
          <w:rFonts w:cstheme="minorHAnsi"/>
          <w:szCs w:val="28"/>
        </w:rPr>
        <w:t xml:space="preserve"> </w:t>
      </w:r>
      <w:r w:rsidR="000042B6" w:rsidRPr="001C338A">
        <w:rPr>
          <w:rFonts w:cstheme="minorHAnsi"/>
          <w:szCs w:val="28"/>
        </w:rPr>
        <w:t xml:space="preserve">with the workers’ representatives. The labour inspectorate and/or the equality body may </w:t>
      </w:r>
      <w:proofErr w:type="gramStart"/>
      <w:r w:rsidR="000042B6" w:rsidRPr="001C338A">
        <w:rPr>
          <w:rFonts w:cstheme="minorHAnsi"/>
          <w:szCs w:val="28"/>
        </w:rPr>
        <w:t>be asked</w:t>
      </w:r>
      <w:proofErr w:type="gramEnd"/>
      <w:r w:rsidR="000042B6" w:rsidRPr="001C338A">
        <w:rPr>
          <w:rFonts w:cstheme="minorHAnsi"/>
          <w:szCs w:val="28"/>
        </w:rPr>
        <w:t xml:space="preserve"> to participate in the process. </w:t>
      </w:r>
    </w:p>
    <w:p w14:paraId="0FB52764" w14:textId="5EB298B9" w:rsidR="005314E7" w:rsidRPr="001C338A" w:rsidRDefault="00A04282" w:rsidP="00106431">
      <w:pPr>
        <w:pStyle w:val="11NumPara"/>
      </w:pPr>
      <w:r w:rsidRPr="001C338A">
        <w:rPr>
          <w:rFonts w:cstheme="minorHAnsi"/>
          <w:szCs w:val="28"/>
        </w:rPr>
        <w:t>Critically the PTD states that “</w:t>
      </w:r>
      <w:r w:rsidR="000042B6" w:rsidRPr="001C338A">
        <w:rPr>
          <w:rFonts w:cstheme="minorHAnsi"/>
          <w:i/>
          <w:iCs/>
          <w:szCs w:val="28"/>
        </w:rPr>
        <w:t xml:space="preserve">The implementation of the measures shall include an analysis of the existing gender-neutral job evaluation and classification </w:t>
      </w:r>
      <w:r w:rsidR="000042B6" w:rsidRPr="001C338A">
        <w:rPr>
          <w:rFonts w:cstheme="minorHAnsi"/>
          <w:i/>
          <w:iCs/>
          <w:szCs w:val="28"/>
        </w:rPr>
        <w:lastRenderedPageBreak/>
        <w:t xml:space="preserve">systems or the establishment of such systems, to </w:t>
      </w:r>
      <w:r w:rsidR="000042B6" w:rsidRPr="001C338A">
        <w:rPr>
          <w:rFonts w:cstheme="minorHAnsi"/>
          <w:i/>
          <w:iCs/>
          <w:szCs w:val="28"/>
          <w:u w:val="single"/>
        </w:rPr>
        <w:t>ensure that any direct or indirect pay discrimination on the grounds of sex is excluded</w:t>
      </w:r>
      <w:r w:rsidR="007236FB" w:rsidRPr="001C338A">
        <w:rPr>
          <w:rFonts w:cstheme="minorHAnsi"/>
          <w:szCs w:val="28"/>
          <w:u w:val="single"/>
        </w:rPr>
        <w:t xml:space="preserve">” </w:t>
      </w:r>
      <w:r w:rsidR="007236FB" w:rsidRPr="001C338A">
        <w:rPr>
          <w:rFonts w:cstheme="minorHAnsi"/>
          <w:szCs w:val="28"/>
        </w:rPr>
        <w:t>(our emphasis)</w:t>
      </w:r>
      <w:r w:rsidR="007236FB" w:rsidRPr="001C338A">
        <w:rPr>
          <w:rStyle w:val="FootnoteReference"/>
          <w:rFonts w:cstheme="minorHAnsi"/>
          <w:szCs w:val="28"/>
        </w:rPr>
        <w:footnoteReference w:id="73"/>
      </w:r>
    </w:p>
    <w:p w14:paraId="336F05BC" w14:textId="72DA7931" w:rsidR="00106431" w:rsidRPr="001C338A" w:rsidRDefault="007236FB" w:rsidP="00106431">
      <w:pPr>
        <w:pStyle w:val="11NumPara"/>
      </w:pPr>
      <w:r w:rsidRPr="001C338A">
        <w:rPr>
          <w:rFonts w:cstheme="minorHAnsi"/>
          <w:color w:val="222222"/>
          <w:spacing w:val="4"/>
          <w:szCs w:val="28"/>
          <w:shd w:val="clear" w:color="auto" w:fill="FFFFFF"/>
        </w:rPr>
        <w:t>Further, t</w:t>
      </w:r>
      <w:r w:rsidR="008965D1" w:rsidRPr="001C338A">
        <w:rPr>
          <w:rFonts w:cstheme="minorHAnsi"/>
          <w:color w:val="222222"/>
          <w:spacing w:val="4"/>
          <w:szCs w:val="28"/>
          <w:shd w:val="clear" w:color="auto" w:fill="FFFFFF"/>
        </w:rPr>
        <w:t>he European Commission has stated that “</w:t>
      </w:r>
      <w:r w:rsidR="008965D1" w:rsidRPr="001C338A">
        <w:rPr>
          <w:rFonts w:cstheme="minorHAnsi"/>
          <w:i/>
          <w:iCs/>
          <w:color w:val="222222"/>
          <w:spacing w:val="4"/>
          <w:szCs w:val="28"/>
          <w:shd w:val="clear" w:color="auto" w:fill="FFFFFF"/>
        </w:rPr>
        <w:t xml:space="preserve">the requirement of a joint pay assessment aims at triggering mandatory action on the part of employers to look into their pay setting practices and </w:t>
      </w:r>
      <w:r w:rsidR="008965D1" w:rsidRPr="001C338A">
        <w:rPr>
          <w:rFonts w:cstheme="minorHAnsi"/>
          <w:i/>
          <w:iCs/>
          <w:color w:val="222222"/>
          <w:spacing w:val="4"/>
          <w:szCs w:val="28"/>
          <w:u w:val="single"/>
          <w:shd w:val="clear" w:color="auto" w:fill="FFFFFF"/>
        </w:rPr>
        <w:t>address any potential gender bias in pay structures infringing the equal pay principle</w:t>
      </w:r>
      <w:r w:rsidR="008965D1" w:rsidRPr="001C338A">
        <w:rPr>
          <w:rFonts w:cstheme="minorHAnsi"/>
          <w:color w:val="222222"/>
          <w:spacing w:val="4"/>
          <w:szCs w:val="28"/>
          <w:shd w:val="clear" w:color="auto" w:fill="FFFFFF"/>
        </w:rPr>
        <w:t>” (our emphasis).</w:t>
      </w:r>
      <w:r w:rsidR="008965D1" w:rsidRPr="001C338A">
        <w:rPr>
          <w:rStyle w:val="FootnoteReference"/>
          <w:rFonts w:cstheme="minorHAnsi"/>
          <w:color w:val="222222"/>
          <w:spacing w:val="4"/>
          <w:szCs w:val="28"/>
          <w:shd w:val="clear" w:color="auto" w:fill="FFFFFF"/>
        </w:rPr>
        <w:footnoteReference w:id="74"/>
      </w:r>
    </w:p>
    <w:p w14:paraId="5937765B" w14:textId="6BED7504" w:rsidR="00315821" w:rsidRPr="001C338A" w:rsidRDefault="00315821" w:rsidP="00315821">
      <w:pPr>
        <w:pStyle w:val="11NumPara"/>
      </w:pPr>
      <w:r w:rsidRPr="001C338A">
        <w:t xml:space="preserve">The Commissions consider that these provisions on joint pay assessment strengthen the application of the principle of equal pay and the prohibition of </w:t>
      </w:r>
      <w:r w:rsidR="00541E14" w:rsidRPr="001C338A">
        <w:t xml:space="preserve">pay </w:t>
      </w:r>
      <w:r w:rsidRPr="001C338A">
        <w:t>discrimination.</w:t>
      </w:r>
    </w:p>
    <w:p w14:paraId="6DA2AFA8" w14:textId="77777777" w:rsidR="00106431" w:rsidRPr="001C338A" w:rsidRDefault="00106431" w:rsidP="00106431">
      <w:pPr>
        <w:pStyle w:val="11NumPara"/>
        <w:numPr>
          <w:ilvl w:val="0"/>
          <w:numId w:val="0"/>
        </w:numPr>
        <w:ind w:left="709"/>
        <w:rPr>
          <w:b/>
          <w:bCs/>
        </w:rPr>
      </w:pPr>
    </w:p>
    <w:p w14:paraId="22631AC7" w14:textId="28CF226D" w:rsidR="00106431" w:rsidRPr="001C338A" w:rsidRDefault="00106431" w:rsidP="00106431">
      <w:pPr>
        <w:pStyle w:val="11NumPara"/>
        <w:numPr>
          <w:ilvl w:val="0"/>
          <w:numId w:val="0"/>
        </w:numPr>
        <w:ind w:left="709"/>
        <w:rPr>
          <w:b/>
          <w:bCs/>
        </w:rPr>
      </w:pPr>
      <w:r w:rsidRPr="001C338A">
        <w:rPr>
          <w:b/>
          <w:bCs/>
        </w:rPr>
        <w:t>Article 1</w:t>
      </w:r>
      <w:r w:rsidR="005C6672">
        <w:rPr>
          <w:b/>
          <w:bCs/>
        </w:rPr>
        <w:t xml:space="preserve">1 - </w:t>
      </w:r>
      <w:r w:rsidRPr="001C338A">
        <w:rPr>
          <w:b/>
          <w:bCs/>
        </w:rPr>
        <w:t>Support for employers with fewer than 250 workers</w:t>
      </w:r>
    </w:p>
    <w:p w14:paraId="7B701506" w14:textId="7E6AB20A" w:rsidR="004528A7" w:rsidRPr="001C338A" w:rsidRDefault="00AB7319" w:rsidP="00106431">
      <w:pPr>
        <w:pStyle w:val="11NumPara"/>
      </w:pPr>
      <w:r w:rsidRPr="001C338A">
        <w:rPr>
          <w:rFonts w:cstheme="minorHAnsi"/>
          <w:szCs w:val="28"/>
        </w:rPr>
        <w:t>The PTD places obligations on Member States to provide support, in the form of technical assistance and training, to employers with fewer than 250 workers and to the workers’ representatives concerned, to facilitate their compliance with the obligations laid down in the Directive.</w:t>
      </w:r>
    </w:p>
    <w:p w14:paraId="39C44E3E" w14:textId="3F910BA6" w:rsidR="00231DA0" w:rsidRPr="001C338A" w:rsidRDefault="00FC32C4" w:rsidP="00106431">
      <w:pPr>
        <w:pStyle w:val="11NumPara"/>
      </w:pPr>
      <w:r w:rsidRPr="001C338A">
        <w:rPr>
          <w:rFonts w:cstheme="minorHAnsi"/>
          <w:color w:val="222222"/>
          <w:spacing w:val="4"/>
          <w:szCs w:val="28"/>
          <w:shd w:val="clear" w:color="auto" w:fill="FFFFFF"/>
        </w:rPr>
        <w:t>T</w:t>
      </w:r>
      <w:r w:rsidR="00231DA0" w:rsidRPr="001C338A">
        <w:rPr>
          <w:rFonts w:cstheme="minorHAnsi"/>
          <w:color w:val="222222"/>
          <w:spacing w:val="4"/>
          <w:szCs w:val="28"/>
          <w:shd w:val="clear" w:color="auto" w:fill="FFFFFF"/>
        </w:rPr>
        <w:t>his provision reflects the specific nature of this Directive</w:t>
      </w:r>
      <w:r w:rsidR="003510AF">
        <w:rPr>
          <w:rFonts w:cstheme="minorHAnsi"/>
          <w:color w:val="222222"/>
          <w:spacing w:val="4"/>
          <w:szCs w:val="28"/>
          <w:shd w:val="clear" w:color="auto" w:fill="FFFFFF"/>
        </w:rPr>
        <w:t>,</w:t>
      </w:r>
      <w:r w:rsidR="00231DA0" w:rsidRPr="001C338A">
        <w:rPr>
          <w:rFonts w:cstheme="minorHAnsi"/>
          <w:color w:val="222222"/>
          <w:spacing w:val="4"/>
          <w:szCs w:val="28"/>
          <w:shd w:val="clear" w:color="auto" w:fill="FFFFFF"/>
        </w:rPr>
        <w:t xml:space="preserve"> namely that it places obligations on certain employers</w:t>
      </w:r>
      <w:r w:rsidR="00DD1E6D" w:rsidRPr="001C338A">
        <w:rPr>
          <w:rFonts w:cstheme="minorHAnsi"/>
          <w:color w:val="222222"/>
          <w:spacing w:val="4"/>
          <w:szCs w:val="28"/>
          <w:shd w:val="clear" w:color="auto" w:fill="FFFFFF"/>
        </w:rPr>
        <w:t>, including small-medium sized employers,</w:t>
      </w:r>
      <w:r w:rsidR="00231DA0" w:rsidRPr="001C338A">
        <w:rPr>
          <w:rFonts w:cstheme="minorHAnsi"/>
          <w:color w:val="222222"/>
          <w:spacing w:val="4"/>
          <w:szCs w:val="28"/>
          <w:shd w:val="clear" w:color="auto" w:fill="FFFFFF"/>
        </w:rPr>
        <w:t xml:space="preserve"> to collect and publish certain gender pay data</w:t>
      </w:r>
      <w:r w:rsidRPr="001C338A">
        <w:rPr>
          <w:rFonts w:cstheme="minorHAnsi"/>
          <w:color w:val="222222"/>
          <w:spacing w:val="4"/>
          <w:szCs w:val="28"/>
          <w:shd w:val="clear" w:color="auto" w:fill="FFFFFF"/>
        </w:rPr>
        <w:t>.</w:t>
      </w:r>
    </w:p>
    <w:p w14:paraId="3E828A7C" w14:textId="72672B65" w:rsidR="004D48B2" w:rsidRPr="001C338A" w:rsidRDefault="00AB7319" w:rsidP="004D48B2">
      <w:pPr>
        <w:pStyle w:val="11NumPara"/>
      </w:pPr>
      <w:r w:rsidRPr="001C338A">
        <w:rPr>
          <w:rFonts w:cstheme="minorHAnsi"/>
          <w:szCs w:val="28"/>
        </w:rPr>
        <w:t xml:space="preserve">The Commissions consider that this </w:t>
      </w:r>
      <w:r w:rsidR="00FE4F6F" w:rsidRPr="001C338A">
        <w:rPr>
          <w:rFonts w:cstheme="minorHAnsi"/>
          <w:szCs w:val="28"/>
        </w:rPr>
        <w:t xml:space="preserve">provision </w:t>
      </w:r>
      <w:r w:rsidR="004E2BD3" w:rsidRPr="001C338A">
        <w:rPr>
          <w:rFonts w:cstheme="minorHAnsi"/>
          <w:szCs w:val="28"/>
        </w:rPr>
        <w:t xml:space="preserve">which </w:t>
      </w:r>
      <w:proofErr w:type="gramStart"/>
      <w:r w:rsidR="00377675" w:rsidRPr="001C338A">
        <w:rPr>
          <w:rFonts w:cstheme="minorHAnsi"/>
          <w:szCs w:val="28"/>
        </w:rPr>
        <w:t>is aimed</w:t>
      </w:r>
      <w:proofErr w:type="gramEnd"/>
      <w:r w:rsidR="00377675" w:rsidRPr="001C338A">
        <w:rPr>
          <w:rFonts w:cstheme="minorHAnsi"/>
          <w:szCs w:val="28"/>
        </w:rPr>
        <w:t xml:space="preserve"> at </w:t>
      </w:r>
      <w:r w:rsidR="00FE4F6F" w:rsidRPr="001C338A">
        <w:rPr>
          <w:rFonts w:cstheme="minorHAnsi"/>
          <w:szCs w:val="28"/>
        </w:rPr>
        <w:t>h</w:t>
      </w:r>
      <w:r w:rsidR="00FE5A52" w:rsidRPr="001C338A">
        <w:rPr>
          <w:rFonts w:cstheme="minorHAnsi"/>
          <w:szCs w:val="28"/>
        </w:rPr>
        <w:t>elp</w:t>
      </w:r>
      <w:r w:rsidR="00377675" w:rsidRPr="001C338A">
        <w:rPr>
          <w:rFonts w:cstheme="minorHAnsi"/>
          <w:szCs w:val="28"/>
        </w:rPr>
        <w:t>ing</w:t>
      </w:r>
      <w:r w:rsidR="00FE5A52" w:rsidRPr="001C338A">
        <w:rPr>
          <w:rFonts w:cstheme="minorHAnsi"/>
          <w:szCs w:val="28"/>
        </w:rPr>
        <w:t xml:space="preserve"> micro and small employers to comply with the </w:t>
      </w:r>
      <w:r w:rsidR="00ED6598" w:rsidRPr="001C338A">
        <w:rPr>
          <w:rFonts w:cstheme="minorHAnsi"/>
          <w:szCs w:val="28"/>
        </w:rPr>
        <w:t>PTD</w:t>
      </w:r>
      <w:r w:rsidR="004E2BD3" w:rsidRPr="001C338A">
        <w:rPr>
          <w:rFonts w:cstheme="minorHAnsi"/>
          <w:szCs w:val="28"/>
        </w:rPr>
        <w:t>,</w:t>
      </w:r>
      <w:r w:rsidR="00ED6598" w:rsidRPr="001C338A">
        <w:rPr>
          <w:rFonts w:cstheme="minorHAnsi"/>
          <w:szCs w:val="28"/>
        </w:rPr>
        <w:t xml:space="preserve"> </w:t>
      </w:r>
      <w:r w:rsidR="00B97C72" w:rsidRPr="001C338A">
        <w:rPr>
          <w:rFonts w:cstheme="minorHAnsi"/>
          <w:szCs w:val="28"/>
        </w:rPr>
        <w:t>strengthens the</w:t>
      </w:r>
      <w:r w:rsidR="000B4882" w:rsidRPr="001C338A">
        <w:rPr>
          <w:rFonts w:cstheme="minorHAnsi"/>
          <w:szCs w:val="28"/>
        </w:rPr>
        <w:t xml:space="preserve"> application of the </w:t>
      </w:r>
      <w:r w:rsidR="00FE5A52" w:rsidRPr="001C338A">
        <w:rPr>
          <w:rFonts w:cstheme="minorHAnsi"/>
          <w:szCs w:val="28"/>
        </w:rPr>
        <w:t>principle of equal pay</w:t>
      </w:r>
      <w:r w:rsidR="004D48B2" w:rsidRPr="001C338A">
        <w:rPr>
          <w:rFonts w:cstheme="minorHAnsi"/>
          <w:szCs w:val="28"/>
        </w:rPr>
        <w:t xml:space="preserve">, </w:t>
      </w:r>
      <w:r w:rsidR="004D48B2" w:rsidRPr="001C338A">
        <w:t>and the prohibition of pay discrimination.</w:t>
      </w:r>
    </w:p>
    <w:p w14:paraId="6D732F2E" w14:textId="77777777" w:rsidR="00A910D2" w:rsidRPr="001C338A" w:rsidRDefault="00A910D2">
      <w:pPr>
        <w:pStyle w:val="11NumPara"/>
        <w:numPr>
          <w:ilvl w:val="0"/>
          <w:numId w:val="0"/>
        </w:numPr>
        <w:ind w:left="709"/>
      </w:pPr>
    </w:p>
    <w:p w14:paraId="7455C855" w14:textId="693B3D7A" w:rsidR="00D802F0" w:rsidRPr="001C338A" w:rsidRDefault="00D802F0" w:rsidP="00D802F0">
      <w:pPr>
        <w:pStyle w:val="11NumPara"/>
        <w:numPr>
          <w:ilvl w:val="0"/>
          <w:numId w:val="0"/>
        </w:numPr>
        <w:ind w:left="709"/>
        <w:rPr>
          <w:b/>
          <w:bCs/>
        </w:rPr>
      </w:pPr>
      <w:r w:rsidRPr="001C338A">
        <w:rPr>
          <w:b/>
          <w:bCs/>
        </w:rPr>
        <w:t>Article 12 – Data protection</w:t>
      </w:r>
    </w:p>
    <w:p w14:paraId="36240321" w14:textId="28822EAD" w:rsidR="00855728" w:rsidRPr="001C338A" w:rsidRDefault="00592A8F" w:rsidP="00D802F0">
      <w:pPr>
        <w:pStyle w:val="11NumPara"/>
      </w:pPr>
      <w:r w:rsidRPr="001C338A">
        <w:rPr>
          <w:rFonts w:cstheme="minorHAnsi"/>
          <w:color w:val="222222"/>
          <w:spacing w:val="4"/>
          <w:szCs w:val="28"/>
          <w:shd w:val="clear" w:color="auto" w:fill="FFFFFF"/>
        </w:rPr>
        <w:t>Th</w:t>
      </w:r>
      <w:r w:rsidR="00855728" w:rsidRPr="001C338A">
        <w:rPr>
          <w:rFonts w:cstheme="minorHAnsi"/>
          <w:color w:val="222222"/>
          <w:spacing w:val="4"/>
          <w:szCs w:val="28"/>
          <w:shd w:val="clear" w:color="auto" w:fill="FFFFFF"/>
        </w:rPr>
        <w:t>is</w:t>
      </w:r>
      <w:r w:rsidRPr="001C338A">
        <w:rPr>
          <w:rFonts w:cstheme="minorHAnsi"/>
          <w:color w:val="222222"/>
          <w:spacing w:val="4"/>
          <w:szCs w:val="28"/>
          <w:shd w:val="clear" w:color="auto" w:fill="FFFFFF"/>
        </w:rPr>
        <w:t xml:space="preserve"> provision </w:t>
      </w:r>
      <w:r w:rsidR="002F5046" w:rsidRPr="001C338A">
        <w:rPr>
          <w:rFonts w:cstheme="minorHAnsi"/>
          <w:color w:val="222222"/>
          <w:spacing w:val="4"/>
          <w:szCs w:val="28"/>
          <w:shd w:val="clear" w:color="auto" w:fill="FFFFFF"/>
        </w:rPr>
        <w:t xml:space="preserve">requires </w:t>
      </w:r>
      <w:r w:rsidRPr="001C338A">
        <w:rPr>
          <w:rFonts w:cstheme="minorHAnsi"/>
          <w:color w:val="222222"/>
          <w:spacing w:val="4"/>
          <w:szCs w:val="28"/>
          <w:shd w:val="clear" w:color="auto" w:fill="FFFFFF"/>
        </w:rPr>
        <w:t xml:space="preserve">that the potential processing and/or disclosure of personal data pursuant to the pay transparency measures under </w:t>
      </w:r>
      <w:r w:rsidR="002F5046" w:rsidRPr="001C338A">
        <w:rPr>
          <w:rFonts w:cstheme="minorHAnsi"/>
          <w:color w:val="222222"/>
          <w:spacing w:val="4"/>
          <w:szCs w:val="28"/>
          <w:shd w:val="clear" w:color="auto" w:fill="FFFFFF"/>
        </w:rPr>
        <w:t xml:space="preserve">the PTD must </w:t>
      </w:r>
      <w:r w:rsidRPr="001C338A">
        <w:rPr>
          <w:rFonts w:cstheme="minorHAnsi"/>
          <w:color w:val="222222"/>
          <w:spacing w:val="4"/>
          <w:szCs w:val="28"/>
          <w:shd w:val="clear" w:color="auto" w:fill="FFFFFF"/>
        </w:rPr>
        <w:t xml:space="preserve">be </w:t>
      </w:r>
      <w:proofErr w:type="gramStart"/>
      <w:r w:rsidRPr="001C338A">
        <w:rPr>
          <w:rFonts w:cstheme="minorHAnsi"/>
          <w:color w:val="222222"/>
          <w:spacing w:val="4"/>
          <w:szCs w:val="28"/>
          <w:shd w:val="clear" w:color="auto" w:fill="FFFFFF"/>
        </w:rPr>
        <w:t>carried out</w:t>
      </w:r>
      <w:proofErr w:type="gramEnd"/>
      <w:r w:rsidRPr="001C338A">
        <w:rPr>
          <w:rFonts w:cstheme="minorHAnsi"/>
          <w:color w:val="222222"/>
          <w:spacing w:val="4"/>
          <w:szCs w:val="28"/>
          <w:shd w:val="clear" w:color="auto" w:fill="FFFFFF"/>
        </w:rPr>
        <w:t xml:space="preserve"> in accordance with the </w:t>
      </w:r>
      <w:r w:rsidR="002F5046" w:rsidRPr="001C338A">
        <w:rPr>
          <w:rFonts w:cstheme="minorHAnsi"/>
          <w:color w:val="222222"/>
          <w:spacing w:val="4"/>
          <w:szCs w:val="28"/>
          <w:shd w:val="clear" w:color="auto" w:fill="FFFFFF"/>
        </w:rPr>
        <w:t xml:space="preserve">EU </w:t>
      </w:r>
      <w:r w:rsidRPr="001C338A">
        <w:rPr>
          <w:rFonts w:cstheme="minorHAnsi"/>
          <w:color w:val="222222"/>
          <w:spacing w:val="4"/>
          <w:szCs w:val="28"/>
          <w:shd w:val="clear" w:color="auto" w:fill="FFFFFF"/>
        </w:rPr>
        <w:t>General Data Protection Regulation</w:t>
      </w:r>
      <w:r w:rsidR="00DF67E3">
        <w:rPr>
          <w:rFonts w:cstheme="minorHAnsi"/>
          <w:color w:val="222222"/>
          <w:spacing w:val="4"/>
          <w:szCs w:val="28"/>
          <w:shd w:val="clear" w:color="auto" w:fill="FFFFFF"/>
        </w:rPr>
        <w:t>.</w:t>
      </w:r>
      <w:r w:rsidR="002F5046" w:rsidRPr="001C338A">
        <w:rPr>
          <w:rStyle w:val="FootnoteReference"/>
          <w:rFonts w:cstheme="minorHAnsi"/>
          <w:color w:val="222222"/>
          <w:spacing w:val="4"/>
          <w:szCs w:val="28"/>
          <w:shd w:val="clear" w:color="auto" w:fill="FFFFFF"/>
        </w:rPr>
        <w:footnoteReference w:id="75"/>
      </w:r>
      <w:bookmarkStart w:id="7" w:name="footnoteref35"/>
      <w:bookmarkEnd w:id="7"/>
      <w:r w:rsidR="00DF67E3">
        <w:rPr>
          <w:rFonts w:cstheme="minorHAnsi"/>
          <w:color w:val="222222"/>
          <w:spacing w:val="4"/>
          <w:szCs w:val="28"/>
          <w:shd w:val="clear" w:color="auto" w:fill="FFFFFF"/>
          <w:vertAlign w:val="superscript"/>
        </w:rPr>
        <w:t xml:space="preserve"> </w:t>
      </w:r>
      <w:r w:rsidR="00D3544F" w:rsidRPr="001C338A">
        <w:rPr>
          <w:rStyle w:val="FootnoteReference"/>
          <w:rFonts w:cstheme="minorHAnsi"/>
          <w:color w:val="222222"/>
          <w:spacing w:val="4"/>
          <w:szCs w:val="28"/>
          <w:shd w:val="clear" w:color="auto" w:fill="FFFFFF"/>
        </w:rPr>
        <w:footnoteReference w:id="76"/>
      </w:r>
    </w:p>
    <w:p w14:paraId="67F7137D" w14:textId="77777777" w:rsidR="00855728" w:rsidRPr="001C338A" w:rsidRDefault="00592A8F" w:rsidP="00855728">
      <w:pPr>
        <w:pStyle w:val="11NumPara"/>
      </w:pPr>
      <w:r w:rsidRPr="001C338A">
        <w:rPr>
          <w:rFonts w:cstheme="minorHAnsi"/>
          <w:color w:val="222222"/>
          <w:spacing w:val="4"/>
          <w:szCs w:val="28"/>
          <w:shd w:val="clear" w:color="auto" w:fill="FFFFFF"/>
        </w:rPr>
        <w:t xml:space="preserve">It specifies that any personal data collected by employers pursuant to </w:t>
      </w:r>
      <w:r w:rsidR="00AE6ABC" w:rsidRPr="001C338A">
        <w:rPr>
          <w:rFonts w:cstheme="minorHAnsi"/>
          <w:color w:val="222222"/>
          <w:spacing w:val="4"/>
          <w:szCs w:val="28"/>
          <w:shd w:val="clear" w:color="auto" w:fill="FFFFFF"/>
        </w:rPr>
        <w:t xml:space="preserve">the PTD </w:t>
      </w:r>
      <w:r w:rsidRPr="001C338A">
        <w:rPr>
          <w:rFonts w:cstheme="minorHAnsi"/>
          <w:color w:val="222222"/>
          <w:spacing w:val="4"/>
          <w:szCs w:val="28"/>
          <w:shd w:val="clear" w:color="auto" w:fill="FFFFFF"/>
        </w:rPr>
        <w:t xml:space="preserve">shall not </w:t>
      </w:r>
      <w:proofErr w:type="gramStart"/>
      <w:r w:rsidRPr="001C338A">
        <w:rPr>
          <w:rFonts w:cstheme="minorHAnsi"/>
          <w:color w:val="222222"/>
          <w:spacing w:val="4"/>
          <w:szCs w:val="28"/>
          <w:shd w:val="clear" w:color="auto" w:fill="FFFFFF"/>
        </w:rPr>
        <w:t>be used</w:t>
      </w:r>
      <w:proofErr w:type="gramEnd"/>
      <w:r w:rsidRPr="001C338A">
        <w:rPr>
          <w:rFonts w:cstheme="minorHAnsi"/>
          <w:color w:val="222222"/>
          <w:spacing w:val="4"/>
          <w:szCs w:val="28"/>
          <w:shd w:val="clear" w:color="auto" w:fill="FFFFFF"/>
        </w:rPr>
        <w:t xml:space="preserve"> for any other purpose than to implement the principle of equal pay for the equal work or work of equal value.</w:t>
      </w:r>
    </w:p>
    <w:p w14:paraId="211A452D" w14:textId="624CD463" w:rsidR="00B138E6" w:rsidRPr="001C338A" w:rsidRDefault="007D5027" w:rsidP="00855728">
      <w:pPr>
        <w:pStyle w:val="11NumPara"/>
      </w:pPr>
      <w:r w:rsidRPr="001C338A">
        <w:rPr>
          <w:rFonts w:cstheme="minorHAnsi"/>
          <w:color w:val="222222"/>
          <w:spacing w:val="4"/>
          <w:szCs w:val="28"/>
          <w:shd w:val="clear" w:color="auto" w:fill="FFFFFF"/>
        </w:rPr>
        <w:t>Where the</w:t>
      </w:r>
      <w:r w:rsidR="00592A8F" w:rsidRPr="001C338A">
        <w:rPr>
          <w:rFonts w:cstheme="minorHAnsi"/>
          <w:color w:val="222222"/>
          <w:spacing w:val="4"/>
          <w:szCs w:val="28"/>
          <w:shd w:val="clear" w:color="auto" w:fill="FFFFFF"/>
        </w:rPr>
        <w:t xml:space="preserve"> disclosure of information would lead to the disclosure, either directly or indirectly, of the pay of an identifiable co-worker. Member States </w:t>
      </w:r>
      <w:r w:rsidR="00592A8F" w:rsidRPr="001C338A">
        <w:rPr>
          <w:rFonts w:cstheme="minorHAnsi"/>
          <w:color w:val="222222"/>
          <w:spacing w:val="4"/>
          <w:szCs w:val="28"/>
          <w:shd w:val="clear" w:color="auto" w:fill="FFFFFF"/>
        </w:rPr>
        <w:lastRenderedPageBreak/>
        <w:t xml:space="preserve">may decide that in such case, accessibility of the information shall </w:t>
      </w:r>
      <w:proofErr w:type="gramStart"/>
      <w:r w:rsidR="00592A8F" w:rsidRPr="001C338A">
        <w:rPr>
          <w:rFonts w:cstheme="minorHAnsi"/>
          <w:color w:val="222222"/>
          <w:spacing w:val="4"/>
          <w:szCs w:val="28"/>
          <w:shd w:val="clear" w:color="auto" w:fill="FFFFFF"/>
        </w:rPr>
        <w:t>be limited</w:t>
      </w:r>
      <w:proofErr w:type="gramEnd"/>
      <w:r w:rsidR="00592A8F" w:rsidRPr="001C338A">
        <w:rPr>
          <w:rFonts w:cstheme="minorHAnsi"/>
          <w:color w:val="222222"/>
          <w:spacing w:val="4"/>
          <w:szCs w:val="28"/>
          <w:shd w:val="clear" w:color="auto" w:fill="FFFFFF"/>
        </w:rPr>
        <w:t xml:space="preserve"> to the workers’ representatives or to the equality body.</w:t>
      </w:r>
    </w:p>
    <w:p w14:paraId="3AD95A29" w14:textId="3A78AC1B" w:rsidR="002B2AB5" w:rsidRPr="001C338A" w:rsidRDefault="00FC32C4" w:rsidP="00855728">
      <w:pPr>
        <w:pStyle w:val="11NumPara"/>
      </w:pPr>
      <w:r w:rsidRPr="001C338A">
        <w:rPr>
          <w:rFonts w:cstheme="minorHAnsi"/>
          <w:color w:val="222222"/>
          <w:spacing w:val="4"/>
          <w:szCs w:val="28"/>
          <w:shd w:val="clear" w:color="auto" w:fill="FFFFFF"/>
        </w:rPr>
        <w:t>T</w:t>
      </w:r>
      <w:r w:rsidR="00150A86" w:rsidRPr="001C338A">
        <w:rPr>
          <w:rFonts w:cstheme="minorHAnsi"/>
          <w:color w:val="222222"/>
          <w:spacing w:val="4"/>
          <w:szCs w:val="28"/>
          <w:shd w:val="clear" w:color="auto" w:fill="FFFFFF"/>
        </w:rPr>
        <w:t>his provision reflects the specific nature of</w:t>
      </w:r>
      <w:r w:rsidR="0088483B" w:rsidRPr="001C338A">
        <w:rPr>
          <w:rFonts w:cstheme="minorHAnsi"/>
          <w:color w:val="222222"/>
          <w:spacing w:val="4"/>
          <w:szCs w:val="28"/>
          <w:shd w:val="clear" w:color="auto" w:fill="FFFFFF"/>
        </w:rPr>
        <w:t xml:space="preserve"> the PTD</w:t>
      </w:r>
      <w:r w:rsidR="003510AF">
        <w:rPr>
          <w:rFonts w:cstheme="minorHAnsi"/>
          <w:color w:val="222222"/>
          <w:spacing w:val="4"/>
          <w:szCs w:val="28"/>
          <w:shd w:val="clear" w:color="auto" w:fill="FFFFFF"/>
        </w:rPr>
        <w:t>,</w:t>
      </w:r>
      <w:r w:rsidR="00150A86" w:rsidRPr="001C338A">
        <w:rPr>
          <w:rFonts w:cstheme="minorHAnsi"/>
          <w:color w:val="222222"/>
          <w:spacing w:val="4"/>
          <w:szCs w:val="28"/>
          <w:shd w:val="clear" w:color="auto" w:fill="FFFFFF"/>
        </w:rPr>
        <w:t xml:space="preserve"> namely that it places obligations on certain employers to collect and publish certain</w:t>
      </w:r>
      <w:r w:rsidR="002B2AB5" w:rsidRPr="001C338A">
        <w:rPr>
          <w:rFonts w:cstheme="minorHAnsi"/>
          <w:color w:val="222222"/>
          <w:spacing w:val="4"/>
          <w:szCs w:val="28"/>
          <w:shd w:val="clear" w:color="auto" w:fill="FFFFFF"/>
        </w:rPr>
        <w:t xml:space="preserve"> gender</w:t>
      </w:r>
      <w:r w:rsidR="00150A86" w:rsidRPr="001C338A">
        <w:rPr>
          <w:rFonts w:cstheme="minorHAnsi"/>
          <w:color w:val="222222"/>
          <w:spacing w:val="4"/>
          <w:szCs w:val="28"/>
          <w:shd w:val="clear" w:color="auto" w:fill="FFFFFF"/>
        </w:rPr>
        <w:t xml:space="preserve"> </w:t>
      </w:r>
      <w:r w:rsidR="002B2AB5" w:rsidRPr="001C338A">
        <w:rPr>
          <w:rFonts w:cstheme="minorHAnsi"/>
          <w:color w:val="222222"/>
          <w:spacing w:val="4"/>
          <w:szCs w:val="28"/>
          <w:shd w:val="clear" w:color="auto" w:fill="FFFFFF"/>
        </w:rPr>
        <w:t xml:space="preserve">pay </w:t>
      </w:r>
      <w:r w:rsidR="00150A86" w:rsidRPr="001C338A">
        <w:rPr>
          <w:rFonts w:cstheme="minorHAnsi"/>
          <w:color w:val="222222"/>
          <w:spacing w:val="4"/>
          <w:szCs w:val="28"/>
          <w:shd w:val="clear" w:color="auto" w:fill="FFFFFF"/>
        </w:rPr>
        <w:t>data</w:t>
      </w:r>
      <w:proofErr w:type="gramStart"/>
      <w:r w:rsidR="002C0F7D" w:rsidRPr="001C338A">
        <w:rPr>
          <w:rFonts w:cstheme="minorHAnsi"/>
          <w:color w:val="222222"/>
          <w:spacing w:val="4"/>
          <w:szCs w:val="28"/>
          <w:shd w:val="clear" w:color="auto" w:fill="FFFFFF"/>
        </w:rPr>
        <w:t xml:space="preserve">. </w:t>
      </w:r>
      <w:r w:rsidR="00721DCE" w:rsidRPr="001C338A">
        <w:rPr>
          <w:rFonts w:cstheme="minorHAnsi"/>
          <w:color w:val="222222"/>
          <w:spacing w:val="4"/>
          <w:szCs w:val="28"/>
          <w:shd w:val="clear" w:color="auto" w:fill="FFFFFF"/>
        </w:rPr>
        <w:t xml:space="preserve"> </w:t>
      </w:r>
      <w:proofErr w:type="gramEnd"/>
    </w:p>
    <w:p w14:paraId="103F1866" w14:textId="7AD19C53" w:rsidR="0080170B" w:rsidRPr="001C338A" w:rsidRDefault="00BB3517" w:rsidP="00855728">
      <w:pPr>
        <w:pStyle w:val="11NumPara"/>
      </w:pPr>
      <w:r w:rsidRPr="001C338A">
        <w:rPr>
          <w:rFonts w:cstheme="minorHAnsi"/>
          <w:color w:val="222222"/>
          <w:spacing w:val="4"/>
          <w:szCs w:val="28"/>
          <w:shd w:val="clear" w:color="auto" w:fill="FFFFFF"/>
        </w:rPr>
        <w:t xml:space="preserve">The Commissions consider this to be an ancillary </w:t>
      </w:r>
      <w:r w:rsidR="00210333" w:rsidRPr="001C338A">
        <w:rPr>
          <w:rFonts w:cstheme="minorHAnsi"/>
          <w:color w:val="222222"/>
          <w:spacing w:val="4"/>
          <w:szCs w:val="28"/>
          <w:shd w:val="clear" w:color="auto" w:fill="FFFFFF"/>
        </w:rPr>
        <w:t>measure</w:t>
      </w:r>
      <w:r w:rsidRPr="001C338A">
        <w:rPr>
          <w:rFonts w:cstheme="minorHAnsi"/>
          <w:color w:val="222222"/>
          <w:spacing w:val="4"/>
          <w:szCs w:val="28"/>
          <w:shd w:val="clear" w:color="auto" w:fill="FFFFFF"/>
        </w:rPr>
        <w:t xml:space="preserve"> that </w:t>
      </w:r>
      <w:r w:rsidR="00B91D41" w:rsidRPr="001C338A">
        <w:rPr>
          <w:rFonts w:cstheme="minorHAnsi"/>
          <w:color w:val="222222"/>
          <w:spacing w:val="4"/>
          <w:szCs w:val="28"/>
          <w:shd w:val="clear" w:color="auto" w:fill="FFFFFF"/>
        </w:rPr>
        <w:t xml:space="preserve">is relevant and appropriate </w:t>
      </w:r>
      <w:r w:rsidR="00241091" w:rsidRPr="001C338A">
        <w:rPr>
          <w:rFonts w:cstheme="minorHAnsi"/>
          <w:color w:val="222222"/>
          <w:spacing w:val="4"/>
          <w:szCs w:val="28"/>
          <w:shd w:val="clear" w:color="auto" w:fill="FFFFFF"/>
        </w:rPr>
        <w:t>in</w:t>
      </w:r>
      <w:r w:rsidR="0080170B" w:rsidRPr="001C338A">
        <w:rPr>
          <w:rFonts w:cstheme="minorHAnsi"/>
          <w:color w:val="222222"/>
          <w:spacing w:val="4"/>
          <w:szCs w:val="28"/>
          <w:shd w:val="clear" w:color="auto" w:fill="FFFFFF"/>
        </w:rPr>
        <w:t xml:space="preserve"> </w:t>
      </w:r>
      <w:r w:rsidR="002B2AB5" w:rsidRPr="001C338A">
        <w:rPr>
          <w:rFonts w:cstheme="minorHAnsi"/>
          <w:color w:val="222222"/>
          <w:spacing w:val="4"/>
          <w:szCs w:val="28"/>
          <w:shd w:val="clear" w:color="auto" w:fill="FFFFFF"/>
        </w:rPr>
        <w:t xml:space="preserve">the context of </w:t>
      </w:r>
      <w:r w:rsidR="00985528" w:rsidRPr="001C338A">
        <w:rPr>
          <w:rFonts w:cstheme="minorHAnsi"/>
          <w:color w:val="222222"/>
          <w:spacing w:val="4"/>
          <w:szCs w:val="28"/>
          <w:shd w:val="clear" w:color="auto" w:fill="FFFFFF"/>
        </w:rPr>
        <w:t xml:space="preserve">the new gender pay </w:t>
      </w:r>
      <w:r w:rsidR="00241091" w:rsidRPr="001C338A">
        <w:rPr>
          <w:rFonts w:cstheme="minorHAnsi"/>
          <w:color w:val="222222"/>
          <w:spacing w:val="4"/>
          <w:szCs w:val="28"/>
          <w:shd w:val="clear" w:color="auto" w:fill="FFFFFF"/>
        </w:rPr>
        <w:t xml:space="preserve">gap </w:t>
      </w:r>
      <w:r w:rsidR="00985528" w:rsidRPr="001C338A">
        <w:rPr>
          <w:rFonts w:cstheme="minorHAnsi"/>
          <w:color w:val="222222"/>
          <w:spacing w:val="4"/>
          <w:szCs w:val="28"/>
          <w:shd w:val="clear" w:color="auto" w:fill="FFFFFF"/>
        </w:rPr>
        <w:t xml:space="preserve">reporting requirements </w:t>
      </w:r>
      <w:r w:rsidR="002B2AB5" w:rsidRPr="001C338A">
        <w:rPr>
          <w:rFonts w:cstheme="minorHAnsi"/>
          <w:color w:val="222222"/>
          <w:spacing w:val="4"/>
          <w:szCs w:val="28"/>
          <w:shd w:val="clear" w:color="auto" w:fill="FFFFFF"/>
        </w:rPr>
        <w:t>under the PTD</w:t>
      </w:r>
      <w:r w:rsidR="00646BA5">
        <w:rPr>
          <w:rFonts w:cstheme="minorHAnsi"/>
          <w:color w:val="222222"/>
          <w:spacing w:val="4"/>
          <w:szCs w:val="28"/>
          <w:shd w:val="clear" w:color="auto" w:fill="FFFFFF"/>
        </w:rPr>
        <w:t>.</w:t>
      </w:r>
      <w:r w:rsidR="00E250FB" w:rsidRPr="001C338A">
        <w:rPr>
          <w:rFonts w:cstheme="minorHAnsi"/>
          <w:color w:val="222222"/>
          <w:spacing w:val="4"/>
          <w:szCs w:val="28"/>
          <w:shd w:val="clear" w:color="auto" w:fill="FFFFFF"/>
        </w:rPr>
        <w:t xml:space="preserve"> </w:t>
      </w:r>
      <w:r w:rsidR="00646BA5">
        <w:rPr>
          <w:rFonts w:cstheme="minorHAnsi"/>
          <w:color w:val="222222"/>
          <w:spacing w:val="4"/>
          <w:szCs w:val="28"/>
          <w:shd w:val="clear" w:color="auto" w:fill="FFFFFF"/>
        </w:rPr>
        <w:t>A</w:t>
      </w:r>
      <w:r w:rsidR="004D5F08" w:rsidRPr="001C338A">
        <w:rPr>
          <w:rFonts w:cstheme="minorHAnsi"/>
          <w:color w:val="222222"/>
          <w:spacing w:val="4"/>
          <w:szCs w:val="28"/>
          <w:shd w:val="clear" w:color="auto" w:fill="FFFFFF"/>
        </w:rPr>
        <w:t xml:space="preserve">s stated above, </w:t>
      </w:r>
      <w:r w:rsidR="00646BA5">
        <w:rPr>
          <w:rFonts w:cstheme="minorHAnsi"/>
          <w:color w:val="222222"/>
          <w:spacing w:val="4"/>
          <w:szCs w:val="28"/>
          <w:shd w:val="clear" w:color="auto" w:fill="FFFFFF"/>
        </w:rPr>
        <w:t xml:space="preserve">these requirements </w:t>
      </w:r>
      <w:r w:rsidR="00147FE1" w:rsidRPr="001C338A">
        <w:rPr>
          <w:rFonts w:cstheme="minorHAnsi"/>
          <w:color w:val="222222"/>
          <w:spacing w:val="4"/>
          <w:szCs w:val="28"/>
          <w:shd w:val="clear" w:color="auto" w:fill="FFFFFF"/>
        </w:rPr>
        <w:t xml:space="preserve">strengthen the application of the </w:t>
      </w:r>
      <w:r w:rsidR="00D54353" w:rsidRPr="001C338A">
        <w:rPr>
          <w:rFonts w:cstheme="minorHAnsi"/>
          <w:color w:val="222222"/>
          <w:spacing w:val="4"/>
          <w:szCs w:val="28"/>
          <w:shd w:val="clear" w:color="auto" w:fill="FFFFFF"/>
        </w:rPr>
        <w:t>principle of equal pay</w:t>
      </w:r>
      <w:r w:rsidR="00171155" w:rsidRPr="001C338A">
        <w:t xml:space="preserve"> and the prohibition of pay discrimination</w:t>
      </w:r>
      <w:r w:rsidR="00C923E6" w:rsidRPr="001C338A">
        <w:rPr>
          <w:rFonts w:cstheme="minorHAnsi"/>
          <w:color w:val="222222"/>
          <w:spacing w:val="4"/>
          <w:szCs w:val="28"/>
          <w:shd w:val="clear" w:color="auto" w:fill="FFFFFF"/>
        </w:rPr>
        <w:t xml:space="preserve">. </w:t>
      </w:r>
    </w:p>
    <w:p w14:paraId="7B9BA6F9" w14:textId="77777777" w:rsidR="00855728" w:rsidRPr="001C338A" w:rsidRDefault="00855728" w:rsidP="0011718E">
      <w:pPr>
        <w:pStyle w:val="11NumPara"/>
        <w:numPr>
          <w:ilvl w:val="0"/>
          <w:numId w:val="0"/>
        </w:numPr>
      </w:pPr>
    </w:p>
    <w:p w14:paraId="0E867355" w14:textId="09387A31" w:rsidR="00855728" w:rsidRPr="001C338A" w:rsidRDefault="00855728" w:rsidP="00855728">
      <w:pPr>
        <w:pStyle w:val="11NumPara"/>
        <w:numPr>
          <w:ilvl w:val="0"/>
          <w:numId w:val="0"/>
        </w:numPr>
        <w:ind w:left="709"/>
        <w:rPr>
          <w:b/>
          <w:bCs/>
        </w:rPr>
      </w:pPr>
      <w:r w:rsidRPr="001C338A">
        <w:rPr>
          <w:b/>
          <w:bCs/>
        </w:rPr>
        <w:t>Article 13</w:t>
      </w:r>
      <w:r w:rsidR="006E2ABD">
        <w:rPr>
          <w:b/>
          <w:bCs/>
        </w:rPr>
        <w:t xml:space="preserve"> </w:t>
      </w:r>
      <w:r w:rsidRPr="001C338A">
        <w:rPr>
          <w:b/>
          <w:bCs/>
        </w:rPr>
        <w:t>– Social dialogue</w:t>
      </w:r>
    </w:p>
    <w:p w14:paraId="579DDFF0" w14:textId="63845EB5" w:rsidR="00526A98" w:rsidRPr="001C338A" w:rsidRDefault="00B20A59" w:rsidP="00855728">
      <w:pPr>
        <w:pStyle w:val="11NumPara"/>
      </w:pPr>
      <w:r w:rsidRPr="001C338A">
        <w:rPr>
          <w:rFonts w:cstheme="minorHAnsi"/>
          <w:color w:val="222222"/>
          <w:spacing w:val="4"/>
          <w:szCs w:val="28"/>
          <w:shd w:val="clear" w:color="auto" w:fill="FFFFFF"/>
        </w:rPr>
        <w:t xml:space="preserve">This provision on </w:t>
      </w:r>
      <w:r w:rsidR="004A4864" w:rsidRPr="001C338A">
        <w:rPr>
          <w:rFonts w:cstheme="minorHAnsi"/>
          <w:color w:val="222222"/>
          <w:spacing w:val="4"/>
          <w:szCs w:val="28"/>
          <w:shd w:val="clear" w:color="auto" w:fill="FFFFFF"/>
        </w:rPr>
        <w:t>social dialogue aligns with similar provisions in the Recast Directive (Article 21) on social dialogue</w:t>
      </w:r>
      <w:r w:rsidR="00E902D7" w:rsidRPr="001C338A">
        <w:rPr>
          <w:rFonts w:cstheme="minorHAnsi"/>
          <w:color w:val="222222"/>
          <w:spacing w:val="4"/>
          <w:szCs w:val="28"/>
          <w:shd w:val="clear" w:color="auto" w:fill="FFFFFF"/>
        </w:rPr>
        <w:t>. It also builds on and strengthens these provisions in the Recast Directive by extending obligations on social dialogue</w:t>
      </w:r>
      <w:r w:rsidR="00C853AA" w:rsidRPr="001C338A">
        <w:rPr>
          <w:rFonts w:cstheme="minorHAnsi"/>
          <w:color w:val="222222"/>
          <w:spacing w:val="4"/>
          <w:szCs w:val="28"/>
          <w:shd w:val="clear" w:color="auto" w:fill="FFFFFF"/>
        </w:rPr>
        <w:t xml:space="preserve">, to the </w:t>
      </w:r>
      <w:r w:rsidR="00B138F4" w:rsidRPr="001C338A">
        <w:rPr>
          <w:rFonts w:cstheme="minorHAnsi"/>
          <w:color w:val="222222"/>
          <w:spacing w:val="4"/>
          <w:szCs w:val="28"/>
          <w:shd w:val="clear" w:color="auto" w:fill="FFFFFF"/>
        </w:rPr>
        <w:t>rights and obligations in the PTD</w:t>
      </w:r>
      <w:r w:rsidR="00E902D7" w:rsidRPr="001C338A">
        <w:rPr>
          <w:rFonts w:cstheme="minorHAnsi"/>
          <w:color w:val="222222"/>
          <w:spacing w:val="4"/>
          <w:szCs w:val="28"/>
          <w:shd w:val="clear" w:color="auto" w:fill="FFFFFF"/>
        </w:rPr>
        <w:t>,</w:t>
      </w:r>
      <w:r w:rsidR="00B138F4" w:rsidRPr="001C338A">
        <w:rPr>
          <w:rFonts w:cstheme="minorHAnsi"/>
          <w:color w:val="222222"/>
          <w:spacing w:val="4"/>
          <w:szCs w:val="28"/>
          <w:shd w:val="clear" w:color="auto" w:fill="FFFFFF"/>
        </w:rPr>
        <w:t xml:space="preserve"> </w:t>
      </w:r>
      <w:r w:rsidR="0070035B" w:rsidRPr="001C338A">
        <w:rPr>
          <w:rFonts w:cstheme="minorHAnsi"/>
          <w:color w:val="222222"/>
          <w:spacing w:val="4"/>
          <w:szCs w:val="28"/>
          <w:shd w:val="clear" w:color="auto" w:fill="FFFFFF"/>
        </w:rPr>
        <w:t>including</w:t>
      </w:r>
      <w:r w:rsidR="00B138F4" w:rsidRPr="001C338A">
        <w:rPr>
          <w:rFonts w:cstheme="minorHAnsi"/>
          <w:color w:val="222222"/>
          <w:spacing w:val="4"/>
          <w:szCs w:val="28"/>
          <w:shd w:val="clear" w:color="auto" w:fill="FFFFFF"/>
        </w:rPr>
        <w:t xml:space="preserve"> </w:t>
      </w:r>
      <w:r w:rsidR="008D3488" w:rsidRPr="001C338A">
        <w:rPr>
          <w:rFonts w:cstheme="minorHAnsi"/>
          <w:color w:val="222222"/>
          <w:spacing w:val="4"/>
          <w:szCs w:val="28"/>
          <w:shd w:val="clear" w:color="auto" w:fill="FFFFFF"/>
        </w:rPr>
        <w:t xml:space="preserve">on </w:t>
      </w:r>
      <w:r w:rsidR="00526A98" w:rsidRPr="001C338A">
        <w:rPr>
          <w:rFonts w:cstheme="minorHAnsi"/>
          <w:color w:val="222222"/>
          <w:spacing w:val="4"/>
          <w:szCs w:val="28"/>
          <w:shd w:val="clear" w:color="auto" w:fill="FFFFFF"/>
        </w:rPr>
        <w:t>tackling pay discrimination</w:t>
      </w:r>
      <w:r w:rsidR="00711381" w:rsidRPr="001C338A">
        <w:rPr>
          <w:rFonts w:cstheme="minorHAnsi"/>
          <w:color w:val="222222"/>
          <w:spacing w:val="4"/>
          <w:szCs w:val="28"/>
          <w:shd w:val="clear" w:color="auto" w:fill="FFFFFF"/>
        </w:rPr>
        <w:t xml:space="preserve"> and pay transparency mechanisms</w:t>
      </w:r>
      <w:r w:rsidR="00526A98" w:rsidRPr="001C338A">
        <w:rPr>
          <w:rFonts w:cstheme="minorHAnsi"/>
          <w:color w:val="222222"/>
          <w:spacing w:val="4"/>
          <w:szCs w:val="28"/>
          <w:shd w:val="clear" w:color="auto" w:fill="FFFFFF"/>
        </w:rPr>
        <w:t>.</w:t>
      </w:r>
    </w:p>
    <w:p w14:paraId="2C59A4E4" w14:textId="6C127635" w:rsidR="00210333" w:rsidRPr="001C338A" w:rsidRDefault="006C0F81" w:rsidP="00855728">
      <w:pPr>
        <w:pStyle w:val="11NumPara"/>
      </w:pPr>
      <w:r w:rsidRPr="001C338A">
        <w:rPr>
          <w:rFonts w:asciiTheme="minorHAnsi" w:hAnsiTheme="minorHAnsi" w:cstheme="minorHAnsi"/>
          <w:color w:val="222222"/>
          <w:spacing w:val="4"/>
          <w:szCs w:val="28"/>
          <w:shd w:val="clear" w:color="auto" w:fill="FFFFFF"/>
        </w:rPr>
        <w:t xml:space="preserve">Member States, are required to </w:t>
      </w:r>
      <w:r w:rsidR="00177D01" w:rsidRPr="001C338A">
        <w:rPr>
          <w:rFonts w:asciiTheme="minorHAnsi" w:hAnsiTheme="minorHAnsi" w:cstheme="minorHAnsi"/>
          <w:color w:val="222222"/>
          <w:spacing w:val="4"/>
          <w:szCs w:val="28"/>
          <w:shd w:val="clear" w:color="auto" w:fill="FFFFFF"/>
        </w:rPr>
        <w:t xml:space="preserve">take adequate measures to </w:t>
      </w:r>
      <w:r w:rsidRPr="001C338A">
        <w:rPr>
          <w:rFonts w:asciiTheme="minorHAnsi" w:hAnsiTheme="minorHAnsi" w:cstheme="minorHAnsi"/>
          <w:color w:val="222222"/>
          <w:spacing w:val="4"/>
          <w:szCs w:val="28"/>
          <w:shd w:val="clear" w:color="auto" w:fill="FFFFFF"/>
        </w:rPr>
        <w:t xml:space="preserve">ensure </w:t>
      </w:r>
      <w:r w:rsidR="00177D01" w:rsidRPr="001C338A">
        <w:rPr>
          <w:rFonts w:asciiTheme="minorHAnsi" w:hAnsiTheme="minorHAnsi" w:cstheme="minorHAnsi"/>
          <w:color w:val="222222"/>
          <w:spacing w:val="4"/>
          <w:szCs w:val="28"/>
          <w:shd w:val="clear" w:color="auto" w:fill="FFFFFF"/>
        </w:rPr>
        <w:t xml:space="preserve">the effective involvement of social partners, and </w:t>
      </w:r>
      <w:r w:rsidRPr="001C338A">
        <w:rPr>
          <w:rFonts w:asciiTheme="minorHAnsi" w:hAnsiTheme="minorHAnsi" w:cstheme="minorHAnsi"/>
          <w:color w:val="222222"/>
          <w:spacing w:val="4"/>
          <w:szCs w:val="28"/>
          <w:shd w:val="clear" w:color="auto" w:fill="FFFFFF"/>
        </w:rPr>
        <w:t>that the rights and obligations under this Directive are discussed with social partners</w:t>
      </w:r>
      <w:r w:rsidR="00C555FF">
        <w:rPr>
          <w:rFonts w:asciiTheme="minorHAnsi" w:hAnsiTheme="minorHAnsi" w:cstheme="minorHAnsi"/>
          <w:color w:val="222222"/>
          <w:spacing w:val="4"/>
          <w:szCs w:val="28"/>
          <w:shd w:val="clear" w:color="auto" w:fill="FFFFFF"/>
        </w:rPr>
        <w:t>.</w:t>
      </w:r>
      <w:r w:rsidR="00CE54D9" w:rsidRPr="001C338A">
        <w:rPr>
          <w:rStyle w:val="FootnoteReference"/>
          <w:rFonts w:asciiTheme="minorHAnsi" w:hAnsiTheme="minorHAnsi" w:cstheme="minorHAnsi"/>
          <w:color w:val="222222"/>
          <w:spacing w:val="4"/>
          <w:szCs w:val="28"/>
          <w:shd w:val="clear" w:color="auto" w:fill="FFFFFF"/>
        </w:rPr>
        <w:footnoteReference w:id="77"/>
      </w:r>
      <w:r w:rsidR="00290CDA" w:rsidRPr="001C338A">
        <w:rPr>
          <w:rFonts w:asciiTheme="minorHAnsi" w:hAnsiTheme="minorHAnsi" w:cstheme="minorHAnsi"/>
          <w:color w:val="222222"/>
          <w:spacing w:val="4"/>
          <w:szCs w:val="28"/>
          <w:shd w:val="clear" w:color="auto" w:fill="FFFFFF"/>
        </w:rPr>
        <w:t xml:space="preserve"> </w:t>
      </w:r>
      <w:r w:rsidR="007F4CCF" w:rsidRPr="001C338A">
        <w:rPr>
          <w:rFonts w:asciiTheme="minorHAnsi" w:hAnsiTheme="minorHAnsi" w:cstheme="minorHAnsi"/>
          <w:color w:val="222222"/>
          <w:spacing w:val="4"/>
          <w:szCs w:val="28"/>
          <w:shd w:val="clear" w:color="auto" w:fill="FFFFFF"/>
        </w:rPr>
        <w:t xml:space="preserve">Member States </w:t>
      </w:r>
      <w:r w:rsidR="000D5E85" w:rsidRPr="001C338A">
        <w:rPr>
          <w:rFonts w:asciiTheme="minorHAnsi" w:hAnsiTheme="minorHAnsi" w:cstheme="minorHAnsi"/>
          <w:color w:val="222222"/>
          <w:spacing w:val="4"/>
          <w:szCs w:val="28"/>
          <w:shd w:val="clear" w:color="auto" w:fill="FFFFFF"/>
        </w:rPr>
        <w:t xml:space="preserve">must also </w:t>
      </w:r>
      <w:r w:rsidR="008D3488" w:rsidRPr="001C338A">
        <w:rPr>
          <w:rFonts w:asciiTheme="minorHAnsi" w:hAnsiTheme="minorHAnsi" w:cstheme="minorHAnsi"/>
          <w:color w:val="222222"/>
          <w:spacing w:val="4"/>
          <w:szCs w:val="28"/>
          <w:shd w:val="clear" w:color="auto" w:fill="FFFFFF"/>
        </w:rPr>
        <w:t>tak</w:t>
      </w:r>
      <w:r w:rsidR="000D5E85" w:rsidRPr="001C338A">
        <w:rPr>
          <w:rFonts w:asciiTheme="minorHAnsi" w:hAnsiTheme="minorHAnsi" w:cstheme="minorHAnsi"/>
          <w:color w:val="222222"/>
          <w:spacing w:val="4"/>
          <w:szCs w:val="28"/>
          <w:shd w:val="clear" w:color="auto" w:fill="FFFFFF"/>
        </w:rPr>
        <w:t>e</w:t>
      </w:r>
      <w:r w:rsidR="008D3488" w:rsidRPr="001C338A">
        <w:rPr>
          <w:rFonts w:asciiTheme="minorHAnsi" w:hAnsiTheme="minorHAnsi" w:cstheme="minorHAnsi"/>
          <w:color w:val="222222"/>
          <w:spacing w:val="4"/>
          <w:szCs w:val="28"/>
          <w:shd w:val="clear" w:color="auto" w:fill="FFFFFF"/>
        </w:rPr>
        <w:t xml:space="preserve"> adequate measures to promote the role of social partners</w:t>
      </w:r>
      <w:r w:rsidR="00210333" w:rsidRPr="001C338A">
        <w:rPr>
          <w:rFonts w:asciiTheme="minorHAnsi" w:hAnsiTheme="minorHAnsi" w:cstheme="minorHAnsi"/>
          <w:color w:val="222222"/>
          <w:spacing w:val="4"/>
          <w:szCs w:val="28"/>
          <w:shd w:val="clear" w:color="auto" w:fill="FFFFFF"/>
        </w:rPr>
        <w:t xml:space="preserve">, and </w:t>
      </w:r>
      <w:r w:rsidR="00210333" w:rsidRPr="001C338A">
        <w:rPr>
          <w:rFonts w:asciiTheme="minorHAnsi" w:hAnsiTheme="minorHAnsi" w:cstheme="minorHAnsi"/>
          <w:szCs w:val="28"/>
        </w:rPr>
        <w:t xml:space="preserve">encourage the exercise of the right to collective bargaining on measures to tackle pay discrimination and its adverse impact on the valuation of jobs predominantly carried out by workers of one sex. </w:t>
      </w:r>
    </w:p>
    <w:p w14:paraId="51930A8D" w14:textId="19D7DA25" w:rsidR="006C0F81" w:rsidRPr="001C338A" w:rsidRDefault="00526A98" w:rsidP="00855728">
      <w:pPr>
        <w:pStyle w:val="11NumPara"/>
      </w:pPr>
      <w:r w:rsidRPr="001C338A">
        <w:rPr>
          <w:rFonts w:asciiTheme="minorHAnsi" w:hAnsiTheme="minorHAnsi" w:cstheme="minorHAnsi"/>
          <w:color w:val="222222"/>
          <w:spacing w:val="4"/>
          <w:szCs w:val="28"/>
          <w:shd w:val="clear" w:color="auto" w:fill="FFFFFF"/>
        </w:rPr>
        <w:t>The European Commission has recognised that t</w:t>
      </w:r>
      <w:r w:rsidR="00592A8F" w:rsidRPr="001C338A">
        <w:rPr>
          <w:rFonts w:asciiTheme="minorHAnsi" w:hAnsiTheme="minorHAnsi" w:cstheme="minorHAnsi"/>
          <w:color w:val="222222"/>
          <w:spacing w:val="4"/>
          <w:szCs w:val="28"/>
          <w:shd w:val="clear" w:color="auto" w:fill="FFFFFF"/>
        </w:rPr>
        <w:t>he involvement of social partners in advancing gender equality in employment relations is important</w:t>
      </w:r>
      <w:r w:rsidRPr="001C338A">
        <w:rPr>
          <w:rFonts w:asciiTheme="minorHAnsi" w:hAnsiTheme="minorHAnsi" w:cstheme="minorHAnsi"/>
          <w:color w:val="222222"/>
          <w:spacing w:val="4"/>
          <w:szCs w:val="28"/>
          <w:shd w:val="clear" w:color="auto" w:fill="FFFFFF"/>
        </w:rPr>
        <w:t>, and that t</w:t>
      </w:r>
      <w:r w:rsidR="00592A8F" w:rsidRPr="001C338A">
        <w:rPr>
          <w:rFonts w:asciiTheme="minorHAnsi" w:hAnsiTheme="minorHAnsi" w:cstheme="minorHAnsi"/>
          <w:color w:val="222222"/>
          <w:spacing w:val="4"/>
          <w:szCs w:val="28"/>
          <w:shd w:val="clear" w:color="auto" w:fill="FFFFFF"/>
        </w:rPr>
        <w:t xml:space="preserve">hey </w:t>
      </w:r>
      <w:proofErr w:type="gramStart"/>
      <w:r w:rsidR="00592A8F" w:rsidRPr="001C338A">
        <w:rPr>
          <w:rFonts w:asciiTheme="minorHAnsi" w:hAnsiTheme="minorHAnsi" w:cstheme="minorHAnsi"/>
          <w:color w:val="222222"/>
          <w:spacing w:val="4"/>
          <w:szCs w:val="28"/>
          <w:shd w:val="clear" w:color="auto" w:fill="FFFFFF"/>
        </w:rPr>
        <w:t>are best placed</w:t>
      </w:r>
      <w:proofErr w:type="gramEnd"/>
      <w:r w:rsidR="00592A8F" w:rsidRPr="001C338A">
        <w:rPr>
          <w:rFonts w:asciiTheme="minorHAnsi" w:hAnsiTheme="minorHAnsi" w:cstheme="minorHAnsi"/>
          <w:color w:val="222222"/>
          <w:spacing w:val="4"/>
          <w:szCs w:val="28"/>
          <w:shd w:val="clear" w:color="auto" w:fill="FFFFFF"/>
        </w:rPr>
        <w:t xml:space="preserve"> to detect the strengths and weaknesses of action at national, regional, and local level to prevent and combat pay discrimination based on sex.</w:t>
      </w:r>
      <w:r w:rsidR="00290CDA" w:rsidRPr="001C338A">
        <w:rPr>
          <w:rStyle w:val="FootnoteReference"/>
          <w:rFonts w:asciiTheme="minorHAnsi" w:hAnsiTheme="minorHAnsi" w:cstheme="minorHAnsi"/>
          <w:color w:val="222222"/>
          <w:spacing w:val="4"/>
          <w:szCs w:val="28"/>
          <w:shd w:val="clear" w:color="auto" w:fill="FFFFFF"/>
        </w:rPr>
        <w:footnoteReference w:id="78"/>
      </w:r>
    </w:p>
    <w:p w14:paraId="39D584A6" w14:textId="77777777" w:rsidR="009F0080" w:rsidRPr="001C338A" w:rsidRDefault="009F0080" w:rsidP="00855728">
      <w:pPr>
        <w:pStyle w:val="11NumPara"/>
      </w:pPr>
      <w:r w:rsidRPr="001C338A">
        <w:rPr>
          <w:rFonts w:asciiTheme="minorHAnsi" w:hAnsiTheme="minorHAnsi" w:cstheme="minorHAnsi"/>
          <w:color w:val="222222"/>
          <w:spacing w:val="4"/>
          <w:szCs w:val="28"/>
          <w:shd w:val="clear" w:color="auto" w:fill="FFFFFF"/>
        </w:rPr>
        <w:t>T</w:t>
      </w:r>
      <w:r w:rsidR="00210333" w:rsidRPr="001C338A">
        <w:rPr>
          <w:rFonts w:asciiTheme="minorHAnsi" w:hAnsiTheme="minorHAnsi" w:cstheme="minorHAnsi"/>
          <w:color w:val="222222"/>
          <w:spacing w:val="4"/>
          <w:szCs w:val="28"/>
          <w:shd w:val="clear" w:color="auto" w:fill="FFFFFF"/>
        </w:rPr>
        <w:t xml:space="preserve">his </w:t>
      </w:r>
      <w:r w:rsidRPr="001C338A">
        <w:rPr>
          <w:rFonts w:asciiTheme="minorHAnsi" w:hAnsiTheme="minorHAnsi" w:cstheme="minorHAnsi"/>
          <w:color w:val="222222"/>
          <w:spacing w:val="4"/>
          <w:szCs w:val="28"/>
          <w:shd w:val="clear" w:color="auto" w:fill="FFFFFF"/>
        </w:rPr>
        <w:t xml:space="preserve">is an </w:t>
      </w:r>
      <w:r w:rsidR="00210333" w:rsidRPr="001C338A">
        <w:rPr>
          <w:rFonts w:asciiTheme="minorHAnsi" w:hAnsiTheme="minorHAnsi" w:cstheme="minorHAnsi"/>
          <w:color w:val="222222"/>
          <w:spacing w:val="4"/>
          <w:szCs w:val="28"/>
          <w:shd w:val="clear" w:color="auto" w:fill="FFFFFF"/>
        </w:rPr>
        <w:t>important measure</w:t>
      </w:r>
      <w:r w:rsidR="00210333" w:rsidRPr="001C338A">
        <w:rPr>
          <w:rFonts w:asciiTheme="minorHAnsi" w:hAnsiTheme="minorHAnsi" w:cstheme="minorHAnsi"/>
          <w:szCs w:val="28"/>
        </w:rPr>
        <w:t xml:space="preserve"> </w:t>
      </w:r>
      <w:r w:rsidRPr="001C338A">
        <w:rPr>
          <w:rFonts w:asciiTheme="minorHAnsi" w:hAnsiTheme="minorHAnsi" w:cstheme="minorHAnsi"/>
          <w:szCs w:val="28"/>
        </w:rPr>
        <w:t>that</w:t>
      </w:r>
      <w:r w:rsidR="00210333" w:rsidRPr="001C338A">
        <w:rPr>
          <w:rFonts w:asciiTheme="minorHAnsi" w:hAnsiTheme="minorHAnsi" w:cstheme="minorHAnsi"/>
          <w:szCs w:val="28"/>
        </w:rPr>
        <w:t xml:space="preserve"> </w:t>
      </w:r>
      <w:proofErr w:type="gramStart"/>
      <w:r w:rsidR="00210333" w:rsidRPr="001C338A">
        <w:rPr>
          <w:rFonts w:asciiTheme="minorHAnsi" w:hAnsiTheme="minorHAnsi" w:cstheme="minorHAnsi"/>
          <w:szCs w:val="28"/>
        </w:rPr>
        <w:t>is aimed</w:t>
      </w:r>
      <w:proofErr w:type="gramEnd"/>
      <w:r w:rsidR="00210333" w:rsidRPr="001C338A">
        <w:rPr>
          <w:rFonts w:asciiTheme="minorHAnsi" w:hAnsiTheme="minorHAnsi" w:cstheme="minorHAnsi"/>
          <w:szCs w:val="28"/>
        </w:rPr>
        <w:t xml:space="preserve"> at ensuring that social partners discuss and pay particular attention to matters of equal pay</w:t>
      </w:r>
      <w:r w:rsidR="00CE54D9" w:rsidRPr="001C338A">
        <w:rPr>
          <w:rFonts w:asciiTheme="minorHAnsi" w:hAnsiTheme="minorHAnsi" w:cstheme="minorHAnsi"/>
          <w:szCs w:val="28"/>
        </w:rPr>
        <w:t>, including</w:t>
      </w:r>
      <w:r w:rsidR="00210333" w:rsidRPr="001C338A">
        <w:rPr>
          <w:rFonts w:asciiTheme="minorHAnsi" w:hAnsiTheme="minorHAnsi" w:cstheme="minorHAnsi"/>
          <w:szCs w:val="28"/>
        </w:rPr>
        <w:t xml:space="preserve"> in collective bargaining</w:t>
      </w:r>
      <w:r w:rsidR="000D5E85" w:rsidRPr="001C338A">
        <w:rPr>
          <w:rFonts w:asciiTheme="minorHAnsi" w:hAnsiTheme="minorHAnsi" w:cstheme="minorHAnsi"/>
          <w:szCs w:val="28"/>
        </w:rPr>
        <w:t>, and facilitates the application of the principle of equal pay.</w:t>
      </w:r>
      <w:r w:rsidR="0099096A" w:rsidRPr="001C338A">
        <w:rPr>
          <w:rFonts w:asciiTheme="minorHAnsi" w:hAnsiTheme="minorHAnsi" w:cstheme="minorHAnsi"/>
          <w:szCs w:val="28"/>
        </w:rPr>
        <w:t xml:space="preserve"> </w:t>
      </w:r>
    </w:p>
    <w:p w14:paraId="5D65B738" w14:textId="3408528B" w:rsidR="00D3522C" w:rsidRPr="001C338A" w:rsidRDefault="006411F6" w:rsidP="00D802F0">
      <w:pPr>
        <w:pStyle w:val="11NumPara"/>
      </w:pPr>
      <w:r w:rsidRPr="001C338A">
        <w:rPr>
          <w:rFonts w:cstheme="minorHAnsi"/>
          <w:color w:val="333333"/>
          <w:szCs w:val="28"/>
          <w:shd w:val="clear" w:color="auto" w:fill="FFFFFF"/>
        </w:rPr>
        <w:t xml:space="preserve">The Commissions consider that the provisions on </w:t>
      </w:r>
      <w:r w:rsidRPr="001C338A">
        <w:t xml:space="preserve">social dialogue </w:t>
      </w:r>
      <w:r w:rsidRPr="001C338A">
        <w:rPr>
          <w:rFonts w:cstheme="minorHAnsi"/>
          <w:szCs w:val="28"/>
        </w:rPr>
        <w:t xml:space="preserve">strengthen the application of the principle of equal pay and the prohibition of pay </w:t>
      </w:r>
      <w:r w:rsidRPr="001C338A">
        <w:rPr>
          <w:rFonts w:cstheme="minorHAnsi"/>
          <w:szCs w:val="28"/>
        </w:rPr>
        <w:lastRenderedPageBreak/>
        <w:t xml:space="preserve">discrimination, and build on </w:t>
      </w:r>
      <w:r w:rsidR="00711381" w:rsidRPr="001C338A">
        <w:rPr>
          <w:rFonts w:cstheme="minorHAnsi"/>
          <w:szCs w:val="28"/>
        </w:rPr>
        <w:t xml:space="preserve">and enhance </w:t>
      </w:r>
      <w:r w:rsidRPr="001C338A">
        <w:rPr>
          <w:rFonts w:cstheme="minorHAnsi"/>
          <w:szCs w:val="28"/>
        </w:rPr>
        <w:t>existing provisions in the Recast Directive in this area.</w:t>
      </w:r>
    </w:p>
    <w:p w14:paraId="70C6770B" w14:textId="77777777" w:rsidR="00382E69" w:rsidRPr="001C338A" w:rsidRDefault="00382E69" w:rsidP="00382E69">
      <w:pPr>
        <w:pStyle w:val="11NumPara"/>
        <w:numPr>
          <w:ilvl w:val="0"/>
          <w:numId w:val="0"/>
        </w:numPr>
        <w:ind w:left="709"/>
      </w:pPr>
    </w:p>
    <w:p w14:paraId="562A58C2" w14:textId="1F3402BC" w:rsidR="00855728" w:rsidRPr="001C338A" w:rsidRDefault="00D3522C" w:rsidP="00C9561B">
      <w:pPr>
        <w:pStyle w:val="11NumPara"/>
        <w:numPr>
          <w:ilvl w:val="0"/>
          <w:numId w:val="0"/>
        </w:numPr>
        <w:ind w:left="709"/>
        <w:rPr>
          <w:b/>
          <w:bCs/>
          <w:u w:val="single"/>
        </w:rPr>
      </w:pPr>
      <w:r w:rsidRPr="001C338A">
        <w:rPr>
          <w:b/>
          <w:bCs/>
          <w:u w:val="single"/>
        </w:rPr>
        <w:t>Remedies and Enforcement -</w:t>
      </w:r>
      <w:r w:rsidR="00BD735D">
        <w:rPr>
          <w:b/>
          <w:bCs/>
          <w:u w:val="single"/>
        </w:rPr>
        <w:t xml:space="preserve"> </w:t>
      </w:r>
      <w:r w:rsidRPr="001C338A">
        <w:rPr>
          <w:b/>
          <w:bCs/>
          <w:u w:val="single"/>
        </w:rPr>
        <w:t>Chapter III</w:t>
      </w:r>
    </w:p>
    <w:p w14:paraId="27C8C452" w14:textId="10AA4582" w:rsidR="00072C41" w:rsidRPr="001C338A" w:rsidRDefault="00072C41" w:rsidP="00D3522C">
      <w:pPr>
        <w:pStyle w:val="11NumPara"/>
      </w:pPr>
      <w:r w:rsidRPr="001C338A">
        <w:rPr>
          <w:rFonts w:cstheme="minorHAnsi"/>
          <w:szCs w:val="28"/>
        </w:rPr>
        <w:t xml:space="preserve">As stated above, the PTD makes clear that its provisions relating to remedies </w:t>
      </w:r>
      <w:r w:rsidRPr="001C338A">
        <w:rPr>
          <w:rFonts w:cstheme="minorHAnsi"/>
          <w:szCs w:val="28"/>
          <w:u w:val="single"/>
        </w:rPr>
        <w:t>and</w:t>
      </w:r>
      <w:r w:rsidRPr="001C338A">
        <w:rPr>
          <w:rFonts w:cstheme="minorHAnsi"/>
          <w:szCs w:val="28"/>
        </w:rPr>
        <w:t xml:space="preserve"> enforcement </w:t>
      </w:r>
      <w:r w:rsidRPr="001C338A">
        <w:rPr>
          <w:rFonts w:cstheme="minorHAnsi"/>
          <w:szCs w:val="28"/>
          <w:u w:val="single"/>
        </w:rPr>
        <w:t>apply to</w:t>
      </w:r>
      <w:r w:rsidRPr="001C338A">
        <w:rPr>
          <w:rFonts w:cstheme="minorHAnsi"/>
          <w:szCs w:val="28"/>
        </w:rPr>
        <w:t xml:space="preserve"> proceedings relating to rights the Recast Directive. </w:t>
      </w:r>
    </w:p>
    <w:p w14:paraId="5C205408" w14:textId="5C9074B4" w:rsidR="00072C41" w:rsidRPr="001C338A" w:rsidRDefault="00072C41" w:rsidP="00D3522C">
      <w:pPr>
        <w:pStyle w:val="11NumPara"/>
      </w:pPr>
      <w:r w:rsidRPr="001C338A">
        <w:rPr>
          <w:rFonts w:cstheme="minorHAnsi"/>
          <w:szCs w:val="28"/>
        </w:rPr>
        <w:t>In particular, the PTD, at Article 26, states that the PTD’s ‘Remedies and Enforcement’ provisions in Chapter III “</w:t>
      </w:r>
      <w:r w:rsidRPr="001C338A">
        <w:rPr>
          <w:rFonts w:cstheme="minorHAnsi"/>
          <w:i/>
          <w:iCs/>
          <w:szCs w:val="28"/>
        </w:rPr>
        <w:t>apply to proceedings concerning any right or obligation relating to the principle of equal pay set out in Article 4 of Directive 2006/54/EC</w:t>
      </w:r>
      <w:r w:rsidRPr="001C338A">
        <w:rPr>
          <w:rStyle w:val="FootnoteReference"/>
          <w:rFonts w:cstheme="minorHAnsi"/>
          <w:i/>
          <w:iCs/>
          <w:szCs w:val="28"/>
        </w:rPr>
        <w:t xml:space="preserve"> </w:t>
      </w:r>
      <w:r w:rsidRPr="001C338A">
        <w:rPr>
          <w:rFonts w:cstheme="minorHAnsi"/>
          <w:szCs w:val="28"/>
        </w:rPr>
        <w:t>“</w:t>
      </w:r>
      <w:r w:rsidR="0069477E">
        <w:rPr>
          <w:rFonts w:cstheme="minorHAnsi"/>
          <w:szCs w:val="28"/>
        </w:rPr>
        <w:t>.</w:t>
      </w:r>
      <w:r w:rsidRPr="001C338A">
        <w:rPr>
          <w:rStyle w:val="FootnoteReference"/>
          <w:rFonts w:cstheme="minorHAnsi"/>
          <w:szCs w:val="28"/>
        </w:rPr>
        <w:footnoteReference w:id="79"/>
      </w:r>
      <w:r w:rsidRPr="001C338A">
        <w:rPr>
          <w:rFonts w:cstheme="minorHAnsi"/>
          <w:szCs w:val="28"/>
        </w:rPr>
        <w:t xml:space="preserve"> It will be noted that Article 4 of the Gender Equality (Employment) Directive, as regards equal pay, prohibits discrimination (direct and indirect) on grounds of sex</w:t>
      </w:r>
      <w:r w:rsidR="0069477E">
        <w:rPr>
          <w:rFonts w:cstheme="minorHAnsi"/>
          <w:szCs w:val="28"/>
        </w:rPr>
        <w:t>.</w:t>
      </w:r>
      <w:r w:rsidRPr="001C338A">
        <w:rPr>
          <w:rStyle w:val="FootnoteReference"/>
          <w:rFonts w:cstheme="minorHAnsi"/>
          <w:szCs w:val="28"/>
        </w:rPr>
        <w:footnoteReference w:id="80"/>
      </w:r>
      <w:r w:rsidRPr="001C338A">
        <w:rPr>
          <w:rFonts w:cstheme="minorHAnsi"/>
          <w:szCs w:val="28"/>
        </w:rPr>
        <w:t xml:space="preserve"> </w:t>
      </w:r>
    </w:p>
    <w:p w14:paraId="34980853" w14:textId="68321F84" w:rsidR="00FE0CF6" w:rsidRPr="001C338A" w:rsidRDefault="006072BB" w:rsidP="00FE0CF6">
      <w:pPr>
        <w:pStyle w:val="11NumPara"/>
      </w:pPr>
      <w:r w:rsidRPr="001C338A">
        <w:rPr>
          <w:rFonts w:cstheme="minorHAnsi"/>
          <w:color w:val="222222"/>
          <w:spacing w:val="4"/>
          <w:szCs w:val="28"/>
          <w:shd w:val="clear" w:color="auto" w:fill="FFFFFF"/>
        </w:rPr>
        <w:t>As referred to above, t</w:t>
      </w:r>
      <w:r w:rsidR="00FE0CF6" w:rsidRPr="001C338A">
        <w:rPr>
          <w:rFonts w:cstheme="minorHAnsi"/>
          <w:color w:val="222222"/>
          <w:spacing w:val="4"/>
          <w:szCs w:val="28"/>
          <w:shd w:val="clear" w:color="auto" w:fill="FFFFFF"/>
        </w:rPr>
        <w:t xml:space="preserve">he Commissions consider that this provision makes it </w:t>
      </w:r>
      <w:r w:rsidR="00497AF1" w:rsidRPr="001C338A">
        <w:rPr>
          <w:rFonts w:cstheme="minorHAnsi"/>
          <w:color w:val="222222"/>
          <w:spacing w:val="4"/>
          <w:szCs w:val="28"/>
          <w:shd w:val="clear" w:color="auto" w:fill="FFFFFF"/>
        </w:rPr>
        <w:t xml:space="preserve">very </w:t>
      </w:r>
      <w:r w:rsidR="00FE0CF6" w:rsidRPr="001C338A">
        <w:rPr>
          <w:rFonts w:cstheme="minorHAnsi"/>
          <w:color w:val="222222"/>
          <w:spacing w:val="4"/>
          <w:szCs w:val="28"/>
          <w:shd w:val="clear" w:color="auto" w:fill="FFFFFF"/>
        </w:rPr>
        <w:t>clear  that these provisions of the PTD amend and</w:t>
      </w:r>
      <w:r w:rsidR="009F39A4" w:rsidRPr="001C338A">
        <w:rPr>
          <w:rFonts w:cstheme="minorHAnsi"/>
          <w:color w:val="222222"/>
          <w:spacing w:val="4"/>
          <w:szCs w:val="28"/>
          <w:shd w:val="clear" w:color="auto" w:fill="FFFFFF"/>
        </w:rPr>
        <w:t>/or</w:t>
      </w:r>
      <w:r w:rsidR="00FE0CF6" w:rsidRPr="001C338A">
        <w:rPr>
          <w:rFonts w:cstheme="minorHAnsi"/>
          <w:color w:val="222222"/>
          <w:spacing w:val="4"/>
          <w:szCs w:val="28"/>
          <w:shd w:val="clear" w:color="auto" w:fill="FFFFFF"/>
        </w:rPr>
        <w:t xml:space="preserve"> replace the provisions in the Recast Directive in these areas.</w:t>
      </w:r>
    </w:p>
    <w:p w14:paraId="5F44935E" w14:textId="05F1E457" w:rsidR="00072C41" w:rsidRPr="001C338A" w:rsidRDefault="00072C41" w:rsidP="00D3522C">
      <w:pPr>
        <w:pStyle w:val="11NumPara"/>
      </w:pPr>
      <w:r w:rsidRPr="001C338A">
        <w:rPr>
          <w:rFonts w:cstheme="minorHAnsi"/>
          <w:szCs w:val="28"/>
        </w:rPr>
        <w:t xml:space="preserve">In addition, the </w:t>
      </w:r>
      <w:r w:rsidR="006072BB" w:rsidRPr="001C338A">
        <w:rPr>
          <w:rFonts w:cstheme="minorHAnsi"/>
          <w:szCs w:val="28"/>
        </w:rPr>
        <w:t>r</w:t>
      </w:r>
      <w:r w:rsidRPr="001C338A">
        <w:rPr>
          <w:rFonts w:cstheme="minorHAnsi"/>
          <w:szCs w:val="28"/>
        </w:rPr>
        <w:t>ecitals to the PTD (Recital 59) state that the PTD ‘</w:t>
      </w:r>
      <w:r w:rsidRPr="001C338A">
        <w:rPr>
          <w:rFonts w:cstheme="minorHAnsi"/>
          <w:i/>
          <w:iCs/>
          <w:szCs w:val="28"/>
        </w:rPr>
        <w:t>should strengthen the existing enforcement tools and procedures</w:t>
      </w:r>
      <w:r w:rsidRPr="001C338A">
        <w:rPr>
          <w:rFonts w:cstheme="minorHAnsi"/>
          <w:szCs w:val="28"/>
        </w:rPr>
        <w:t xml:space="preserve">’ in relation to the equal pay provisions set out in </w:t>
      </w:r>
      <w:r w:rsidR="00AE7549" w:rsidRPr="001C338A">
        <w:rPr>
          <w:rFonts w:cstheme="minorHAnsi"/>
          <w:szCs w:val="28"/>
        </w:rPr>
        <w:t xml:space="preserve">the Recast </w:t>
      </w:r>
      <w:r w:rsidRPr="001C338A">
        <w:rPr>
          <w:rFonts w:cstheme="minorHAnsi"/>
          <w:szCs w:val="28"/>
        </w:rPr>
        <w:t>Directive.</w:t>
      </w:r>
      <w:r w:rsidRPr="001C338A">
        <w:rPr>
          <w:rStyle w:val="FootnoteReference"/>
          <w:rFonts w:cstheme="minorHAnsi"/>
          <w:szCs w:val="28"/>
        </w:rPr>
        <w:footnoteReference w:id="81"/>
      </w:r>
      <w:r w:rsidRPr="001C338A">
        <w:rPr>
          <w:rFonts w:cstheme="minorHAnsi"/>
          <w:szCs w:val="28"/>
        </w:rPr>
        <w:t xml:space="preserve">  </w:t>
      </w:r>
    </w:p>
    <w:p w14:paraId="64D65C88" w14:textId="46E426AA" w:rsidR="00072C41" w:rsidRPr="001C338A" w:rsidRDefault="00072C41" w:rsidP="00D3522C">
      <w:pPr>
        <w:pStyle w:val="11NumPara"/>
      </w:pPr>
      <w:r w:rsidRPr="001C338A">
        <w:rPr>
          <w:rFonts w:cstheme="minorHAnsi"/>
          <w:color w:val="222222"/>
          <w:spacing w:val="4"/>
          <w:szCs w:val="28"/>
          <w:shd w:val="clear" w:color="auto" w:fill="FFFFFF"/>
        </w:rPr>
        <w:t>The European Commission has made clear that the proposed PTD’s “enhanced enforcement measures will improve access to justice and the enforcement of rights granted under EU law</w:t>
      </w:r>
      <w:proofErr w:type="gramStart"/>
      <w:r w:rsidR="00D3522C" w:rsidRPr="001C338A">
        <w:rPr>
          <w:rFonts w:cstheme="minorHAnsi"/>
          <w:color w:val="222222"/>
          <w:spacing w:val="4"/>
          <w:szCs w:val="28"/>
          <w:shd w:val="clear" w:color="auto" w:fill="FFFFFF"/>
        </w:rPr>
        <w:t>”</w:t>
      </w:r>
      <w:r w:rsidRPr="001C338A">
        <w:rPr>
          <w:rFonts w:cstheme="minorHAnsi"/>
          <w:color w:val="222222"/>
          <w:spacing w:val="4"/>
          <w:szCs w:val="28"/>
          <w:shd w:val="clear" w:color="auto" w:fill="FFFFFF"/>
        </w:rPr>
        <w:t>.</w:t>
      </w:r>
      <w:proofErr w:type="gramEnd"/>
      <w:r w:rsidRPr="001C338A">
        <w:rPr>
          <w:rFonts w:cstheme="minorHAnsi"/>
          <w:color w:val="222222"/>
          <w:spacing w:val="4"/>
          <w:szCs w:val="28"/>
          <w:shd w:val="clear" w:color="auto" w:fill="FFFFFF"/>
        </w:rPr>
        <w:t> </w:t>
      </w:r>
    </w:p>
    <w:p w14:paraId="0EA8B004" w14:textId="74BCCE43" w:rsidR="00072C41" w:rsidRPr="001C338A" w:rsidRDefault="00072C41" w:rsidP="00D3522C">
      <w:pPr>
        <w:pStyle w:val="11NumPara"/>
      </w:pPr>
      <w:r w:rsidRPr="001C338A">
        <w:rPr>
          <w:rFonts w:cstheme="minorHAnsi"/>
          <w:szCs w:val="28"/>
        </w:rPr>
        <w:t xml:space="preserve">Therefore, in summary, the Commissions consider that the provisions in the PTD on remedies and enforcement (Chapter III) </w:t>
      </w:r>
      <w:r w:rsidRPr="001C338A">
        <w:rPr>
          <w:rFonts w:cstheme="minorHAnsi"/>
          <w:szCs w:val="28"/>
          <w:u w:val="single"/>
        </w:rPr>
        <w:t xml:space="preserve">amend </w:t>
      </w:r>
      <w:r w:rsidR="009F39A4" w:rsidRPr="001C338A">
        <w:rPr>
          <w:rFonts w:cstheme="minorHAnsi"/>
          <w:szCs w:val="28"/>
          <w:u w:val="single"/>
        </w:rPr>
        <w:t>and/</w:t>
      </w:r>
      <w:r w:rsidRPr="001C338A">
        <w:rPr>
          <w:rFonts w:cstheme="minorHAnsi"/>
          <w:szCs w:val="28"/>
          <w:u w:val="single"/>
        </w:rPr>
        <w:t xml:space="preserve">or replace existing provisions </w:t>
      </w:r>
      <w:r w:rsidRPr="001C338A">
        <w:rPr>
          <w:rFonts w:cstheme="minorHAnsi"/>
          <w:szCs w:val="28"/>
        </w:rPr>
        <w:t xml:space="preserve">in the </w:t>
      </w:r>
      <w:r w:rsidR="00D46FCB" w:rsidRPr="001C338A">
        <w:rPr>
          <w:rFonts w:cstheme="minorHAnsi"/>
          <w:szCs w:val="28"/>
        </w:rPr>
        <w:t xml:space="preserve">Recast </w:t>
      </w:r>
      <w:r w:rsidRPr="001C338A">
        <w:rPr>
          <w:rFonts w:cstheme="minorHAnsi"/>
          <w:szCs w:val="28"/>
        </w:rPr>
        <w:t>Directive that relate to equal pay proceedings.</w:t>
      </w:r>
    </w:p>
    <w:p w14:paraId="3A3FE1A4" w14:textId="77777777" w:rsidR="006072BB" w:rsidRPr="001C338A" w:rsidRDefault="006072BB" w:rsidP="006072BB">
      <w:pPr>
        <w:pStyle w:val="11NumPara"/>
        <w:numPr>
          <w:ilvl w:val="0"/>
          <w:numId w:val="0"/>
        </w:numPr>
        <w:ind w:left="709"/>
        <w:rPr>
          <w:b/>
          <w:bCs/>
        </w:rPr>
      </w:pPr>
    </w:p>
    <w:p w14:paraId="59E900B4" w14:textId="313A7DEC" w:rsidR="006072BB" w:rsidRPr="001C338A" w:rsidRDefault="006072BB" w:rsidP="006072BB">
      <w:pPr>
        <w:pStyle w:val="11NumPara"/>
        <w:numPr>
          <w:ilvl w:val="0"/>
          <w:numId w:val="0"/>
        </w:numPr>
        <w:ind w:left="709"/>
        <w:rPr>
          <w:b/>
          <w:bCs/>
        </w:rPr>
      </w:pPr>
      <w:r w:rsidRPr="001C338A">
        <w:rPr>
          <w:b/>
          <w:bCs/>
        </w:rPr>
        <w:t>Article 14</w:t>
      </w:r>
      <w:r w:rsidR="00E60792">
        <w:rPr>
          <w:b/>
          <w:bCs/>
        </w:rPr>
        <w:t xml:space="preserve"> </w:t>
      </w:r>
      <w:r w:rsidRPr="001C338A">
        <w:rPr>
          <w:b/>
          <w:bCs/>
        </w:rPr>
        <w:t>-</w:t>
      </w:r>
      <w:r w:rsidR="00E60792">
        <w:rPr>
          <w:b/>
          <w:bCs/>
        </w:rPr>
        <w:t xml:space="preserve"> </w:t>
      </w:r>
      <w:r w:rsidRPr="001C338A">
        <w:rPr>
          <w:b/>
          <w:bCs/>
        </w:rPr>
        <w:t>Defence of Rights</w:t>
      </w:r>
    </w:p>
    <w:p w14:paraId="55665301" w14:textId="3BE72BAF" w:rsidR="002C4B2D" w:rsidRPr="001C338A" w:rsidRDefault="00825B82" w:rsidP="00C6579E">
      <w:pPr>
        <w:pStyle w:val="11NumPara"/>
      </w:pPr>
      <w:r w:rsidRPr="001C338A">
        <w:rPr>
          <w:rFonts w:cstheme="minorHAnsi"/>
          <w:noProof/>
          <w:szCs w:val="28"/>
          <w:lang w:eastAsia="en-GB"/>
        </w:rPr>
        <w:t xml:space="preserve">This provision on defence of rights </w:t>
      </w:r>
      <w:r w:rsidR="003441FB" w:rsidRPr="001C338A">
        <w:rPr>
          <w:rFonts w:cstheme="minorHAnsi"/>
          <w:noProof/>
          <w:szCs w:val="28"/>
          <w:lang w:eastAsia="en-GB"/>
        </w:rPr>
        <w:t>is broadly</w:t>
      </w:r>
      <w:r w:rsidRPr="001C338A">
        <w:rPr>
          <w:rFonts w:cstheme="minorHAnsi"/>
          <w:noProof/>
          <w:szCs w:val="28"/>
          <w:lang w:eastAsia="en-GB"/>
        </w:rPr>
        <w:t xml:space="preserve"> similar </w:t>
      </w:r>
      <w:r w:rsidR="003441FB" w:rsidRPr="001C338A">
        <w:rPr>
          <w:rFonts w:cstheme="minorHAnsi"/>
          <w:noProof/>
          <w:szCs w:val="28"/>
          <w:lang w:eastAsia="en-GB"/>
        </w:rPr>
        <w:t xml:space="preserve">to the </w:t>
      </w:r>
      <w:r w:rsidRPr="001C338A">
        <w:rPr>
          <w:rFonts w:cstheme="minorHAnsi"/>
          <w:noProof/>
          <w:szCs w:val="28"/>
          <w:lang w:eastAsia="en-GB"/>
        </w:rPr>
        <w:t xml:space="preserve">provision </w:t>
      </w:r>
      <w:r w:rsidR="003441FB" w:rsidRPr="001C338A">
        <w:rPr>
          <w:rFonts w:cstheme="minorHAnsi"/>
          <w:noProof/>
          <w:szCs w:val="28"/>
          <w:lang w:eastAsia="en-GB"/>
        </w:rPr>
        <w:t xml:space="preserve">on defence of rights </w:t>
      </w:r>
      <w:r w:rsidRPr="001C338A">
        <w:rPr>
          <w:rFonts w:cstheme="minorHAnsi"/>
          <w:noProof/>
          <w:szCs w:val="28"/>
          <w:lang w:eastAsia="en-GB"/>
        </w:rPr>
        <w:t xml:space="preserve">in the Recast Directive </w:t>
      </w:r>
      <w:r w:rsidR="008D33C1">
        <w:rPr>
          <w:rFonts w:cstheme="minorHAnsi"/>
          <w:noProof/>
          <w:szCs w:val="28"/>
          <w:lang w:eastAsia="en-GB"/>
        </w:rPr>
        <w:t>(</w:t>
      </w:r>
      <w:r w:rsidRPr="001C338A">
        <w:rPr>
          <w:rFonts w:cstheme="minorHAnsi"/>
          <w:noProof/>
          <w:szCs w:val="28"/>
          <w:lang w:eastAsia="en-GB"/>
        </w:rPr>
        <w:t>Article 1</w:t>
      </w:r>
      <w:r w:rsidR="002E7E49" w:rsidRPr="001C338A">
        <w:rPr>
          <w:rFonts w:cstheme="minorHAnsi"/>
          <w:noProof/>
          <w:szCs w:val="28"/>
          <w:lang w:eastAsia="en-GB"/>
        </w:rPr>
        <w:t>7</w:t>
      </w:r>
      <w:r w:rsidR="004A4679" w:rsidRPr="001C338A">
        <w:rPr>
          <w:rFonts w:cstheme="minorHAnsi"/>
          <w:noProof/>
          <w:szCs w:val="28"/>
          <w:lang w:eastAsia="en-GB"/>
        </w:rPr>
        <w:t xml:space="preserve"> (1)</w:t>
      </w:r>
      <w:r w:rsidR="008814A5">
        <w:rPr>
          <w:rFonts w:cstheme="minorHAnsi"/>
          <w:noProof/>
          <w:szCs w:val="28"/>
          <w:lang w:eastAsia="en-GB"/>
        </w:rPr>
        <w:t>)</w:t>
      </w:r>
      <w:r w:rsidR="00C6579E" w:rsidRPr="001C338A">
        <w:rPr>
          <w:rFonts w:cstheme="minorHAnsi"/>
          <w:noProof/>
          <w:szCs w:val="28"/>
          <w:lang w:eastAsia="en-GB"/>
        </w:rPr>
        <w:t>, subject to below points</w:t>
      </w:r>
      <w:r w:rsidR="004D0910" w:rsidRPr="001C338A">
        <w:rPr>
          <w:rFonts w:cstheme="minorHAnsi"/>
          <w:noProof/>
          <w:szCs w:val="28"/>
          <w:lang w:eastAsia="en-GB"/>
        </w:rPr>
        <w:t>.</w:t>
      </w:r>
      <w:r w:rsidR="00E53DC3" w:rsidRPr="001C338A">
        <w:rPr>
          <w:rFonts w:cstheme="minorHAnsi"/>
          <w:noProof/>
          <w:szCs w:val="28"/>
          <w:lang w:eastAsia="en-GB"/>
        </w:rPr>
        <w:t xml:space="preserve"> It reflects the need </w:t>
      </w:r>
      <w:r w:rsidR="008D576F" w:rsidRPr="001C338A">
        <w:rPr>
          <w:rFonts w:cstheme="minorHAnsi"/>
          <w:noProof/>
          <w:szCs w:val="28"/>
          <w:lang w:eastAsia="en-GB"/>
        </w:rPr>
        <w:t>for</w:t>
      </w:r>
      <w:r w:rsidR="005D25BC" w:rsidRPr="001C338A">
        <w:rPr>
          <w:rFonts w:cstheme="minorHAnsi"/>
          <w:noProof/>
          <w:szCs w:val="28"/>
          <w:lang w:eastAsia="en-GB"/>
        </w:rPr>
        <w:t xml:space="preserve"> Member States </w:t>
      </w:r>
      <w:r w:rsidR="00E53DC3" w:rsidRPr="001C338A">
        <w:rPr>
          <w:rFonts w:cstheme="minorHAnsi"/>
          <w:noProof/>
          <w:szCs w:val="28"/>
          <w:lang w:eastAsia="en-GB"/>
        </w:rPr>
        <w:t xml:space="preserve">to ensure that </w:t>
      </w:r>
      <w:r w:rsidR="00E53DC3" w:rsidRPr="001C338A">
        <w:rPr>
          <w:rFonts w:cstheme="minorHAnsi"/>
          <w:szCs w:val="28"/>
        </w:rPr>
        <w:t>all workers should have the necessary procedures at their disposal to facilitate the exercise of their right of access to justice</w:t>
      </w:r>
      <w:r w:rsidR="00C97954" w:rsidRPr="001C338A">
        <w:rPr>
          <w:rFonts w:cstheme="minorHAnsi"/>
          <w:szCs w:val="28"/>
        </w:rPr>
        <w:t xml:space="preserve"> as regards the </w:t>
      </w:r>
      <w:r w:rsidR="00341DED" w:rsidRPr="001C338A">
        <w:rPr>
          <w:rFonts w:cstheme="minorHAnsi"/>
          <w:szCs w:val="28"/>
        </w:rPr>
        <w:t>enforcement of their r</w:t>
      </w:r>
      <w:r w:rsidR="00531F4E" w:rsidRPr="001C338A">
        <w:rPr>
          <w:rFonts w:cstheme="minorHAnsi"/>
          <w:szCs w:val="28"/>
        </w:rPr>
        <w:t>ights relating to the principle of equal pay</w:t>
      </w:r>
      <w:r w:rsidR="00785B6D" w:rsidRPr="001C338A">
        <w:rPr>
          <w:rFonts w:cstheme="minorHAnsi"/>
          <w:szCs w:val="28"/>
        </w:rPr>
        <w:t xml:space="preserve">. </w:t>
      </w:r>
      <w:r w:rsidR="002C4B2D" w:rsidRPr="001C338A">
        <w:rPr>
          <w:rFonts w:cstheme="minorHAnsi"/>
          <w:szCs w:val="28"/>
        </w:rPr>
        <w:t xml:space="preserve">This includes even after the employment relationship has ended. </w:t>
      </w:r>
    </w:p>
    <w:p w14:paraId="57A08A8A" w14:textId="2E83BFB7" w:rsidR="00B63CD5" w:rsidRPr="001C338A" w:rsidRDefault="00A360AA" w:rsidP="006072BB">
      <w:pPr>
        <w:pStyle w:val="11NumPara"/>
      </w:pPr>
      <w:r w:rsidRPr="001C338A">
        <w:rPr>
          <w:rFonts w:cstheme="minorHAnsi"/>
          <w:szCs w:val="28"/>
        </w:rPr>
        <w:lastRenderedPageBreak/>
        <w:t>It refers</w:t>
      </w:r>
      <w:r w:rsidR="007471E7" w:rsidRPr="001C338A">
        <w:rPr>
          <w:rFonts w:cstheme="minorHAnsi"/>
          <w:szCs w:val="28"/>
        </w:rPr>
        <w:t>, unlike in the Recast Directive,</w:t>
      </w:r>
      <w:r w:rsidRPr="001C338A">
        <w:rPr>
          <w:rFonts w:cstheme="minorHAnsi"/>
          <w:szCs w:val="28"/>
        </w:rPr>
        <w:t xml:space="preserve"> to the need for </w:t>
      </w:r>
      <w:r w:rsidR="002241AC" w:rsidRPr="001C338A">
        <w:rPr>
          <w:rFonts w:cstheme="minorHAnsi"/>
          <w:szCs w:val="28"/>
        </w:rPr>
        <w:t>such proceedings to be easily accessible to workers and those who act on their behalf.</w:t>
      </w:r>
      <w:r w:rsidR="007577D9" w:rsidRPr="001C338A">
        <w:rPr>
          <w:rStyle w:val="FootnoteReference"/>
          <w:rFonts w:cstheme="minorHAnsi"/>
          <w:szCs w:val="28"/>
        </w:rPr>
        <w:footnoteReference w:id="82"/>
      </w:r>
    </w:p>
    <w:p w14:paraId="575C8621" w14:textId="11710CE6" w:rsidR="0031416C" w:rsidRPr="001C338A" w:rsidRDefault="0031416C" w:rsidP="006072BB">
      <w:pPr>
        <w:pStyle w:val="11NumPara"/>
      </w:pPr>
      <w:r w:rsidRPr="001C338A">
        <w:rPr>
          <w:rFonts w:cstheme="minorHAnsi"/>
          <w:color w:val="222222"/>
          <w:spacing w:val="4"/>
          <w:szCs w:val="28"/>
          <w:shd w:val="clear" w:color="auto" w:fill="FFFFFF"/>
        </w:rPr>
        <w:t xml:space="preserve">The European Commission in its Explanatory Memorandum to the proposed PTD </w:t>
      </w:r>
      <w:r w:rsidR="004C170E" w:rsidRPr="001C338A">
        <w:rPr>
          <w:rFonts w:cstheme="minorHAnsi"/>
          <w:color w:val="222222"/>
          <w:spacing w:val="4"/>
          <w:szCs w:val="28"/>
          <w:shd w:val="clear" w:color="auto" w:fill="FFFFFF"/>
        </w:rPr>
        <w:t xml:space="preserve">makes clear </w:t>
      </w:r>
      <w:r w:rsidR="00ED5C1B" w:rsidRPr="001C338A">
        <w:rPr>
          <w:rFonts w:cstheme="minorHAnsi"/>
          <w:color w:val="222222"/>
          <w:spacing w:val="4"/>
          <w:szCs w:val="28"/>
          <w:shd w:val="clear" w:color="auto" w:fill="FFFFFF"/>
        </w:rPr>
        <w:t xml:space="preserve">the link with the Recast Directive by stating </w:t>
      </w:r>
      <w:r w:rsidR="004C170E" w:rsidRPr="001C338A">
        <w:rPr>
          <w:rFonts w:cstheme="minorHAnsi"/>
          <w:color w:val="222222"/>
          <w:spacing w:val="4"/>
          <w:szCs w:val="28"/>
          <w:shd w:val="clear" w:color="auto" w:fill="FFFFFF"/>
        </w:rPr>
        <w:t>that th</w:t>
      </w:r>
      <w:r w:rsidR="00647338" w:rsidRPr="001C338A">
        <w:rPr>
          <w:rFonts w:cstheme="minorHAnsi"/>
          <w:color w:val="222222"/>
          <w:spacing w:val="4"/>
          <w:szCs w:val="28"/>
          <w:shd w:val="clear" w:color="auto" w:fill="FFFFFF"/>
        </w:rPr>
        <w:t>is provision is ‘</w:t>
      </w:r>
      <w:r w:rsidR="00647338" w:rsidRPr="001C338A">
        <w:rPr>
          <w:rFonts w:cstheme="minorHAnsi"/>
          <w:i/>
          <w:iCs/>
          <w:color w:val="222222"/>
          <w:spacing w:val="4"/>
          <w:szCs w:val="28"/>
          <w:shd w:val="clear" w:color="auto" w:fill="FFFFFF"/>
        </w:rPr>
        <w:t>building on Article 17 of the Recast Directive</w:t>
      </w:r>
      <w:r w:rsidR="00647338" w:rsidRPr="001C338A">
        <w:rPr>
          <w:rFonts w:cstheme="minorHAnsi"/>
          <w:color w:val="222222"/>
          <w:spacing w:val="4"/>
          <w:szCs w:val="28"/>
          <w:shd w:val="clear" w:color="auto" w:fill="FFFFFF"/>
        </w:rPr>
        <w:t>”.</w:t>
      </w:r>
      <w:r w:rsidR="00647338" w:rsidRPr="001C338A">
        <w:rPr>
          <w:rStyle w:val="FootnoteReference"/>
          <w:rFonts w:cstheme="minorHAnsi"/>
          <w:color w:val="222222"/>
          <w:spacing w:val="4"/>
          <w:szCs w:val="28"/>
          <w:shd w:val="clear" w:color="auto" w:fill="FFFFFF"/>
        </w:rPr>
        <w:footnoteReference w:id="83"/>
      </w:r>
      <w:r w:rsidR="00647338" w:rsidRPr="001C338A">
        <w:rPr>
          <w:rFonts w:cstheme="minorHAnsi"/>
          <w:color w:val="222222"/>
          <w:spacing w:val="4"/>
          <w:szCs w:val="28"/>
          <w:shd w:val="clear" w:color="auto" w:fill="FFFFFF"/>
        </w:rPr>
        <w:t xml:space="preserve"> </w:t>
      </w:r>
    </w:p>
    <w:p w14:paraId="2D828AB3" w14:textId="1BAC61E5" w:rsidR="00171155" w:rsidRPr="00DD23AF" w:rsidRDefault="00613161" w:rsidP="00DD23AF">
      <w:pPr>
        <w:pStyle w:val="11NumPara"/>
      </w:pPr>
      <w:r w:rsidRPr="001C338A">
        <w:rPr>
          <w:rFonts w:cstheme="minorHAnsi"/>
          <w:color w:val="333333"/>
          <w:szCs w:val="28"/>
          <w:shd w:val="clear" w:color="auto" w:fill="FFFFFF"/>
        </w:rPr>
        <w:t xml:space="preserve">The Commissions consider that the provisions on </w:t>
      </w:r>
      <w:r w:rsidRPr="001C338A">
        <w:t xml:space="preserve">defence of rights </w:t>
      </w:r>
      <w:r w:rsidRPr="001C338A">
        <w:rPr>
          <w:rFonts w:cstheme="minorHAnsi"/>
          <w:szCs w:val="28"/>
        </w:rPr>
        <w:t xml:space="preserve">strengthen the application </w:t>
      </w:r>
      <w:r w:rsidR="000E6CF7" w:rsidRPr="001C338A">
        <w:rPr>
          <w:rFonts w:cstheme="minorHAnsi"/>
          <w:szCs w:val="28"/>
        </w:rPr>
        <w:t xml:space="preserve">and enforcement </w:t>
      </w:r>
      <w:r w:rsidRPr="001C338A">
        <w:rPr>
          <w:rFonts w:cstheme="minorHAnsi"/>
          <w:szCs w:val="28"/>
        </w:rPr>
        <w:t xml:space="preserve">of the principle of equal pay and the prohibition of pay discrimination, and build on </w:t>
      </w:r>
      <w:r w:rsidR="000E6CF7" w:rsidRPr="001C338A">
        <w:rPr>
          <w:rFonts w:cstheme="minorHAnsi"/>
          <w:szCs w:val="28"/>
        </w:rPr>
        <w:t xml:space="preserve">and improve </w:t>
      </w:r>
      <w:r w:rsidRPr="001C338A">
        <w:rPr>
          <w:rFonts w:cstheme="minorHAnsi"/>
          <w:szCs w:val="28"/>
        </w:rPr>
        <w:t>existing provisions in the Recast Directive in this area.</w:t>
      </w:r>
    </w:p>
    <w:p w14:paraId="6BC2605D" w14:textId="77777777" w:rsidR="00171155" w:rsidRPr="001C338A" w:rsidRDefault="00171155" w:rsidP="00D802F0">
      <w:pPr>
        <w:ind w:firstLine="709"/>
        <w:rPr>
          <w:rFonts w:ascii="Calibri" w:hAnsi="Calibri"/>
          <w:b/>
          <w:bCs/>
          <w:kern w:val="2"/>
          <w:sz w:val="28"/>
          <w14:ligatures w14:val="standardContextual"/>
        </w:rPr>
      </w:pPr>
    </w:p>
    <w:p w14:paraId="0BEE233D" w14:textId="20E82C21" w:rsidR="006072BB" w:rsidRPr="001C338A" w:rsidRDefault="006072BB" w:rsidP="00D802F0">
      <w:pPr>
        <w:ind w:firstLine="709"/>
        <w:rPr>
          <w:rFonts w:ascii="Calibri" w:hAnsi="Calibri"/>
          <w:b/>
          <w:bCs/>
          <w:kern w:val="2"/>
          <w:sz w:val="28"/>
          <w14:ligatures w14:val="standardContextual"/>
        </w:rPr>
      </w:pPr>
      <w:r w:rsidRPr="001C338A">
        <w:rPr>
          <w:rFonts w:ascii="Calibri" w:hAnsi="Calibri"/>
          <w:b/>
          <w:bCs/>
          <w:kern w:val="2"/>
          <w:sz w:val="28"/>
          <w14:ligatures w14:val="standardContextual"/>
        </w:rPr>
        <w:t>Article 15</w:t>
      </w:r>
      <w:r w:rsidR="00E60792">
        <w:rPr>
          <w:rFonts w:ascii="Calibri" w:hAnsi="Calibri"/>
          <w:b/>
          <w:bCs/>
          <w:kern w:val="2"/>
          <w:sz w:val="28"/>
          <w14:ligatures w14:val="standardContextual"/>
        </w:rPr>
        <w:t xml:space="preserve"> </w:t>
      </w:r>
      <w:r w:rsidRPr="001C338A">
        <w:rPr>
          <w:rFonts w:ascii="Calibri" w:hAnsi="Calibri"/>
          <w:b/>
          <w:bCs/>
          <w:kern w:val="2"/>
          <w:sz w:val="28"/>
          <w14:ligatures w14:val="standardContextual"/>
        </w:rPr>
        <w:t>- Procedures on behalf or in support of workers</w:t>
      </w:r>
    </w:p>
    <w:p w14:paraId="546829B2" w14:textId="77777777" w:rsidR="00A628DB" w:rsidRPr="001C338A" w:rsidRDefault="00A66813" w:rsidP="006072BB">
      <w:pPr>
        <w:pStyle w:val="11NumPara"/>
      </w:pPr>
      <w:r w:rsidRPr="001C338A">
        <w:rPr>
          <w:rFonts w:cstheme="minorHAnsi"/>
          <w:szCs w:val="28"/>
        </w:rPr>
        <w:t>This provision</w:t>
      </w:r>
      <w:r w:rsidR="001E5CF1" w:rsidRPr="001C338A">
        <w:rPr>
          <w:rFonts w:cstheme="minorHAnsi"/>
          <w:szCs w:val="28"/>
        </w:rPr>
        <w:t xml:space="preserve"> places an obligation on Member States to ensure that associations, organisations, equality bodies and workers’ representatives or other legal entities which have a legitimate interest in ensuring equality between men and women, </w:t>
      </w:r>
      <w:r w:rsidR="00F16682" w:rsidRPr="001C338A">
        <w:rPr>
          <w:rFonts w:cstheme="minorHAnsi"/>
          <w:szCs w:val="28"/>
        </w:rPr>
        <w:t>“</w:t>
      </w:r>
      <w:r w:rsidR="001E5CF1" w:rsidRPr="001C338A">
        <w:rPr>
          <w:rFonts w:cstheme="minorHAnsi"/>
          <w:szCs w:val="28"/>
        </w:rPr>
        <w:t>may engage in any administrative procedure or court proceedings regarding an alleged infringement of the rights or obligations relating to the principle of equal pay</w:t>
      </w:r>
      <w:r w:rsidR="00F16682" w:rsidRPr="001C338A">
        <w:rPr>
          <w:rFonts w:cstheme="minorHAnsi"/>
          <w:szCs w:val="28"/>
        </w:rPr>
        <w:t>”</w:t>
      </w:r>
      <w:r w:rsidR="001E5CF1" w:rsidRPr="001C338A">
        <w:rPr>
          <w:rFonts w:cstheme="minorHAnsi"/>
          <w:szCs w:val="28"/>
        </w:rPr>
        <w:t xml:space="preserve">. </w:t>
      </w:r>
    </w:p>
    <w:p w14:paraId="59AABAE4" w14:textId="658C5A11" w:rsidR="001E5CF1" w:rsidRPr="001C338A" w:rsidRDefault="00F16682" w:rsidP="006072BB">
      <w:pPr>
        <w:pStyle w:val="11NumPara"/>
      </w:pPr>
      <w:r w:rsidRPr="001C338A">
        <w:rPr>
          <w:rFonts w:cstheme="minorHAnsi"/>
          <w:szCs w:val="28"/>
        </w:rPr>
        <w:t>It makes clear that “t</w:t>
      </w:r>
      <w:r w:rsidR="001E5CF1" w:rsidRPr="001C338A">
        <w:rPr>
          <w:rFonts w:cstheme="minorHAnsi"/>
          <w:szCs w:val="28"/>
        </w:rPr>
        <w:t>hey may act on behalf of, or in support of, a worker who is an alleged victim of an infringement of any right or obligation relating to the principle of equal pay, with that person’s approval</w:t>
      </w:r>
      <w:r w:rsidRPr="001C338A">
        <w:rPr>
          <w:rFonts w:cstheme="minorHAnsi"/>
          <w:szCs w:val="28"/>
        </w:rPr>
        <w:t>.</w:t>
      </w:r>
      <w:r w:rsidR="00A66813" w:rsidRPr="001C338A">
        <w:rPr>
          <w:rFonts w:cstheme="minorHAnsi"/>
          <w:szCs w:val="28"/>
        </w:rPr>
        <w:t>”</w:t>
      </w:r>
    </w:p>
    <w:p w14:paraId="1BC303D0" w14:textId="190B11CD" w:rsidR="00A66813" w:rsidRPr="001C338A" w:rsidRDefault="00A66813" w:rsidP="00A66813">
      <w:pPr>
        <w:pStyle w:val="11NumPara"/>
      </w:pPr>
      <w:r w:rsidRPr="001C338A">
        <w:rPr>
          <w:rFonts w:cstheme="minorHAnsi"/>
          <w:noProof/>
          <w:szCs w:val="28"/>
          <w:lang w:eastAsia="en-GB"/>
        </w:rPr>
        <w:t xml:space="preserve">This provision on </w:t>
      </w:r>
      <w:r w:rsidRPr="001C338A">
        <w:rPr>
          <w:rFonts w:cstheme="minorHAnsi"/>
          <w:szCs w:val="28"/>
        </w:rPr>
        <w:t>procedures on behalf or in support of workers</w:t>
      </w:r>
      <w:r w:rsidRPr="001C338A">
        <w:rPr>
          <w:rFonts w:cstheme="minorHAnsi"/>
          <w:noProof/>
          <w:szCs w:val="28"/>
          <w:lang w:eastAsia="en-GB"/>
        </w:rPr>
        <w:t xml:space="preserve"> is broadly similar to the provision </w:t>
      </w:r>
      <w:r w:rsidR="00C6579E" w:rsidRPr="001C338A">
        <w:rPr>
          <w:rFonts w:cstheme="minorHAnsi"/>
          <w:noProof/>
          <w:szCs w:val="28"/>
          <w:lang w:eastAsia="en-GB"/>
        </w:rPr>
        <w:t>in this area</w:t>
      </w:r>
      <w:r w:rsidRPr="001C338A">
        <w:rPr>
          <w:rFonts w:cstheme="minorHAnsi"/>
          <w:noProof/>
          <w:szCs w:val="28"/>
          <w:lang w:eastAsia="en-GB"/>
        </w:rPr>
        <w:t xml:space="preserve"> in the Recast Directive (Article 17 (2) Defence of rights)</w:t>
      </w:r>
      <w:r w:rsidR="00613026" w:rsidRPr="001C338A">
        <w:rPr>
          <w:rFonts w:cstheme="minorHAnsi"/>
          <w:noProof/>
          <w:szCs w:val="28"/>
          <w:lang w:eastAsia="en-GB"/>
        </w:rPr>
        <w:t xml:space="preserve">, </w:t>
      </w:r>
      <w:r w:rsidR="00904B5B" w:rsidRPr="001C338A">
        <w:rPr>
          <w:rFonts w:cstheme="minorHAnsi"/>
          <w:noProof/>
          <w:szCs w:val="28"/>
          <w:lang w:eastAsia="en-GB"/>
        </w:rPr>
        <w:t xml:space="preserve">subject to </w:t>
      </w:r>
      <w:r w:rsidR="009A089C" w:rsidRPr="001C338A">
        <w:rPr>
          <w:rFonts w:cstheme="minorHAnsi"/>
          <w:noProof/>
          <w:szCs w:val="28"/>
          <w:lang w:eastAsia="en-GB"/>
        </w:rPr>
        <w:t>below points.</w:t>
      </w:r>
      <w:r w:rsidRPr="001C338A">
        <w:rPr>
          <w:rFonts w:cstheme="minorHAnsi"/>
          <w:noProof/>
          <w:szCs w:val="28"/>
          <w:lang w:eastAsia="en-GB"/>
        </w:rPr>
        <w:t xml:space="preserve"> </w:t>
      </w:r>
    </w:p>
    <w:p w14:paraId="2A8F363F" w14:textId="2D5BE71B" w:rsidR="00DD5BA0" w:rsidRPr="001C338A" w:rsidRDefault="00E72FA8" w:rsidP="006072BB">
      <w:pPr>
        <w:pStyle w:val="11NumPara"/>
      </w:pPr>
      <w:r w:rsidRPr="001C338A">
        <w:rPr>
          <w:rFonts w:cstheme="minorHAnsi"/>
          <w:noProof/>
          <w:szCs w:val="28"/>
          <w:lang w:eastAsia="en-GB"/>
        </w:rPr>
        <w:t xml:space="preserve">The PTD, unlike the Recast Directive, expressly refers to </w:t>
      </w:r>
      <w:r w:rsidR="00961275" w:rsidRPr="001C338A">
        <w:rPr>
          <w:rFonts w:cstheme="minorHAnsi"/>
          <w:noProof/>
          <w:szCs w:val="28"/>
          <w:lang w:eastAsia="en-GB"/>
        </w:rPr>
        <w:t xml:space="preserve">the right of </w:t>
      </w:r>
      <w:r w:rsidRPr="001C338A">
        <w:rPr>
          <w:rFonts w:cstheme="minorHAnsi"/>
          <w:noProof/>
          <w:szCs w:val="28"/>
          <w:lang w:eastAsia="en-GB"/>
        </w:rPr>
        <w:t>‘equality bodies’</w:t>
      </w:r>
      <w:r w:rsidR="00961275" w:rsidRPr="001C338A">
        <w:rPr>
          <w:rFonts w:cstheme="minorHAnsi"/>
          <w:noProof/>
          <w:szCs w:val="28"/>
          <w:lang w:eastAsia="en-GB"/>
        </w:rPr>
        <w:t xml:space="preserve"> to engage in court </w:t>
      </w:r>
      <w:r w:rsidR="007F6FAC" w:rsidRPr="001C338A">
        <w:rPr>
          <w:rFonts w:cstheme="minorHAnsi"/>
          <w:noProof/>
          <w:szCs w:val="28"/>
          <w:lang w:eastAsia="en-GB"/>
        </w:rPr>
        <w:t xml:space="preserve">proceedings </w:t>
      </w:r>
      <w:r w:rsidR="00961275" w:rsidRPr="001C338A">
        <w:rPr>
          <w:rFonts w:cstheme="minorHAnsi"/>
          <w:noProof/>
          <w:szCs w:val="28"/>
          <w:lang w:eastAsia="en-GB"/>
        </w:rPr>
        <w:t>or administrative proc</w:t>
      </w:r>
      <w:r w:rsidR="007F6FAC" w:rsidRPr="001C338A">
        <w:rPr>
          <w:rFonts w:cstheme="minorHAnsi"/>
          <w:noProof/>
          <w:szCs w:val="28"/>
          <w:lang w:eastAsia="en-GB"/>
        </w:rPr>
        <w:t>edures regarding an alleged infringement of righ</w:t>
      </w:r>
      <w:r w:rsidR="00FD7954" w:rsidRPr="001C338A">
        <w:rPr>
          <w:rFonts w:cstheme="minorHAnsi"/>
          <w:noProof/>
          <w:szCs w:val="28"/>
          <w:lang w:eastAsia="en-GB"/>
        </w:rPr>
        <w:t>t</w:t>
      </w:r>
      <w:r w:rsidR="007F6FAC" w:rsidRPr="001C338A">
        <w:rPr>
          <w:rFonts w:cstheme="minorHAnsi"/>
          <w:noProof/>
          <w:szCs w:val="28"/>
          <w:lang w:eastAsia="en-GB"/>
        </w:rPr>
        <w:t>s or obligations relating to the principle of equal pay.</w:t>
      </w:r>
    </w:p>
    <w:p w14:paraId="2E513F0B" w14:textId="5420A043" w:rsidR="009A089C" w:rsidRPr="001C338A" w:rsidRDefault="009A089C" w:rsidP="006072BB">
      <w:pPr>
        <w:pStyle w:val="11NumPara"/>
      </w:pPr>
      <w:r w:rsidRPr="001C338A">
        <w:rPr>
          <w:rFonts w:cstheme="minorHAnsi"/>
          <w:szCs w:val="28"/>
        </w:rPr>
        <w:t xml:space="preserve">The Recitals to the PTD make clear that </w:t>
      </w:r>
      <w:r w:rsidR="007314B5" w:rsidRPr="001C338A">
        <w:rPr>
          <w:rFonts w:cstheme="minorHAnsi"/>
          <w:szCs w:val="28"/>
        </w:rPr>
        <w:t>such organisations can bring</w:t>
      </w:r>
      <w:r w:rsidRPr="001C338A">
        <w:rPr>
          <w:rFonts w:cstheme="minorHAnsi"/>
          <w:szCs w:val="28"/>
        </w:rPr>
        <w:t xml:space="preserve"> claims on behalf or in support of </w:t>
      </w:r>
      <w:proofErr w:type="gramStart"/>
      <w:r w:rsidRPr="001C338A">
        <w:rPr>
          <w:rFonts w:cstheme="minorHAnsi"/>
          <w:szCs w:val="28"/>
        </w:rPr>
        <w:t>several</w:t>
      </w:r>
      <w:proofErr w:type="gramEnd"/>
      <w:r w:rsidRPr="001C338A">
        <w:rPr>
          <w:rFonts w:cstheme="minorHAnsi"/>
          <w:szCs w:val="28"/>
        </w:rPr>
        <w:t xml:space="preserve"> workers </w:t>
      </w:r>
      <w:r w:rsidR="007314B5" w:rsidRPr="001C338A">
        <w:rPr>
          <w:rFonts w:cstheme="minorHAnsi"/>
          <w:szCs w:val="28"/>
        </w:rPr>
        <w:t>. They state that “</w:t>
      </w:r>
      <w:r w:rsidR="007314B5" w:rsidRPr="001C338A">
        <w:rPr>
          <w:rFonts w:cstheme="minorHAnsi"/>
          <w:i/>
          <w:iCs/>
          <w:szCs w:val="28"/>
        </w:rPr>
        <w:t>c</w:t>
      </w:r>
      <w:r w:rsidRPr="001C338A">
        <w:rPr>
          <w:rFonts w:cstheme="minorHAnsi"/>
          <w:i/>
          <w:iCs/>
          <w:szCs w:val="28"/>
        </w:rPr>
        <w:t>ollective claims have the potential to uncover systemic discrimination and create visibility of the right to equal pay and of gender equality in society as a whole</w:t>
      </w:r>
      <w:proofErr w:type="gramStart"/>
      <w:r w:rsidR="007314B5" w:rsidRPr="001C338A">
        <w:rPr>
          <w:rFonts w:cstheme="minorHAnsi"/>
          <w:szCs w:val="28"/>
        </w:rPr>
        <w:t>”</w:t>
      </w:r>
      <w:r w:rsidRPr="001C338A">
        <w:rPr>
          <w:rFonts w:cstheme="minorHAnsi"/>
          <w:szCs w:val="28"/>
        </w:rPr>
        <w:t>.</w:t>
      </w:r>
      <w:proofErr w:type="gramEnd"/>
      <w:r w:rsidR="007314B5" w:rsidRPr="001C338A">
        <w:rPr>
          <w:rStyle w:val="FootnoteReference"/>
          <w:rFonts w:cstheme="minorHAnsi"/>
          <w:szCs w:val="28"/>
        </w:rPr>
        <w:footnoteReference w:id="84"/>
      </w:r>
    </w:p>
    <w:p w14:paraId="75872951" w14:textId="109B6EE3" w:rsidR="004928F2" w:rsidRPr="001C338A" w:rsidRDefault="00011D80" w:rsidP="006072BB">
      <w:pPr>
        <w:pStyle w:val="11NumPara"/>
      </w:pPr>
      <w:r w:rsidRPr="001C338A">
        <w:rPr>
          <w:rFonts w:cstheme="minorHAnsi"/>
          <w:szCs w:val="28"/>
        </w:rPr>
        <w:t>T</w:t>
      </w:r>
      <w:r w:rsidR="00B27DAA" w:rsidRPr="001C338A">
        <w:rPr>
          <w:rFonts w:cstheme="minorHAnsi"/>
          <w:szCs w:val="28"/>
        </w:rPr>
        <w:t>his provision</w:t>
      </w:r>
      <w:r w:rsidR="004E2CF2" w:rsidRPr="001C338A">
        <w:rPr>
          <w:rFonts w:cstheme="minorHAnsi"/>
          <w:szCs w:val="28"/>
        </w:rPr>
        <w:t xml:space="preserve"> will ensure that </w:t>
      </w:r>
      <w:r w:rsidR="00A34E9C" w:rsidRPr="001C338A">
        <w:rPr>
          <w:rFonts w:cstheme="minorHAnsi"/>
          <w:szCs w:val="28"/>
        </w:rPr>
        <w:t xml:space="preserve">the </w:t>
      </w:r>
      <w:r w:rsidR="004E2CF2" w:rsidRPr="001C338A">
        <w:rPr>
          <w:rFonts w:cstheme="minorHAnsi"/>
          <w:szCs w:val="28"/>
        </w:rPr>
        <w:t>ECNI</w:t>
      </w:r>
      <w:r w:rsidR="00DD5BA0" w:rsidRPr="001C338A">
        <w:rPr>
          <w:rFonts w:cstheme="minorHAnsi"/>
          <w:szCs w:val="28"/>
        </w:rPr>
        <w:t xml:space="preserve">, as well as associations, organisations and workers’ representatives or other legal entities with an interest in ensuring </w:t>
      </w:r>
      <w:r w:rsidR="00DD5BA0" w:rsidRPr="001C338A">
        <w:rPr>
          <w:rFonts w:cstheme="minorHAnsi"/>
          <w:szCs w:val="28"/>
        </w:rPr>
        <w:lastRenderedPageBreak/>
        <w:t>equality between men and women</w:t>
      </w:r>
      <w:r w:rsidR="00CC4D72" w:rsidRPr="001C338A">
        <w:rPr>
          <w:rFonts w:cstheme="minorHAnsi"/>
          <w:szCs w:val="28"/>
        </w:rPr>
        <w:t>,</w:t>
      </w:r>
      <w:r w:rsidR="00DD5BA0" w:rsidRPr="001C338A">
        <w:rPr>
          <w:rFonts w:cstheme="minorHAnsi"/>
          <w:szCs w:val="28"/>
        </w:rPr>
        <w:t xml:space="preserve"> </w:t>
      </w:r>
      <w:r w:rsidR="004E2CF2" w:rsidRPr="001C338A">
        <w:rPr>
          <w:rFonts w:cstheme="minorHAnsi"/>
          <w:szCs w:val="28"/>
        </w:rPr>
        <w:t xml:space="preserve">are </w:t>
      </w:r>
      <w:r w:rsidR="00DD5BA0" w:rsidRPr="001C338A">
        <w:rPr>
          <w:rFonts w:cstheme="minorHAnsi"/>
          <w:szCs w:val="28"/>
        </w:rPr>
        <w:t>able to represent individuals</w:t>
      </w:r>
      <w:r w:rsidR="004928F2" w:rsidRPr="001C338A">
        <w:rPr>
          <w:rFonts w:cstheme="minorHAnsi"/>
          <w:szCs w:val="28"/>
        </w:rPr>
        <w:t xml:space="preserve"> who have </w:t>
      </w:r>
      <w:proofErr w:type="gramStart"/>
      <w:r w:rsidR="004928F2" w:rsidRPr="001C338A">
        <w:rPr>
          <w:rFonts w:cstheme="minorHAnsi"/>
          <w:szCs w:val="28"/>
        </w:rPr>
        <w:t>been subjected</w:t>
      </w:r>
      <w:proofErr w:type="gramEnd"/>
      <w:r w:rsidR="004928F2" w:rsidRPr="001C338A">
        <w:rPr>
          <w:rFonts w:cstheme="minorHAnsi"/>
          <w:szCs w:val="28"/>
        </w:rPr>
        <w:t xml:space="preserve"> equal pay discrimination</w:t>
      </w:r>
      <w:r w:rsidR="0054794F" w:rsidRPr="001C338A">
        <w:rPr>
          <w:rFonts w:cstheme="minorHAnsi"/>
          <w:szCs w:val="28"/>
        </w:rPr>
        <w:t xml:space="preserve"> contrary to the PTD</w:t>
      </w:r>
      <w:r w:rsidR="004928F2" w:rsidRPr="001C338A">
        <w:rPr>
          <w:rFonts w:cstheme="minorHAnsi"/>
          <w:szCs w:val="28"/>
        </w:rPr>
        <w:t>.</w:t>
      </w:r>
    </w:p>
    <w:p w14:paraId="456215EE" w14:textId="27D4FC8A" w:rsidR="00011D80" w:rsidRPr="001C338A" w:rsidRDefault="00011D80" w:rsidP="00011D80">
      <w:pPr>
        <w:pStyle w:val="11NumPara"/>
      </w:pPr>
      <w:r w:rsidRPr="001C338A">
        <w:rPr>
          <w:rFonts w:cstheme="minorHAnsi"/>
          <w:color w:val="333333"/>
          <w:szCs w:val="28"/>
          <w:shd w:val="clear" w:color="auto" w:fill="FFFFFF"/>
        </w:rPr>
        <w:t>The Commissions consider that the provisions on</w:t>
      </w:r>
      <w:r w:rsidR="00D125B1" w:rsidRPr="001C338A">
        <w:rPr>
          <w:rFonts w:cstheme="minorHAnsi"/>
          <w:color w:val="333333"/>
          <w:szCs w:val="28"/>
          <w:shd w:val="clear" w:color="auto" w:fill="FFFFFF"/>
        </w:rPr>
        <w:t xml:space="preserve"> procedures on</w:t>
      </w:r>
      <w:r w:rsidRPr="001C338A">
        <w:rPr>
          <w:rFonts w:cstheme="minorHAnsi"/>
          <w:szCs w:val="28"/>
        </w:rPr>
        <w:t xml:space="preserve"> behalf or in support of workers</w:t>
      </w:r>
      <w:r w:rsidRPr="001C338A">
        <w:rPr>
          <w:rFonts w:cstheme="minorHAnsi"/>
          <w:noProof/>
          <w:szCs w:val="28"/>
          <w:lang w:eastAsia="en-GB"/>
        </w:rPr>
        <w:t xml:space="preserve"> </w:t>
      </w:r>
      <w:r w:rsidRPr="001C338A">
        <w:rPr>
          <w:rFonts w:cstheme="minorHAnsi"/>
          <w:szCs w:val="28"/>
        </w:rPr>
        <w:t xml:space="preserve">strengthen the application </w:t>
      </w:r>
      <w:r w:rsidR="00630A64" w:rsidRPr="001C338A">
        <w:rPr>
          <w:rFonts w:cstheme="minorHAnsi"/>
          <w:szCs w:val="28"/>
        </w:rPr>
        <w:t xml:space="preserve">and enforcement </w:t>
      </w:r>
      <w:r w:rsidRPr="001C338A">
        <w:rPr>
          <w:rFonts w:cstheme="minorHAnsi"/>
          <w:szCs w:val="28"/>
        </w:rPr>
        <w:t xml:space="preserve">of the principle of equal pay and the prohibition of pay discrimination, and build on </w:t>
      </w:r>
      <w:r w:rsidR="00630A64" w:rsidRPr="001C338A">
        <w:rPr>
          <w:rFonts w:cstheme="minorHAnsi"/>
          <w:szCs w:val="28"/>
        </w:rPr>
        <w:t xml:space="preserve">and improve </w:t>
      </w:r>
      <w:r w:rsidRPr="001C338A">
        <w:rPr>
          <w:rFonts w:cstheme="minorHAnsi"/>
          <w:szCs w:val="28"/>
        </w:rPr>
        <w:t>existing provisions in the Recast Directive in this area.</w:t>
      </w:r>
    </w:p>
    <w:p w14:paraId="475207F7" w14:textId="77777777" w:rsidR="00122360" w:rsidRDefault="00122360" w:rsidP="00DD23AF">
      <w:pPr>
        <w:pStyle w:val="11NumPara"/>
        <w:numPr>
          <w:ilvl w:val="0"/>
          <w:numId w:val="0"/>
        </w:numPr>
      </w:pPr>
    </w:p>
    <w:p w14:paraId="28F9EDB9" w14:textId="77777777" w:rsidR="00122360" w:rsidRPr="001C338A" w:rsidRDefault="00122360" w:rsidP="00DD23AF">
      <w:pPr>
        <w:pStyle w:val="11NumPara"/>
        <w:numPr>
          <w:ilvl w:val="0"/>
          <w:numId w:val="0"/>
        </w:numPr>
      </w:pPr>
    </w:p>
    <w:p w14:paraId="3DD93ADC" w14:textId="56AC60BB" w:rsidR="006905B3" w:rsidRPr="001C338A" w:rsidRDefault="006905B3" w:rsidP="006905B3">
      <w:pPr>
        <w:pStyle w:val="11NumPara"/>
        <w:numPr>
          <w:ilvl w:val="0"/>
          <w:numId w:val="0"/>
        </w:numPr>
        <w:ind w:left="709"/>
        <w:rPr>
          <w:b/>
          <w:bCs/>
        </w:rPr>
      </w:pPr>
      <w:r w:rsidRPr="001C338A">
        <w:rPr>
          <w:b/>
          <w:bCs/>
        </w:rPr>
        <w:t>Article 16 -</w:t>
      </w:r>
      <w:r w:rsidR="00383339">
        <w:rPr>
          <w:b/>
          <w:bCs/>
        </w:rPr>
        <w:t xml:space="preserve"> </w:t>
      </w:r>
      <w:r w:rsidRPr="001C338A">
        <w:rPr>
          <w:b/>
          <w:bCs/>
        </w:rPr>
        <w:t xml:space="preserve">Right to Compensation  </w:t>
      </w:r>
    </w:p>
    <w:p w14:paraId="478D85F3" w14:textId="77777777" w:rsidR="006905B3" w:rsidRPr="001C338A" w:rsidRDefault="003C13B1" w:rsidP="006905B3">
      <w:pPr>
        <w:pStyle w:val="11NumPara"/>
      </w:pPr>
      <w:r w:rsidRPr="001C338A">
        <w:rPr>
          <w:rFonts w:asciiTheme="minorHAnsi" w:hAnsiTheme="minorHAnsi" w:cstheme="minorHAnsi"/>
          <w:color w:val="333333"/>
          <w:szCs w:val="28"/>
        </w:rPr>
        <w:t xml:space="preserve">These provisions </w:t>
      </w:r>
      <w:r w:rsidR="008833DC" w:rsidRPr="001C338A">
        <w:rPr>
          <w:rFonts w:asciiTheme="minorHAnsi" w:hAnsiTheme="minorHAnsi" w:cstheme="minorHAnsi"/>
          <w:color w:val="333333"/>
          <w:szCs w:val="28"/>
        </w:rPr>
        <w:t xml:space="preserve">on the right to compensation in the PTD </w:t>
      </w:r>
      <w:r w:rsidR="00612114" w:rsidRPr="001C338A">
        <w:rPr>
          <w:rFonts w:asciiTheme="minorHAnsi" w:hAnsiTheme="minorHAnsi" w:cstheme="minorHAnsi"/>
          <w:color w:val="333333"/>
          <w:szCs w:val="28"/>
        </w:rPr>
        <w:t>strengthen</w:t>
      </w:r>
      <w:r w:rsidR="008D4F67" w:rsidRPr="001C338A">
        <w:rPr>
          <w:rFonts w:asciiTheme="minorHAnsi" w:hAnsiTheme="minorHAnsi" w:cstheme="minorHAnsi"/>
          <w:color w:val="333333"/>
          <w:szCs w:val="28"/>
        </w:rPr>
        <w:t>,</w:t>
      </w:r>
      <w:r w:rsidR="008833DC" w:rsidRPr="001C338A">
        <w:rPr>
          <w:rFonts w:asciiTheme="minorHAnsi" w:hAnsiTheme="minorHAnsi" w:cstheme="minorHAnsi"/>
          <w:color w:val="333333"/>
          <w:szCs w:val="28"/>
        </w:rPr>
        <w:t xml:space="preserve"> and clarify</w:t>
      </w:r>
      <w:r w:rsidR="00A8313D" w:rsidRPr="001C338A">
        <w:rPr>
          <w:rFonts w:asciiTheme="minorHAnsi" w:hAnsiTheme="minorHAnsi" w:cstheme="minorHAnsi"/>
          <w:color w:val="333333"/>
          <w:szCs w:val="28"/>
        </w:rPr>
        <w:t xml:space="preserve"> </w:t>
      </w:r>
      <w:r w:rsidR="00A8313D" w:rsidRPr="001C338A">
        <w:rPr>
          <w:rFonts w:asciiTheme="minorHAnsi" w:hAnsiTheme="minorHAnsi" w:cstheme="minorHAnsi"/>
          <w:szCs w:val="28"/>
        </w:rPr>
        <w:t xml:space="preserve">in accordance with CJEU case law, </w:t>
      </w:r>
      <w:r w:rsidR="00A8313D" w:rsidRPr="001C338A">
        <w:rPr>
          <w:rFonts w:asciiTheme="minorHAnsi" w:hAnsiTheme="minorHAnsi" w:cstheme="minorHAnsi"/>
          <w:color w:val="333333"/>
          <w:szCs w:val="28"/>
        </w:rPr>
        <w:t xml:space="preserve">existing </w:t>
      </w:r>
      <w:r w:rsidR="008833DC" w:rsidRPr="001C338A">
        <w:rPr>
          <w:rFonts w:asciiTheme="minorHAnsi" w:hAnsiTheme="minorHAnsi" w:cstheme="minorHAnsi"/>
          <w:szCs w:val="28"/>
        </w:rPr>
        <w:t>provisions</w:t>
      </w:r>
      <w:r w:rsidR="00CA191E" w:rsidRPr="001C338A">
        <w:rPr>
          <w:rFonts w:asciiTheme="minorHAnsi" w:hAnsiTheme="minorHAnsi" w:cstheme="minorHAnsi"/>
          <w:szCs w:val="28"/>
        </w:rPr>
        <w:t xml:space="preserve"> </w:t>
      </w:r>
      <w:r w:rsidR="008833DC" w:rsidRPr="001C338A">
        <w:rPr>
          <w:rFonts w:asciiTheme="minorHAnsi" w:hAnsiTheme="minorHAnsi" w:cstheme="minorHAnsi"/>
          <w:szCs w:val="28"/>
        </w:rPr>
        <w:t>in the Recast Directive relating to compensation</w:t>
      </w:r>
      <w:r w:rsidR="00CA191E" w:rsidRPr="001C338A">
        <w:rPr>
          <w:rFonts w:asciiTheme="minorHAnsi" w:hAnsiTheme="minorHAnsi" w:cstheme="minorHAnsi"/>
          <w:szCs w:val="28"/>
        </w:rPr>
        <w:t xml:space="preserve"> or reparation</w:t>
      </w:r>
      <w:r w:rsidR="008833DC" w:rsidRPr="001C338A">
        <w:rPr>
          <w:rFonts w:asciiTheme="minorHAnsi" w:hAnsiTheme="minorHAnsi" w:cstheme="minorHAnsi"/>
          <w:szCs w:val="28"/>
        </w:rPr>
        <w:t xml:space="preserve"> (Article 18)</w:t>
      </w:r>
      <w:r w:rsidR="00CA191E" w:rsidRPr="001C338A">
        <w:rPr>
          <w:rFonts w:asciiTheme="minorHAnsi" w:hAnsiTheme="minorHAnsi" w:cstheme="minorHAnsi"/>
          <w:szCs w:val="28"/>
        </w:rPr>
        <w:t>.</w:t>
      </w:r>
    </w:p>
    <w:p w14:paraId="3BE2E9B1" w14:textId="391D811B" w:rsidR="003C13B1" w:rsidRPr="001C338A" w:rsidRDefault="00FF1920" w:rsidP="006905B3">
      <w:pPr>
        <w:pStyle w:val="11NumPara"/>
      </w:pPr>
      <w:r w:rsidRPr="001C338A">
        <w:rPr>
          <w:rFonts w:asciiTheme="minorHAnsi" w:hAnsiTheme="minorHAnsi" w:cstheme="minorHAnsi"/>
          <w:color w:val="222222"/>
          <w:spacing w:val="4"/>
          <w:szCs w:val="28"/>
          <w:shd w:val="clear" w:color="auto" w:fill="FFFFFF"/>
        </w:rPr>
        <w:t>They</w:t>
      </w:r>
      <w:r w:rsidR="00B8579F" w:rsidRPr="001C338A">
        <w:rPr>
          <w:rFonts w:asciiTheme="minorHAnsi" w:hAnsiTheme="minorHAnsi" w:cstheme="minorHAnsi"/>
          <w:color w:val="222222"/>
          <w:spacing w:val="4"/>
          <w:szCs w:val="28"/>
          <w:shd w:val="clear" w:color="auto" w:fill="FFFFFF"/>
        </w:rPr>
        <w:t xml:space="preserve"> require Member States to ensure that any worker who has suffered harm caused by an infringement of any right or obligation related to the principle of equal pay has the right to claim and to obtain full compensation for the harm caused in a way, which is dissuasive and proportionate to the damage suffered.</w:t>
      </w:r>
      <w:r w:rsidRPr="001C338A">
        <w:rPr>
          <w:rStyle w:val="FootnoteReference"/>
          <w:rFonts w:asciiTheme="minorHAnsi" w:hAnsiTheme="minorHAnsi" w:cstheme="minorHAnsi"/>
          <w:color w:val="222222"/>
          <w:spacing w:val="4"/>
          <w:szCs w:val="28"/>
          <w:shd w:val="clear" w:color="auto" w:fill="FFFFFF"/>
        </w:rPr>
        <w:footnoteReference w:id="85"/>
      </w:r>
      <w:r w:rsidR="00A102D2" w:rsidRPr="00A102D2">
        <w:rPr>
          <w:rStyle w:val="FootnoteReference"/>
          <w:rFonts w:cstheme="minorHAnsi"/>
          <w:color w:val="222222"/>
          <w:spacing w:val="4"/>
          <w:szCs w:val="28"/>
          <w:shd w:val="clear" w:color="auto" w:fill="FFFFFF"/>
        </w:rPr>
        <w:t xml:space="preserve"> </w:t>
      </w:r>
    </w:p>
    <w:p w14:paraId="5A118670" w14:textId="744070F8" w:rsidR="00F521AD" w:rsidRPr="001C338A" w:rsidRDefault="00F521AD" w:rsidP="006905B3">
      <w:pPr>
        <w:pStyle w:val="11NumPara"/>
      </w:pPr>
      <w:r w:rsidRPr="001C338A">
        <w:rPr>
          <w:rFonts w:cstheme="minorHAnsi"/>
          <w:color w:val="222222"/>
          <w:spacing w:val="4"/>
          <w:szCs w:val="28"/>
          <w:shd w:val="clear" w:color="auto" w:fill="FFFFFF"/>
        </w:rPr>
        <w:t xml:space="preserve">The European Commission in its Explanatory Memorandum to the proposed PTD makes clear </w:t>
      </w:r>
      <w:r w:rsidR="00ED5C1B" w:rsidRPr="001C338A">
        <w:rPr>
          <w:rFonts w:cstheme="minorHAnsi"/>
          <w:color w:val="222222"/>
          <w:spacing w:val="4"/>
          <w:szCs w:val="28"/>
          <w:shd w:val="clear" w:color="auto" w:fill="FFFFFF"/>
        </w:rPr>
        <w:t xml:space="preserve">the link with the Recast Directive by stating </w:t>
      </w:r>
      <w:r w:rsidRPr="001C338A">
        <w:rPr>
          <w:rFonts w:cstheme="minorHAnsi"/>
          <w:color w:val="222222"/>
          <w:spacing w:val="4"/>
          <w:szCs w:val="28"/>
          <w:shd w:val="clear" w:color="auto" w:fill="FFFFFF"/>
        </w:rPr>
        <w:t>that this provision is ‘</w:t>
      </w:r>
      <w:r w:rsidRPr="001C338A">
        <w:rPr>
          <w:rFonts w:cstheme="minorHAnsi"/>
          <w:i/>
          <w:iCs/>
          <w:color w:val="222222"/>
          <w:spacing w:val="4"/>
          <w:szCs w:val="28"/>
          <w:shd w:val="clear" w:color="auto" w:fill="FFFFFF"/>
        </w:rPr>
        <w:t>building on Article 18 of the Recast Directive</w:t>
      </w:r>
      <w:r w:rsidRPr="001C338A">
        <w:rPr>
          <w:rFonts w:cstheme="minorHAnsi"/>
          <w:color w:val="222222"/>
          <w:spacing w:val="4"/>
          <w:szCs w:val="28"/>
          <w:shd w:val="clear" w:color="auto" w:fill="FFFFFF"/>
        </w:rPr>
        <w:t>”.</w:t>
      </w:r>
      <w:r w:rsidRPr="001C338A">
        <w:rPr>
          <w:rStyle w:val="FootnoteReference"/>
          <w:rFonts w:cstheme="minorHAnsi"/>
          <w:color w:val="222222"/>
          <w:spacing w:val="4"/>
          <w:szCs w:val="28"/>
          <w:shd w:val="clear" w:color="auto" w:fill="FFFFFF"/>
        </w:rPr>
        <w:footnoteReference w:id="86"/>
      </w:r>
      <w:r w:rsidRPr="001C338A">
        <w:rPr>
          <w:rFonts w:cstheme="minorHAnsi"/>
          <w:color w:val="222222"/>
          <w:spacing w:val="4"/>
          <w:szCs w:val="28"/>
          <w:shd w:val="clear" w:color="auto" w:fill="FFFFFF"/>
        </w:rPr>
        <w:t xml:space="preserve"> </w:t>
      </w:r>
    </w:p>
    <w:p w14:paraId="0D24B88B" w14:textId="401BB46D" w:rsidR="00397833" w:rsidRPr="001C338A" w:rsidRDefault="00F57DF5" w:rsidP="006905B3">
      <w:pPr>
        <w:pStyle w:val="11NumPara"/>
      </w:pPr>
      <w:r w:rsidRPr="001C338A">
        <w:rPr>
          <w:rFonts w:asciiTheme="minorHAnsi" w:hAnsiTheme="minorHAnsi" w:cstheme="minorHAnsi"/>
          <w:color w:val="333333"/>
          <w:szCs w:val="28"/>
        </w:rPr>
        <w:t xml:space="preserve">It is also </w:t>
      </w:r>
      <w:r w:rsidR="00E3706E" w:rsidRPr="001C338A">
        <w:rPr>
          <w:rFonts w:asciiTheme="minorHAnsi" w:hAnsiTheme="minorHAnsi" w:cstheme="minorHAnsi"/>
          <w:color w:val="333333"/>
          <w:szCs w:val="28"/>
        </w:rPr>
        <w:t>clear from the</w:t>
      </w:r>
      <w:r w:rsidR="00397833" w:rsidRPr="001C338A">
        <w:rPr>
          <w:rFonts w:asciiTheme="minorHAnsi" w:hAnsiTheme="minorHAnsi" w:cstheme="minorHAnsi"/>
          <w:color w:val="333333"/>
          <w:szCs w:val="28"/>
        </w:rPr>
        <w:t xml:space="preserve"> recitals to the PTD (Recital 50) </w:t>
      </w:r>
      <w:r w:rsidR="00ED5C1B" w:rsidRPr="001C338A">
        <w:rPr>
          <w:rFonts w:asciiTheme="minorHAnsi" w:hAnsiTheme="minorHAnsi" w:cstheme="minorHAnsi"/>
          <w:color w:val="333333"/>
          <w:szCs w:val="28"/>
        </w:rPr>
        <w:t>that this provision introduces requirements in line with CJEU case law. For example, they</w:t>
      </w:r>
      <w:r w:rsidR="00E3706E" w:rsidRPr="001C338A">
        <w:rPr>
          <w:rFonts w:asciiTheme="minorHAnsi" w:hAnsiTheme="minorHAnsi" w:cstheme="minorHAnsi"/>
          <w:color w:val="333333"/>
          <w:szCs w:val="28"/>
        </w:rPr>
        <w:t xml:space="preserve"> state </w:t>
      </w:r>
      <w:r w:rsidR="00397833" w:rsidRPr="001C338A">
        <w:rPr>
          <w:rFonts w:asciiTheme="minorHAnsi" w:hAnsiTheme="minorHAnsi" w:cstheme="minorHAnsi"/>
          <w:color w:val="333333"/>
          <w:szCs w:val="28"/>
        </w:rPr>
        <w:t xml:space="preserve">that “compensation should cover in full the loss and damage sustained as a result of gender-based pay discrimination </w:t>
      </w:r>
      <w:r w:rsidR="00397833" w:rsidRPr="001C338A">
        <w:rPr>
          <w:rFonts w:asciiTheme="minorHAnsi" w:hAnsiTheme="minorHAnsi" w:cstheme="minorHAnsi"/>
          <w:color w:val="333333"/>
          <w:szCs w:val="28"/>
          <w:u w:val="single"/>
        </w:rPr>
        <w:t>in accordance with the case-law of the Court of Justice</w:t>
      </w:r>
      <w:proofErr w:type="gramStart"/>
      <w:r w:rsidR="00397833" w:rsidRPr="001C338A">
        <w:rPr>
          <w:rFonts w:asciiTheme="minorHAnsi" w:hAnsiTheme="minorHAnsi" w:cstheme="minorHAnsi"/>
          <w:color w:val="333333"/>
          <w:szCs w:val="28"/>
        </w:rPr>
        <w:t>”.</w:t>
      </w:r>
      <w:proofErr w:type="gramEnd"/>
      <w:r w:rsidR="00397833" w:rsidRPr="001C338A">
        <w:rPr>
          <w:rStyle w:val="FootnoteReference"/>
          <w:rFonts w:asciiTheme="minorHAnsi" w:hAnsiTheme="minorHAnsi" w:cstheme="minorHAnsi"/>
          <w:color w:val="333333"/>
          <w:szCs w:val="28"/>
        </w:rPr>
        <w:footnoteReference w:id="87"/>
      </w:r>
    </w:p>
    <w:p w14:paraId="54C8673D" w14:textId="4E13CF89" w:rsidR="00397833" w:rsidRPr="001C338A" w:rsidRDefault="00397833" w:rsidP="006905B3">
      <w:pPr>
        <w:pStyle w:val="11NumPara"/>
      </w:pPr>
      <w:r w:rsidRPr="001C338A">
        <w:rPr>
          <w:rFonts w:asciiTheme="minorHAnsi" w:hAnsiTheme="minorHAnsi" w:cstheme="minorHAnsi"/>
          <w:color w:val="333333"/>
          <w:szCs w:val="28"/>
        </w:rPr>
        <w:t xml:space="preserve">Specifically, the provisions in the PTD, extend the protections in this area, to include full recovery of back pay and related bonuses or payments in kind, as well as compensation for lost opportunities, such as access to certain benefits depending on pay level, and for non-material damage, as well as interest on arrears. </w:t>
      </w:r>
      <w:r w:rsidRPr="001C338A">
        <w:rPr>
          <w:rStyle w:val="FootnoteReference"/>
          <w:rFonts w:asciiTheme="minorHAnsi" w:hAnsiTheme="minorHAnsi" w:cstheme="minorHAnsi"/>
          <w:color w:val="333333"/>
          <w:szCs w:val="28"/>
        </w:rPr>
        <w:footnoteReference w:id="88"/>
      </w:r>
      <w:r w:rsidRPr="001C338A">
        <w:rPr>
          <w:rFonts w:asciiTheme="minorHAnsi" w:hAnsiTheme="minorHAnsi" w:cstheme="minorHAnsi"/>
          <w:color w:val="333333"/>
          <w:szCs w:val="28"/>
        </w:rPr>
        <w:t xml:space="preserve"> It also makes clear that, where appropriate, the compensation can also </w:t>
      </w:r>
      <w:proofErr w:type="gramStart"/>
      <w:r w:rsidRPr="001C338A">
        <w:rPr>
          <w:rFonts w:asciiTheme="minorHAnsi" w:hAnsiTheme="minorHAnsi" w:cstheme="minorHAnsi"/>
          <w:color w:val="333333"/>
          <w:szCs w:val="28"/>
        </w:rPr>
        <w:t>take into account</w:t>
      </w:r>
      <w:proofErr w:type="gramEnd"/>
      <w:r w:rsidRPr="001C338A">
        <w:rPr>
          <w:rFonts w:asciiTheme="minorHAnsi" w:hAnsiTheme="minorHAnsi" w:cstheme="minorHAnsi"/>
          <w:color w:val="333333"/>
          <w:szCs w:val="28"/>
        </w:rPr>
        <w:t xml:space="preserve"> damage caused by pay discrimination based on sex that intersects with other protected grounds of discrimination.</w:t>
      </w:r>
      <w:r w:rsidRPr="001C338A">
        <w:rPr>
          <w:rStyle w:val="FootnoteReference"/>
          <w:rFonts w:asciiTheme="minorHAnsi" w:hAnsiTheme="minorHAnsi" w:cstheme="minorHAnsi"/>
          <w:color w:val="333333"/>
          <w:szCs w:val="28"/>
        </w:rPr>
        <w:footnoteReference w:id="89"/>
      </w:r>
    </w:p>
    <w:p w14:paraId="2CAC82B0" w14:textId="58211697" w:rsidR="008D2C5C" w:rsidRPr="001C338A" w:rsidRDefault="008D2C5C" w:rsidP="006905B3">
      <w:pPr>
        <w:pStyle w:val="11NumPara"/>
      </w:pPr>
      <w:r w:rsidRPr="001C338A">
        <w:rPr>
          <w:rFonts w:asciiTheme="minorHAnsi" w:hAnsiTheme="minorHAnsi" w:cstheme="minorHAnsi"/>
          <w:color w:val="333333"/>
          <w:szCs w:val="28"/>
        </w:rPr>
        <w:lastRenderedPageBreak/>
        <w:t>Further, unlike the Recast Directive, the PTD makes clear that “</w:t>
      </w:r>
      <w:r w:rsidRPr="001C338A">
        <w:rPr>
          <w:rFonts w:asciiTheme="minorHAnsi" w:hAnsiTheme="minorHAnsi" w:cstheme="minorHAnsi"/>
          <w:szCs w:val="28"/>
        </w:rPr>
        <w:t>the compensation or reparation shall place the worker who has sustained damage in the position in which that person would have been if he or she had not been discriminated against based on sex or if there had been no infringement of any of the rights or obligations relating to the principle of equal pay.”</w:t>
      </w:r>
      <w:r w:rsidR="00526588" w:rsidRPr="001C338A">
        <w:rPr>
          <w:rStyle w:val="FootnoteReference"/>
          <w:rFonts w:asciiTheme="minorHAnsi" w:hAnsiTheme="minorHAnsi" w:cstheme="minorHAnsi"/>
          <w:szCs w:val="28"/>
        </w:rPr>
        <w:footnoteReference w:id="90"/>
      </w:r>
    </w:p>
    <w:p w14:paraId="38A1D263" w14:textId="344B722E" w:rsidR="00D86E55" w:rsidRPr="001C338A" w:rsidRDefault="00D86E55" w:rsidP="00D86E55">
      <w:pPr>
        <w:pStyle w:val="11NumPara"/>
        <w:rPr>
          <w:rFonts w:asciiTheme="minorHAnsi" w:hAnsiTheme="minorHAnsi" w:cstheme="minorHAnsi"/>
          <w:szCs w:val="28"/>
        </w:rPr>
      </w:pPr>
      <w:r w:rsidRPr="001C338A">
        <w:rPr>
          <w:rFonts w:asciiTheme="minorHAnsi" w:hAnsiTheme="minorHAnsi" w:cstheme="minorHAnsi"/>
          <w:szCs w:val="28"/>
        </w:rPr>
        <w:t xml:space="preserve">The Commissions consider that the provisions on </w:t>
      </w:r>
      <w:r w:rsidRPr="001C338A">
        <w:rPr>
          <w:rFonts w:asciiTheme="minorHAnsi" w:hAnsiTheme="minorHAnsi" w:cstheme="minorHAnsi"/>
          <w:color w:val="333333"/>
          <w:szCs w:val="28"/>
        </w:rPr>
        <w:t>the right to compensation</w:t>
      </w:r>
      <w:r w:rsidRPr="001C338A">
        <w:rPr>
          <w:rFonts w:asciiTheme="minorHAnsi" w:hAnsiTheme="minorHAnsi" w:cstheme="minorHAnsi"/>
          <w:szCs w:val="28"/>
        </w:rPr>
        <w:t xml:space="preserve"> strengthen the application </w:t>
      </w:r>
      <w:r w:rsidR="00630A64" w:rsidRPr="001C338A">
        <w:rPr>
          <w:rFonts w:asciiTheme="minorHAnsi" w:hAnsiTheme="minorHAnsi" w:cstheme="minorHAnsi"/>
          <w:szCs w:val="28"/>
        </w:rPr>
        <w:t xml:space="preserve">and enforcement </w:t>
      </w:r>
      <w:r w:rsidRPr="001C338A">
        <w:rPr>
          <w:rFonts w:asciiTheme="minorHAnsi" w:hAnsiTheme="minorHAnsi" w:cstheme="minorHAnsi"/>
          <w:szCs w:val="28"/>
        </w:rPr>
        <w:t xml:space="preserve">of the principle of equal pay and the prohibition of pay discrimination, and build on </w:t>
      </w:r>
      <w:r w:rsidR="00630A64" w:rsidRPr="001C338A">
        <w:rPr>
          <w:rFonts w:asciiTheme="minorHAnsi" w:hAnsiTheme="minorHAnsi" w:cstheme="minorHAnsi"/>
          <w:szCs w:val="28"/>
        </w:rPr>
        <w:t xml:space="preserve">and improve </w:t>
      </w:r>
      <w:r w:rsidRPr="001C338A">
        <w:rPr>
          <w:rFonts w:asciiTheme="minorHAnsi" w:hAnsiTheme="minorHAnsi" w:cstheme="minorHAnsi"/>
          <w:szCs w:val="28"/>
        </w:rPr>
        <w:t>existing provisions in the Recast Directive in this area.</w:t>
      </w:r>
    </w:p>
    <w:p w14:paraId="7C6A688F" w14:textId="77777777" w:rsidR="00611281" w:rsidRPr="001C338A" w:rsidRDefault="00611281" w:rsidP="00DD23AF">
      <w:pPr>
        <w:pStyle w:val="11NumPara"/>
        <w:numPr>
          <w:ilvl w:val="0"/>
          <w:numId w:val="0"/>
        </w:numPr>
        <w:rPr>
          <w:b/>
          <w:bCs/>
        </w:rPr>
      </w:pPr>
    </w:p>
    <w:p w14:paraId="38DB5054" w14:textId="275E26EF" w:rsidR="006905B3" w:rsidRPr="001C338A" w:rsidRDefault="006905B3" w:rsidP="006905B3">
      <w:pPr>
        <w:pStyle w:val="11NumPara"/>
        <w:numPr>
          <w:ilvl w:val="0"/>
          <w:numId w:val="0"/>
        </w:numPr>
        <w:ind w:left="709"/>
        <w:rPr>
          <w:b/>
          <w:bCs/>
        </w:rPr>
      </w:pPr>
      <w:r w:rsidRPr="001C338A">
        <w:rPr>
          <w:b/>
          <w:bCs/>
        </w:rPr>
        <w:t>Article 17 -</w:t>
      </w:r>
      <w:r w:rsidR="00922B4D">
        <w:rPr>
          <w:b/>
          <w:bCs/>
        </w:rPr>
        <w:t xml:space="preserve"> </w:t>
      </w:r>
      <w:r w:rsidRPr="001C338A">
        <w:rPr>
          <w:b/>
          <w:bCs/>
        </w:rPr>
        <w:t>Other remedies</w:t>
      </w:r>
    </w:p>
    <w:p w14:paraId="39060603" w14:textId="6D35CB00" w:rsidR="00DC5FCB" w:rsidRPr="001C338A" w:rsidRDefault="00DC5FCB" w:rsidP="006905B3">
      <w:pPr>
        <w:pStyle w:val="11NumPara"/>
      </w:pPr>
      <w:r w:rsidRPr="001C338A">
        <w:rPr>
          <w:rFonts w:cstheme="minorHAnsi"/>
          <w:color w:val="222222"/>
          <w:spacing w:val="4"/>
          <w:szCs w:val="28"/>
          <w:shd w:val="clear" w:color="auto" w:fill="FFFFFF"/>
        </w:rPr>
        <w:t>As regards this provision on ‘other remedies</w:t>
      </w:r>
      <w:proofErr w:type="gramStart"/>
      <w:r w:rsidRPr="001C338A">
        <w:rPr>
          <w:rFonts w:cstheme="minorHAnsi"/>
          <w:color w:val="222222"/>
          <w:spacing w:val="4"/>
          <w:szCs w:val="28"/>
          <w:shd w:val="clear" w:color="auto" w:fill="FFFFFF"/>
        </w:rPr>
        <w:t>’,</w:t>
      </w:r>
      <w:proofErr w:type="gramEnd"/>
      <w:r w:rsidRPr="001C338A">
        <w:rPr>
          <w:rFonts w:cstheme="minorHAnsi"/>
          <w:color w:val="222222"/>
          <w:spacing w:val="4"/>
          <w:szCs w:val="28"/>
          <w:shd w:val="clear" w:color="auto" w:fill="FFFFFF"/>
        </w:rPr>
        <w:t xml:space="preserve"> t</w:t>
      </w:r>
      <w:r w:rsidR="00157716" w:rsidRPr="001C338A">
        <w:rPr>
          <w:rFonts w:cstheme="minorHAnsi"/>
          <w:color w:val="222222"/>
          <w:spacing w:val="4"/>
          <w:szCs w:val="28"/>
          <w:shd w:val="clear" w:color="auto" w:fill="FFFFFF"/>
        </w:rPr>
        <w:t>he European Commission has</w:t>
      </w:r>
      <w:r w:rsidRPr="001C338A">
        <w:rPr>
          <w:rFonts w:cstheme="minorHAnsi"/>
          <w:color w:val="222222"/>
          <w:spacing w:val="4"/>
          <w:szCs w:val="28"/>
          <w:shd w:val="clear" w:color="auto" w:fill="FFFFFF"/>
        </w:rPr>
        <w:t xml:space="preserve"> stated that this provision was introduced “</w:t>
      </w:r>
      <w:r w:rsidRPr="001C338A">
        <w:rPr>
          <w:rFonts w:cstheme="minorHAnsi"/>
          <w:i/>
          <w:iCs/>
          <w:color w:val="222222"/>
          <w:spacing w:val="4"/>
          <w:szCs w:val="28"/>
          <w:shd w:val="clear" w:color="auto" w:fill="FFFFFF"/>
        </w:rPr>
        <w:t>i</w:t>
      </w:r>
      <w:r w:rsidR="00157716" w:rsidRPr="001C338A">
        <w:rPr>
          <w:rFonts w:cstheme="minorHAnsi"/>
          <w:i/>
          <w:iCs/>
          <w:color w:val="222222"/>
          <w:spacing w:val="4"/>
          <w:szCs w:val="28"/>
          <w:shd w:val="clear" w:color="auto" w:fill="FFFFFF"/>
        </w:rPr>
        <w:t>n order to step up enforcement of the right to equal pay</w:t>
      </w:r>
      <w:r w:rsidRPr="001C338A">
        <w:rPr>
          <w:rFonts w:cstheme="minorHAnsi"/>
          <w:color w:val="222222"/>
          <w:spacing w:val="4"/>
          <w:szCs w:val="28"/>
          <w:shd w:val="clear" w:color="auto" w:fill="FFFFFF"/>
        </w:rPr>
        <w:t xml:space="preserve">”. </w:t>
      </w:r>
      <w:r w:rsidRPr="001C338A">
        <w:rPr>
          <w:rStyle w:val="FootnoteReference"/>
          <w:rFonts w:cstheme="minorHAnsi"/>
          <w:color w:val="222222"/>
          <w:spacing w:val="4"/>
          <w:szCs w:val="28"/>
          <w:shd w:val="clear" w:color="auto" w:fill="FFFFFF"/>
        </w:rPr>
        <w:footnoteReference w:id="91"/>
      </w:r>
    </w:p>
    <w:p w14:paraId="067E5FDD" w14:textId="44C56863" w:rsidR="00701380" w:rsidRPr="001C338A" w:rsidRDefault="00DC5FCB" w:rsidP="006905B3">
      <w:pPr>
        <w:pStyle w:val="11NumPara"/>
      </w:pPr>
      <w:r w:rsidRPr="001C338A">
        <w:rPr>
          <w:rFonts w:cstheme="minorHAnsi"/>
          <w:color w:val="222222"/>
          <w:spacing w:val="4"/>
          <w:szCs w:val="28"/>
          <w:shd w:val="clear" w:color="auto" w:fill="FFFFFF"/>
        </w:rPr>
        <w:t xml:space="preserve">It makes clear that </w:t>
      </w:r>
      <w:r w:rsidR="00157716" w:rsidRPr="001C338A">
        <w:rPr>
          <w:rFonts w:cstheme="minorHAnsi"/>
          <w:color w:val="222222"/>
          <w:spacing w:val="4"/>
          <w:szCs w:val="28"/>
          <w:shd w:val="clear" w:color="auto" w:fill="FFFFFF"/>
        </w:rPr>
        <w:t>this provision ensures that courts or competent authorities can issue injunction orders establishing an infringement of any right or obligation relating to the principle of equal pay between men and women for equal work or work of equal value and to stop such infringement.</w:t>
      </w:r>
      <w:r w:rsidR="00701380" w:rsidRPr="001C338A">
        <w:rPr>
          <w:rStyle w:val="FootnoteReference"/>
          <w:rFonts w:cstheme="minorHAnsi"/>
          <w:color w:val="222222"/>
          <w:spacing w:val="4"/>
          <w:szCs w:val="28"/>
          <w:shd w:val="clear" w:color="auto" w:fill="FFFFFF"/>
        </w:rPr>
        <w:footnoteReference w:id="92"/>
      </w:r>
    </w:p>
    <w:p w14:paraId="113119B2" w14:textId="4D90FF56" w:rsidR="00526539" w:rsidRPr="001C338A" w:rsidRDefault="00157716" w:rsidP="006905B3">
      <w:pPr>
        <w:pStyle w:val="11NumPara"/>
      </w:pPr>
      <w:r w:rsidRPr="001C338A">
        <w:rPr>
          <w:rFonts w:cstheme="minorHAnsi"/>
          <w:color w:val="222222"/>
          <w:spacing w:val="4"/>
          <w:szCs w:val="28"/>
          <w:shd w:val="clear" w:color="auto" w:fill="FFFFFF"/>
        </w:rPr>
        <w:t xml:space="preserve">Furthermore, </w:t>
      </w:r>
      <w:r w:rsidR="00D31861" w:rsidRPr="001C338A">
        <w:rPr>
          <w:rFonts w:cstheme="minorHAnsi"/>
          <w:color w:val="222222"/>
          <w:spacing w:val="4"/>
          <w:szCs w:val="28"/>
          <w:shd w:val="clear" w:color="auto" w:fill="FFFFFF"/>
        </w:rPr>
        <w:t xml:space="preserve">it makes clear that </w:t>
      </w:r>
      <w:r w:rsidRPr="001C338A">
        <w:rPr>
          <w:rFonts w:cstheme="minorHAnsi"/>
          <w:color w:val="222222"/>
          <w:spacing w:val="4"/>
          <w:szCs w:val="28"/>
          <w:shd w:val="clear" w:color="auto" w:fill="FFFFFF"/>
        </w:rPr>
        <w:t xml:space="preserve">courts or competent authorities </w:t>
      </w:r>
      <w:r w:rsidR="006364BA" w:rsidRPr="001C338A">
        <w:rPr>
          <w:rFonts w:cstheme="minorHAnsi"/>
          <w:szCs w:val="28"/>
        </w:rPr>
        <w:t>should, for instance, be able to require an employer to take structural or organisational measures to comply with its obligations regarding equal pay.</w:t>
      </w:r>
      <w:r w:rsidR="00526539" w:rsidRPr="001C338A">
        <w:rPr>
          <w:rStyle w:val="FootnoteReference"/>
          <w:rFonts w:cstheme="minorHAnsi"/>
          <w:szCs w:val="28"/>
        </w:rPr>
        <w:footnoteReference w:id="93"/>
      </w:r>
    </w:p>
    <w:p w14:paraId="536658CD" w14:textId="35AC8DDD" w:rsidR="00DE30AA" w:rsidRPr="001C338A" w:rsidRDefault="00526539" w:rsidP="006905B3">
      <w:pPr>
        <w:pStyle w:val="11NumPara"/>
      </w:pPr>
      <w:r w:rsidRPr="001C338A">
        <w:rPr>
          <w:rFonts w:cstheme="minorHAnsi"/>
          <w:color w:val="222222"/>
          <w:spacing w:val="4"/>
          <w:szCs w:val="28"/>
          <w:shd w:val="clear" w:color="auto" w:fill="FFFFFF"/>
        </w:rPr>
        <w:t>In addition, t</w:t>
      </w:r>
      <w:r w:rsidR="00157716" w:rsidRPr="001C338A">
        <w:rPr>
          <w:rFonts w:cstheme="minorHAnsi"/>
          <w:color w:val="222222"/>
          <w:spacing w:val="4"/>
          <w:szCs w:val="28"/>
          <w:shd w:val="clear" w:color="auto" w:fill="FFFFFF"/>
        </w:rPr>
        <w:t>he courts or competent authorities may impose a recurring penalty payment</w:t>
      </w:r>
      <w:r w:rsidR="00DE7FB5" w:rsidRPr="001C338A">
        <w:rPr>
          <w:rFonts w:cstheme="minorHAnsi"/>
          <w:color w:val="222222"/>
          <w:spacing w:val="4"/>
          <w:szCs w:val="28"/>
          <w:shd w:val="clear" w:color="auto" w:fill="FFFFFF"/>
        </w:rPr>
        <w:t xml:space="preserve"> order</w:t>
      </w:r>
      <w:r w:rsidR="00157716" w:rsidRPr="001C338A">
        <w:rPr>
          <w:rFonts w:cstheme="minorHAnsi"/>
          <w:color w:val="222222"/>
          <w:spacing w:val="4"/>
          <w:szCs w:val="28"/>
          <w:shd w:val="clear" w:color="auto" w:fill="FFFFFF"/>
        </w:rPr>
        <w:t>.</w:t>
      </w:r>
    </w:p>
    <w:p w14:paraId="38FC5D76" w14:textId="7F95860A" w:rsidR="006905B3" w:rsidRPr="001C338A" w:rsidRDefault="001C498E" w:rsidP="00C9561B">
      <w:pPr>
        <w:pStyle w:val="11NumPara"/>
      </w:pPr>
      <w:r w:rsidRPr="001C338A">
        <w:rPr>
          <w:rFonts w:asciiTheme="minorHAnsi" w:hAnsiTheme="minorHAnsi" w:cstheme="minorHAnsi"/>
          <w:szCs w:val="28"/>
        </w:rPr>
        <w:t xml:space="preserve">The Commissions </w:t>
      </w:r>
      <w:r w:rsidR="008908C6" w:rsidRPr="001C338A">
        <w:rPr>
          <w:rFonts w:asciiTheme="minorHAnsi" w:hAnsiTheme="minorHAnsi" w:cstheme="minorHAnsi"/>
          <w:szCs w:val="28"/>
        </w:rPr>
        <w:t xml:space="preserve">consider that </w:t>
      </w:r>
      <w:r w:rsidR="00903B04" w:rsidRPr="001C338A">
        <w:rPr>
          <w:rFonts w:asciiTheme="minorHAnsi" w:hAnsiTheme="minorHAnsi" w:cstheme="minorHAnsi"/>
          <w:szCs w:val="28"/>
        </w:rPr>
        <w:t xml:space="preserve">these provisions on other remedies </w:t>
      </w:r>
      <w:r w:rsidR="005A4544" w:rsidRPr="001C338A">
        <w:rPr>
          <w:rFonts w:asciiTheme="minorHAnsi" w:hAnsiTheme="minorHAnsi" w:cstheme="minorHAnsi"/>
          <w:szCs w:val="28"/>
        </w:rPr>
        <w:t xml:space="preserve">strengthen </w:t>
      </w:r>
      <w:r w:rsidR="00630A64" w:rsidRPr="001C338A">
        <w:rPr>
          <w:rFonts w:asciiTheme="minorHAnsi" w:hAnsiTheme="minorHAnsi" w:cstheme="minorHAnsi"/>
          <w:szCs w:val="28"/>
        </w:rPr>
        <w:t xml:space="preserve">the application and </w:t>
      </w:r>
      <w:r w:rsidR="005A4544" w:rsidRPr="001C338A">
        <w:rPr>
          <w:rFonts w:asciiTheme="minorHAnsi" w:hAnsiTheme="minorHAnsi" w:cstheme="minorHAnsi"/>
          <w:szCs w:val="28"/>
        </w:rPr>
        <w:t xml:space="preserve">enforcement of the principle of equal pay </w:t>
      </w:r>
      <w:r w:rsidR="00FF7AC3" w:rsidRPr="001C338A">
        <w:rPr>
          <w:rFonts w:asciiTheme="minorHAnsi" w:hAnsiTheme="minorHAnsi" w:cstheme="minorHAnsi"/>
          <w:szCs w:val="28"/>
        </w:rPr>
        <w:t>and the prohibition of pay discrimination</w:t>
      </w:r>
      <w:proofErr w:type="gramStart"/>
      <w:r w:rsidRPr="001C338A">
        <w:rPr>
          <w:rFonts w:asciiTheme="minorHAnsi" w:hAnsiTheme="minorHAnsi" w:cstheme="minorHAnsi"/>
          <w:color w:val="333333"/>
          <w:szCs w:val="28"/>
        </w:rPr>
        <w:t xml:space="preserve">.  </w:t>
      </w:r>
      <w:proofErr w:type="gramEnd"/>
    </w:p>
    <w:p w14:paraId="6F825B52" w14:textId="77777777" w:rsidR="006905B3" w:rsidRPr="001C338A" w:rsidRDefault="006905B3" w:rsidP="006905B3">
      <w:pPr>
        <w:ind w:firstLine="709"/>
        <w:rPr>
          <w:rFonts w:ascii="Calibri" w:hAnsi="Calibri"/>
          <w:b/>
          <w:bCs/>
          <w:kern w:val="2"/>
          <w:sz w:val="28"/>
          <w14:ligatures w14:val="standardContextual"/>
        </w:rPr>
      </w:pPr>
    </w:p>
    <w:p w14:paraId="5568BFDA" w14:textId="77777777" w:rsidR="001328C2" w:rsidRDefault="001328C2" w:rsidP="00C9561B">
      <w:pPr>
        <w:ind w:firstLine="709"/>
        <w:rPr>
          <w:rFonts w:ascii="Calibri" w:hAnsi="Calibri"/>
          <w:b/>
          <w:bCs/>
          <w:kern w:val="2"/>
          <w:sz w:val="28"/>
          <w14:ligatures w14:val="standardContextual"/>
        </w:rPr>
      </w:pPr>
    </w:p>
    <w:p w14:paraId="3E213A70" w14:textId="5ABB102F" w:rsidR="006905B3" w:rsidRPr="001C338A" w:rsidRDefault="006905B3" w:rsidP="00C9561B">
      <w:pPr>
        <w:ind w:firstLine="709"/>
        <w:rPr>
          <w:rFonts w:ascii="Calibri" w:hAnsi="Calibri"/>
          <w:b/>
          <w:bCs/>
          <w:kern w:val="2"/>
          <w:sz w:val="28"/>
          <w14:ligatures w14:val="standardContextual"/>
        </w:rPr>
      </w:pPr>
      <w:r w:rsidRPr="001C338A">
        <w:rPr>
          <w:rFonts w:ascii="Calibri" w:hAnsi="Calibri"/>
          <w:b/>
          <w:bCs/>
          <w:kern w:val="2"/>
          <w:sz w:val="28"/>
          <w14:ligatures w14:val="standardContextual"/>
        </w:rPr>
        <w:lastRenderedPageBreak/>
        <w:t>Article 18</w:t>
      </w:r>
      <w:r w:rsidR="00922B4D">
        <w:rPr>
          <w:rFonts w:ascii="Calibri" w:hAnsi="Calibri"/>
          <w:b/>
          <w:bCs/>
          <w:kern w:val="2"/>
          <w:sz w:val="28"/>
          <w14:ligatures w14:val="standardContextual"/>
        </w:rPr>
        <w:t xml:space="preserve"> </w:t>
      </w:r>
      <w:r w:rsidRPr="001C338A">
        <w:rPr>
          <w:rFonts w:ascii="Calibri" w:hAnsi="Calibri"/>
          <w:b/>
          <w:bCs/>
          <w:kern w:val="2"/>
          <w:sz w:val="28"/>
          <w14:ligatures w14:val="standardContextual"/>
        </w:rPr>
        <w:t>-</w:t>
      </w:r>
      <w:r w:rsidR="00922B4D">
        <w:rPr>
          <w:rFonts w:ascii="Calibri" w:hAnsi="Calibri"/>
          <w:b/>
          <w:bCs/>
          <w:kern w:val="2"/>
          <w:sz w:val="28"/>
          <w14:ligatures w14:val="standardContextual"/>
        </w:rPr>
        <w:t xml:space="preserve"> </w:t>
      </w:r>
      <w:r w:rsidRPr="001C338A">
        <w:rPr>
          <w:rFonts w:ascii="Calibri" w:hAnsi="Calibri"/>
          <w:b/>
          <w:bCs/>
          <w:kern w:val="2"/>
          <w:sz w:val="28"/>
          <w14:ligatures w14:val="standardContextual"/>
        </w:rPr>
        <w:t>Shift of Burden of Proof</w:t>
      </w:r>
    </w:p>
    <w:p w14:paraId="2BFAD70C" w14:textId="6ACC001F" w:rsidR="00D21342" w:rsidRPr="001C338A" w:rsidRDefault="00E372BC" w:rsidP="006905B3">
      <w:pPr>
        <w:pStyle w:val="11NumPara"/>
      </w:pPr>
      <w:r w:rsidRPr="001C338A">
        <w:rPr>
          <w:rFonts w:asciiTheme="minorHAnsi" w:hAnsiTheme="minorHAnsi" w:cstheme="minorHAnsi"/>
          <w:color w:val="333333"/>
          <w:szCs w:val="28"/>
        </w:rPr>
        <w:t>Th</w:t>
      </w:r>
      <w:r w:rsidR="00915A90" w:rsidRPr="001C338A">
        <w:rPr>
          <w:rFonts w:asciiTheme="minorHAnsi" w:hAnsiTheme="minorHAnsi" w:cstheme="minorHAnsi"/>
          <w:color w:val="333333"/>
          <w:szCs w:val="28"/>
        </w:rPr>
        <w:t>ese</w:t>
      </w:r>
      <w:r w:rsidRPr="001C338A">
        <w:rPr>
          <w:rFonts w:asciiTheme="minorHAnsi" w:hAnsiTheme="minorHAnsi" w:cstheme="minorHAnsi"/>
          <w:color w:val="333333"/>
          <w:szCs w:val="28"/>
        </w:rPr>
        <w:t xml:space="preserve"> provision</w:t>
      </w:r>
      <w:r w:rsidR="00915A90" w:rsidRPr="001C338A">
        <w:rPr>
          <w:rFonts w:asciiTheme="minorHAnsi" w:hAnsiTheme="minorHAnsi" w:cstheme="minorHAnsi"/>
          <w:color w:val="333333"/>
          <w:szCs w:val="28"/>
        </w:rPr>
        <w:t>s</w:t>
      </w:r>
      <w:r w:rsidRPr="001C338A">
        <w:rPr>
          <w:rFonts w:asciiTheme="minorHAnsi" w:hAnsiTheme="minorHAnsi" w:cstheme="minorHAnsi"/>
          <w:color w:val="333333"/>
          <w:szCs w:val="28"/>
        </w:rPr>
        <w:t xml:space="preserve"> on </w:t>
      </w:r>
      <w:r w:rsidR="00915A90" w:rsidRPr="001C338A">
        <w:rPr>
          <w:rFonts w:asciiTheme="minorHAnsi" w:hAnsiTheme="minorHAnsi" w:cstheme="minorHAnsi"/>
          <w:color w:val="333333"/>
          <w:szCs w:val="28"/>
        </w:rPr>
        <w:t xml:space="preserve">the shift of the burden of proof </w:t>
      </w:r>
      <w:r w:rsidR="002E6DA6" w:rsidRPr="001C338A">
        <w:rPr>
          <w:rFonts w:asciiTheme="minorHAnsi" w:hAnsiTheme="minorHAnsi" w:cstheme="minorHAnsi"/>
          <w:color w:val="333333"/>
          <w:szCs w:val="28"/>
        </w:rPr>
        <w:t xml:space="preserve">reflect </w:t>
      </w:r>
      <w:proofErr w:type="gramStart"/>
      <w:r w:rsidR="002E6DA6" w:rsidRPr="001C338A">
        <w:rPr>
          <w:rFonts w:asciiTheme="minorHAnsi" w:hAnsiTheme="minorHAnsi" w:cstheme="minorHAnsi"/>
          <w:color w:val="333333"/>
          <w:szCs w:val="28"/>
        </w:rPr>
        <w:t>some</w:t>
      </w:r>
      <w:proofErr w:type="gramEnd"/>
      <w:r w:rsidR="002E6DA6" w:rsidRPr="001C338A">
        <w:rPr>
          <w:rFonts w:asciiTheme="minorHAnsi" w:hAnsiTheme="minorHAnsi" w:cstheme="minorHAnsi"/>
          <w:color w:val="333333"/>
          <w:szCs w:val="28"/>
        </w:rPr>
        <w:t xml:space="preserve"> existing provisions in the Recast Directive</w:t>
      </w:r>
      <w:r w:rsidR="0027083A" w:rsidRPr="001C338A">
        <w:rPr>
          <w:rFonts w:asciiTheme="minorHAnsi" w:hAnsiTheme="minorHAnsi" w:cstheme="minorHAnsi"/>
          <w:color w:val="333333"/>
          <w:szCs w:val="28"/>
        </w:rPr>
        <w:t xml:space="preserve"> </w:t>
      </w:r>
      <w:r w:rsidR="0027083A" w:rsidRPr="001C338A">
        <w:rPr>
          <w:rFonts w:asciiTheme="minorHAnsi" w:hAnsiTheme="minorHAnsi" w:cstheme="minorHAnsi"/>
          <w:szCs w:val="28"/>
        </w:rPr>
        <w:t>(Article 19),</w:t>
      </w:r>
      <w:r w:rsidR="002E6DA6" w:rsidRPr="001C338A">
        <w:rPr>
          <w:rFonts w:asciiTheme="minorHAnsi" w:hAnsiTheme="minorHAnsi" w:cstheme="minorHAnsi"/>
          <w:color w:val="333333"/>
          <w:szCs w:val="28"/>
        </w:rPr>
        <w:t xml:space="preserve"> </w:t>
      </w:r>
      <w:r w:rsidR="0027083A" w:rsidRPr="001C338A">
        <w:rPr>
          <w:rFonts w:asciiTheme="minorHAnsi" w:hAnsiTheme="minorHAnsi" w:cstheme="minorHAnsi"/>
          <w:color w:val="333333"/>
          <w:szCs w:val="28"/>
        </w:rPr>
        <w:t xml:space="preserve">but </w:t>
      </w:r>
      <w:r w:rsidR="00D21342" w:rsidRPr="001C338A">
        <w:rPr>
          <w:rFonts w:asciiTheme="minorHAnsi" w:hAnsiTheme="minorHAnsi" w:cstheme="minorHAnsi"/>
          <w:color w:val="333333"/>
          <w:szCs w:val="28"/>
        </w:rPr>
        <w:t xml:space="preserve">also </w:t>
      </w:r>
      <w:r w:rsidR="00C01507" w:rsidRPr="001C338A">
        <w:rPr>
          <w:rFonts w:asciiTheme="minorHAnsi" w:hAnsiTheme="minorHAnsi" w:cstheme="minorHAnsi"/>
          <w:color w:val="333333"/>
          <w:szCs w:val="28"/>
        </w:rPr>
        <w:t>strengthen</w:t>
      </w:r>
      <w:r w:rsidR="00A430C6" w:rsidRPr="001C338A">
        <w:rPr>
          <w:rFonts w:asciiTheme="minorHAnsi" w:hAnsiTheme="minorHAnsi" w:cstheme="minorHAnsi"/>
          <w:color w:val="333333"/>
          <w:szCs w:val="28"/>
        </w:rPr>
        <w:t>,</w:t>
      </w:r>
      <w:r w:rsidR="00C01507" w:rsidRPr="001C338A">
        <w:rPr>
          <w:rFonts w:asciiTheme="minorHAnsi" w:hAnsiTheme="minorHAnsi" w:cstheme="minorHAnsi"/>
          <w:color w:val="333333"/>
          <w:szCs w:val="28"/>
        </w:rPr>
        <w:t xml:space="preserve"> and clarif</w:t>
      </w:r>
      <w:r w:rsidR="00F11DC6" w:rsidRPr="001C338A">
        <w:rPr>
          <w:rFonts w:asciiTheme="minorHAnsi" w:hAnsiTheme="minorHAnsi" w:cstheme="minorHAnsi"/>
          <w:color w:val="333333"/>
          <w:szCs w:val="28"/>
        </w:rPr>
        <w:t>y</w:t>
      </w:r>
      <w:r w:rsidR="00C01507" w:rsidRPr="001C338A">
        <w:rPr>
          <w:rFonts w:asciiTheme="minorHAnsi" w:hAnsiTheme="minorHAnsi" w:cstheme="minorHAnsi"/>
          <w:color w:val="333333"/>
          <w:szCs w:val="28"/>
        </w:rPr>
        <w:t xml:space="preserve"> </w:t>
      </w:r>
      <w:r w:rsidR="00D21342" w:rsidRPr="001C338A">
        <w:rPr>
          <w:rFonts w:asciiTheme="minorHAnsi" w:hAnsiTheme="minorHAnsi" w:cstheme="minorHAnsi"/>
          <w:color w:val="333333"/>
          <w:szCs w:val="28"/>
        </w:rPr>
        <w:t xml:space="preserve">the </w:t>
      </w:r>
      <w:r w:rsidR="00D21342" w:rsidRPr="001C338A">
        <w:rPr>
          <w:rFonts w:asciiTheme="minorHAnsi" w:hAnsiTheme="minorHAnsi" w:cstheme="minorHAnsi"/>
          <w:szCs w:val="28"/>
        </w:rPr>
        <w:t>provisions</w:t>
      </w:r>
      <w:r w:rsidR="00A430C6" w:rsidRPr="001C338A">
        <w:rPr>
          <w:rFonts w:asciiTheme="minorHAnsi" w:hAnsiTheme="minorHAnsi" w:cstheme="minorHAnsi"/>
          <w:szCs w:val="28"/>
        </w:rPr>
        <w:t xml:space="preserve"> in accordance with CJEU case law</w:t>
      </w:r>
      <w:r w:rsidR="00F11DC6" w:rsidRPr="001C338A">
        <w:rPr>
          <w:rFonts w:asciiTheme="minorHAnsi" w:hAnsiTheme="minorHAnsi" w:cstheme="minorHAnsi"/>
          <w:szCs w:val="28"/>
        </w:rPr>
        <w:t>,</w:t>
      </w:r>
      <w:r w:rsidR="00A430C6" w:rsidRPr="001C338A">
        <w:rPr>
          <w:rFonts w:asciiTheme="minorHAnsi" w:hAnsiTheme="minorHAnsi" w:cstheme="minorHAnsi"/>
          <w:szCs w:val="28"/>
        </w:rPr>
        <w:t xml:space="preserve"> as regards areas within the scope of the PTD</w:t>
      </w:r>
      <w:r w:rsidR="00D21342" w:rsidRPr="001C338A">
        <w:rPr>
          <w:rFonts w:asciiTheme="minorHAnsi" w:hAnsiTheme="minorHAnsi" w:cstheme="minorHAnsi"/>
          <w:szCs w:val="28"/>
        </w:rPr>
        <w:t xml:space="preserve">. </w:t>
      </w:r>
    </w:p>
    <w:p w14:paraId="5118BB81" w14:textId="63D6F843" w:rsidR="00D21342" w:rsidRPr="001C338A" w:rsidRDefault="00D21342" w:rsidP="006905B3">
      <w:pPr>
        <w:pStyle w:val="11NumPara"/>
      </w:pPr>
      <w:r w:rsidRPr="001C338A">
        <w:rPr>
          <w:rFonts w:asciiTheme="minorHAnsi" w:hAnsiTheme="minorHAnsi" w:cstheme="minorHAnsi"/>
          <w:szCs w:val="28"/>
        </w:rPr>
        <w:t xml:space="preserve">Specifically, the PTD makes clear </w:t>
      </w:r>
      <w:r w:rsidR="00280751" w:rsidRPr="001C338A">
        <w:rPr>
          <w:rFonts w:asciiTheme="minorHAnsi" w:hAnsiTheme="minorHAnsi" w:cstheme="minorHAnsi"/>
          <w:szCs w:val="28"/>
        </w:rPr>
        <w:t xml:space="preserve">in its recitals </w:t>
      </w:r>
      <w:r w:rsidRPr="001C338A">
        <w:rPr>
          <w:rFonts w:asciiTheme="minorHAnsi" w:hAnsiTheme="minorHAnsi" w:cstheme="minorHAnsi"/>
          <w:szCs w:val="28"/>
        </w:rPr>
        <w:t>that</w:t>
      </w:r>
      <w:r w:rsidR="00BE3DCE" w:rsidRPr="001C338A">
        <w:rPr>
          <w:rFonts w:asciiTheme="minorHAnsi" w:hAnsiTheme="minorHAnsi" w:cstheme="minorHAnsi"/>
          <w:szCs w:val="28"/>
        </w:rPr>
        <w:t>:</w:t>
      </w:r>
      <w:r w:rsidRPr="001C338A">
        <w:rPr>
          <w:rFonts w:asciiTheme="minorHAnsi" w:hAnsiTheme="minorHAnsi" w:cstheme="minorHAnsi"/>
          <w:szCs w:val="28"/>
        </w:rPr>
        <w:t xml:space="preserve"> </w:t>
      </w:r>
      <w:r w:rsidR="00883C65" w:rsidRPr="001C338A">
        <w:rPr>
          <w:rFonts w:asciiTheme="minorHAnsi" w:hAnsiTheme="minorHAnsi" w:cstheme="minorHAnsi"/>
          <w:szCs w:val="28"/>
        </w:rPr>
        <w:t>“</w:t>
      </w:r>
      <w:r w:rsidR="002B376C" w:rsidRPr="001C338A">
        <w:rPr>
          <w:i/>
          <w:iCs/>
        </w:rPr>
        <w:t>In case C-109/88, the Court of Justice held that when a system of pay is totally lacking in transparency, the burden of proof should be shifted to the respondent, irrespective of the worker showing a prima facie case of pay discrimination. Accordingly, the burden of proof should be shifted to the respondent where an employer does not comply with the pay transparency obligations set out in this Directive</w:t>
      </w:r>
      <w:r w:rsidR="002B376C" w:rsidRPr="001C338A">
        <w:t xml:space="preserve">, </w:t>
      </w:r>
      <w:r w:rsidR="005D03B2" w:rsidRPr="001C338A">
        <w:t>…</w:t>
      </w:r>
      <w:proofErr w:type="gramStart"/>
      <w:r w:rsidR="005D03B2" w:rsidRPr="001C338A">
        <w:t>”</w:t>
      </w:r>
      <w:r w:rsidRPr="001C338A">
        <w:rPr>
          <w:rFonts w:asciiTheme="minorHAnsi" w:hAnsiTheme="minorHAnsi" w:cstheme="minorHAnsi"/>
          <w:color w:val="333333"/>
          <w:szCs w:val="28"/>
        </w:rPr>
        <w:t>.</w:t>
      </w:r>
      <w:proofErr w:type="gramEnd"/>
      <w:r w:rsidRPr="001C338A">
        <w:rPr>
          <w:rStyle w:val="FootnoteReference"/>
          <w:rFonts w:asciiTheme="minorHAnsi" w:hAnsiTheme="minorHAnsi" w:cstheme="minorHAnsi"/>
          <w:color w:val="333333"/>
          <w:szCs w:val="28"/>
        </w:rPr>
        <w:footnoteReference w:id="94"/>
      </w:r>
      <w:r w:rsidRPr="001C338A">
        <w:rPr>
          <w:rFonts w:asciiTheme="minorHAnsi" w:hAnsiTheme="minorHAnsi" w:cstheme="minorHAnsi"/>
          <w:color w:val="333333"/>
          <w:szCs w:val="28"/>
        </w:rPr>
        <w:t xml:space="preserve"> This applies to proceedings alleging direct or indirect pay discrimination.</w:t>
      </w:r>
      <w:r w:rsidRPr="001C338A">
        <w:rPr>
          <w:rStyle w:val="FootnoteReference"/>
          <w:rFonts w:asciiTheme="minorHAnsi" w:hAnsiTheme="minorHAnsi" w:cstheme="minorHAnsi"/>
          <w:color w:val="333333"/>
          <w:szCs w:val="28"/>
        </w:rPr>
        <w:footnoteReference w:id="95"/>
      </w:r>
    </w:p>
    <w:p w14:paraId="3CDE1D07" w14:textId="77777777" w:rsidR="00D21342" w:rsidRPr="001C338A" w:rsidRDefault="00D21342" w:rsidP="006905B3">
      <w:pPr>
        <w:pStyle w:val="11NumPara"/>
      </w:pPr>
      <w:r w:rsidRPr="001C338A">
        <w:rPr>
          <w:rFonts w:asciiTheme="minorHAnsi" w:hAnsiTheme="minorHAnsi" w:cstheme="minorHAnsi"/>
          <w:color w:val="333333"/>
          <w:szCs w:val="28"/>
        </w:rPr>
        <w:t>The provisions on burden of proof relating to the pay transparency measures in the PTD therefore apply and reflect the approach set out in CJEU case law delivered before the end of the Brexit transition period.</w:t>
      </w:r>
    </w:p>
    <w:p w14:paraId="01DB88B6" w14:textId="65B931AA" w:rsidR="00764193" w:rsidRPr="001C338A" w:rsidRDefault="00DF5323" w:rsidP="006905B3">
      <w:pPr>
        <w:pStyle w:val="11NumPara"/>
      </w:pPr>
      <w:r w:rsidRPr="001C338A">
        <w:rPr>
          <w:rFonts w:cstheme="minorHAnsi"/>
          <w:color w:val="222222"/>
          <w:spacing w:val="4"/>
          <w:szCs w:val="28"/>
          <w:shd w:val="clear" w:color="auto" w:fill="FFFFFF"/>
        </w:rPr>
        <w:t>The European Commission has made clear that “</w:t>
      </w:r>
      <w:r w:rsidRPr="001C338A">
        <w:rPr>
          <w:rFonts w:cstheme="minorHAnsi"/>
          <w:i/>
          <w:iCs/>
          <w:color w:val="222222"/>
          <w:spacing w:val="4"/>
          <w:szCs w:val="28"/>
          <w:shd w:val="clear" w:color="auto" w:fill="FFFFFF"/>
        </w:rPr>
        <w:t>the strengthening of the shift of the burden of proof will not only facilitate enforcement of their right to equal pay by workers but also provide an additional incentive for employers to comply with their transparency obligations under this Directive.</w:t>
      </w:r>
      <w:r w:rsidRPr="001C338A">
        <w:rPr>
          <w:rFonts w:cstheme="minorHAnsi"/>
          <w:color w:val="222222"/>
          <w:spacing w:val="4"/>
          <w:szCs w:val="28"/>
          <w:shd w:val="clear" w:color="auto" w:fill="FFFFFF"/>
        </w:rPr>
        <w:t>”</w:t>
      </w:r>
      <w:r w:rsidRPr="001C338A">
        <w:rPr>
          <w:rStyle w:val="FootnoteReference"/>
          <w:rFonts w:cstheme="minorHAnsi"/>
          <w:color w:val="222222"/>
          <w:spacing w:val="4"/>
          <w:szCs w:val="28"/>
          <w:shd w:val="clear" w:color="auto" w:fill="FFFFFF"/>
        </w:rPr>
        <w:footnoteReference w:id="96"/>
      </w:r>
    </w:p>
    <w:p w14:paraId="42134DDB" w14:textId="5BC227D2" w:rsidR="00EF66AC" w:rsidRPr="001C338A" w:rsidRDefault="00EF66AC" w:rsidP="00EF66AC">
      <w:pPr>
        <w:pStyle w:val="11NumPara"/>
        <w:rPr>
          <w:rFonts w:asciiTheme="minorHAnsi" w:hAnsiTheme="minorHAnsi" w:cstheme="minorHAnsi"/>
          <w:szCs w:val="28"/>
        </w:rPr>
      </w:pPr>
      <w:r w:rsidRPr="001C338A">
        <w:rPr>
          <w:rFonts w:asciiTheme="minorHAnsi" w:hAnsiTheme="minorHAnsi" w:cstheme="minorHAnsi"/>
          <w:szCs w:val="28"/>
        </w:rPr>
        <w:t xml:space="preserve">The Commissions consider that the provisions on </w:t>
      </w:r>
      <w:r w:rsidRPr="001C338A">
        <w:rPr>
          <w:rFonts w:asciiTheme="minorHAnsi" w:hAnsiTheme="minorHAnsi" w:cstheme="minorHAnsi"/>
          <w:color w:val="333333"/>
          <w:szCs w:val="28"/>
        </w:rPr>
        <w:t xml:space="preserve">the </w:t>
      </w:r>
      <w:r w:rsidRPr="001C338A">
        <w:rPr>
          <w:rFonts w:asciiTheme="minorHAnsi" w:hAnsiTheme="minorHAnsi" w:cstheme="minorHAnsi"/>
          <w:szCs w:val="28"/>
        </w:rPr>
        <w:t xml:space="preserve">burden of proof strengthen the application </w:t>
      </w:r>
      <w:r w:rsidR="00630A64" w:rsidRPr="001C338A">
        <w:rPr>
          <w:rFonts w:asciiTheme="minorHAnsi" w:hAnsiTheme="minorHAnsi" w:cstheme="minorHAnsi"/>
          <w:szCs w:val="28"/>
        </w:rPr>
        <w:t xml:space="preserve">and enforcement </w:t>
      </w:r>
      <w:r w:rsidRPr="001C338A">
        <w:rPr>
          <w:rFonts w:asciiTheme="minorHAnsi" w:hAnsiTheme="minorHAnsi" w:cstheme="minorHAnsi"/>
          <w:szCs w:val="28"/>
        </w:rPr>
        <w:t xml:space="preserve">of the principle of equal pay and the prohibition of pay discrimination, and build on </w:t>
      </w:r>
      <w:r w:rsidR="00630A64" w:rsidRPr="001C338A">
        <w:rPr>
          <w:rFonts w:asciiTheme="minorHAnsi" w:hAnsiTheme="minorHAnsi" w:cstheme="minorHAnsi"/>
          <w:szCs w:val="28"/>
        </w:rPr>
        <w:t xml:space="preserve">and improve </w:t>
      </w:r>
      <w:r w:rsidRPr="001C338A">
        <w:rPr>
          <w:rFonts w:asciiTheme="minorHAnsi" w:hAnsiTheme="minorHAnsi" w:cstheme="minorHAnsi"/>
          <w:szCs w:val="28"/>
        </w:rPr>
        <w:t>existing provisions in the Recast Directive in this area.</w:t>
      </w:r>
    </w:p>
    <w:p w14:paraId="77C8B24D" w14:textId="3A4CB0AF" w:rsidR="00DF5323" w:rsidRPr="001C338A" w:rsidRDefault="00DF5323" w:rsidP="006905B3">
      <w:pPr>
        <w:pStyle w:val="11NumPara"/>
        <w:numPr>
          <w:ilvl w:val="0"/>
          <w:numId w:val="0"/>
        </w:numPr>
        <w:ind w:left="709"/>
      </w:pPr>
    </w:p>
    <w:p w14:paraId="510DF19C" w14:textId="16FB2CFB" w:rsidR="006905B3" w:rsidRPr="001C338A" w:rsidRDefault="006905B3" w:rsidP="006905B3">
      <w:pPr>
        <w:pStyle w:val="11NumPara"/>
        <w:numPr>
          <w:ilvl w:val="0"/>
          <w:numId w:val="0"/>
        </w:numPr>
        <w:ind w:left="709"/>
        <w:rPr>
          <w:b/>
          <w:bCs/>
        </w:rPr>
      </w:pPr>
      <w:r w:rsidRPr="001C338A">
        <w:rPr>
          <w:b/>
          <w:bCs/>
        </w:rPr>
        <w:t>Article 19</w:t>
      </w:r>
      <w:r w:rsidR="00922B4D">
        <w:rPr>
          <w:b/>
          <w:bCs/>
        </w:rPr>
        <w:t xml:space="preserve"> </w:t>
      </w:r>
      <w:r w:rsidRPr="001C338A">
        <w:rPr>
          <w:b/>
          <w:bCs/>
        </w:rPr>
        <w:t>- Proof of equal work or work of equal value</w:t>
      </w:r>
    </w:p>
    <w:p w14:paraId="2796A92B" w14:textId="628115C2" w:rsidR="0001746F" w:rsidRPr="001C338A" w:rsidRDefault="0001746F" w:rsidP="006905B3">
      <w:pPr>
        <w:pStyle w:val="11NumPara"/>
      </w:pPr>
      <w:r w:rsidRPr="001C338A">
        <w:rPr>
          <w:rFonts w:cstheme="minorHAnsi"/>
          <w:szCs w:val="28"/>
        </w:rPr>
        <w:t xml:space="preserve">As made clear from Recital 29 of the PTD, </w:t>
      </w:r>
      <w:r w:rsidR="00D211A2" w:rsidRPr="001C338A">
        <w:rPr>
          <w:rFonts w:cstheme="minorHAnsi"/>
          <w:szCs w:val="28"/>
        </w:rPr>
        <w:t>this Article</w:t>
      </w:r>
      <w:r w:rsidR="008908C6" w:rsidRPr="001C338A">
        <w:rPr>
          <w:rFonts w:cstheme="minorHAnsi"/>
          <w:b/>
          <w:bCs/>
          <w:szCs w:val="28"/>
        </w:rPr>
        <w:t xml:space="preserve"> </w:t>
      </w:r>
      <w:r w:rsidR="008908C6" w:rsidRPr="001C338A">
        <w:rPr>
          <w:rFonts w:cstheme="minorHAnsi"/>
          <w:szCs w:val="28"/>
        </w:rPr>
        <w:t>on proof of equal work or work of equal value</w:t>
      </w:r>
      <w:r w:rsidR="00D211A2" w:rsidRPr="001C338A">
        <w:rPr>
          <w:rFonts w:cstheme="minorHAnsi"/>
          <w:szCs w:val="28"/>
        </w:rPr>
        <w:t xml:space="preserve"> </w:t>
      </w:r>
      <w:proofErr w:type="gramStart"/>
      <w:r w:rsidRPr="001C338A">
        <w:rPr>
          <w:rFonts w:cstheme="minorHAnsi"/>
          <w:szCs w:val="28"/>
        </w:rPr>
        <w:t>is aimed</w:t>
      </w:r>
      <w:proofErr w:type="gramEnd"/>
      <w:r w:rsidRPr="001C338A">
        <w:rPr>
          <w:rFonts w:cstheme="minorHAnsi"/>
          <w:szCs w:val="28"/>
        </w:rPr>
        <w:t xml:space="preserve"> at </w:t>
      </w:r>
      <w:r w:rsidRPr="001C338A">
        <w:rPr>
          <w:rFonts w:cstheme="minorHAnsi"/>
          <w:szCs w:val="28"/>
          <w:u w:val="single"/>
        </w:rPr>
        <w:t>clarifying</w:t>
      </w:r>
      <w:r w:rsidRPr="001C338A">
        <w:rPr>
          <w:rFonts w:cstheme="minorHAnsi"/>
          <w:szCs w:val="28"/>
        </w:rPr>
        <w:t xml:space="preserve"> the definitions of discrimination in </w:t>
      </w:r>
      <w:r w:rsidR="00586A1F" w:rsidRPr="001C338A">
        <w:rPr>
          <w:rFonts w:cstheme="minorHAnsi"/>
          <w:szCs w:val="28"/>
        </w:rPr>
        <w:t xml:space="preserve">Recast </w:t>
      </w:r>
      <w:r w:rsidRPr="001C338A">
        <w:rPr>
          <w:rFonts w:cstheme="minorHAnsi"/>
          <w:szCs w:val="28"/>
        </w:rPr>
        <w:t xml:space="preserve">Directive, and the concept of equal pay, </w:t>
      </w:r>
      <w:r w:rsidRPr="001C338A">
        <w:rPr>
          <w:rFonts w:cstheme="minorHAnsi"/>
          <w:szCs w:val="28"/>
          <w:u w:val="single"/>
        </w:rPr>
        <w:t>in accordance with CJEU case law</w:t>
      </w:r>
      <w:r w:rsidRPr="001C338A">
        <w:rPr>
          <w:rFonts w:cstheme="minorHAnsi"/>
          <w:szCs w:val="28"/>
        </w:rPr>
        <w:t xml:space="preserve"> delivered prior to the end of the Brexit Transition Period.</w:t>
      </w:r>
      <w:r w:rsidRPr="001C338A">
        <w:rPr>
          <w:rStyle w:val="FootnoteReference"/>
          <w:rFonts w:cstheme="minorHAnsi"/>
          <w:b/>
          <w:bCs/>
          <w:szCs w:val="28"/>
        </w:rPr>
        <w:footnoteReference w:id="97"/>
      </w:r>
      <w:r w:rsidRPr="001C338A">
        <w:rPr>
          <w:rFonts w:cstheme="minorHAnsi"/>
          <w:b/>
          <w:bCs/>
          <w:szCs w:val="28"/>
        </w:rPr>
        <w:t xml:space="preserve"> </w:t>
      </w:r>
    </w:p>
    <w:p w14:paraId="59E490FD" w14:textId="565068F1" w:rsidR="0001746F" w:rsidRPr="001C338A" w:rsidRDefault="0001746F" w:rsidP="006905B3">
      <w:pPr>
        <w:pStyle w:val="11NumPara"/>
      </w:pPr>
      <w:r w:rsidRPr="50E36A77">
        <w:t>These clarifications,  in accordance with CJEU case law</w:t>
      </w:r>
      <w:r w:rsidR="00586A1F" w:rsidRPr="50E36A77">
        <w:t>,</w:t>
      </w:r>
      <w:r w:rsidRPr="50E36A77">
        <w:t xml:space="preserve"> relate to permitting workers </w:t>
      </w:r>
      <w:r w:rsidR="00586A1F" w:rsidRPr="50E36A77">
        <w:t xml:space="preserve">to </w:t>
      </w:r>
      <w:r w:rsidRPr="50E36A77">
        <w:t xml:space="preserve">bring equal pay claims to compare their situations to other workers who do not work for the same employer but where the pay conditions were </w:t>
      </w:r>
      <w:r w:rsidRPr="50E36A77">
        <w:lastRenderedPageBreak/>
        <w:t>from a single source (single source rule)</w:t>
      </w:r>
      <w:r w:rsidR="00522CC8" w:rsidRPr="50E36A77">
        <w:t>’</w:t>
      </w:r>
      <w:r w:rsidRPr="50E36A77">
        <w:rPr>
          <w:rStyle w:val="FootnoteReference"/>
          <w:color w:val="333333"/>
          <w:shd w:val="clear" w:color="auto" w:fill="FFFFFF"/>
        </w:rPr>
        <w:t xml:space="preserve"> </w:t>
      </w:r>
      <w:r w:rsidRPr="50E36A77">
        <w:rPr>
          <w:rStyle w:val="FootnoteReference"/>
          <w:color w:val="333333"/>
          <w:shd w:val="clear" w:color="auto" w:fill="FFFFFF"/>
        </w:rPr>
        <w:footnoteReference w:id="98"/>
      </w:r>
      <w:r w:rsidRPr="50E36A77">
        <w:rPr>
          <w:color w:val="333333"/>
          <w:shd w:val="clear" w:color="auto" w:fill="FFFFFF"/>
        </w:rPr>
        <w:t xml:space="preserve"> as well</w:t>
      </w:r>
      <w:r w:rsidR="00AB0CE3" w:rsidRPr="50E36A77">
        <w:rPr>
          <w:color w:val="333333"/>
          <w:shd w:val="clear" w:color="auto" w:fill="FFFFFF"/>
        </w:rPr>
        <w:t xml:space="preserve"> as making</w:t>
      </w:r>
      <w:r w:rsidRPr="50E36A77">
        <w:t xml:space="preserve"> clear that comparators, for the purposes of equal pay claims, are not limited to workers employed at the same time as the claimant.</w:t>
      </w:r>
      <w:r w:rsidRPr="50E36A77">
        <w:rPr>
          <w:rStyle w:val="FootnoteReference"/>
          <w:color w:val="333333"/>
          <w:shd w:val="clear" w:color="auto" w:fill="FFFFFF"/>
        </w:rPr>
        <w:footnoteReference w:id="99"/>
      </w:r>
    </w:p>
    <w:p w14:paraId="309B26DB" w14:textId="0504DB05" w:rsidR="0001746F" w:rsidRPr="001C338A" w:rsidRDefault="0001746F" w:rsidP="006905B3">
      <w:pPr>
        <w:pStyle w:val="11NumPara"/>
      </w:pPr>
      <w:r w:rsidRPr="001C338A">
        <w:rPr>
          <w:rFonts w:cstheme="minorHAnsi"/>
          <w:szCs w:val="28"/>
        </w:rPr>
        <w:t>Further, the European Commission in the Explanatory Memorandum to the proposed PTD explicitly makes clear that “</w:t>
      </w:r>
      <w:r w:rsidRPr="001C338A">
        <w:rPr>
          <w:rFonts w:cstheme="minorHAnsi"/>
          <w:color w:val="222222"/>
          <w:spacing w:val="4"/>
          <w:szCs w:val="28"/>
          <w:shd w:val="clear" w:color="auto" w:fill="FFFFFF"/>
        </w:rPr>
        <w:t>the incorporation of these clarifications will improve the application in practice of the principle of equal pay</w:t>
      </w:r>
      <w:proofErr w:type="gramStart"/>
      <w:r w:rsidRPr="001C338A">
        <w:rPr>
          <w:rFonts w:cstheme="minorHAnsi"/>
          <w:color w:val="222222"/>
          <w:spacing w:val="4"/>
          <w:szCs w:val="28"/>
          <w:shd w:val="clear" w:color="auto" w:fill="FFFFFF"/>
        </w:rPr>
        <w:t>”.</w:t>
      </w:r>
      <w:proofErr w:type="gramEnd"/>
      <w:r w:rsidRPr="001C338A">
        <w:rPr>
          <w:rStyle w:val="FootnoteReference"/>
          <w:rFonts w:cstheme="minorHAnsi"/>
          <w:color w:val="222222"/>
          <w:spacing w:val="4"/>
          <w:szCs w:val="28"/>
          <w:shd w:val="clear" w:color="auto" w:fill="FFFFFF"/>
        </w:rPr>
        <w:footnoteReference w:id="100"/>
      </w:r>
    </w:p>
    <w:p w14:paraId="34B632BC" w14:textId="12926BA3" w:rsidR="007A5174" w:rsidRPr="00DD23AF" w:rsidRDefault="001977A2" w:rsidP="00DD23AF">
      <w:pPr>
        <w:pStyle w:val="11NumPara"/>
        <w:rPr>
          <w:rFonts w:asciiTheme="minorHAnsi" w:hAnsiTheme="minorHAnsi" w:cstheme="minorHAnsi"/>
          <w:szCs w:val="28"/>
        </w:rPr>
      </w:pPr>
      <w:r w:rsidRPr="001C338A">
        <w:rPr>
          <w:rFonts w:asciiTheme="minorHAnsi" w:hAnsiTheme="minorHAnsi" w:cstheme="minorHAnsi"/>
          <w:szCs w:val="28"/>
        </w:rPr>
        <w:t>The Commissions consider that the provisions on proof of equal work or work of equal value</w:t>
      </w:r>
      <w:r w:rsidRPr="001C338A">
        <w:rPr>
          <w:rFonts w:asciiTheme="minorHAnsi" w:hAnsiTheme="minorHAnsi" w:cstheme="minorHAnsi"/>
          <w:color w:val="333333"/>
          <w:szCs w:val="28"/>
        </w:rPr>
        <w:t xml:space="preserve"> </w:t>
      </w:r>
      <w:r w:rsidRPr="001C338A">
        <w:rPr>
          <w:rFonts w:asciiTheme="minorHAnsi" w:hAnsiTheme="minorHAnsi" w:cstheme="minorHAnsi"/>
          <w:szCs w:val="28"/>
        </w:rPr>
        <w:t xml:space="preserve">strengthen the application </w:t>
      </w:r>
      <w:r w:rsidR="00630A64" w:rsidRPr="001C338A">
        <w:rPr>
          <w:rFonts w:asciiTheme="minorHAnsi" w:hAnsiTheme="minorHAnsi" w:cstheme="minorHAnsi"/>
          <w:szCs w:val="28"/>
        </w:rPr>
        <w:t xml:space="preserve">and enforcement </w:t>
      </w:r>
      <w:r w:rsidRPr="001C338A">
        <w:rPr>
          <w:rFonts w:asciiTheme="minorHAnsi" w:hAnsiTheme="minorHAnsi" w:cstheme="minorHAnsi"/>
          <w:szCs w:val="28"/>
        </w:rPr>
        <w:t xml:space="preserve">of the principle of equal pay and the prohibition of pay discrimination, and build on </w:t>
      </w:r>
      <w:r w:rsidR="00630A64" w:rsidRPr="001C338A">
        <w:rPr>
          <w:rFonts w:asciiTheme="minorHAnsi" w:hAnsiTheme="minorHAnsi" w:cstheme="minorHAnsi"/>
          <w:szCs w:val="28"/>
        </w:rPr>
        <w:t xml:space="preserve">and improve </w:t>
      </w:r>
      <w:r w:rsidRPr="001C338A">
        <w:rPr>
          <w:rFonts w:asciiTheme="minorHAnsi" w:hAnsiTheme="minorHAnsi" w:cstheme="minorHAnsi"/>
          <w:szCs w:val="28"/>
        </w:rPr>
        <w:t>existing provisions in the Recast Directive in this area.</w:t>
      </w:r>
    </w:p>
    <w:p w14:paraId="40EC01E2" w14:textId="77777777" w:rsidR="007A5174" w:rsidRPr="001C338A" w:rsidRDefault="007A5174" w:rsidP="006905B3">
      <w:pPr>
        <w:pStyle w:val="11NumPara"/>
        <w:numPr>
          <w:ilvl w:val="0"/>
          <w:numId w:val="0"/>
        </w:numPr>
        <w:ind w:left="709"/>
        <w:rPr>
          <w:rFonts w:asciiTheme="minorHAnsi" w:hAnsiTheme="minorHAnsi" w:cstheme="minorHAnsi"/>
          <w:b/>
          <w:bCs/>
          <w:color w:val="333333"/>
          <w:szCs w:val="28"/>
        </w:rPr>
      </w:pPr>
    </w:p>
    <w:p w14:paraId="4F77AC6D" w14:textId="3CA76ED6" w:rsidR="006905B3" w:rsidRPr="001C338A" w:rsidRDefault="006905B3" w:rsidP="006905B3">
      <w:pPr>
        <w:pStyle w:val="11NumPara"/>
        <w:numPr>
          <w:ilvl w:val="0"/>
          <w:numId w:val="0"/>
        </w:numPr>
        <w:ind w:left="709"/>
        <w:rPr>
          <w:b/>
          <w:bCs/>
        </w:rPr>
      </w:pPr>
      <w:r w:rsidRPr="001C338A">
        <w:rPr>
          <w:rFonts w:asciiTheme="minorHAnsi" w:hAnsiTheme="minorHAnsi" w:cstheme="minorHAnsi"/>
          <w:b/>
          <w:bCs/>
          <w:color w:val="333333"/>
          <w:szCs w:val="28"/>
        </w:rPr>
        <w:t>Article 20</w:t>
      </w:r>
      <w:r w:rsidR="00922B4D">
        <w:rPr>
          <w:rFonts w:asciiTheme="minorHAnsi" w:hAnsiTheme="minorHAnsi" w:cstheme="minorHAnsi"/>
          <w:b/>
          <w:bCs/>
          <w:color w:val="333333"/>
          <w:szCs w:val="28"/>
        </w:rPr>
        <w:t xml:space="preserve"> </w:t>
      </w:r>
      <w:r w:rsidRPr="001C338A">
        <w:rPr>
          <w:rFonts w:asciiTheme="minorHAnsi" w:hAnsiTheme="minorHAnsi" w:cstheme="minorHAnsi"/>
          <w:b/>
          <w:bCs/>
          <w:color w:val="333333"/>
          <w:szCs w:val="28"/>
        </w:rPr>
        <w:t>-</w:t>
      </w:r>
      <w:r w:rsidR="00922B4D">
        <w:rPr>
          <w:rFonts w:asciiTheme="minorHAnsi" w:hAnsiTheme="minorHAnsi" w:cstheme="minorHAnsi"/>
          <w:b/>
          <w:bCs/>
          <w:color w:val="333333"/>
          <w:szCs w:val="28"/>
        </w:rPr>
        <w:t xml:space="preserve"> </w:t>
      </w:r>
      <w:r w:rsidRPr="001C338A">
        <w:rPr>
          <w:rFonts w:asciiTheme="minorHAnsi" w:hAnsiTheme="minorHAnsi" w:cstheme="minorHAnsi"/>
          <w:b/>
          <w:bCs/>
          <w:color w:val="333333"/>
          <w:szCs w:val="28"/>
        </w:rPr>
        <w:t>Access to evidence</w:t>
      </w:r>
      <w:r w:rsidR="008908C6" w:rsidRPr="001C338A">
        <w:rPr>
          <w:rFonts w:asciiTheme="minorHAnsi" w:hAnsiTheme="minorHAnsi" w:cstheme="minorHAnsi"/>
          <w:b/>
          <w:bCs/>
          <w:color w:val="333333"/>
          <w:szCs w:val="28"/>
        </w:rPr>
        <w:t xml:space="preserve"> </w:t>
      </w:r>
    </w:p>
    <w:p w14:paraId="5A769C11" w14:textId="08399072" w:rsidR="00987C16" w:rsidRPr="001C338A" w:rsidRDefault="00096018" w:rsidP="006905B3">
      <w:pPr>
        <w:pStyle w:val="11NumPara"/>
      </w:pPr>
      <w:r w:rsidRPr="001C338A">
        <w:rPr>
          <w:rFonts w:asciiTheme="minorHAnsi" w:hAnsiTheme="minorHAnsi" w:cstheme="minorHAnsi"/>
          <w:color w:val="222222"/>
          <w:spacing w:val="4"/>
          <w:szCs w:val="28"/>
          <w:shd w:val="clear" w:color="auto" w:fill="FFFFFF"/>
        </w:rPr>
        <w:t>These provisions</w:t>
      </w:r>
      <w:r w:rsidR="008908C6" w:rsidRPr="001C338A">
        <w:rPr>
          <w:rFonts w:asciiTheme="minorHAnsi" w:hAnsiTheme="minorHAnsi" w:cstheme="minorHAnsi"/>
          <w:color w:val="222222"/>
          <w:spacing w:val="4"/>
          <w:szCs w:val="28"/>
          <w:shd w:val="clear" w:color="auto" w:fill="FFFFFF"/>
        </w:rPr>
        <w:t xml:space="preserve"> on access to evidence</w:t>
      </w:r>
      <w:r w:rsidRPr="001C338A">
        <w:rPr>
          <w:rFonts w:asciiTheme="minorHAnsi" w:hAnsiTheme="minorHAnsi" w:cstheme="minorHAnsi"/>
          <w:color w:val="222222"/>
          <w:spacing w:val="4"/>
          <w:szCs w:val="28"/>
          <w:shd w:val="clear" w:color="auto" w:fill="FFFFFF"/>
        </w:rPr>
        <w:t xml:space="preserve"> </w:t>
      </w:r>
      <w:r w:rsidR="00987C16" w:rsidRPr="001C338A">
        <w:rPr>
          <w:rFonts w:asciiTheme="minorHAnsi" w:hAnsiTheme="minorHAnsi" w:cstheme="minorHAnsi"/>
          <w:color w:val="333333"/>
          <w:szCs w:val="28"/>
        </w:rPr>
        <w:t>of proof strengthen</w:t>
      </w:r>
      <w:r w:rsidR="0036698B" w:rsidRPr="001C338A">
        <w:rPr>
          <w:rFonts w:asciiTheme="minorHAnsi" w:hAnsiTheme="minorHAnsi" w:cstheme="minorHAnsi"/>
          <w:color w:val="333333"/>
          <w:szCs w:val="28"/>
        </w:rPr>
        <w:t xml:space="preserve"> </w:t>
      </w:r>
      <w:r w:rsidR="00E736A1" w:rsidRPr="001C338A">
        <w:rPr>
          <w:rFonts w:asciiTheme="minorHAnsi" w:hAnsiTheme="minorHAnsi" w:cstheme="minorHAnsi"/>
          <w:color w:val="333333"/>
          <w:szCs w:val="28"/>
        </w:rPr>
        <w:t xml:space="preserve">rights to enforce the principle of equal pay </w:t>
      </w:r>
      <w:r w:rsidR="00987C16" w:rsidRPr="001C338A">
        <w:rPr>
          <w:rFonts w:asciiTheme="minorHAnsi" w:hAnsiTheme="minorHAnsi" w:cstheme="minorHAnsi"/>
          <w:szCs w:val="28"/>
        </w:rPr>
        <w:t xml:space="preserve">as regards areas within the scope of the PTD. </w:t>
      </w:r>
      <w:r w:rsidR="00E736A1" w:rsidRPr="001C338A">
        <w:rPr>
          <w:rFonts w:asciiTheme="minorHAnsi" w:hAnsiTheme="minorHAnsi" w:cstheme="minorHAnsi"/>
          <w:szCs w:val="28"/>
        </w:rPr>
        <w:t xml:space="preserve">They develop </w:t>
      </w:r>
      <w:r w:rsidR="00AE18E4" w:rsidRPr="001C338A">
        <w:rPr>
          <w:rFonts w:asciiTheme="minorHAnsi" w:hAnsiTheme="minorHAnsi" w:cstheme="minorHAnsi"/>
          <w:szCs w:val="28"/>
        </w:rPr>
        <w:t>the principle in Article 17 of the Recast Directive that there should be judicial procedures available “</w:t>
      </w:r>
      <w:r w:rsidR="00AE18E4" w:rsidRPr="001C338A">
        <w:rPr>
          <w:rFonts w:asciiTheme="minorHAnsi" w:hAnsiTheme="minorHAnsi" w:cstheme="minorHAnsi"/>
          <w:i/>
          <w:iCs/>
          <w:szCs w:val="28"/>
        </w:rPr>
        <w:t>for the enforcement of obligations under this Directive</w:t>
      </w:r>
      <w:r w:rsidR="00AE18E4" w:rsidRPr="001C338A">
        <w:rPr>
          <w:rFonts w:asciiTheme="minorHAnsi" w:hAnsiTheme="minorHAnsi" w:cstheme="minorHAnsi"/>
          <w:szCs w:val="28"/>
        </w:rPr>
        <w:t xml:space="preserve">”. </w:t>
      </w:r>
    </w:p>
    <w:p w14:paraId="6011EF1F" w14:textId="49A5EBD8" w:rsidR="00134E3D" w:rsidRPr="001C338A" w:rsidRDefault="00987C16" w:rsidP="006905B3">
      <w:pPr>
        <w:pStyle w:val="11NumPara"/>
      </w:pPr>
      <w:r w:rsidRPr="001C338A">
        <w:rPr>
          <w:rFonts w:cstheme="minorHAnsi"/>
          <w:color w:val="222222"/>
          <w:spacing w:val="4"/>
          <w:szCs w:val="28"/>
          <w:shd w:val="clear" w:color="auto" w:fill="FFFFFF"/>
        </w:rPr>
        <w:t xml:space="preserve">The provisions </w:t>
      </w:r>
      <w:r w:rsidR="00AE18E4" w:rsidRPr="001C338A">
        <w:rPr>
          <w:rFonts w:cstheme="minorHAnsi"/>
          <w:color w:val="222222"/>
          <w:spacing w:val="4"/>
          <w:szCs w:val="28"/>
          <w:shd w:val="clear" w:color="auto" w:fill="FFFFFF"/>
        </w:rPr>
        <w:t xml:space="preserve">in the PTD (Article 20) </w:t>
      </w:r>
      <w:r w:rsidR="00096018" w:rsidRPr="001C338A">
        <w:rPr>
          <w:rFonts w:cstheme="minorHAnsi"/>
          <w:color w:val="222222"/>
          <w:spacing w:val="4"/>
          <w:szCs w:val="28"/>
          <w:shd w:val="clear" w:color="auto" w:fill="FFFFFF"/>
        </w:rPr>
        <w:t>provide that</w:t>
      </w:r>
      <w:r w:rsidR="00524586" w:rsidRPr="001C338A">
        <w:rPr>
          <w:rFonts w:cstheme="minorHAnsi"/>
          <w:color w:val="222222"/>
          <w:spacing w:val="4"/>
          <w:szCs w:val="28"/>
          <w:shd w:val="clear" w:color="auto" w:fill="FFFFFF"/>
        </w:rPr>
        <w:t xml:space="preserve"> Member States must ensure that</w:t>
      </w:r>
      <w:r w:rsidR="00096018" w:rsidRPr="001C338A">
        <w:rPr>
          <w:rFonts w:cstheme="minorHAnsi"/>
          <w:color w:val="222222"/>
          <w:spacing w:val="4"/>
          <w:szCs w:val="28"/>
          <w:shd w:val="clear" w:color="auto" w:fill="FFFFFF"/>
        </w:rPr>
        <w:t xml:space="preserve"> national courts or other competent authorities </w:t>
      </w:r>
      <w:r w:rsidR="00134E3D" w:rsidRPr="001C338A">
        <w:rPr>
          <w:rFonts w:cstheme="minorHAnsi"/>
          <w:color w:val="222222"/>
          <w:spacing w:val="4"/>
          <w:szCs w:val="28"/>
          <w:shd w:val="clear" w:color="auto" w:fill="FFFFFF"/>
        </w:rPr>
        <w:t>are</w:t>
      </w:r>
      <w:r w:rsidR="00096018" w:rsidRPr="001C338A">
        <w:rPr>
          <w:rFonts w:cstheme="minorHAnsi"/>
          <w:color w:val="222222"/>
          <w:spacing w:val="4"/>
          <w:szCs w:val="28"/>
          <w:shd w:val="clear" w:color="auto" w:fill="FFFFFF"/>
        </w:rPr>
        <w:t xml:space="preserve"> able to order the </w:t>
      </w:r>
      <w:r w:rsidR="00C97961" w:rsidRPr="001C338A">
        <w:rPr>
          <w:rFonts w:cstheme="minorHAnsi"/>
          <w:color w:val="222222"/>
          <w:spacing w:val="4"/>
          <w:szCs w:val="28"/>
          <w:shd w:val="clear" w:color="auto" w:fill="FFFFFF"/>
        </w:rPr>
        <w:t xml:space="preserve">respondent </w:t>
      </w:r>
      <w:r w:rsidR="00096018" w:rsidRPr="001C338A">
        <w:rPr>
          <w:rFonts w:cstheme="minorHAnsi"/>
          <w:color w:val="222222"/>
          <w:spacing w:val="4"/>
          <w:szCs w:val="28"/>
          <w:shd w:val="clear" w:color="auto" w:fill="FFFFFF"/>
        </w:rPr>
        <w:t xml:space="preserve">to disclose relevant evidence lying in </w:t>
      </w:r>
      <w:r w:rsidR="00C97961" w:rsidRPr="001C338A">
        <w:rPr>
          <w:rFonts w:cstheme="minorHAnsi"/>
          <w:color w:val="222222"/>
          <w:spacing w:val="4"/>
          <w:szCs w:val="28"/>
          <w:shd w:val="clear" w:color="auto" w:fill="FFFFFF"/>
        </w:rPr>
        <w:t xml:space="preserve">respondent’s </w:t>
      </w:r>
      <w:r w:rsidR="00096018" w:rsidRPr="001C338A">
        <w:rPr>
          <w:rFonts w:cstheme="minorHAnsi"/>
          <w:color w:val="222222"/>
          <w:spacing w:val="4"/>
          <w:szCs w:val="28"/>
          <w:shd w:val="clear" w:color="auto" w:fill="FFFFFF"/>
        </w:rPr>
        <w:t>control, during proceedings concerning a</w:t>
      </w:r>
      <w:r w:rsidR="00BE5DB7" w:rsidRPr="001C338A">
        <w:rPr>
          <w:rFonts w:cstheme="minorHAnsi"/>
          <w:color w:val="222222"/>
          <w:spacing w:val="4"/>
          <w:szCs w:val="28"/>
          <w:shd w:val="clear" w:color="auto" w:fill="FFFFFF"/>
        </w:rPr>
        <w:t>n equal</w:t>
      </w:r>
      <w:r w:rsidR="00096018" w:rsidRPr="001C338A">
        <w:rPr>
          <w:rFonts w:cstheme="minorHAnsi"/>
          <w:color w:val="222222"/>
          <w:spacing w:val="4"/>
          <w:szCs w:val="28"/>
          <w:shd w:val="clear" w:color="auto" w:fill="FFFFFF"/>
        </w:rPr>
        <w:t xml:space="preserve"> pay claim. </w:t>
      </w:r>
    </w:p>
    <w:p w14:paraId="75A875E6" w14:textId="7D55A59E" w:rsidR="00D57C44" w:rsidRPr="001C338A" w:rsidRDefault="00096018" w:rsidP="006905B3">
      <w:pPr>
        <w:pStyle w:val="11NumPara"/>
      </w:pPr>
      <w:proofErr w:type="gramStart"/>
      <w:r w:rsidRPr="001C338A">
        <w:rPr>
          <w:rFonts w:cstheme="minorHAnsi"/>
          <w:color w:val="222222"/>
          <w:spacing w:val="4"/>
          <w:szCs w:val="28"/>
          <w:shd w:val="clear" w:color="auto" w:fill="FFFFFF"/>
        </w:rPr>
        <w:t>In particular,</w:t>
      </w:r>
      <w:r w:rsidR="009426DF" w:rsidRPr="001C338A">
        <w:rPr>
          <w:rFonts w:cstheme="minorHAnsi"/>
          <w:color w:val="222222"/>
          <w:spacing w:val="4"/>
          <w:szCs w:val="28"/>
          <w:shd w:val="clear" w:color="auto" w:fill="FFFFFF"/>
        </w:rPr>
        <w:t xml:space="preserve"> they</w:t>
      </w:r>
      <w:proofErr w:type="gramEnd"/>
      <w:r w:rsidR="009426DF" w:rsidRPr="001C338A">
        <w:rPr>
          <w:rFonts w:cstheme="minorHAnsi"/>
          <w:color w:val="222222"/>
          <w:spacing w:val="4"/>
          <w:szCs w:val="28"/>
          <w:shd w:val="clear" w:color="auto" w:fill="FFFFFF"/>
        </w:rPr>
        <w:t xml:space="preserve"> must ensure that </w:t>
      </w:r>
      <w:r w:rsidR="00450E86" w:rsidRPr="001C338A">
        <w:rPr>
          <w:rFonts w:cstheme="minorHAnsi"/>
          <w:color w:val="222222"/>
          <w:spacing w:val="4"/>
          <w:szCs w:val="28"/>
          <w:shd w:val="clear" w:color="auto" w:fill="FFFFFF"/>
        </w:rPr>
        <w:t xml:space="preserve">competent authorities </w:t>
      </w:r>
      <w:r w:rsidR="009426DF" w:rsidRPr="001C338A">
        <w:rPr>
          <w:rFonts w:cstheme="minorHAnsi"/>
          <w:color w:val="222222"/>
          <w:spacing w:val="4"/>
          <w:szCs w:val="28"/>
          <w:shd w:val="clear" w:color="auto" w:fill="FFFFFF"/>
        </w:rPr>
        <w:t xml:space="preserve">or </w:t>
      </w:r>
      <w:r w:rsidRPr="001C338A">
        <w:rPr>
          <w:rFonts w:cstheme="minorHAnsi"/>
          <w:color w:val="222222"/>
          <w:spacing w:val="4"/>
          <w:szCs w:val="28"/>
          <w:shd w:val="clear" w:color="auto" w:fill="FFFFFF"/>
        </w:rPr>
        <w:t xml:space="preserve">national courts have the power to order the disclosure of evidence containing confidential information where they consider it relevant to the </w:t>
      </w:r>
      <w:r w:rsidR="00482B00" w:rsidRPr="001C338A">
        <w:rPr>
          <w:rFonts w:cstheme="minorHAnsi"/>
          <w:color w:val="222222"/>
          <w:spacing w:val="4"/>
          <w:szCs w:val="28"/>
          <w:shd w:val="clear" w:color="auto" w:fill="FFFFFF"/>
        </w:rPr>
        <w:t xml:space="preserve">equal pay </w:t>
      </w:r>
      <w:r w:rsidRPr="001C338A">
        <w:rPr>
          <w:rFonts w:cstheme="minorHAnsi"/>
          <w:color w:val="222222"/>
          <w:spacing w:val="4"/>
          <w:szCs w:val="28"/>
          <w:shd w:val="clear" w:color="auto" w:fill="FFFFFF"/>
        </w:rPr>
        <w:t>claim</w:t>
      </w:r>
      <w:r w:rsidR="007D00CD" w:rsidRPr="001C338A">
        <w:rPr>
          <w:rFonts w:cstheme="minorHAnsi"/>
          <w:color w:val="222222"/>
          <w:spacing w:val="4"/>
          <w:szCs w:val="28"/>
          <w:shd w:val="clear" w:color="auto" w:fill="FFFFFF"/>
        </w:rPr>
        <w:t xml:space="preserve">. They also must have </w:t>
      </w:r>
      <w:r w:rsidRPr="001C338A">
        <w:rPr>
          <w:rFonts w:cstheme="minorHAnsi"/>
          <w:color w:val="222222"/>
          <w:spacing w:val="4"/>
          <w:szCs w:val="28"/>
          <w:shd w:val="clear" w:color="auto" w:fill="FFFFFF"/>
        </w:rPr>
        <w:t xml:space="preserve">effective measures to protect such information. </w:t>
      </w:r>
    </w:p>
    <w:p w14:paraId="3E062F9A" w14:textId="03A0D54F" w:rsidR="003801C5" w:rsidRPr="001C338A" w:rsidRDefault="00D57C44" w:rsidP="006905B3">
      <w:pPr>
        <w:pStyle w:val="11NumPara"/>
      </w:pPr>
      <w:r w:rsidRPr="001C338A">
        <w:rPr>
          <w:rFonts w:cstheme="minorHAnsi"/>
          <w:color w:val="222222"/>
          <w:spacing w:val="4"/>
          <w:szCs w:val="28"/>
          <w:shd w:val="clear" w:color="auto" w:fill="FFFFFF"/>
        </w:rPr>
        <w:t xml:space="preserve">The European Commission has indicated that </w:t>
      </w:r>
      <w:r w:rsidR="0037602E" w:rsidRPr="001C338A">
        <w:rPr>
          <w:rFonts w:cstheme="minorHAnsi"/>
          <w:color w:val="222222"/>
          <w:spacing w:val="4"/>
          <w:szCs w:val="28"/>
          <w:shd w:val="clear" w:color="auto" w:fill="FFFFFF"/>
        </w:rPr>
        <w:t>c</w:t>
      </w:r>
      <w:r w:rsidR="00096018" w:rsidRPr="001C338A">
        <w:rPr>
          <w:rFonts w:cstheme="minorHAnsi"/>
          <w:color w:val="222222"/>
          <w:spacing w:val="4"/>
          <w:szCs w:val="28"/>
          <w:shd w:val="clear" w:color="auto" w:fill="FFFFFF"/>
        </w:rPr>
        <w:t xml:space="preserve">onfidential information could take the form of legal advice given to the management, a protocol of a shareholders’ meeting, personal data </w:t>
      </w:r>
      <w:proofErr w:type="gramStart"/>
      <w:r w:rsidR="00096018" w:rsidRPr="001C338A">
        <w:rPr>
          <w:rFonts w:cstheme="minorHAnsi"/>
          <w:color w:val="222222"/>
          <w:spacing w:val="4"/>
          <w:szCs w:val="28"/>
          <w:shd w:val="clear" w:color="auto" w:fill="FFFFFF"/>
        </w:rPr>
        <w:t>etc.</w:t>
      </w:r>
      <w:proofErr w:type="gramEnd"/>
      <w:r w:rsidR="00096018" w:rsidRPr="001C338A">
        <w:rPr>
          <w:rFonts w:cstheme="minorHAnsi"/>
          <w:color w:val="222222"/>
          <w:spacing w:val="4"/>
          <w:szCs w:val="28"/>
          <w:shd w:val="clear" w:color="auto" w:fill="FFFFFF"/>
        </w:rPr>
        <w:t xml:space="preserve"> necessary for the exercise or defence of legal gender pay discrimination claims.</w:t>
      </w:r>
      <w:r w:rsidR="0037602E" w:rsidRPr="001C338A">
        <w:rPr>
          <w:rStyle w:val="FootnoteReference"/>
          <w:rFonts w:cstheme="minorHAnsi"/>
          <w:color w:val="222222"/>
          <w:spacing w:val="4"/>
          <w:szCs w:val="28"/>
          <w:shd w:val="clear" w:color="auto" w:fill="FFFFFF"/>
        </w:rPr>
        <w:footnoteReference w:id="101"/>
      </w:r>
    </w:p>
    <w:p w14:paraId="4D70CE93" w14:textId="3A11C3A3" w:rsidR="006B6DF8" w:rsidRPr="00DD23AF" w:rsidRDefault="00574E00" w:rsidP="00DD23AF">
      <w:pPr>
        <w:pStyle w:val="11NumPara"/>
      </w:pPr>
      <w:r w:rsidRPr="001C338A">
        <w:t xml:space="preserve">The Commissions </w:t>
      </w:r>
      <w:r w:rsidR="006B6DF8" w:rsidRPr="001C338A">
        <w:t xml:space="preserve">consider that these </w:t>
      </w:r>
      <w:r w:rsidRPr="001C338A">
        <w:t xml:space="preserve">provisions on access to evidence, strengthen </w:t>
      </w:r>
      <w:r w:rsidR="00630A64" w:rsidRPr="001C338A">
        <w:t xml:space="preserve">the application and </w:t>
      </w:r>
      <w:r w:rsidRPr="001C338A">
        <w:t>enforcement of the principle of equal pay</w:t>
      </w:r>
      <w:r w:rsidR="00BA3A19" w:rsidRPr="001C338A">
        <w:t xml:space="preserve"> and </w:t>
      </w:r>
      <w:r w:rsidR="00BA3A19" w:rsidRPr="001C338A">
        <w:lastRenderedPageBreak/>
        <w:t>the</w:t>
      </w:r>
      <w:r w:rsidR="00BA3A19" w:rsidRPr="001C338A">
        <w:rPr>
          <w:rFonts w:asciiTheme="minorHAnsi" w:hAnsiTheme="minorHAnsi" w:cstheme="minorHAnsi"/>
          <w:szCs w:val="28"/>
        </w:rPr>
        <w:t xml:space="preserve"> prohibition of </w:t>
      </w:r>
      <w:proofErr w:type="gramStart"/>
      <w:r w:rsidR="00BA3A19" w:rsidRPr="001C338A">
        <w:rPr>
          <w:rFonts w:asciiTheme="minorHAnsi" w:hAnsiTheme="minorHAnsi" w:cstheme="minorHAnsi"/>
          <w:szCs w:val="28"/>
        </w:rPr>
        <w:t>pay discrimination</w:t>
      </w:r>
      <w:r w:rsidR="00BA3A19" w:rsidRPr="001C338A">
        <w:t xml:space="preserve"> </w:t>
      </w:r>
      <w:r w:rsidR="006B6DF8" w:rsidRPr="001C338A">
        <w:t>and build on</w:t>
      </w:r>
      <w:proofErr w:type="gramEnd"/>
      <w:r w:rsidR="006B6DF8" w:rsidRPr="001C338A">
        <w:t xml:space="preserve"> </w:t>
      </w:r>
      <w:r w:rsidR="00630A64" w:rsidRPr="001C338A">
        <w:t xml:space="preserve">and improve </w:t>
      </w:r>
      <w:r w:rsidR="006B6DF8" w:rsidRPr="001C338A">
        <w:t>existing provisions in the Recast Directive</w:t>
      </w:r>
      <w:r w:rsidRPr="001C338A">
        <w:t xml:space="preserve">.  </w:t>
      </w:r>
    </w:p>
    <w:p w14:paraId="1C23AC46" w14:textId="77777777" w:rsidR="00C92500" w:rsidRPr="001C338A" w:rsidRDefault="00C92500" w:rsidP="004B2452">
      <w:pPr>
        <w:pStyle w:val="11NumPara"/>
        <w:numPr>
          <w:ilvl w:val="0"/>
          <w:numId w:val="0"/>
        </w:numPr>
        <w:ind w:left="709"/>
        <w:rPr>
          <w:b/>
          <w:bCs/>
        </w:rPr>
      </w:pPr>
    </w:p>
    <w:p w14:paraId="5AC47458" w14:textId="58DF37F2" w:rsidR="004B2452" w:rsidRPr="001C338A" w:rsidRDefault="004B2452" w:rsidP="004B2452">
      <w:pPr>
        <w:pStyle w:val="11NumPara"/>
        <w:numPr>
          <w:ilvl w:val="0"/>
          <w:numId w:val="0"/>
        </w:numPr>
        <w:ind w:left="709"/>
        <w:rPr>
          <w:b/>
          <w:bCs/>
        </w:rPr>
      </w:pPr>
      <w:r w:rsidRPr="001C338A">
        <w:rPr>
          <w:b/>
          <w:bCs/>
        </w:rPr>
        <w:t>Article 21</w:t>
      </w:r>
      <w:r w:rsidR="00922B4D">
        <w:rPr>
          <w:b/>
          <w:bCs/>
        </w:rPr>
        <w:t xml:space="preserve"> </w:t>
      </w:r>
      <w:r w:rsidRPr="001C338A">
        <w:rPr>
          <w:b/>
          <w:bCs/>
        </w:rPr>
        <w:t>- Limitation Periods for bringing claims</w:t>
      </w:r>
    </w:p>
    <w:p w14:paraId="3B8B109A" w14:textId="10170796" w:rsidR="00574E00" w:rsidRPr="001C338A" w:rsidRDefault="00574E00" w:rsidP="004B2452">
      <w:pPr>
        <w:pStyle w:val="11NumPara"/>
      </w:pPr>
      <w:r w:rsidRPr="001C338A">
        <w:t>These provisions on limitation periods for bringing claims clarify, in accordance with CJEU case law, the limitation periods for bringing equal pay claims, and improve the rights of individuals to enforce the principle of equal pay.</w:t>
      </w:r>
    </w:p>
    <w:p w14:paraId="342B6F46" w14:textId="07E665EB" w:rsidR="008502AF" w:rsidRPr="001C338A" w:rsidRDefault="00A00D41" w:rsidP="008502AF">
      <w:pPr>
        <w:pStyle w:val="11NumPara"/>
      </w:pPr>
      <w:r w:rsidRPr="001C338A">
        <w:t>For example, the Recitals to the PTD (Recital 53) states that: “</w:t>
      </w:r>
      <w:r w:rsidRPr="001C338A">
        <w:rPr>
          <w:i/>
          <w:iCs/>
        </w:rPr>
        <w:t>In accordance with the case-law of the Court of Justice, national rules on limitation periods relating to the bringing of claims regarding alleged infringements of the rights provided for in the PTD should be such that they do not render virtually impossible or excessively difficult the exercise of those rights</w:t>
      </w:r>
      <w:r w:rsidRPr="001C338A">
        <w:t>.”</w:t>
      </w:r>
    </w:p>
    <w:p w14:paraId="17C31FEE" w14:textId="77777777" w:rsidR="004B2452" w:rsidRPr="001C338A" w:rsidRDefault="004B2452" w:rsidP="004B2452">
      <w:pPr>
        <w:pStyle w:val="11NumPara"/>
      </w:pPr>
      <w:r w:rsidRPr="001C338A">
        <w:t xml:space="preserve">The provisions provide that the limitation period for bringing claims is at least three years and that limitation periods should not begin to run before the claimant is aware, or can </w:t>
      </w:r>
      <w:proofErr w:type="gramStart"/>
      <w:r w:rsidRPr="001C338A">
        <w:t>reasonably be</w:t>
      </w:r>
      <w:proofErr w:type="gramEnd"/>
      <w:r w:rsidRPr="001C338A">
        <w:t xml:space="preserve"> expected to be aware, of the infringement. </w:t>
      </w:r>
    </w:p>
    <w:p w14:paraId="33ACA403" w14:textId="77777777" w:rsidR="004B2452" w:rsidRPr="001C338A" w:rsidRDefault="004B2452" w:rsidP="004B2452">
      <w:pPr>
        <w:pStyle w:val="11NumPara"/>
      </w:pPr>
      <w:r w:rsidRPr="001C338A">
        <w:t xml:space="preserve">Further, Member States must ensure that a limitation period </w:t>
      </w:r>
      <w:proofErr w:type="gramStart"/>
      <w:r w:rsidRPr="001C338A">
        <w:t>is suspended</w:t>
      </w:r>
      <w:proofErr w:type="gramEnd"/>
      <w:r w:rsidRPr="001C338A">
        <w:t xml:space="preserve"> or interrupted as soon as a claimant undertakes action by lodging a claim before a court or bringing the claim to the attention of the employer.</w:t>
      </w:r>
    </w:p>
    <w:p w14:paraId="011CC390" w14:textId="77777777" w:rsidR="004B2452" w:rsidRPr="001C338A" w:rsidRDefault="004B2452" w:rsidP="004B2452">
      <w:pPr>
        <w:pStyle w:val="11NumPara"/>
      </w:pPr>
      <w:r w:rsidRPr="001C338A">
        <w:t xml:space="preserve">These provisions </w:t>
      </w:r>
      <w:proofErr w:type="gramStart"/>
      <w:r w:rsidRPr="001C338A">
        <w:t>are designed</w:t>
      </w:r>
      <w:proofErr w:type="gramEnd"/>
      <w:r w:rsidRPr="001C338A">
        <w:t xml:space="preserve"> to remove obstacles for victims of gender-based pay discrimination. </w:t>
      </w:r>
    </w:p>
    <w:p w14:paraId="1ED649B6" w14:textId="613AB2F6" w:rsidR="00727E29" w:rsidRPr="001C338A" w:rsidRDefault="00727E29" w:rsidP="00727E29">
      <w:pPr>
        <w:pStyle w:val="11NumPara"/>
        <w:rPr>
          <w:rFonts w:asciiTheme="minorHAnsi" w:hAnsiTheme="minorHAnsi" w:cstheme="minorHAnsi"/>
          <w:szCs w:val="28"/>
        </w:rPr>
      </w:pPr>
      <w:r w:rsidRPr="001C338A">
        <w:rPr>
          <w:rFonts w:asciiTheme="minorHAnsi" w:hAnsiTheme="minorHAnsi" w:cstheme="minorHAnsi"/>
          <w:szCs w:val="28"/>
        </w:rPr>
        <w:t xml:space="preserve">The Commissions consider that the provisions on </w:t>
      </w:r>
      <w:r w:rsidR="002954D0" w:rsidRPr="001C338A">
        <w:t xml:space="preserve">limitation periods </w:t>
      </w:r>
      <w:r w:rsidRPr="001C338A">
        <w:rPr>
          <w:rFonts w:asciiTheme="minorHAnsi" w:hAnsiTheme="minorHAnsi" w:cstheme="minorHAnsi"/>
          <w:szCs w:val="28"/>
        </w:rPr>
        <w:t xml:space="preserve">strengthen the application </w:t>
      </w:r>
      <w:r w:rsidR="00630A64" w:rsidRPr="001C338A">
        <w:rPr>
          <w:rFonts w:asciiTheme="minorHAnsi" w:hAnsiTheme="minorHAnsi" w:cstheme="minorHAnsi"/>
          <w:szCs w:val="28"/>
        </w:rPr>
        <w:t xml:space="preserve">and enforcement </w:t>
      </w:r>
      <w:r w:rsidRPr="001C338A">
        <w:rPr>
          <w:rFonts w:asciiTheme="minorHAnsi" w:hAnsiTheme="minorHAnsi" w:cstheme="minorHAnsi"/>
          <w:szCs w:val="28"/>
        </w:rPr>
        <w:t xml:space="preserve">of the principle of equal pay and the prohibition of pay discrimination, and build on </w:t>
      </w:r>
      <w:r w:rsidR="00630A64" w:rsidRPr="001C338A">
        <w:rPr>
          <w:rFonts w:asciiTheme="minorHAnsi" w:hAnsiTheme="minorHAnsi" w:cstheme="minorHAnsi"/>
          <w:szCs w:val="28"/>
        </w:rPr>
        <w:t xml:space="preserve">and improve </w:t>
      </w:r>
      <w:r w:rsidRPr="001C338A">
        <w:rPr>
          <w:rFonts w:asciiTheme="minorHAnsi" w:hAnsiTheme="minorHAnsi" w:cstheme="minorHAnsi"/>
          <w:szCs w:val="28"/>
        </w:rPr>
        <w:t>existing provisions in the Recast Directive in this area.</w:t>
      </w:r>
    </w:p>
    <w:p w14:paraId="2F367CB1" w14:textId="77777777" w:rsidR="004B2452" w:rsidRPr="001C338A" w:rsidRDefault="004B2452" w:rsidP="004B2452">
      <w:pPr>
        <w:pStyle w:val="11NumPara"/>
        <w:numPr>
          <w:ilvl w:val="0"/>
          <w:numId w:val="0"/>
        </w:numPr>
        <w:rPr>
          <w:b/>
          <w:bCs/>
        </w:rPr>
      </w:pPr>
    </w:p>
    <w:p w14:paraId="60A75D95" w14:textId="3A27464E" w:rsidR="004B2452" w:rsidRPr="001C338A" w:rsidRDefault="004B2452" w:rsidP="004B2452">
      <w:pPr>
        <w:pStyle w:val="11NumPara"/>
        <w:numPr>
          <w:ilvl w:val="0"/>
          <w:numId w:val="0"/>
        </w:numPr>
        <w:ind w:firstLine="709"/>
        <w:rPr>
          <w:b/>
          <w:bCs/>
        </w:rPr>
      </w:pPr>
      <w:r w:rsidRPr="001C338A">
        <w:rPr>
          <w:b/>
          <w:bCs/>
        </w:rPr>
        <w:t>Article 22 -</w:t>
      </w:r>
      <w:r w:rsidR="007D4AFB">
        <w:rPr>
          <w:b/>
          <w:bCs/>
        </w:rPr>
        <w:t xml:space="preserve"> </w:t>
      </w:r>
      <w:r w:rsidRPr="001C338A">
        <w:rPr>
          <w:b/>
          <w:bCs/>
        </w:rPr>
        <w:t>Legal Costs</w:t>
      </w:r>
    </w:p>
    <w:p w14:paraId="45C75D51" w14:textId="7479B714" w:rsidR="00DF63BA" w:rsidRPr="001C338A" w:rsidRDefault="00DF63BA" w:rsidP="004B2452">
      <w:pPr>
        <w:pStyle w:val="11NumPara"/>
      </w:pPr>
      <w:r w:rsidRPr="001C338A">
        <w:rPr>
          <w:rFonts w:cstheme="minorHAnsi"/>
          <w:color w:val="333333"/>
          <w:szCs w:val="28"/>
        </w:rPr>
        <w:t>These provisions on legal costs</w:t>
      </w:r>
      <w:r w:rsidR="009B4676" w:rsidRPr="001C338A">
        <w:rPr>
          <w:rFonts w:cstheme="minorHAnsi"/>
          <w:color w:val="333333"/>
          <w:szCs w:val="28"/>
        </w:rPr>
        <w:t xml:space="preserve"> </w:t>
      </w:r>
      <w:r w:rsidR="00CE549C" w:rsidRPr="001C338A">
        <w:rPr>
          <w:rFonts w:cstheme="minorHAnsi"/>
          <w:color w:val="333333"/>
          <w:szCs w:val="28"/>
        </w:rPr>
        <w:t>improve the rights of individuals in terms of</w:t>
      </w:r>
      <w:r w:rsidRPr="001C338A">
        <w:rPr>
          <w:rFonts w:cstheme="minorHAnsi"/>
          <w:color w:val="333333"/>
          <w:szCs w:val="28"/>
        </w:rPr>
        <w:t xml:space="preserve"> enforcement of the right to equal pay</w:t>
      </w:r>
      <w:r w:rsidR="007E2AF4" w:rsidRPr="001C338A">
        <w:rPr>
          <w:rFonts w:cstheme="minorHAnsi"/>
          <w:color w:val="333333"/>
          <w:szCs w:val="28"/>
        </w:rPr>
        <w:t>.</w:t>
      </w:r>
    </w:p>
    <w:p w14:paraId="71B64DD3" w14:textId="321A9469" w:rsidR="00F42BBD" w:rsidRPr="001C338A" w:rsidRDefault="00F42BBD" w:rsidP="004B2452">
      <w:pPr>
        <w:pStyle w:val="11NumPara"/>
      </w:pPr>
      <w:r w:rsidRPr="001C338A">
        <w:rPr>
          <w:rFonts w:cstheme="minorHAnsi"/>
          <w:color w:val="333333"/>
          <w:szCs w:val="28"/>
        </w:rPr>
        <w:t xml:space="preserve">These </w:t>
      </w:r>
      <w:r w:rsidR="00305DC5" w:rsidRPr="001C338A">
        <w:rPr>
          <w:rFonts w:cstheme="minorHAnsi"/>
          <w:color w:val="333333"/>
          <w:szCs w:val="28"/>
        </w:rPr>
        <w:t xml:space="preserve">provisions </w:t>
      </w:r>
      <w:r w:rsidRPr="001C338A">
        <w:rPr>
          <w:rFonts w:cstheme="minorHAnsi"/>
          <w:color w:val="333333"/>
          <w:szCs w:val="28"/>
        </w:rPr>
        <w:t xml:space="preserve">are designed </w:t>
      </w:r>
      <w:r w:rsidRPr="001C338A">
        <w:rPr>
          <w:rFonts w:cstheme="minorHAnsi"/>
          <w:color w:val="333333"/>
          <w:szCs w:val="28"/>
          <w:shd w:val="clear" w:color="auto" w:fill="FFFFFF"/>
        </w:rPr>
        <w:t>to remove a significant procedural obstacle to justice</w:t>
      </w:r>
      <w:r w:rsidRPr="001C338A">
        <w:rPr>
          <w:rFonts w:cstheme="minorHAnsi"/>
          <w:color w:val="333333"/>
          <w:szCs w:val="28"/>
        </w:rPr>
        <w:t xml:space="preserve">, and the PTD places </w:t>
      </w:r>
      <w:r w:rsidRPr="001C338A">
        <w:rPr>
          <w:rFonts w:cstheme="minorHAnsi"/>
          <w:color w:val="333333"/>
          <w:szCs w:val="28"/>
          <w:shd w:val="clear" w:color="auto" w:fill="FFFFFF"/>
        </w:rPr>
        <w:t>an obligation on Member States</w:t>
      </w:r>
      <w:r w:rsidR="00305DC5" w:rsidRPr="001C338A">
        <w:rPr>
          <w:rFonts w:cstheme="minorHAnsi"/>
          <w:color w:val="333333"/>
          <w:szCs w:val="28"/>
          <w:shd w:val="clear" w:color="auto" w:fill="FFFFFF"/>
        </w:rPr>
        <w:t xml:space="preserve"> </w:t>
      </w:r>
      <w:r w:rsidRPr="001C338A">
        <w:rPr>
          <w:rFonts w:cstheme="minorHAnsi"/>
          <w:color w:val="333333"/>
          <w:szCs w:val="28"/>
          <w:shd w:val="clear" w:color="auto" w:fill="FFFFFF"/>
        </w:rPr>
        <w:t xml:space="preserve">to ensure that national courts can assess whether an unsuccessful claimant had reasonable grounds for bringing the claim and, if so, whether </w:t>
      </w:r>
      <w:r w:rsidR="00AE61ED" w:rsidRPr="001C338A">
        <w:rPr>
          <w:rFonts w:cstheme="minorHAnsi"/>
          <w:color w:val="333333"/>
          <w:szCs w:val="28"/>
          <w:shd w:val="clear" w:color="auto" w:fill="FFFFFF"/>
        </w:rPr>
        <w:t xml:space="preserve">it is appropriate </w:t>
      </w:r>
      <w:r w:rsidRPr="001C338A">
        <w:rPr>
          <w:rFonts w:cstheme="minorHAnsi"/>
          <w:color w:val="333333"/>
          <w:szCs w:val="28"/>
          <w:shd w:val="clear" w:color="auto" w:fill="FFFFFF"/>
        </w:rPr>
        <w:t xml:space="preserve">that claimant should not be required to pay the costs of the proceedings. </w:t>
      </w:r>
    </w:p>
    <w:p w14:paraId="597290B9" w14:textId="0ABAE41E" w:rsidR="00305DC5" w:rsidRPr="001C338A" w:rsidRDefault="00305DC5" w:rsidP="004B2452">
      <w:pPr>
        <w:pStyle w:val="11NumPara"/>
      </w:pPr>
      <w:r w:rsidRPr="001C338A">
        <w:rPr>
          <w:rFonts w:cstheme="minorHAnsi"/>
          <w:color w:val="333333"/>
          <w:szCs w:val="28"/>
        </w:rPr>
        <w:t>As set out in the Recitals to the PTD (Recital 54), “</w:t>
      </w:r>
      <w:r w:rsidRPr="001C338A">
        <w:rPr>
          <w:rFonts w:cstheme="minorHAnsi"/>
          <w:i/>
          <w:iCs/>
          <w:color w:val="333333"/>
          <w:szCs w:val="28"/>
        </w:rPr>
        <w:t xml:space="preserve">litigation costs </w:t>
      </w:r>
      <w:r w:rsidRPr="001C338A">
        <w:rPr>
          <w:rFonts w:cstheme="minorHAnsi"/>
          <w:i/>
          <w:iCs/>
          <w:color w:val="333333"/>
          <w:szCs w:val="28"/>
          <w:shd w:val="clear" w:color="auto" w:fill="FFFFFF"/>
        </w:rPr>
        <w:t>create a serious disincentive for victims of gender-based pay discrimination to bring claims regarding alleged infringements of their right to equal pay, leading to the insufficient protection of workers and the insufficient enforcement of the right to equal pay</w:t>
      </w:r>
      <w:r w:rsidR="000879A5" w:rsidRPr="001C338A">
        <w:rPr>
          <w:rFonts w:cstheme="minorHAnsi"/>
          <w:i/>
          <w:iCs/>
          <w:color w:val="333333"/>
          <w:szCs w:val="28"/>
          <w:shd w:val="clear" w:color="auto" w:fill="FFFFFF"/>
        </w:rPr>
        <w:t>”. The Recitals make clear</w:t>
      </w:r>
      <w:r w:rsidR="00FD613F" w:rsidRPr="001C338A">
        <w:rPr>
          <w:rFonts w:cstheme="minorHAnsi"/>
          <w:i/>
          <w:iCs/>
          <w:color w:val="333333"/>
          <w:szCs w:val="28"/>
          <w:shd w:val="clear" w:color="auto" w:fill="FFFFFF"/>
        </w:rPr>
        <w:t xml:space="preserve"> that these provisions </w:t>
      </w:r>
      <w:proofErr w:type="gramStart"/>
      <w:r w:rsidR="00FD613F" w:rsidRPr="001C338A">
        <w:rPr>
          <w:rFonts w:cstheme="minorHAnsi"/>
          <w:i/>
          <w:iCs/>
          <w:color w:val="333333"/>
          <w:szCs w:val="28"/>
          <w:shd w:val="clear" w:color="auto" w:fill="FFFFFF"/>
        </w:rPr>
        <w:t xml:space="preserve">were </w:t>
      </w:r>
      <w:r w:rsidR="00FD613F" w:rsidRPr="001C338A">
        <w:rPr>
          <w:rFonts w:cstheme="minorHAnsi"/>
          <w:i/>
          <w:iCs/>
          <w:color w:val="333333"/>
          <w:szCs w:val="28"/>
          <w:shd w:val="clear" w:color="auto" w:fill="FFFFFF"/>
        </w:rPr>
        <w:lastRenderedPageBreak/>
        <w:t>introduce</w:t>
      </w:r>
      <w:r w:rsidR="000879A5" w:rsidRPr="001C338A">
        <w:rPr>
          <w:rFonts w:cstheme="minorHAnsi"/>
          <w:i/>
          <w:iCs/>
          <w:color w:val="333333"/>
          <w:szCs w:val="28"/>
          <w:shd w:val="clear" w:color="auto" w:fill="FFFFFF"/>
        </w:rPr>
        <w:t>d</w:t>
      </w:r>
      <w:proofErr w:type="gramEnd"/>
      <w:r w:rsidR="00FD613F" w:rsidRPr="001C338A">
        <w:rPr>
          <w:rFonts w:cstheme="minorHAnsi"/>
          <w:i/>
          <w:iCs/>
          <w:color w:val="333333"/>
          <w:szCs w:val="28"/>
          <w:shd w:val="clear" w:color="auto" w:fill="FFFFFF"/>
        </w:rPr>
        <w:t xml:space="preserve"> </w:t>
      </w:r>
      <w:r w:rsidR="000879A5" w:rsidRPr="001C338A">
        <w:rPr>
          <w:rFonts w:cstheme="minorHAnsi"/>
          <w:i/>
          <w:iCs/>
          <w:color w:val="333333"/>
          <w:szCs w:val="28"/>
          <w:shd w:val="clear" w:color="auto" w:fill="FFFFFF"/>
        </w:rPr>
        <w:t>“</w:t>
      </w:r>
      <w:r w:rsidR="00FD613F" w:rsidRPr="001C338A">
        <w:rPr>
          <w:rFonts w:cstheme="minorHAnsi"/>
          <w:i/>
          <w:iCs/>
          <w:color w:val="333333"/>
          <w:szCs w:val="28"/>
          <w:shd w:val="clear" w:color="auto" w:fill="FFFFFF"/>
        </w:rPr>
        <w:t>in order to remove that significant pro</w:t>
      </w:r>
      <w:r w:rsidR="000879A5" w:rsidRPr="001C338A">
        <w:rPr>
          <w:rFonts w:cstheme="minorHAnsi"/>
          <w:i/>
          <w:iCs/>
          <w:color w:val="333333"/>
          <w:szCs w:val="28"/>
          <w:shd w:val="clear" w:color="auto" w:fill="FFFFFF"/>
        </w:rPr>
        <w:t>cedural obstacle to justice</w:t>
      </w:r>
      <w:r w:rsidRPr="001C338A">
        <w:rPr>
          <w:rFonts w:cstheme="minorHAnsi"/>
          <w:color w:val="333333"/>
          <w:szCs w:val="28"/>
          <w:shd w:val="clear" w:color="auto" w:fill="FFFFFF"/>
        </w:rPr>
        <w:t>.”</w:t>
      </w:r>
      <w:r w:rsidRPr="001C338A">
        <w:rPr>
          <w:rStyle w:val="FootnoteReference"/>
          <w:rFonts w:cstheme="minorHAnsi"/>
          <w:color w:val="333333"/>
          <w:szCs w:val="28"/>
          <w:shd w:val="clear" w:color="auto" w:fill="FFFFFF"/>
        </w:rPr>
        <w:footnoteReference w:id="102"/>
      </w:r>
    </w:p>
    <w:p w14:paraId="520646D9" w14:textId="5835B7B0" w:rsidR="00B21EDF" w:rsidRPr="001C338A" w:rsidRDefault="00B21EDF" w:rsidP="00F54780">
      <w:pPr>
        <w:pStyle w:val="11NumPara"/>
      </w:pPr>
      <w:r w:rsidRPr="001C338A">
        <w:rPr>
          <w:rFonts w:cstheme="minorHAnsi"/>
          <w:color w:val="333333"/>
          <w:szCs w:val="28"/>
          <w:shd w:val="clear" w:color="auto" w:fill="FFFFFF"/>
        </w:rPr>
        <w:t xml:space="preserve">The Recitals state that </w:t>
      </w:r>
      <w:r w:rsidR="006F0FD8" w:rsidRPr="001C338A">
        <w:rPr>
          <w:rFonts w:cstheme="minorHAnsi"/>
          <w:color w:val="333333"/>
          <w:szCs w:val="28"/>
          <w:shd w:val="clear" w:color="auto" w:fill="FFFFFF"/>
        </w:rPr>
        <w:t xml:space="preserve">the provisions in the PTD </w:t>
      </w:r>
      <w:r w:rsidRPr="001C338A">
        <w:rPr>
          <w:rFonts w:cstheme="minorHAnsi"/>
          <w:szCs w:val="28"/>
        </w:rPr>
        <w:t xml:space="preserve">should </w:t>
      </w:r>
      <w:r w:rsidR="006F0FD8" w:rsidRPr="001C338A">
        <w:rPr>
          <w:rFonts w:cstheme="minorHAnsi"/>
          <w:szCs w:val="28"/>
        </w:rPr>
        <w:t>“</w:t>
      </w:r>
      <w:r w:rsidRPr="001C338A">
        <w:rPr>
          <w:rFonts w:cstheme="minorHAnsi"/>
          <w:i/>
          <w:iCs/>
          <w:szCs w:val="28"/>
        </w:rPr>
        <w:t>in particular apply where a successful respondent has not complied with the pay transparency obligations</w:t>
      </w:r>
      <w:r w:rsidR="006F0FD8" w:rsidRPr="001C338A">
        <w:rPr>
          <w:rFonts w:cstheme="minorHAnsi"/>
          <w:szCs w:val="28"/>
        </w:rPr>
        <w:t>” in the PTD</w:t>
      </w:r>
      <w:r w:rsidRPr="001C338A">
        <w:rPr>
          <w:rFonts w:cstheme="minorHAnsi"/>
          <w:szCs w:val="28"/>
        </w:rPr>
        <w:t>.</w:t>
      </w:r>
    </w:p>
    <w:p w14:paraId="1A9788A4" w14:textId="0D15CE14" w:rsidR="007A5174" w:rsidRPr="00DD23AF" w:rsidRDefault="006F0FD8" w:rsidP="00DD23AF">
      <w:pPr>
        <w:pStyle w:val="11NumPara"/>
      </w:pPr>
      <w:r w:rsidRPr="001C338A">
        <w:rPr>
          <w:rFonts w:asciiTheme="minorHAnsi" w:hAnsiTheme="minorHAnsi" w:cstheme="minorHAnsi"/>
          <w:color w:val="333333"/>
          <w:szCs w:val="28"/>
        </w:rPr>
        <w:t xml:space="preserve">The Commissions consider that these provisions on legal costs </w:t>
      </w:r>
      <w:r w:rsidR="004C4CEA" w:rsidRPr="001C338A">
        <w:rPr>
          <w:rFonts w:asciiTheme="minorHAnsi" w:hAnsiTheme="minorHAnsi" w:cstheme="minorHAnsi"/>
          <w:color w:val="333333"/>
          <w:szCs w:val="28"/>
        </w:rPr>
        <w:t xml:space="preserve">strengthen the </w:t>
      </w:r>
      <w:r w:rsidR="004C4CEA" w:rsidRPr="001C338A">
        <w:rPr>
          <w:rFonts w:asciiTheme="minorHAnsi" w:hAnsiTheme="minorHAnsi" w:cstheme="minorHAnsi"/>
          <w:szCs w:val="28"/>
        </w:rPr>
        <w:t xml:space="preserve">application </w:t>
      </w:r>
      <w:r w:rsidR="00630A64" w:rsidRPr="001C338A">
        <w:rPr>
          <w:rFonts w:asciiTheme="minorHAnsi" w:hAnsiTheme="minorHAnsi" w:cstheme="minorHAnsi"/>
          <w:szCs w:val="28"/>
        </w:rPr>
        <w:t xml:space="preserve">and enforcement </w:t>
      </w:r>
      <w:r w:rsidR="004C4CEA" w:rsidRPr="001C338A">
        <w:rPr>
          <w:rFonts w:asciiTheme="minorHAnsi" w:hAnsiTheme="minorHAnsi" w:cstheme="minorHAnsi"/>
          <w:szCs w:val="28"/>
        </w:rPr>
        <w:t>of the principle of equal pay and the prohibition of pay discrimination</w:t>
      </w:r>
      <w:r w:rsidRPr="001C338A">
        <w:rPr>
          <w:rFonts w:asciiTheme="minorHAnsi" w:hAnsiTheme="minorHAnsi" w:cstheme="minorHAnsi"/>
          <w:color w:val="333333"/>
          <w:szCs w:val="28"/>
        </w:rPr>
        <w:t>.</w:t>
      </w:r>
      <w:r w:rsidRPr="001C338A">
        <w:rPr>
          <w:rStyle w:val="FootnoteReference"/>
          <w:rFonts w:asciiTheme="minorHAnsi" w:hAnsiTheme="minorHAnsi" w:cstheme="minorHAnsi"/>
          <w:color w:val="333333"/>
          <w:szCs w:val="28"/>
        </w:rPr>
        <w:footnoteReference w:id="103"/>
      </w:r>
    </w:p>
    <w:p w14:paraId="3B9BFA32" w14:textId="77777777" w:rsidR="007A5174" w:rsidRPr="001C338A" w:rsidRDefault="007A5174" w:rsidP="00F54780">
      <w:pPr>
        <w:pStyle w:val="11NumPara"/>
        <w:numPr>
          <w:ilvl w:val="0"/>
          <w:numId w:val="0"/>
        </w:numPr>
        <w:ind w:left="709"/>
        <w:rPr>
          <w:b/>
          <w:bCs/>
        </w:rPr>
      </w:pPr>
    </w:p>
    <w:p w14:paraId="0EB0BF97" w14:textId="1947F3F2" w:rsidR="00F54780" w:rsidRPr="001C338A" w:rsidRDefault="00F54780" w:rsidP="00F54780">
      <w:pPr>
        <w:pStyle w:val="11NumPara"/>
        <w:numPr>
          <w:ilvl w:val="0"/>
          <w:numId w:val="0"/>
        </w:numPr>
        <w:ind w:left="709"/>
        <w:rPr>
          <w:b/>
          <w:bCs/>
        </w:rPr>
      </w:pPr>
      <w:r w:rsidRPr="001C338A">
        <w:rPr>
          <w:b/>
          <w:bCs/>
        </w:rPr>
        <w:t>Article 23 -</w:t>
      </w:r>
      <w:r w:rsidR="007D4AFB">
        <w:rPr>
          <w:b/>
          <w:bCs/>
        </w:rPr>
        <w:t xml:space="preserve"> </w:t>
      </w:r>
      <w:r w:rsidRPr="001C338A">
        <w:rPr>
          <w:b/>
          <w:bCs/>
        </w:rPr>
        <w:t>Penalties</w:t>
      </w:r>
    </w:p>
    <w:p w14:paraId="3982AB88" w14:textId="7657915F" w:rsidR="004E791A" w:rsidRPr="001C338A" w:rsidRDefault="004E791A" w:rsidP="00F54780">
      <w:pPr>
        <w:pStyle w:val="11NumPara"/>
      </w:pPr>
      <w:r w:rsidRPr="001C338A">
        <w:rPr>
          <w:rFonts w:cstheme="minorHAnsi"/>
          <w:color w:val="333333"/>
          <w:szCs w:val="28"/>
        </w:rPr>
        <w:t xml:space="preserve">Provisions in the PTD on penalties enhance </w:t>
      </w:r>
      <w:r w:rsidR="002A33F0" w:rsidRPr="001C338A">
        <w:rPr>
          <w:rFonts w:cstheme="minorHAnsi"/>
          <w:color w:val="333333"/>
          <w:szCs w:val="28"/>
        </w:rPr>
        <w:t xml:space="preserve">existing </w:t>
      </w:r>
      <w:r w:rsidRPr="001C338A">
        <w:rPr>
          <w:rFonts w:cstheme="minorHAnsi"/>
          <w:color w:val="333333"/>
          <w:szCs w:val="28"/>
        </w:rPr>
        <w:t xml:space="preserve">provisions in the </w:t>
      </w:r>
      <w:r w:rsidR="002A33F0" w:rsidRPr="001C338A">
        <w:rPr>
          <w:rFonts w:cstheme="minorHAnsi"/>
          <w:color w:val="333333"/>
          <w:szCs w:val="28"/>
        </w:rPr>
        <w:t xml:space="preserve">Recast </w:t>
      </w:r>
      <w:r w:rsidRPr="001C338A">
        <w:rPr>
          <w:rFonts w:cstheme="minorHAnsi"/>
          <w:color w:val="333333"/>
          <w:szCs w:val="28"/>
        </w:rPr>
        <w:t xml:space="preserve">Directive relating to penalties (Article 25), and </w:t>
      </w:r>
      <w:r w:rsidR="002A33F0" w:rsidRPr="001C338A">
        <w:rPr>
          <w:rFonts w:cstheme="minorHAnsi"/>
          <w:color w:val="333333"/>
          <w:szCs w:val="28"/>
        </w:rPr>
        <w:t xml:space="preserve">they </w:t>
      </w:r>
      <w:r w:rsidRPr="001C338A">
        <w:rPr>
          <w:rFonts w:cstheme="minorHAnsi"/>
          <w:color w:val="333333"/>
          <w:szCs w:val="28"/>
        </w:rPr>
        <w:t xml:space="preserve">strengthen enforcement </w:t>
      </w:r>
      <w:r w:rsidR="00F27C8B" w:rsidRPr="001C338A">
        <w:rPr>
          <w:rFonts w:cstheme="minorHAnsi"/>
          <w:color w:val="333333"/>
          <w:szCs w:val="28"/>
        </w:rPr>
        <w:t xml:space="preserve">by individuals </w:t>
      </w:r>
      <w:r w:rsidRPr="001C338A">
        <w:rPr>
          <w:rFonts w:cstheme="minorHAnsi"/>
          <w:color w:val="333333"/>
          <w:szCs w:val="28"/>
        </w:rPr>
        <w:t>of the right to equal pay.</w:t>
      </w:r>
    </w:p>
    <w:p w14:paraId="168EB96B" w14:textId="4FA9E08A" w:rsidR="004E791A" w:rsidRPr="001C338A" w:rsidRDefault="004E791A" w:rsidP="00F54780">
      <w:pPr>
        <w:pStyle w:val="11NumPara"/>
      </w:pPr>
      <w:proofErr w:type="gramStart"/>
      <w:r w:rsidRPr="001C338A">
        <w:rPr>
          <w:rFonts w:cstheme="minorHAnsi"/>
          <w:color w:val="222222"/>
          <w:spacing w:val="4"/>
          <w:szCs w:val="28"/>
          <w:shd w:val="clear" w:color="auto" w:fill="FFFFFF"/>
        </w:rPr>
        <w:t xml:space="preserve">In particular, </w:t>
      </w:r>
      <w:r w:rsidRPr="001C338A">
        <w:rPr>
          <w:rFonts w:cstheme="minorHAnsi"/>
          <w:color w:val="333333"/>
          <w:szCs w:val="28"/>
        </w:rPr>
        <w:t>these</w:t>
      </w:r>
      <w:proofErr w:type="gramEnd"/>
      <w:r w:rsidRPr="001C338A">
        <w:rPr>
          <w:rFonts w:cstheme="minorHAnsi"/>
          <w:color w:val="333333"/>
          <w:szCs w:val="28"/>
        </w:rPr>
        <w:t xml:space="preserve"> </w:t>
      </w:r>
      <w:r w:rsidR="00A36346" w:rsidRPr="001C338A">
        <w:rPr>
          <w:rFonts w:cstheme="minorHAnsi"/>
          <w:color w:val="333333"/>
          <w:szCs w:val="28"/>
        </w:rPr>
        <w:t xml:space="preserve">provisions </w:t>
      </w:r>
      <w:r w:rsidR="00D00D32" w:rsidRPr="001C338A">
        <w:rPr>
          <w:rFonts w:cstheme="minorHAnsi"/>
          <w:color w:val="333333"/>
          <w:szCs w:val="28"/>
        </w:rPr>
        <w:t>strengthen enforcement by</w:t>
      </w:r>
      <w:r w:rsidR="00E22123" w:rsidRPr="001C338A">
        <w:rPr>
          <w:rFonts w:cstheme="minorHAnsi"/>
          <w:color w:val="333333"/>
          <w:szCs w:val="28"/>
        </w:rPr>
        <w:t xml:space="preserve"> providing that Member States must</w:t>
      </w:r>
      <w:r w:rsidR="003C4602" w:rsidRPr="001C338A">
        <w:rPr>
          <w:rFonts w:cstheme="minorHAnsi"/>
          <w:color w:val="333333"/>
          <w:szCs w:val="28"/>
        </w:rPr>
        <w:t xml:space="preserve"> ensure</w:t>
      </w:r>
      <w:r w:rsidR="00D00D32" w:rsidRPr="001C338A">
        <w:rPr>
          <w:rFonts w:cstheme="minorHAnsi"/>
          <w:color w:val="333333"/>
          <w:szCs w:val="28"/>
        </w:rPr>
        <w:t xml:space="preserve"> </w:t>
      </w:r>
      <w:r w:rsidRPr="001C338A">
        <w:rPr>
          <w:rFonts w:cstheme="minorHAnsi"/>
          <w:color w:val="333333"/>
          <w:szCs w:val="28"/>
        </w:rPr>
        <w:t>that penalties include fines, as well as that the penalties should take into account any relevant aggravating or mitigating factors that may apply in the circumstances of the case, for instance, intersectional discrimination. There are also obligations placed on Member States to establish specific penalties for repeated infringements of any right or obligation relating to the principle of equal pay.</w:t>
      </w:r>
    </w:p>
    <w:p w14:paraId="7C6C087F" w14:textId="790F1EE2" w:rsidR="004E791A" w:rsidRPr="001C338A" w:rsidRDefault="004E791A" w:rsidP="00F54780">
      <w:pPr>
        <w:pStyle w:val="11NumPara"/>
      </w:pPr>
      <w:r w:rsidRPr="001C338A">
        <w:rPr>
          <w:rFonts w:cstheme="minorHAnsi"/>
          <w:color w:val="222222"/>
          <w:spacing w:val="4"/>
          <w:szCs w:val="28"/>
          <w:shd w:val="clear" w:color="auto" w:fill="FFFFFF"/>
        </w:rPr>
        <w:t xml:space="preserve">The </w:t>
      </w:r>
      <w:r w:rsidR="004A2FAB" w:rsidRPr="001C338A">
        <w:rPr>
          <w:rFonts w:cstheme="minorHAnsi"/>
          <w:color w:val="222222"/>
          <w:spacing w:val="4"/>
          <w:szCs w:val="28"/>
          <w:shd w:val="clear" w:color="auto" w:fill="FFFFFF"/>
        </w:rPr>
        <w:t xml:space="preserve">European Commission’s </w:t>
      </w:r>
      <w:r w:rsidRPr="001C338A">
        <w:rPr>
          <w:rFonts w:cstheme="minorHAnsi"/>
          <w:color w:val="222222"/>
          <w:spacing w:val="4"/>
          <w:szCs w:val="28"/>
          <w:shd w:val="clear" w:color="auto" w:fill="FFFFFF"/>
        </w:rPr>
        <w:t>explanatory memorandum</w:t>
      </w:r>
      <w:r w:rsidRPr="001C338A">
        <w:rPr>
          <w:rStyle w:val="FootnoteReference"/>
          <w:rFonts w:cstheme="minorHAnsi"/>
          <w:color w:val="222222"/>
          <w:spacing w:val="4"/>
          <w:szCs w:val="28"/>
          <w:shd w:val="clear" w:color="auto" w:fill="FFFFFF"/>
        </w:rPr>
        <w:footnoteReference w:id="104"/>
      </w:r>
      <w:r w:rsidRPr="001C338A">
        <w:rPr>
          <w:rFonts w:cstheme="minorHAnsi"/>
          <w:color w:val="222222"/>
          <w:spacing w:val="4"/>
          <w:szCs w:val="28"/>
          <w:shd w:val="clear" w:color="auto" w:fill="FFFFFF"/>
        </w:rPr>
        <w:t xml:space="preserve"> to the proposed PTD makes clear that this provision “</w:t>
      </w:r>
      <w:r w:rsidRPr="001C338A">
        <w:rPr>
          <w:rFonts w:cstheme="minorHAnsi"/>
          <w:i/>
          <w:iCs/>
          <w:color w:val="222222"/>
          <w:spacing w:val="4"/>
          <w:szCs w:val="28"/>
          <w:u w:val="single"/>
          <w:shd w:val="clear" w:color="auto" w:fill="FFFFFF"/>
        </w:rPr>
        <w:t>strengthens</w:t>
      </w:r>
      <w:r w:rsidRPr="001C338A">
        <w:rPr>
          <w:rFonts w:cstheme="minorHAnsi"/>
          <w:i/>
          <w:iCs/>
          <w:color w:val="222222"/>
          <w:spacing w:val="4"/>
          <w:szCs w:val="28"/>
          <w:shd w:val="clear" w:color="auto" w:fill="FFFFFF"/>
        </w:rPr>
        <w:t xml:space="preserve"> the </w:t>
      </w:r>
      <w:r w:rsidRPr="001C338A">
        <w:rPr>
          <w:rFonts w:cstheme="minorHAnsi"/>
          <w:i/>
          <w:iCs/>
          <w:color w:val="222222"/>
          <w:spacing w:val="4"/>
          <w:szCs w:val="28"/>
          <w:u w:val="single"/>
          <w:shd w:val="clear" w:color="auto" w:fill="FFFFFF"/>
        </w:rPr>
        <w:t>existing</w:t>
      </w:r>
      <w:r w:rsidRPr="001C338A">
        <w:rPr>
          <w:rFonts w:cstheme="minorHAnsi"/>
          <w:i/>
          <w:iCs/>
          <w:color w:val="222222"/>
          <w:spacing w:val="4"/>
          <w:szCs w:val="28"/>
          <w:shd w:val="clear" w:color="auto" w:fill="FFFFFF"/>
        </w:rPr>
        <w:t xml:space="preserve"> (our emphasis) minimum standards on penalties to apply to any infringement of the rights and obligations relating to equal pay between men and women for the same work or work of equal value by furthering the deterrence effect for employers engaging in illegal behaviour</w:t>
      </w:r>
      <w:r w:rsidRPr="001C338A">
        <w:rPr>
          <w:rFonts w:cstheme="minorHAnsi"/>
          <w:color w:val="222222"/>
          <w:spacing w:val="4"/>
          <w:szCs w:val="28"/>
          <w:shd w:val="clear" w:color="auto" w:fill="FFFFFF"/>
        </w:rPr>
        <w:t>.”</w:t>
      </w:r>
    </w:p>
    <w:p w14:paraId="49E87492" w14:textId="4EB956E6" w:rsidR="00934441" w:rsidRPr="00716139" w:rsidRDefault="00245CA0" w:rsidP="00716139">
      <w:pPr>
        <w:pStyle w:val="11NumPara"/>
      </w:pPr>
      <w:r w:rsidRPr="001C338A">
        <w:rPr>
          <w:rFonts w:asciiTheme="minorHAnsi" w:hAnsiTheme="minorHAnsi" w:cstheme="minorHAnsi"/>
          <w:color w:val="333333"/>
          <w:szCs w:val="28"/>
        </w:rPr>
        <w:t xml:space="preserve">The Commissions consider that these provisions on penalties strengthen the </w:t>
      </w:r>
      <w:r w:rsidR="00630E1D" w:rsidRPr="001C338A">
        <w:rPr>
          <w:rFonts w:asciiTheme="minorHAnsi" w:hAnsiTheme="minorHAnsi" w:cstheme="minorHAnsi"/>
          <w:szCs w:val="28"/>
        </w:rPr>
        <w:t xml:space="preserve">application </w:t>
      </w:r>
      <w:r w:rsidR="00630A64" w:rsidRPr="001C338A">
        <w:rPr>
          <w:rFonts w:asciiTheme="minorHAnsi" w:hAnsiTheme="minorHAnsi" w:cstheme="minorHAnsi"/>
          <w:szCs w:val="28"/>
        </w:rPr>
        <w:t xml:space="preserve">and enforcement </w:t>
      </w:r>
      <w:r w:rsidR="00630E1D" w:rsidRPr="001C338A">
        <w:rPr>
          <w:rFonts w:asciiTheme="minorHAnsi" w:hAnsiTheme="minorHAnsi" w:cstheme="minorHAnsi"/>
          <w:szCs w:val="28"/>
        </w:rPr>
        <w:t xml:space="preserve">of the principle of equal pay and the prohibition </w:t>
      </w:r>
      <w:r w:rsidR="00630E1D" w:rsidRPr="001C338A">
        <w:rPr>
          <w:rFonts w:asciiTheme="minorHAnsi" w:hAnsiTheme="minorHAnsi" w:cstheme="minorHAnsi"/>
          <w:szCs w:val="28"/>
        </w:rPr>
        <w:lastRenderedPageBreak/>
        <w:t xml:space="preserve">of </w:t>
      </w:r>
      <w:proofErr w:type="gramStart"/>
      <w:r w:rsidR="00630E1D" w:rsidRPr="001C338A">
        <w:rPr>
          <w:rFonts w:asciiTheme="minorHAnsi" w:hAnsiTheme="minorHAnsi" w:cstheme="minorHAnsi"/>
          <w:szCs w:val="28"/>
        </w:rPr>
        <w:t>pay discrimination</w:t>
      </w:r>
      <w:r w:rsidR="005C7DFA" w:rsidRPr="001C338A">
        <w:rPr>
          <w:rFonts w:asciiTheme="minorHAnsi" w:hAnsiTheme="minorHAnsi" w:cstheme="minorHAnsi"/>
          <w:szCs w:val="28"/>
        </w:rPr>
        <w:t xml:space="preserve"> and build on</w:t>
      </w:r>
      <w:proofErr w:type="gramEnd"/>
      <w:r w:rsidR="005C7DFA" w:rsidRPr="001C338A">
        <w:rPr>
          <w:rFonts w:asciiTheme="minorHAnsi" w:hAnsiTheme="minorHAnsi" w:cstheme="minorHAnsi"/>
          <w:szCs w:val="28"/>
        </w:rPr>
        <w:t xml:space="preserve"> </w:t>
      </w:r>
      <w:r w:rsidR="00630A64" w:rsidRPr="001C338A">
        <w:rPr>
          <w:rFonts w:asciiTheme="minorHAnsi" w:hAnsiTheme="minorHAnsi" w:cstheme="minorHAnsi"/>
          <w:szCs w:val="28"/>
        </w:rPr>
        <w:t xml:space="preserve">and improve </w:t>
      </w:r>
      <w:r w:rsidR="005C7DFA" w:rsidRPr="001C338A">
        <w:rPr>
          <w:rFonts w:asciiTheme="minorHAnsi" w:hAnsiTheme="minorHAnsi" w:cstheme="minorHAnsi"/>
          <w:szCs w:val="28"/>
        </w:rPr>
        <w:t>provisions in the Recast Directive in this area</w:t>
      </w:r>
      <w:r w:rsidRPr="001C338A">
        <w:rPr>
          <w:rFonts w:asciiTheme="minorHAnsi" w:hAnsiTheme="minorHAnsi" w:cstheme="minorHAnsi"/>
          <w:color w:val="333333"/>
          <w:szCs w:val="28"/>
        </w:rPr>
        <w:t>.</w:t>
      </w:r>
      <w:r w:rsidRPr="001C338A">
        <w:rPr>
          <w:rStyle w:val="FootnoteReference"/>
          <w:rFonts w:asciiTheme="minorHAnsi" w:hAnsiTheme="minorHAnsi" w:cstheme="minorHAnsi"/>
          <w:color w:val="333333"/>
          <w:szCs w:val="28"/>
        </w:rPr>
        <w:footnoteReference w:id="105"/>
      </w:r>
    </w:p>
    <w:p w14:paraId="2359BEA4" w14:textId="77777777" w:rsidR="001328C2" w:rsidRDefault="001328C2" w:rsidP="008A7924">
      <w:pPr>
        <w:ind w:firstLine="709"/>
        <w:rPr>
          <w:rFonts w:ascii="Calibri" w:hAnsi="Calibri"/>
          <w:b/>
          <w:bCs/>
          <w:kern w:val="2"/>
          <w:sz w:val="28"/>
          <w14:ligatures w14:val="standardContextual"/>
        </w:rPr>
      </w:pPr>
    </w:p>
    <w:p w14:paraId="7966CD01" w14:textId="2E94F3CD" w:rsidR="00F54780" w:rsidRPr="001C338A" w:rsidRDefault="00F54780" w:rsidP="008A7924">
      <w:pPr>
        <w:ind w:firstLine="709"/>
        <w:rPr>
          <w:rFonts w:ascii="Calibri" w:hAnsi="Calibri"/>
          <w:b/>
          <w:bCs/>
          <w:kern w:val="2"/>
          <w:sz w:val="28"/>
          <w14:ligatures w14:val="standardContextual"/>
        </w:rPr>
      </w:pPr>
      <w:r w:rsidRPr="001C338A">
        <w:rPr>
          <w:rFonts w:ascii="Calibri" w:hAnsi="Calibri"/>
          <w:b/>
          <w:bCs/>
          <w:kern w:val="2"/>
          <w:sz w:val="28"/>
          <w14:ligatures w14:val="standardContextual"/>
        </w:rPr>
        <w:t>Article 24</w:t>
      </w:r>
      <w:r w:rsidR="0055007B">
        <w:rPr>
          <w:rFonts w:ascii="Calibri" w:hAnsi="Calibri"/>
          <w:b/>
          <w:bCs/>
          <w:kern w:val="2"/>
          <w:sz w:val="28"/>
          <w14:ligatures w14:val="standardContextual"/>
        </w:rPr>
        <w:t xml:space="preserve"> </w:t>
      </w:r>
      <w:r w:rsidRPr="001C338A">
        <w:rPr>
          <w:rFonts w:ascii="Calibri" w:hAnsi="Calibri"/>
          <w:b/>
          <w:bCs/>
          <w:kern w:val="2"/>
          <w:sz w:val="28"/>
          <w14:ligatures w14:val="standardContextual"/>
        </w:rPr>
        <w:t>- Equal Pay in public contracts and concessions</w:t>
      </w:r>
    </w:p>
    <w:p w14:paraId="7F645CA6" w14:textId="18315C28" w:rsidR="009B4676" w:rsidRPr="001C338A" w:rsidRDefault="009B4676" w:rsidP="00F54780">
      <w:pPr>
        <w:pStyle w:val="11NumPara"/>
      </w:pPr>
      <w:r w:rsidRPr="001C338A">
        <w:rPr>
          <w:rFonts w:cstheme="minorHAnsi"/>
          <w:color w:val="333333"/>
          <w:szCs w:val="28"/>
        </w:rPr>
        <w:t>These provisions on</w:t>
      </w:r>
      <w:r w:rsidR="00E83DEC" w:rsidRPr="001C338A">
        <w:rPr>
          <w:rFonts w:cstheme="minorHAnsi"/>
          <w:color w:val="333333"/>
          <w:szCs w:val="28"/>
        </w:rPr>
        <w:t xml:space="preserve"> </w:t>
      </w:r>
      <w:r w:rsidR="00E83DEC" w:rsidRPr="001C338A">
        <w:rPr>
          <w:rFonts w:cstheme="minorHAnsi"/>
          <w:noProof/>
          <w:szCs w:val="28"/>
          <w:lang w:eastAsia="en-GB"/>
        </w:rPr>
        <w:t>equal pay in public contracts and concessions</w:t>
      </w:r>
      <w:r w:rsidRPr="001C338A">
        <w:rPr>
          <w:rFonts w:cstheme="minorHAnsi"/>
          <w:color w:val="333333"/>
          <w:szCs w:val="28"/>
        </w:rPr>
        <w:t xml:space="preserve"> improve the rights of individuals in terms of enforcement of the right to equal pay.</w:t>
      </w:r>
    </w:p>
    <w:p w14:paraId="4A816A9E" w14:textId="5D785073" w:rsidR="00925832" w:rsidRPr="001C338A" w:rsidRDefault="001A19A6" w:rsidP="00F54780">
      <w:pPr>
        <w:pStyle w:val="11NumPara"/>
      </w:pPr>
      <w:r w:rsidRPr="001C338A">
        <w:rPr>
          <w:rFonts w:cstheme="minorHAnsi"/>
          <w:color w:val="222222"/>
          <w:spacing w:val="4"/>
          <w:szCs w:val="28"/>
          <w:shd w:val="clear" w:color="auto" w:fill="FFFFFF"/>
        </w:rPr>
        <w:t xml:space="preserve">In accordance with </w:t>
      </w:r>
      <w:r w:rsidR="00C221F0" w:rsidRPr="001C338A">
        <w:rPr>
          <w:rFonts w:cstheme="minorHAnsi"/>
          <w:color w:val="222222"/>
          <w:spacing w:val="4"/>
          <w:szCs w:val="28"/>
          <w:shd w:val="clear" w:color="auto" w:fill="FFFFFF"/>
        </w:rPr>
        <w:t xml:space="preserve">obligations on Member States </w:t>
      </w:r>
      <w:r w:rsidR="00C221F0" w:rsidRPr="001C338A">
        <w:rPr>
          <w:rFonts w:cstheme="minorHAnsi"/>
          <w:szCs w:val="28"/>
        </w:rPr>
        <w:t xml:space="preserve">in the fields of environmental, social and labour law </w:t>
      </w:r>
      <w:r w:rsidR="00FD1ACE" w:rsidRPr="001C338A">
        <w:rPr>
          <w:rFonts w:cstheme="minorHAnsi"/>
          <w:szCs w:val="28"/>
        </w:rPr>
        <w:t xml:space="preserve">under </w:t>
      </w:r>
      <w:r w:rsidRPr="001C338A">
        <w:rPr>
          <w:rFonts w:cstheme="minorHAnsi"/>
          <w:color w:val="222222"/>
          <w:spacing w:val="4"/>
          <w:szCs w:val="28"/>
          <w:shd w:val="clear" w:color="auto" w:fill="FFFFFF"/>
        </w:rPr>
        <w:t>Directive 2014/23/EU</w:t>
      </w:r>
      <w:bookmarkStart w:id="8" w:name="footnoteref37"/>
      <w:bookmarkEnd w:id="8"/>
      <w:r w:rsidR="00415317" w:rsidRPr="001C338A">
        <w:rPr>
          <w:rStyle w:val="FootnoteReference"/>
          <w:rFonts w:cstheme="minorHAnsi"/>
          <w:color w:val="222222"/>
          <w:spacing w:val="4"/>
          <w:szCs w:val="28"/>
          <w:shd w:val="clear" w:color="auto" w:fill="FFFFFF"/>
        </w:rPr>
        <w:footnoteReference w:id="106"/>
      </w:r>
      <w:r w:rsidRPr="001C338A">
        <w:rPr>
          <w:rFonts w:cstheme="minorHAnsi"/>
          <w:color w:val="222222"/>
          <w:spacing w:val="4"/>
          <w:szCs w:val="28"/>
          <w:shd w:val="clear" w:color="auto" w:fill="FFFFFF"/>
        </w:rPr>
        <w:t> </w:t>
      </w:r>
      <w:r w:rsidR="00415317" w:rsidRPr="001C338A">
        <w:rPr>
          <w:rFonts w:cstheme="minorHAnsi"/>
          <w:color w:val="222222"/>
          <w:spacing w:val="4"/>
          <w:szCs w:val="28"/>
          <w:shd w:val="clear" w:color="auto" w:fill="FFFFFF"/>
        </w:rPr>
        <w:t>on the award of concession contracts</w:t>
      </w:r>
      <w:r w:rsidRPr="001C338A">
        <w:rPr>
          <w:rFonts w:cstheme="minorHAnsi"/>
          <w:color w:val="222222"/>
          <w:spacing w:val="4"/>
          <w:szCs w:val="28"/>
          <w:shd w:val="clear" w:color="auto" w:fill="FFFFFF"/>
        </w:rPr>
        <w:t>, Directive 2014/24/EU </w:t>
      </w:r>
      <w:bookmarkStart w:id="9" w:name="footnoteref38"/>
      <w:bookmarkEnd w:id="9"/>
      <w:r w:rsidR="00415317" w:rsidRPr="001C338A">
        <w:rPr>
          <w:rFonts w:cstheme="minorHAnsi"/>
          <w:color w:val="222222"/>
          <w:spacing w:val="4"/>
          <w:szCs w:val="28"/>
          <w:shd w:val="clear" w:color="auto" w:fill="FFFFFF"/>
        </w:rPr>
        <w:t>on public procurement</w:t>
      </w:r>
      <w:r w:rsidR="00B62B49">
        <w:rPr>
          <w:rFonts w:cstheme="minorHAnsi"/>
          <w:color w:val="222222"/>
          <w:spacing w:val="4"/>
          <w:szCs w:val="28"/>
          <w:shd w:val="clear" w:color="auto" w:fill="FFFFFF"/>
        </w:rPr>
        <w:t>,</w:t>
      </w:r>
      <w:r w:rsidR="00DF473A" w:rsidRPr="001C338A">
        <w:rPr>
          <w:rStyle w:val="FootnoteReference"/>
          <w:rFonts w:cstheme="minorHAnsi"/>
          <w:color w:val="222222"/>
          <w:spacing w:val="4"/>
          <w:szCs w:val="28"/>
          <w:shd w:val="clear" w:color="auto" w:fill="FFFFFF"/>
        </w:rPr>
        <w:footnoteReference w:id="107"/>
      </w:r>
      <w:r w:rsidRPr="001C338A">
        <w:rPr>
          <w:rFonts w:cstheme="minorHAnsi"/>
          <w:color w:val="222222"/>
          <w:spacing w:val="4"/>
          <w:szCs w:val="28"/>
          <w:shd w:val="clear" w:color="auto" w:fill="FFFFFF"/>
        </w:rPr>
        <w:t xml:space="preserve"> and Directive 2014/25/EU </w:t>
      </w:r>
      <w:bookmarkStart w:id="10" w:name="footnoteref39"/>
      <w:bookmarkEnd w:id="10"/>
      <w:r w:rsidR="00EB75E8" w:rsidRPr="001C338A">
        <w:rPr>
          <w:rFonts w:cstheme="minorHAnsi"/>
          <w:color w:val="222222"/>
          <w:spacing w:val="4"/>
          <w:szCs w:val="28"/>
          <w:shd w:val="clear" w:color="auto" w:fill="FFFFFF"/>
        </w:rPr>
        <w:t>on procurement by entities in certain sectors</w:t>
      </w:r>
      <w:r w:rsidR="00B62B49">
        <w:rPr>
          <w:rFonts w:cstheme="minorHAnsi"/>
          <w:color w:val="222222"/>
          <w:spacing w:val="4"/>
          <w:szCs w:val="28"/>
          <w:shd w:val="clear" w:color="auto" w:fill="FFFFFF"/>
        </w:rPr>
        <w:t>,</w:t>
      </w:r>
      <w:r w:rsidR="00943C21" w:rsidRPr="001C338A">
        <w:rPr>
          <w:rStyle w:val="FootnoteReference"/>
          <w:rFonts w:cstheme="minorHAnsi"/>
          <w:color w:val="222222"/>
          <w:spacing w:val="4"/>
          <w:szCs w:val="28"/>
          <w:shd w:val="clear" w:color="auto" w:fill="FFFFFF"/>
        </w:rPr>
        <w:footnoteReference w:id="108"/>
      </w:r>
      <w:r w:rsidRPr="001C338A">
        <w:rPr>
          <w:rFonts w:cstheme="minorHAnsi"/>
          <w:color w:val="222222"/>
          <w:spacing w:val="4"/>
          <w:szCs w:val="28"/>
          <w:shd w:val="clear" w:color="auto" w:fill="FFFFFF"/>
        </w:rPr>
        <w:t xml:space="preserve"> Member States </w:t>
      </w:r>
      <w:r w:rsidR="00FD1ACE" w:rsidRPr="001C338A">
        <w:rPr>
          <w:rFonts w:cstheme="minorHAnsi"/>
          <w:color w:val="222222"/>
          <w:spacing w:val="4"/>
          <w:szCs w:val="28"/>
          <w:shd w:val="clear" w:color="auto" w:fill="FFFFFF"/>
        </w:rPr>
        <w:t xml:space="preserve">are required to </w:t>
      </w:r>
      <w:r w:rsidRPr="001C338A">
        <w:rPr>
          <w:rFonts w:cstheme="minorHAnsi"/>
          <w:color w:val="222222"/>
          <w:spacing w:val="4"/>
          <w:szCs w:val="28"/>
          <w:shd w:val="clear" w:color="auto" w:fill="FFFFFF"/>
        </w:rPr>
        <w:t xml:space="preserve">take appropriate measures to ensure that, in the performance of public contracts or concessions, economic operators comply with the obligations relating to </w:t>
      </w:r>
      <w:r w:rsidR="00925832" w:rsidRPr="001C338A">
        <w:rPr>
          <w:rFonts w:cstheme="minorHAnsi"/>
          <w:color w:val="222222"/>
          <w:spacing w:val="4"/>
          <w:szCs w:val="28"/>
          <w:shd w:val="clear" w:color="auto" w:fill="FFFFFF"/>
        </w:rPr>
        <w:t xml:space="preserve">the principle of </w:t>
      </w:r>
      <w:r w:rsidRPr="001C338A">
        <w:rPr>
          <w:rFonts w:cstheme="minorHAnsi"/>
          <w:color w:val="222222"/>
          <w:spacing w:val="4"/>
          <w:szCs w:val="28"/>
          <w:shd w:val="clear" w:color="auto" w:fill="FFFFFF"/>
        </w:rPr>
        <w:t xml:space="preserve">equal pay. </w:t>
      </w:r>
    </w:p>
    <w:p w14:paraId="4656226A" w14:textId="78FCE33C" w:rsidR="001B5FF7" w:rsidRPr="001C338A" w:rsidRDefault="00D945F9" w:rsidP="00F54780">
      <w:pPr>
        <w:pStyle w:val="11NumPara"/>
      </w:pPr>
      <w:r w:rsidRPr="001C338A">
        <w:rPr>
          <w:rFonts w:cstheme="minorHAnsi"/>
          <w:color w:val="222222"/>
          <w:spacing w:val="4"/>
          <w:szCs w:val="28"/>
          <w:shd w:val="clear" w:color="auto" w:fill="FFFFFF"/>
        </w:rPr>
        <w:t>The Recitals to the PTD state that</w:t>
      </w:r>
      <w:r w:rsidR="00C12A5C" w:rsidRPr="001C338A">
        <w:rPr>
          <w:rFonts w:cstheme="minorHAnsi"/>
          <w:color w:val="222222"/>
          <w:spacing w:val="4"/>
          <w:szCs w:val="28"/>
          <w:shd w:val="clear" w:color="auto" w:fill="FFFFFF"/>
        </w:rPr>
        <w:t xml:space="preserve">: </w:t>
      </w:r>
      <w:r w:rsidRPr="001C338A">
        <w:rPr>
          <w:rFonts w:cstheme="minorHAnsi"/>
          <w:color w:val="222222"/>
          <w:spacing w:val="4"/>
          <w:szCs w:val="28"/>
          <w:shd w:val="clear" w:color="auto" w:fill="FFFFFF"/>
        </w:rPr>
        <w:t>“</w:t>
      </w:r>
      <w:r w:rsidR="00FD3E27" w:rsidRPr="001C338A">
        <w:rPr>
          <w:rFonts w:cstheme="minorHAnsi"/>
          <w:i/>
          <w:iCs/>
          <w:szCs w:val="28"/>
        </w:rPr>
        <w:t>In order to comply with those obligations on employers as far as the right to equal pay is concerned, Member States should in particular ensure that economic operators, in the performance of a public contract or concession, have pay setting mechanisms that do not lead to a gender pay gap between workers in any category of workers performing equal work or work of equal value that cannot be justified on the basis of gender-neutral criteria</w:t>
      </w:r>
      <w:r w:rsidR="001B5FF7" w:rsidRPr="001C338A">
        <w:rPr>
          <w:rFonts w:cstheme="minorHAnsi"/>
          <w:szCs w:val="28"/>
        </w:rPr>
        <w:t>”</w:t>
      </w:r>
      <w:r w:rsidR="00FD3E27" w:rsidRPr="001C338A">
        <w:rPr>
          <w:rFonts w:cstheme="minorHAnsi"/>
          <w:szCs w:val="28"/>
        </w:rPr>
        <w:t xml:space="preserve">. </w:t>
      </w:r>
    </w:p>
    <w:p w14:paraId="1926F32C" w14:textId="18A66E42" w:rsidR="00AB3CF9" w:rsidRPr="001C338A" w:rsidRDefault="001B5FF7" w:rsidP="00F54780">
      <w:pPr>
        <w:pStyle w:val="11NumPara"/>
      </w:pPr>
      <w:r w:rsidRPr="001C338A">
        <w:rPr>
          <w:rFonts w:cstheme="minorHAnsi"/>
          <w:szCs w:val="28"/>
        </w:rPr>
        <w:t xml:space="preserve">The provisions in the PTD state that </w:t>
      </w:r>
      <w:r w:rsidR="00FD3E27" w:rsidRPr="001C338A">
        <w:rPr>
          <w:rFonts w:cstheme="minorHAnsi"/>
          <w:szCs w:val="28"/>
        </w:rPr>
        <w:t xml:space="preserve">Member States should consider requiring contracting authorities to introduce, as appropriate, penalties and termination conditions ensuring compliance with the principle of equal pay in the performance of public contracts and concessions. </w:t>
      </w:r>
    </w:p>
    <w:p w14:paraId="00AD8A60" w14:textId="1147BC3F" w:rsidR="006F72F3" w:rsidRPr="001C338A" w:rsidRDefault="00AB3CF9" w:rsidP="00F54780">
      <w:pPr>
        <w:pStyle w:val="11NumPara"/>
      </w:pPr>
      <w:r w:rsidRPr="001C338A">
        <w:rPr>
          <w:rFonts w:cstheme="minorHAnsi"/>
          <w:szCs w:val="28"/>
        </w:rPr>
        <w:t xml:space="preserve">The </w:t>
      </w:r>
      <w:r w:rsidR="00CF5E0F" w:rsidRPr="001C338A">
        <w:rPr>
          <w:rFonts w:cstheme="minorHAnsi"/>
          <w:szCs w:val="28"/>
        </w:rPr>
        <w:t>Recitals also state that</w:t>
      </w:r>
      <w:r w:rsidR="00C12A5C" w:rsidRPr="001C338A">
        <w:rPr>
          <w:rFonts w:cstheme="minorHAnsi"/>
          <w:szCs w:val="28"/>
        </w:rPr>
        <w:t xml:space="preserve">: </w:t>
      </w:r>
      <w:r w:rsidR="00CF5E0F" w:rsidRPr="001C338A">
        <w:rPr>
          <w:rFonts w:cstheme="minorHAnsi"/>
          <w:szCs w:val="28"/>
        </w:rPr>
        <w:t>“</w:t>
      </w:r>
      <w:r w:rsidR="00FD3E27" w:rsidRPr="001C338A">
        <w:rPr>
          <w:rFonts w:cstheme="minorHAnsi"/>
          <w:i/>
          <w:iCs/>
          <w:szCs w:val="28"/>
        </w:rPr>
        <w:t xml:space="preserve">Contracting authorities should also be able to take into account non-compliance with the principle of equal pay by the bidder or one of the bidder’s subcontractors when considering the application of </w:t>
      </w:r>
      <w:r w:rsidR="00FD3E27" w:rsidRPr="001C338A">
        <w:rPr>
          <w:rFonts w:cstheme="minorHAnsi"/>
          <w:i/>
          <w:iCs/>
          <w:szCs w:val="28"/>
        </w:rPr>
        <w:lastRenderedPageBreak/>
        <w:t>exclusion grounds or when taking a decision not to award a contract to the tenderer submitting the most economically advantageous tender</w:t>
      </w:r>
      <w:r w:rsidR="00FD3E27" w:rsidRPr="001C338A">
        <w:rPr>
          <w:rFonts w:cstheme="minorHAnsi"/>
          <w:szCs w:val="28"/>
        </w:rPr>
        <w:t>.</w:t>
      </w:r>
      <w:r w:rsidR="00CF5E0F" w:rsidRPr="001C338A">
        <w:rPr>
          <w:rFonts w:cstheme="minorHAnsi"/>
          <w:szCs w:val="28"/>
        </w:rPr>
        <w:t>”</w:t>
      </w:r>
      <w:r w:rsidR="00CF5E0F" w:rsidRPr="001C338A">
        <w:rPr>
          <w:rStyle w:val="FootnoteReference"/>
          <w:rFonts w:cstheme="minorHAnsi"/>
          <w:szCs w:val="28"/>
        </w:rPr>
        <w:footnoteReference w:id="109"/>
      </w:r>
    </w:p>
    <w:p w14:paraId="6908E5E4" w14:textId="545763AB" w:rsidR="00F54780" w:rsidRPr="001C338A" w:rsidRDefault="009C5BC6" w:rsidP="00C12A5C">
      <w:pPr>
        <w:pStyle w:val="11NumPara"/>
      </w:pPr>
      <w:r w:rsidRPr="001C338A">
        <w:rPr>
          <w:rFonts w:asciiTheme="minorHAnsi" w:hAnsiTheme="minorHAnsi" w:cstheme="minorHAnsi"/>
          <w:color w:val="333333"/>
          <w:szCs w:val="28"/>
        </w:rPr>
        <w:t xml:space="preserve">The Commissions consider that these provisions on </w:t>
      </w:r>
      <w:r w:rsidRPr="001C338A">
        <w:rPr>
          <w:rFonts w:asciiTheme="minorHAnsi" w:hAnsiTheme="minorHAnsi" w:cstheme="minorHAnsi"/>
          <w:noProof/>
          <w:szCs w:val="28"/>
        </w:rPr>
        <w:t>equal pay in public contracts and concessions</w:t>
      </w:r>
      <w:r w:rsidRPr="001C338A">
        <w:rPr>
          <w:rFonts w:asciiTheme="minorHAnsi" w:hAnsiTheme="minorHAnsi" w:cstheme="minorHAnsi"/>
          <w:color w:val="333333"/>
          <w:szCs w:val="28"/>
        </w:rPr>
        <w:t xml:space="preserve"> </w:t>
      </w:r>
      <w:r w:rsidR="00C12A5C" w:rsidRPr="001C338A">
        <w:rPr>
          <w:rFonts w:asciiTheme="minorHAnsi" w:hAnsiTheme="minorHAnsi" w:cstheme="minorHAnsi"/>
          <w:color w:val="333333"/>
          <w:szCs w:val="28"/>
        </w:rPr>
        <w:t xml:space="preserve">strengthen the </w:t>
      </w:r>
      <w:r w:rsidR="00C12A5C" w:rsidRPr="001C338A">
        <w:rPr>
          <w:rFonts w:asciiTheme="minorHAnsi" w:hAnsiTheme="minorHAnsi" w:cstheme="minorHAnsi"/>
          <w:szCs w:val="28"/>
        </w:rPr>
        <w:t>application of the principle of equal pay and the prohibition of pay discrimination</w:t>
      </w:r>
      <w:r w:rsidR="000154B6" w:rsidRPr="001C338A">
        <w:rPr>
          <w:rFonts w:asciiTheme="minorHAnsi" w:hAnsiTheme="minorHAnsi" w:cstheme="minorHAnsi"/>
          <w:color w:val="333333"/>
          <w:szCs w:val="28"/>
        </w:rPr>
        <w:t xml:space="preserve">, particularly </w:t>
      </w:r>
      <w:r w:rsidR="008034B2" w:rsidRPr="001C338A">
        <w:rPr>
          <w:rFonts w:asciiTheme="minorHAnsi" w:hAnsiTheme="minorHAnsi" w:cstheme="minorHAnsi"/>
          <w:color w:val="333333"/>
          <w:szCs w:val="28"/>
        </w:rPr>
        <w:t xml:space="preserve">for </w:t>
      </w:r>
      <w:r w:rsidR="000154B6" w:rsidRPr="001C338A">
        <w:rPr>
          <w:rFonts w:asciiTheme="minorHAnsi" w:hAnsiTheme="minorHAnsi" w:cstheme="minorHAnsi"/>
          <w:color w:val="333333"/>
          <w:szCs w:val="28"/>
        </w:rPr>
        <w:t>those employed by contractors and sub-contractors</w:t>
      </w:r>
      <w:r w:rsidRPr="001C338A">
        <w:rPr>
          <w:rFonts w:asciiTheme="minorHAnsi" w:hAnsiTheme="minorHAnsi" w:cstheme="minorHAnsi"/>
          <w:color w:val="333333"/>
          <w:szCs w:val="28"/>
        </w:rPr>
        <w:t>.</w:t>
      </w:r>
      <w:r w:rsidRPr="001C338A">
        <w:rPr>
          <w:rStyle w:val="FootnoteReference"/>
          <w:rFonts w:asciiTheme="minorHAnsi" w:hAnsiTheme="minorHAnsi" w:cstheme="minorHAnsi"/>
          <w:color w:val="333333"/>
          <w:szCs w:val="28"/>
        </w:rPr>
        <w:footnoteReference w:id="110"/>
      </w:r>
    </w:p>
    <w:p w14:paraId="5163A3B6" w14:textId="77777777" w:rsidR="008034B2" w:rsidRPr="001C338A" w:rsidRDefault="008034B2" w:rsidP="008034B2">
      <w:pPr>
        <w:pStyle w:val="11NumPara"/>
        <w:numPr>
          <w:ilvl w:val="0"/>
          <w:numId w:val="0"/>
        </w:numPr>
        <w:ind w:left="709"/>
      </w:pPr>
    </w:p>
    <w:p w14:paraId="1431E2C5" w14:textId="62ECB468" w:rsidR="00F54780" w:rsidRPr="001C338A" w:rsidRDefault="00F54780" w:rsidP="00F54780">
      <w:pPr>
        <w:pStyle w:val="11NumPara"/>
        <w:numPr>
          <w:ilvl w:val="0"/>
          <w:numId w:val="0"/>
        </w:numPr>
        <w:ind w:left="709"/>
      </w:pPr>
      <w:r w:rsidRPr="001C338A">
        <w:rPr>
          <w:rFonts w:cstheme="minorHAnsi"/>
          <w:b/>
          <w:bCs/>
          <w:color w:val="222222"/>
          <w:spacing w:val="4"/>
          <w:szCs w:val="28"/>
          <w:shd w:val="clear" w:color="auto" w:fill="FFFFFF"/>
        </w:rPr>
        <w:t>Article 25 – Victimisation and protection against less favourable treatment</w:t>
      </w:r>
    </w:p>
    <w:p w14:paraId="7C9037C2" w14:textId="4829009E" w:rsidR="003824CB" w:rsidRPr="001C338A" w:rsidRDefault="00304DC3" w:rsidP="003D03F5">
      <w:pPr>
        <w:pStyle w:val="11NumPara"/>
      </w:pPr>
      <w:r w:rsidRPr="001C338A">
        <w:rPr>
          <w:rFonts w:cstheme="minorHAnsi"/>
          <w:color w:val="222222"/>
          <w:spacing w:val="4"/>
          <w:szCs w:val="28"/>
          <w:shd w:val="clear" w:color="auto" w:fill="FFFFFF"/>
        </w:rPr>
        <w:t>These provisions on victimisation broadly reflect the existing provisions</w:t>
      </w:r>
      <w:r w:rsidR="002533E2" w:rsidRPr="001C338A">
        <w:rPr>
          <w:rFonts w:cstheme="minorHAnsi"/>
          <w:color w:val="222222"/>
          <w:spacing w:val="4"/>
          <w:szCs w:val="28"/>
          <w:shd w:val="clear" w:color="auto" w:fill="FFFFFF"/>
        </w:rPr>
        <w:t xml:space="preserve"> on victimisation</w:t>
      </w:r>
      <w:r w:rsidRPr="001C338A">
        <w:rPr>
          <w:rFonts w:cstheme="minorHAnsi"/>
          <w:color w:val="222222"/>
          <w:spacing w:val="4"/>
          <w:szCs w:val="28"/>
          <w:shd w:val="clear" w:color="auto" w:fill="FFFFFF"/>
        </w:rPr>
        <w:t xml:space="preserve"> in </w:t>
      </w:r>
      <w:r w:rsidR="003824CB" w:rsidRPr="001C338A">
        <w:rPr>
          <w:rFonts w:cstheme="minorHAnsi"/>
          <w:color w:val="222222"/>
          <w:spacing w:val="4"/>
          <w:szCs w:val="28"/>
          <w:shd w:val="clear" w:color="auto" w:fill="FFFFFF"/>
        </w:rPr>
        <w:t>Article 24 of the Recast Directive</w:t>
      </w:r>
      <w:r w:rsidR="00045C26" w:rsidRPr="001C338A">
        <w:rPr>
          <w:rFonts w:cstheme="minorHAnsi"/>
          <w:color w:val="222222"/>
          <w:spacing w:val="4"/>
          <w:szCs w:val="28"/>
          <w:shd w:val="clear" w:color="auto" w:fill="FFFFFF"/>
        </w:rPr>
        <w:t xml:space="preserve">, and codify </w:t>
      </w:r>
      <w:r w:rsidR="000321EC" w:rsidRPr="001C338A">
        <w:rPr>
          <w:rFonts w:cstheme="minorHAnsi"/>
          <w:color w:val="222222"/>
          <w:spacing w:val="4"/>
          <w:szCs w:val="28"/>
          <w:shd w:val="clear" w:color="auto" w:fill="FFFFFF"/>
        </w:rPr>
        <w:t>decisions of the CJEU,</w:t>
      </w:r>
      <w:r w:rsidR="009B6FED" w:rsidRPr="001C338A">
        <w:rPr>
          <w:rFonts w:cstheme="minorHAnsi"/>
          <w:color w:val="222222"/>
          <w:spacing w:val="4"/>
          <w:szCs w:val="28"/>
          <w:shd w:val="clear" w:color="auto" w:fill="FFFFFF"/>
        </w:rPr>
        <w:t xml:space="preserve"> subject to the points below.</w:t>
      </w:r>
      <w:r w:rsidR="009E29B4" w:rsidRPr="001C338A">
        <w:rPr>
          <w:rFonts w:cstheme="minorHAnsi"/>
          <w:color w:val="222222"/>
          <w:spacing w:val="4"/>
          <w:szCs w:val="28"/>
          <w:shd w:val="clear" w:color="auto" w:fill="FFFFFF"/>
        </w:rPr>
        <w:t xml:space="preserve"> They also strengthen rights relating to the prohibition of discrimination in this area.</w:t>
      </w:r>
    </w:p>
    <w:p w14:paraId="6A73B083" w14:textId="2A06586A" w:rsidR="00FD3E27" w:rsidRPr="001C338A" w:rsidRDefault="003824CB" w:rsidP="00F54780">
      <w:pPr>
        <w:pStyle w:val="11NumPara"/>
      </w:pPr>
      <w:r w:rsidRPr="001C338A">
        <w:rPr>
          <w:rFonts w:cstheme="minorHAnsi"/>
          <w:color w:val="222222"/>
          <w:spacing w:val="4"/>
          <w:szCs w:val="28"/>
          <w:shd w:val="clear" w:color="auto" w:fill="FFFFFF"/>
        </w:rPr>
        <w:t xml:space="preserve">They provide </w:t>
      </w:r>
      <w:r w:rsidR="002533E2" w:rsidRPr="001C338A">
        <w:rPr>
          <w:rFonts w:cstheme="minorHAnsi"/>
          <w:color w:val="222222"/>
          <w:spacing w:val="4"/>
          <w:szCs w:val="28"/>
          <w:shd w:val="clear" w:color="auto" w:fill="FFFFFF"/>
        </w:rPr>
        <w:t xml:space="preserve">that </w:t>
      </w:r>
      <w:r w:rsidR="00F710B8" w:rsidRPr="001C338A">
        <w:rPr>
          <w:rFonts w:cstheme="minorHAnsi"/>
          <w:color w:val="222222"/>
          <w:spacing w:val="4"/>
          <w:szCs w:val="28"/>
          <w:shd w:val="clear" w:color="auto" w:fill="FFFFFF"/>
        </w:rPr>
        <w:t>Member States must ensure that w</w:t>
      </w:r>
      <w:r w:rsidR="00C04807" w:rsidRPr="001C338A">
        <w:rPr>
          <w:rFonts w:cstheme="minorHAnsi"/>
          <w:color w:val="222222"/>
          <w:spacing w:val="4"/>
          <w:szCs w:val="28"/>
          <w:shd w:val="clear" w:color="auto" w:fill="FFFFFF"/>
        </w:rPr>
        <w:t xml:space="preserve">orkers and their representatives should not </w:t>
      </w:r>
      <w:proofErr w:type="gramStart"/>
      <w:r w:rsidR="00C04807" w:rsidRPr="001C338A">
        <w:rPr>
          <w:rFonts w:cstheme="minorHAnsi"/>
          <w:color w:val="222222"/>
          <w:spacing w:val="4"/>
          <w:szCs w:val="28"/>
          <w:shd w:val="clear" w:color="auto" w:fill="FFFFFF"/>
        </w:rPr>
        <w:t>be treated</w:t>
      </w:r>
      <w:proofErr w:type="gramEnd"/>
      <w:r w:rsidR="00C04807" w:rsidRPr="001C338A">
        <w:rPr>
          <w:rFonts w:cstheme="minorHAnsi"/>
          <w:color w:val="222222"/>
          <w:spacing w:val="4"/>
          <w:szCs w:val="28"/>
          <w:shd w:val="clear" w:color="auto" w:fill="FFFFFF"/>
        </w:rPr>
        <w:t xml:space="preserve"> less favourably after having exercised their right to equal pay or any right provided for in this directive. </w:t>
      </w:r>
      <w:r w:rsidR="006E1014" w:rsidRPr="001C338A">
        <w:rPr>
          <w:rFonts w:cstheme="minorHAnsi"/>
          <w:color w:val="222222"/>
          <w:spacing w:val="4"/>
          <w:szCs w:val="28"/>
          <w:shd w:val="clear" w:color="auto" w:fill="FFFFFF"/>
        </w:rPr>
        <w:t xml:space="preserve">They provide that </w:t>
      </w:r>
      <w:r w:rsidR="00C04807" w:rsidRPr="001C338A">
        <w:rPr>
          <w:rFonts w:cstheme="minorHAnsi"/>
          <w:color w:val="222222"/>
          <w:spacing w:val="4"/>
          <w:szCs w:val="28"/>
          <w:shd w:val="clear" w:color="auto" w:fill="FFFFFF"/>
        </w:rPr>
        <w:t xml:space="preserve">Member States </w:t>
      </w:r>
      <w:r w:rsidR="000F7FB3" w:rsidRPr="001C338A">
        <w:rPr>
          <w:rFonts w:cstheme="minorHAnsi"/>
          <w:color w:val="222222"/>
          <w:spacing w:val="4"/>
          <w:szCs w:val="28"/>
          <w:shd w:val="clear" w:color="auto" w:fill="FFFFFF"/>
        </w:rPr>
        <w:t xml:space="preserve">must </w:t>
      </w:r>
      <w:r w:rsidR="00C04807" w:rsidRPr="001C338A">
        <w:rPr>
          <w:rFonts w:cstheme="minorHAnsi"/>
          <w:color w:val="222222"/>
          <w:spacing w:val="4"/>
          <w:szCs w:val="28"/>
          <w:shd w:val="clear" w:color="auto" w:fill="FFFFFF"/>
        </w:rPr>
        <w:t>introduce, at national level, measures to protect workers, including workers' representatives, against dismissal or any other adverse treatment by employers following a complaint or following legal proceedings aimed at enforcing compliance with the any right or obligation relating to equal pay for the same work or work of equal value.</w:t>
      </w:r>
    </w:p>
    <w:p w14:paraId="4B12F0ED" w14:textId="707321D7" w:rsidR="000F7FB3" w:rsidRPr="001C338A" w:rsidRDefault="00AE7E24" w:rsidP="00F54780">
      <w:pPr>
        <w:pStyle w:val="11NumPara"/>
      </w:pPr>
      <w:r w:rsidRPr="001C338A">
        <w:rPr>
          <w:rFonts w:cstheme="minorHAnsi"/>
          <w:szCs w:val="28"/>
        </w:rPr>
        <w:t xml:space="preserve">The Recitals to the PTD (58) make it clear that </w:t>
      </w:r>
      <w:r w:rsidR="000D66FA" w:rsidRPr="001C338A">
        <w:rPr>
          <w:rFonts w:cstheme="minorHAnsi"/>
          <w:szCs w:val="28"/>
        </w:rPr>
        <w:t>“</w:t>
      </w:r>
      <w:r w:rsidR="000D66FA" w:rsidRPr="001C338A">
        <w:rPr>
          <w:rFonts w:cstheme="minorHAnsi"/>
          <w:i/>
          <w:iCs/>
          <w:szCs w:val="28"/>
        </w:rPr>
        <w:t>a</w:t>
      </w:r>
      <w:r w:rsidRPr="001C338A">
        <w:rPr>
          <w:rFonts w:cstheme="minorHAnsi"/>
          <w:i/>
          <w:iCs/>
          <w:szCs w:val="28"/>
        </w:rPr>
        <w:t xml:space="preserve">ccording to the case-law of the Court of Justice </w:t>
      </w:r>
      <w:r w:rsidR="000D66FA" w:rsidRPr="001C338A">
        <w:rPr>
          <w:rStyle w:val="FootnoteReference"/>
          <w:rFonts w:cstheme="minorHAnsi"/>
          <w:i/>
          <w:iCs/>
          <w:szCs w:val="28"/>
        </w:rPr>
        <w:footnoteReference w:id="111"/>
      </w:r>
      <w:r w:rsidRPr="001C338A">
        <w:rPr>
          <w:rFonts w:cstheme="minorHAnsi"/>
          <w:i/>
          <w:iCs/>
          <w:szCs w:val="28"/>
        </w:rPr>
        <w:t xml:space="preserve"> the category of employees who are entitled to the protection should be interpreted broadly and include all employees who may be subject to retaliatory measures taken by an employer in response to a complaint of discrimination on grounds of sex</w:t>
      </w:r>
      <w:r w:rsidR="000D66FA" w:rsidRPr="001C338A">
        <w:rPr>
          <w:rFonts w:cstheme="minorHAnsi"/>
          <w:szCs w:val="28"/>
        </w:rPr>
        <w:t>”</w:t>
      </w:r>
      <w:r w:rsidRPr="001C338A">
        <w:rPr>
          <w:rFonts w:cstheme="minorHAnsi"/>
          <w:szCs w:val="28"/>
        </w:rPr>
        <w:t>.</w:t>
      </w:r>
      <w:r w:rsidR="008919BA" w:rsidRPr="001C338A">
        <w:rPr>
          <w:rFonts w:cstheme="minorHAnsi"/>
          <w:szCs w:val="28"/>
        </w:rPr>
        <w:t xml:space="preserve"> They also state that “</w:t>
      </w:r>
      <w:r w:rsidR="008919BA" w:rsidRPr="001C338A">
        <w:rPr>
          <w:rFonts w:cstheme="minorHAnsi"/>
          <w:i/>
          <w:iCs/>
          <w:szCs w:val="28"/>
        </w:rPr>
        <w:t>t</w:t>
      </w:r>
      <w:r w:rsidRPr="001C338A">
        <w:rPr>
          <w:rFonts w:cstheme="minorHAnsi"/>
          <w:i/>
          <w:iCs/>
          <w:szCs w:val="28"/>
        </w:rPr>
        <w:t>he protection is not limited solely to employees who have lodged complaints or their representatives, or to those who comply with certain formal requirements governing the recognition of a certain status, such as that of a witness</w:t>
      </w:r>
      <w:r w:rsidR="008919BA" w:rsidRPr="001C338A">
        <w:rPr>
          <w:rFonts w:cstheme="minorHAnsi"/>
          <w:szCs w:val="28"/>
        </w:rPr>
        <w:t>.”</w:t>
      </w:r>
    </w:p>
    <w:p w14:paraId="0D03ADA1" w14:textId="4CF809E3" w:rsidR="008919BA" w:rsidRPr="001C338A" w:rsidRDefault="0034472E" w:rsidP="00F54780">
      <w:pPr>
        <w:pStyle w:val="11NumPara"/>
      </w:pPr>
      <w:r w:rsidRPr="001C338A">
        <w:rPr>
          <w:rFonts w:cstheme="minorHAnsi"/>
          <w:szCs w:val="28"/>
        </w:rPr>
        <w:t>It will be noted that</w:t>
      </w:r>
      <w:r w:rsidR="008919BA" w:rsidRPr="001C338A">
        <w:rPr>
          <w:rFonts w:cstheme="minorHAnsi"/>
          <w:szCs w:val="28"/>
        </w:rPr>
        <w:t xml:space="preserve">, unlike the Recast Directive, </w:t>
      </w:r>
      <w:r w:rsidRPr="001C338A">
        <w:rPr>
          <w:rFonts w:cstheme="minorHAnsi"/>
          <w:szCs w:val="28"/>
        </w:rPr>
        <w:t xml:space="preserve">the PTD </w:t>
      </w:r>
      <w:r w:rsidR="008919BA" w:rsidRPr="001C338A">
        <w:rPr>
          <w:rFonts w:cstheme="minorHAnsi"/>
          <w:szCs w:val="28"/>
        </w:rPr>
        <w:t>refer</w:t>
      </w:r>
      <w:r w:rsidRPr="001C338A">
        <w:rPr>
          <w:rFonts w:cstheme="minorHAnsi"/>
          <w:szCs w:val="28"/>
        </w:rPr>
        <w:t xml:space="preserve">s </w:t>
      </w:r>
      <w:r w:rsidR="00473020" w:rsidRPr="001C338A">
        <w:rPr>
          <w:rFonts w:cstheme="minorHAnsi"/>
          <w:szCs w:val="28"/>
        </w:rPr>
        <w:t xml:space="preserve">to the need for Member States to ensure protection against victimisation for not </w:t>
      </w:r>
      <w:r w:rsidR="00472F43" w:rsidRPr="001C338A">
        <w:rPr>
          <w:rFonts w:cstheme="minorHAnsi"/>
          <w:szCs w:val="28"/>
        </w:rPr>
        <w:t>only w</w:t>
      </w:r>
      <w:r w:rsidR="00473020" w:rsidRPr="001C338A">
        <w:rPr>
          <w:rFonts w:cstheme="minorHAnsi"/>
          <w:szCs w:val="28"/>
        </w:rPr>
        <w:t xml:space="preserve">orkers </w:t>
      </w:r>
      <w:r w:rsidR="00473020" w:rsidRPr="001C338A">
        <w:rPr>
          <w:rFonts w:cstheme="minorHAnsi"/>
          <w:szCs w:val="28"/>
        </w:rPr>
        <w:lastRenderedPageBreak/>
        <w:t xml:space="preserve">and their workers’ representatives </w:t>
      </w:r>
      <w:r w:rsidR="00472F43" w:rsidRPr="001C338A">
        <w:rPr>
          <w:rFonts w:cstheme="minorHAnsi"/>
          <w:szCs w:val="28"/>
        </w:rPr>
        <w:t>but also those who “</w:t>
      </w:r>
      <w:r w:rsidR="00473020" w:rsidRPr="001C338A">
        <w:rPr>
          <w:rFonts w:cstheme="minorHAnsi"/>
          <w:i/>
          <w:iCs/>
          <w:szCs w:val="28"/>
        </w:rPr>
        <w:t>have supported another person in the protection of that person’s rights</w:t>
      </w:r>
      <w:proofErr w:type="gramStart"/>
      <w:r w:rsidR="00472F43" w:rsidRPr="001C338A">
        <w:rPr>
          <w:rFonts w:cstheme="minorHAnsi"/>
          <w:i/>
          <w:iCs/>
          <w:szCs w:val="28"/>
        </w:rPr>
        <w:t>”</w:t>
      </w:r>
      <w:r w:rsidR="00473020" w:rsidRPr="001C338A">
        <w:rPr>
          <w:rFonts w:cstheme="minorHAnsi"/>
          <w:szCs w:val="28"/>
        </w:rPr>
        <w:t>.</w:t>
      </w:r>
      <w:proofErr w:type="gramEnd"/>
    </w:p>
    <w:p w14:paraId="1BA7C6BC" w14:textId="539FB26D" w:rsidR="008A7924" w:rsidRPr="001C338A" w:rsidRDefault="00BE3F58" w:rsidP="003D03F5">
      <w:pPr>
        <w:pStyle w:val="11NumPara"/>
      </w:pPr>
      <w:r w:rsidRPr="001C338A">
        <w:rPr>
          <w:rFonts w:asciiTheme="minorHAnsi" w:hAnsiTheme="minorHAnsi" w:cstheme="minorHAnsi"/>
          <w:color w:val="333333"/>
          <w:szCs w:val="28"/>
        </w:rPr>
        <w:t xml:space="preserve">The Commissions consider that these provisions on </w:t>
      </w:r>
      <w:r w:rsidRPr="001C338A">
        <w:rPr>
          <w:rFonts w:asciiTheme="minorHAnsi" w:hAnsiTheme="minorHAnsi" w:cstheme="minorHAnsi"/>
          <w:noProof/>
          <w:szCs w:val="28"/>
        </w:rPr>
        <w:t xml:space="preserve">victimisation </w:t>
      </w:r>
      <w:r w:rsidR="00C109D6" w:rsidRPr="001C338A">
        <w:rPr>
          <w:rFonts w:asciiTheme="minorHAnsi" w:hAnsiTheme="minorHAnsi" w:cstheme="minorHAnsi"/>
          <w:color w:val="333333"/>
          <w:szCs w:val="28"/>
        </w:rPr>
        <w:t xml:space="preserve">strengthen the </w:t>
      </w:r>
      <w:r w:rsidR="00C109D6" w:rsidRPr="001C338A">
        <w:rPr>
          <w:rFonts w:asciiTheme="minorHAnsi" w:hAnsiTheme="minorHAnsi" w:cstheme="minorHAnsi"/>
          <w:szCs w:val="28"/>
        </w:rPr>
        <w:t xml:space="preserve">application of the principle of equal pay and the prohibition of </w:t>
      </w:r>
      <w:proofErr w:type="gramStart"/>
      <w:r w:rsidR="00C109D6" w:rsidRPr="001C338A">
        <w:rPr>
          <w:rFonts w:asciiTheme="minorHAnsi" w:hAnsiTheme="minorHAnsi" w:cstheme="minorHAnsi"/>
          <w:szCs w:val="28"/>
        </w:rPr>
        <w:t>pay discrimination</w:t>
      </w:r>
      <w:r w:rsidR="008034B2" w:rsidRPr="001C338A">
        <w:rPr>
          <w:rFonts w:asciiTheme="minorHAnsi" w:hAnsiTheme="minorHAnsi" w:cstheme="minorHAnsi"/>
          <w:szCs w:val="28"/>
        </w:rPr>
        <w:t xml:space="preserve"> and build on</w:t>
      </w:r>
      <w:proofErr w:type="gramEnd"/>
      <w:r w:rsidR="008034B2" w:rsidRPr="001C338A">
        <w:rPr>
          <w:rFonts w:asciiTheme="minorHAnsi" w:hAnsiTheme="minorHAnsi" w:cstheme="minorHAnsi"/>
          <w:szCs w:val="28"/>
        </w:rPr>
        <w:t xml:space="preserve"> </w:t>
      </w:r>
      <w:r w:rsidR="009E29B4" w:rsidRPr="001C338A">
        <w:rPr>
          <w:rFonts w:asciiTheme="minorHAnsi" w:hAnsiTheme="minorHAnsi" w:cstheme="minorHAnsi"/>
          <w:szCs w:val="28"/>
        </w:rPr>
        <w:t xml:space="preserve">and improve </w:t>
      </w:r>
      <w:r w:rsidR="008034B2" w:rsidRPr="001C338A">
        <w:rPr>
          <w:rFonts w:asciiTheme="minorHAnsi" w:hAnsiTheme="minorHAnsi" w:cstheme="minorHAnsi"/>
          <w:szCs w:val="28"/>
        </w:rPr>
        <w:t>existing provisions in the Recast Directive</w:t>
      </w:r>
      <w:r w:rsidR="005C7DFA" w:rsidRPr="001C338A">
        <w:rPr>
          <w:rFonts w:asciiTheme="minorHAnsi" w:hAnsiTheme="minorHAnsi" w:cstheme="minorHAnsi"/>
          <w:szCs w:val="28"/>
        </w:rPr>
        <w:t xml:space="preserve"> in this area</w:t>
      </w:r>
      <w:r w:rsidR="00C109D6" w:rsidRPr="001C338A">
        <w:rPr>
          <w:rFonts w:asciiTheme="minorHAnsi" w:hAnsiTheme="minorHAnsi" w:cstheme="minorHAnsi"/>
          <w:szCs w:val="28"/>
        </w:rPr>
        <w:t>.</w:t>
      </w:r>
      <w:r w:rsidRPr="001C338A">
        <w:rPr>
          <w:rStyle w:val="FootnoteReference"/>
          <w:rFonts w:asciiTheme="minorHAnsi" w:hAnsiTheme="minorHAnsi" w:cstheme="minorHAnsi"/>
          <w:color w:val="333333"/>
          <w:szCs w:val="28"/>
        </w:rPr>
        <w:footnoteReference w:id="112"/>
      </w:r>
    </w:p>
    <w:p w14:paraId="4DB018FD" w14:textId="77777777" w:rsidR="000321EC" w:rsidRPr="001C338A" w:rsidRDefault="000321EC" w:rsidP="008034B2">
      <w:pPr>
        <w:pStyle w:val="11NumPara"/>
        <w:numPr>
          <w:ilvl w:val="0"/>
          <w:numId w:val="0"/>
        </w:numPr>
      </w:pPr>
    </w:p>
    <w:p w14:paraId="1FF910C1" w14:textId="54279C7F" w:rsidR="00F54780" w:rsidRPr="001C338A" w:rsidRDefault="00F54780" w:rsidP="00F54780">
      <w:pPr>
        <w:pStyle w:val="11NumPara"/>
        <w:numPr>
          <w:ilvl w:val="0"/>
          <w:numId w:val="0"/>
        </w:numPr>
        <w:ind w:left="709"/>
        <w:rPr>
          <w:b/>
          <w:bCs/>
        </w:rPr>
      </w:pPr>
      <w:r w:rsidRPr="001C338A">
        <w:rPr>
          <w:b/>
          <w:bCs/>
        </w:rPr>
        <w:t>Article 26 – Relationship with Directive 2006/54/EC</w:t>
      </w:r>
    </w:p>
    <w:p w14:paraId="76F1EDAB" w14:textId="7183FC40" w:rsidR="00573B88" w:rsidRPr="001C338A" w:rsidRDefault="00573B88" w:rsidP="00F54780">
      <w:pPr>
        <w:pStyle w:val="11NumPara"/>
        <w:rPr>
          <w:b/>
          <w:bCs/>
        </w:rPr>
      </w:pPr>
      <w:r w:rsidRPr="001C338A">
        <w:rPr>
          <w:rFonts w:cstheme="minorHAnsi"/>
          <w:color w:val="222222"/>
          <w:spacing w:val="4"/>
          <w:szCs w:val="28"/>
          <w:shd w:val="clear" w:color="auto" w:fill="FFFFFF"/>
        </w:rPr>
        <w:t>As referred to above</w:t>
      </w:r>
      <w:r w:rsidR="00DB1B61" w:rsidRPr="001C338A">
        <w:rPr>
          <w:rFonts w:cstheme="minorHAnsi"/>
          <w:color w:val="222222"/>
          <w:spacing w:val="4"/>
          <w:szCs w:val="28"/>
          <w:shd w:val="clear" w:color="auto" w:fill="FFFFFF"/>
        </w:rPr>
        <w:t>,</w:t>
      </w:r>
      <w:r w:rsidRPr="001C338A">
        <w:rPr>
          <w:rFonts w:cstheme="minorHAnsi"/>
          <w:color w:val="222222"/>
          <w:spacing w:val="4"/>
          <w:szCs w:val="28"/>
          <w:shd w:val="clear" w:color="auto" w:fill="FFFFFF"/>
        </w:rPr>
        <w:t xml:space="preserve"> and as made clear by the European Commission in its explanatory memorandum</w:t>
      </w:r>
      <w:r w:rsidR="00DB1B61" w:rsidRPr="001C338A">
        <w:rPr>
          <w:rFonts w:cstheme="minorHAnsi"/>
          <w:color w:val="222222"/>
          <w:spacing w:val="4"/>
          <w:szCs w:val="28"/>
          <w:shd w:val="clear" w:color="auto" w:fill="FFFFFF"/>
        </w:rPr>
        <w:t xml:space="preserve"> to the proposed PTD</w:t>
      </w:r>
      <w:r w:rsidRPr="001C338A">
        <w:rPr>
          <w:rFonts w:cstheme="minorHAnsi"/>
          <w:color w:val="222222"/>
          <w:spacing w:val="4"/>
          <w:szCs w:val="28"/>
          <w:shd w:val="clear" w:color="auto" w:fill="FFFFFF"/>
        </w:rPr>
        <w:t>,  “</w:t>
      </w:r>
      <w:r w:rsidRPr="001C338A">
        <w:rPr>
          <w:rFonts w:cstheme="minorHAnsi"/>
          <w:i/>
          <w:iCs/>
          <w:color w:val="222222"/>
          <w:spacing w:val="4"/>
          <w:szCs w:val="28"/>
          <w:shd w:val="clear" w:color="auto" w:fill="FFFFFF"/>
        </w:rPr>
        <w:t>t</w:t>
      </w:r>
      <w:r w:rsidR="00D23351" w:rsidRPr="001C338A">
        <w:rPr>
          <w:rFonts w:cstheme="minorHAnsi"/>
          <w:i/>
          <w:iCs/>
          <w:color w:val="222222"/>
          <w:spacing w:val="4"/>
          <w:szCs w:val="28"/>
          <w:shd w:val="clear" w:color="auto" w:fill="FFFFFF"/>
        </w:rPr>
        <w:t>his provision clarifies the relationship with Directive 2006/54/EC in regard to enforcement measures</w:t>
      </w:r>
      <w:r w:rsidR="00D23351" w:rsidRPr="001C338A">
        <w:rPr>
          <w:rFonts w:cstheme="minorHAnsi"/>
          <w:color w:val="222222"/>
          <w:spacing w:val="4"/>
          <w:szCs w:val="28"/>
          <w:shd w:val="clear" w:color="auto" w:fill="FFFFFF"/>
        </w:rPr>
        <w:t>.</w:t>
      </w:r>
      <w:r w:rsidRPr="001C338A">
        <w:rPr>
          <w:rFonts w:cstheme="minorHAnsi"/>
          <w:color w:val="222222"/>
          <w:spacing w:val="4"/>
          <w:szCs w:val="28"/>
          <w:shd w:val="clear" w:color="auto" w:fill="FFFFFF"/>
        </w:rPr>
        <w:t>”</w:t>
      </w:r>
    </w:p>
    <w:p w14:paraId="03A519CD" w14:textId="56478D8A" w:rsidR="00546605" w:rsidRPr="001C338A" w:rsidRDefault="00DB1B61" w:rsidP="00F54780">
      <w:pPr>
        <w:pStyle w:val="11NumPara"/>
        <w:rPr>
          <w:b/>
          <w:bCs/>
        </w:rPr>
      </w:pPr>
      <w:r w:rsidRPr="001C338A">
        <w:rPr>
          <w:rFonts w:cstheme="minorHAnsi"/>
          <w:color w:val="222222"/>
          <w:spacing w:val="4"/>
          <w:szCs w:val="28"/>
          <w:shd w:val="clear" w:color="auto" w:fill="FFFFFF"/>
        </w:rPr>
        <w:t xml:space="preserve">It states </w:t>
      </w:r>
      <w:r w:rsidR="00573B88" w:rsidRPr="001C338A">
        <w:rPr>
          <w:rFonts w:cstheme="minorHAnsi"/>
          <w:color w:val="222222"/>
          <w:spacing w:val="4"/>
          <w:szCs w:val="28"/>
          <w:shd w:val="clear" w:color="auto" w:fill="FFFFFF"/>
        </w:rPr>
        <w:t>that t</w:t>
      </w:r>
      <w:r w:rsidR="00D23351" w:rsidRPr="001C338A">
        <w:rPr>
          <w:rFonts w:cstheme="minorHAnsi"/>
          <w:color w:val="222222"/>
          <w:spacing w:val="4"/>
          <w:szCs w:val="28"/>
          <w:shd w:val="clear" w:color="auto" w:fill="FFFFFF"/>
        </w:rPr>
        <w:t xml:space="preserve">he enforcement measures of </w:t>
      </w:r>
      <w:r w:rsidR="00573B88" w:rsidRPr="001C338A">
        <w:rPr>
          <w:rFonts w:cstheme="minorHAnsi"/>
          <w:color w:val="222222"/>
          <w:spacing w:val="4"/>
          <w:szCs w:val="28"/>
          <w:shd w:val="clear" w:color="auto" w:fill="FFFFFF"/>
        </w:rPr>
        <w:t>PTD “</w:t>
      </w:r>
      <w:r w:rsidR="00D23351" w:rsidRPr="001C338A">
        <w:rPr>
          <w:rFonts w:cstheme="minorHAnsi"/>
          <w:i/>
          <w:iCs/>
          <w:color w:val="222222"/>
          <w:spacing w:val="4"/>
          <w:szCs w:val="28"/>
          <w:shd w:val="clear" w:color="auto" w:fill="FFFFFF"/>
        </w:rPr>
        <w:t>shall apply to proceedings concerning any right or obligation related to the principle of equal pay between men and women for equal work or work of equal value set out in Article 4 of Directive 2006/54/EC instead of Articles 17, 18, 19, 24 and 25 of that Directive</w:t>
      </w:r>
      <w:r w:rsidRPr="001C338A">
        <w:rPr>
          <w:rFonts w:cstheme="minorHAnsi"/>
          <w:color w:val="222222"/>
          <w:spacing w:val="4"/>
          <w:szCs w:val="28"/>
          <w:shd w:val="clear" w:color="auto" w:fill="FFFFFF"/>
        </w:rPr>
        <w:t>”</w:t>
      </w:r>
      <w:r w:rsidR="00D23351" w:rsidRPr="001C338A">
        <w:rPr>
          <w:rFonts w:cstheme="minorHAnsi"/>
          <w:color w:val="222222"/>
          <w:spacing w:val="4"/>
          <w:szCs w:val="28"/>
          <w:shd w:val="clear" w:color="auto" w:fill="FFFFFF"/>
        </w:rPr>
        <w:t>.</w:t>
      </w:r>
    </w:p>
    <w:p w14:paraId="1F61A32F" w14:textId="76493E1E" w:rsidR="008A7924" w:rsidRPr="001C338A" w:rsidRDefault="006B18D7" w:rsidP="007A5174">
      <w:pPr>
        <w:pStyle w:val="11NumPara"/>
        <w:rPr>
          <w:b/>
          <w:bCs/>
        </w:rPr>
      </w:pPr>
      <w:r w:rsidRPr="001C338A">
        <w:rPr>
          <w:rFonts w:cstheme="minorHAnsi"/>
          <w:color w:val="222222"/>
          <w:spacing w:val="4"/>
          <w:szCs w:val="28"/>
          <w:shd w:val="clear" w:color="auto" w:fill="FFFFFF"/>
        </w:rPr>
        <w:t>As stated above, t</w:t>
      </w:r>
      <w:r w:rsidR="00F537B1" w:rsidRPr="001C338A">
        <w:rPr>
          <w:rFonts w:cstheme="minorHAnsi"/>
          <w:color w:val="222222"/>
          <w:spacing w:val="4"/>
          <w:szCs w:val="28"/>
          <w:shd w:val="clear" w:color="auto" w:fill="FFFFFF"/>
        </w:rPr>
        <w:t xml:space="preserve">he Commissions consider that this </w:t>
      </w:r>
      <w:r w:rsidR="00797721" w:rsidRPr="001C338A">
        <w:rPr>
          <w:rFonts w:cstheme="minorHAnsi"/>
          <w:color w:val="222222"/>
          <w:spacing w:val="4"/>
          <w:szCs w:val="28"/>
          <w:shd w:val="clear" w:color="auto" w:fill="FFFFFF"/>
        </w:rPr>
        <w:t xml:space="preserve">provision makes it </w:t>
      </w:r>
      <w:proofErr w:type="gramStart"/>
      <w:r w:rsidR="009E29B4" w:rsidRPr="001C338A">
        <w:rPr>
          <w:rFonts w:cstheme="minorHAnsi"/>
          <w:color w:val="222222"/>
          <w:spacing w:val="4"/>
          <w:szCs w:val="28"/>
          <w:shd w:val="clear" w:color="auto" w:fill="FFFFFF"/>
        </w:rPr>
        <w:t>ve</w:t>
      </w:r>
      <w:r w:rsidR="004E5D99" w:rsidRPr="001C338A">
        <w:rPr>
          <w:rFonts w:cstheme="minorHAnsi"/>
          <w:color w:val="222222"/>
          <w:spacing w:val="4"/>
          <w:szCs w:val="28"/>
          <w:shd w:val="clear" w:color="auto" w:fill="FFFFFF"/>
        </w:rPr>
        <w:t xml:space="preserve">ry </w:t>
      </w:r>
      <w:r w:rsidR="00797721" w:rsidRPr="001C338A">
        <w:rPr>
          <w:rFonts w:cstheme="minorHAnsi"/>
          <w:color w:val="222222"/>
          <w:spacing w:val="4"/>
          <w:szCs w:val="28"/>
          <w:shd w:val="clear" w:color="auto" w:fill="FFFFFF"/>
        </w:rPr>
        <w:t>clear</w:t>
      </w:r>
      <w:proofErr w:type="gramEnd"/>
      <w:r w:rsidR="00797721" w:rsidRPr="001C338A">
        <w:rPr>
          <w:rFonts w:cstheme="minorHAnsi"/>
          <w:color w:val="222222"/>
          <w:spacing w:val="4"/>
          <w:szCs w:val="28"/>
          <w:shd w:val="clear" w:color="auto" w:fill="FFFFFF"/>
        </w:rPr>
        <w:t xml:space="preserve"> </w:t>
      </w:r>
      <w:r w:rsidR="00FD0EC3" w:rsidRPr="001C338A">
        <w:rPr>
          <w:rFonts w:cstheme="minorHAnsi"/>
          <w:color w:val="222222"/>
          <w:spacing w:val="4"/>
          <w:szCs w:val="28"/>
          <w:shd w:val="clear" w:color="auto" w:fill="FFFFFF"/>
        </w:rPr>
        <w:t xml:space="preserve">that these provisions of the PTD ‘amend </w:t>
      </w:r>
      <w:r w:rsidR="00A54F72" w:rsidRPr="001C338A">
        <w:rPr>
          <w:rFonts w:cstheme="minorHAnsi"/>
          <w:color w:val="222222"/>
          <w:spacing w:val="4"/>
          <w:szCs w:val="28"/>
          <w:shd w:val="clear" w:color="auto" w:fill="FFFFFF"/>
        </w:rPr>
        <w:t>or</w:t>
      </w:r>
      <w:r w:rsidR="00FD0EC3" w:rsidRPr="001C338A">
        <w:rPr>
          <w:rFonts w:cstheme="minorHAnsi"/>
          <w:color w:val="222222"/>
          <w:spacing w:val="4"/>
          <w:szCs w:val="28"/>
          <w:shd w:val="clear" w:color="auto" w:fill="FFFFFF"/>
        </w:rPr>
        <w:t xml:space="preserve"> replace’ the provisions in the Recast Directive in these areas.</w:t>
      </w:r>
    </w:p>
    <w:p w14:paraId="7BDC5C9F" w14:textId="77777777" w:rsidR="004E5D99" w:rsidRPr="001C338A" w:rsidRDefault="004E5D99" w:rsidP="00F54780">
      <w:pPr>
        <w:pStyle w:val="11NumPara"/>
        <w:numPr>
          <w:ilvl w:val="0"/>
          <w:numId w:val="0"/>
        </w:numPr>
        <w:ind w:left="709"/>
        <w:rPr>
          <w:b/>
          <w:bCs/>
          <w:u w:val="single"/>
        </w:rPr>
      </w:pPr>
    </w:p>
    <w:p w14:paraId="610E0FBC" w14:textId="2E8C81F8" w:rsidR="00F54780" w:rsidRPr="001C338A" w:rsidRDefault="00F54780" w:rsidP="00F54780">
      <w:pPr>
        <w:pStyle w:val="11NumPara"/>
        <w:numPr>
          <w:ilvl w:val="0"/>
          <w:numId w:val="0"/>
        </w:numPr>
        <w:ind w:left="709"/>
        <w:rPr>
          <w:b/>
          <w:bCs/>
          <w:u w:val="single"/>
        </w:rPr>
      </w:pPr>
      <w:r w:rsidRPr="001C338A">
        <w:rPr>
          <w:b/>
          <w:bCs/>
          <w:u w:val="single"/>
        </w:rPr>
        <w:t>Chapter IV</w:t>
      </w:r>
      <w:r w:rsidR="00C92500">
        <w:rPr>
          <w:b/>
          <w:bCs/>
          <w:u w:val="single"/>
        </w:rPr>
        <w:t xml:space="preserve"> </w:t>
      </w:r>
      <w:r w:rsidRPr="001C338A">
        <w:rPr>
          <w:b/>
          <w:bCs/>
          <w:u w:val="single"/>
        </w:rPr>
        <w:t xml:space="preserve">- Horizontal provisions </w:t>
      </w:r>
    </w:p>
    <w:p w14:paraId="3BD50024" w14:textId="77777777" w:rsidR="006C5959" w:rsidRPr="001C338A" w:rsidRDefault="006C5959" w:rsidP="00F54780">
      <w:pPr>
        <w:pStyle w:val="11NumPara"/>
        <w:numPr>
          <w:ilvl w:val="0"/>
          <w:numId w:val="0"/>
        </w:numPr>
        <w:ind w:left="709"/>
        <w:rPr>
          <w:b/>
          <w:bCs/>
        </w:rPr>
      </w:pPr>
    </w:p>
    <w:p w14:paraId="0BD72086" w14:textId="2D497E7E" w:rsidR="008865CE" w:rsidRPr="001C338A" w:rsidRDefault="008865CE" w:rsidP="00F54780">
      <w:pPr>
        <w:pStyle w:val="11NumPara"/>
        <w:numPr>
          <w:ilvl w:val="0"/>
          <w:numId w:val="0"/>
        </w:numPr>
        <w:ind w:left="709"/>
        <w:rPr>
          <w:b/>
          <w:bCs/>
        </w:rPr>
      </w:pPr>
      <w:r w:rsidRPr="001C338A">
        <w:rPr>
          <w:b/>
          <w:bCs/>
        </w:rPr>
        <w:t>Article 27</w:t>
      </w:r>
      <w:r w:rsidR="0055007B">
        <w:rPr>
          <w:b/>
          <w:bCs/>
        </w:rPr>
        <w:t xml:space="preserve"> </w:t>
      </w:r>
      <w:r w:rsidRPr="001C338A">
        <w:rPr>
          <w:b/>
          <w:bCs/>
        </w:rPr>
        <w:t>- level of protection</w:t>
      </w:r>
    </w:p>
    <w:p w14:paraId="6C1E8F3E" w14:textId="01C78404" w:rsidR="00987678" w:rsidRPr="001C338A" w:rsidRDefault="00987678" w:rsidP="008865CE">
      <w:pPr>
        <w:pStyle w:val="11NumPara"/>
        <w:rPr>
          <w:b/>
          <w:bCs/>
        </w:rPr>
      </w:pPr>
      <w:r w:rsidRPr="001C338A">
        <w:rPr>
          <w:rFonts w:cstheme="minorHAnsi"/>
          <w:noProof/>
          <w:szCs w:val="28"/>
          <w:lang w:eastAsia="en-GB"/>
        </w:rPr>
        <w:t xml:space="preserve">This provision on level of protection replicates provisions in the Recast Directive </w:t>
      </w:r>
      <w:r w:rsidR="0068384F" w:rsidRPr="001C338A">
        <w:rPr>
          <w:rFonts w:cstheme="minorHAnsi"/>
          <w:noProof/>
          <w:szCs w:val="28"/>
          <w:lang w:eastAsia="en-GB"/>
        </w:rPr>
        <w:t>in this area (Article 27).</w:t>
      </w:r>
    </w:p>
    <w:p w14:paraId="2440099B" w14:textId="15C1393E" w:rsidR="00BD1B73" w:rsidRPr="001C338A" w:rsidRDefault="00C5619E" w:rsidP="008865CE">
      <w:pPr>
        <w:pStyle w:val="11NumPara"/>
        <w:rPr>
          <w:b/>
          <w:bCs/>
        </w:rPr>
      </w:pPr>
      <w:r w:rsidRPr="001C338A">
        <w:t>These provisions make clear that Member States may introduce or maintain provisions that are more favourable to workers than those laid down in the PTD and that the implementation of the PTD must under no circumstances constitute grounds for reducing the level of protection in the fields covered by the PTD.</w:t>
      </w:r>
    </w:p>
    <w:p w14:paraId="6525F271" w14:textId="77777777" w:rsidR="004E5D99" w:rsidRPr="001C338A" w:rsidRDefault="39799FF5" w:rsidP="6D07DF8E">
      <w:pPr>
        <w:pStyle w:val="11NumPara"/>
      </w:pPr>
      <w:r w:rsidRPr="001C338A">
        <w:rPr>
          <w:szCs w:val="28"/>
        </w:rPr>
        <w:t>The Commissions consider that</w:t>
      </w:r>
      <w:r w:rsidR="428832DC" w:rsidRPr="001C338A">
        <w:rPr>
          <w:szCs w:val="28"/>
        </w:rPr>
        <w:t xml:space="preserve">, as the PTD </w:t>
      </w:r>
      <w:r w:rsidR="006E32C7" w:rsidRPr="001C338A">
        <w:rPr>
          <w:rFonts w:asciiTheme="minorHAnsi" w:hAnsiTheme="minorHAnsi"/>
          <w:color w:val="333333"/>
        </w:rPr>
        <w:t>strengthen</w:t>
      </w:r>
      <w:r w:rsidR="002D7D52" w:rsidRPr="001C338A">
        <w:rPr>
          <w:rFonts w:asciiTheme="minorHAnsi" w:hAnsiTheme="minorHAnsi"/>
          <w:color w:val="333333"/>
        </w:rPr>
        <w:t>s</w:t>
      </w:r>
      <w:r w:rsidR="006E32C7" w:rsidRPr="001C338A">
        <w:rPr>
          <w:rFonts w:asciiTheme="minorHAnsi" w:hAnsiTheme="minorHAnsi"/>
          <w:color w:val="333333"/>
        </w:rPr>
        <w:t xml:space="preserve"> the </w:t>
      </w:r>
      <w:r w:rsidR="006E32C7" w:rsidRPr="001C338A">
        <w:rPr>
          <w:rFonts w:asciiTheme="minorHAnsi" w:hAnsiTheme="minorHAnsi"/>
        </w:rPr>
        <w:t xml:space="preserve">application of the principle of equal pay and expands </w:t>
      </w:r>
      <w:r w:rsidR="002D7D52" w:rsidRPr="001C338A">
        <w:rPr>
          <w:rFonts w:asciiTheme="minorHAnsi" w:hAnsiTheme="minorHAnsi"/>
        </w:rPr>
        <w:t xml:space="preserve">areas that are subject to the </w:t>
      </w:r>
      <w:r w:rsidR="006E32C7" w:rsidRPr="001C338A">
        <w:rPr>
          <w:rFonts w:asciiTheme="minorHAnsi" w:hAnsiTheme="minorHAnsi"/>
        </w:rPr>
        <w:t xml:space="preserve">prohibition of </w:t>
      </w:r>
      <w:r w:rsidR="006E32C7" w:rsidRPr="001C338A">
        <w:rPr>
          <w:rFonts w:asciiTheme="minorHAnsi" w:hAnsiTheme="minorHAnsi"/>
        </w:rPr>
        <w:lastRenderedPageBreak/>
        <w:t>pay discrimination,</w:t>
      </w:r>
      <w:r w:rsidRPr="001C338A">
        <w:rPr>
          <w:szCs w:val="28"/>
        </w:rPr>
        <w:t xml:space="preserve"> this provision indirectly </w:t>
      </w:r>
      <w:r w:rsidR="00E50BE0" w:rsidRPr="001C338A">
        <w:rPr>
          <w:szCs w:val="28"/>
        </w:rPr>
        <w:t>contributes to the objectives of the PTD</w:t>
      </w:r>
      <w:r w:rsidR="003A6225" w:rsidRPr="001C338A">
        <w:rPr>
          <w:szCs w:val="28"/>
        </w:rPr>
        <w:t xml:space="preserve"> by </w:t>
      </w:r>
      <w:r w:rsidR="006B0453" w:rsidRPr="001C338A">
        <w:rPr>
          <w:szCs w:val="28"/>
        </w:rPr>
        <w:t>making clear that Member States can beyond th</w:t>
      </w:r>
      <w:r w:rsidR="008421CC" w:rsidRPr="001C338A">
        <w:rPr>
          <w:szCs w:val="28"/>
        </w:rPr>
        <w:t>e provisions in the PTD and introduce more favourable provis</w:t>
      </w:r>
      <w:r w:rsidR="001A0C97" w:rsidRPr="001C338A">
        <w:rPr>
          <w:szCs w:val="28"/>
        </w:rPr>
        <w:t>ions .</w:t>
      </w:r>
      <w:r w:rsidR="001F0E4E" w:rsidRPr="001C338A">
        <w:rPr>
          <w:szCs w:val="28"/>
        </w:rPr>
        <w:t xml:space="preserve"> </w:t>
      </w:r>
    </w:p>
    <w:p w14:paraId="19B6D440" w14:textId="2F6F8AA0" w:rsidR="39799FF5" w:rsidRPr="001C338A" w:rsidRDefault="001F0E4E" w:rsidP="6D07DF8E">
      <w:pPr>
        <w:pStyle w:val="11NumPara"/>
      </w:pPr>
      <w:r w:rsidRPr="001C338A">
        <w:rPr>
          <w:szCs w:val="28"/>
        </w:rPr>
        <w:t>Critically</w:t>
      </w:r>
      <w:r w:rsidR="001A0C97" w:rsidRPr="001C338A">
        <w:rPr>
          <w:szCs w:val="28"/>
        </w:rPr>
        <w:t xml:space="preserve">,  </w:t>
      </w:r>
      <w:r w:rsidR="006740F5" w:rsidRPr="001C338A">
        <w:rPr>
          <w:szCs w:val="28"/>
        </w:rPr>
        <w:t>it indirectly contributes by</w:t>
      </w:r>
      <w:r w:rsidR="001A0C97" w:rsidRPr="001C338A">
        <w:rPr>
          <w:szCs w:val="28"/>
        </w:rPr>
        <w:t xml:space="preserve"> </w:t>
      </w:r>
      <w:r w:rsidR="006740F5" w:rsidRPr="001C338A">
        <w:rPr>
          <w:szCs w:val="28"/>
        </w:rPr>
        <w:t>plac</w:t>
      </w:r>
      <w:r w:rsidRPr="001C338A">
        <w:rPr>
          <w:szCs w:val="28"/>
        </w:rPr>
        <w:t>ing</w:t>
      </w:r>
      <w:r w:rsidR="006740F5" w:rsidRPr="001C338A">
        <w:rPr>
          <w:szCs w:val="28"/>
        </w:rPr>
        <w:t xml:space="preserve"> a requirement on Member States </w:t>
      </w:r>
      <w:r w:rsidR="009E4027" w:rsidRPr="001C338A">
        <w:rPr>
          <w:szCs w:val="28"/>
        </w:rPr>
        <w:t xml:space="preserve">to ensure </w:t>
      </w:r>
      <w:r w:rsidR="003A6225" w:rsidRPr="001C338A">
        <w:rPr>
          <w:szCs w:val="28"/>
        </w:rPr>
        <w:t>there can be no reduction</w:t>
      </w:r>
      <w:r w:rsidR="0027643D" w:rsidRPr="001C338A">
        <w:rPr>
          <w:szCs w:val="28"/>
        </w:rPr>
        <w:t xml:space="preserve"> in levels of protection</w:t>
      </w:r>
      <w:r w:rsidR="00537035" w:rsidRPr="001C338A">
        <w:rPr>
          <w:szCs w:val="28"/>
        </w:rPr>
        <w:t xml:space="preserve"> in areas</w:t>
      </w:r>
      <w:r w:rsidR="0027643D" w:rsidRPr="001C338A">
        <w:rPr>
          <w:szCs w:val="28"/>
        </w:rPr>
        <w:t xml:space="preserve"> covered by the PTD, when it is </w:t>
      </w:r>
      <w:proofErr w:type="gramStart"/>
      <w:r w:rsidR="0027643D" w:rsidRPr="001C338A">
        <w:rPr>
          <w:szCs w:val="28"/>
        </w:rPr>
        <w:t>being implemented</w:t>
      </w:r>
      <w:proofErr w:type="gramEnd"/>
      <w:r w:rsidR="009E4027" w:rsidRPr="001C338A">
        <w:rPr>
          <w:szCs w:val="28"/>
        </w:rPr>
        <w:t>. It also</w:t>
      </w:r>
      <w:r w:rsidR="39799FF5" w:rsidRPr="001C338A">
        <w:rPr>
          <w:rFonts w:asciiTheme="minorHAnsi" w:hAnsiTheme="minorHAnsi"/>
        </w:rPr>
        <w:t xml:space="preserve"> replicates </w:t>
      </w:r>
      <w:r w:rsidR="37AF34C6" w:rsidRPr="001C338A">
        <w:rPr>
          <w:noProof/>
          <w:lang w:eastAsia="en-GB"/>
        </w:rPr>
        <w:t>provisions in the Recast Directive in this area.</w:t>
      </w:r>
    </w:p>
    <w:p w14:paraId="23A79963" w14:textId="77777777" w:rsidR="00934441" w:rsidRPr="001C338A" w:rsidRDefault="00934441" w:rsidP="00B10381">
      <w:pPr>
        <w:pStyle w:val="11NumPara"/>
        <w:numPr>
          <w:ilvl w:val="0"/>
          <w:numId w:val="0"/>
        </w:numPr>
        <w:rPr>
          <w:b/>
          <w:bCs/>
        </w:rPr>
      </w:pPr>
    </w:p>
    <w:p w14:paraId="53A75C37" w14:textId="4EC927CE" w:rsidR="008865CE" w:rsidRPr="001C338A" w:rsidRDefault="008865CE" w:rsidP="008865CE">
      <w:pPr>
        <w:pStyle w:val="11NumPara"/>
        <w:numPr>
          <w:ilvl w:val="0"/>
          <w:numId w:val="0"/>
        </w:numPr>
        <w:ind w:firstLine="709"/>
        <w:rPr>
          <w:b/>
          <w:bCs/>
        </w:rPr>
      </w:pPr>
      <w:r w:rsidRPr="001C338A">
        <w:rPr>
          <w:b/>
          <w:bCs/>
        </w:rPr>
        <w:t>Article 28</w:t>
      </w:r>
      <w:r w:rsidR="00C92500">
        <w:rPr>
          <w:b/>
          <w:bCs/>
        </w:rPr>
        <w:t xml:space="preserve"> </w:t>
      </w:r>
      <w:r w:rsidRPr="001C338A">
        <w:rPr>
          <w:b/>
          <w:bCs/>
        </w:rPr>
        <w:t>-</w:t>
      </w:r>
      <w:r w:rsidR="00C92500">
        <w:rPr>
          <w:b/>
          <w:bCs/>
        </w:rPr>
        <w:t xml:space="preserve"> </w:t>
      </w:r>
      <w:r w:rsidRPr="001C338A">
        <w:rPr>
          <w:b/>
          <w:bCs/>
        </w:rPr>
        <w:t>Equality Bodies</w:t>
      </w:r>
    </w:p>
    <w:p w14:paraId="5B4DEDAE" w14:textId="56672771" w:rsidR="00C3609E" w:rsidRPr="001C338A" w:rsidRDefault="00972554" w:rsidP="008865CE">
      <w:pPr>
        <w:pStyle w:val="11NumPara"/>
        <w:rPr>
          <w:b/>
          <w:bCs/>
        </w:rPr>
      </w:pPr>
      <w:r w:rsidRPr="001C338A">
        <w:t xml:space="preserve">The provisions on equality bodies </w:t>
      </w:r>
      <w:r w:rsidR="00CF7D50" w:rsidRPr="001C338A">
        <w:t xml:space="preserve">replicate </w:t>
      </w:r>
      <w:r w:rsidR="008025E2" w:rsidRPr="001C338A">
        <w:t xml:space="preserve">some of the </w:t>
      </w:r>
      <w:r w:rsidR="001F6922" w:rsidRPr="001C338A">
        <w:t xml:space="preserve">provisions in the Recast Directive on </w:t>
      </w:r>
      <w:r w:rsidR="00DA09E5" w:rsidRPr="001C338A">
        <w:t xml:space="preserve">the </w:t>
      </w:r>
      <w:r w:rsidR="00E47DAE" w:rsidRPr="001C338A">
        <w:t xml:space="preserve">role and remit of equality bodies </w:t>
      </w:r>
      <w:r w:rsidR="0017569D" w:rsidRPr="001C338A">
        <w:t xml:space="preserve">as regards the discrimination on grounds of </w:t>
      </w:r>
      <w:r w:rsidR="00970C86" w:rsidRPr="001C338A">
        <w:t xml:space="preserve">sex, including </w:t>
      </w:r>
      <w:proofErr w:type="gramStart"/>
      <w:r w:rsidR="00970C86" w:rsidRPr="001C338A">
        <w:t>in the area of</w:t>
      </w:r>
      <w:proofErr w:type="gramEnd"/>
      <w:r w:rsidR="00970C86" w:rsidRPr="001C338A">
        <w:t xml:space="preserve"> pay (Article </w:t>
      </w:r>
      <w:r w:rsidR="00EB5C6E" w:rsidRPr="001C338A">
        <w:t>20)</w:t>
      </w:r>
      <w:r w:rsidR="00646BA5">
        <w:t>,</w:t>
      </w:r>
      <w:r w:rsidR="00C3609E" w:rsidRPr="001C338A">
        <w:t xml:space="preserve"> subject to the points below</w:t>
      </w:r>
      <w:r w:rsidR="00EB5C6E" w:rsidRPr="001C338A">
        <w:t>.</w:t>
      </w:r>
      <w:r w:rsidR="00E30940" w:rsidRPr="001C338A">
        <w:t xml:space="preserve"> </w:t>
      </w:r>
    </w:p>
    <w:p w14:paraId="6676E2FB" w14:textId="5908E01C" w:rsidR="00972554" w:rsidRPr="001C338A" w:rsidRDefault="008025E2" w:rsidP="008865CE">
      <w:pPr>
        <w:pStyle w:val="11NumPara"/>
        <w:rPr>
          <w:b/>
          <w:bCs/>
        </w:rPr>
      </w:pPr>
      <w:r w:rsidRPr="001C338A">
        <w:t>Of note</w:t>
      </w:r>
      <w:r w:rsidR="00B42970" w:rsidRPr="001C338A">
        <w:t xml:space="preserve">, </w:t>
      </w:r>
      <w:r w:rsidR="00FD0EC3" w:rsidRPr="001C338A">
        <w:t>the</w:t>
      </w:r>
      <w:r w:rsidR="00B42970" w:rsidRPr="001C338A">
        <w:t>se provisions</w:t>
      </w:r>
      <w:r w:rsidR="00E30940" w:rsidRPr="001C338A">
        <w:t xml:space="preserve"> also extend the role and remit of equality bodies </w:t>
      </w:r>
      <w:r w:rsidR="000C0A86" w:rsidRPr="001C338A">
        <w:t>to matters falling within the scope of the PTD.</w:t>
      </w:r>
    </w:p>
    <w:p w14:paraId="6486C155" w14:textId="72E0ED0C" w:rsidR="007A44CE" w:rsidRPr="001C338A" w:rsidRDefault="00812F9D" w:rsidP="008865CE">
      <w:pPr>
        <w:pStyle w:val="11NumPara"/>
        <w:rPr>
          <w:b/>
          <w:bCs/>
        </w:rPr>
      </w:pPr>
      <w:r w:rsidRPr="001C338A">
        <w:t xml:space="preserve">Critically, </w:t>
      </w:r>
      <w:r w:rsidR="001D43A5" w:rsidRPr="001C338A">
        <w:t xml:space="preserve">unlike in the Recast Directive, </w:t>
      </w:r>
      <w:r w:rsidR="005469C3" w:rsidRPr="001C338A">
        <w:t xml:space="preserve">Article </w:t>
      </w:r>
      <w:r w:rsidR="00CC0293" w:rsidRPr="001C338A">
        <w:t>28(3)</w:t>
      </w:r>
      <w:r w:rsidR="001D43A5" w:rsidRPr="001C338A">
        <w:t xml:space="preserve"> PTD that states that </w:t>
      </w:r>
      <w:r w:rsidR="00764193" w:rsidRPr="001C338A">
        <w:t xml:space="preserve">Member States </w:t>
      </w:r>
      <w:r w:rsidRPr="001C338A">
        <w:t xml:space="preserve">must </w:t>
      </w:r>
      <w:r w:rsidR="007A44CE" w:rsidRPr="001C338A">
        <w:t>“</w:t>
      </w:r>
      <w:r w:rsidR="00867E08" w:rsidRPr="001C338A">
        <w:rPr>
          <w:i/>
        </w:rPr>
        <w:t>provide their equality bodies with the adequate resources necessary for effectively carrying out their functions with regard to the respect for the right to equal pay</w:t>
      </w:r>
      <w:r w:rsidR="00867E08" w:rsidRPr="001C338A">
        <w:t>”.</w:t>
      </w:r>
    </w:p>
    <w:p w14:paraId="710EF9FC" w14:textId="52228916" w:rsidR="00552D23" w:rsidRPr="001C338A" w:rsidRDefault="004A4009" w:rsidP="00667540">
      <w:pPr>
        <w:pStyle w:val="11NumPara"/>
        <w:rPr>
          <w:b/>
          <w:bCs/>
        </w:rPr>
      </w:pPr>
      <w:r w:rsidRPr="001C338A">
        <w:rPr>
          <w:color w:val="222222"/>
          <w:spacing w:val="4"/>
          <w:shd w:val="clear" w:color="auto" w:fill="FFFFFF"/>
        </w:rPr>
        <w:t>T</w:t>
      </w:r>
      <w:r w:rsidR="00667540" w:rsidRPr="001C338A">
        <w:rPr>
          <w:color w:val="222222"/>
          <w:spacing w:val="4"/>
          <w:shd w:val="clear" w:color="auto" w:fill="FFFFFF"/>
        </w:rPr>
        <w:t>he Recitals to the PTD refer to</w:t>
      </w:r>
      <w:r w:rsidRPr="001C338A">
        <w:rPr>
          <w:color w:val="222222"/>
          <w:spacing w:val="4"/>
          <w:shd w:val="clear" w:color="auto" w:fill="FFFFFF"/>
        </w:rPr>
        <w:t xml:space="preserve"> that:</w:t>
      </w:r>
      <w:r w:rsidR="00667540" w:rsidRPr="001C338A">
        <w:rPr>
          <w:color w:val="222222"/>
          <w:spacing w:val="4"/>
          <w:shd w:val="clear" w:color="auto" w:fill="FFFFFF"/>
        </w:rPr>
        <w:t xml:space="preserve"> </w:t>
      </w:r>
      <w:r w:rsidR="002C12EA" w:rsidRPr="001C338A">
        <w:t>“</w:t>
      </w:r>
      <w:r w:rsidR="002C12EA" w:rsidRPr="001C338A">
        <w:rPr>
          <w:i/>
        </w:rPr>
        <w:t>Member States should ensure the allocation of sufficient resources to equality bodies for the effective and adequate performance of their tasks related to pay discrimination based on sex</w:t>
      </w:r>
      <w:proofErr w:type="gramStart"/>
      <w:r w:rsidR="0012546F" w:rsidRPr="001C338A">
        <w:t>”</w:t>
      </w:r>
      <w:r w:rsidR="002C12EA" w:rsidRPr="001C338A">
        <w:t>.</w:t>
      </w:r>
      <w:proofErr w:type="gramEnd"/>
      <w:r w:rsidR="002C12EA" w:rsidRPr="001C338A">
        <w:rPr>
          <w:color w:val="222222"/>
          <w:spacing w:val="4"/>
          <w:shd w:val="clear" w:color="auto" w:fill="FFFFFF"/>
        </w:rPr>
        <w:t xml:space="preserve"> </w:t>
      </w:r>
    </w:p>
    <w:p w14:paraId="1372BD52" w14:textId="66993F91" w:rsidR="00667540" w:rsidRPr="001C338A" w:rsidRDefault="00552D23" w:rsidP="00667540">
      <w:pPr>
        <w:pStyle w:val="11NumPara"/>
        <w:rPr>
          <w:b/>
          <w:bCs/>
        </w:rPr>
      </w:pPr>
      <w:r w:rsidRPr="001C338A">
        <w:rPr>
          <w:color w:val="222222"/>
          <w:spacing w:val="4"/>
          <w:shd w:val="clear" w:color="auto" w:fill="FFFFFF"/>
        </w:rPr>
        <w:t>They also state that: “</w:t>
      </w:r>
      <w:r w:rsidRPr="001C338A">
        <w:rPr>
          <w:i/>
        </w:rPr>
        <w:t xml:space="preserve">This includes, for instance , </w:t>
      </w:r>
      <w:r w:rsidR="00667540" w:rsidRPr="001C338A">
        <w:rPr>
          <w:i/>
        </w:rPr>
        <w:t>allocating amounts recovered as fines to the equality bodies for the purpose of effectively carrying out their functions in regard to the enforcement of the right to equal pay, including bringing pay discrimination claims or assisting and supporting victims in bringing such claims</w:t>
      </w:r>
      <w:r w:rsidR="00667540" w:rsidRPr="001C338A">
        <w:t>.”</w:t>
      </w:r>
      <w:r w:rsidR="00667540" w:rsidRPr="001C338A">
        <w:rPr>
          <w:rStyle w:val="FootnoteReference"/>
        </w:rPr>
        <w:footnoteReference w:id="113"/>
      </w:r>
    </w:p>
    <w:p w14:paraId="4C7B29EC" w14:textId="3366B934" w:rsidR="00867E08" w:rsidRPr="001C338A" w:rsidRDefault="00867E08" w:rsidP="008865CE">
      <w:pPr>
        <w:pStyle w:val="11NumPara"/>
        <w:rPr>
          <w:b/>
          <w:bCs/>
        </w:rPr>
      </w:pPr>
      <w:r w:rsidRPr="001C338A">
        <w:t xml:space="preserve">Further, unlike in the Recast Directive, </w:t>
      </w:r>
      <w:r w:rsidR="00254925" w:rsidRPr="001C338A">
        <w:t>Article 28(2)</w:t>
      </w:r>
      <w:r w:rsidRPr="001C338A">
        <w:t xml:space="preserve"> PTD states that </w:t>
      </w:r>
      <w:r w:rsidR="00B46467" w:rsidRPr="001C338A">
        <w:t>Member States must , in accordance with national law and practice, “</w:t>
      </w:r>
      <w:r w:rsidR="00B46467" w:rsidRPr="001C338A">
        <w:rPr>
          <w:i/>
        </w:rPr>
        <w:t>take active measures to ensure close cooperation and coordination among the labour inspectorates, the equality bodies and, where applicable, the social partners with regard to the principle of equal pay</w:t>
      </w:r>
      <w:r w:rsidR="00B46467" w:rsidRPr="001C338A">
        <w:t>.”</w:t>
      </w:r>
    </w:p>
    <w:p w14:paraId="12C4F8A7" w14:textId="7D7A270B" w:rsidR="008E1CA9" w:rsidRPr="001C338A" w:rsidRDefault="008E1CA9" w:rsidP="008865CE">
      <w:pPr>
        <w:pStyle w:val="11NumPara"/>
        <w:rPr>
          <w:b/>
          <w:bCs/>
        </w:rPr>
      </w:pPr>
      <w:r w:rsidRPr="001C338A">
        <w:rPr>
          <w:rFonts w:asciiTheme="minorHAnsi" w:hAnsiTheme="minorHAnsi"/>
          <w:color w:val="333333"/>
        </w:rPr>
        <w:t xml:space="preserve">The Commissions consider that these provisions </w:t>
      </w:r>
      <w:r w:rsidR="003C549C" w:rsidRPr="001C338A">
        <w:rPr>
          <w:rFonts w:asciiTheme="minorHAnsi" w:hAnsiTheme="minorHAnsi"/>
          <w:color w:val="333333"/>
        </w:rPr>
        <w:t xml:space="preserve">on </w:t>
      </w:r>
      <w:r w:rsidR="002D5574" w:rsidRPr="001C338A">
        <w:rPr>
          <w:rFonts w:asciiTheme="minorHAnsi" w:hAnsiTheme="minorHAnsi"/>
          <w:color w:val="333333"/>
        </w:rPr>
        <w:t>equality bodies</w:t>
      </w:r>
      <w:r w:rsidR="003C549C" w:rsidRPr="001C338A">
        <w:rPr>
          <w:rFonts w:asciiTheme="minorHAnsi" w:hAnsiTheme="minorHAnsi"/>
          <w:color w:val="333333"/>
        </w:rPr>
        <w:t xml:space="preserve"> strengthen the </w:t>
      </w:r>
      <w:r w:rsidR="003C549C" w:rsidRPr="001C338A">
        <w:rPr>
          <w:rFonts w:asciiTheme="minorHAnsi" w:hAnsiTheme="minorHAnsi"/>
        </w:rPr>
        <w:t xml:space="preserve">application </w:t>
      </w:r>
      <w:r w:rsidR="004E5D99" w:rsidRPr="001C338A">
        <w:rPr>
          <w:rFonts w:asciiTheme="minorHAnsi" w:hAnsiTheme="minorHAnsi"/>
        </w:rPr>
        <w:t xml:space="preserve">and enforcement </w:t>
      </w:r>
      <w:r w:rsidR="003C549C" w:rsidRPr="001C338A">
        <w:rPr>
          <w:rFonts w:asciiTheme="minorHAnsi" w:hAnsiTheme="minorHAnsi"/>
        </w:rPr>
        <w:t>of the principle of equal pay and the prohibition of pay discrimination</w:t>
      </w:r>
      <w:r w:rsidR="0030553B" w:rsidRPr="001C338A">
        <w:rPr>
          <w:rFonts w:asciiTheme="minorHAnsi" w:hAnsiTheme="minorHAnsi"/>
        </w:rPr>
        <w:t xml:space="preserve">, and build on </w:t>
      </w:r>
      <w:r w:rsidR="004E5D99" w:rsidRPr="001C338A">
        <w:rPr>
          <w:rFonts w:asciiTheme="minorHAnsi" w:hAnsiTheme="minorHAnsi"/>
        </w:rPr>
        <w:t xml:space="preserve">and improve </w:t>
      </w:r>
      <w:r w:rsidR="0030553B" w:rsidRPr="001C338A">
        <w:rPr>
          <w:rFonts w:asciiTheme="minorHAnsi" w:hAnsiTheme="minorHAnsi"/>
        </w:rPr>
        <w:t>existing provisions in the Recast Directive</w:t>
      </w:r>
      <w:r w:rsidR="00DA09E5" w:rsidRPr="001C338A">
        <w:rPr>
          <w:rFonts w:asciiTheme="minorHAnsi" w:hAnsiTheme="minorHAnsi"/>
        </w:rPr>
        <w:t xml:space="preserve"> in this area</w:t>
      </w:r>
      <w:r w:rsidR="0030553B" w:rsidRPr="001C338A">
        <w:rPr>
          <w:rFonts w:asciiTheme="minorHAnsi" w:hAnsiTheme="minorHAnsi"/>
        </w:rPr>
        <w:t>.</w:t>
      </w:r>
    </w:p>
    <w:p w14:paraId="5DFFDE66" w14:textId="77777777" w:rsidR="00DD2F33" w:rsidRDefault="00DD2F33" w:rsidP="00DD2F33">
      <w:pPr>
        <w:pStyle w:val="11NumPara"/>
        <w:numPr>
          <w:ilvl w:val="0"/>
          <w:numId w:val="0"/>
        </w:numPr>
        <w:ind w:firstLine="709"/>
        <w:rPr>
          <w:rFonts w:cstheme="minorHAnsi"/>
          <w:b/>
          <w:bCs/>
          <w:color w:val="222222"/>
          <w:spacing w:val="4"/>
          <w:szCs w:val="28"/>
          <w:shd w:val="clear" w:color="auto" w:fill="FFFFFF"/>
        </w:rPr>
      </w:pPr>
    </w:p>
    <w:p w14:paraId="46FB04CC" w14:textId="77777777" w:rsidR="00D15E5D" w:rsidRPr="001C338A" w:rsidRDefault="00D15E5D" w:rsidP="00DD2F33">
      <w:pPr>
        <w:pStyle w:val="11NumPara"/>
        <w:numPr>
          <w:ilvl w:val="0"/>
          <w:numId w:val="0"/>
        </w:numPr>
        <w:ind w:firstLine="709"/>
        <w:rPr>
          <w:rFonts w:cstheme="minorHAnsi"/>
          <w:b/>
          <w:bCs/>
          <w:color w:val="222222"/>
          <w:spacing w:val="4"/>
          <w:szCs w:val="28"/>
          <w:shd w:val="clear" w:color="auto" w:fill="FFFFFF"/>
        </w:rPr>
      </w:pPr>
    </w:p>
    <w:p w14:paraId="2B1A714F" w14:textId="44F351C6" w:rsidR="00DD2F33" w:rsidRPr="001C338A" w:rsidRDefault="00DD2F33" w:rsidP="00DD2F33">
      <w:pPr>
        <w:pStyle w:val="11NumPara"/>
        <w:numPr>
          <w:ilvl w:val="0"/>
          <w:numId w:val="0"/>
        </w:numPr>
        <w:ind w:firstLine="709"/>
        <w:rPr>
          <w:b/>
          <w:bCs/>
        </w:rPr>
      </w:pPr>
      <w:r w:rsidRPr="001C338A">
        <w:rPr>
          <w:rFonts w:cstheme="minorHAnsi"/>
          <w:b/>
          <w:bCs/>
          <w:color w:val="222222"/>
          <w:spacing w:val="4"/>
          <w:szCs w:val="28"/>
          <w:shd w:val="clear" w:color="auto" w:fill="FFFFFF"/>
        </w:rPr>
        <w:lastRenderedPageBreak/>
        <w:t>Article 29 – Monitoring and awareness-raising</w:t>
      </w:r>
    </w:p>
    <w:p w14:paraId="6331526A" w14:textId="5327B660" w:rsidR="008E0E07" w:rsidRPr="001C338A" w:rsidRDefault="00BD0803" w:rsidP="00DD2F33">
      <w:pPr>
        <w:pStyle w:val="11NumPara"/>
        <w:rPr>
          <w:b/>
          <w:bCs/>
        </w:rPr>
      </w:pPr>
      <w:r w:rsidRPr="001C338A">
        <w:t>The</w:t>
      </w:r>
      <w:r w:rsidR="00A71B55" w:rsidRPr="001C338A">
        <w:t>se</w:t>
      </w:r>
      <w:r w:rsidRPr="001C338A">
        <w:t xml:space="preserve"> provisions on monitoring and awareness raising </w:t>
      </w:r>
      <w:r w:rsidR="008E0E07" w:rsidRPr="001C338A">
        <w:t xml:space="preserve">provide that </w:t>
      </w:r>
      <w:r w:rsidR="00A71B55" w:rsidRPr="001C338A">
        <w:t>“</w:t>
      </w:r>
      <w:r w:rsidR="008E0E07" w:rsidRPr="001C338A">
        <w:rPr>
          <w:i/>
        </w:rPr>
        <w:t>Member States must ensure the consistent and coordinated monitoring of and support for the application of the principle of equal pay and the enforcement of all available remedies</w:t>
      </w:r>
      <w:r w:rsidR="00A71B55" w:rsidRPr="001C338A">
        <w:t>.”</w:t>
      </w:r>
      <w:r w:rsidR="00DF72FF" w:rsidRPr="001C338A">
        <w:rPr>
          <w:rStyle w:val="FootnoteReference"/>
        </w:rPr>
        <w:t xml:space="preserve"> </w:t>
      </w:r>
      <w:r w:rsidR="00DF72FF" w:rsidRPr="001C338A">
        <w:rPr>
          <w:rStyle w:val="FootnoteReference"/>
        </w:rPr>
        <w:footnoteReference w:id="114"/>
      </w:r>
    </w:p>
    <w:p w14:paraId="75A80ADD" w14:textId="540E64CD" w:rsidR="00A71B55" w:rsidRPr="001C338A" w:rsidRDefault="00A71B55" w:rsidP="00DD2F33">
      <w:pPr>
        <w:pStyle w:val="11NumPara"/>
        <w:rPr>
          <w:b/>
          <w:bCs/>
        </w:rPr>
      </w:pPr>
      <w:r w:rsidRPr="001C338A">
        <w:t xml:space="preserve">It will </w:t>
      </w:r>
      <w:proofErr w:type="gramStart"/>
      <w:r w:rsidRPr="001C338A">
        <w:t>be noted</w:t>
      </w:r>
      <w:proofErr w:type="gramEnd"/>
      <w:r w:rsidRPr="001C338A">
        <w:t xml:space="preserve"> that this obligation relates </w:t>
      </w:r>
      <w:r w:rsidR="00FA1EC7" w:rsidRPr="001C338A">
        <w:t xml:space="preserve">both to the </w:t>
      </w:r>
      <w:r w:rsidR="00E81F36" w:rsidRPr="001C338A">
        <w:t xml:space="preserve">application of </w:t>
      </w:r>
      <w:r w:rsidR="00852E6A" w:rsidRPr="001C338A">
        <w:t xml:space="preserve">the principle of </w:t>
      </w:r>
      <w:r w:rsidR="00E81F36" w:rsidRPr="001C338A">
        <w:t xml:space="preserve">equal pay and </w:t>
      </w:r>
      <w:r w:rsidR="00FA1EC7" w:rsidRPr="001C338A">
        <w:t xml:space="preserve">to </w:t>
      </w:r>
      <w:r w:rsidR="00E81F36" w:rsidRPr="001C338A">
        <w:t xml:space="preserve">the </w:t>
      </w:r>
      <w:r w:rsidR="00E81F36" w:rsidRPr="001C338A">
        <w:rPr>
          <w:u w:val="single"/>
        </w:rPr>
        <w:t>enforcement of all remedies</w:t>
      </w:r>
      <w:r w:rsidR="00E81F36" w:rsidRPr="001C338A">
        <w:t xml:space="preserve"> (which are </w:t>
      </w:r>
      <w:r w:rsidR="009735AA" w:rsidRPr="001C338A">
        <w:t>covered in PTD Chapter III)</w:t>
      </w:r>
      <w:r w:rsidR="00BD7442" w:rsidRPr="001C338A">
        <w:t>.</w:t>
      </w:r>
    </w:p>
    <w:p w14:paraId="00D9FA6E" w14:textId="473DFAB1" w:rsidR="00534F18" w:rsidRPr="001C338A" w:rsidRDefault="00BD7442" w:rsidP="00DD2F33">
      <w:pPr>
        <w:pStyle w:val="11NumPara"/>
        <w:rPr>
          <w:b/>
          <w:bCs/>
        </w:rPr>
      </w:pPr>
      <w:r w:rsidRPr="001C338A">
        <w:t xml:space="preserve">This Article also </w:t>
      </w:r>
      <w:r w:rsidR="00E63B21" w:rsidRPr="001C338A">
        <w:t>provide</w:t>
      </w:r>
      <w:r w:rsidRPr="001C338A">
        <w:t>s</w:t>
      </w:r>
      <w:r w:rsidR="00E63B21" w:rsidRPr="001C338A">
        <w:t xml:space="preserve"> that </w:t>
      </w:r>
      <w:r w:rsidR="00713809" w:rsidRPr="001C338A">
        <w:t>Member States set up or designate a dedicated monitoring body</w:t>
      </w:r>
      <w:r w:rsidR="00E63B21" w:rsidRPr="001C338A">
        <w:t xml:space="preserve">, </w:t>
      </w:r>
      <w:proofErr w:type="gramStart"/>
      <w:r w:rsidR="00E63B21" w:rsidRPr="001C338A">
        <w:t>in order to</w:t>
      </w:r>
      <w:proofErr w:type="gramEnd"/>
      <w:r w:rsidR="00E63B21" w:rsidRPr="001C338A">
        <w:t xml:space="preserve"> ensure proper monitoring of the implementation of the right to equal pay.</w:t>
      </w:r>
    </w:p>
    <w:p w14:paraId="418A91EB" w14:textId="77777777" w:rsidR="005353F6" w:rsidRPr="001C338A" w:rsidRDefault="00A6632D" w:rsidP="00DD2F33">
      <w:pPr>
        <w:pStyle w:val="11NumPara"/>
        <w:rPr>
          <w:b/>
          <w:bCs/>
        </w:rPr>
      </w:pPr>
      <w:r w:rsidRPr="001C338A">
        <w:rPr>
          <w:color w:val="222222"/>
          <w:spacing w:val="4"/>
          <w:shd w:val="clear" w:color="auto" w:fill="FFFFFF"/>
        </w:rPr>
        <w:t xml:space="preserve">This body, which may be part of an existing body pursuing similar objectives, should have specific tasks in relation to the implementation of the pay transparency measures </w:t>
      </w:r>
      <w:r w:rsidR="00E72F4D" w:rsidRPr="001C338A">
        <w:rPr>
          <w:color w:val="222222"/>
          <w:spacing w:val="4"/>
          <w:shd w:val="clear" w:color="auto" w:fill="FFFFFF"/>
        </w:rPr>
        <w:t xml:space="preserve">in the PTD </w:t>
      </w:r>
      <w:r w:rsidRPr="001C338A">
        <w:rPr>
          <w:color w:val="222222"/>
          <w:spacing w:val="4"/>
          <w:shd w:val="clear" w:color="auto" w:fill="FFFFFF"/>
        </w:rPr>
        <w:t xml:space="preserve">and gather certain data to monitor pay inequalities and the impact of the pay transparency measures. </w:t>
      </w:r>
    </w:p>
    <w:p w14:paraId="0FEFA8F0" w14:textId="686A823F" w:rsidR="005F7B67" w:rsidRPr="001C338A" w:rsidRDefault="00A6632D" w:rsidP="00DD2F33">
      <w:pPr>
        <w:pStyle w:val="11NumPara"/>
        <w:rPr>
          <w:b/>
          <w:bCs/>
        </w:rPr>
      </w:pPr>
      <w:r w:rsidRPr="001C338A">
        <w:rPr>
          <w:color w:val="222222"/>
          <w:spacing w:val="4"/>
          <w:shd w:val="clear" w:color="auto" w:fill="FFFFFF"/>
        </w:rPr>
        <w:t xml:space="preserve">The main functions of the monitoring body </w:t>
      </w:r>
      <w:r w:rsidR="005F7B67" w:rsidRPr="001C338A">
        <w:rPr>
          <w:color w:val="222222"/>
          <w:spacing w:val="4"/>
          <w:shd w:val="clear" w:color="auto" w:fill="FFFFFF"/>
        </w:rPr>
        <w:t>must include</w:t>
      </w:r>
      <w:r w:rsidR="00DD2F33" w:rsidRPr="001C338A">
        <w:rPr>
          <w:color w:val="222222"/>
          <w:spacing w:val="4"/>
          <w:shd w:val="clear" w:color="auto" w:fill="FFFFFF"/>
        </w:rPr>
        <w:t xml:space="preserve"> to</w:t>
      </w:r>
      <w:r w:rsidR="005F7B67" w:rsidRPr="001C338A">
        <w:rPr>
          <w:color w:val="222222"/>
          <w:spacing w:val="4"/>
          <w:shd w:val="clear" w:color="auto" w:fill="FFFFFF"/>
        </w:rPr>
        <w:t>:</w:t>
      </w:r>
    </w:p>
    <w:p w14:paraId="0130D5FA" w14:textId="061FF2E4" w:rsidR="00DD2F33" w:rsidRPr="001C338A" w:rsidRDefault="00DD2F33" w:rsidP="00DD2F33">
      <w:pPr>
        <w:pStyle w:val="11NumPara"/>
        <w:numPr>
          <w:ilvl w:val="0"/>
          <w:numId w:val="0"/>
        </w:numPr>
        <w:ind w:left="709"/>
      </w:pPr>
      <w:r w:rsidRPr="001C338A">
        <w:t>a)</w:t>
      </w:r>
      <w:r w:rsidR="00A532F4">
        <w:t xml:space="preserve"> </w:t>
      </w:r>
      <w:r w:rsidRPr="001C338A">
        <w:t xml:space="preserve">raise awareness among public and private undertakings and organisations, social </w:t>
      </w:r>
      <w:proofErr w:type="gramStart"/>
      <w:r w:rsidRPr="001C338A">
        <w:t>partners</w:t>
      </w:r>
      <w:proofErr w:type="gramEnd"/>
      <w:r w:rsidRPr="001C338A">
        <w:t xml:space="preserve"> and the general public to promote the principle of equal pay for equal work or work of equal value and pay transparency, including by addressing intersectional discrimination in relation to equal pay;</w:t>
      </w:r>
    </w:p>
    <w:p w14:paraId="498D8A8C" w14:textId="7CA14A07" w:rsidR="00DD2F33" w:rsidRPr="001C338A" w:rsidRDefault="00DD2F33" w:rsidP="00DD2F33">
      <w:pPr>
        <w:pStyle w:val="11NumPara"/>
        <w:numPr>
          <w:ilvl w:val="0"/>
          <w:numId w:val="0"/>
        </w:numPr>
        <w:ind w:left="709"/>
      </w:pPr>
      <w:r w:rsidRPr="001C338A">
        <w:t>b)</w:t>
      </w:r>
      <w:r w:rsidR="00A532F4">
        <w:t xml:space="preserve"> </w:t>
      </w:r>
      <w:r w:rsidRPr="001C338A">
        <w:t>analyse the causes of the gender pay gap and provide tools to help assess pay inequalities;</w:t>
      </w:r>
    </w:p>
    <w:p w14:paraId="5608F593" w14:textId="7EB1828B" w:rsidR="00DD2F33" w:rsidRPr="001C338A" w:rsidRDefault="00DD2F33" w:rsidP="00DD2F33">
      <w:pPr>
        <w:pStyle w:val="11NumPara"/>
        <w:numPr>
          <w:ilvl w:val="0"/>
          <w:numId w:val="0"/>
        </w:numPr>
        <w:ind w:left="709"/>
      </w:pPr>
      <w:r w:rsidRPr="001C338A">
        <w:t>c)</w:t>
      </w:r>
      <w:r w:rsidR="00A532F4">
        <w:t xml:space="preserve"> </w:t>
      </w:r>
      <w:r w:rsidRPr="001C338A">
        <w:t>collect and publish data from employers</w:t>
      </w:r>
      <w:r w:rsidR="00FC11CB">
        <w:rPr>
          <w:rStyle w:val="FootnoteReference"/>
        </w:rPr>
        <w:footnoteReference w:id="115"/>
      </w:r>
      <w:r w:rsidRPr="001C338A">
        <w:t>, pursuant to the pay transparency measures under the PTD and ensure their publication in accessible and user-friendly</w:t>
      </w:r>
      <w:r w:rsidR="00296711">
        <w:t xml:space="preserve"> and that allows for comparison</w:t>
      </w:r>
      <w:r w:rsidR="00C039DE">
        <w:t xml:space="preserve"> between employers, </w:t>
      </w:r>
      <w:proofErr w:type="gramStart"/>
      <w:r w:rsidR="00C039DE">
        <w:t>sectors</w:t>
      </w:r>
      <w:proofErr w:type="gramEnd"/>
      <w:r w:rsidR="00C039DE">
        <w:t xml:space="preserve"> and regions of the Member State</w:t>
      </w:r>
      <w:r w:rsidRPr="001C338A">
        <w:t>;</w:t>
      </w:r>
    </w:p>
    <w:p w14:paraId="30C1F01B" w14:textId="18E2B7DD" w:rsidR="00DD2F33" w:rsidRPr="001C338A" w:rsidRDefault="00DD2F33" w:rsidP="00DD2F33">
      <w:pPr>
        <w:pStyle w:val="11NumPara"/>
        <w:numPr>
          <w:ilvl w:val="0"/>
          <w:numId w:val="0"/>
        </w:numPr>
        <w:ind w:left="709"/>
      </w:pPr>
      <w:r w:rsidRPr="001C338A">
        <w:t>d)</w:t>
      </w:r>
      <w:r w:rsidR="00A532F4">
        <w:t xml:space="preserve"> </w:t>
      </w:r>
      <w:r w:rsidRPr="001C338A">
        <w:t>collect joint pay assessment reports pursuant to the PTD;</w:t>
      </w:r>
    </w:p>
    <w:p w14:paraId="29D7D6A1" w14:textId="14046713" w:rsidR="00DD2F33" w:rsidRPr="001C338A" w:rsidRDefault="00DD2F33" w:rsidP="00DD2F33">
      <w:pPr>
        <w:pStyle w:val="11NumPara"/>
        <w:numPr>
          <w:ilvl w:val="0"/>
          <w:numId w:val="0"/>
        </w:numPr>
        <w:ind w:left="709"/>
      </w:pPr>
      <w:r w:rsidRPr="001C338A">
        <w:t>e)</w:t>
      </w:r>
      <w:r w:rsidR="00A532F4">
        <w:t xml:space="preserve"> </w:t>
      </w:r>
      <w:r w:rsidRPr="001C338A">
        <w:t>aggregate data on the number and types of pay discrimination cases brought before the courts and complaints brought before the competent public authorities, including equality bodies.</w:t>
      </w:r>
    </w:p>
    <w:p w14:paraId="30F675A3" w14:textId="25A50766" w:rsidR="00E81F3D" w:rsidRPr="001C338A" w:rsidRDefault="006C02E6" w:rsidP="00DD2F33">
      <w:pPr>
        <w:pStyle w:val="11NumPara"/>
        <w:rPr>
          <w:b/>
          <w:bCs/>
        </w:rPr>
      </w:pPr>
      <w:r w:rsidRPr="001C338A">
        <w:t>The Commissions consider</w:t>
      </w:r>
      <w:r w:rsidR="006F49C0" w:rsidRPr="001C338A">
        <w:t xml:space="preserve"> that</w:t>
      </w:r>
      <w:r w:rsidR="008A1BA5" w:rsidRPr="001C338A">
        <w:t xml:space="preserve"> </w:t>
      </w:r>
      <w:r w:rsidRPr="001C338A">
        <w:t xml:space="preserve">the obligation (Article </w:t>
      </w:r>
      <w:r w:rsidR="00193AFD" w:rsidRPr="001C338A">
        <w:t>29 (4)) on Member States</w:t>
      </w:r>
      <w:r w:rsidR="008A1BA5" w:rsidRPr="001C338A">
        <w:t xml:space="preserve">, to provide, </w:t>
      </w:r>
      <w:r w:rsidRPr="001C338A">
        <w:t xml:space="preserve">in a single submission, </w:t>
      </w:r>
      <w:r w:rsidR="006F49C0" w:rsidRPr="001C338A">
        <w:t xml:space="preserve">to </w:t>
      </w:r>
      <w:r w:rsidRPr="001C338A">
        <w:t xml:space="preserve">the </w:t>
      </w:r>
      <w:r w:rsidR="008A1BA5" w:rsidRPr="001C338A">
        <w:t xml:space="preserve">European </w:t>
      </w:r>
      <w:r w:rsidRPr="001C338A">
        <w:t>Commission</w:t>
      </w:r>
      <w:r w:rsidR="001330AE" w:rsidRPr="001C338A">
        <w:t>, by 7 June 2028 and every two years thereafter,</w:t>
      </w:r>
      <w:r w:rsidRPr="001C338A">
        <w:t xml:space="preserve"> with data referred to in points (c), (d), and (e)</w:t>
      </w:r>
      <w:r w:rsidR="00CE344A" w:rsidRPr="001C338A">
        <w:t xml:space="preserve"> above, </w:t>
      </w:r>
      <w:r w:rsidR="00411D83" w:rsidRPr="001C338A">
        <w:t>should not be mandatory as</w:t>
      </w:r>
      <w:r w:rsidR="00D90410" w:rsidRPr="001C338A">
        <w:t xml:space="preserve"> regards the UK Government as </w:t>
      </w:r>
      <w:r w:rsidR="0032600F" w:rsidRPr="001C338A">
        <w:t>the UK</w:t>
      </w:r>
      <w:r w:rsidR="00D90410" w:rsidRPr="001C338A">
        <w:t xml:space="preserve"> has </w:t>
      </w:r>
      <w:r w:rsidR="006F49C0" w:rsidRPr="001C338A">
        <w:t xml:space="preserve">now </w:t>
      </w:r>
      <w:r w:rsidR="00D90410" w:rsidRPr="001C338A">
        <w:t xml:space="preserve">left the EU. However, the Commissions consider that the </w:t>
      </w:r>
      <w:r w:rsidR="002B105F" w:rsidRPr="001C338A">
        <w:t xml:space="preserve">regular </w:t>
      </w:r>
      <w:r w:rsidR="00D90410" w:rsidRPr="001C338A">
        <w:t xml:space="preserve">publication of that data </w:t>
      </w:r>
      <w:r w:rsidR="002F3BC9" w:rsidRPr="001C338A">
        <w:t>relating to Northern Ireland</w:t>
      </w:r>
      <w:r w:rsidR="002B105F" w:rsidRPr="001C338A">
        <w:t xml:space="preserve">, </w:t>
      </w:r>
      <w:r w:rsidR="00CF3F10" w:rsidRPr="001C338A">
        <w:t xml:space="preserve">provided it is published </w:t>
      </w:r>
      <w:r w:rsidR="002B105F" w:rsidRPr="001C338A">
        <w:t>in a transparent and accessible format,</w:t>
      </w:r>
      <w:r w:rsidR="002F3BC9" w:rsidRPr="001C338A">
        <w:t xml:space="preserve"> is important as it will </w:t>
      </w:r>
      <w:r w:rsidR="006F49C0" w:rsidRPr="001C338A">
        <w:t>assist with data comparisons with EU countries in this area</w:t>
      </w:r>
      <w:proofErr w:type="gramStart"/>
      <w:r w:rsidR="006F49C0" w:rsidRPr="001C338A">
        <w:t>.</w:t>
      </w:r>
      <w:r w:rsidR="00C038CA" w:rsidRPr="001C338A">
        <w:t xml:space="preserve"> </w:t>
      </w:r>
      <w:r w:rsidR="00CF3F10" w:rsidRPr="001C338A">
        <w:t xml:space="preserve"> </w:t>
      </w:r>
      <w:proofErr w:type="gramEnd"/>
      <w:r w:rsidR="00CF3F10" w:rsidRPr="001C338A">
        <w:t xml:space="preserve">It will also assist </w:t>
      </w:r>
      <w:r w:rsidR="00C038CA" w:rsidRPr="001C338A">
        <w:t xml:space="preserve">in </w:t>
      </w:r>
      <w:r w:rsidR="00CF3F10" w:rsidRPr="001C338A">
        <w:lastRenderedPageBreak/>
        <w:t xml:space="preserve">monitoring progress in Northern Ireland as regards </w:t>
      </w:r>
      <w:r w:rsidR="00C038CA" w:rsidRPr="001C338A">
        <w:t xml:space="preserve">the </w:t>
      </w:r>
      <w:r w:rsidR="00CF3F10" w:rsidRPr="001C338A">
        <w:t xml:space="preserve">implementation of the </w:t>
      </w:r>
      <w:r w:rsidR="00C038CA" w:rsidRPr="001C338A">
        <w:t>right to equal pay.</w:t>
      </w:r>
    </w:p>
    <w:p w14:paraId="01E4CEB8" w14:textId="398C3C4C" w:rsidR="00934441" w:rsidRPr="00B10381" w:rsidRDefault="005052F6" w:rsidP="00B10381">
      <w:pPr>
        <w:pStyle w:val="11NumPara"/>
        <w:rPr>
          <w:b/>
          <w:bCs/>
        </w:rPr>
      </w:pPr>
      <w:r w:rsidRPr="001C338A">
        <w:rPr>
          <w:rFonts w:asciiTheme="minorHAnsi" w:hAnsiTheme="minorHAnsi"/>
          <w:color w:val="333333"/>
        </w:rPr>
        <w:t xml:space="preserve">The Commissions </w:t>
      </w:r>
      <w:r w:rsidR="0033066B" w:rsidRPr="001C338A">
        <w:rPr>
          <w:rFonts w:asciiTheme="minorHAnsi" w:hAnsiTheme="minorHAnsi"/>
          <w:color w:val="333333"/>
        </w:rPr>
        <w:t xml:space="preserve">consider that </w:t>
      </w:r>
      <w:r w:rsidRPr="001C338A">
        <w:rPr>
          <w:rFonts w:asciiTheme="minorHAnsi" w:hAnsiTheme="minorHAnsi"/>
          <w:color w:val="333333"/>
        </w:rPr>
        <w:t xml:space="preserve">these provisions on </w:t>
      </w:r>
      <w:r w:rsidR="0050680D" w:rsidRPr="001C338A">
        <w:rPr>
          <w:rFonts w:asciiTheme="minorHAnsi" w:hAnsiTheme="minorHAnsi"/>
          <w:color w:val="333333"/>
        </w:rPr>
        <w:t xml:space="preserve">monitoring and awareness </w:t>
      </w:r>
      <w:r w:rsidR="006126C8" w:rsidRPr="001C338A">
        <w:rPr>
          <w:rFonts w:asciiTheme="minorHAnsi" w:hAnsiTheme="minorHAnsi"/>
          <w:color w:val="333333"/>
        </w:rPr>
        <w:t>s</w:t>
      </w:r>
      <w:r w:rsidR="001629F8" w:rsidRPr="001C338A">
        <w:rPr>
          <w:rFonts w:asciiTheme="minorHAnsi" w:hAnsiTheme="minorHAnsi"/>
          <w:color w:val="333333"/>
        </w:rPr>
        <w:t>trengthen</w:t>
      </w:r>
      <w:r w:rsidR="006126C8" w:rsidRPr="001C338A">
        <w:rPr>
          <w:rFonts w:asciiTheme="minorHAnsi" w:hAnsiTheme="minorHAnsi"/>
          <w:color w:val="333333"/>
        </w:rPr>
        <w:t xml:space="preserve"> </w:t>
      </w:r>
      <w:r w:rsidR="00F16195" w:rsidRPr="001C338A">
        <w:rPr>
          <w:rFonts w:asciiTheme="minorHAnsi" w:hAnsiTheme="minorHAnsi"/>
          <w:color w:val="333333"/>
        </w:rPr>
        <w:t xml:space="preserve">the application </w:t>
      </w:r>
      <w:r w:rsidR="001629F8" w:rsidRPr="001C338A">
        <w:rPr>
          <w:rFonts w:asciiTheme="minorHAnsi" w:hAnsiTheme="minorHAnsi"/>
          <w:color w:val="333333"/>
        </w:rPr>
        <w:t xml:space="preserve">and enforcement </w:t>
      </w:r>
      <w:r w:rsidRPr="001C338A">
        <w:rPr>
          <w:rFonts w:asciiTheme="minorHAnsi" w:hAnsiTheme="minorHAnsi"/>
          <w:color w:val="333333"/>
        </w:rPr>
        <w:t>of the principle of equal pay</w:t>
      </w:r>
      <w:r w:rsidR="00F65B03" w:rsidRPr="001C338A">
        <w:rPr>
          <w:rFonts w:asciiTheme="minorHAnsi" w:hAnsiTheme="minorHAnsi"/>
        </w:rPr>
        <w:t xml:space="preserve"> and the prohibition of pay discrimination</w:t>
      </w:r>
      <w:r w:rsidRPr="001C338A">
        <w:rPr>
          <w:rFonts w:asciiTheme="minorHAnsi" w:hAnsiTheme="minorHAnsi"/>
          <w:color w:val="333333"/>
        </w:rPr>
        <w:t>.</w:t>
      </w:r>
    </w:p>
    <w:p w14:paraId="12A97E25" w14:textId="77777777" w:rsidR="00365CA1" w:rsidRDefault="00365CA1" w:rsidP="00DD2F33">
      <w:pPr>
        <w:pStyle w:val="11NumPara"/>
        <w:numPr>
          <w:ilvl w:val="0"/>
          <w:numId w:val="0"/>
        </w:numPr>
        <w:ind w:left="709"/>
        <w:rPr>
          <w:b/>
          <w:bCs/>
        </w:rPr>
      </w:pPr>
    </w:p>
    <w:p w14:paraId="1D373C09" w14:textId="58D58704" w:rsidR="00DD2F33" w:rsidRPr="001C338A" w:rsidRDefault="00DD2F33" w:rsidP="00DD2F33">
      <w:pPr>
        <w:pStyle w:val="11NumPara"/>
        <w:numPr>
          <w:ilvl w:val="0"/>
          <w:numId w:val="0"/>
        </w:numPr>
        <w:ind w:left="709"/>
        <w:rPr>
          <w:b/>
          <w:bCs/>
        </w:rPr>
      </w:pPr>
      <w:r w:rsidRPr="001C338A">
        <w:rPr>
          <w:b/>
          <w:bCs/>
        </w:rPr>
        <w:t xml:space="preserve">Article </w:t>
      </w:r>
      <w:r w:rsidR="00EC030C" w:rsidRPr="001C338A">
        <w:rPr>
          <w:b/>
          <w:bCs/>
        </w:rPr>
        <w:t>30</w:t>
      </w:r>
      <w:r w:rsidRPr="001C338A">
        <w:rPr>
          <w:b/>
          <w:bCs/>
        </w:rPr>
        <w:t xml:space="preserve"> – Collective bargaining and action</w:t>
      </w:r>
    </w:p>
    <w:p w14:paraId="13DC7C43" w14:textId="7D93D26D" w:rsidR="00897432" w:rsidRPr="001C338A" w:rsidRDefault="00897432" w:rsidP="00DD2F33">
      <w:pPr>
        <w:pStyle w:val="11NumPara"/>
        <w:rPr>
          <w:b/>
          <w:bCs/>
        </w:rPr>
      </w:pPr>
      <w:r w:rsidRPr="001C338A">
        <w:rPr>
          <w:rFonts w:asciiTheme="minorHAnsi" w:hAnsiTheme="minorHAnsi"/>
          <w:color w:val="333333"/>
        </w:rPr>
        <w:t xml:space="preserve">This provision reaffirms that the </w:t>
      </w:r>
      <w:r w:rsidR="00355E7D" w:rsidRPr="001C338A">
        <w:rPr>
          <w:rFonts w:asciiTheme="minorHAnsi" w:hAnsiTheme="minorHAnsi"/>
          <w:color w:val="333333"/>
        </w:rPr>
        <w:t>PTD</w:t>
      </w:r>
      <w:r w:rsidRPr="001C338A">
        <w:rPr>
          <w:rFonts w:asciiTheme="minorHAnsi" w:hAnsiTheme="minorHAnsi"/>
          <w:color w:val="333333"/>
        </w:rPr>
        <w:t xml:space="preserve"> does not affect in any way the right of social partners to negotiate, conclude and enforce collective agreements, as well as to take collective action.</w:t>
      </w:r>
      <w:r w:rsidR="009C4039" w:rsidRPr="001C338A">
        <w:rPr>
          <w:rStyle w:val="FootnoteReference"/>
          <w:rFonts w:asciiTheme="minorHAnsi" w:hAnsiTheme="minorHAnsi"/>
          <w:color w:val="333333"/>
        </w:rPr>
        <w:footnoteReference w:id="116"/>
      </w:r>
    </w:p>
    <w:p w14:paraId="3569509D" w14:textId="50E6BAE3" w:rsidR="001E6D70" w:rsidRPr="001C338A" w:rsidRDefault="001E6D70" w:rsidP="00DD2F33">
      <w:pPr>
        <w:pStyle w:val="11NumPara"/>
        <w:rPr>
          <w:b/>
          <w:bCs/>
        </w:rPr>
      </w:pPr>
      <w:r w:rsidRPr="001C338A">
        <w:rPr>
          <w:rFonts w:asciiTheme="minorHAnsi" w:hAnsiTheme="minorHAnsi"/>
          <w:color w:val="333333"/>
        </w:rPr>
        <w:t xml:space="preserve">The Commissions </w:t>
      </w:r>
      <w:r w:rsidR="001F5259" w:rsidRPr="001C338A">
        <w:rPr>
          <w:rFonts w:asciiTheme="minorHAnsi" w:hAnsiTheme="minorHAnsi"/>
          <w:color w:val="333333"/>
        </w:rPr>
        <w:t xml:space="preserve">consider this to be an ancillary provision that reaffirms </w:t>
      </w:r>
      <w:r w:rsidR="001B120B" w:rsidRPr="001C338A">
        <w:rPr>
          <w:rFonts w:asciiTheme="minorHAnsi" w:hAnsiTheme="minorHAnsi"/>
          <w:color w:val="333333"/>
        </w:rPr>
        <w:t xml:space="preserve">rights of social partners </w:t>
      </w:r>
      <w:r w:rsidRPr="001C338A">
        <w:rPr>
          <w:rFonts w:asciiTheme="minorHAnsi" w:hAnsiTheme="minorHAnsi"/>
          <w:color w:val="333333"/>
        </w:rPr>
        <w:t xml:space="preserve">on </w:t>
      </w:r>
      <w:r w:rsidR="00743298" w:rsidRPr="001C338A">
        <w:rPr>
          <w:rFonts w:asciiTheme="minorHAnsi" w:hAnsiTheme="minorHAnsi"/>
          <w:color w:val="333333"/>
        </w:rPr>
        <w:t>collective bargaining and action</w:t>
      </w:r>
      <w:r w:rsidRPr="001C338A">
        <w:rPr>
          <w:rFonts w:asciiTheme="minorHAnsi" w:hAnsiTheme="minorHAnsi"/>
          <w:color w:val="333333"/>
        </w:rPr>
        <w:t>.</w:t>
      </w:r>
      <w:r w:rsidR="007C2A2E" w:rsidRPr="001C338A">
        <w:rPr>
          <w:rFonts w:asciiTheme="minorHAnsi" w:hAnsiTheme="minorHAnsi"/>
          <w:color w:val="333333"/>
        </w:rPr>
        <w:t xml:space="preserve"> </w:t>
      </w:r>
    </w:p>
    <w:p w14:paraId="146A0AF4" w14:textId="77777777" w:rsidR="00F26DDD" w:rsidRPr="001C338A" w:rsidRDefault="00F26DDD" w:rsidP="00F26DDD">
      <w:pPr>
        <w:pStyle w:val="11NumPara"/>
        <w:numPr>
          <w:ilvl w:val="0"/>
          <w:numId w:val="0"/>
        </w:numPr>
        <w:ind w:left="709"/>
        <w:rPr>
          <w:b/>
          <w:bCs/>
        </w:rPr>
      </w:pPr>
    </w:p>
    <w:p w14:paraId="3B9045AC" w14:textId="4F51388B" w:rsidR="00DD2F33" w:rsidRPr="001C338A" w:rsidRDefault="00DD2F33" w:rsidP="00DD2F33">
      <w:pPr>
        <w:pStyle w:val="11NumPara"/>
        <w:numPr>
          <w:ilvl w:val="1"/>
          <w:numId w:val="0"/>
        </w:numPr>
        <w:ind w:firstLine="709"/>
        <w:rPr>
          <w:b/>
          <w:bCs/>
        </w:rPr>
      </w:pPr>
      <w:r w:rsidRPr="001C338A">
        <w:rPr>
          <w:b/>
          <w:bCs/>
        </w:rPr>
        <w:t>Article</w:t>
      </w:r>
      <w:r w:rsidR="00727AC9">
        <w:rPr>
          <w:b/>
          <w:bCs/>
        </w:rPr>
        <w:t xml:space="preserve"> </w:t>
      </w:r>
      <w:r w:rsidRPr="001C338A">
        <w:rPr>
          <w:b/>
          <w:bCs/>
        </w:rPr>
        <w:t>31</w:t>
      </w:r>
      <w:r w:rsidR="00934441">
        <w:rPr>
          <w:b/>
          <w:bCs/>
        </w:rPr>
        <w:t xml:space="preserve"> - </w:t>
      </w:r>
      <w:r w:rsidRPr="001C338A">
        <w:rPr>
          <w:b/>
          <w:bCs/>
        </w:rPr>
        <w:t>Statistics</w:t>
      </w:r>
    </w:p>
    <w:p w14:paraId="79E2283F" w14:textId="77777777" w:rsidR="00E27B21" w:rsidRPr="001C338A" w:rsidRDefault="00DA2E61" w:rsidP="00DD2F33">
      <w:pPr>
        <w:pStyle w:val="11NumPara"/>
        <w:rPr>
          <w:b/>
          <w:bCs/>
        </w:rPr>
      </w:pPr>
      <w:r w:rsidRPr="001C338A">
        <w:rPr>
          <w:rFonts w:asciiTheme="minorHAnsi" w:hAnsiTheme="minorHAnsi"/>
        </w:rPr>
        <w:t xml:space="preserve">This provision requires Member States, on an annual basis, to provide the European Commission (Eurostat) with up-to-date national data for the calculation of the gender pay gap in unadjusted form. Those statistics must </w:t>
      </w:r>
      <w:proofErr w:type="gramStart"/>
      <w:r w:rsidRPr="001C338A">
        <w:rPr>
          <w:rFonts w:asciiTheme="minorHAnsi" w:hAnsiTheme="minorHAnsi"/>
        </w:rPr>
        <w:t>be broken</w:t>
      </w:r>
      <w:proofErr w:type="gramEnd"/>
      <w:r w:rsidRPr="001C338A">
        <w:rPr>
          <w:rFonts w:asciiTheme="minorHAnsi" w:hAnsiTheme="minorHAnsi"/>
        </w:rPr>
        <w:t xml:space="preserve"> down by sex, economic sector, working time (full-time/part-time), economic control (public/private ownership) and age and shall be calculated on an annual basis. The data </w:t>
      </w:r>
      <w:r w:rsidR="00E27B21" w:rsidRPr="001C338A">
        <w:rPr>
          <w:rFonts w:asciiTheme="minorHAnsi" w:hAnsiTheme="minorHAnsi"/>
        </w:rPr>
        <w:t xml:space="preserve">must </w:t>
      </w:r>
      <w:proofErr w:type="gramStart"/>
      <w:r w:rsidRPr="001C338A">
        <w:rPr>
          <w:rFonts w:asciiTheme="minorHAnsi" w:hAnsiTheme="minorHAnsi"/>
        </w:rPr>
        <w:t>be transmitted</w:t>
      </w:r>
      <w:proofErr w:type="gramEnd"/>
      <w:r w:rsidRPr="001C338A">
        <w:rPr>
          <w:rFonts w:asciiTheme="minorHAnsi" w:hAnsiTheme="minorHAnsi"/>
        </w:rPr>
        <w:t xml:space="preserve"> from 31 January 2028 for reference year 2026. </w:t>
      </w:r>
    </w:p>
    <w:p w14:paraId="788C43B9" w14:textId="10B2FD38" w:rsidR="00CB617A" w:rsidRPr="009F4095" w:rsidRDefault="00CB617A" w:rsidP="009F4095">
      <w:pPr>
        <w:pStyle w:val="11NumPara"/>
        <w:rPr>
          <w:b/>
          <w:bCs/>
        </w:rPr>
      </w:pPr>
      <w:r w:rsidRPr="001C338A">
        <w:t>The Commissions consider that this obligation should not be mandatory as regards the UK Government as the UK has now left the EU. However, the Commissions consider that the regular publication of that data relating to Northern Ireland, in a transparent and accessible format, is important as it will assist with data comparisons with EU countries in this area</w:t>
      </w:r>
      <w:r w:rsidR="00845D78" w:rsidRPr="001C338A">
        <w:t>.</w:t>
      </w:r>
      <w:r w:rsidR="00BE1D40" w:rsidRPr="001C338A">
        <w:rPr>
          <w:rStyle w:val="FootnoteReference"/>
        </w:rPr>
        <w:footnoteReference w:id="117"/>
      </w:r>
      <w:r w:rsidR="0014056B" w:rsidRPr="001C338A">
        <w:t xml:space="preserve"> It will also assist with measuring progress in Northern Ireland as regards the implementation of the right to equal pay.</w:t>
      </w:r>
    </w:p>
    <w:p w14:paraId="59BB9D13" w14:textId="77777777" w:rsidR="00DD2F33" w:rsidRPr="001C338A" w:rsidRDefault="00DD2F33" w:rsidP="00DD2F33">
      <w:pPr>
        <w:pStyle w:val="11NumPara"/>
        <w:numPr>
          <w:ilvl w:val="0"/>
          <w:numId w:val="0"/>
        </w:numPr>
        <w:ind w:left="709"/>
        <w:rPr>
          <w:b/>
          <w:bCs/>
        </w:rPr>
      </w:pPr>
    </w:p>
    <w:p w14:paraId="7AAEB028" w14:textId="5B450377" w:rsidR="00DD2F33" w:rsidRPr="001C338A" w:rsidRDefault="00DD2F33" w:rsidP="00DD2F33">
      <w:pPr>
        <w:pStyle w:val="11NumPara"/>
        <w:numPr>
          <w:ilvl w:val="0"/>
          <w:numId w:val="0"/>
        </w:numPr>
        <w:ind w:left="709"/>
        <w:rPr>
          <w:b/>
          <w:bCs/>
        </w:rPr>
      </w:pPr>
      <w:r w:rsidRPr="001C338A">
        <w:rPr>
          <w:b/>
          <w:bCs/>
        </w:rPr>
        <w:t xml:space="preserve">Article 32 </w:t>
      </w:r>
      <w:r w:rsidR="00727AC9">
        <w:rPr>
          <w:b/>
          <w:bCs/>
        </w:rPr>
        <w:t xml:space="preserve">– </w:t>
      </w:r>
      <w:r w:rsidRPr="001C338A">
        <w:rPr>
          <w:b/>
          <w:bCs/>
        </w:rPr>
        <w:t>Dissemination of information</w:t>
      </w:r>
    </w:p>
    <w:p w14:paraId="3488F0B9" w14:textId="0251D6F9" w:rsidR="001370AD" w:rsidRPr="001C338A" w:rsidRDefault="001370AD" w:rsidP="00DD2F33">
      <w:pPr>
        <w:pStyle w:val="11NumPara"/>
        <w:rPr>
          <w:b/>
          <w:bCs/>
        </w:rPr>
      </w:pPr>
      <w:r w:rsidRPr="001C338A">
        <w:rPr>
          <w:rFonts w:asciiTheme="minorHAnsi" w:hAnsiTheme="minorHAnsi"/>
        </w:rPr>
        <w:t xml:space="preserve">This Article </w:t>
      </w:r>
      <w:proofErr w:type="gramStart"/>
      <w:r w:rsidR="00333762" w:rsidRPr="001C338A">
        <w:rPr>
          <w:rFonts w:asciiTheme="minorHAnsi" w:hAnsiTheme="minorHAnsi"/>
        </w:rPr>
        <w:t>is aimed</w:t>
      </w:r>
      <w:proofErr w:type="gramEnd"/>
      <w:r w:rsidR="00333762" w:rsidRPr="001C338A">
        <w:rPr>
          <w:rFonts w:asciiTheme="minorHAnsi" w:hAnsiTheme="minorHAnsi"/>
        </w:rPr>
        <w:t xml:space="preserve"> at </w:t>
      </w:r>
      <w:r w:rsidR="000161B8" w:rsidRPr="001C338A">
        <w:rPr>
          <w:rFonts w:asciiTheme="minorHAnsi" w:hAnsiTheme="minorHAnsi"/>
        </w:rPr>
        <w:t xml:space="preserve">ensuring Member States </w:t>
      </w:r>
      <w:r w:rsidR="00333762" w:rsidRPr="001C338A">
        <w:rPr>
          <w:rFonts w:asciiTheme="minorHAnsi" w:hAnsiTheme="minorHAnsi"/>
        </w:rPr>
        <w:t>rais</w:t>
      </w:r>
      <w:r w:rsidR="000161B8" w:rsidRPr="001C338A">
        <w:rPr>
          <w:rFonts w:asciiTheme="minorHAnsi" w:hAnsiTheme="minorHAnsi"/>
        </w:rPr>
        <w:t>e</w:t>
      </w:r>
      <w:r w:rsidR="00333762" w:rsidRPr="001C338A">
        <w:rPr>
          <w:rFonts w:asciiTheme="minorHAnsi" w:hAnsiTheme="minorHAnsi"/>
        </w:rPr>
        <w:t xml:space="preserve"> awareness of the rights</w:t>
      </w:r>
      <w:r w:rsidR="000161B8" w:rsidRPr="001C338A">
        <w:rPr>
          <w:rFonts w:asciiTheme="minorHAnsi" w:hAnsiTheme="minorHAnsi"/>
        </w:rPr>
        <w:t xml:space="preserve"> of the rights and obligations</w:t>
      </w:r>
      <w:r w:rsidR="00D84F5A" w:rsidRPr="001C338A">
        <w:rPr>
          <w:rFonts w:asciiTheme="minorHAnsi" w:hAnsiTheme="minorHAnsi"/>
        </w:rPr>
        <w:t xml:space="preserve"> in the PTD as well as on other already existing rights in the same field.</w:t>
      </w:r>
      <w:r w:rsidR="00333762" w:rsidRPr="001C338A">
        <w:rPr>
          <w:rFonts w:asciiTheme="minorHAnsi" w:hAnsiTheme="minorHAnsi"/>
        </w:rPr>
        <w:t xml:space="preserve"> </w:t>
      </w:r>
    </w:p>
    <w:p w14:paraId="4C0D487D" w14:textId="111460A9" w:rsidR="009220BF" w:rsidRPr="00D15E5D" w:rsidRDefault="00D84F5A" w:rsidP="00D15E5D">
      <w:pPr>
        <w:pStyle w:val="11NumPara"/>
        <w:rPr>
          <w:b/>
          <w:bCs/>
        </w:rPr>
      </w:pPr>
      <w:r w:rsidRPr="001C338A">
        <w:rPr>
          <w:rFonts w:asciiTheme="minorHAnsi" w:hAnsiTheme="minorHAnsi"/>
          <w:color w:val="333333"/>
        </w:rPr>
        <w:t>The Commissions</w:t>
      </w:r>
      <w:r w:rsidR="00333423" w:rsidRPr="001C338A">
        <w:rPr>
          <w:rFonts w:asciiTheme="minorHAnsi" w:hAnsiTheme="minorHAnsi"/>
          <w:color w:val="333333"/>
        </w:rPr>
        <w:t xml:space="preserve"> consider that</w:t>
      </w:r>
      <w:r w:rsidRPr="001C338A">
        <w:rPr>
          <w:rFonts w:asciiTheme="minorHAnsi" w:hAnsiTheme="minorHAnsi"/>
          <w:color w:val="333333"/>
        </w:rPr>
        <w:t xml:space="preserve"> these provisions on awareness raising s</w:t>
      </w:r>
      <w:r w:rsidR="0014056B" w:rsidRPr="001C338A">
        <w:rPr>
          <w:rFonts w:asciiTheme="minorHAnsi" w:hAnsiTheme="minorHAnsi"/>
          <w:color w:val="333333"/>
        </w:rPr>
        <w:t>trengthen</w:t>
      </w:r>
      <w:r w:rsidRPr="001C338A">
        <w:rPr>
          <w:rFonts w:asciiTheme="minorHAnsi" w:hAnsiTheme="minorHAnsi"/>
          <w:color w:val="333333"/>
        </w:rPr>
        <w:t xml:space="preserve"> the application of the principle of equal pay</w:t>
      </w:r>
      <w:r w:rsidR="00C339C0" w:rsidRPr="001C338A">
        <w:rPr>
          <w:rFonts w:asciiTheme="minorHAnsi" w:hAnsiTheme="minorHAnsi"/>
          <w:color w:val="333333"/>
        </w:rPr>
        <w:t xml:space="preserve"> an</w:t>
      </w:r>
      <w:r w:rsidR="009220BF" w:rsidRPr="001C338A">
        <w:rPr>
          <w:rFonts w:asciiTheme="minorHAnsi" w:hAnsiTheme="minorHAnsi"/>
          <w:color w:val="333333"/>
        </w:rPr>
        <w:t>d</w:t>
      </w:r>
      <w:r w:rsidR="009220BF" w:rsidRPr="001C338A">
        <w:rPr>
          <w:rFonts w:asciiTheme="minorHAnsi" w:hAnsiTheme="minorHAnsi"/>
        </w:rPr>
        <w:t xml:space="preserve"> the prohibition of pay discrimination</w:t>
      </w:r>
      <w:r w:rsidR="00C339C0" w:rsidRPr="001C338A">
        <w:rPr>
          <w:rFonts w:asciiTheme="minorHAnsi" w:hAnsiTheme="minorHAnsi"/>
          <w:color w:val="333333"/>
        </w:rPr>
        <w:t>.</w:t>
      </w:r>
    </w:p>
    <w:p w14:paraId="48CFB4EF" w14:textId="77777777" w:rsidR="00365CA1" w:rsidRDefault="00365CA1" w:rsidP="00DD2F33">
      <w:pPr>
        <w:pStyle w:val="11NumPara"/>
        <w:numPr>
          <w:ilvl w:val="0"/>
          <w:numId w:val="0"/>
        </w:numPr>
        <w:ind w:firstLine="709"/>
        <w:rPr>
          <w:b/>
          <w:bCs/>
        </w:rPr>
      </w:pPr>
    </w:p>
    <w:p w14:paraId="39C69F70" w14:textId="7C57A130" w:rsidR="00DD2F33" w:rsidRPr="001C338A" w:rsidRDefault="00DD2F33" w:rsidP="00DD2F33">
      <w:pPr>
        <w:pStyle w:val="11NumPara"/>
        <w:numPr>
          <w:ilvl w:val="0"/>
          <w:numId w:val="0"/>
        </w:numPr>
        <w:ind w:firstLine="709"/>
        <w:rPr>
          <w:b/>
          <w:bCs/>
        </w:rPr>
      </w:pPr>
      <w:r w:rsidRPr="001C338A">
        <w:rPr>
          <w:b/>
          <w:bCs/>
        </w:rPr>
        <w:t xml:space="preserve">Article 33 </w:t>
      </w:r>
      <w:r w:rsidR="00727AC9">
        <w:rPr>
          <w:b/>
          <w:bCs/>
        </w:rPr>
        <w:t xml:space="preserve">- </w:t>
      </w:r>
      <w:r w:rsidRPr="001C338A">
        <w:rPr>
          <w:b/>
          <w:bCs/>
        </w:rPr>
        <w:t>Implementation</w:t>
      </w:r>
    </w:p>
    <w:p w14:paraId="22B01CB3" w14:textId="2A1C93E9" w:rsidR="000162AE" w:rsidRPr="001C338A" w:rsidRDefault="000162AE" w:rsidP="00DD2F33">
      <w:pPr>
        <w:pStyle w:val="11NumPara"/>
        <w:rPr>
          <w:b/>
          <w:bCs/>
        </w:rPr>
      </w:pPr>
      <w:r w:rsidRPr="001C338A">
        <w:rPr>
          <w:rFonts w:asciiTheme="minorHAnsi" w:hAnsiTheme="minorHAnsi"/>
        </w:rPr>
        <w:t xml:space="preserve">This Article provides that </w:t>
      </w:r>
      <w:r w:rsidR="00DA2E61" w:rsidRPr="001C338A">
        <w:rPr>
          <w:rFonts w:asciiTheme="minorHAnsi" w:hAnsiTheme="minorHAnsi"/>
        </w:rPr>
        <w:t xml:space="preserve">Member States may entrust the social partners with the implementation of </w:t>
      </w:r>
      <w:r w:rsidR="00F825B3" w:rsidRPr="001C338A">
        <w:rPr>
          <w:rFonts w:asciiTheme="minorHAnsi" w:hAnsiTheme="minorHAnsi"/>
        </w:rPr>
        <w:t>the PTD</w:t>
      </w:r>
      <w:r w:rsidR="00DA2E61" w:rsidRPr="001C338A">
        <w:rPr>
          <w:rFonts w:asciiTheme="minorHAnsi" w:hAnsiTheme="minorHAnsi"/>
        </w:rPr>
        <w:t xml:space="preserve">, </w:t>
      </w:r>
      <w:proofErr w:type="gramStart"/>
      <w:r w:rsidR="00DA2E61" w:rsidRPr="001C338A">
        <w:rPr>
          <w:rFonts w:asciiTheme="minorHAnsi" w:hAnsiTheme="minorHAnsi"/>
        </w:rPr>
        <w:t>provided that</w:t>
      </w:r>
      <w:proofErr w:type="gramEnd"/>
      <w:r w:rsidR="00DA2E61" w:rsidRPr="001C338A">
        <w:rPr>
          <w:rFonts w:asciiTheme="minorHAnsi" w:hAnsiTheme="minorHAnsi"/>
        </w:rPr>
        <w:t xml:space="preserve"> Member States take all the necessary steps to ensure that the results sought by </w:t>
      </w:r>
      <w:r w:rsidR="00F825B3" w:rsidRPr="001C338A">
        <w:rPr>
          <w:rFonts w:asciiTheme="minorHAnsi" w:hAnsiTheme="minorHAnsi"/>
        </w:rPr>
        <w:t xml:space="preserve">the PTD </w:t>
      </w:r>
      <w:r w:rsidR="00DA2E61" w:rsidRPr="001C338A">
        <w:rPr>
          <w:rFonts w:asciiTheme="minorHAnsi" w:hAnsiTheme="minorHAnsi"/>
        </w:rPr>
        <w:t xml:space="preserve">are guaranteed at all times. </w:t>
      </w:r>
    </w:p>
    <w:p w14:paraId="63A87DD8" w14:textId="0F671F6D" w:rsidR="00AC7281" w:rsidRPr="001C338A" w:rsidRDefault="00AC7281" w:rsidP="00DD2F33">
      <w:pPr>
        <w:pStyle w:val="11NumPara"/>
        <w:rPr>
          <w:b/>
          <w:bCs/>
        </w:rPr>
      </w:pPr>
      <w:r w:rsidRPr="001C338A">
        <w:rPr>
          <w:rFonts w:asciiTheme="minorHAnsi" w:hAnsiTheme="minorHAnsi"/>
        </w:rPr>
        <w:t>The Recitals to the PTD make clear that “</w:t>
      </w:r>
      <w:r w:rsidRPr="001C338A">
        <w:rPr>
          <w:rFonts w:asciiTheme="minorHAnsi" w:hAnsiTheme="minorHAnsi"/>
          <w:i/>
        </w:rPr>
        <w:t xml:space="preserve">the </w:t>
      </w:r>
      <w:r w:rsidR="006D1EC3" w:rsidRPr="001C338A">
        <w:rPr>
          <w:rFonts w:asciiTheme="minorHAnsi" w:hAnsiTheme="minorHAnsi"/>
          <w:i/>
        </w:rPr>
        <w:t xml:space="preserve">role of </w:t>
      </w:r>
      <w:r w:rsidRPr="001C338A">
        <w:rPr>
          <w:rFonts w:asciiTheme="minorHAnsi" w:hAnsiTheme="minorHAnsi"/>
          <w:i/>
        </w:rPr>
        <w:t>social partners is of key importance in designing the way pay transparency measures are implemented in Member States, especially in those with high collective bargaining coverage</w:t>
      </w:r>
      <w:r w:rsidR="00C23F70" w:rsidRPr="001C338A">
        <w:rPr>
          <w:rFonts w:asciiTheme="minorHAnsi" w:hAnsiTheme="minorHAnsi"/>
        </w:rPr>
        <w:t>” and that “</w:t>
      </w:r>
      <w:r w:rsidRPr="001C338A">
        <w:rPr>
          <w:rFonts w:asciiTheme="minorHAnsi" w:hAnsiTheme="minorHAnsi"/>
        </w:rPr>
        <w:t>Member States should therefore have the possibility to entrust the social partners with the implementation of all or part of this Directive, provided that Member States take all the necessary steps to ensure that the results sought by this Directive are guaranteed at all times.</w:t>
      </w:r>
      <w:r w:rsidR="00C23F70" w:rsidRPr="001C338A">
        <w:rPr>
          <w:rFonts w:asciiTheme="minorHAnsi" w:hAnsiTheme="minorHAnsi"/>
        </w:rPr>
        <w:t>”</w:t>
      </w:r>
      <w:r w:rsidR="00452BD2" w:rsidRPr="001C338A">
        <w:rPr>
          <w:rFonts w:asciiTheme="minorHAnsi" w:hAnsiTheme="minorHAnsi"/>
        </w:rPr>
        <w:t xml:space="preserve"> The tasks entrusted to social partners may include the development of analytical tools or methodologies or financial penalties equivalent to fines.</w:t>
      </w:r>
    </w:p>
    <w:p w14:paraId="7DA54821" w14:textId="58DC1362" w:rsidR="00313A60" w:rsidRPr="001C338A" w:rsidRDefault="00313A60" w:rsidP="00DD2F33">
      <w:pPr>
        <w:pStyle w:val="11NumPara"/>
        <w:rPr>
          <w:b/>
          <w:bCs/>
        </w:rPr>
      </w:pPr>
      <w:r w:rsidRPr="001C338A">
        <w:rPr>
          <w:rFonts w:asciiTheme="minorHAnsi" w:hAnsiTheme="minorHAnsi"/>
          <w:color w:val="333333"/>
        </w:rPr>
        <w:t xml:space="preserve">The Commissions consider that these provisions on implementation </w:t>
      </w:r>
      <w:r w:rsidR="00CB4741" w:rsidRPr="001C338A">
        <w:rPr>
          <w:rFonts w:asciiTheme="minorHAnsi" w:hAnsiTheme="minorHAnsi"/>
          <w:color w:val="333333"/>
        </w:rPr>
        <w:t>s</w:t>
      </w:r>
      <w:r w:rsidR="00452BD2" w:rsidRPr="001C338A">
        <w:rPr>
          <w:rFonts w:asciiTheme="minorHAnsi" w:hAnsiTheme="minorHAnsi"/>
          <w:color w:val="333333"/>
        </w:rPr>
        <w:t xml:space="preserve">trengthen </w:t>
      </w:r>
      <w:r w:rsidR="00CB4741" w:rsidRPr="001C338A">
        <w:rPr>
          <w:rFonts w:asciiTheme="minorHAnsi" w:hAnsiTheme="minorHAnsi"/>
          <w:color w:val="333333"/>
        </w:rPr>
        <w:t xml:space="preserve"> the application </w:t>
      </w:r>
      <w:r w:rsidR="00452BD2" w:rsidRPr="001C338A">
        <w:rPr>
          <w:rFonts w:asciiTheme="minorHAnsi" w:hAnsiTheme="minorHAnsi"/>
          <w:color w:val="333333"/>
        </w:rPr>
        <w:t xml:space="preserve">and enforcement </w:t>
      </w:r>
      <w:r w:rsidR="00CB4741" w:rsidRPr="001C338A">
        <w:rPr>
          <w:rFonts w:asciiTheme="minorHAnsi" w:hAnsiTheme="minorHAnsi"/>
          <w:color w:val="333333"/>
        </w:rPr>
        <w:t>of the principle of equal pay and</w:t>
      </w:r>
      <w:r w:rsidR="009220BF" w:rsidRPr="001C338A">
        <w:rPr>
          <w:rFonts w:asciiTheme="minorHAnsi" w:hAnsiTheme="minorHAnsi"/>
        </w:rPr>
        <w:t xml:space="preserve"> the prohibition of pay discrimination</w:t>
      </w:r>
      <w:r w:rsidRPr="001C338A">
        <w:rPr>
          <w:rFonts w:asciiTheme="minorHAnsi" w:hAnsiTheme="minorHAnsi"/>
          <w:color w:val="333333"/>
        </w:rPr>
        <w:t>.</w:t>
      </w:r>
    </w:p>
    <w:p w14:paraId="61DD0791" w14:textId="77777777" w:rsidR="00DD2F33" w:rsidRPr="001C338A" w:rsidRDefault="00DD2F33" w:rsidP="00DD2F33">
      <w:pPr>
        <w:pStyle w:val="11NumPara"/>
        <w:numPr>
          <w:ilvl w:val="0"/>
          <w:numId w:val="0"/>
        </w:numPr>
        <w:ind w:left="709"/>
        <w:rPr>
          <w:b/>
          <w:bCs/>
        </w:rPr>
      </w:pPr>
    </w:p>
    <w:p w14:paraId="35D80D1C" w14:textId="6629C2F6" w:rsidR="00DD2F33" w:rsidRPr="001C338A" w:rsidRDefault="00DD2F33" w:rsidP="00DD2F33">
      <w:pPr>
        <w:pStyle w:val="11NumPara"/>
        <w:numPr>
          <w:ilvl w:val="0"/>
          <w:numId w:val="0"/>
        </w:numPr>
        <w:ind w:left="709"/>
        <w:rPr>
          <w:b/>
          <w:bCs/>
        </w:rPr>
      </w:pPr>
      <w:r w:rsidRPr="001C338A">
        <w:rPr>
          <w:b/>
          <w:bCs/>
        </w:rPr>
        <w:t xml:space="preserve">Article 34 </w:t>
      </w:r>
      <w:r w:rsidR="00727AC9">
        <w:rPr>
          <w:b/>
          <w:bCs/>
        </w:rPr>
        <w:t xml:space="preserve">- </w:t>
      </w:r>
      <w:r w:rsidRPr="001C338A">
        <w:rPr>
          <w:b/>
          <w:bCs/>
        </w:rPr>
        <w:t>Transposition</w:t>
      </w:r>
    </w:p>
    <w:p w14:paraId="11CF7F3A" w14:textId="08965D8B" w:rsidR="004E27A5" w:rsidRPr="001C338A" w:rsidRDefault="004E27A5" w:rsidP="00DD2F33">
      <w:pPr>
        <w:pStyle w:val="11NumPara"/>
        <w:rPr>
          <w:b/>
          <w:bCs/>
        </w:rPr>
      </w:pPr>
      <w:r w:rsidRPr="001C338A">
        <w:rPr>
          <w:rFonts w:asciiTheme="minorHAnsi" w:hAnsiTheme="minorHAnsi"/>
          <w:color w:val="222222"/>
          <w:spacing w:val="4"/>
          <w:shd w:val="clear" w:color="auto" w:fill="FFFFFF"/>
        </w:rPr>
        <w:t xml:space="preserve">This provision establishes </w:t>
      </w:r>
      <w:r w:rsidR="00CB4741" w:rsidRPr="001C338A">
        <w:rPr>
          <w:rFonts w:asciiTheme="minorHAnsi" w:hAnsiTheme="minorHAnsi"/>
          <w:color w:val="222222"/>
          <w:spacing w:val="4"/>
          <w:shd w:val="clear" w:color="auto" w:fill="FFFFFF"/>
        </w:rPr>
        <w:t xml:space="preserve">that </w:t>
      </w:r>
      <w:r w:rsidRPr="001C338A">
        <w:rPr>
          <w:rFonts w:asciiTheme="minorHAnsi" w:hAnsiTheme="minorHAnsi"/>
          <w:color w:val="222222"/>
          <w:spacing w:val="4"/>
          <w:shd w:val="clear" w:color="auto" w:fill="FFFFFF"/>
        </w:rPr>
        <w:t xml:space="preserve">Member States </w:t>
      </w:r>
      <w:r w:rsidR="006D3F24" w:rsidRPr="001C338A">
        <w:rPr>
          <w:rFonts w:asciiTheme="minorHAnsi" w:hAnsiTheme="minorHAnsi"/>
          <w:color w:val="222222"/>
          <w:spacing w:val="4"/>
          <w:shd w:val="clear" w:color="auto" w:fill="FFFFFF"/>
        </w:rPr>
        <w:t xml:space="preserve">must </w:t>
      </w:r>
      <w:r w:rsidRPr="001C338A">
        <w:rPr>
          <w:rFonts w:asciiTheme="minorHAnsi" w:hAnsiTheme="minorHAnsi"/>
          <w:color w:val="222222"/>
          <w:spacing w:val="4"/>
          <w:shd w:val="clear" w:color="auto" w:fill="FFFFFF"/>
        </w:rPr>
        <w:t xml:space="preserve">transpose the PTD into national law </w:t>
      </w:r>
      <w:r w:rsidR="00405AC9" w:rsidRPr="001C338A">
        <w:rPr>
          <w:rFonts w:asciiTheme="minorHAnsi" w:hAnsiTheme="minorHAnsi"/>
          <w:color w:val="222222"/>
          <w:spacing w:val="4"/>
          <w:shd w:val="clear" w:color="auto" w:fill="FFFFFF"/>
        </w:rPr>
        <w:t xml:space="preserve">by 7 June 2026 </w:t>
      </w:r>
      <w:r w:rsidRPr="001C338A">
        <w:rPr>
          <w:rFonts w:asciiTheme="minorHAnsi" w:hAnsiTheme="minorHAnsi"/>
          <w:color w:val="222222"/>
          <w:spacing w:val="4"/>
          <w:shd w:val="clear" w:color="auto" w:fill="FFFFFF"/>
        </w:rPr>
        <w:t xml:space="preserve">and </w:t>
      </w:r>
      <w:r w:rsidR="00405AC9" w:rsidRPr="001C338A">
        <w:rPr>
          <w:rFonts w:asciiTheme="minorHAnsi" w:hAnsiTheme="minorHAnsi"/>
          <w:color w:val="222222"/>
          <w:spacing w:val="4"/>
          <w:shd w:val="clear" w:color="auto" w:fill="FFFFFF"/>
        </w:rPr>
        <w:t xml:space="preserve">immediately </w:t>
      </w:r>
      <w:r w:rsidRPr="001C338A">
        <w:rPr>
          <w:rFonts w:asciiTheme="minorHAnsi" w:hAnsiTheme="minorHAnsi"/>
          <w:color w:val="222222"/>
          <w:spacing w:val="4"/>
          <w:shd w:val="clear" w:color="auto" w:fill="FFFFFF"/>
        </w:rPr>
        <w:t xml:space="preserve">communicate the relevant texts to the European Commission. </w:t>
      </w:r>
      <w:r w:rsidR="001D2A1F" w:rsidRPr="001C338A">
        <w:rPr>
          <w:rFonts w:asciiTheme="minorHAnsi" w:hAnsiTheme="minorHAnsi"/>
        </w:rPr>
        <w:t xml:space="preserve">When informing the European Commission, Member States must also provide it with a summary of the results of an assessment regarding the impact of their transposition measures on workers and employers with fewer than 250 workers and a reference to where such assessment </w:t>
      </w:r>
      <w:proofErr w:type="gramStart"/>
      <w:r w:rsidR="001D2A1F" w:rsidRPr="001C338A">
        <w:rPr>
          <w:rFonts w:asciiTheme="minorHAnsi" w:hAnsiTheme="minorHAnsi"/>
        </w:rPr>
        <w:t>is published</w:t>
      </w:r>
      <w:proofErr w:type="gramEnd"/>
      <w:r w:rsidR="001D2A1F" w:rsidRPr="001C338A">
        <w:rPr>
          <w:rFonts w:asciiTheme="minorHAnsi" w:hAnsiTheme="minorHAnsi"/>
        </w:rPr>
        <w:t>.</w:t>
      </w:r>
    </w:p>
    <w:p w14:paraId="670D6EEB" w14:textId="02952574" w:rsidR="0015147D" w:rsidRPr="001C338A" w:rsidRDefault="00411FFA" w:rsidP="00DD2F33">
      <w:pPr>
        <w:pStyle w:val="11NumPara"/>
        <w:rPr>
          <w:b/>
          <w:bCs/>
        </w:rPr>
      </w:pPr>
      <w:r w:rsidRPr="001C338A">
        <w:rPr>
          <w:rFonts w:asciiTheme="minorHAnsi" w:hAnsiTheme="minorHAnsi"/>
        </w:rPr>
        <w:t xml:space="preserve">The Recitals to the PTD elaborate on why an impact assessment </w:t>
      </w:r>
      <w:proofErr w:type="gramStart"/>
      <w:r w:rsidRPr="001C338A">
        <w:rPr>
          <w:rFonts w:asciiTheme="minorHAnsi" w:hAnsiTheme="minorHAnsi"/>
        </w:rPr>
        <w:t>is required</w:t>
      </w:r>
      <w:proofErr w:type="gramEnd"/>
      <w:r w:rsidRPr="001C338A">
        <w:rPr>
          <w:rFonts w:asciiTheme="minorHAnsi" w:hAnsiTheme="minorHAnsi"/>
        </w:rPr>
        <w:t xml:space="preserve">. </w:t>
      </w:r>
      <w:r w:rsidR="00FB70AA" w:rsidRPr="001C338A">
        <w:rPr>
          <w:rFonts w:asciiTheme="minorHAnsi" w:hAnsiTheme="minorHAnsi"/>
        </w:rPr>
        <w:t>They state that “</w:t>
      </w:r>
      <w:r w:rsidR="00FB70AA" w:rsidRPr="001C338A">
        <w:rPr>
          <w:rFonts w:asciiTheme="minorHAnsi" w:hAnsiTheme="minorHAnsi"/>
          <w:i/>
        </w:rPr>
        <w:t>i</w:t>
      </w:r>
      <w:r w:rsidR="0015147D" w:rsidRPr="001C338A">
        <w:rPr>
          <w:rFonts w:asciiTheme="minorHAnsi" w:hAnsiTheme="minorHAnsi"/>
          <w:i/>
        </w:rPr>
        <w:t>n implementing this Directive, Member States should avoid imposing administrative, financial and legal constraints in a way which would hold back the creation and development of micro, small or medium-sized enterprises</w:t>
      </w:r>
      <w:r w:rsidR="00FB70AA" w:rsidRPr="001C338A">
        <w:rPr>
          <w:rFonts w:asciiTheme="minorHAnsi" w:hAnsiTheme="minorHAnsi"/>
        </w:rPr>
        <w:t>” and should “</w:t>
      </w:r>
      <w:r w:rsidR="0015147D" w:rsidRPr="001C338A">
        <w:rPr>
          <w:rFonts w:asciiTheme="minorHAnsi" w:hAnsiTheme="minorHAnsi"/>
          <w:i/>
        </w:rPr>
        <w:t>therefore assess the impact of their transposition measures on micro, small and medium</w:t>
      </w:r>
      <w:r w:rsidR="001D2A1F" w:rsidRPr="001C338A">
        <w:rPr>
          <w:rFonts w:asciiTheme="minorHAnsi" w:hAnsiTheme="minorHAnsi"/>
          <w:i/>
        </w:rPr>
        <w:t xml:space="preserve"> </w:t>
      </w:r>
      <w:r w:rsidR="0015147D" w:rsidRPr="001C338A">
        <w:rPr>
          <w:rFonts w:asciiTheme="minorHAnsi" w:hAnsiTheme="minorHAnsi"/>
          <w:i/>
        </w:rPr>
        <w:t>sized enterprises in order to ensure that those enterprises are not disproportionately affected, giving specific attention to microenterprises, to alleviate the administrative burden</w:t>
      </w:r>
      <w:r w:rsidR="00FB70AA" w:rsidRPr="001C338A">
        <w:rPr>
          <w:rFonts w:asciiTheme="minorHAnsi" w:hAnsiTheme="minorHAnsi"/>
          <w:i/>
        </w:rPr>
        <w:t>…</w:t>
      </w:r>
      <w:r w:rsidR="00FB70AA" w:rsidRPr="001C338A">
        <w:rPr>
          <w:rFonts w:asciiTheme="minorHAnsi" w:hAnsiTheme="minorHAnsi"/>
        </w:rPr>
        <w:t>”.</w:t>
      </w:r>
    </w:p>
    <w:p w14:paraId="19E6D5CA" w14:textId="7A9EDEAC" w:rsidR="004F755A" w:rsidRPr="001C338A" w:rsidRDefault="00FB70AA" w:rsidP="00DD2F33">
      <w:pPr>
        <w:pStyle w:val="11NumPara"/>
        <w:rPr>
          <w:b/>
          <w:bCs/>
        </w:rPr>
      </w:pPr>
      <w:r w:rsidRPr="001C338A">
        <w:rPr>
          <w:rFonts w:asciiTheme="minorHAnsi" w:hAnsiTheme="minorHAnsi"/>
        </w:rPr>
        <w:t xml:space="preserve">The Commissions consider that this obligation to </w:t>
      </w:r>
      <w:r w:rsidR="00E05198" w:rsidRPr="001C338A">
        <w:rPr>
          <w:rFonts w:asciiTheme="minorHAnsi" w:hAnsiTheme="minorHAnsi"/>
        </w:rPr>
        <w:t>communicate</w:t>
      </w:r>
      <w:r w:rsidRPr="001C338A">
        <w:rPr>
          <w:rFonts w:asciiTheme="minorHAnsi" w:hAnsiTheme="minorHAnsi"/>
        </w:rPr>
        <w:t xml:space="preserve"> to the European Commission</w:t>
      </w:r>
      <w:r w:rsidR="004F755A" w:rsidRPr="001C338A">
        <w:rPr>
          <w:rFonts w:asciiTheme="minorHAnsi" w:hAnsiTheme="minorHAnsi"/>
        </w:rPr>
        <w:t>, including on an impact assessment,</w:t>
      </w:r>
      <w:r w:rsidRPr="001C338A">
        <w:rPr>
          <w:rFonts w:asciiTheme="minorHAnsi" w:hAnsiTheme="minorHAnsi"/>
        </w:rPr>
        <w:t xml:space="preserve"> should not be mandatory as regards the UK Government as the UK has now left the EU</w:t>
      </w:r>
      <w:proofErr w:type="gramStart"/>
      <w:r w:rsidRPr="001C338A">
        <w:rPr>
          <w:rFonts w:asciiTheme="minorHAnsi" w:hAnsiTheme="minorHAnsi"/>
        </w:rPr>
        <w:t xml:space="preserve">. </w:t>
      </w:r>
      <w:r w:rsidR="004F755A" w:rsidRPr="001C338A">
        <w:rPr>
          <w:rFonts w:asciiTheme="minorHAnsi" w:hAnsiTheme="minorHAnsi"/>
        </w:rPr>
        <w:t xml:space="preserve"> </w:t>
      </w:r>
      <w:proofErr w:type="gramEnd"/>
      <w:r w:rsidR="004F755A" w:rsidRPr="001C338A">
        <w:rPr>
          <w:rFonts w:asciiTheme="minorHAnsi" w:hAnsiTheme="minorHAnsi"/>
        </w:rPr>
        <w:t xml:space="preserve">However the Commissions </w:t>
      </w:r>
      <w:r w:rsidR="007746DE" w:rsidRPr="001C338A">
        <w:rPr>
          <w:rFonts w:asciiTheme="minorHAnsi" w:hAnsiTheme="minorHAnsi"/>
        </w:rPr>
        <w:t xml:space="preserve">consider </w:t>
      </w:r>
      <w:r w:rsidR="004F755A" w:rsidRPr="001C338A">
        <w:rPr>
          <w:rFonts w:asciiTheme="minorHAnsi" w:hAnsiTheme="minorHAnsi"/>
        </w:rPr>
        <w:t xml:space="preserve">that any consultation on implementing the </w:t>
      </w:r>
      <w:r w:rsidR="004F755A" w:rsidRPr="001C338A">
        <w:rPr>
          <w:rFonts w:asciiTheme="minorHAnsi" w:hAnsiTheme="minorHAnsi"/>
        </w:rPr>
        <w:lastRenderedPageBreak/>
        <w:t xml:space="preserve">PTD in NI </w:t>
      </w:r>
      <w:r w:rsidR="007746DE" w:rsidRPr="001C338A">
        <w:rPr>
          <w:rFonts w:asciiTheme="minorHAnsi" w:hAnsiTheme="minorHAnsi"/>
        </w:rPr>
        <w:t>should</w:t>
      </w:r>
      <w:r w:rsidR="004F755A" w:rsidRPr="001C338A">
        <w:rPr>
          <w:rFonts w:asciiTheme="minorHAnsi" w:hAnsiTheme="minorHAnsi"/>
        </w:rPr>
        <w:t xml:space="preserve"> consider the impact on workers and employers with fewer than 250 workers.</w:t>
      </w:r>
    </w:p>
    <w:p w14:paraId="21B81B44" w14:textId="228242A8" w:rsidR="00F8696D" w:rsidRPr="00D15E5D" w:rsidRDefault="004F755A" w:rsidP="00D15E5D">
      <w:pPr>
        <w:pStyle w:val="11NumPara"/>
        <w:rPr>
          <w:b/>
          <w:bCs/>
        </w:rPr>
      </w:pPr>
      <w:r w:rsidRPr="001C338A">
        <w:t>A</w:t>
      </w:r>
      <w:r w:rsidR="00FB70AA" w:rsidRPr="001C338A">
        <w:t xml:space="preserve">s regards the transposition timeline, the Commissions consider that the </w:t>
      </w:r>
      <w:r w:rsidR="00753791" w:rsidRPr="001C338A">
        <w:t xml:space="preserve">relevant provisions of the </w:t>
      </w:r>
      <w:r w:rsidR="00FB70AA" w:rsidRPr="001C338A">
        <w:t xml:space="preserve">PTD should </w:t>
      </w:r>
      <w:proofErr w:type="gramStart"/>
      <w:r w:rsidR="00FB70AA" w:rsidRPr="001C338A">
        <w:t>be transposed</w:t>
      </w:r>
      <w:proofErr w:type="gramEnd"/>
      <w:r w:rsidR="00FB70AA" w:rsidRPr="001C338A">
        <w:t xml:space="preserve"> into NI law </w:t>
      </w:r>
      <w:r w:rsidR="00753791" w:rsidRPr="001C338A">
        <w:t xml:space="preserve">by </w:t>
      </w:r>
      <w:r w:rsidR="00753791" w:rsidRPr="001C338A">
        <w:rPr>
          <w:color w:val="222222"/>
          <w:spacing w:val="4"/>
          <w:shd w:val="clear" w:color="auto" w:fill="FFFFFF"/>
        </w:rPr>
        <w:t xml:space="preserve">7 June 2026, aligned to the </w:t>
      </w:r>
      <w:r w:rsidR="00E05198" w:rsidRPr="001C338A">
        <w:rPr>
          <w:color w:val="222222"/>
          <w:spacing w:val="4"/>
          <w:shd w:val="clear" w:color="auto" w:fill="FFFFFF"/>
        </w:rPr>
        <w:t>deadline in the PTD for Member States.</w:t>
      </w:r>
    </w:p>
    <w:p w14:paraId="7DFE839D" w14:textId="77777777" w:rsidR="00934441" w:rsidRPr="001C338A" w:rsidRDefault="00934441" w:rsidP="00DD2F33">
      <w:pPr>
        <w:pStyle w:val="11NumPara"/>
        <w:numPr>
          <w:ilvl w:val="0"/>
          <w:numId w:val="0"/>
        </w:numPr>
        <w:ind w:firstLine="709"/>
        <w:rPr>
          <w:b/>
          <w:bCs/>
        </w:rPr>
      </w:pPr>
    </w:p>
    <w:p w14:paraId="489C057E" w14:textId="3BD15649" w:rsidR="00DD2F33" w:rsidRPr="001C338A" w:rsidRDefault="00DD2F33" w:rsidP="00DD2F33">
      <w:pPr>
        <w:pStyle w:val="11NumPara"/>
        <w:numPr>
          <w:ilvl w:val="0"/>
          <w:numId w:val="0"/>
        </w:numPr>
        <w:ind w:firstLine="709"/>
        <w:rPr>
          <w:b/>
          <w:bCs/>
        </w:rPr>
      </w:pPr>
      <w:r w:rsidRPr="001C338A">
        <w:rPr>
          <w:b/>
          <w:bCs/>
        </w:rPr>
        <w:t>Article 3</w:t>
      </w:r>
      <w:r w:rsidR="00441848" w:rsidRPr="001C338A">
        <w:rPr>
          <w:b/>
          <w:bCs/>
        </w:rPr>
        <w:t>5</w:t>
      </w:r>
      <w:r w:rsidRPr="001C338A">
        <w:rPr>
          <w:b/>
          <w:bCs/>
        </w:rPr>
        <w:t xml:space="preserve"> – Reporting and review</w:t>
      </w:r>
    </w:p>
    <w:p w14:paraId="4871D3C5" w14:textId="6832AF0E" w:rsidR="002C0C55" w:rsidRPr="001C338A" w:rsidRDefault="00AF3AD3" w:rsidP="00DD2F33">
      <w:pPr>
        <w:pStyle w:val="11NumPara"/>
        <w:rPr>
          <w:b/>
          <w:bCs/>
        </w:rPr>
      </w:pPr>
      <w:r w:rsidRPr="001C338A">
        <w:rPr>
          <w:color w:val="222222"/>
          <w:spacing w:val="4"/>
          <w:shd w:val="clear" w:color="auto" w:fill="FFFFFF"/>
        </w:rPr>
        <w:t>This provision establishes an obligation for Member States to communicate to the European Commission all information concerning the application of the Directive at the latest eight years after the entry into force, allowing the Commission to review the application of the Directive.</w:t>
      </w:r>
      <w:r w:rsidR="002F6EFC" w:rsidRPr="001C338A">
        <w:rPr>
          <w:color w:val="222222"/>
          <w:spacing w:val="4"/>
          <w:shd w:val="clear" w:color="auto" w:fill="FFFFFF"/>
        </w:rPr>
        <w:t xml:space="preserve"> Specifically, by June 2031, Member States must inform the European Commission about the implementation of the PTD and its impact in practice.</w:t>
      </w:r>
    </w:p>
    <w:p w14:paraId="4ED081E9" w14:textId="77777777" w:rsidR="00C80736" w:rsidRPr="001C338A" w:rsidRDefault="00AF3AD3" w:rsidP="00C80736">
      <w:pPr>
        <w:pStyle w:val="11NumPara"/>
        <w:rPr>
          <w:b/>
          <w:bCs/>
        </w:rPr>
      </w:pPr>
      <w:r w:rsidRPr="001C338A">
        <w:t xml:space="preserve">The Commissions consider that this obligation to communicate to the European Commission </w:t>
      </w:r>
      <w:r w:rsidR="00095579" w:rsidRPr="001C338A">
        <w:t xml:space="preserve">on the implementation of the PTD </w:t>
      </w:r>
      <w:r w:rsidRPr="001C338A">
        <w:t xml:space="preserve">should not be mandatory as regards the UK Government as the UK has now left the EU. </w:t>
      </w:r>
      <w:r w:rsidR="00C80736" w:rsidRPr="001C338A">
        <w:t xml:space="preserve">However, the Commissions consider there is value in government, after a reasonable </w:t>
      </w:r>
      <w:proofErr w:type="gramStart"/>
      <w:r w:rsidR="00C80736" w:rsidRPr="001C338A">
        <w:t>period of time</w:t>
      </w:r>
      <w:proofErr w:type="gramEnd"/>
      <w:r w:rsidR="00C80736" w:rsidRPr="001C338A">
        <w:t xml:space="preserve">, carrying out an independent review of the application and impact of the PTD in Northern Ireland, and publishing that review. </w:t>
      </w:r>
    </w:p>
    <w:p w14:paraId="0E18ABD0" w14:textId="3014AEF6" w:rsidR="00AF3AD3" w:rsidRPr="001C338A" w:rsidRDefault="00AF3AD3" w:rsidP="00FB7676">
      <w:pPr>
        <w:pStyle w:val="11NumPara"/>
        <w:numPr>
          <w:ilvl w:val="0"/>
          <w:numId w:val="0"/>
        </w:numPr>
        <w:ind w:left="709"/>
        <w:rPr>
          <w:b/>
          <w:bCs/>
        </w:rPr>
      </w:pPr>
      <w:r w:rsidRPr="001C338A">
        <w:t xml:space="preserve"> </w:t>
      </w:r>
    </w:p>
    <w:p w14:paraId="71C412E1" w14:textId="77777777" w:rsidR="00DD2F33" w:rsidRPr="001C338A" w:rsidRDefault="00DD2F33" w:rsidP="00DD2F33">
      <w:pPr>
        <w:pStyle w:val="11NumPara"/>
        <w:numPr>
          <w:ilvl w:val="0"/>
          <w:numId w:val="0"/>
        </w:numPr>
        <w:ind w:left="709"/>
        <w:rPr>
          <w:rFonts w:cstheme="minorHAnsi"/>
          <w:b/>
          <w:bCs/>
          <w:szCs w:val="28"/>
        </w:rPr>
      </w:pPr>
    </w:p>
    <w:p w14:paraId="53C5E8CA" w14:textId="5FEA49CE" w:rsidR="00F41CC5" w:rsidRPr="001C338A" w:rsidRDefault="00F41CC5" w:rsidP="00F41CC5">
      <w:pPr>
        <w:pStyle w:val="Heading1"/>
        <w:spacing w:line="240" w:lineRule="auto"/>
        <w:ind w:left="851" w:hanging="851"/>
      </w:pPr>
      <w:r w:rsidRPr="001C338A">
        <w:t xml:space="preserve">Conclusions and Recommendations  </w:t>
      </w:r>
    </w:p>
    <w:p w14:paraId="6B2BBDB4" w14:textId="77777777" w:rsidR="00934441" w:rsidRPr="00934441" w:rsidRDefault="00934441" w:rsidP="00934441">
      <w:pPr>
        <w:pStyle w:val="ListParagraph"/>
        <w:numPr>
          <w:ilvl w:val="0"/>
          <w:numId w:val="8"/>
        </w:numPr>
        <w:rPr>
          <w:rFonts w:asciiTheme="minorHAnsi" w:eastAsiaTheme="minorHAnsi" w:hAnsiTheme="minorHAnsi" w:cstheme="minorBidi"/>
          <w:vanish/>
          <w:sz w:val="22"/>
          <w:szCs w:val="22"/>
          <w:lang w:eastAsia="en-US"/>
        </w:rPr>
      </w:pPr>
    </w:p>
    <w:p w14:paraId="1FB0CDAE" w14:textId="1DE1E9F2" w:rsidR="00C35F97" w:rsidRPr="001C338A" w:rsidRDefault="00C35F97" w:rsidP="00934441">
      <w:pPr>
        <w:pStyle w:val="11NumPara"/>
      </w:pPr>
      <w:r w:rsidRPr="001C338A">
        <w:t xml:space="preserve">In </w:t>
      </w:r>
      <w:r w:rsidR="00A0528A" w:rsidRPr="001C338A">
        <w:t>conclusion</w:t>
      </w:r>
      <w:r w:rsidRPr="001C338A">
        <w:t>, the Commissions consider that</w:t>
      </w:r>
      <w:r w:rsidR="00810BC1">
        <w:t>,</w:t>
      </w:r>
      <w:r w:rsidRPr="001C338A">
        <w:t xml:space="preserve"> </w:t>
      </w:r>
      <w:r w:rsidR="00810BC1" w:rsidRPr="00810BC1">
        <w:t xml:space="preserve">apart from </w:t>
      </w:r>
      <w:proofErr w:type="gramStart"/>
      <w:r w:rsidR="00810BC1" w:rsidRPr="00810BC1">
        <w:t>a small number of</w:t>
      </w:r>
      <w:proofErr w:type="gramEnd"/>
      <w:r w:rsidR="00810BC1" w:rsidRPr="00810BC1">
        <w:t xml:space="preserve"> provisions of the PTD that are no longer relevant now that the UK has left the EU , </w:t>
      </w:r>
      <w:r w:rsidRPr="001C338A">
        <w:rPr>
          <w:b/>
          <w:bCs/>
        </w:rPr>
        <w:t xml:space="preserve">all </w:t>
      </w:r>
      <w:r w:rsidR="001D3EAE" w:rsidRPr="00995992">
        <w:rPr>
          <w:b/>
          <w:bCs/>
        </w:rPr>
        <w:t xml:space="preserve">other </w:t>
      </w:r>
      <w:r w:rsidRPr="00995992">
        <w:rPr>
          <w:b/>
          <w:bCs/>
        </w:rPr>
        <w:t>provisions</w:t>
      </w:r>
      <w:r w:rsidRPr="001C338A">
        <w:t xml:space="preserve"> of the PTD amend and/or replace provisions in the Recast Directive which is contained in Annex 1 of the WF. This includes as regards changes to substantive rights and procedural rights and rights relating to access to remedies, in this area. </w:t>
      </w:r>
    </w:p>
    <w:p w14:paraId="5CCF60CE" w14:textId="56406EA5" w:rsidR="00C35F97" w:rsidRPr="001C338A" w:rsidRDefault="00C35F97" w:rsidP="00C35F97">
      <w:pPr>
        <w:pStyle w:val="11NumPara"/>
      </w:pPr>
      <w:r w:rsidRPr="001C338A">
        <w:t>We therefore consider that the UK Government, further to its dynamic alignment obligations arising out of WF Article 13 (3), must transpose the</w:t>
      </w:r>
      <w:r w:rsidR="00850206">
        <w:t>se</w:t>
      </w:r>
      <w:r w:rsidRPr="001C338A">
        <w:t xml:space="preserve"> provisions of the PTD into NI law by 7 June 2026.</w:t>
      </w:r>
    </w:p>
    <w:p w14:paraId="1AC19B73" w14:textId="6066E4DE" w:rsidR="00C35F97" w:rsidRPr="001C338A" w:rsidRDefault="00C35F97" w:rsidP="00C35F97">
      <w:pPr>
        <w:pStyle w:val="11NumPara"/>
      </w:pPr>
      <w:r w:rsidRPr="001C338A">
        <w:t xml:space="preserve"> In assessing the degree to which the provisions of the PTD amend and/or replace provisions in the Recast Directive, the Commissions have </w:t>
      </w:r>
      <w:proofErr w:type="gramStart"/>
      <w:r w:rsidRPr="001C338A">
        <w:t>taken into account</w:t>
      </w:r>
      <w:proofErr w:type="gramEnd"/>
      <w:r w:rsidRPr="001C338A">
        <w:t xml:space="preserve"> a number of relevant factors including that:</w:t>
      </w:r>
    </w:p>
    <w:p w14:paraId="107551BD" w14:textId="77777777" w:rsidR="00C35F97" w:rsidRPr="001C338A" w:rsidRDefault="00C35F97" w:rsidP="00FB7676">
      <w:pPr>
        <w:pStyle w:val="11NumPara"/>
        <w:numPr>
          <w:ilvl w:val="0"/>
          <w:numId w:val="0"/>
        </w:numPr>
        <w:ind w:left="709"/>
      </w:pPr>
    </w:p>
    <w:p w14:paraId="7FCD73A8" w14:textId="00E180CB" w:rsidR="00C35F97" w:rsidRPr="001C338A" w:rsidRDefault="00C35F97" w:rsidP="00FB7676">
      <w:pPr>
        <w:pStyle w:val="11NumPara"/>
        <w:numPr>
          <w:ilvl w:val="0"/>
          <w:numId w:val="21"/>
        </w:numPr>
      </w:pPr>
      <w:r w:rsidRPr="001C338A">
        <w:t>the legal basis for both the PTD and the Recast Directive is the same</w:t>
      </w:r>
      <w:r w:rsidR="00183824">
        <w:t>,</w:t>
      </w:r>
      <w:r w:rsidRPr="001C338A">
        <w:t xml:space="preserve"> namely Article 157(3) TFEU on equal pay for equal work;</w:t>
      </w:r>
    </w:p>
    <w:p w14:paraId="07DAF67C" w14:textId="77777777" w:rsidR="00C35F97" w:rsidRPr="001C338A" w:rsidRDefault="00C35F97" w:rsidP="00FB7676">
      <w:pPr>
        <w:pStyle w:val="11NumPara"/>
        <w:numPr>
          <w:ilvl w:val="0"/>
          <w:numId w:val="21"/>
        </w:numPr>
      </w:pPr>
      <w:r w:rsidRPr="001C338A">
        <w:lastRenderedPageBreak/>
        <w:t xml:space="preserve">the PTD </w:t>
      </w:r>
      <w:proofErr w:type="gramStart"/>
      <w:r w:rsidRPr="001C338A">
        <w:t>is aimed</w:t>
      </w:r>
      <w:proofErr w:type="gramEnd"/>
      <w:r w:rsidRPr="001C338A">
        <w:t xml:space="preserve"> at strengthening the application of the principle of equal pay and the prohibition of discrimination set out in the Recast Directive, through both pay transparency and reinforced enforcement mechanisms, and this is clearly stated in the PTD;</w:t>
      </w:r>
    </w:p>
    <w:p w14:paraId="762EAFA9" w14:textId="77777777" w:rsidR="00C35F97" w:rsidRPr="001C338A" w:rsidRDefault="00C35F97" w:rsidP="00FB7676">
      <w:pPr>
        <w:pStyle w:val="11NumPara"/>
        <w:numPr>
          <w:ilvl w:val="0"/>
          <w:numId w:val="21"/>
        </w:numPr>
      </w:pPr>
      <w:r w:rsidRPr="001C338A">
        <w:t>the PTD makes clear that its provisions relating to remedies and enforcement “apply to” proceedings relating to any right or obligation relating to the principle of equal pay set out in the Recast Directive (Article 4);</w:t>
      </w:r>
    </w:p>
    <w:p w14:paraId="7AEEB0BE" w14:textId="12FFDC07" w:rsidR="00C35F97" w:rsidRPr="001C338A" w:rsidRDefault="00C35F97" w:rsidP="00C35F97">
      <w:pPr>
        <w:pStyle w:val="11NumPara"/>
        <w:numPr>
          <w:ilvl w:val="0"/>
          <w:numId w:val="21"/>
        </w:numPr>
      </w:pPr>
      <w:r w:rsidRPr="001C338A">
        <w:t xml:space="preserve">there is a considerable degree of overlap on the substance of the rights and safeguards between the PTD and the Recast Directive; there are also references in the PTD to ‘building on’ the Recast Directive. In addition, the PTD clarifies </w:t>
      </w:r>
      <w:proofErr w:type="gramStart"/>
      <w:r w:rsidRPr="001C338A">
        <w:t>a number of</w:t>
      </w:r>
      <w:proofErr w:type="gramEnd"/>
      <w:r w:rsidRPr="001C338A">
        <w:t xml:space="preserve"> existing concepts in the Recast Directive</w:t>
      </w:r>
      <w:r w:rsidR="006D6C45">
        <w:t>,</w:t>
      </w:r>
      <w:r w:rsidRPr="001C338A">
        <w:t xml:space="preserve"> including core concepts related to equal pay for equal work or work of equal value. This includes in accordance with CJEU case law, and which strengthen rights for individuals facing pay discrimination and facilitate the application of those concepts.</w:t>
      </w:r>
    </w:p>
    <w:p w14:paraId="7F797AA5" w14:textId="77777777" w:rsidR="00C35F97" w:rsidRPr="001C338A" w:rsidRDefault="00C35F97" w:rsidP="00FB7676">
      <w:pPr>
        <w:pStyle w:val="11NumPara"/>
        <w:numPr>
          <w:ilvl w:val="0"/>
          <w:numId w:val="0"/>
        </w:numPr>
        <w:ind w:left="1145"/>
      </w:pPr>
    </w:p>
    <w:p w14:paraId="31FF6508" w14:textId="22CF4143" w:rsidR="00C35F97" w:rsidRPr="001C338A" w:rsidRDefault="00C35F97" w:rsidP="00C35F97">
      <w:pPr>
        <w:pStyle w:val="11NumPara"/>
      </w:pPr>
      <w:r w:rsidRPr="001C338A">
        <w:t xml:space="preserve">It is therefore apparent from the above analysis that both the PTD and the provisions within the Recast Directive on equal pay </w:t>
      </w:r>
      <w:proofErr w:type="gramStart"/>
      <w:r w:rsidRPr="001C338A">
        <w:t>are primarily aimed</w:t>
      </w:r>
      <w:proofErr w:type="gramEnd"/>
      <w:r w:rsidRPr="001C338A">
        <w:t xml:space="preserve"> at strengthening the application and enforcement of the principle of equal pay and the prohibition of discrimination. In addition, provisions in the PTD build on and improve existing provisions in the Recast Directive in this area.</w:t>
      </w:r>
    </w:p>
    <w:p w14:paraId="0433AF9F" w14:textId="77777777" w:rsidR="00C35F97" w:rsidRPr="001C338A" w:rsidRDefault="00C35F97" w:rsidP="002B1218">
      <w:pPr>
        <w:pStyle w:val="11NumPara"/>
        <w:numPr>
          <w:ilvl w:val="0"/>
          <w:numId w:val="0"/>
        </w:numPr>
        <w:ind w:left="720"/>
      </w:pPr>
    </w:p>
    <w:p w14:paraId="6590439E" w14:textId="40DB0040" w:rsidR="00A0528A" w:rsidRPr="002B1218" w:rsidRDefault="00A0528A" w:rsidP="002B1218">
      <w:pPr>
        <w:pStyle w:val="11NumPara"/>
        <w:numPr>
          <w:ilvl w:val="0"/>
          <w:numId w:val="0"/>
        </w:numPr>
        <w:ind w:firstLine="709"/>
        <w:rPr>
          <w:rFonts w:asciiTheme="minorHAnsi" w:hAnsiTheme="minorHAnsi" w:cstheme="minorHAnsi"/>
          <w:b/>
          <w:bCs/>
          <w:i/>
          <w:iCs/>
        </w:rPr>
      </w:pPr>
      <w:r w:rsidRPr="002B1218">
        <w:rPr>
          <w:rFonts w:asciiTheme="minorHAnsi" w:hAnsiTheme="minorHAnsi" w:cstheme="minorHAnsi"/>
          <w:b/>
          <w:bCs/>
          <w:i/>
          <w:iCs/>
        </w:rPr>
        <w:t>Recommendations</w:t>
      </w:r>
    </w:p>
    <w:p w14:paraId="24BB70AC" w14:textId="57D4AFE9" w:rsidR="00A0528A" w:rsidRPr="001C338A" w:rsidRDefault="00A0528A" w:rsidP="00A0528A">
      <w:pPr>
        <w:pStyle w:val="11NumPara"/>
      </w:pPr>
      <w:r w:rsidRPr="001C338A">
        <w:rPr>
          <w:rFonts w:asciiTheme="minorHAnsi" w:hAnsiTheme="minorHAnsi" w:cstheme="minorHAnsi"/>
          <w:szCs w:val="28"/>
        </w:rPr>
        <w:t xml:space="preserve">The Commissions therefore </w:t>
      </w:r>
      <w:r w:rsidRPr="001C338A">
        <w:rPr>
          <w:rFonts w:asciiTheme="minorHAnsi" w:hAnsiTheme="minorHAnsi" w:cstheme="minorHAnsi"/>
          <w:b/>
          <w:bCs/>
          <w:szCs w:val="28"/>
        </w:rPr>
        <w:t xml:space="preserve">recommend </w:t>
      </w:r>
      <w:r w:rsidRPr="001C338A">
        <w:rPr>
          <w:rFonts w:asciiTheme="minorHAnsi" w:hAnsiTheme="minorHAnsi" w:cstheme="minorHAnsi"/>
          <w:szCs w:val="28"/>
        </w:rPr>
        <w:t>that the UK Government, the NI Executive, and the NI Department for Communities ensure that</w:t>
      </w:r>
      <w:r w:rsidR="006D461F">
        <w:rPr>
          <w:rFonts w:asciiTheme="minorHAnsi" w:hAnsiTheme="minorHAnsi"/>
        </w:rPr>
        <w:t>,</w:t>
      </w:r>
      <w:r w:rsidR="006D461F">
        <w:rPr>
          <w:rFonts w:asciiTheme="minorHAnsi" w:hAnsiTheme="minorHAnsi" w:cstheme="minorHAnsi"/>
          <w:szCs w:val="28"/>
        </w:rPr>
        <w:t xml:space="preserve"> </w:t>
      </w:r>
      <w:r w:rsidR="006D461F">
        <w:rPr>
          <w:rFonts w:asciiTheme="minorHAnsi" w:hAnsiTheme="minorHAnsi"/>
        </w:rPr>
        <w:t xml:space="preserve">apart from </w:t>
      </w:r>
      <w:r w:rsidR="006D461F" w:rsidRPr="001C338A">
        <w:t xml:space="preserve">a small number of provisions of the PTD </w:t>
      </w:r>
      <w:r w:rsidR="006D461F">
        <w:t xml:space="preserve">that </w:t>
      </w:r>
      <w:r w:rsidR="006D461F" w:rsidRPr="001C338A">
        <w:t>are no</w:t>
      </w:r>
      <w:r w:rsidR="006D461F">
        <w:t xml:space="preserve"> longer</w:t>
      </w:r>
      <w:r w:rsidR="006D461F" w:rsidRPr="001C338A">
        <w:t xml:space="preserve"> relevant </w:t>
      </w:r>
      <w:r w:rsidR="006D461F">
        <w:t xml:space="preserve">now that </w:t>
      </w:r>
      <w:r w:rsidR="006D461F" w:rsidRPr="001C338A">
        <w:t>the UK has left the EU</w:t>
      </w:r>
      <w:r w:rsidR="006D461F">
        <w:rPr>
          <w:rStyle w:val="FootnoteReference"/>
        </w:rPr>
        <w:footnoteReference w:id="118"/>
      </w:r>
      <w:r w:rsidR="006D461F">
        <w:t xml:space="preserve">, </w:t>
      </w:r>
      <w:r w:rsidR="006D461F" w:rsidRPr="00EE64E0">
        <w:rPr>
          <w:rFonts w:asciiTheme="minorHAnsi" w:hAnsiTheme="minorHAnsi"/>
          <w:b/>
        </w:rPr>
        <w:t>all</w:t>
      </w:r>
      <w:r w:rsidR="006D461F" w:rsidRPr="425EE375">
        <w:rPr>
          <w:rFonts w:asciiTheme="minorHAnsi" w:hAnsiTheme="minorHAnsi"/>
        </w:rPr>
        <w:t xml:space="preserve"> </w:t>
      </w:r>
      <w:r w:rsidR="006D461F" w:rsidRPr="00995992">
        <w:rPr>
          <w:rFonts w:asciiTheme="minorHAnsi" w:hAnsiTheme="minorHAnsi"/>
          <w:b/>
          <w:bCs/>
        </w:rPr>
        <w:t>other provisions</w:t>
      </w:r>
      <w:r w:rsidR="006D461F" w:rsidRPr="425EE375">
        <w:rPr>
          <w:rFonts w:asciiTheme="minorHAnsi" w:hAnsiTheme="minorHAnsi"/>
        </w:rPr>
        <w:t xml:space="preserve"> of the PTD, </w:t>
      </w:r>
      <w:r w:rsidRPr="001C338A">
        <w:rPr>
          <w:rFonts w:asciiTheme="minorHAnsi" w:hAnsiTheme="minorHAnsi" w:cstheme="minorHAnsi"/>
          <w:szCs w:val="28"/>
        </w:rPr>
        <w:t>as detailed</w:t>
      </w:r>
      <w:r w:rsidR="00A41960">
        <w:rPr>
          <w:rFonts w:asciiTheme="minorHAnsi" w:hAnsiTheme="minorHAnsi" w:cstheme="minorHAnsi"/>
          <w:szCs w:val="28"/>
        </w:rPr>
        <w:t xml:space="preserve"> above</w:t>
      </w:r>
      <w:r w:rsidRPr="001C338A">
        <w:rPr>
          <w:rFonts w:asciiTheme="minorHAnsi" w:hAnsiTheme="minorHAnsi" w:cstheme="minorHAnsi"/>
          <w:szCs w:val="28"/>
        </w:rPr>
        <w:t>, are transposed into NI law by 7 June 2026</w:t>
      </w:r>
      <w:r w:rsidR="008748DD">
        <w:rPr>
          <w:rFonts w:asciiTheme="minorHAnsi" w:hAnsiTheme="minorHAnsi" w:cstheme="minorHAnsi"/>
          <w:szCs w:val="28"/>
        </w:rPr>
        <w:t xml:space="preserve">. </w:t>
      </w:r>
      <w:r w:rsidR="008748DD">
        <w:rPr>
          <w:rFonts w:asciiTheme="minorHAnsi" w:hAnsiTheme="minorHAnsi"/>
        </w:rPr>
        <w:t>The timing of the transposition into NI law should therefore,</w:t>
      </w:r>
      <w:r w:rsidR="008748DD" w:rsidRPr="425EE375">
        <w:rPr>
          <w:rFonts w:asciiTheme="minorHAnsi" w:hAnsiTheme="minorHAnsi"/>
        </w:rPr>
        <w:t xml:space="preserve"> align</w:t>
      </w:r>
      <w:r w:rsidR="008748DD">
        <w:rPr>
          <w:rFonts w:asciiTheme="minorHAnsi" w:hAnsiTheme="minorHAnsi"/>
        </w:rPr>
        <w:t xml:space="preserve"> with</w:t>
      </w:r>
      <w:r w:rsidR="008748DD" w:rsidRPr="425EE375">
        <w:rPr>
          <w:rFonts w:asciiTheme="minorHAnsi" w:hAnsiTheme="minorHAnsi"/>
        </w:rPr>
        <w:t xml:space="preserve"> the transposition deadline for Member States in relation to the PTD.</w:t>
      </w:r>
    </w:p>
    <w:p w14:paraId="45DE423D" w14:textId="26AD1754" w:rsidR="00A0528A" w:rsidRPr="001C338A" w:rsidRDefault="00A0528A" w:rsidP="00A0528A">
      <w:pPr>
        <w:pStyle w:val="11NumPara"/>
      </w:pPr>
      <w:r w:rsidRPr="001C338A">
        <w:rPr>
          <w:rFonts w:asciiTheme="minorHAnsi" w:hAnsiTheme="minorHAnsi" w:cstheme="minorHAnsi"/>
          <w:szCs w:val="28"/>
        </w:rPr>
        <w:t xml:space="preserve">The Commissions </w:t>
      </w:r>
      <w:r w:rsidRPr="001C338A">
        <w:rPr>
          <w:rFonts w:asciiTheme="minorHAnsi" w:hAnsiTheme="minorHAnsi" w:cstheme="minorHAnsi"/>
          <w:b/>
          <w:bCs/>
          <w:szCs w:val="28"/>
        </w:rPr>
        <w:t xml:space="preserve">recommend </w:t>
      </w:r>
      <w:r w:rsidRPr="001C338A">
        <w:rPr>
          <w:rFonts w:asciiTheme="minorHAnsi" w:hAnsiTheme="minorHAnsi" w:cstheme="minorHAnsi"/>
          <w:szCs w:val="28"/>
        </w:rPr>
        <w:t>that the European Commission, further to its obligations under the Windsor Framework</w:t>
      </w:r>
      <w:r w:rsidR="00CB61AB">
        <w:rPr>
          <w:rFonts w:asciiTheme="minorHAnsi" w:hAnsiTheme="minorHAnsi" w:cstheme="minorHAnsi"/>
          <w:szCs w:val="28"/>
        </w:rPr>
        <w:t>,</w:t>
      </w:r>
      <w:r w:rsidRPr="001C338A">
        <w:rPr>
          <w:rStyle w:val="FootnoteReference"/>
          <w:rFonts w:asciiTheme="minorHAnsi" w:hAnsiTheme="minorHAnsi" w:cstheme="minorHAnsi"/>
          <w:szCs w:val="28"/>
        </w:rPr>
        <w:footnoteReference w:id="119"/>
      </w:r>
      <w:r w:rsidRPr="001C338A">
        <w:rPr>
          <w:rFonts w:asciiTheme="minorHAnsi" w:hAnsiTheme="minorHAnsi" w:cstheme="minorHAnsi"/>
          <w:szCs w:val="28"/>
        </w:rPr>
        <w:t xml:space="preserve"> informs the Joint Consultative Working Group in a timely manner of the PTD as an EU measure that amends or replaces the Recast Directive in Annex 1 to the WF.</w:t>
      </w:r>
    </w:p>
    <w:p w14:paraId="7A9FEA22" w14:textId="77777777" w:rsidR="00A0528A" w:rsidRPr="001C338A" w:rsidRDefault="00A0528A" w:rsidP="00A0528A">
      <w:pPr>
        <w:pStyle w:val="11NumPara"/>
      </w:pPr>
      <w:r w:rsidRPr="001C338A">
        <w:lastRenderedPageBreak/>
        <w:t xml:space="preserve">We stress that the requirements of the PTD should </w:t>
      </w:r>
      <w:proofErr w:type="gramStart"/>
      <w:r w:rsidRPr="001C338A">
        <w:t>be considered</w:t>
      </w:r>
      <w:proofErr w:type="gramEnd"/>
      <w:r w:rsidRPr="001C338A">
        <w:t xml:space="preserve"> </w:t>
      </w:r>
      <w:r w:rsidRPr="001C338A">
        <w:rPr>
          <w:u w:val="single"/>
        </w:rPr>
        <w:t>minimum requirements</w:t>
      </w:r>
      <w:r w:rsidRPr="001C338A">
        <w:t xml:space="preserve"> and we would encourage government to adopt an approach when implementing the PTD that </w:t>
      </w:r>
      <w:r w:rsidRPr="001C338A">
        <w:rPr>
          <w:u w:val="single"/>
        </w:rPr>
        <w:t>goes beyond</w:t>
      </w:r>
      <w:r w:rsidRPr="001C338A">
        <w:t xml:space="preserve"> these minimum standards where this reflects best practice, including international human rights best practice, and where it seeks to strengthen rights in this area. For </w:t>
      </w:r>
      <w:proofErr w:type="gramStart"/>
      <w:r w:rsidRPr="001C338A">
        <w:t>example</w:t>
      </w:r>
      <w:proofErr w:type="gramEnd"/>
      <w:r w:rsidRPr="001C338A">
        <w:t xml:space="preserve"> the ECNI has called for the power to bring discrimination cases in its own name (own motion powers) which is not envisaged under the PTD.</w:t>
      </w:r>
      <w:r w:rsidRPr="001C338A">
        <w:rPr>
          <w:rStyle w:val="FootnoteReference"/>
          <w:rFonts w:cstheme="minorHAnsi"/>
          <w:szCs w:val="28"/>
        </w:rPr>
        <w:t xml:space="preserve"> </w:t>
      </w:r>
      <w:r w:rsidRPr="001C338A">
        <w:rPr>
          <w:rStyle w:val="FootnoteReference"/>
          <w:rFonts w:cstheme="minorHAnsi"/>
          <w:szCs w:val="28"/>
        </w:rPr>
        <w:footnoteReference w:id="120"/>
      </w:r>
    </w:p>
    <w:p w14:paraId="22D6BC15" w14:textId="1829434C" w:rsidR="00C35F97" w:rsidRPr="001C338A" w:rsidRDefault="00A0528A" w:rsidP="00FA21B8">
      <w:pPr>
        <w:pStyle w:val="11NumPara"/>
      </w:pPr>
      <w:r w:rsidRPr="001C338A">
        <w:rPr>
          <w:rFonts w:cstheme="minorHAnsi"/>
          <w:szCs w:val="28"/>
        </w:rPr>
        <w:t xml:space="preserve">Therefore, the Commissions </w:t>
      </w:r>
      <w:r w:rsidRPr="001C338A">
        <w:rPr>
          <w:rFonts w:cstheme="minorHAnsi"/>
          <w:b/>
          <w:bCs/>
          <w:szCs w:val="28"/>
        </w:rPr>
        <w:t>recommend</w:t>
      </w:r>
      <w:r w:rsidRPr="001C338A">
        <w:rPr>
          <w:rFonts w:cstheme="minorHAnsi"/>
          <w:szCs w:val="28"/>
        </w:rPr>
        <w:t xml:space="preserve"> that the UK Government, the NI Executive and the NI Department for Communities, in the development of any legislation introducing requirements relating to strengthening the application of equal pay, ensure that, where necessary, this legislation </w:t>
      </w:r>
      <w:r w:rsidRPr="001C338A">
        <w:rPr>
          <w:rFonts w:cstheme="minorHAnsi"/>
          <w:szCs w:val="28"/>
          <w:u w:val="single"/>
        </w:rPr>
        <w:t>goes beyond</w:t>
      </w:r>
      <w:r w:rsidRPr="001C338A">
        <w:rPr>
          <w:rFonts w:cstheme="minorHAnsi"/>
          <w:szCs w:val="28"/>
        </w:rPr>
        <w:t xml:space="preserve"> the minimum standards in the PTD, and reflects best practice, including international human rights best practice and standards, so as to ensure robust rights and protections. This should be in addition to ensuring law in NI </w:t>
      </w:r>
      <w:proofErr w:type="gramStart"/>
      <w:r w:rsidRPr="001C338A">
        <w:rPr>
          <w:rFonts w:cstheme="minorHAnsi"/>
          <w:szCs w:val="28"/>
        </w:rPr>
        <w:t>is amended</w:t>
      </w:r>
      <w:proofErr w:type="gramEnd"/>
      <w:r w:rsidRPr="001C338A">
        <w:rPr>
          <w:rFonts w:cstheme="minorHAnsi"/>
          <w:szCs w:val="28"/>
        </w:rPr>
        <w:t xml:space="preserve"> to keep pace with changes required pursuant to the UK Government’s obligations relating to WF Article 2.</w:t>
      </w:r>
    </w:p>
    <w:p w14:paraId="4CDA41BA" w14:textId="77777777" w:rsidR="003D4270" w:rsidRPr="001C338A" w:rsidRDefault="003D4270" w:rsidP="0008110A">
      <w:pPr>
        <w:spacing w:after="240" w:line="276" w:lineRule="auto"/>
        <w:jc w:val="both"/>
        <w:rPr>
          <w:rFonts w:cstheme="minorHAnsi"/>
          <w:b/>
          <w:bCs/>
          <w:sz w:val="28"/>
          <w:szCs w:val="28"/>
        </w:rPr>
      </w:pPr>
    </w:p>
    <w:p w14:paraId="15CD4D34" w14:textId="2E07B5AF" w:rsidR="0008110A" w:rsidRPr="00ED52D6" w:rsidRDefault="00D20F30" w:rsidP="0008110A">
      <w:pPr>
        <w:spacing w:after="240" w:line="276" w:lineRule="auto"/>
        <w:jc w:val="both"/>
        <w:rPr>
          <w:rFonts w:cstheme="minorHAnsi"/>
          <w:b/>
          <w:bCs/>
          <w:sz w:val="28"/>
          <w:szCs w:val="28"/>
        </w:rPr>
      </w:pPr>
      <w:r>
        <w:rPr>
          <w:rFonts w:cstheme="minorHAnsi"/>
          <w:b/>
          <w:bCs/>
          <w:sz w:val="28"/>
          <w:szCs w:val="28"/>
        </w:rPr>
        <w:t>4 March</w:t>
      </w:r>
      <w:r w:rsidR="00ED52D6" w:rsidRPr="001C338A">
        <w:rPr>
          <w:rFonts w:cstheme="minorHAnsi"/>
          <w:b/>
          <w:bCs/>
          <w:sz w:val="28"/>
          <w:szCs w:val="28"/>
        </w:rPr>
        <w:t xml:space="preserve"> 202</w:t>
      </w:r>
      <w:r w:rsidR="00491FAE" w:rsidRPr="001C338A">
        <w:rPr>
          <w:rFonts w:cstheme="minorHAnsi"/>
          <w:b/>
          <w:bCs/>
          <w:sz w:val="28"/>
          <w:szCs w:val="28"/>
        </w:rPr>
        <w:t>4</w:t>
      </w:r>
    </w:p>
    <w:p w14:paraId="581FA51E" w14:textId="65A423BA" w:rsidR="002E4C11" w:rsidRDefault="002E4C11">
      <w:pPr>
        <w:rPr>
          <w:rFonts w:cstheme="minorHAnsi"/>
          <w:sz w:val="28"/>
          <w:szCs w:val="28"/>
        </w:rPr>
      </w:pPr>
    </w:p>
    <w:sectPr w:rsidR="002E4C11" w:rsidSect="00A652ED">
      <w:footerReference w:type="default" r:id="rId15"/>
      <w:pgSz w:w="11906" w:h="16838"/>
      <w:pgMar w:top="1440" w:right="1080" w:bottom="1440" w:left="108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DA5B5" w14:textId="77777777" w:rsidR="00491D1B" w:rsidRDefault="00491D1B" w:rsidP="001041FF">
      <w:r>
        <w:separator/>
      </w:r>
    </w:p>
  </w:endnote>
  <w:endnote w:type="continuationSeparator" w:id="0">
    <w:p w14:paraId="49B2C86A" w14:textId="77777777" w:rsidR="00491D1B" w:rsidRDefault="00491D1B" w:rsidP="001041FF">
      <w:r>
        <w:continuationSeparator/>
      </w:r>
    </w:p>
  </w:endnote>
  <w:endnote w:type="continuationNotice" w:id="1">
    <w:p w14:paraId="4C0D8561" w14:textId="77777777" w:rsidR="00491D1B" w:rsidRDefault="00491D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678303"/>
      <w:docPartObj>
        <w:docPartGallery w:val="Page Numbers (Bottom of Page)"/>
        <w:docPartUnique/>
      </w:docPartObj>
    </w:sdtPr>
    <w:sdtEndPr>
      <w:rPr>
        <w:noProof/>
      </w:rPr>
    </w:sdtEndPr>
    <w:sdtContent>
      <w:p w14:paraId="6299FDD8" w14:textId="7D8166FD" w:rsidR="0079627F" w:rsidRDefault="007962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295104" w14:textId="77777777" w:rsidR="0079627F" w:rsidRDefault="00796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F3DD1" w14:textId="77777777" w:rsidR="00491D1B" w:rsidRDefault="00491D1B" w:rsidP="001041FF">
      <w:r>
        <w:separator/>
      </w:r>
    </w:p>
  </w:footnote>
  <w:footnote w:type="continuationSeparator" w:id="0">
    <w:p w14:paraId="700841CE" w14:textId="77777777" w:rsidR="00491D1B" w:rsidRDefault="00491D1B" w:rsidP="001041FF">
      <w:r>
        <w:continuationSeparator/>
      </w:r>
    </w:p>
  </w:footnote>
  <w:footnote w:type="continuationNotice" w:id="1">
    <w:p w14:paraId="0903AF3B" w14:textId="77777777" w:rsidR="00491D1B" w:rsidRDefault="00491D1B"/>
  </w:footnote>
  <w:footnote w:id="2">
    <w:p w14:paraId="36E473EE" w14:textId="0E585361" w:rsidR="00A75CA7" w:rsidRDefault="00A75CA7">
      <w:pPr>
        <w:pStyle w:val="FootnoteText"/>
      </w:pPr>
      <w:r>
        <w:rPr>
          <w:rStyle w:val="FootnoteReference"/>
        </w:rPr>
        <w:footnoteRef/>
      </w:r>
      <w:r>
        <w:t xml:space="preserve"> Article 13(3): “Notwithstanding Article 6(1) of the Withdrawal Agreement, and unless otherwise provided, where this Protocol makes reference to a Union act, that reference shall be read as referring to that Union </w:t>
      </w:r>
      <w:proofErr w:type="gramStart"/>
      <w:r>
        <w:t>act as</w:t>
      </w:r>
      <w:proofErr w:type="gramEnd"/>
      <w:r>
        <w:t xml:space="preserve"> amended or replaced.”</w:t>
      </w:r>
    </w:p>
  </w:footnote>
  <w:footnote w:id="3">
    <w:p w14:paraId="54D972C7" w14:textId="5B6186A1" w:rsidR="001818D2" w:rsidRDefault="001818D2">
      <w:pPr>
        <w:pStyle w:val="FootnoteText"/>
      </w:pPr>
      <w:r>
        <w:rPr>
          <w:rStyle w:val="FootnoteReference"/>
        </w:rPr>
        <w:footnoteRef/>
      </w:r>
      <w:r>
        <w:t xml:space="preserve"> NIO explainer 2020 Art 2</w:t>
      </w:r>
      <w:r w:rsidR="00BB19DA">
        <w:t>.</w:t>
      </w:r>
    </w:p>
  </w:footnote>
  <w:footnote w:id="4">
    <w:p w14:paraId="383562CA" w14:textId="72B11448" w:rsidR="002C5410" w:rsidRDefault="002C5410" w:rsidP="002C5410">
      <w:pPr>
        <w:pStyle w:val="FootnoteText"/>
      </w:pPr>
      <w:r>
        <w:rPr>
          <w:rStyle w:val="FootnoteReference"/>
        </w:rPr>
        <w:footnoteRef/>
      </w:r>
      <w:r>
        <w:t xml:space="preserve"> Article 13 (2) WF: “Notwithstanding Article 4(4) and (5) of the Withdrawal Agreement, the provisions of this Protocol referring to Union law or to concepts or provisions thereof shall in their implementation and application be interpreted in conformity with the relevant case law of the Court of Justice of the European Union.”</w:t>
      </w:r>
    </w:p>
  </w:footnote>
  <w:footnote w:id="5">
    <w:p w14:paraId="483F502C" w14:textId="55196A17" w:rsidR="001D4E82" w:rsidRDefault="001D4E82" w:rsidP="001D4E82">
      <w:pPr>
        <w:pStyle w:val="FootnoteText"/>
      </w:pPr>
      <w:r>
        <w:rPr>
          <w:rStyle w:val="FootnoteReference"/>
        </w:rPr>
        <w:footnoteRef/>
      </w:r>
      <w:r>
        <w:t xml:space="preserve"> </w:t>
      </w:r>
      <w:r w:rsidRPr="00333CD1">
        <w:rPr>
          <w:rFonts w:cstheme="minorHAnsi"/>
        </w:rPr>
        <w:t xml:space="preserve">Directive </w:t>
      </w:r>
      <w:hyperlink r:id="rId1" w:history="1">
        <w:r w:rsidRPr="009D736C">
          <w:rPr>
            <w:rStyle w:val="Hyperlink"/>
            <w:rFonts w:cstheme="minorHAnsi"/>
            <w:shd w:val="clear" w:color="auto" w:fill="FFFFFF"/>
          </w:rPr>
          <w:t>2006/54/EC</w:t>
        </w:r>
      </w:hyperlink>
      <w:r w:rsidRPr="00114B75">
        <w:rPr>
          <w:rFonts w:cstheme="minorHAnsi"/>
          <w:shd w:val="clear" w:color="auto" w:fill="FFFFFF"/>
        </w:rPr>
        <w:t xml:space="preserve"> </w:t>
      </w:r>
      <w:r>
        <w:rPr>
          <w:rFonts w:cstheme="minorHAnsi"/>
          <w:shd w:val="clear" w:color="auto" w:fill="FFFFFF"/>
        </w:rPr>
        <w:t xml:space="preserve">of 5 July 2006 </w:t>
      </w:r>
      <w:r w:rsidRPr="00114B75">
        <w:rPr>
          <w:rFonts w:cstheme="minorHAnsi"/>
          <w:shd w:val="clear" w:color="auto" w:fill="FFFFFF"/>
        </w:rPr>
        <w:t>on equal opportunities and equal treatment of women and men in employment and occupation</w:t>
      </w:r>
      <w:r w:rsidR="00BB19DA">
        <w:rPr>
          <w:rFonts w:cstheme="minorHAnsi"/>
          <w:shd w:val="clear" w:color="auto" w:fill="FFFFFF"/>
        </w:rPr>
        <w:t>.</w:t>
      </w:r>
    </w:p>
  </w:footnote>
  <w:footnote w:id="6">
    <w:p w14:paraId="3FB4BE95" w14:textId="77777777" w:rsidR="00FB1B76" w:rsidRDefault="00FB1B76" w:rsidP="00FB1B76">
      <w:pPr>
        <w:pStyle w:val="FootnoteText"/>
      </w:pPr>
      <w:r>
        <w:rPr>
          <w:rStyle w:val="FootnoteReference"/>
        </w:rPr>
        <w:footnoteRef/>
      </w:r>
      <w:r>
        <w:t xml:space="preserve"> Recast Directive, Article 4: Prohibition of discrimination: “For the same work or for work to which equal value is attributed, direct and indirect discrimination on grounds of sex </w:t>
      </w:r>
      <w:proofErr w:type="gramStart"/>
      <w:r>
        <w:t>with regard to</w:t>
      </w:r>
      <w:proofErr w:type="gramEnd"/>
      <w:r>
        <w:t xml:space="preserve"> all aspects and conditions of remuneration shall be eliminated. </w:t>
      </w:r>
      <w:proofErr w:type="gramStart"/>
      <w:r>
        <w:t>In particular, where</w:t>
      </w:r>
      <w:proofErr w:type="gramEnd"/>
      <w:r>
        <w:t xml:space="preserve"> a job classification system is used for determining pay, it shall be based on the same criteria for both men and women and so drawn up as to exclude any discrimination on grounds of sex.”</w:t>
      </w:r>
    </w:p>
  </w:footnote>
  <w:footnote w:id="7">
    <w:p w14:paraId="1F8F9DC3" w14:textId="7530F5A8" w:rsidR="00B47714" w:rsidRDefault="00B47714" w:rsidP="00B47714">
      <w:pPr>
        <w:pStyle w:val="FootnoteText"/>
      </w:pPr>
      <w:r>
        <w:rPr>
          <w:rStyle w:val="FootnoteReference"/>
        </w:rPr>
        <w:footnoteRef/>
      </w:r>
      <w:r>
        <w:t xml:space="preserve"> D</w:t>
      </w:r>
      <w:r w:rsidR="00625617">
        <w:t xml:space="preserve">irective </w:t>
      </w:r>
      <w:r>
        <w:t xml:space="preserve">(EU) 2023/970, </w:t>
      </w:r>
      <w:hyperlink r:id="rId2" w:history="1">
        <w:r>
          <w:rPr>
            <w:rStyle w:val="Hyperlink"/>
          </w:rPr>
          <w:t>Publications Office (europa.eu)</w:t>
        </w:r>
      </w:hyperlink>
      <w:r w:rsidR="008B7532">
        <w:rPr>
          <w:rStyle w:val="Hyperlink"/>
        </w:rPr>
        <w:t>.</w:t>
      </w:r>
    </w:p>
  </w:footnote>
  <w:footnote w:id="8">
    <w:p w14:paraId="419D5A70" w14:textId="6D4044A7" w:rsidR="00E37897" w:rsidRDefault="00E37897">
      <w:pPr>
        <w:pStyle w:val="FootnoteText"/>
      </w:pPr>
      <w:r>
        <w:rPr>
          <w:rStyle w:val="FootnoteReference"/>
        </w:rPr>
        <w:footnoteRef/>
      </w:r>
      <w:r>
        <w:t xml:space="preserve"> Treaty of the Functioning of the EU  </w:t>
      </w:r>
      <w:hyperlink r:id="rId3" w:anchor=":~:text=Each%20Member%20State%20shall%20ensure,of%20equal%20value%20is%20applied." w:history="1">
        <w:r w:rsidRPr="007057A9">
          <w:rPr>
            <w:rStyle w:val="Hyperlink"/>
            <w:rFonts w:cstheme="minorHAnsi"/>
            <w:szCs w:val="28"/>
          </w:rPr>
          <w:t>Article 157</w:t>
        </w:r>
        <w:r w:rsidR="008C01E9">
          <w:rPr>
            <w:rStyle w:val="Hyperlink"/>
            <w:rFonts w:cstheme="minorHAnsi"/>
            <w:szCs w:val="28"/>
          </w:rPr>
          <w:t xml:space="preserve"> </w:t>
        </w:r>
        <w:r w:rsidRPr="007057A9">
          <w:rPr>
            <w:rStyle w:val="Hyperlink"/>
            <w:rFonts w:cstheme="minorHAnsi"/>
            <w:szCs w:val="28"/>
          </w:rPr>
          <w:t>of the TFEU</w:t>
        </w:r>
      </w:hyperlink>
      <w:r w:rsidR="008B7532">
        <w:rPr>
          <w:rStyle w:val="Hyperlink"/>
          <w:rFonts w:cstheme="minorHAnsi"/>
          <w:szCs w:val="28"/>
        </w:rPr>
        <w:t>.</w:t>
      </w:r>
    </w:p>
  </w:footnote>
  <w:footnote w:id="9">
    <w:p w14:paraId="2A673470" w14:textId="77777777" w:rsidR="00141637" w:rsidRDefault="00141637" w:rsidP="00141637">
      <w:pPr>
        <w:pStyle w:val="FootnoteText"/>
      </w:pPr>
      <w:r>
        <w:rPr>
          <w:rStyle w:val="FootnoteReference"/>
        </w:rPr>
        <w:footnoteRef/>
      </w:r>
      <w:r>
        <w:t xml:space="preserve"> WF Article 15 (3):Within the working group (a) the Union and the United Kingdom shall, in a timely manner, exchange information about planned, ongoing and final relevant implementation measures in relation to the Union acts listed in the Annexes to this Protocol; (b) the Union shall inform the United Kingdom about planned Union acts within the scope of this Protocol, including Union acts that amend or replace the Union acts listed in the Annexes to this Protocol.</w:t>
      </w:r>
    </w:p>
  </w:footnote>
  <w:footnote w:id="10">
    <w:p w14:paraId="2AF54183" w14:textId="75448F10" w:rsidR="000935B0" w:rsidRDefault="000935B0">
      <w:pPr>
        <w:pStyle w:val="FootnoteText"/>
      </w:pPr>
      <w:r>
        <w:rPr>
          <w:rStyle w:val="FootnoteReference"/>
        </w:rPr>
        <w:footnoteRef/>
      </w:r>
      <w:r>
        <w:t xml:space="preserve"> </w:t>
      </w:r>
      <w:r>
        <w:rPr>
          <w:rFonts w:cstheme="minorHAnsi"/>
          <w:szCs w:val="28"/>
        </w:rPr>
        <w:t>R</w:t>
      </w:r>
      <w:r w:rsidRPr="00DE5F5A">
        <w:rPr>
          <w:rFonts w:cstheme="minorHAnsi"/>
          <w:szCs w:val="28"/>
        </w:rPr>
        <w:t xml:space="preserve">elating to </w:t>
      </w:r>
      <w:r>
        <w:rPr>
          <w:rFonts w:cstheme="minorHAnsi"/>
          <w:szCs w:val="28"/>
        </w:rPr>
        <w:t xml:space="preserve">WF </w:t>
      </w:r>
      <w:r w:rsidRPr="00DE5F5A">
        <w:rPr>
          <w:rFonts w:cstheme="minorHAnsi"/>
          <w:szCs w:val="28"/>
        </w:rPr>
        <w:t>Article 2(1)</w:t>
      </w:r>
      <w:r w:rsidR="008B7532">
        <w:rPr>
          <w:rFonts w:cstheme="minorHAnsi"/>
          <w:szCs w:val="28"/>
        </w:rPr>
        <w:t>.</w:t>
      </w:r>
    </w:p>
  </w:footnote>
  <w:footnote w:id="11">
    <w:p w14:paraId="5CECED53" w14:textId="325282E6" w:rsidR="006A4D35" w:rsidRDefault="006A4D35" w:rsidP="006A4D35">
      <w:pPr>
        <w:pStyle w:val="FootnoteText"/>
      </w:pPr>
      <w:r>
        <w:rPr>
          <w:rStyle w:val="FootnoteReference"/>
        </w:rPr>
        <w:footnoteRef/>
      </w:r>
      <w:r>
        <w:t xml:space="preserve"> In </w:t>
      </w:r>
      <w:hyperlink r:id="rId4" w:anchor=":~:text=Each%20Member%20State%20shall%20ensure,of%20equal%20value%20is%20applied." w:history="1">
        <w:r w:rsidRPr="007057A9">
          <w:rPr>
            <w:rStyle w:val="Hyperlink"/>
            <w:rFonts w:cstheme="minorHAnsi"/>
            <w:szCs w:val="28"/>
          </w:rPr>
          <w:t>Article 157(3) of the TFEU</w:t>
        </w:r>
      </w:hyperlink>
      <w:r>
        <w:rPr>
          <w:rFonts w:cstheme="minorHAnsi"/>
          <w:szCs w:val="28"/>
        </w:rPr>
        <w:t xml:space="preserve"> </w:t>
      </w:r>
      <w:r>
        <w:t xml:space="preserve">, the EU undertakes to: “adopt measures to ensure the application of the principle of equal opportunities and equal treatment of men and women in matters of employment and occupation, including the principle of equal pay for equal work or work of equal value”.  </w:t>
      </w:r>
    </w:p>
  </w:footnote>
  <w:footnote w:id="12">
    <w:p w14:paraId="6EF7701C" w14:textId="31B67909" w:rsidR="00B0028C" w:rsidRDefault="00B0028C">
      <w:pPr>
        <w:pStyle w:val="FootnoteText"/>
      </w:pPr>
      <w:r>
        <w:rPr>
          <w:rStyle w:val="FootnoteReference"/>
        </w:rPr>
        <w:footnoteRef/>
      </w:r>
      <w:r>
        <w:t xml:space="preserve"> F</w:t>
      </w:r>
      <w:r w:rsidRPr="001C338A">
        <w:t>or example, reporting requirements to the European Commission</w:t>
      </w:r>
    </w:p>
  </w:footnote>
  <w:footnote w:id="13">
    <w:p w14:paraId="3E009C66" w14:textId="62314935" w:rsidR="00D9181D" w:rsidRDefault="00D9181D" w:rsidP="00D9181D">
      <w:pPr>
        <w:pStyle w:val="FootnoteText"/>
      </w:pPr>
      <w:r>
        <w:rPr>
          <w:rStyle w:val="FootnoteReference"/>
        </w:rPr>
        <w:footnoteRef/>
      </w:r>
      <w:r>
        <w:t xml:space="preserve"> </w:t>
      </w:r>
      <w:r>
        <w:rPr>
          <w:rFonts w:cstheme="minorHAnsi"/>
          <w:szCs w:val="28"/>
        </w:rPr>
        <w:t>R</w:t>
      </w:r>
      <w:r w:rsidRPr="00DE5F5A">
        <w:rPr>
          <w:rFonts w:cstheme="minorHAnsi"/>
          <w:szCs w:val="28"/>
        </w:rPr>
        <w:t xml:space="preserve">elating to </w:t>
      </w:r>
      <w:r>
        <w:rPr>
          <w:rFonts w:cstheme="minorHAnsi"/>
          <w:szCs w:val="28"/>
        </w:rPr>
        <w:t xml:space="preserve">WF </w:t>
      </w:r>
      <w:r w:rsidRPr="00DE5F5A">
        <w:rPr>
          <w:rFonts w:cstheme="minorHAnsi"/>
          <w:szCs w:val="28"/>
        </w:rPr>
        <w:t>Article 2(1)</w:t>
      </w:r>
      <w:r w:rsidR="00565E87">
        <w:rPr>
          <w:rFonts w:cstheme="minorHAnsi"/>
          <w:szCs w:val="28"/>
        </w:rPr>
        <w:t>.</w:t>
      </w:r>
    </w:p>
  </w:footnote>
  <w:footnote w:id="14">
    <w:p w14:paraId="40CC7414" w14:textId="556A7E57" w:rsidR="008907AF" w:rsidRDefault="008907AF">
      <w:pPr>
        <w:pStyle w:val="FootnoteText"/>
      </w:pPr>
      <w:r>
        <w:rPr>
          <w:rStyle w:val="FootnoteReference"/>
        </w:rPr>
        <w:footnoteRef/>
      </w:r>
      <w:r>
        <w:t xml:space="preserve"> F</w:t>
      </w:r>
      <w:r w:rsidRPr="008907AF">
        <w:t>or example, reporting requirements to the European Commission.</w:t>
      </w:r>
    </w:p>
  </w:footnote>
  <w:footnote w:id="15">
    <w:p w14:paraId="7D088326" w14:textId="2DCB4D47" w:rsidR="00CA36CD" w:rsidRDefault="00CA36CD" w:rsidP="00CA36CD">
      <w:pPr>
        <w:pStyle w:val="FootnoteText"/>
      </w:pPr>
      <w:r>
        <w:rPr>
          <w:rStyle w:val="FootnoteReference"/>
        </w:rPr>
        <w:footnoteRef/>
      </w:r>
      <w:r>
        <w:t xml:space="preserve"> WF Article 15 (3)</w:t>
      </w:r>
      <w:r w:rsidR="0081751C">
        <w:t>:Within the working group</w:t>
      </w:r>
      <w:r>
        <w:t xml:space="preserve"> </w:t>
      </w:r>
      <w:r w:rsidR="001078F4">
        <w:t xml:space="preserve">(a) </w:t>
      </w:r>
      <w:r>
        <w:t>the Union and the United Kingdom shall, in a timely manner, exchange information about planned, ongoing and final relevant implementation measures in relation to the Union acts listed in the Annexes to this Protocol;</w:t>
      </w:r>
      <w:r w:rsidR="001078F4">
        <w:t xml:space="preserve"> </w:t>
      </w:r>
      <w:r>
        <w:t>(b) the Union shall inform the United Kingdom about planned Union acts within the scope of this Protocol, including Union acts that amend or replace the Union acts listed in the Annexes to this Protocol</w:t>
      </w:r>
      <w:r w:rsidR="001078F4">
        <w:t>.</w:t>
      </w:r>
    </w:p>
  </w:footnote>
  <w:footnote w:id="16">
    <w:p w14:paraId="294A0A10" w14:textId="21B014A1" w:rsidR="00F36254" w:rsidRDefault="00F36254" w:rsidP="00F36254">
      <w:pPr>
        <w:pStyle w:val="FootnoteText"/>
      </w:pPr>
      <w:r>
        <w:rPr>
          <w:rStyle w:val="FootnoteReference"/>
        </w:rPr>
        <w:footnoteRef/>
      </w:r>
      <w:r>
        <w:t xml:space="preserve"> See ECNI </w:t>
      </w:r>
      <w:hyperlink r:id="rId5" w:history="1">
        <w:r w:rsidRPr="001802C9">
          <w:rPr>
            <w:rStyle w:val="Hyperlink"/>
          </w:rPr>
          <w:t>response</w:t>
        </w:r>
      </w:hyperlink>
      <w:r>
        <w:t xml:space="preserve"> to TEO consultation on review of the Race Relations (NI) Order 1997, June 2023.</w:t>
      </w:r>
    </w:p>
    <w:p w14:paraId="1870D8E3" w14:textId="7B1430C3" w:rsidR="00F36254" w:rsidRDefault="00F36254" w:rsidP="00F36254">
      <w:pPr>
        <w:pStyle w:val="FootnoteText"/>
      </w:pPr>
    </w:p>
  </w:footnote>
  <w:footnote w:id="17">
    <w:p w14:paraId="62C90717" w14:textId="77777777" w:rsidR="00641C35" w:rsidRPr="00ED2F62" w:rsidRDefault="00641C35" w:rsidP="00641C35">
      <w:pPr>
        <w:pStyle w:val="FootnoteText"/>
        <w:rPr>
          <w:rFonts w:cs="Calibri"/>
          <w:sz w:val="18"/>
          <w:szCs w:val="18"/>
        </w:rPr>
      </w:pPr>
      <w:r w:rsidRPr="00ED2F62">
        <w:rPr>
          <w:rStyle w:val="FootnoteReference"/>
          <w:rFonts w:cs="Calibri"/>
          <w:sz w:val="18"/>
          <w:szCs w:val="18"/>
        </w:rPr>
        <w:footnoteRef/>
      </w:r>
      <w:r w:rsidRPr="00ED2F62">
        <w:rPr>
          <w:rFonts w:cs="Calibri"/>
          <w:sz w:val="18"/>
          <w:szCs w:val="18"/>
        </w:rPr>
        <w:t xml:space="preserve"> 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p>
  </w:footnote>
  <w:footnote w:id="18">
    <w:p w14:paraId="65EA0641" w14:textId="1AF254EA" w:rsidR="004B56A8" w:rsidRPr="003827D2" w:rsidRDefault="004B56A8" w:rsidP="004B56A8">
      <w:pPr>
        <w:pStyle w:val="FootnoteText"/>
        <w:rPr>
          <w:rFonts w:cs="Arial"/>
        </w:rPr>
      </w:pPr>
      <w:r>
        <w:rPr>
          <w:rStyle w:val="FootnoteReference"/>
        </w:rPr>
        <w:footnoteRef/>
      </w:r>
      <w:r>
        <w:rPr>
          <w:rFonts w:cs="Arial"/>
          <w:shd w:val="clear" w:color="auto" w:fill="FFFFFF"/>
        </w:rPr>
        <w:t xml:space="preserve"> For further information on the scope of WF Article 2, see </w:t>
      </w:r>
      <w:r>
        <w:t xml:space="preserve">ECNI, NIHRC </w:t>
      </w:r>
      <w:hyperlink r:id="rId6" w:history="1">
        <w:r w:rsidRPr="00EB3022">
          <w:rPr>
            <w:rStyle w:val="Hyperlink"/>
          </w:rPr>
          <w:t>Working Paper: The Scope of Article 2(1) of the Ireland/ Northern Ireland Protocol</w:t>
        </w:r>
      </w:hyperlink>
      <w:r>
        <w:t>, (ECNI and NIHRC, December 2022)</w:t>
      </w:r>
      <w:r w:rsidR="00565E87">
        <w:t>.</w:t>
      </w:r>
      <w:r w:rsidRPr="004E00A8">
        <w:rPr>
          <w:rFonts w:cs="Arial"/>
          <w:shd w:val="clear" w:color="auto" w:fill="FFFFFF"/>
        </w:rPr>
        <w:t> </w:t>
      </w:r>
    </w:p>
  </w:footnote>
  <w:footnote w:id="19">
    <w:p w14:paraId="14F43C67" w14:textId="7CB247E3" w:rsidR="00E17510" w:rsidRDefault="00E17510" w:rsidP="00E17510">
      <w:pPr>
        <w:pStyle w:val="FootnoteText"/>
      </w:pPr>
      <w:r>
        <w:rPr>
          <w:rStyle w:val="FootnoteReference"/>
        </w:rPr>
        <w:footnoteRef/>
      </w:r>
      <w:r>
        <w:t xml:space="preserve"> </w:t>
      </w:r>
      <w:r w:rsidRPr="00333CD1">
        <w:rPr>
          <w:rFonts w:cstheme="minorHAnsi"/>
        </w:rPr>
        <w:t xml:space="preserve">Directive </w:t>
      </w:r>
      <w:hyperlink r:id="rId7" w:history="1">
        <w:r w:rsidRPr="009D736C">
          <w:rPr>
            <w:rStyle w:val="Hyperlink"/>
            <w:rFonts w:cstheme="minorHAnsi"/>
            <w:shd w:val="clear" w:color="auto" w:fill="FFFFFF"/>
          </w:rPr>
          <w:t>2006/54/EC</w:t>
        </w:r>
      </w:hyperlink>
      <w:r w:rsidRPr="00114B75">
        <w:rPr>
          <w:rFonts w:cstheme="minorHAnsi"/>
          <w:shd w:val="clear" w:color="auto" w:fill="FFFFFF"/>
        </w:rPr>
        <w:t xml:space="preserve"> </w:t>
      </w:r>
      <w:r>
        <w:rPr>
          <w:rFonts w:cstheme="minorHAnsi"/>
          <w:shd w:val="clear" w:color="auto" w:fill="FFFFFF"/>
        </w:rPr>
        <w:t xml:space="preserve">of 5 July 2006 </w:t>
      </w:r>
      <w:r w:rsidRPr="00114B75">
        <w:rPr>
          <w:rFonts w:cstheme="minorHAnsi"/>
          <w:shd w:val="clear" w:color="auto" w:fill="FFFFFF"/>
        </w:rPr>
        <w:t>on equal opportunities and equal treatment of women and men in employment and occupation</w:t>
      </w:r>
      <w:r w:rsidR="00565E87">
        <w:rPr>
          <w:rFonts w:cstheme="minorHAnsi"/>
          <w:shd w:val="clear" w:color="auto" w:fill="FFFFFF"/>
        </w:rPr>
        <w:t>.</w:t>
      </w:r>
    </w:p>
  </w:footnote>
  <w:footnote w:id="20">
    <w:p w14:paraId="1AC4AF91" w14:textId="77777777" w:rsidR="009D1850" w:rsidRDefault="009D1850" w:rsidP="009D1850">
      <w:pPr>
        <w:pStyle w:val="FootnoteText"/>
      </w:pPr>
      <w:r>
        <w:rPr>
          <w:rStyle w:val="FootnoteReference"/>
        </w:rPr>
        <w:footnoteRef/>
      </w:r>
      <w:r>
        <w:t xml:space="preserve"> Recast Directive, Article 4: Prohibition of discrimination: “For the same work or for work to which equal value is attributed, direct and indirect discrimination on grounds of sex </w:t>
      </w:r>
      <w:proofErr w:type="gramStart"/>
      <w:r>
        <w:t>with regard to</w:t>
      </w:r>
      <w:proofErr w:type="gramEnd"/>
      <w:r>
        <w:t xml:space="preserve"> all aspects and conditions of remuneration shall be eliminated. </w:t>
      </w:r>
      <w:proofErr w:type="gramStart"/>
      <w:r>
        <w:t>In particular, where</w:t>
      </w:r>
      <w:proofErr w:type="gramEnd"/>
      <w:r>
        <w:t xml:space="preserve"> a job classification system is used for determining pay, it shall be based on the same criteria for both men and women and so drawn up as to exclude any discrimination on grounds of sex.”</w:t>
      </w:r>
    </w:p>
  </w:footnote>
  <w:footnote w:id="21">
    <w:p w14:paraId="5A68B19F" w14:textId="4E7C610A" w:rsidR="004B2C43" w:rsidRDefault="004B2C43" w:rsidP="004B2C43">
      <w:pPr>
        <w:pStyle w:val="FootnoteText"/>
      </w:pPr>
      <w:r>
        <w:rPr>
          <w:rStyle w:val="FootnoteReference"/>
        </w:rPr>
        <w:footnoteRef/>
      </w:r>
      <w:r>
        <w:t xml:space="preserve"> </w:t>
      </w:r>
      <w:hyperlink r:id="rId8" w:history="1">
        <w:r>
          <w:rPr>
            <w:rStyle w:val="Hyperlink"/>
          </w:rPr>
          <w:t xml:space="preserve">Explainer: UK Government commitment to no diminution of rights, </w:t>
        </w:r>
        <w:proofErr w:type="gramStart"/>
        <w:r>
          <w:rPr>
            <w:rStyle w:val="Hyperlink"/>
          </w:rPr>
          <w:t>safeguards</w:t>
        </w:r>
        <w:proofErr w:type="gramEnd"/>
        <w:r>
          <w:rPr>
            <w:rStyle w:val="Hyperlink"/>
          </w:rPr>
          <w:t xml:space="preserve"> and equality of opportunity in Northern Ireland</w:t>
        </w:r>
      </w:hyperlink>
      <w:r>
        <w:t>, 7 August 2020, para 7, para 12</w:t>
      </w:r>
      <w:r w:rsidR="00565E87">
        <w:t>.</w:t>
      </w:r>
    </w:p>
  </w:footnote>
  <w:footnote w:id="22">
    <w:p w14:paraId="7D730B28" w14:textId="77777777" w:rsidR="004B2C43" w:rsidRDefault="004B2C43" w:rsidP="004B2C43">
      <w:pPr>
        <w:pStyle w:val="FootnoteText"/>
      </w:pPr>
      <w:r>
        <w:rPr>
          <w:rStyle w:val="FootnoteReference"/>
        </w:rPr>
        <w:footnoteRef/>
      </w:r>
      <w:r>
        <w:t xml:space="preserve"> Article 13(3): “Notwithstanding Article 6(1) of the Withdrawal Agreement, and unless otherwise provided, where this Protocol makes reference to a Union act, that reference shall be read as referring to that Union </w:t>
      </w:r>
      <w:proofErr w:type="gramStart"/>
      <w:r>
        <w:t>act as</w:t>
      </w:r>
      <w:proofErr w:type="gramEnd"/>
      <w:r>
        <w:t xml:space="preserve"> amended or replaced.”</w:t>
      </w:r>
    </w:p>
  </w:footnote>
  <w:footnote w:id="23">
    <w:p w14:paraId="417FFB09" w14:textId="77777777" w:rsidR="004B2C43" w:rsidRDefault="004B2C43" w:rsidP="004B2C43">
      <w:pPr>
        <w:pStyle w:val="FootnoteText"/>
      </w:pPr>
      <w:r>
        <w:rPr>
          <w:rStyle w:val="FootnoteReference"/>
        </w:rPr>
        <w:footnoteRef/>
      </w:r>
      <w:r>
        <w:t xml:space="preserve"> </w:t>
      </w:r>
      <w:r w:rsidRPr="00EF239E">
        <w:t>Thomas Liefländer, Commentary on Article 13, in Thomas Liefländer, Manuel Kellerbauer, and Eugenia Dumitriu-Segnana, The EU-UK Withdrawal Agreement: A Commentary (OUP, 2021), 8.155.</w:t>
      </w:r>
    </w:p>
  </w:footnote>
  <w:footnote w:id="24">
    <w:p w14:paraId="70166CBA" w14:textId="77777777" w:rsidR="00450901" w:rsidRDefault="00450901" w:rsidP="00450901">
      <w:pPr>
        <w:pStyle w:val="FootnoteText"/>
      </w:pPr>
      <w:r>
        <w:rPr>
          <w:rStyle w:val="FootnoteReference"/>
        </w:rPr>
        <w:footnoteRef/>
      </w:r>
      <w:r>
        <w:t xml:space="preserve"> Article 13 (2) WF: “Notwithstanding Article 4(4) and (5) of the Withdrawal Agreement, the provisions of this Protocol referring to Union law or to concepts or provisions thereof shall in their implementation and application be interpreted in conformity with the relevant case law of the Court of Justice of the European Union.”</w:t>
      </w:r>
    </w:p>
  </w:footnote>
  <w:footnote w:id="25">
    <w:p w14:paraId="7DB8A6B5" w14:textId="18A49D08" w:rsidR="00D31974" w:rsidRDefault="00D31974">
      <w:pPr>
        <w:pStyle w:val="FootnoteText"/>
      </w:pPr>
      <w:r>
        <w:rPr>
          <w:rStyle w:val="FootnoteReference"/>
        </w:rPr>
        <w:footnoteRef/>
      </w:r>
      <w:r>
        <w:t xml:space="preserve"> </w:t>
      </w:r>
      <w:r w:rsidR="004E7D5B">
        <w:t xml:space="preserve">DIRECTIVE (EU) 2023/970, </w:t>
      </w:r>
      <w:hyperlink r:id="rId9" w:history="1">
        <w:r w:rsidR="004C10DB">
          <w:rPr>
            <w:rStyle w:val="Hyperlink"/>
          </w:rPr>
          <w:t>Publications Office (europa.eu)</w:t>
        </w:r>
      </w:hyperlink>
      <w:r w:rsidR="00565E87">
        <w:rPr>
          <w:rStyle w:val="Hyperlink"/>
        </w:rPr>
        <w:t>.</w:t>
      </w:r>
    </w:p>
  </w:footnote>
  <w:footnote w:id="26">
    <w:p w14:paraId="3360AB1C" w14:textId="5026DA5F" w:rsidR="00776D1A" w:rsidRDefault="00776D1A" w:rsidP="00776D1A">
      <w:pPr>
        <w:pStyle w:val="FootnoteText"/>
      </w:pPr>
      <w:r>
        <w:rPr>
          <w:rStyle w:val="FootnoteReference"/>
        </w:rPr>
        <w:footnoteRef/>
      </w:r>
      <w:r>
        <w:t xml:space="preserve"> Treaty of the Functioning of the EU</w:t>
      </w:r>
      <w:r w:rsidR="00D87567">
        <w:t>,</w:t>
      </w:r>
      <w:r>
        <w:t xml:space="preserve">  </w:t>
      </w:r>
      <w:hyperlink r:id="rId10" w:anchor=":~:text=Each%20Member%20State%20shall%20ensure,of%20equal%20value%20is%20applied." w:history="1">
        <w:r w:rsidRPr="007057A9">
          <w:rPr>
            <w:rStyle w:val="Hyperlink"/>
            <w:rFonts w:cstheme="minorHAnsi"/>
            <w:szCs w:val="28"/>
          </w:rPr>
          <w:t>Article 157</w:t>
        </w:r>
        <w:r w:rsidR="00475548">
          <w:rPr>
            <w:rStyle w:val="Hyperlink"/>
            <w:rFonts w:cstheme="minorHAnsi"/>
            <w:szCs w:val="28"/>
          </w:rPr>
          <w:t xml:space="preserve"> </w:t>
        </w:r>
        <w:r w:rsidRPr="007057A9">
          <w:rPr>
            <w:rStyle w:val="Hyperlink"/>
            <w:rFonts w:cstheme="minorHAnsi"/>
            <w:szCs w:val="28"/>
          </w:rPr>
          <w:t>of the TFEU</w:t>
        </w:r>
      </w:hyperlink>
      <w:r w:rsidR="00565E87">
        <w:rPr>
          <w:rStyle w:val="Hyperlink"/>
          <w:rFonts w:cstheme="minorHAnsi"/>
          <w:szCs w:val="28"/>
        </w:rPr>
        <w:t>.</w:t>
      </w:r>
    </w:p>
  </w:footnote>
  <w:footnote w:id="27">
    <w:p w14:paraId="08431B11" w14:textId="55630B9D" w:rsidR="002F6A8F" w:rsidRDefault="002F6A8F" w:rsidP="002F6A8F">
      <w:pPr>
        <w:pStyle w:val="FootnoteText"/>
      </w:pPr>
      <w:r>
        <w:rPr>
          <w:rStyle w:val="FootnoteReference"/>
        </w:rPr>
        <w:footnoteRef/>
      </w:r>
      <w:r>
        <w:t xml:space="preserve">  </w:t>
      </w:r>
      <w:hyperlink r:id="rId11" w:history="1">
        <w:r w:rsidRPr="0015695E">
          <w:rPr>
            <w:rStyle w:val="Hyperlink"/>
          </w:rPr>
          <w:t>Letter</w:t>
        </w:r>
      </w:hyperlink>
      <w:r>
        <w:t xml:space="preserve"> to European Scrutiny Committee, dated 15 July 2021</w:t>
      </w:r>
      <w:r w:rsidRPr="00F43D77">
        <w:t>.</w:t>
      </w:r>
    </w:p>
  </w:footnote>
  <w:footnote w:id="28">
    <w:p w14:paraId="2505AF19" w14:textId="71850DE6" w:rsidR="00B02AEB" w:rsidRDefault="002A0F2D" w:rsidP="00B02AEB">
      <w:pPr>
        <w:pStyle w:val="FootnoteText"/>
      </w:pPr>
      <w:r>
        <w:rPr>
          <w:rStyle w:val="FootnoteReference"/>
        </w:rPr>
        <w:footnoteRef/>
      </w:r>
      <w:r>
        <w:t xml:space="preserve"> </w:t>
      </w:r>
      <w:r w:rsidR="00B02AEB">
        <w:t xml:space="preserve">To date, Section 19 of the Employment Act (Northern Ireland) 2016 (‘the Act’) has not </w:t>
      </w:r>
      <w:proofErr w:type="gramStart"/>
      <w:r w:rsidR="00AA69FB">
        <w:t>been brought</w:t>
      </w:r>
      <w:proofErr w:type="gramEnd"/>
      <w:r w:rsidR="00AA69FB">
        <w:t xml:space="preserve"> </w:t>
      </w:r>
      <w:r w:rsidR="00B02AEB">
        <w:t xml:space="preserve">into force. The Act provided for the introduction of a gender pay strategy and associated action plan, in tandem with </w:t>
      </w:r>
    </w:p>
    <w:p w14:paraId="3B123847" w14:textId="3313868A" w:rsidR="002A0F2D" w:rsidRDefault="00B02AEB" w:rsidP="00B02AEB">
      <w:pPr>
        <w:pStyle w:val="FootnoteText"/>
      </w:pPr>
      <w:r>
        <w:t>the introduction of Gender Pay Gap Reporting Regulations in Northern Ireland.</w:t>
      </w:r>
    </w:p>
  </w:footnote>
  <w:footnote w:id="29">
    <w:p w14:paraId="265198C0" w14:textId="77777777" w:rsidR="00554B71" w:rsidRDefault="00554B71" w:rsidP="00554B71">
      <w:pPr>
        <w:pStyle w:val="FootnoteText"/>
      </w:pPr>
      <w:r>
        <w:rPr>
          <w:rStyle w:val="FootnoteReference"/>
        </w:rPr>
        <w:footnoteRef/>
      </w:r>
      <w:r>
        <w:t xml:space="preserve"> WF Article 15 (3):Within the working group (a) the Union and the United Kingdom shall, in a timely manner, exchange information about planned, ongoing and final relevant implementation measures in relation to the Union acts listed in the Annexes to this Protocol; (b) the Union shall inform the United Kingdom about planned Union acts within the scope of this Protocol, including Union acts that amend or replace the Union acts listed in the Annexes to this Protocol.</w:t>
      </w:r>
    </w:p>
  </w:footnote>
  <w:footnote w:id="30">
    <w:p w14:paraId="2C7D5059" w14:textId="51CC6438" w:rsidR="009604D7" w:rsidRPr="00D34952" w:rsidRDefault="009604D7" w:rsidP="009604D7">
      <w:pPr>
        <w:pStyle w:val="FootnoteText"/>
        <w:rPr>
          <w:rFonts w:cs="Arial"/>
        </w:rPr>
      </w:pPr>
      <w:r>
        <w:rPr>
          <w:rStyle w:val="FootnoteReference"/>
        </w:rPr>
        <w:footnoteRef/>
      </w:r>
      <w:r>
        <w:t xml:space="preserve"> </w:t>
      </w:r>
      <w:r w:rsidRPr="00FB7676">
        <w:t xml:space="preserve">See </w:t>
      </w:r>
      <w:r w:rsidR="008E7687">
        <w:t xml:space="preserve">ECNI, NIHRC </w:t>
      </w:r>
      <w:hyperlink r:id="rId12" w:history="1">
        <w:r w:rsidR="008E7687" w:rsidRPr="00EB3022">
          <w:rPr>
            <w:rStyle w:val="Hyperlink"/>
          </w:rPr>
          <w:t>Working Paper: The Scope of Article 2(1) of the Ireland/ Northern Ireland Protocol</w:t>
        </w:r>
      </w:hyperlink>
      <w:r w:rsidR="008E7687">
        <w:t>, (ECNI and NIHRC, December 2022)</w:t>
      </w:r>
      <w:r w:rsidR="003E5202">
        <w:t>.</w:t>
      </w:r>
      <w:r w:rsidR="008E7687" w:rsidRPr="004E00A8">
        <w:rPr>
          <w:rFonts w:cs="Arial"/>
          <w:shd w:val="clear" w:color="auto" w:fill="FFFFFF"/>
        </w:rPr>
        <w:t> </w:t>
      </w:r>
    </w:p>
  </w:footnote>
  <w:footnote w:id="31">
    <w:p w14:paraId="3B95043A" w14:textId="082990E3" w:rsidR="00F76834" w:rsidRPr="00D34952" w:rsidRDefault="00F76834">
      <w:pPr>
        <w:pStyle w:val="FootnoteText"/>
        <w:rPr>
          <w:rFonts w:cs="Arial"/>
        </w:rPr>
      </w:pPr>
      <w:r>
        <w:rPr>
          <w:rStyle w:val="FootnoteReference"/>
        </w:rPr>
        <w:footnoteRef/>
      </w:r>
      <w:r>
        <w:t xml:space="preserve"> </w:t>
      </w:r>
      <w:r w:rsidR="00D34952">
        <w:t>Ibid</w:t>
      </w:r>
      <w:r w:rsidR="003E5202">
        <w:t>.</w:t>
      </w:r>
      <w:r w:rsidR="00D34952">
        <w:t xml:space="preserve"> </w:t>
      </w:r>
    </w:p>
  </w:footnote>
  <w:footnote w:id="32">
    <w:p w14:paraId="435552F3" w14:textId="4874D7E3" w:rsidR="00D5630F" w:rsidRDefault="00D5630F" w:rsidP="00D5630F">
      <w:pPr>
        <w:pStyle w:val="FootnoteText"/>
      </w:pPr>
      <w:r>
        <w:rPr>
          <w:rStyle w:val="FootnoteReference"/>
        </w:rPr>
        <w:footnoteRef/>
      </w:r>
      <w:r>
        <w:t xml:space="preserve">  </w:t>
      </w:r>
      <w:hyperlink r:id="rId13" w:anchor=":~:text=Each%20Member%20State%20shall%20ensure,of%20equal%20value%20is%20applied." w:history="1">
        <w:r w:rsidRPr="007057A9">
          <w:rPr>
            <w:rStyle w:val="Hyperlink"/>
            <w:rFonts w:cstheme="minorHAnsi"/>
            <w:szCs w:val="28"/>
          </w:rPr>
          <w:t>Article 157(3) of the TFEU</w:t>
        </w:r>
      </w:hyperlink>
      <w:r w:rsidR="003E5202">
        <w:rPr>
          <w:rStyle w:val="Hyperlink"/>
          <w:rFonts w:cstheme="minorHAnsi"/>
          <w:szCs w:val="28"/>
        </w:rPr>
        <w:t>.</w:t>
      </w:r>
      <w:r>
        <w:rPr>
          <w:rFonts w:cstheme="minorHAnsi"/>
          <w:szCs w:val="28"/>
        </w:rPr>
        <w:t xml:space="preserve"> </w:t>
      </w:r>
    </w:p>
  </w:footnote>
  <w:footnote w:id="33">
    <w:p w14:paraId="06381887" w14:textId="045A5A8C" w:rsidR="00D47D79" w:rsidRDefault="00D47D79">
      <w:pPr>
        <w:pStyle w:val="FootnoteText"/>
      </w:pPr>
      <w:r>
        <w:rPr>
          <w:rStyle w:val="FootnoteReference"/>
        </w:rPr>
        <w:footnoteRef/>
      </w:r>
      <w:r>
        <w:t xml:space="preserve"> </w:t>
      </w:r>
      <w:r w:rsidRPr="00D47D79">
        <w:t xml:space="preserve">See page 3 thereof. </w:t>
      </w:r>
      <w:hyperlink r:id="rId14" w:anchor=":~:text=The%20proposed%20directive%20is%20based,employment%20and%20occupation%2C%20including%20the" w:history="1">
        <w:r w:rsidRPr="00D47D79">
          <w:rPr>
            <w:rStyle w:val="Hyperlink"/>
          </w:rPr>
          <w:t>Explanatory Memorandum to COM (2021)93 - Proposal for a Directive to strengthen the application of the principle of equal pay for equal work between men and women through pay transparency and enforcement mechanisms - EU monitor</w:t>
        </w:r>
      </w:hyperlink>
      <w:r w:rsidRPr="00D47D79">
        <w:t>. European Commission, 4 March 2021.The European Commission refers to Directive 2006/54/EC as the ‘Recast Directive’.</w:t>
      </w:r>
    </w:p>
  </w:footnote>
  <w:footnote w:id="34">
    <w:p w14:paraId="64801DFE" w14:textId="2611E81F" w:rsidR="00646874" w:rsidRPr="00CB0BF6" w:rsidRDefault="00646874" w:rsidP="00D47D79">
      <w:pPr>
        <w:pStyle w:val="FootnoteText"/>
      </w:pPr>
      <w:r>
        <w:rPr>
          <w:rStyle w:val="FootnoteReference"/>
        </w:rPr>
        <w:footnoteRef/>
      </w:r>
      <w:r>
        <w:t xml:space="preserve"> </w:t>
      </w:r>
      <w:r w:rsidR="00CB0BF6" w:rsidRPr="00CB0BF6">
        <w:t>For example, the concepts of ‘pay</w:t>
      </w:r>
      <w:proofErr w:type="gramStart"/>
      <w:r w:rsidR="00CB0BF6" w:rsidRPr="00CB0BF6">
        <w:t>’,</w:t>
      </w:r>
      <w:proofErr w:type="gramEnd"/>
      <w:r w:rsidR="00CB0BF6" w:rsidRPr="00CB0BF6">
        <w:t xml:space="preserve"> ‘equal pay’, ‘same work’ and ‘work of equal value’ are derived directly from Article 157 TFEU. </w:t>
      </w:r>
      <w:r w:rsidRPr="00CB0BF6">
        <w:t xml:space="preserve">See </w:t>
      </w:r>
      <w:r w:rsidRPr="00CB0BF6">
        <w:rPr>
          <w:i/>
          <w:iCs/>
        </w:rPr>
        <w:t>European Commission staff working document of the relevant provisions in the Directive 2006/54/EC implementing the Treaty principle on ‘equal pay for equal work or work of equal value</w:t>
      </w:r>
      <w:r w:rsidRPr="00CB0BF6">
        <w:t>, 050320, page 17</w:t>
      </w:r>
      <w:r w:rsidR="003E5202">
        <w:t>.</w:t>
      </w:r>
    </w:p>
  </w:footnote>
  <w:footnote w:id="35">
    <w:p w14:paraId="24381022" w14:textId="74262765" w:rsidR="00DA6075" w:rsidRDefault="00DA6075" w:rsidP="00DA6075">
      <w:pPr>
        <w:pStyle w:val="FootnoteText"/>
      </w:pPr>
      <w:r>
        <w:rPr>
          <w:rStyle w:val="FootnoteReference"/>
        </w:rPr>
        <w:footnoteRef/>
      </w:r>
      <w:r>
        <w:t xml:space="preserve"> PTD, at Recital 16</w:t>
      </w:r>
      <w:r w:rsidR="003E5202">
        <w:t>.</w:t>
      </w:r>
    </w:p>
  </w:footnote>
  <w:footnote w:id="36">
    <w:p w14:paraId="18BE7779" w14:textId="7398DA36" w:rsidR="00B6671E" w:rsidRPr="0091410F" w:rsidRDefault="00B6671E" w:rsidP="002C278C">
      <w:pPr>
        <w:pStyle w:val="FootnoteText"/>
        <w:rPr>
          <w:rFonts w:cstheme="minorHAnsi"/>
          <w:sz w:val="28"/>
          <w:szCs w:val="28"/>
        </w:rPr>
      </w:pPr>
      <w:r>
        <w:rPr>
          <w:rStyle w:val="FootnoteReference"/>
        </w:rPr>
        <w:footnoteRef/>
      </w:r>
      <w:r w:rsidR="00873843">
        <w:t xml:space="preserve"> </w:t>
      </w:r>
      <w:r w:rsidR="00873843" w:rsidRPr="00114F16">
        <w:t>PTD,</w:t>
      </w:r>
      <w:r w:rsidRPr="00114F16">
        <w:t xml:space="preserve"> </w:t>
      </w:r>
      <w:r w:rsidRPr="00114F16">
        <w:rPr>
          <w:color w:val="333333"/>
          <w:shd w:val="clear" w:color="auto" w:fill="FFFFFF"/>
        </w:rPr>
        <w:t xml:space="preserve">Recital </w:t>
      </w:r>
      <w:r w:rsidR="00873843" w:rsidRPr="00114F16">
        <w:rPr>
          <w:color w:val="333333"/>
          <w:shd w:val="clear" w:color="auto" w:fill="FFFFFF"/>
        </w:rPr>
        <w:t xml:space="preserve">11 </w:t>
      </w:r>
      <w:r w:rsidR="00486FA0">
        <w:rPr>
          <w:color w:val="333333"/>
          <w:shd w:val="clear" w:color="auto" w:fill="FFFFFF"/>
        </w:rPr>
        <w:t>also states “</w:t>
      </w:r>
      <w:r w:rsidR="00C24E6E" w:rsidRPr="00114F16">
        <w:t>Workers lack the necessary information to make a successful equal pay claim and</w:t>
      </w:r>
      <w:proofErr w:type="gramStart"/>
      <w:r w:rsidR="00C24E6E" w:rsidRPr="00114F16">
        <w:t>, in particular, information</w:t>
      </w:r>
      <w:proofErr w:type="gramEnd"/>
      <w:r w:rsidR="00C24E6E" w:rsidRPr="00114F16">
        <w:t xml:space="preserve"> about the pay levels for categories of workers who perform the same work or work of equal value. </w:t>
      </w:r>
      <w:r w:rsidR="00043196" w:rsidRPr="00114F16">
        <w:t xml:space="preserve">The report found that increased transparency would allow revealing gender bias and discrimination in the pay structures of an undertaking or organisation. It would also enable workers, </w:t>
      </w:r>
      <w:proofErr w:type="gramStart"/>
      <w:r w:rsidR="00043196" w:rsidRPr="00114F16">
        <w:t>employers</w:t>
      </w:r>
      <w:proofErr w:type="gramEnd"/>
      <w:r w:rsidR="00043196" w:rsidRPr="00114F16">
        <w:t xml:space="preserve"> and the social partners to take appropriate action to ensure the application of the right to equal pay for equal work and work of equal value (the ‘right to equal pay’)</w:t>
      </w:r>
      <w:r w:rsidR="00C24E6E" w:rsidRPr="00114F16">
        <w:t>”.</w:t>
      </w:r>
    </w:p>
  </w:footnote>
  <w:footnote w:id="37">
    <w:p w14:paraId="23D7A4EF" w14:textId="34DC5741" w:rsidR="00661C28" w:rsidRPr="00245C0C" w:rsidRDefault="00661C28">
      <w:pPr>
        <w:pStyle w:val="FootnoteText"/>
      </w:pPr>
      <w:r>
        <w:rPr>
          <w:rStyle w:val="FootnoteReference"/>
        </w:rPr>
        <w:footnoteRef/>
      </w:r>
      <w:r>
        <w:t xml:space="preserve"> </w:t>
      </w:r>
      <w:r w:rsidR="00EA2344" w:rsidRPr="00245C0C">
        <w:t>For example, the European Commission states that the added value of the Recast Directive “had been hampered by the lack of clarification of the key legal concepts that are central to implementing equal pay measures, particularly for employers, employees and the courts</w:t>
      </w:r>
      <w:proofErr w:type="gramStart"/>
      <w:r w:rsidR="00EA2344" w:rsidRPr="00245C0C">
        <w:t>”.</w:t>
      </w:r>
      <w:proofErr w:type="gramEnd"/>
      <w:r w:rsidR="00EA2344" w:rsidRPr="00245C0C">
        <w:t xml:space="preserve"> </w:t>
      </w:r>
      <w:r w:rsidR="00EA2344" w:rsidRPr="00245C0C">
        <w:rPr>
          <w:rFonts w:cstheme="minorHAnsi"/>
        </w:rPr>
        <w:t xml:space="preserve">European Commission evaluation of the Recast Directive page </w:t>
      </w:r>
      <w:r w:rsidR="00245C0C" w:rsidRPr="00245C0C">
        <w:rPr>
          <w:rFonts w:cstheme="minorHAnsi"/>
        </w:rPr>
        <w:t>67.</w:t>
      </w:r>
    </w:p>
  </w:footnote>
  <w:footnote w:id="38">
    <w:p w14:paraId="080FE0EA" w14:textId="2AD10B89" w:rsidR="00DE6696" w:rsidRDefault="00DE6696">
      <w:pPr>
        <w:pStyle w:val="FootnoteText"/>
      </w:pPr>
      <w:r>
        <w:rPr>
          <w:rStyle w:val="FootnoteReference"/>
        </w:rPr>
        <w:footnoteRef/>
      </w:r>
      <w:r w:rsidR="00B94553">
        <w:t xml:space="preserve">See page 3 thereof. </w:t>
      </w:r>
      <w:hyperlink r:id="rId15" w:anchor=":~:text=The%20proposed%20directive%20is%20based,employment%20and%20occupation%2C%20including%20the" w:history="1">
        <w:r w:rsidR="00B94553">
          <w:rPr>
            <w:rStyle w:val="Hyperlink"/>
          </w:rPr>
          <w:t>Explanatory Memorandum to COM</w:t>
        </w:r>
        <w:r w:rsidR="00747779">
          <w:rPr>
            <w:rStyle w:val="Hyperlink"/>
          </w:rPr>
          <w:t xml:space="preserve"> </w:t>
        </w:r>
        <w:r w:rsidR="00B94553">
          <w:rPr>
            <w:rStyle w:val="Hyperlink"/>
          </w:rPr>
          <w:t xml:space="preserve">(2021)93 </w:t>
        </w:r>
        <w:r w:rsidR="00CF0C59">
          <w:rPr>
            <w:rStyle w:val="Hyperlink"/>
          </w:rPr>
          <w:t>–</w:t>
        </w:r>
        <w:r w:rsidR="00B94553">
          <w:rPr>
            <w:rStyle w:val="Hyperlink"/>
          </w:rPr>
          <w:t xml:space="preserve"> Proposal for a Directive to strengthen the application of the principle of equal pay for equal work between men and women through pay transparency and enforcement mechanisms </w:t>
        </w:r>
        <w:r w:rsidR="00CF0C59">
          <w:rPr>
            <w:rStyle w:val="Hyperlink"/>
          </w:rPr>
          <w:t>–</w:t>
        </w:r>
        <w:r w:rsidR="00B94553">
          <w:rPr>
            <w:rStyle w:val="Hyperlink"/>
          </w:rPr>
          <w:t xml:space="preserve"> EU monitor</w:t>
        </w:r>
      </w:hyperlink>
      <w:r w:rsidR="0045449E">
        <w:rPr>
          <w:rStyle w:val="Hyperlink"/>
        </w:rPr>
        <w:t>,</w:t>
      </w:r>
      <w:r w:rsidR="0045449E" w:rsidRPr="0045449E">
        <w:t xml:space="preserve"> </w:t>
      </w:r>
      <w:r w:rsidR="0045449E">
        <w:t>European Commission, 4 March 2021.</w:t>
      </w:r>
    </w:p>
  </w:footnote>
  <w:footnote w:id="39">
    <w:p w14:paraId="2AF904AB" w14:textId="6560EDC6" w:rsidR="00D30EE0" w:rsidRDefault="00D30EE0">
      <w:pPr>
        <w:pStyle w:val="FootnoteText"/>
      </w:pPr>
      <w:r>
        <w:rPr>
          <w:rStyle w:val="FootnoteReference"/>
        </w:rPr>
        <w:footnoteRef/>
      </w:r>
      <w:r>
        <w:t xml:space="preserve"> Ibid</w:t>
      </w:r>
      <w:r w:rsidR="00CF0C59">
        <w:t>.</w:t>
      </w:r>
      <w:r>
        <w:t xml:space="preserve"> </w:t>
      </w:r>
    </w:p>
  </w:footnote>
  <w:footnote w:id="40">
    <w:p w14:paraId="34B4BA73" w14:textId="77777777" w:rsidR="00370583" w:rsidRDefault="00370583" w:rsidP="00370583">
      <w:pPr>
        <w:pStyle w:val="FootnoteText"/>
      </w:pPr>
      <w:r>
        <w:rPr>
          <w:rStyle w:val="FootnoteReference"/>
        </w:rPr>
        <w:footnoteRef/>
      </w:r>
      <w:r>
        <w:t xml:space="preserve"> PTD, Recital 28.</w:t>
      </w:r>
    </w:p>
  </w:footnote>
  <w:footnote w:id="41">
    <w:p w14:paraId="424FE3AD" w14:textId="0E5D287E" w:rsidR="002F71A2" w:rsidRDefault="002F71A2">
      <w:pPr>
        <w:pStyle w:val="FootnoteText"/>
      </w:pPr>
      <w:r>
        <w:rPr>
          <w:rStyle w:val="FootnoteReference"/>
        </w:rPr>
        <w:footnoteRef/>
      </w:r>
      <w:r>
        <w:t xml:space="preserve"> See PTD Recital </w:t>
      </w:r>
      <w:r w:rsidR="00766318">
        <w:t xml:space="preserve">7 </w:t>
      </w:r>
      <w:r>
        <w:t>and Recast Directive Recital 5.</w:t>
      </w:r>
    </w:p>
  </w:footnote>
  <w:footnote w:id="42">
    <w:p w14:paraId="68319CA5" w14:textId="7B3AE907" w:rsidR="00323D90" w:rsidRPr="004F0EB7" w:rsidRDefault="00323D90" w:rsidP="006979C8">
      <w:pPr>
        <w:pStyle w:val="FootnoteText"/>
        <w:rPr>
          <w:rFonts w:ascii="Arial" w:hAnsi="Arial" w:cs="Arial"/>
          <w:b/>
          <w:bCs/>
        </w:rPr>
      </w:pPr>
      <w:r>
        <w:rPr>
          <w:rStyle w:val="FootnoteReference"/>
        </w:rPr>
        <w:footnoteRef/>
      </w:r>
      <w:r>
        <w:t xml:space="preserve"> </w:t>
      </w:r>
      <w:r w:rsidR="003B5264" w:rsidRPr="004F0EB7">
        <w:t xml:space="preserve">Article 26:  Relationship with Directive 2006/54/EC:  Chapter III of this Directive </w:t>
      </w:r>
      <w:r w:rsidR="003B5264" w:rsidRPr="004F0EB7">
        <w:rPr>
          <w:u w:val="single"/>
        </w:rPr>
        <w:t>shall apply</w:t>
      </w:r>
      <w:r w:rsidR="003B5264" w:rsidRPr="004F0EB7">
        <w:t xml:space="preserve"> to proceedings concerning any right or obligation relating to the principle of equal pay set out in Article 4 of Directive 2006/54/EC</w:t>
      </w:r>
      <w:r w:rsidR="00AB4E65" w:rsidRPr="004F0EB7">
        <w:t xml:space="preserve">. </w:t>
      </w:r>
    </w:p>
  </w:footnote>
  <w:footnote w:id="43">
    <w:p w14:paraId="2BCFA93F" w14:textId="1F9C0BA1" w:rsidR="00E56782" w:rsidRDefault="00E56782">
      <w:pPr>
        <w:pStyle w:val="FootnoteText"/>
      </w:pPr>
      <w:r>
        <w:rPr>
          <w:rStyle w:val="FootnoteReference"/>
        </w:rPr>
        <w:footnoteRef/>
      </w:r>
      <w:r>
        <w:t xml:space="preserve"> Article 4: </w:t>
      </w:r>
      <w:r w:rsidR="006261C5">
        <w:t>“</w:t>
      </w:r>
      <w:r>
        <w:t xml:space="preserve">For the same work or for work to which equal value is attributed, direct and indirect discrimination on grounds of sex </w:t>
      </w:r>
      <w:proofErr w:type="gramStart"/>
      <w:r>
        <w:t>with regard to</w:t>
      </w:r>
      <w:proofErr w:type="gramEnd"/>
      <w:r>
        <w:t xml:space="preserve"> all aspects and conditions of remuneration shall be eliminated. </w:t>
      </w:r>
      <w:proofErr w:type="gramStart"/>
      <w:r>
        <w:t>In particular, where</w:t>
      </w:r>
      <w:proofErr w:type="gramEnd"/>
      <w:r>
        <w:t xml:space="preserve"> a job classification system is used for determining pay, it shall be based on the same criteria for both men and women and so drawn up as to exclude any discrimination on grounds of sex</w:t>
      </w:r>
      <w:r w:rsidR="006261C5">
        <w:t>.”</w:t>
      </w:r>
    </w:p>
  </w:footnote>
  <w:footnote w:id="44">
    <w:p w14:paraId="6A6DD4BF" w14:textId="289DB140" w:rsidR="00667A53" w:rsidRPr="00126ED7" w:rsidRDefault="00667A53" w:rsidP="00126ED7">
      <w:pPr>
        <w:spacing w:after="240" w:line="276" w:lineRule="auto"/>
        <w:jc w:val="both"/>
        <w:rPr>
          <w:rFonts w:cstheme="minorHAnsi"/>
          <w:sz w:val="20"/>
          <w:szCs w:val="20"/>
        </w:rPr>
      </w:pPr>
      <w:r>
        <w:rPr>
          <w:rStyle w:val="FootnoteReference"/>
        </w:rPr>
        <w:footnoteRef/>
      </w:r>
      <w:r>
        <w:t xml:space="preserve"> </w:t>
      </w:r>
      <w:r w:rsidRPr="00B32304">
        <w:rPr>
          <w:sz w:val="20"/>
          <w:szCs w:val="20"/>
        </w:rPr>
        <w:t xml:space="preserve">Recital </w:t>
      </w:r>
      <w:r w:rsidR="00B32304" w:rsidRPr="00B32304">
        <w:rPr>
          <w:sz w:val="20"/>
          <w:szCs w:val="20"/>
        </w:rPr>
        <w:t xml:space="preserve">(para 59) </w:t>
      </w:r>
      <w:r w:rsidRPr="00B32304">
        <w:rPr>
          <w:rFonts w:cstheme="minorHAnsi"/>
          <w:sz w:val="20"/>
          <w:szCs w:val="20"/>
        </w:rPr>
        <w:t>states as follow: “I</w:t>
      </w:r>
      <w:r w:rsidRPr="00B32304">
        <w:rPr>
          <w:sz w:val="20"/>
          <w:szCs w:val="20"/>
        </w:rPr>
        <w:t>n order to improve the enforcement of the principle of equal pay, this Directive should strengthen the existing enforcement tools and procedures in regard to the rights and obligations laid down in this Directive and the equal pay provisions set out in Directive 2006/54/EC”</w:t>
      </w:r>
      <w:r w:rsidR="00126ED7">
        <w:rPr>
          <w:sz w:val="20"/>
          <w:szCs w:val="20"/>
        </w:rPr>
        <w:t>.</w:t>
      </w:r>
    </w:p>
  </w:footnote>
  <w:footnote w:id="45">
    <w:p w14:paraId="1CB64800" w14:textId="77777777" w:rsidR="008250D8" w:rsidRPr="00F4587D" w:rsidRDefault="008250D8" w:rsidP="008250D8">
      <w:pPr>
        <w:pStyle w:val="FootnoteText"/>
      </w:pPr>
      <w:r>
        <w:rPr>
          <w:rStyle w:val="FootnoteReference"/>
        </w:rPr>
        <w:footnoteRef/>
      </w:r>
      <w:r>
        <w:t xml:space="preserve"> </w:t>
      </w:r>
      <w:r w:rsidRPr="00F4587D">
        <w:t>See for example, Article 18 (2) on Shift on burden of proof. The European Commission has stated that “Pay transparency measures have the potential to support the implementation of the reversed burden of proof.” EC evaluation of Recast Directive 2020, page 25.</w:t>
      </w:r>
    </w:p>
  </w:footnote>
  <w:footnote w:id="46">
    <w:p w14:paraId="17F4D675" w14:textId="2B256AE4" w:rsidR="008250D8" w:rsidRPr="0036252A" w:rsidRDefault="008250D8" w:rsidP="008250D8">
      <w:pPr>
        <w:pStyle w:val="FootnoteText"/>
      </w:pPr>
      <w:r>
        <w:rPr>
          <w:rStyle w:val="FootnoteReference"/>
        </w:rPr>
        <w:footnoteRef/>
      </w:r>
      <w:r>
        <w:t xml:space="preserve"> </w:t>
      </w:r>
      <w:r w:rsidRPr="0036252A">
        <w:rPr>
          <w:rFonts w:cstheme="minorHAnsi"/>
        </w:rPr>
        <w:t>For example, as regards the remit of equality bodies (Art 28)</w:t>
      </w:r>
      <w:r w:rsidR="00CF163D">
        <w:rPr>
          <w:rFonts w:cstheme="minorHAnsi"/>
        </w:rPr>
        <w:t>.</w:t>
      </w:r>
    </w:p>
  </w:footnote>
  <w:footnote w:id="47">
    <w:p w14:paraId="7EF4B5F1" w14:textId="77777777" w:rsidR="00F53158" w:rsidRDefault="00F53158" w:rsidP="00F53158">
      <w:pPr>
        <w:pStyle w:val="FootnoteText"/>
      </w:pPr>
      <w:r>
        <w:rPr>
          <w:rStyle w:val="FootnoteReference"/>
        </w:rPr>
        <w:footnoteRef/>
      </w:r>
      <w:r>
        <w:t xml:space="preserve"> See for example, sections below on PTD Article 31 (Statistics) and Article 35 (Reporting and Review).</w:t>
      </w:r>
    </w:p>
  </w:footnote>
  <w:footnote w:id="48">
    <w:p w14:paraId="72AED981" w14:textId="017E9C49" w:rsidR="00C56929" w:rsidRPr="00413565" w:rsidRDefault="00C56929">
      <w:pPr>
        <w:pStyle w:val="FootnoteText"/>
        <w:rPr>
          <w:rFonts w:cstheme="minorHAnsi"/>
        </w:rPr>
      </w:pPr>
      <w:r>
        <w:rPr>
          <w:rStyle w:val="FootnoteReference"/>
        </w:rPr>
        <w:footnoteRef/>
      </w:r>
      <w:r>
        <w:t xml:space="preserve"> </w:t>
      </w:r>
      <w:r w:rsidRPr="00413565">
        <w:rPr>
          <w:rFonts w:cstheme="minorHAnsi"/>
        </w:rPr>
        <w:t>PTD: Recital 20: “In order to remove obstacles for victims of gender-based pay discrimination to exercise their right to equal pay, and to guide employers in ensuring respect of that right, the core concepts related to equal pay for equal work or work of equal value, such as pay and work of equal value, should be clarified in accordance with the case-law of the Court of Justice. This should facilitate the application of those concepts, especially for micro, small and medium-sized enterprises.”</w:t>
      </w:r>
    </w:p>
  </w:footnote>
  <w:footnote w:id="49">
    <w:p w14:paraId="560CBFA0" w14:textId="66DFB451" w:rsidR="001B7D3C" w:rsidRPr="00413565" w:rsidRDefault="001B7D3C" w:rsidP="00122360">
      <w:pPr>
        <w:pStyle w:val="FootnoteText"/>
      </w:pPr>
      <w:r w:rsidRPr="00413565">
        <w:rPr>
          <w:rStyle w:val="FootnoteReference"/>
          <w:rFonts w:cstheme="minorHAnsi"/>
        </w:rPr>
        <w:footnoteRef/>
      </w:r>
      <w:r w:rsidRPr="00413565">
        <w:t xml:space="preserve"> </w:t>
      </w:r>
      <w:r w:rsidR="0005043A" w:rsidRPr="00413565">
        <w:t xml:space="preserve">PTD, Recital </w:t>
      </w:r>
      <w:r w:rsidR="003B3202" w:rsidRPr="00413565">
        <w:t>21.</w:t>
      </w:r>
      <w:r w:rsidR="0005043A" w:rsidRPr="00413565">
        <w:t xml:space="preserve"> </w:t>
      </w:r>
      <w:r w:rsidRPr="00413565">
        <w:rPr>
          <w:shd w:val="clear" w:color="auto" w:fill="FFFFFF"/>
        </w:rPr>
        <w:t xml:space="preserve">In accordance with the case-law of the Court of Justice , the concept of pay should comprise not only salary, but also complementary or variable components of </w:t>
      </w:r>
      <w:r w:rsidRPr="00122360">
        <w:t>the</w:t>
      </w:r>
      <w:r w:rsidRPr="00413565">
        <w:rPr>
          <w:shd w:val="clear" w:color="auto" w:fill="FFFFFF"/>
        </w:rPr>
        <w:t xml:space="preserve"> pay.</w:t>
      </w:r>
      <w:r w:rsidR="004C360A" w:rsidRPr="00413565">
        <w:rPr>
          <w:shd w:val="clear" w:color="auto" w:fill="FFFFFF"/>
        </w:rPr>
        <w:t>”</w:t>
      </w:r>
    </w:p>
  </w:footnote>
  <w:footnote w:id="50">
    <w:p w14:paraId="0D138B1E" w14:textId="00E71E1D" w:rsidR="00126ED7" w:rsidRPr="00AE64AC" w:rsidRDefault="00126ED7" w:rsidP="00122360">
      <w:pPr>
        <w:pStyle w:val="FootnoteText"/>
      </w:pPr>
      <w:r w:rsidRPr="00413565">
        <w:rPr>
          <w:rStyle w:val="FootnoteReference"/>
          <w:rFonts w:cstheme="minorHAnsi"/>
        </w:rPr>
        <w:footnoteRef/>
      </w:r>
      <w:r w:rsidRPr="00413565">
        <w:t xml:space="preserve"> </w:t>
      </w:r>
      <w:r w:rsidRPr="00413565">
        <w:rPr>
          <w:shd w:val="clear" w:color="auto" w:fill="FFFFFF"/>
        </w:rPr>
        <w:t xml:space="preserve">See also </w:t>
      </w:r>
      <w:r w:rsidRPr="00413565">
        <w:t xml:space="preserve">PTD, </w:t>
      </w:r>
      <w:r w:rsidRPr="00413565">
        <w:rPr>
          <w:shd w:val="clear" w:color="auto" w:fill="FFFFFF"/>
        </w:rPr>
        <w:t>Article 3.1 (a) (Definitions) : “ ‘pay’ means the ordinary basic or minimum wage or salary and any other consideration, whether in cash or in kind, which a worker receives directly or indirectly (complementary or variable components) in respect of his or her employment from his or her employer.”</w:t>
      </w:r>
      <w:r w:rsidR="00B83A2E" w:rsidRPr="00413565">
        <w:t xml:space="preserve"> </w:t>
      </w:r>
      <w:r w:rsidR="00B83A2E" w:rsidRPr="00413565">
        <w:br/>
        <w:t xml:space="preserve">See also </w:t>
      </w:r>
      <w:r w:rsidR="00B83A2E" w:rsidRPr="00413565">
        <w:rPr>
          <w:shd w:val="clear" w:color="auto" w:fill="FFFFFF"/>
        </w:rPr>
        <w:t>Article 3.1 (</w:t>
      </w:r>
      <w:r w:rsidR="00D31D2C" w:rsidRPr="00413565">
        <w:rPr>
          <w:shd w:val="clear" w:color="auto" w:fill="FFFFFF"/>
        </w:rPr>
        <w:t>g</w:t>
      </w:r>
      <w:r w:rsidR="00B83A2E" w:rsidRPr="00413565">
        <w:rPr>
          <w:shd w:val="clear" w:color="auto" w:fill="FFFFFF"/>
        </w:rPr>
        <w:t>)</w:t>
      </w:r>
      <w:r w:rsidR="00D31D2C" w:rsidRPr="00413565">
        <w:rPr>
          <w:shd w:val="clear" w:color="auto" w:fill="FFFFFF"/>
        </w:rPr>
        <w:t>: “</w:t>
      </w:r>
      <w:r w:rsidR="00B83A2E" w:rsidRPr="00413565">
        <w:t>‘work of equal value’ means work that is determined to be of equal value in accordance with the non-discriminatory and objective gender-neutral criteria referred to in Article 4(4)</w:t>
      </w:r>
      <w:r w:rsidR="00D31D2C" w:rsidRPr="00413565">
        <w:t>”</w:t>
      </w:r>
      <w:r w:rsidR="00AE64AC">
        <w:t>.</w:t>
      </w:r>
    </w:p>
  </w:footnote>
  <w:footnote w:id="51">
    <w:p w14:paraId="4F678664" w14:textId="11FA465E" w:rsidR="00DF345A" w:rsidRPr="00413565" w:rsidRDefault="00DF345A" w:rsidP="00DF345A">
      <w:pPr>
        <w:pStyle w:val="FootnoteText"/>
        <w:rPr>
          <w:rFonts w:cstheme="minorHAnsi"/>
        </w:rPr>
      </w:pPr>
      <w:r w:rsidRPr="00413565">
        <w:rPr>
          <w:rStyle w:val="FootnoteReference"/>
          <w:rFonts w:cstheme="minorHAnsi"/>
        </w:rPr>
        <w:footnoteRef/>
      </w:r>
      <w:r w:rsidRPr="00413565">
        <w:rPr>
          <w:rFonts w:cstheme="minorHAnsi"/>
        </w:rPr>
        <w:t xml:space="preserve"> PTD: Recital (26)</w:t>
      </w:r>
      <w:r w:rsidR="00BF4CBF">
        <w:rPr>
          <w:rFonts w:cstheme="minorHAnsi"/>
        </w:rPr>
        <w:t>:</w:t>
      </w:r>
      <w:r w:rsidRPr="00413565">
        <w:rPr>
          <w:rFonts w:cstheme="minorHAnsi"/>
        </w:rPr>
        <w:t xml:space="preserve"> “In order to respect the right to equal pay, employers must have pay structures in place ensuring that there are no gender-based pay differences between workers performing the same work or work of equal value that are not justified on the basis of objective, gender-neutral criteria. Such pay structures should allow for the comparison of the value of different jobs within the same organisational structure. It should be possible to base such pay structures on existing Union guidelines related to gender-neutral job evaluation and classification systems, or on indicators or gender-neutral models. In accordance with the case law of the Court of Justice, the value of work should be assessed and compared </w:t>
      </w:r>
      <w:proofErr w:type="gramStart"/>
      <w:r w:rsidRPr="00413565">
        <w:rPr>
          <w:rFonts w:cstheme="minorHAnsi"/>
        </w:rPr>
        <w:t>on the basis of</w:t>
      </w:r>
      <w:proofErr w:type="gramEnd"/>
      <w:r w:rsidRPr="00413565">
        <w:rPr>
          <w:rFonts w:cstheme="minorHAnsi"/>
        </w:rPr>
        <w:t xml:space="preserve"> objective criteria, including educational, professional and training requirements, skills, effort, responsibility and working conditions, irrespective of differences in working patterns. To facilitate the application of the concept of work of equal value, especially for micro, small and medium-sized enterprises, the objective criteria to </w:t>
      </w:r>
      <w:proofErr w:type="gramStart"/>
      <w:r w:rsidRPr="00413565">
        <w:rPr>
          <w:rFonts w:cstheme="minorHAnsi"/>
        </w:rPr>
        <w:t>be used</w:t>
      </w:r>
      <w:proofErr w:type="gramEnd"/>
      <w:r w:rsidRPr="00413565">
        <w:rPr>
          <w:rFonts w:cstheme="minorHAnsi"/>
        </w:rPr>
        <w:t xml:space="preserve"> should include four factors: skills, effort, responsibility and working conditions. Those factors have </w:t>
      </w:r>
      <w:proofErr w:type="gramStart"/>
      <w:r w:rsidRPr="00413565">
        <w:rPr>
          <w:rFonts w:cstheme="minorHAnsi"/>
        </w:rPr>
        <w:t>been identified</w:t>
      </w:r>
      <w:proofErr w:type="gramEnd"/>
      <w:r w:rsidRPr="00413565">
        <w:rPr>
          <w:rFonts w:cstheme="minorHAnsi"/>
        </w:rPr>
        <w:t xml:space="preserve"> by the existing Union guidelines as being essential and sufficient for evaluating the tasks performed in an organisation regardless of to which economic sector the organisation belongs.”</w:t>
      </w:r>
    </w:p>
  </w:footnote>
  <w:footnote w:id="52">
    <w:p w14:paraId="5DB75F09" w14:textId="285DCEF3" w:rsidR="00B361AB" w:rsidRDefault="00B361AB">
      <w:pPr>
        <w:pStyle w:val="FootnoteText"/>
      </w:pPr>
      <w:r>
        <w:rPr>
          <w:rStyle w:val="FootnoteReference"/>
        </w:rPr>
        <w:footnoteRef/>
      </w:r>
      <w:r>
        <w:t xml:space="preserve"> PTD , Recital </w:t>
      </w:r>
      <w:r w:rsidR="00210F00">
        <w:t>20</w:t>
      </w:r>
      <w:r w:rsidR="008D6085">
        <w:t>.</w:t>
      </w:r>
    </w:p>
  </w:footnote>
  <w:footnote w:id="53">
    <w:p w14:paraId="67FEF4D8" w14:textId="1ADFF7F9" w:rsidR="00FE410B" w:rsidRDefault="00FE410B">
      <w:pPr>
        <w:pStyle w:val="FootnoteText"/>
      </w:pPr>
      <w:r>
        <w:rPr>
          <w:rStyle w:val="FootnoteReference"/>
        </w:rPr>
        <w:footnoteRef/>
      </w:r>
      <w:r>
        <w:t xml:space="preserve"> Ibid</w:t>
      </w:r>
      <w:r w:rsidR="00AB43B1">
        <w:t>.</w:t>
      </w:r>
    </w:p>
  </w:footnote>
  <w:footnote w:id="54">
    <w:p w14:paraId="19041EC4" w14:textId="124ED81A" w:rsidR="00437593" w:rsidRDefault="00437593" w:rsidP="00122360">
      <w:pPr>
        <w:pStyle w:val="FootnoteText"/>
      </w:pPr>
      <w:r>
        <w:rPr>
          <w:rStyle w:val="FootnoteReference"/>
        </w:rPr>
        <w:footnoteRef/>
      </w:r>
      <w:r w:rsidR="00AB43B1">
        <w:t xml:space="preserve"> </w:t>
      </w:r>
      <w:r>
        <w:t xml:space="preserve">See </w:t>
      </w:r>
      <w:hyperlink r:id="rId16" w:anchor=":~:text=The%20proposed%20directive%20is%20based,employment%20and%20occupation%2C%20including%20the" w:history="1">
        <w:r>
          <w:rPr>
            <w:rStyle w:val="Hyperlink"/>
          </w:rPr>
          <w:t>Explanatory Memorandum to COM</w:t>
        </w:r>
        <w:r w:rsidR="006E2ABD">
          <w:rPr>
            <w:rStyle w:val="Hyperlink"/>
          </w:rPr>
          <w:t xml:space="preserve"> </w:t>
        </w:r>
        <w:r>
          <w:rPr>
            <w:rStyle w:val="Hyperlink"/>
          </w:rPr>
          <w:t>(2021)93 - Proposal for a Directive to strengthen the application of the principle of equal pay for equal work between men and women through pay transparency and enforcement mechanisms - EU monitor</w:t>
        </w:r>
      </w:hyperlink>
      <w:r>
        <w:rPr>
          <w:rStyle w:val="Hyperlink"/>
        </w:rPr>
        <w:t xml:space="preserve">, </w:t>
      </w:r>
      <w:r>
        <w:t>European Commission, 4 March 2021.</w:t>
      </w:r>
    </w:p>
  </w:footnote>
  <w:footnote w:id="55">
    <w:p w14:paraId="4E1CFBFA" w14:textId="63BDB574" w:rsidR="00437593" w:rsidRPr="00492CF3" w:rsidRDefault="00437593" w:rsidP="00122360">
      <w:pPr>
        <w:pStyle w:val="FootnoteText"/>
      </w:pPr>
      <w:r>
        <w:rPr>
          <w:rStyle w:val="FootnoteReference"/>
        </w:rPr>
        <w:footnoteRef/>
      </w:r>
      <w:r>
        <w:t xml:space="preserve"> </w:t>
      </w:r>
      <w:r w:rsidRPr="00492CF3">
        <w:t xml:space="preserve">PTD, </w:t>
      </w:r>
      <w:r w:rsidRPr="00492CF3">
        <w:rPr>
          <w:shd w:val="clear" w:color="auto" w:fill="FFFFFF"/>
        </w:rPr>
        <w:t xml:space="preserve">Article 3 (Definitions): Discrimination includes </w:t>
      </w:r>
      <w:r w:rsidRPr="00492CF3">
        <w:t>“intersectional discrimination, which is discrimination based on a combination of sex and any other ground or grounds of discrimination protected under Directive 2000/43/EC or 2000/78/EC”.</w:t>
      </w:r>
      <w:r w:rsidR="0044462E">
        <w:t xml:space="preserve"> The Directives listed are the Race Directive</w:t>
      </w:r>
      <w:r w:rsidR="00317201">
        <w:t xml:space="preserve"> and the Framework Directive which covers discrimination in employment and occupation on grounds of age, sexual orientation, disability, </w:t>
      </w:r>
      <w:r w:rsidR="00A8459F">
        <w:t xml:space="preserve">and </w:t>
      </w:r>
      <w:r w:rsidR="00317201">
        <w:t>religion or belief</w:t>
      </w:r>
      <w:r w:rsidR="00A8459F">
        <w:t>.</w:t>
      </w:r>
      <w:r w:rsidR="0044462E">
        <w:t xml:space="preserve"> </w:t>
      </w:r>
    </w:p>
    <w:p w14:paraId="48FB7731" w14:textId="77777777" w:rsidR="00437593" w:rsidRDefault="00437593" w:rsidP="00437593">
      <w:pPr>
        <w:pStyle w:val="FootnoteText"/>
      </w:pPr>
    </w:p>
  </w:footnote>
  <w:footnote w:id="56">
    <w:p w14:paraId="721876AD" w14:textId="4B145E55" w:rsidR="00437593" w:rsidRDefault="00437593" w:rsidP="00437593">
      <w:pPr>
        <w:pStyle w:val="FootnoteText"/>
      </w:pPr>
      <w:r>
        <w:rPr>
          <w:rStyle w:val="FootnoteReference"/>
        </w:rPr>
        <w:footnoteRef/>
      </w:r>
      <w:r>
        <w:t xml:space="preserve"> PTD Recital 25</w:t>
      </w:r>
      <w:r w:rsidR="00F85A9F">
        <w:t>.</w:t>
      </w:r>
      <w:r>
        <w:t xml:space="preserve"> </w:t>
      </w:r>
    </w:p>
  </w:footnote>
  <w:footnote w:id="57">
    <w:p w14:paraId="2114AFD7" w14:textId="77777777" w:rsidR="004160A0" w:rsidRDefault="004160A0" w:rsidP="004160A0">
      <w:pPr>
        <w:pStyle w:val="FootnoteText"/>
      </w:pPr>
      <w:r>
        <w:rPr>
          <w:rStyle w:val="FootnoteReference"/>
        </w:rPr>
        <w:footnoteRef/>
      </w:r>
      <w:r>
        <w:t xml:space="preserve"> Recast Directive, Article 4: Prohibition of discrimination: “For the same work or for work to which equal value is attributed, direct and indirect discrimination on grounds of sex </w:t>
      </w:r>
      <w:proofErr w:type="gramStart"/>
      <w:r>
        <w:t>with regard to</w:t>
      </w:r>
      <w:proofErr w:type="gramEnd"/>
      <w:r>
        <w:t xml:space="preserve"> all aspects and conditions of remuneration shall be eliminated. </w:t>
      </w:r>
      <w:proofErr w:type="gramStart"/>
      <w:r>
        <w:t>In particular, where</w:t>
      </w:r>
      <w:proofErr w:type="gramEnd"/>
      <w:r>
        <w:t xml:space="preserve"> a job classification system is used for determining pay, it shall be based on the same criteria for both men and women and so drawn up as to exclude any discrimination on grounds of sex.”</w:t>
      </w:r>
    </w:p>
  </w:footnote>
  <w:footnote w:id="58">
    <w:p w14:paraId="64BB2D00" w14:textId="24E6138E" w:rsidR="00332DD1" w:rsidRDefault="00332DD1">
      <w:pPr>
        <w:pStyle w:val="FootnoteText"/>
      </w:pPr>
      <w:r>
        <w:rPr>
          <w:rStyle w:val="FootnoteReference"/>
        </w:rPr>
        <w:footnoteRef/>
      </w:r>
      <w:r>
        <w:t xml:space="preserve"> PTD Art 4(1)</w:t>
      </w:r>
      <w:r w:rsidR="00F85A9F">
        <w:t>.</w:t>
      </w:r>
    </w:p>
  </w:footnote>
  <w:footnote w:id="59">
    <w:p w14:paraId="09D3C116" w14:textId="236FD1A0" w:rsidR="004241D9" w:rsidRDefault="004241D9" w:rsidP="004241D9">
      <w:pPr>
        <w:pStyle w:val="FootnoteText"/>
      </w:pPr>
      <w:r>
        <w:rPr>
          <w:rStyle w:val="FootnoteReference"/>
        </w:rPr>
        <w:footnoteRef/>
      </w:r>
      <w:r>
        <w:t xml:space="preserve"> See PTD Recital 30</w:t>
      </w:r>
      <w:r w:rsidR="00F85A9F">
        <w:t>.</w:t>
      </w:r>
    </w:p>
  </w:footnote>
  <w:footnote w:id="60">
    <w:p w14:paraId="1A24A4CB" w14:textId="694BCCF9" w:rsidR="00EB09FB" w:rsidRPr="00121055" w:rsidRDefault="00EB09FB">
      <w:pPr>
        <w:pStyle w:val="FootnoteText"/>
      </w:pPr>
      <w:r>
        <w:rPr>
          <w:rStyle w:val="FootnoteReference"/>
        </w:rPr>
        <w:footnoteRef/>
      </w:r>
      <w:r>
        <w:t xml:space="preserve"> </w:t>
      </w:r>
      <w:r w:rsidR="00CC3D09" w:rsidRPr="00121055">
        <w:t xml:space="preserve">PTD </w:t>
      </w:r>
      <w:r w:rsidRPr="00121055">
        <w:t xml:space="preserve">Art 4 </w:t>
      </w:r>
      <w:r w:rsidR="00CC3D09" w:rsidRPr="00121055">
        <w:t>(2): “</w:t>
      </w:r>
      <w:r w:rsidRPr="00121055">
        <w:t>Member States shall, in consultation with equality bodies, take the necessary measures to ensure that analytical tools or methodologies are made available and are easily accessible to support and guide the assessment and comparison of the value of work in accordance with the criteria set out in this Article. Those tools or methodologies shall allow employers and/or the social partners to easily establish and use gender-neutral job evaluation and classification systems that exclude any pay discrimination on grounds of sex</w:t>
      </w:r>
      <w:r w:rsidR="00CC3D09" w:rsidRPr="00121055">
        <w:t>.”</w:t>
      </w:r>
    </w:p>
  </w:footnote>
  <w:footnote w:id="61">
    <w:p w14:paraId="14B258D9" w14:textId="5BF2DA45" w:rsidR="00821640" w:rsidRDefault="00821640">
      <w:pPr>
        <w:pStyle w:val="FootnoteText"/>
      </w:pPr>
      <w:r>
        <w:rPr>
          <w:rStyle w:val="FootnoteReference"/>
        </w:rPr>
        <w:footnoteRef/>
      </w:r>
      <w:r>
        <w:t xml:space="preserve"> PTD Recital </w:t>
      </w:r>
      <w:r w:rsidR="00023472">
        <w:t>26</w:t>
      </w:r>
      <w:r w:rsidR="00F85A9F">
        <w:t>.</w:t>
      </w:r>
    </w:p>
  </w:footnote>
  <w:footnote w:id="62">
    <w:p w14:paraId="3E33CFE9" w14:textId="32ECE5F4" w:rsidR="00507AAC" w:rsidRDefault="00507AAC" w:rsidP="00507AAC">
      <w:pPr>
        <w:pStyle w:val="FootnoteText"/>
      </w:pPr>
      <w:r>
        <w:rPr>
          <w:rStyle w:val="FootnoteReference"/>
        </w:rPr>
        <w:footnoteRef/>
      </w:r>
      <w:r>
        <w:t xml:space="preserve"> PTD Recital 26</w:t>
      </w:r>
      <w:r w:rsidR="00F85A9F">
        <w:t>.</w:t>
      </w:r>
    </w:p>
  </w:footnote>
  <w:footnote w:id="63">
    <w:p w14:paraId="64BBF9E1" w14:textId="77777777" w:rsidR="00507AAC" w:rsidRDefault="00507AAC" w:rsidP="00507AAC">
      <w:pPr>
        <w:pStyle w:val="FootnoteText"/>
      </w:pPr>
      <w:r>
        <w:rPr>
          <w:rStyle w:val="FootnoteReference"/>
        </w:rPr>
        <w:footnoteRef/>
      </w:r>
      <w:r>
        <w:t xml:space="preserve"> PTD Recital 30: “Member States should ensure that training and specific tools and methodologies </w:t>
      </w:r>
      <w:proofErr w:type="gramStart"/>
      <w:r>
        <w:t>are made</w:t>
      </w:r>
      <w:proofErr w:type="gramEnd"/>
      <w:r>
        <w:t xml:space="preserve"> available to support and guide employers in the assessment of what constitutes work of equal value. This should facilitate the application of that concept, especially for micro, small and medium-sized enterprises.”</w:t>
      </w:r>
    </w:p>
  </w:footnote>
  <w:footnote w:id="64">
    <w:p w14:paraId="59F20EE1" w14:textId="64A82091" w:rsidR="002064B8" w:rsidRPr="00F32136" w:rsidRDefault="002064B8" w:rsidP="00122360">
      <w:pPr>
        <w:pStyle w:val="FootnoteText"/>
        <w:rPr>
          <w:rFonts w:cstheme="minorHAnsi"/>
        </w:rPr>
      </w:pPr>
      <w:r>
        <w:rPr>
          <w:rStyle w:val="FootnoteReference"/>
        </w:rPr>
        <w:footnoteRef/>
      </w:r>
      <w:r>
        <w:t xml:space="preserve"> </w:t>
      </w:r>
      <w:r w:rsidR="007C0143" w:rsidRPr="007C0143">
        <w:t>Explanatory Memorandum to COM</w:t>
      </w:r>
      <w:r w:rsidR="006E2ABD">
        <w:t xml:space="preserve"> </w:t>
      </w:r>
      <w:r w:rsidR="007C0143" w:rsidRPr="007C0143">
        <w:t xml:space="preserve">(2021)93 - Proposal for a Directive to strengthen the application of the principle of equal pay for equal work between men and women through pay transparency and enforcement mechanisms - EU monitor. </w:t>
      </w:r>
      <w:r w:rsidR="008E53AF">
        <w:t>European Commission, 4 March 2021.</w:t>
      </w:r>
    </w:p>
  </w:footnote>
  <w:footnote w:id="65">
    <w:p w14:paraId="77C70514" w14:textId="2E80D31C" w:rsidR="00AB2DE8" w:rsidRDefault="00AB2DE8">
      <w:pPr>
        <w:pStyle w:val="FootnoteText"/>
      </w:pPr>
      <w:r>
        <w:rPr>
          <w:rStyle w:val="FootnoteReference"/>
        </w:rPr>
        <w:footnoteRef/>
      </w:r>
      <w:r>
        <w:t xml:space="preserve"> </w:t>
      </w:r>
      <w:r w:rsidR="00000E22">
        <w:t xml:space="preserve">PTD </w:t>
      </w:r>
      <w:r w:rsidR="00FB3175">
        <w:t xml:space="preserve">Recital </w:t>
      </w:r>
      <w:r w:rsidR="00B00C89">
        <w:t>16</w:t>
      </w:r>
      <w:r w:rsidR="00F85A9F">
        <w:t>.</w:t>
      </w:r>
    </w:p>
  </w:footnote>
  <w:footnote w:id="66">
    <w:p w14:paraId="46DD4AED" w14:textId="3B56870C" w:rsidR="0033453F" w:rsidRDefault="0033453F">
      <w:pPr>
        <w:pStyle w:val="FootnoteText"/>
      </w:pPr>
      <w:r>
        <w:rPr>
          <w:rStyle w:val="FootnoteReference"/>
        </w:rPr>
        <w:footnoteRef/>
      </w:r>
      <w:r>
        <w:t xml:space="preserve"> PTD Recital 16</w:t>
      </w:r>
      <w:r w:rsidR="00530074">
        <w:t>.</w:t>
      </w:r>
      <w:r>
        <w:t xml:space="preserve"> </w:t>
      </w:r>
    </w:p>
  </w:footnote>
  <w:footnote w:id="67">
    <w:p w14:paraId="68B846BA" w14:textId="595708C6" w:rsidR="002D00FA" w:rsidRDefault="002D00FA">
      <w:pPr>
        <w:pStyle w:val="FootnoteText"/>
      </w:pPr>
      <w:r>
        <w:rPr>
          <w:rStyle w:val="FootnoteReference"/>
        </w:rPr>
        <w:footnoteRef/>
      </w:r>
      <w:r>
        <w:t xml:space="preserve"> PTD Recital </w:t>
      </w:r>
      <w:r w:rsidR="002D7281">
        <w:t>39.</w:t>
      </w:r>
    </w:p>
  </w:footnote>
  <w:footnote w:id="68">
    <w:p w14:paraId="42E3BA48" w14:textId="34C05B48" w:rsidR="00D52BA3" w:rsidRDefault="00D52BA3">
      <w:pPr>
        <w:pStyle w:val="FootnoteText"/>
      </w:pPr>
      <w:r>
        <w:rPr>
          <w:rStyle w:val="FootnoteReference"/>
        </w:rPr>
        <w:footnoteRef/>
      </w:r>
      <w:r>
        <w:t xml:space="preserve"> Recital </w:t>
      </w:r>
      <w:proofErr w:type="gramStart"/>
      <w:r>
        <w:t>19</w:t>
      </w:r>
      <w:proofErr w:type="gramEnd"/>
      <w:r w:rsidR="00F85A9F">
        <w:t>.</w:t>
      </w:r>
    </w:p>
  </w:footnote>
  <w:footnote w:id="69">
    <w:p w14:paraId="6CE4391F" w14:textId="116B7F2D" w:rsidR="00DF0FA7" w:rsidRDefault="00DF0FA7">
      <w:pPr>
        <w:pStyle w:val="FootnoteText"/>
      </w:pPr>
      <w:r>
        <w:rPr>
          <w:rStyle w:val="FootnoteReference"/>
        </w:rPr>
        <w:footnoteRef/>
      </w:r>
      <w:hyperlink r:id="rId17" w:anchor=":~:text=The%20proposed%20directive%20is%20based,employment%20and%20occupation%2C%20including%20the" w:history="1">
        <w:r w:rsidR="008E53AF" w:rsidRPr="008E53AF">
          <w:rPr>
            <w:rStyle w:val="Hyperlink"/>
          </w:rPr>
          <w:t>Explanatory</w:t>
        </w:r>
        <w:r w:rsidR="008E53AF">
          <w:rPr>
            <w:rStyle w:val="Hyperlink"/>
          </w:rPr>
          <w:t xml:space="preserve"> Memorandum to COM</w:t>
        </w:r>
        <w:r w:rsidR="002E52E1">
          <w:rPr>
            <w:rStyle w:val="Hyperlink"/>
          </w:rPr>
          <w:t xml:space="preserve"> </w:t>
        </w:r>
        <w:r w:rsidR="008E53AF">
          <w:rPr>
            <w:rStyle w:val="Hyperlink"/>
          </w:rPr>
          <w:t>(2021)93 - Proposal for a Directive to strengthen the application of the principle of equal pay for equal work between men and women through pay transparency and enforcement mechanisms - EU monitor</w:t>
        </w:r>
      </w:hyperlink>
      <w:r w:rsidR="008E53AF">
        <w:t>. European Commission, 4 March 2021</w:t>
      </w:r>
      <w:r w:rsidR="00F85A9F">
        <w:t>.</w:t>
      </w:r>
    </w:p>
  </w:footnote>
  <w:footnote w:id="70">
    <w:p w14:paraId="74B46F89" w14:textId="02971465" w:rsidR="00966D3F" w:rsidRDefault="00966D3F">
      <w:pPr>
        <w:pStyle w:val="FootnoteText"/>
      </w:pPr>
      <w:r>
        <w:rPr>
          <w:rStyle w:val="FootnoteReference"/>
        </w:rPr>
        <w:footnoteRef/>
      </w:r>
      <w:r>
        <w:t xml:space="preserve"> PTD Art 7 (5): Workers shall not </w:t>
      </w:r>
      <w:proofErr w:type="gramStart"/>
      <w:r>
        <w:t>be prevented</w:t>
      </w:r>
      <w:proofErr w:type="gramEnd"/>
      <w:r>
        <w:t xml:space="preserve"> from disclosing their pay for the purpose of the enforcement of the principle of equal pay. </w:t>
      </w:r>
      <w:proofErr w:type="gramStart"/>
      <w:r>
        <w:t>In particular, Member</w:t>
      </w:r>
      <w:proofErr w:type="gramEnd"/>
      <w:r>
        <w:t xml:space="preserve"> States shall put in place measures to prohibit contractual terms that restrict workers from disclosing information about their pay.</w:t>
      </w:r>
    </w:p>
  </w:footnote>
  <w:footnote w:id="71">
    <w:p w14:paraId="77A15808" w14:textId="228D7C72" w:rsidR="005251D9" w:rsidRDefault="005251D9">
      <w:pPr>
        <w:pStyle w:val="FootnoteText"/>
      </w:pPr>
      <w:r>
        <w:rPr>
          <w:rStyle w:val="FootnoteReference"/>
        </w:rPr>
        <w:footnoteRef/>
      </w:r>
      <w:r>
        <w:t xml:space="preserve"> </w:t>
      </w:r>
      <w:r w:rsidR="008E53AF" w:rsidRPr="008E53AF">
        <w:t>Explanatory Memorandum to COM</w:t>
      </w:r>
      <w:r w:rsidR="00BD735D">
        <w:t xml:space="preserve"> </w:t>
      </w:r>
      <w:r w:rsidR="008E53AF" w:rsidRPr="008E53AF">
        <w:t>(2021)93 - Proposal for a Directive to strengthen the application of the principle of equal pay for equal work between men and women through pay transparency and enforcement mechanisms - EU monitor . European Commission, 4 March 2021</w:t>
      </w:r>
      <w:r w:rsidR="008E53AF">
        <w:t>.</w:t>
      </w:r>
    </w:p>
  </w:footnote>
  <w:footnote w:id="72">
    <w:p w14:paraId="75B13CC3" w14:textId="17DB2569" w:rsidR="00300E2B" w:rsidRDefault="00300E2B">
      <w:pPr>
        <w:pStyle w:val="FootnoteText"/>
      </w:pPr>
      <w:r>
        <w:rPr>
          <w:rStyle w:val="FootnoteReference"/>
        </w:rPr>
        <w:footnoteRef/>
      </w:r>
      <w:r>
        <w:t xml:space="preserve"> PTD Recital 43: “Joint pay assessments should trigger the review and revision of pay structures in organisations with at least </w:t>
      </w:r>
      <w:proofErr w:type="gramStart"/>
      <w:r>
        <w:t>100</w:t>
      </w:r>
      <w:proofErr w:type="gramEnd"/>
      <w:r>
        <w:t xml:space="preserve"> workers that show pay inequalities. The joint pay assessment should be carried out if employers and the workers’ representatives concerned do not agree that the difference in average pay level between female and male workers of at least 5 % in a given category of workers can be justified on the basis of objective, gender-neutral criteria, if such a justification is not provided by the employer, or if the employer has not remedied such a difference in pay level within six months of the date of submission of the pay reporting. The joint pay assessment should be </w:t>
      </w:r>
      <w:proofErr w:type="gramStart"/>
      <w:r>
        <w:t>carried out</w:t>
      </w:r>
      <w:proofErr w:type="gramEnd"/>
      <w:r>
        <w:t xml:space="preserve"> by employers in cooperation with workers’ representatives. If there are no workers’ representatives, they should </w:t>
      </w:r>
      <w:proofErr w:type="gramStart"/>
      <w:r>
        <w:t>be designated</w:t>
      </w:r>
      <w:proofErr w:type="gramEnd"/>
      <w:r>
        <w:t xml:space="preserve"> by workers for the purpose of the joint pay assessment. Joint pay assessments should lead, within a reasonable </w:t>
      </w:r>
      <w:proofErr w:type="gramStart"/>
      <w:r>
        <w:t>period of time</w:t>
      </w:r>
      <w:proofErr w:type="gramEnd"/>
      <w:r>
        <w:t>, to the elimination of gender-based pay discrimination through the adoption of remedial measures.”</w:t>
      </w:r>
    </w:p>
  </w:footnote>
  <w:footnote w:id="73">
    <w:p w14:paraId="0499E700" w14:textId="1827C5D5" w:rsidR="007236FB" w:rsidRDefault="007236FB">
      <w:pPr>
        <w:pStyle w:val="FootnoteText"/>
      </w:pPr>
      <w:r>
        <w:rPr>
          <w:rStyle w:val="FootnoteReference"/>
        </w:rPr>
        <w:footnoteRef/>
      </w:r>
      <w:r>
        <w:t xml:space="preserve"> PTD Art 10 (4)</w:t>
      </w:r>
      <w:r w:rsidR="00F315AF">
        <w:t>.</w:t>
      </w:r>
    </w:p>
  </w:footnote>
  <w:footnote w:id="74">
    <w:p w14:paraId="4C335709" w14:textId="5196A591" w:rsidR="008965D1" w:rsidRDefault="008965D1">
      <w:pPr>
        <w:pStyle w:val="FootnoteText"/>
      </w:pPr>
      <w:r>
        <w:rPr>
          <w:rStyle w:val="FootnoteReference"/>
        </w:rPr>
        <w:footnoteRef/>
      </w:r>
      <w:r>
        <w:t xml:space="preserve"> </w:t>
      </w:r>
      <w:r w:rsidR="00B86E66" w:rsidRPr="00B86E66">
        <w:t>Explanatory Memorandum to COM (2021)93 - Proposal for a Directive to strengthen the application of the principle of equal pay for equal work between men and women through pay transparency and enforcement mechanisms - EU monitor . European Commission, 4 March 2021.</w:t>
      </w:r>
    </w:p>
  </w:footnote>
  <w:footnote w:id="75">
    <w:p w14:paraId="26164537" w14:textId="7ACB1E86" w:rsidR="002F5046" w:rsidRDefault="002F5046">
      <w:pPr>
        <w:pStyle w:val="FootnoteText"/>
      </w:pPr>
      <w:r>
        <w:rPr>
          <w:rStyle w:val="FootnoteReference"/>
        </w:rPr>
        <w:footnoteRef/>
      </w:r>
      <w:r>
        <w:t xml:space="preserve"> </w:t>
      </w:r>
      <w:r w:rsidRPr="00B86E66">
        <w:rPr>
          <w:rFonts w:cstheme="minorHAnsi"/>
          <w:color w:val="222222"/>
          <w:spacing w:val="4"/>
          <w:shd w:val="clear" w:color="auto" w:fill="FFFFFF"/>
        </w:rPr>
        <w:t>(EU) 2016/679 (GDPR)</w:t>
      </w:r>
      <w:r w:rsidR="008C6326" w:rsidRPr="00B86E66">
        <w:rPr>
          <w:rFonts w:cstheme="minorHAnsi"/>
          <w:color w:val="222222"/>
          <w:spacing w:val="4"/>
          <w:shd w:val="clear" w:color="auto" w:fill="FFFFFF"/>
        </w:rPr>
        <w:t>.</w:t>
      </w:r>
    </w:p>
  </w:footnote>
  <w:footnote w:id="76">
    <w:p w14:paraId="70B99410" w14:textId="3CF37519" w:rsidR="00D3544F" w:rsidRPr="00233199" w:rsidRDefault="00D3544F" w:rsidP="00D3544F">
      <w:pPr>
        <w:pStyle w:val="FootnoteText"/>
        <w:rPr>
          <w:rFonts w:cstheme="minorHAnsi"/>
        </w:rPr>
      </w:pPr>
      <w:r>
        <w:rPr>
          <w:rStyle w:val="FootnoteReference"/>
        </w:rPr>
        <w:footnoteRef/>
      </w:r>
      <w:r>
        <w:t xml:space="preserve"> </w:t>
      </w:r>
      <w:r w:rsidRPr="00233199">
        <w:rPr>
          <w:rFonts w:cstheme="minorHAnsi"/>
        </w:rPr>
        <w:t xml:space="preserve">The Commissions consider that the </w:t>
      </w:r>
      <w:r w:rsidRPr="00233199">
        <w:rPr>
          <w:rFonts w:cstheme="minorHAnsi"/>
          <w:color w:val="222222"/>
          <w:spacing w:val="4"/>
          <w:shd w:val="clear" w:color="auto" w:fill="FFFFFF"/>
        </w:rPr>
        <w:t>EU General Data Protection Regulation</w:t>
      </w:r>
      <w:r>
        <w:rPr>
          <w:rFonts w:cstheme="minorHAnsi"/>
          <w:color w:val="222222"/>
          <w:spacing w:val="4"/>
          <w:shd w:val="clear" w:color="auto" w:fill="FFFFFF"/>
        </w:rPr>
        <w:t xml:space="preserve"> (</w:t>
      </w:r>
      <w:r w:rsidRPr="00F9328A">
        <w:rPr>
          <w:rFonts w:cstheme="minorHAnsi"/>
          <w:color w:val="222222"/>
          <w:spacing w:val="4"/>
          <w:shd w:val="clear" w:color="auto" w:fill="FFFFFF"/>
        </w:rPr>
        <w:t>Reg 2016/679</w:t>
      </w:r>
      <w:r>
        <w:rPr>
          <w:rFonts w:cstheme="minorHAnsi"/>
          <w:color w:val="222222"/>
          <w:spacing w:val="4"/>
          <w:shd w:val="clear" w:color="auto" w:fill="FFFFFF"/>
        </w:rPr>
        <w:t>)</w:t>
      </w:r>
      <w:r w:rsidRPr="00F9328A">
        <w:rPr>
          <w:rFonts w:cstheme="minorHAnsi"/>
          <w:color w:val="222222"/>
          <w:spacing w:val="4"/>
          <w:shd w:val="clear" w:color="auto" w:fill="FFFFFF"/>
        </w:rPr>
        <w:t xml:space="preserve"> falls within the scope of WF Article 2</w:t>
      </w:r>
      <w:proofErr w:type="gramStart"/>
      <w:r w:rsidRPr="00F9328A">
        <w:rPr>
          <w:rFonts w:cstheme="minorHAnsi"/>
          <w:color w:val="222222"/>
          <w:spacing w:val="4"/>
          <w:shd w:val="clear" w:color="auto" w:fill="FFFFFF"/>
        </w:rPr>
        <w:t xml:space="preserve">. </w:t>
      </w:r>
      <w:r w:rsidRPr="00233199">
        <w:rPr>
          <w:rFonts w:cstheme="minorHAnsi"/>
        </w:rPr>
        <w:t xml:space="preserve"> </w:t>
      </w:r>
      <w:proofErr w:type="gramEnd"/>
      <w:r w:rsidRPr="00233199">
        <w:rPr>
          <w:rFonts w:cstheme="minorHAnsi"/>
        </w:rPr>
        <w:t xml:space="preserve">See ECNI, NIHRC </w:t>
      </w:r>
      <w:hyperlink r:id="rId18" w:history="1">
        <w:r w:rsidRPr="00233199">
          <w:rPr>
            <w:rStyle w:val="Hyperlink"/>
            <w:rFonts w:cstheme="minorHAnsi"/>
          </w:rPr>
          <w:t>Working Paper: The Scope of Article 2(1) of the Ireland/ Northern Ireland Protocol</w:t>
        </w:r>
      </w:hyperlink>
      <w:r w:rsidRPr="00233199">
        <w:rPr>
          <w:rFonts w:cstheme="minorHAnsi"/>
        </w:rPr>
        <w:t>, (ECNI and NIHRC, December 2022)</w:t>
      </w:r>
      <w:r w:rsidR="008C6326">
        <w:rPr>
          <w:rFonts w:cstheme="minorHAnsi"/>
        </w:rPr>
        <w:t>.</w:t>
      </w:r>
      <w:r w:rsidRPr="00233199">
        <w:rPr>
          <w:rFonts w:cstheme="minorHAnsi"/>
          <w:shd w:val="clear" w:color="auto" w:fill="FFFFFF"/>
        </w:rPr>
        <w:t> </w:t>
      </w:r>
    </w:p>
    <w:p w14:paraId="1A72230D" w14:textId="77777777" w:rsidR="00D3544F" w:rsidRDefault="00D3544F" w:rsidP="00D3544F">
      <w:pPr>
        <w:pStyle w:val="FootnoteText"/>
      </w:pPr>
    </w:p>
  </w:footnote>
  <w:footnote w:id="77">
    <w:p w14:paraId="1D064D1B" w14:textId="1492A6B4" w:rsidR="00CE54D9" w:rsidRPr="00883EF8" w:rsidRDefault="00CE54D9">
      <w:pPr>
        <w:pStyle w:val="FootnoteText"/>
      </w:pPr>
      <w:r>
        <w:rPr>
          <w:rStyle w:val="FootnoteReference"/>
        </w:rPr>
        <w:footnoteRef/>
      </w:r>
      <w:r>
        <w:t xml:space="preserve"> Art 13</w:t>
      </w:r>
      <w:r w:rsidR="007F4CCF">
        <w:t xml:space="preserve">: </w:t>
      </w:r>
      <w:r w:rsidRPr="00883EF8">
        <w:rPr>
          <w:rFonts w:cstheme="minorHAnsi"/>
          <w:color w:val="222222"/>
          <w:spacing w:val="4"/>
          <w:shd w:val="clear" w:color="auto" w:fill="FFFFFF"/>
        </w:rPr>
        <w:t>without prejudice to the autonomy of social partners and in accordance with national law and practice</w:t>
      </w:r>
      <w:r w:rsidR="007F4CCF" w:rsidRPr="00883EF8">
        <w:rPr>
          <w:rFonts w:cstheme="minorHAnsi"/>
          <w:color w:val="222222"/>
          <w:spacing w:val="4"/>
          <w:shd w:val="clear" w:color="auto" w:fill="FFFFFF"/>
        </w:rPr>
        <w:t>, and where applicable upon their request.</w:t>
      </w:r>
    </w:p>
  </w:footnote>
  <w:footnote w:id="78">
    <w:p w14:paraId="373F5014" w14:textId="52644BDE" w:rsidR="00290CDA" w:rsidRDefault="00290CDA">
      <w:pPr>
        <w:pStyle w:val="FootnoteText"/>
      </w:pPr>
      <w:r>
        <w:rPr>
          <w:rStyle w:val="FootnoteReference"/>
        </w:rPr>
        <w:footnoteRef/>
      </w:r>
      <w:r>
        <w:t xml:space="preserve"> </w:t>
      </w:r>
      <w:r w:rsidR="00A27434" w:rsidRPr="008E53AF">
        <w:t>Explanatory Memorandum to COM</w:t>
      </w:r>
      <w:r w:rsidR="00A27434">
        <w:t xml:space="preserve"> </w:t>
      </w:r>
      <w:r w:rsidR="00A27434" w:rsidRPr="008E53AF">
        <w:t>(2021)93 - Proposal for a Directive to strengthen the application of the principle of equal pay for equal work between men and women through pay transparency and enforcement mechanisms - EU monitor . European Commission, 4 March 2021</w:t>
      </w:r>
      <w:r w:rsidR="00A27434">
        <w:t>.</w:t>
      </w:r>
    </w:p>
  </w:footnote>
  <w:footnote w:id="79">
    <w:p w14:paraId="44E8C58C" w14:textId="77777777" w:rsidR="00072C41" w:rsidRPr="00A07A52" w:rsidRDefault="00072C41" w:rsidP="00122360">
      <w:pPr>
        <w:pStyle w:val="FootnoteText"/>
        <w:rPr>
          <w:rFonts w:ascii="Arial" w:hAnsi="Arial" w:cs="Arial"/>
          <w:b/>
          <w:bCs/>
          <w:sz w:val="28"/>
          <w:szCs w:val="28"/>
        </w:rPr>
      </w:pPr>
      <w:r>
        <w:rPr>
          <w:rStyle w:val="FootnoteReference"/>
        </w:rPr>
        <w:footnoteRef/>
      </w:r>
      <w:r>
        <w:t xml:space="preserve"> Article 26:  Relationship with Directive 2006/54/EC:  Chapter III of this Directive </w:t>
      </w:r>
      <w:r w:rsidRPr="0020455F">
        <w:rPr>
          <w:u w:val="single"/>
        </w:rPr>
        <w:t>shall apply</w:t>
      </w:r>
      <w:r>
        <w:t xml:space="preserve"> to proceedings concerning any right or obligation relating to the principle of equal pay set out in Article 4 of Directive 2006/54/EC. </w:t>
      </w:r>
    </w:p>
  </w:footnote>
  <w:footnote w:id="80">
    <w:p w14:paraId="30EF5FB5" w14:textId="77777777" w:rsidR="00072C41" w:rsidRDefault="00072C41" w:rsidP="00122360">
      <w:pPr>
        <w:pStyle w:val="FootnoteText"/>
      </w:pPr>
      <w:r>
        <w:rPr>
          <w:rStyle w:val="FootnoteReference"/>
        </w:rPr>
        <w:footnoteRef/>
      </w:r>
      <w:r>
        <w:t xml:space="preserve"> Article 4: “For the same work or for work to which equal value is attributed, direct and indirect discrimination on grounds of sex </w:t>
      </w:r>
      <w:proofErr w:type="gramStart"/>
      <w:r>
        <w:t>with regard to</w:t>
      </w:r>
      <w:proofErr w:type="gramEnd"/>
      <w:r>
        <w:t xml:space="preserve"> all aspects and conditions of remuneration shall be eliminated. </w:t>
      </w:r>
      <w:proofErr w:type="gramStart"/>
      <w:r>
        <w:t>In particular, where</w:t>
      </w:r>
      <w:proofErr w:type="gramEnd"/>
      <w:r>
        <w:t xml:space="preserve"> a job classification system is used for determining pay, it shall be based on the same criteria for both men and women and so drawn up as to exclude any discrimination on grounds of sex.”</w:t>
      </w:r>
    </w:p>
  </w:footnote>
  <w:footnote w:id="81">
    <w:p w14:paraId="6A37600B" w14:textId="108B0750" w:rsidR="00072C41" w:rsidRPr="00126ED7" w:rsidRDefault="00072C41" w:rsidP="00122360">
      <w:pPr>
        <w:pStyle w:val="FootnoteText"/>
        <w:rPr>
          <w:rFonts w:cstheme="minorHAnsi"/>
        </w:rPr>
      </w:pPr>
      <w:r>
        <w:rPr>
          <w:rStyle w:val="FootnoteReference"/>
        </w:rPr>
        <w:footnoteRef/>
      </w:r>
      <w:r>
        <w:t xml:space="preserve"> </w:t>
      </w:r>
      <w:r w:rsidRPr="00B32304">
        <w:t xml:space="preserve">Recital (para 59) </w:t>
      </w:r>
      <w:r w:rsidRPr="00B32304">
        <w:rPr>
          <w:rFonts w:cstheme="minorHAnsi"/>
        </w:rPr>
        <w:t>states as follow: “I</w:t>
      </w:r>
      <w:r w:rsidRPr="00B32304">
        <w:t>n order to improve the enforcement of the principle of equal pay, this Directive should strengthen the existing enforcement tools and procedures in regard to the rights and obligations laid down in this Directive and the equal pay provisions set out in Directive 2006/54/EC”</w:t>
      </w:r>
      <w:r>
        <w:t>.</w:t>
      </w:r>
    </w:p>
  </w:footnote>
  <w:footnote w:id="82">
    <w:p w14:paraId="3C7DD6C2" w14:textId="52F98CB3" w:rsidR="007577D9" w:rsidRDefault="007577D9" w:rsidP="00122360">
      <w:pPr>
        <w:pStyle w:val="FootnoteText"/>
      </w:pPr>
      <w:r>
        <w:rPr>
          <w:rStyle w:val="FootnoteReference"/>
        </w:rPr>
        <w:footnoteRef/>
      </w:r>
      <w:r>
        <w:t xml:space="preserve"> The PTD Recitals (46) also make clear that national legislation providing for the use of conciliation, or making the intervention of an equality body compulsory or subject </w:t>
      </w:r>
      <w:r w:rsidRPr="00122360">
        <w:t>to</w:t>
      </w:r>
      <w:r>
        <w:t xml:space="preserve"> incentives or penalties should not prevent parties from exercising their right of access to the courts.</w:t>
      </w:r>
    </w:p>
  </w:footnote>
  <w:footnote w:id="83">
    <w:p w14:paraId="6EE15531" w14:textId="4AEEDEFA" w:rsidR="00647338" w:rsidRPr="00122360" w:rsidRDefault="00647338">
      <w:pPr>
        <w:pStyle w:val="FootnoteText"/>
        <w:rPr>
          <w:sz w:val="28"/>
          <w:szCs w:val="28"/>
        </w:rPr>
      </w:pPr>
      <w:r>
        <w:rPr>
          <w:rStyle w:val="FootnoteReference"/>
        </w:rPr>
        <w:footnoteRef/>
      </w:r>
      <w:r>
        <w:t xml:space="preserve"> “</w:t>
      </w:r>
      <w:r w:rsidRPr="0031416C">
        <w:rPr>
          <w:u w:val="single"/>
          <w:shd w:val="clear" w:color="auto" w:fill="FFFFFF"/>
        </w:rPr>
        <w:t>Building on Article 17 of the Recast Directive,</w:t>
      </w:r>
      <w:r>
        <w:rPr>
          <w:shd w:val="clear" w:color="auto" w:fill="FFFFFF"/>
        </w:rPr>
        <w:t xml:space="preserve"> this provision requires Member States to ensure the availability of judicial procedures for the enforcement of the rights and obligations under this Directive.” (our emphasis)</w:t>
      </w:r>
      <w:r w:rsidR="00266F36">
        <w:rPr>
          <w:shd w:val="clear" w:color="auto" w:fill="FFFFFF"/>
        </w:rPr>
        <w:t>.</w:t>
      </w:r>
      <w:r w:rsidR="008E53AF" w:rsidRPr="008E53AF">
        <w:t xml:space="preserve"> </w:t>
      </w:r>
      <w:r w:rsidR="008E53AF">
        <w:t xml:space="preserve">See </w:t>
      </w:r>
      <w:hyperlink r:id="rId19" w:anchor=":~:text=The%20proposed%20directive%20is%20based,employment%20and%20occupation%2C%20including%20the" w:history="1">
        <w:r w:rsidR="008E53AF" w:rsidRPr="008E53AF">
          <w:rPr>
            <w:rStyle w:val="Hyperlink"/>
          </w:rPr>
          <w:t>Explanatory</w:t>
        </w:r>
        <w:r w:rsidR="008E53AF">
          <w:rPr>
            <w:rStyle w:val="Hyperlink"/>
          </w:rPr>
          <w:t xml:space="preserve"> Memorandum to COM</w:t>
        </w:r>
        <w:r w:rsidR="006E2ABD">
          <w:rPr>
            <w:rStyle w:val="Hyperlink"/>
          </w:rPr>
          <w:t xml:space="preserve"> </w:t>
        </w:r>
        <w:r w:rsidR="008E53AF">
          <w:rPr>
            <w:rStyle w:val="Hyperlink"/>
          </w:rPr>
          <w:t>(2021)93 - Proposal for a Directive to strengthen the application of the principle of equal pay for equal work between men and women through pay transparency and enforcement mechanisms - EU monitor</w:t>
        </w:r>
      </w:hyperlink>
      <w:r w:rsidR="008E53AF">
        <w:t xml:space="preserve">. European Commission, 4 </w:t>
      </w:r>
      <w:r w:rsidR="008E53AF" w:rsidRPr="00122360">
        <w:t>March</w:t>
      </w:r>
      <w:r w:rsidR="008E53AF">
        <w:t xml:space="preserve"> 2021.</w:t>
      </w:r>
    </w:p>
  </w:footnote>
  <w:footnote w:id="84">
    <w:p w14:paraId="02B0FCD7" w14:textId="3381594C" w:rsidR="007314B5" w:rsidRDefault="007314B5" w:rsidP="00122360">
      <w:pPr>
        <w:pStyle w:val="FootnoteText"/>
      </w:pPr>
      <w:r>
        <w:rPr>
          <w:rStyle w:val="FootnoteReference"/>
        </w:rPr>
        <w:footnoteRef/>
      </w:r>
      <w:r>
        <w:t xml:space="preserve"> PTD </w:t>
      </w:r>
      <w:r w:rsidRPr="00122360">
        <w:t>Recital</w:t>
      </w:r>
      <w:r>
        <w:t xml:space="preserve"> </w:t>
      </w:r>
      <w:r w:rsidR="006366B4">
        <w:t>48</w:t>
      </w:r>
    </w:p>
  </w:footnote>
  <w:footnote w:id="85">
    <w:p w14:paraId="18DB0B0B" w14:textId="0DF269AD" w:rsidR="00FF1920" w:rsidRDefault="00FF1920">
      <w:pPr>
        <w:pStyle w:val="FootnoteText"/>
      </w:pPr>
      <w:r>
        <w:rPr>
          <w:rStyle w:val="FootnoteReference"/>
        </w:rPr>
        <w:footnoteRef/>
      </w:r>
      <w:r>
        <w:t xml:space="preserve"> </w:t>
      </w:r>
      <w:hyperlink r:id="rId20" w:anchor=":~:text=The%20proposed%20directive%20is%20based,employment%20and%20occupation%2C%20including%20the" w:history="1">
        <w:r w:rsidR="00B55781">
          <w:rPr>
            <w:rStyle w:val="Hyperlink"/>
          </w:rPr>
          <w:t>Explanatory Memorandum to COM</w:t>
        </w:r>
        <w:r w:rsidR="00BD735D">
          <w:rPr>
            <w:rStyle w:val="Hyperlink"/>
          </w:rPr>
          <w:t xml:space="preserve"> </w:t>
        </w:r>
        <w:r w:rsidR="00B55781">
          <w:rPr>
            <w:rStyle w:val="Hyperlink"/>
          </w:rPr>
          <w:t>(2021)93 – Proposal for a Directive to strengthen the application of the principle of equal pay for equal work between men and women through pay transparency and enforcement mechanisms – EU monitor</w:t>
        </w:r>
      </w:hyperlink>
      <w:r w:rsidR="00B55781">
        <w:rPr>
          <w:rStyle w:val="Hyperlink"/>
        </w:rPr>
        <w:t>,</w:t>
      </w:r>
      <w:r w:rsidR="00B55781" w:rsidRPr="0045449E">
        <w:t xml:space="preserve"> </w:t>
      </w:r>
      <w:r w:rsidR="00B55781">
        <w:t>European Commission, 4 March 2021.</w:t>
      </w:r>
    </w:p>
  </w:footnote>
  <w:footnote w:id="86">
    <w:p w14:paraId="7FA09A2E" w14:textId="464DB8B3" w:rsidR="00F521AD" w:rsidRPr="004C1A09" w:rsidRDefault="00F521AD" w:rsidP="00122360">
      <w:pPr>
        <w:pStyle w:val="FootnoteText"/>
      </w:pPr>
      <w:r>
        <w:rPr>
          <w:rStyle w:val="FootnoteReference"/>
        </w:rPr>
        <w:footnoteRef/>
      </w:r>
      <w:r w:rsidR="00D469D2">
        <w:t>Ibid</w:t>
      </w:r>
      <w:r w:rsidRPr="004C1A09">
        <w:t>. “</w:t>
      </w:r>
      <w:r w:rsidRPr="004C1A09">
        <w:rPr>
          <w:u w:val="single"/>
          <w:shd w:val="clear" w:color="auto" w:fill="FFFFFF"/>
        </w:rPr>
        <w:t>Building on Article 17 of the Recast Directive,</w:t>
      </w:r>
      <w:r w:rsidRPr="004C1A09">
        <w:rPr>
          <w:shd w:val="clear" w:color="auto" w:fill="FFFFFF"/>
        </w:rPr>
        <w:t xml:space="preserve"> this provision requires Member States to ensure the availability of judicial procedures for the enforcement of the rights and obligations under this Directive” (our emphasis)</w:t>
      </w:r>
      <w:r w:rsidR="00C2545F">
        <w:rPr>
          <w:shd w:val="clear" w:color="auto" w:fill="FFFFFF"/>
        </w:rPr>
        <w:t>.</w:t>
      </w:r>
    </w:p>
  </w:footnote>
  <w:footnote w:id="87">
    <w:p w14:paraId="1677DBC6" w14:textId="77777777" w:rsidR="00397833" w:rsidRDefault="00397833" w:rsidP="00350AD5">
      <w:pPr>
        <w:pStyle w:val="FootnoteText"/>
      </w:pPr>
      <w:r>
        <w:rPr>
          <w:rStyle w:val="FootnoteReference"/>
        </w:rPr>
        <w:footnoteRef/>
      </w:r>
      <w:r>
        <w:t xml:space="preserve"> PTD Recital 50</w:t>
      </w:r>
      <w:r>
        <w:rPr>
          <w:color w:val="333333"/>
          <w:sz w:val="19"/>
          <w:szCs w:val="19"/>
          <w:shd w:val="clear" w:color="auto" w:fill="FFFFFF"/>
        </w:rPr>
        <w:t>.</w:t>
      </w:r>
    </w:p>
  </w:footnote>
  <w:footnote w:id="88">
    <w:p w14:paraId="0F370723" w14:textId="4D0C77D6" w:rsidR="00397833" w:rsidRDefault="00397833" w:rsidP="00397833">
      <w:pPr>
        <w:pStyle w:val="FootnoteText"/>
      </w:pPr>
      <w:r>
        <w:rPr>
          <w:rStyle w:val="FootnoteReference"/>
        </w:rPr>
        <w:footnoteRef/>
      </w:r>
      <w:r>
        <w:t xml:space="preserve"> PTD Article 16 (Right to compensation)</w:t>
      </w:r>
      <w:r w:rsidR="00C2545F">
        <w:t>.</w:t>
      </w:r>
    </w:p>
  </w:footnote>
  <w:footnote w:id="89">
    <w:p w14:paraId="4D1972C6" w14:textId="3DEBC19A" w:rsidR="00397833" w:rsidRDefault="00397833" w:rsidP="00122360">
      <w:pPr>
        <w:pStyle w:val="FootnoteText"/>
      </w:pPr>
      <w:r>
        <w:rPr>
          <w:rStyle w:val="FootnoteReference"/>
        </w:rPr>
        <w:footnoteRef/>
      </w:r>
      <w:r>
        <w:t xml:space="preserve"> PTD Recital 50: “Compensation should cover in full the loss and damage sustained </w:t>
      </w:r>
      <w:proofErr w:type="gramStart"/>
      <w:r>
        <w:t>as a result of</w:t>
      </w:r>
      <w:proofErr w:type="gramEnd"/>
      <w:r>
        <w:t xml:space="preserve"> gender-based pay discrimination in accordance with the case-law of the Court of Justice. It should include full recovery of back pay and related bonuses or payments in kind, as well as compensation for lost opportunities, such as access to certain benefits depending on pay level, and for non-material damage, such as distress because of the undervaluation of work performed. Where appropriate, </w:t>
      </w:r>
      <w:r w:rsidRPr="00122360">
        <w:t>the</w:t>
      </w:r>
      <w:r>
        <w:t xml:space="preserve"> compensation can </w:t>
      </w:r>
      <w:proofErr w:type="gramStart"/>
      <w:r>
        <w:t>take into account</w:t>
      </w:r>
      <w:proofErr w:type="gramEnd"/>
      <w:r>
        <w:t xml:space="preserve"> damage caused by pay discrimination based on sex that intersects with other protected grounds of discrimination. Member States should not fix a prior upper limit for such compensation.” See, </w:t>
      </w:r>
      <w:r>
        <w:rPr>
          <w:color w:val="333333"/>
          <w:sz w:val="19"/>
          <w:szCs w:val="19"/>
          <w:shd w:val="clear" w:color="auto" w:fill="FFFFFF"/>
        </w:rPr>
        <w:t>Judgment of the Court of Justice of 17 December 2015, Arjona Camacho, C-407/14, ECLI:EU:C:2015:831, para. 45.</w:t>
      </w:r>
    </w:p>
  </w:footnote>
  <w:footnote w:id="90">
    <w:p w14:paraId="086C9013" w14:textId="1F7B0C40" w:rsidR="00526588" w:rsidRDefault="00526588">
      <w:pPr>
        <w:pStyle w:val="FootnoteText"/>
      </w:pPr>
      <w:r>
        <w:rPr>
          <w:rStyle w:val="FootnoteReference"/>
        </w:rPr>
        <w:footnoteRef/>
      </w:r>
      <w:r>
        <w:t xml:space="preserve"> PTD Article 16(3)</w:t>
      </w:r>
      <w:r w:rsidR="00C2545F">
        <w:t>.</w:t>
      </w:r>
    </w:p>
  </w:footnote>
  <w:footnote w:id="91">
    <w:p w14:paraId="417F5C8F" w14:textId="6F4B3B43" w:rsidR="00DC5FCB" w:rsidRDefault="00DC5FCB">
      <w:pPr>
        <w:pStyle w:val="FootnoteText"/>
      </w:pPr>
      <w:r>
        <w:rPr>
          <w:rStyle w:val="FootnoteReference"/>
        </w:rPr>
        <w:footnoteRef/>
      </w:r>
      <w:r>
        <w:t xml:space="preserve"> </w:t>
      </w:r>
      <w:r w:rsidR="001A5830" w:rsidRPr="001A5830">
        <w:t>Explanatory Memorandum to COM (2021)93 - Proposal for a Directive to strengthen the application of the principle of equal pay for equal work between men and women through pay transparency and enforcement mechanisms - EU monitor . European Commission, 4 March 2021.</w:t>
      </w:r>
    </w:p>
  </w:footnote>
  <w:footnote w:id="92">
    <w:p w14:paraId="3BCE1A48" w14:textId="23A1FD95" w:rsidR="00701380" w:rsidRDefault="00701380" w:rsidP="00701380">
      <w:pPr>
        <w:pStyle w:val="FootnoteText"/>
      </w:pPr>
      <w:r>
        <w:rPr>
          <w:rStyle w:val="FootnoteReference"/>
        </w:rPr>
        <w:footnoteRef/>
      </w:r>
      <w:r>
        <w:t xml:space="preserve"> Ibid</w:t>
      </w:r>
      <w:r w:rsidR="00C2545F">
        <w:t>.</w:t>
      </w:r>
    </w:p>
  </w:footnote>
  <w:footnote w:id="93">
    <w:p w14:paraId="3F31D1CD" w14:textId="1EAEB4C7" w:rsidR="00526539" w:rsidRPr="00D540DA" w:rsidRDefault="00526539">
      <w:pPr>
        <w:pStyle w:val="FootnoteText"/>
      </w:pPr>
      <w:r>
        <w:rPr>
          <w:rStyle w:val="FootnoteReference"/>
        </w:rPr>
        <w:footnoteRef/>
      </w:r>
      <w:r>
        <w:t xml:space="preserve"> </w:t>
      </w:r>
      <w:r w:rsidRPr="00D540DA">
        <w:t>PTD Recital 51</w:t>
      </w:r>
      <w:r w:rsidR="00C324D2" w:rsidRPr="00D540DA">
        <w:t>: The recital 51 to the PTD indicates “that such measures may include, for instance, an obligation to review the pay setting mechanism based on a gender-neutral evaluation and classification; to set up an action plan to eliminate the discrepancies discovered and to reduce any unjustified gaps in pay; to provide information and raise workers’ awareness of their right to equal pay; and to establish a mandatory training for human resources staff on equal pay and gender-neutral job evaluation and classification.”</w:t>
      </w:r>
    </w:p>
  </w:footnote>
  <w:footnote w:id="94">
    <w:p w14:paraId="5B659E4A" w14:textId="77777777" w:rsidR="00D21342" w:rsidRDefault="00D21342" w:rsidP="00D21342">
      <w:pPr>
        <w:pStyle w:val="FootnoteText"/>
      </w:pPr>
      <w:r>
        <w:rPr>
          <w:rStyle w:val="FootnoteReference"/>
        </w:rPr>
        <w:footnoteRef/>
      </w:r>
      <w:r>
        <w:t xml:space="preserve"> The obligations are set out in Articles 5,6,7,9 and 10 of the PTD.</w:t>
      </w:r>
    </w:p>
  </w:footnote>
  <w:footnote w:id="95">
    <w:p w14:paraId="64766854" w14:textId="63F88091" w:rsidR="00D21342" w:rsidRPr="00CF66F4" w:rsidRDefault="00D21342" w:rsidP="00D21342">
      <w:pPr>
        <w:pStyle w:val="FootnoteText"/>
      </w:pPr>
      <w:r>
        <w:rPr>
          <w:rStyle w:val="FootnoteReference"/>
        </w:rPr>
        <w:footnoteRef/>
      </w:r>
      <w:r>
        <w:t xml:space="preserve"> PTD Recital 52: </w:t>
      </w:r>
      <w:r w:rsidRPr="00CF66F4">
        <w:rPr>
          <w:color w:val="333333"/>
          <w:shd w:val="clear" w:color="auto" w:fill="FFFFFF"/>
        </w:rPr>
        <w:t>See Judgment of the Court of Justice of 17 October 1989, Danfoss, C-109/88, ECLI:EU:C:1989:383.</w:t>
      </w:r>
    </w:p>
  </w:footnote>
  <w:footnote w:id="96">
    <w:p w14:paraId="0CB3464A" w14:textId="5741F08A" w:rsidR="00DF5323" w:rsidRPr="001977A2" w:rsidRDefault="00DF5323">
      <w:pPr>
        <w:pStyle w:val="FootnoteText"/>
      </w:pPr>
      <w:r>
        <w:rPr>
          <w:rStyle w:val="FootnoteReference"/>
        </w:rPr>
        <w:footnoteRef/>
      </w:r>
      <w:r>
        <w:t xml:space="preserve"> </w:t>
      </w:r>
      <w:r w:rsidR="001A5830" w:rsidRPr="008E53AF">
        <w:t>Explanatory Memorandum to COM</w:t>
      </w:r>
      <w:r w:rsidR="001A5830">
        <w:t xml:space="preserve"> </w:t>
      </w:r>
      <w:r w:rsidR="001A5830" w:rsidRPr="008E53AF">
        <w:t>(2021)93 - Proposal for a Directive to strengthen the application of the principle of equal pay for equal work between men and women through pay transparency and enforcement mechanisms - EU monitor . European Commission, 4 March 2021</w:t>
      </w:r>
      <w:r w:rsidR="001A5830">
        <w:t>.</w:t>
      </w:r>
    </w:p>
  </w:footnote>
  <w:footnote w:id="97">
    <w:p w14:paraId="518F48BE" w14:textId="3C59C911" w:rsidR="0001746F" w:rsidRPr="001977A2" w:rsidRDefault="0001746F" w:rsidP="0001746F">
      <w:pPr>
        <w:pStyle w:val="FootnoteText"/>
      </w:pPr>
      <w:r w:rsidRPr="001977A2">
        <w:rPr>
          <w:rStyle w:val="FootnoteReference"/>
        </w:rPr>
        <w:footnoteRef/>
      </w:r>
      <w:r w:rsidRPr="001977A2">
        <w:t xml:space="preserve"> PTD (Article 19) (1).</w:t>
      </w:r>
    </w:p>
  </w:footnote>
  <w:footnote w:id="98">
    <w:p w14:paraId="00E6820F" w14:textId="77777777" w:rsidR="0001746F" w:rsidRPr="001977A2" w:rsidRDefault="0001746F" w:rsidP="0001746F">
      <w:pPr>
        <w:pStyle w:val="FootnoteText"/>
      </w:pPr>
      <w:r w:rsidRPr="001977A2">
        <w:rPr>
          <w:rStyle w:val="FootnoteReference"/>
        </w:rPr>
        <w:footnoteRef/>
      </w:r>
      <w:r w:rsidRPr="001977A2">
        <w:t xml:space="preserve"> </w:t>
      </w:r>
      <w:r w:rsidRPr="001977A2">
        <w:rPr>
          <w:color w:val="333333"/>
          <w:shd w:val="clear" w:color="auto" w:fill="FFFFFF"/>
        </w:rPr>
        <w:t xml:space="preserve">For example, the PTD (Recital 29) states that : “The Court of Justice has clarified that </w:t>
      </w:r>
      <w:proofErr w:type="gramStart"/>
      <w:r w:rsidRPr="001977A2">
        <w:rPr>
          <w:color w:val="333333"/>
          <w:shd w:val="clear" w:color="auto" w:fill="FFFFFF"/>
        </w:rPr>
        <w:t>in order to</w:t>
      </w:r>
      <w:proofErr w:type="gramEnd"/>
      <w:r w:rsidRPr="001977A2">
        <w:rPr>
          <w:color w:val="333333"/>
          <w:shd w:val="clear" w:color="auto" w:fill="FFFFFF"/>
        </w:rPr>
        <w:t xml:space="preserve"> assess whether workers are in a comparable situation, the comparison is not necessarily limited to situations in which men and women work for the same employer. See Judgment of the Court of Justice of 17 September 2002, </w:t>
      </w:r>
      <w:proofErr w:type="gramStart"/>
      <w:r w:rsidRPr="001977A2">
        <w:rPr>
          <w:color w:val="333333"/>
          <w:shd w:val="clear" w:color="auto" w:fill="FFFFFF"/>
        </w:rPr>
        <w:t>Lawrence</w:t>
      </w:r>
      <w:proofErr w:type="gramEnd"/>
      <w:r w:rsidRPr="001977A2">
        <w:rPr>
          <w:color w:val="333333"/>
          <w:shd w:val="clear" w:color="auto" w:fill="FFFFFF"/>
        </w:rPr>
        <w:t xml:space="preserve"> and others, C-320/00, ECLI:EU:C:2002:498.</w:t>
      </w:r>
    </w:p>
  </w:footnote>
  <w:footnote w:id="99">
    <w:p w14:paraId="2618358B" w14:textId="77777777" w:rsidR="0001746F" w:rsidRPr="001977A2" w:rsidRDefault="0001746F" w:rsidP="0001746F">
      <w:pPr>
        <w:pStyle w:val="FootnoteText"/>
      </w:pPr>
      <w:r w:rsidRPr="001977A2">
        <w:rPr>
          <w:rStyle w:val="FootnoteReference"/>
        </w:rPr>
        <w:footnoteRef/>
      </w:r>
      <w:r w:rsidRPr="001977A2">
        <w:t xml:space="preserve"> </w:t>
      </w:r>
      <w:r w:rsidRPr="001977A2">
        <w:rPr>
          <w:color w:val="333333"/>
          <w:shd w:val="clear" w:color="auto" w:fill="FFFFFF"/>
        </w:rPr>
        <w:t>For example, the PTD (Recital 29) states that : “Furthermore, the Court of Justice has clarified that the comparison is not limited to workers employed at the same time as the claimant”. See  Judgment of the Court of Justice of 27 March 1980, Macarthys Ltd, C-129/79, ECLI:EU:C:1980:103.</w:t>
      </w:r>
    </w:p>
  </w:footnote>
  <w:footnote w:id="100">
    <w:p w14:paraId="09CAE2E7" w14:textId="2270176A" w:rsidR="0001746F" w:rsidRPr="001977A2" w:rsidRDefault="0001746F" w:rsidP="0001746F">
      <w:pPr>
        <w:pStyle w:val="FootnoteText"/>
      </w:pPr>
      <w:r w:rsidRPr="001977A2">
        <w:rPr>
          <w:rStyle w:val="FootnoteReference"/>
        </w:rPr>
        <w:footnoteRef/>
      </w:r>
      <w:r w:rsidRPr="001977A2">
        <w:t xml:space="preserve"> </w:t>
      </w:r>
      <w:r w:rsidR="000F0CDD" w:rsidRPr="000F0CDD">
        <w:t>Explanatory Memorandum to COM</w:t>
      </w:r>
      <w:r w:rsidR="00204C15">
        <w:t xml:space="preserve"> </w:t>
      </w:r>
      <w:r w:rsidR="000F0CDD" w:rsidRPr="000F0CDD">
        <w:t>(2021)93 - Proposal for a Directive to strengthen the application of the principle of equal pay for equal work between men and women through pay transparency and enforcement mechanisms - EU monitor. European Commission, 4 March 2021</w:t>
      </w:r>
      <w:r w:rsidR="000F0CDD">
        <w:t>.</w:t>
      </w:r>
    </w:p>
  </w:footnote>
  <w:footnote w:id="101">
    <w:p w14:paraId="4C23E242" w14:textId="00F416C3" w:rsidR="0037602E" w:rsidRDefault="0037602E">
      <w:pPr>
        <w:pStyle w:val="FootnoteText"/>
      </w:pPr>
      <w:r>
        <w:rPr>
          <w:rStyle w:val="FootnoteReference"/>
        </w:rPr>
        <w:footnoteRef/>
      </w:r>
      <w:r>
        <w:t xml:space="preserve"> </w:t>
      </w:r>
      <w:r w:rsidR="000F0CDD">
        <w:t>Ibid.</w:t>
      </w:r>
    </w:p>
  </w:footnote>
  <w:footnote w:id="102">
    <w:p w14:paraId="1B26E885" w14:textId="49B962CF" w:rsidR="00305DC5" w:rsidRDefault="00305DC5" w:rsidP="00305DC5">
      <w:pPr>
        <w:pStyle w:val="FootnoteText"/>
      </w:pPr>
      <w:r>
        <w:rPr>
          <w:rStyle w:val="FootnoteReference"/>
        </w:rPr>
        <w:footnoteRef/>
      </w:r>
      <w:r>
        <w:t xml:space="preserve"> PTD Recital 54</w:t>
      </w:r>
      <w:r w:rsidR="00C2545F">
        <w:t>.</w:t>
      </w:r>
    </w:p>
  </w:footnote>
  <w:footnote w:id="103">
    <w:p w14:paraId="24EAC97A" w14:textId="2F19F8B4" w:rsidR="006F0FD8" w:rsidRDefault="006F0FD8" w:rsidP="006F0FD8">
      <w:pPr>
        <w:pStyle w:val="FootnoteText"/>
      </w:pPr>
      <w:r>
        <w:rPr>
          <w:rStyle w:val="FootnoteReference"/>
        </w:rPr>
        <w:footnoteRef/>
      </w:r>
      <w:r>
        <w:t xml:space="preserve"> PTD, Recital 53: “</w:t>
      </w:r>
      <w:r w:rsidRPr="007E5143">
        <w:t xml:space="preserve">In accordance with the case-law of the Court of Justice, national rules on limitation periods relating to the bringing of claims regarding alleged infringements of the rights provided for in this Directive should be such that they do not render virtually impossible or excessively difficult the exercise of those rights. Limitation periods create specific obstacles for victims of gender-based pay discrimination. For that purpose, common minimum standards should </w:t>
      </w:r>
      <w:proofErr w:type="gramStart"/>
      <w:r w:rsidRPr="007E5143">
        <w:t>be established</w:t>
      </w:r>
      <w:proofErr w:type="gramEnd"/>
      <w:r w:rsidRPr="007E5143">
        <w:t xml:space="preserve">. Those standards should determine when the limitation period begins to run, the duration thereof and the circumstances under which it </w:t>
      </w:r>
      <w:proofErr w:type="gramStart"/>
      <w:r w:rsidRPr="007E5143">
        <w:t>is suspended</w:t>
      </w:r>
      <w:proofErr w:type="gramEnd"/>
      <w:r w:rsidRPr="007E5143">
        <w:t xml:space="preserve"> or interrupted, and should provide that the limitation period for bringing claims is at least three years. Limitation periods should not begin to run before the claimant is aware, or can </w:t>
      </w:r>
      <w:proofErr w:type="gramStart"/>
      <w:r w:rsidRPr="007E5143">
        <w:t>reasonably be</w:t>
      </w:r>
      <w:proofErr w:type="gramEnd"/>
      <w:r w:rsidRPr="007E5143">
        <w:t xml:space="preserve"> expected to be aware, of the infringement. Member States should be able to decide that the limitation period does not begin to run while the infringement is ongoing or before the end of the employment contract or employment relationship.</w:t>
      </w:r>
      <w:r>
        <w:t>”</w:t>
      </w:r>
    </w:p>
  </w:footnote>
  <w:footnote w:id="104">
    <w:p w14:paraId="578EED0B" w14:textId="66E5C096" w:rsidR="004E791A" w:rsidRDefault="004E791A" w:rsidP="004E791A">
      <w:pPr>
        <w:pStyle w:val="FootnoteText"/>
      </w:pPr>
      <w:r>
        <w:rPr>
          <w:rStyle w:val="FootnoteReference"/>
        </w:rPr>
        <w:footnoteRef/>
      </w:r>
      <w:r>
        <w:t xml:space="preserve"> </w:t>
      </w:r>
      <w:r w:rsidRPr="0008180B">
        <w:t>Explanatory Memorandum to COM(2021)93 - Proposal for a Directive to strengthen the application of the principle of equal pay for equal work between men and women through pay transparency and enforcement mechanisms</w:t>
      </w:r>
      <w:r w:rsidR="00C2545F">
        <w:t>.</w:t>
      </w:r>
      <w:r w:rsidR="000F0CDD">
        <w:t xml:space="preserve"> EC, March 2021.</w:t>
      </w:r>
    </w:p>
  </w:footnote>
  <w:footnote w:id="105">
    <w:p w14:paraId="66843538" w14:textId="1266DE45" w:rsidR="00245CA0" w:rsidRDefault="00245CA0" w:rsidP="00245CA0">
      <w:pPr>
        <w:pStyle w:val="FootnoteText"/>
      </w:pPr>
      <w:r>
        <w:rPr>
          <w:rStyle w:val="FootnoteReference"/>
        </w:rPr>
        <w:footnoteRef/>
      </w:r>
      <w:r>
        <w:t xml:space="preserve"> PTD, Recital 53: “</w:t>
      </w:r>
      <w:r w:rsidRPr="007E5143">
        <w:t xml:space="preserve">In accordance with the case-law of the Court of Justice, national rules on limitation periods relating to the bringing of claims regarding alleged infringements of the rights provided for in this Directive should be such that they do not render virtually impossible or excessively difficult the exercise of those rights. Limitation periods create specific obstacles for victims of gender-based pay discrimination. For that purpose, common minimum standards should </w:t>
      </w:r>
      <w:proofErr w:type="gramStart"/>
      <w:r w:rsidRPr="007E5143">
        <w:t>be established</w:t>
      </w:r>
      <w:proofErr w:type="gramEnd"/>
      <w:r w:rsidRPr="007E5143">
        <w:t xml:space="preserve">. Those standards should determine when the limitation period begins to run, the duration thereof and the circumstances under which it </w:t>
      </w:r>
      <w:proofErr w:type="gramStart"/>
      <w:r w:rsidRPr="007E5143">
        <w:t>is suspended</w:t>
      </w:r>
      <w:proofErr w:type="gramEnd"/>
      <w:r w:rsidRPr="007E5143">
        <w:t xml:space="preserve"> or interrupted, and should provide that the limitation period for bringing claims is at least three years. Limitation periods should not begin to run before the claimant is aware, or can </w:t>
      </w:r>
      <w:proofErr w:type="gramStart"/>
      <w:r w:rsidRPr="007E5143">
        <w:t>reasonably be</w:t>
      </w:r>
      <w:proofErr w:type="gramEnd"/>
      <w:r w:rsidRPr="007E5143">
        <w:t xml:space="preserve"> expected to be aware, of the infringement. Member States should be able to decide that the limitation period does not begin to run while the infringement is ongoing or before the end of the employment contract or employment relationship.</w:t>
      </w:r>
      <w:r>
        <w:t>”</w:t>
      </w:r>
    </w:p>
  </w:footnote>
  <w:footnote w:id="106">
    <w:p w14:paraId="40AC143E" w14:textId="77777777" w:rsidR="00415317" w:rsidRDefault="00415317" w:rsidP="00415317">
      <w:pPr>
        <w:pStyle w:val="FootnoteText"/>
      </w:pPr>
      <w:r>
        <w:rPr>
          <w:rStyle w:val="FootnoteReference"/>
        </w:rPr>
        <w:footnoteRef/>
      </w:r>
      <w:r>
        <w:t xml:space="preserve"> Directive 2014/23/EU of the European Parliament and of the Council of 26 February 2014 on the award of concession contracts.</w:t>
      </w:r>
    </w:p>
  </w:footnote>
  <w:footnote w:id="107">
    <w:p w14:paraId="2E01D0F6" w14:textId="4EF15AC9" w:rsidR="00DF473A" w:rsidRDefault="00DF473A" w:rsidP="00DF473A">
      <w:pPr>
        <w:pStyle w:val="FootnoteText"/>
      </w:pPr>
      <w:r>
        <w:rPr>
          <w:rStyle w:val="FootnoteReference"/>
        </w:rPr>
        <w:footnoteRef/>
      </w:r>
      <w:r>
        <w:t xml:space="preserve"> Directive 2014/24/EU of the European Parliament and of the Council of 26 February 2014 on public procurement and repealing Directive 2004/18/EC</w:t>
      </w:r>
      <w:r w:rsidR="00C2545F">
        <w:t>.</w:t>
      </w:r>
    </w:p>
  </w:footnote>
  <w:footnote w:id="108">
    <w:p w14:paraId="40155529" w14:textId="35007D45" w:rsidR="00943C21" w:rsidRDefault="00943C21" w:rsidP="00943C21">
      <w:pPr>
        <w:pStyle w:val="FootnoteText"/>
      </w:pPr>
      <w:r>
        <w:rPr>
          <w:rStyle w:val="FootnoteReference"/>
        </w:rPr>
        <w:footnoteRef/>
      </w:r>
      <w:r>
        <w:t xml:space="preserve"> Directive 2014/25/EU of the European Parliament and of the Council of 26 February 2014 on procurement by entities operating in the water, energy, </w:t>
      </w:r>
      <w:proofErr w:type="gramStart"/>
      <w:r>
        <w:t>transport</w:t>
      </w:r>
      <w:proofErr w:type="gramEnd"/>
      <w:r>
        <w:t xml:space="preserve"> and postal services sectors and repealing Directive 2004/17/EC</w:t>
      </w:r>
      <w:r w:rsidR="00C2545F">
        <w:t>.</w:t>
      </w:r>
    </w:p>
  </w:footnote>
  <w:footnote w:id="109">
    <w:p w14:paraId="0585B223" w14:textId="401DB433" w:rsidR="00CF5E0F" w:rsidRDefault="00CF5E0F">
      <w:pPr>
        <w:pStyle w:val="FootnoteText"/>
      </w:pPr>
      <w:r>
        <w:rPr>
          <w:rStyle w:val="FootnoteReference"/>
        </w:rPr>
        <w:footnoteRef/>
      </w:r>
      <w:r>
        <w:t xml:space="preserve"> </w:t>
      </w:r>
      <w:r w:rsidR="00B10381">
        <w:t xml:space="preserve">PTD </w:t>
      </w:r>
      <w:r>
        <w:t xml:space="preserve">Recital </w:t>
      </w:r>
      <w:r w:rsidR="009C5BC6">
        <w:t>57</w:t>
      </w:r>
      <w:r w:rsidR="00C2545F">
        <w:t>.</w:t>
      </w:r>
    </w:p>
  </w:footnote>
  <w:footnote w:id="110">
    <w:p w14:paraId="28CC9A80" w14:textId="0F69C9FC" w:rsidR="009C5BC6" w:rsidRDefault="009C5BC6" w:rsidP="009C5BC6">
      <w:pPr>
        <w:pStyle w:val="FootnoteText"/>
      </w:pPr>
      <w:r>
        <w:rPr>
          <w:rStyle w:val="FootnoteReference"/>
        </w:rPr>
        <w:footnoteRef/>
      </w:r>
      <w:r>
        <w:t xml:space="preserve"> PTD, Recital 53: “</w:t>
      </w:r>
      <w:r w:rsidRPr="007E5143">
        <w:t xml:space="preserve">In accordance with the case-law of the Court of Justice, national rules on limitation periods relating to the bringing of claims regarding alleged infringements of the rights provided for in this Directive should be such that they do not render virtually impossible or excessively difficult the exercise of those rights. Limitation periods create specific obstacles for victims of gender-based pay discrimination. For that purpose, common minimum standards should </w:t>
      </w:r>
      <w:proofErr w:type="gramStart"/>
      <w:r w:rsidRPr="007E5143">
        <w:t>be established</w:t>
      </w:r>
      <w:proofErr w:type="gramEnd"/>
      <w:r w:rsidRPr="007E5143">
        <w:t xml:space="preserve">. Those standards should determine when the limitation period begins to run, the duration thereof and the circumstances under which it </w:t>
      </w:r>
      <w:proofErr w:type="gramStart"/>
      <w:r w:rsidRPr="007E5143">
        <w:t>is suspended</w:t>
      </w:r>
      <w:proofErr w:type="gramEnd"/>
      <w:r w:rsidRPr="007E5143">
        <w:t xml:space="preserve"> or interrupted, and should provide that the limitation period for bringing claims is at least three years. Limitation periods should not begin to run before the claimant is aware, or can </w:t>
      </w:r>
      <w:proofErr w:type="gramStart"/>
      <w:r w:rsidRPr="007E5143">
        <w:t>reasonably be</w:t>
      </w:r>
      <w:proofErr w:type="gramEnd"/>
      <w:r w:rsidRPr="007E5143">
        <w:t xml:space="preserve"> expected to be aware, of the infringement. Member States should be able to decide that the limitation period does not begin to run while the infringement is ongoing or before the end of the employment contract or employment relationship.</w:t>
      </w:r>
      <w:r>
        <w:t>”</w:t>
      </w:r>
    </w:p>
  </w:footnote>
  <w:footnote w:id="111">
    <w:p w14:paraId="50358497" w14:textId="5204D14A" w:rsidR="000D66FA" w:rsidRDefault="000D66FA">
      <w:pPr>
        <w:pStyle w:val="FootnoteText"/>
      </w:pPr>
      <w:r>
        <w:rPr>
          <w:rStyle w:val="FootnoteReference"/>
        </w:rPr>
        <w:footnoteRef/>
      </w:r>
      <w:r>
        <w:t xml:space="preserve"> </w:t>
      </w:r>
      <w:r w:rsidR="008919BA">
        <w:t>Judgment of the Court of Justice of 20 June 2019, Hakelbracht and others, C-404/18, ECLI:EU:2019:523.</w:t>
      </w:r>
    </w:p>
  </w:footnote>
  <w:footnote w:id="112">
    <w:p w14:paraId="35F0FDC1" w14:textId="77777777" w:rsidR="00BE3F58" w:rsidRDefault="00BE3F58" w:rsidP="00BE3F58">
      <w:pPr>
        <w:pStyle w:val="FootnoteText"/>
      </w:pPr>
      <w:r>
        <w:rPr>
          <w:rStyle w:val="FootnoteReference"/>
        </w:rPr>
        <w:footnoteRef/>
      </w:r>
      <w:r>
        <w:t xml:space="preserve"> PTD , Recital 53: “</w:t>
      </w:r>
      <w:r w:rsidRPr="007E5143">
        <w:t xml:space="preserve">In accordance with the case-law of the Court of Justice, national rules on limitation periods relating to the bringing of claims regarding alleged infringements of the rights provided for in this Directive should be such that they do not render virtually impossible or excessively difficult the exercise of those rights. Limitation periods create specific obstacles for victims of gender-based pay discrimination. For that purpose, common minimum standards should </w:t>
      </w:r>
      <w:proofErr w:type="gramStart"/>
      <w:r w:rsidRPr="007E5143">
        <w:t>be established</w:t>
      </w:r>
      <w:proofErr w:type="gramEnd"/>
      <w:r w:rsidRPr="007E5143">
        <w:t xml:space="preserve">. Those standards should determine when the limitation period begins to run, the duration thereof and the circumstances under which it </w:t>
      </w:r>
      <w:proofErr w:type="gramStart"/>
      <w:r w:rsidRPr="007E5143">
        <w:t>is suspended</w:t>
      </w:r>
      <w:proofErr w:type="gramEnd"/>
      <w:r w:rsidRPr="007E5143">
        <w:t xml:space="preserve"> or interrupted, and should provide that the limitation period for bringing claims is at least three years. Limitation periods should not begin to run before the claimant is aware, or can </w:t>
      </w:r>
      <w:proofErr w:type="gramStart"/>
      <w:r w:rsidRPr="007E5143">
        <w:t>reasonably be</w:t>
      </w:r>
      <w:proofErr w:type="gramEnd"/>
      <w:r w:rsidRPr="007E5143">
        <w:t xml:space="preserve"> expected to be aware, of the infringement. Member States should be able to decide that the limitation period does not begin to run while the infringement is ongoing or before the end of the employment contract or employment relationship.</w:t>
      </w:r>
      <w:r>
        <w:t>”</w:t>
      </w:r>
    </w:p>
  </w:footnote>
  <w:footnote w:id="113">
    <w:p w14:paraId="3C394876" w14:textId="4661A83E" w:rsidR="00667540" w:rsidRDefault="00667540">
      <w:pPr>
        <w:pStyle w:val="FootnoteText"/>
      </w:pPr>
      <w:r>
        <w:rPr>
          <w:rStyle w:val="FootnoteReference"/>
        </w:rPr>
        <w:footnoteRef/>
      </w:r>
      <w:r>
        <w:t xml:space="preserve"> </w:t>
      </w:r>
      <w:r w:rsidR="009E737B">
        <w:t>PTD Recital 49</w:t>
      </w:r>
      <w:r w:rsidR="00C2545F">
        <w:t>.</w:t>
      </w:r>
    </w:p>
  </w:footnote>
  <w:footnote w:id="114">
    <w:p w14:paraId="71974464" w14:textId="77777777" w:rsidR="00DF72FF" w:rsidRDefault="00DF72FF" w:rsidP="00DF72FF">
      <w:pPr>
        <w:pStyle w:val="FootnoteText"/>
      </w:pPr>
      <w:r>
        <w:rPr>
          <w:rStyle w:val="FootnoteReference"/>
        </w:rPr>
        <w:footnoteRef/>
      </w:r>
      <w:r>
        <w:t xml:space="preserve"> Article 29(1).</w:t>
      </w:r>
    </w:p>
  </w:footnote>
  <w:footnote w:id="115">
    <w:p w14:paraId="68250DE1" w14:textId="4F4E2EC8" w:rsidR="00FC11CB" w:rsidRDefault="00FC11CB">
      <w:pPr>
        <w:pStyle w:val="FootnoteText"/>
      </w:pPr>
      <w:r>
        <w:rPr>
          <w:rStyle w:val="FootnoteReference"/>
        </w:rPr>
        <w:footnoteRef/>
      </w:r>
      <w:r>
        <w:t xml:space="preserve"> </w:t>
      </w:r>
      <w:r w:rsidR="00AA7A23">
        <w:t xml:space="preserve">Data from employers to </w:t>
      </w:r>
      <w:proofErr w:type="gramStart"/>
      <w:r w:rsidR="00AA7A23">
        <w:t>be published</w:t>
      </w:r>
      <w:proofErr w:type="gramEnd"/>
      <w:r w:rsidR="00AA7A23">
        <w:t xml:space="preserve"> is that set out in </w:t>
      </w:r>
      <w:r w:rsidR="002A55F1">
        <w:t xml:space="preserve">PTD </w:t>
      </w:r>
      <w:r w:rsidR="00AA7A23">
        <w:t>Article 9 (1)</w:t>
      </w:r>
      <w:r w:rsidR="002A55F1">
        <w:t>, points (a) to (f). See para 4.37 above.</w:t>
      </w:r>
    </w:p>
  </w:footnote>
  <w:footnote w:id="116">
    <w:p w14:paraId="2AFC8CFF" w14:textId="5B6FA331" w:rsidR="009C4039" w:rsidRDefault="009C4039">
      <w:pPr>
        <w:pStyle w:val="FootnoteText"/>
      </w:pPr>
      <w:r>
        <w:rPr>
          <w:rStyle w:val="FootnoteReference"/>
        </w:rPr>
        <w:footnoteRef/>
      </w:r>
      <w:r>
        <w:t xml:space="preserve"> See </w:t>
      </w:r>
      <w:r w:rsidR="008E53AF" w:rsidRPr="008E53AF">
        <w:t>Explanatory Memorandum to COM</w:t>
      </w:r>
      <w:r w:rsidR="00727AC9">
        <w:t xml:space="preserve"> </w:t>
      </w:r>
      <w:r w:rsidR="008E53AF" w:rsidRPr="008E53AF">
        <w:t>(2021)93 - Proposal for a Directive to strengthen the application of the principle of equal pay for equal work between men and women through pay transparency and enforcement mechanisms - EU monitor. European Commission, 4 March 2021</w:t>
      </w:r>
      <w:r w:rsidR="008E53AF">
        <w:t>.</w:t>
      </w:r>
    </w:p>
  </w:footnote>
  <w:footnote w:id="117">
    <w:p w14:paraId="7FF5ED94" w14:textId="1F08F083" w:rsidR="00BE1D40" w:rsidRDefault="00BE1D40">
      <w:pPr>
        <w:pStyle w:val="FootnoteText"/>
      </w:pPr>
      <w:r>
        <w:rPr>
          <w:rStyle w:val="FootnoteReference"/>
        </w:rPr>
        <w:footnoteRef/>
      </w:r>
      <w:r>
        <w:t xml:space="preserve"> ECNI recognises that certain data on the gender pay gap in NI </w:t>
      </w:r>
      <w:proofErr w:type="gramStart"/>
      <w:r>
        <w:t xml:space="preserve">is </w:t>
      </w:r>
      <w:r w:rsidR="006750AB">
        <w:t xml:space="preserve">already </w:t>
      </w:r>
      <w:r>
        <w:t>published</w:t>
      </w:r>
      <w:proofErr w:type="gramEnd"/>
      <w:r>
        <w:t xml:space="preserve"> annually by NI</w:t>
      </w:r>
      <w:r w:rsidR="00837E71">
        <w:t>SRA. See link.</w:t>
      </w:r>
    </w:p>
    <w:p w14:paraId="27C5C8B9" w14:textId="65B56E2A" w:rsidR="00837E71" w:rsidRDefault="00A652ED">
      <w:pPr>
        <w:pStyle w:val="FootnoteText"/>
      </w:pPr>
      <w:hyperlink r:id="rId21" w:anchor=":~:text=Gender%20pay%20gap%20in%20favour%20of%20males%20in%20NI&amp;text=Median%20hourly%20earnings%20(excluding%20overtime,for%20males%20(%C2%A314.92)." w:history="1">
        <w:r w:rsidR="006750AB">
          <w:rPr>
            <w:rStyle w:val="Hyperlink"/>
          </w:rPr>
          <w:t>Employee earnings in Northern Ireland 2023 | Northern Ireland Statistics and Research Agency (nisra.gov.uk)</w:t>
        </w:r>
      </w:hyperlink>
      <w:r w:rsidR="00C2545F">
        <w:rPr>
          <w:rStyle w:val="Hyperlink"/>
        </w:rPr>
        <w:t>.</w:t>
      </w:r>
    </w:p>
  </w:footnote>
  <w:footnote w:id="118">
    <w:p w14:paraId="4D6F373B" w14:textId="77777777" w:rsidR="006D461F" w:rsidRDefault="006D461F" w:rsidP="006D461F">
      <w:pPr>
        <w:pStyle w:val="FootnoteText"/>
      </w:pPr>
      <w:r>
        <w:rPr>
          <w:rStyle w:val="FootnoteReference"/>
        </w:rPr>
        <w:footnoteRef/>
      </w:r>
      <w:r>
        <w:t xml:space="preserve"> F</w:t>
      </w:r>
      <w:r w:rsidRPr="008907AF">
        <w:t>or example, reporting requirements to the European Commission.</w:t>
      </w:r>
    </w:p>
  </w:footnote>
  <w:footnote w:id="119">
    <w:p w14:paraId="3AE9FDF6" w14:textId="77777777" w:rsidR="00A0528A" w:rsidRDefault="00A0528A" w:rsidP="00A0528A">
      <w:pPr>
        <w:pStyle w:val="FootnoteText"/>
      </w:pPr>
      <w:r>
        <w:rPr>
          <w:rStyle w:val="FootnoteReference"/>
        </w:rPr>
        <w:footnoteRef/>
      </w:r>
      <w:r>
        <w:t xml:space="preserve"> WF Article 15 (3):Within the working group (a) the Union and the United Kingdom shall, in a timely manner, exchange information about planned, ongoing and final relevant implementation measures in relation to the Union acts listed in the Annexes to this Protocol; (b) the Union shall inform the United Kingdom about planned Union acts within the scope of this Protocol, including Union acts that amend or replace the Union acts listed in the Annexes to this Protocol.</w:t>
      </w:r>
    </w:p>
  </w:footnote>
  <w:footnote w:id="120">
    <w:p w14:paraId="3DC08D53" w14:textId="64D46AE3" w:rsidR="00A0528A" w:rsidRDefault="00A0528A" w:rsidP="00A0528A">
      <w:pPr>
        <w:pStyle w:val="FootnoteText"/>
      </w:pPr>
      <w:r>
        <w:rPr>
          <w:rStyle w:val="FootnoteReference"/>
        </w:rPr>
        <w:footnoteRef/>
      </w:r>
      <w:r>
        <w:t xml:space="preserve"> See ECNI response to TEO consultation on review of the Race Relations (NI) Order 1997, June 2023.</w:t>
      </w:r>
    </w:p>
    <w:p w14:paraId="1EFA8385" w14:textId="56F56DA2" w:rsidR="00A0528A" w:rsidRDefault="00A652ED" w:rsidP="00A0528A">
      <w:pPr>
        <w:pStyle w:val="FootnoteText"/>
      </w:pPr>
      <w:hyperlink r:id="rId22" w:history="1">
        <w:r w:rsidR="00A0528A">
          <w:rPr>
            <w:rStyle w:val="Hyperlink"/>
          </w:rPr>
          <w:t>Equality Commission's response to the Executive Office's consultation on the review of Race Relations (NI) Order 1997 (equalityni.org)</w:t>
        </w:r>
      </w:hyperlink>
      <w:r w:rsidR="00C2545F">
        <w:rPr>
          <w:rStyle w:val="Hyperlink"/>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15FA4"/>
    <w:multiLevelType w:val="hybridMultilevel"/>
    <w:tmpl w:val="A27E65CE"/>
    <w:lvl w:ilvl="0" w:tplc="E6725344">
      <w:start w:val="1"/>
      <w:numFmt w:val="bullet"/>
      <w:lvlText w:val=""/>
      <w:lvlJc w:val="left"/>
      <w:pPr>
        <w:ind w:left="720" w:hanging="360"/>
      </w:pPr>
      <w:rPr>
        <w:rFonts w:ascii="Symbol" w:hAnsi="Symbol"/>
      </w:rPr>
    </w:lvl>
    <w:lvl w:ilvl="1" w:tplc="AB24307C">
      <w:start w:val="1"/>
      <w:numFmt w:val="bullet"/>
      <w:lvlText w:val=""/>
      <w:lvlJc w:val="left"/>
      <w:pPr>
        <w:ind w:left="720" w:hanging="360"/>
      </w:pPr>
      <w:rPr>
        <w:rFonts w:ascii="Symbol" w:hAnsi="Symbol"/>
      </w:rPr>
    </w:lvl>
    <w:lvl w:ilvl="2" w:tplc="7B84FD0C">
      <w:start w:val="1"/>
      <w:numFmt w:val="bullet"/>
      <w:lvlText w:val=""/>
      <w:lvlJc w:val="left"/>
      <w:pPr>
        <w:ind w:left="720" w:hanging="360"/>
      </w:pPr>
      <w:rPr>
        <w:rFonts w:ascii="Symbol" w:hAnsi="Symbol"/>
      </w:rPr>
    </w:lvl>
    <w:lvl w:ilvl="3" w:tplc="3EEC4B42">
      <w:start w:val="1"/>
      <w:numFmt w:val="bullet"/>
      <w:lvlText w:val=""/>
      <w:lvlJc w:val="left"/>
      <w:pPr>
        <w:ind w:left="720" w:hanging="360"/>
      </w:pPr>
      <w:rPr>
        <w:rFonts w:ascii="Symbol" w:hAnsi="Symbol"/>
      </w:rPr>
    </w:lvl>
    <w:lvl w:ilvl="4" w:tplc="B4A0D9CE">
      <w:start w:val="1"/>
      <w:numFmt w:val="bullet"/>
      <w:lvlText w:val=""/>
      <w:lvlJc w:val="left"/>
      <w:pPr>
        <w:ind w:left="720" w:hanging="360"/>
      </w:pPr>
      <w:rPr>
        <w:rFonts w:ascii="Symbol" w:hAnsi="Symbol"/>
      </w:rPr>
    </w:lvl>
    <w:lvl w:ilvl="5" w:tplc="59E65956">
      <w:start w:val="1"/>
      <w:numFmt w:val="bullet"/>
      <w:lvlText w:val=""/>
      <w:lvlJc w:val="left"/>
      <w:pPr>
        <w:ind w:left="720" w:hanging="360"/>
      </w:pPr>
      <w:rPr>
        <w:rFonts w:ascii="Symbol" w:hAnsi="Symbol"/>
      </w:rPr>
    </w:lvl>
    <w:lvl w:ilvl="6" w:tplc="ABA42746">
      <w:start w:val="1"/>
      <w:numFmt w:val="bullet"/>
      <w:lvlText w:val=""/>
      <w:lvlJc w:val="left"/>
      <w:pPr>
        <w:ind w:left="720" w:hanging="360"/>
      </w:pPr>
      <w:rPr>
        <w:rFonts w:ascii="Symbol" w:hAnsi="Symbol"/>
      </w:rPr>
    </w:lvl>
    <w:lvl w:ilvl="7" w:tplc="EB9A3A5E">
      <w:start w:val="1"/>
      <w:numFmt w:val="bullet"/>
      <w:lvlText w:val=""/>
      <w:lvlJc w:val="left"/>
      <w:pPr>
        <w:ind w:left="720" w:hanging="360"/>
      </w:pPr>
      <w:rPr>
        <w:rFonts w:ascii="Symbol" w:hAnsi="Symbol"/>
      </w:rPr>
    </w:lvl>
    <w:lvl w:ilvl="8" w:tplc="8E782A9E">
      <w:start w:val="1"/>
      <w:numFmt w:val="bullet"/>
      <w:lvlText w:val=""/>
      <w:lvlJc w:val="left"/>
      <w:pPr>
        <w:ind w:left="720" w:hanging="360"/>
      </w:pPr>
      <w:rPr>
        <w:rFonts w:ascii="Symbol" w:hAnsi="Symbol"/>
      </w:rPr>
    </w:lvl>
  </w:abstractNum>
  <w:abstractNum w:abstractNumId="1" w15:restartNumberingAfterBreak="0">
    <w:nsid w:val="07E51A84"/>
    <w:multiLevelType w:val="multilevel"/>
    <w:tmpl w:val="2B688BE2"/>
    <w:lvl w:ilvl="0">
      <w:start w:val="1"/>
      <w:numFmt w:val="decimal"/>
      <w:pStyle w:val="zH1"/>
      <w:lvlText w:val="%1"/>
      <w:lvlJc w:val="left"/>
      <w:pPr>
        <w:tabs>
          <w:tab w:val="num" w:pos="1134"/>
        </w:tabs>
        <w:ind w:left="1134" w:hanging="1134"/>
      </w:pPr>
      <w:rPr>
        <w:rFonts w:ascii="Arial Bold" w:hAnsi="Arial Bold" w:hint="default"/>
        <w:b/>
        <w:i w:val="0"/>
      </w:rPr>
    </w:lvl>
    <w:lvl w:ilvl="1">
      <w:start w:val="1"/>
      <w:numFmt w:val="none"/>
      <w:lvlText w:val=""/>
      <w:lvlJc w:val="left"/>
      <w:pPr>
        <w:tabs>
          <w:tab w:val="num" w:pos="576"/>
        </w:tabs>
        <w:ind w:left="1134" w:hanging="1134"/>
      </w:pPr>
      <w:rPr>
        <w:rFonts w:ascii="Arial" w:hAnsi="Arial" w:hint="default"/>
      </w:rPr>
    </w:lvl>
    <w:lvl w:ilvl="2">
      <w:start w:val="1"/>
      <w:numFmt w:val="none"/>
      <w:lvlRestart w:val="0"/>
      <w:lvlText w:val=""/>
      <w:lvlJc w:val="left"/>
      <w:pPr>
        <w:tabs>
          <w:tab w:val="num" w:pos="720"/>
        </w:tabs>
        <w:ind w:left="1134" w:hanging="1134"/>
      </w:pPr>
      <w:rPr>
        <w:rFonts w:ascii="Times New Roman" w:hAnsi="Times New Roman" w:hint="default"/>
        <w:color w:val="808080"/>
        <w:sz w:val="20"/>
        <w:szCs w:val="20"/>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decimal"/>
      <w:lvlRestart w:val="1"/>
      <w:pStyle w:val="zNumPara"/>
      <w:lvlText w:val="%1.%9"/>
      <w:lvlJc w:val="left"/>
      <w:pPr>
        <w:tabs>
          <w:tab w:val="num" w:pos="1134"/>
        </w:tabs>
        <w:ind w:left="1134" w:hanging="1134"/>
      </w:pPr>
      <w:rPr>
        <w:rFonts w:ascii="Century Gothic" w:hAnsi="Century Gothic" w:hint="default"/>
        <w:b w:val="0"/>
        <w:i w:val="0"/>
        <w:sz w:val="24"/>
        <w:szCs w:val="24"/>
      </w:rPr>
    </w:lvl>
  </w:abstractNum>
  <w:abstractNum w:abstractNumId="2" w15:restartNumberingAfterBreak="0">
    <w:nsid w:val="0D1A3DD9"/>
    <w:multiLevelType w:val="hybridMultilevel"/>
    <w:tmpl w:val="EF287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954578"/>
    <w:multiLevelType w:val="hybridMultilevel"/>
    <w:tmpl w:val="B9EE9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C3862"/>
    <w:multiLevelType w:val="multilevel"/>
    <w:tmpl w:val="591A9E02"/>
    <w:lvl w:ilvl="0">
      <w:start w:val="1"/>
      <w:numFmt w:val="decimal"/>
      <w:pStyle w:val="Heading1"/>
      <w:lvlText w:val="%1.0"/>
      <w:lvlJc w:val="left"/>
      <w:pPr>
        <w:ind w:left="720" w:hanging="720"/>
      </w:pPr>
      <w:rPr>
        <w:rFonts w:hint="default"/>
      </w:rPr>
    </w:lvl>
    <w:lvl w:ilvl="1">
      <w:start w:val="1"/>
      <w:numFmt w:val="decimal"/>
      <w:lvlText w:val="%1.%2"/>
      <w:lvlJc w:val="left"/>
      <w:pPr>
        <w:ind w:left="152" w:hanging="720"/>
      </w:pPr>
      <w:rPr>
        <w:rFonts w:hint="default"/>
        <w:b w:val="0"/>
      </w:rPr>
    </w:lvl>
    <w:lvl w:ilvl="2">
      <w:start w:val="1"/>
      <w:numFmt w:val="decimal"/>
      <w:lvlText w:val="%1.%2.%3"/>
      <w:lvlJc w:val="left"/>
      <w:pPr>
        <w:ind w:left="1952" w:hanging="1080"/>
      </w:pPr>
      <w:rPr>
        <w:rFonts w:hint="default"/>
      </w:rPr>
    </w:lvl>
    <w:lvl w:ilvl="3">
      <w:start w:val="1"/>
      <w:numFmt w:val="decimal"/>
      <w:lvlText w:val="%1.%2.%3.%4"/>
      <w:lvlJc w:val="left"/>
      <w:pPr>
        <w:ind w:left="3032" w:hanging="1440"/>
      </w:pPr>
      <w:rPr>
        <w:rFonts w:hint="default"/>
      </w:rPr>
    </w:lvl>
    <w:lvl w:ilvl="4">
      <w:start w:val="1"/>
      <w:numFmt w:val="decimal"/>
      <w:lvlText w:val="%1.%2.%3.%4.%5"/>
      <w:lvlJc w:val="left"/>
      <w:pPr>
        <w:ind w:left="4112" w:hanging="1800"/>
      </w:pPr>
      <w:rPr>
        <w:rFonts w:hint="default"/>
      </w:rPr>
    </w:lvl>
    <w:lvl w:ilvl="5">
      <w:start w:val="1"/>
      <w:numFmt w:val="decimal"/>
      <w:lvlText w:val="%1.%2.%3.%4.%5.%6"/>
      <w:lvlJc w:val="left"/>
      <w:pPr>
        <w:ind w:left="5192" w:hanging="2160"/>
      </w:pPr>
      <w:rPr>
        <w:rFonts w:hint="default"/>
      </w:rPr>
    </w:lvl>
    <w:lvl w:ilvl="6">
      <w:start w:val="1"/>
      <w:numFmt w:val="decimal"/>
      <w:lvlText w:val="%1.%2.%3.%4.%5.%6.%7"/>
      <w:lvlJc w:val="left"/>
      <w:pPr>
        <w:ind w:left="6272" w:hanging="2520"/>
      </w:pPr>
      <w:rPr>
        <w:rFonts w:hint="default"/>
      </w:rPr>
    </w:lvl>
    <w:lvl w:ilvl="7">
      <w:start w:val="1"/>
      <w:numFmt w:val="decimal"/>
      <w:lvlText w:val="%1.%2.%3.%4.%5.%6.%7.%8"/>
      <w:lvlJc w:val="left"/>
      <w:pPr>
        <w:ind w:left="7352" w:hanging="2880"/>
      </w:pPr>
      <w:rPr>
        <w:rFonts w:hint="default"/>
      </w:rPr>
    </w:lvl>
    <w:lvl w:ilvl="8">
      <w:start w:val="1"/>
      <w:numFmt w:val="decimal"/>
      <w:lvlText w:val="%1.%2.%3.%4.%5.%6.%7.%8.%9"/>
      <w:lvlJc w:val="left"/>
      <w:pPr>
        <w:ind w:left="8432" w:hanging="3240"/>
      </w:pPr>
      <w:rPr>
        <w:rFonts w:hint="default"/>
      </w:rPr>
    </w:lvl>
  </w:abstractNum>
  <w:abstractNum w:abstractNumId="5" w15:restartNumberingAfterBreak="0">
    <w:nsid w:val="15470589"/>
    <w:multiLevelType w:val="multilevel"/>
    <w:tmpl w:val="94C84838"/>
    <w:lvl w:ilvl="0">
      <w:start w:val="1"/>
      <w:numFmt w:val="decimal"/>
      <w:lvlText w:val="%1.0"/>
      <w:lvlJc w:val="left"/>
      <w:pPr>
        <w:ind w:left="720" w:hanging="720"/>
      </w:pPr>
      <w:rPr>
        <w:rFonts w:hint="default"/>
      </w:rPr>
    </w:lvl>
    <w:lvl w:ilvl="1">
      <w:start w:val="1"/>
      <w:numFmt w:val="decimal"/>
      <w:lvlText w:val="%1.%2"/>
      <w:lvlJc w:val="left"/>
      <w:pPr>
        <w:ind w:left="1571" w:hanging="720"/>
      </w:pPr>
      <w:rPr>
        <w:rFonts w:hint="default"/>
        <w:b w:val="0"/>
        <w:sz w:val="24"/>
        <w:szCs w:val="24"/>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6" w15:restartNumberingAfterBreak="0">
    <w:nsid w:val="19E21DF0"/>
    <w:multiLevelType w:val="hybridMultilevel"/>
    <w:tmpl w:val="E654C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CF4844"/>
    <w:multiLevelType w:val="hybridMultilevel"/>
    <w:tmpl w:val="508C815C"/>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22135E21"/>
    <w:multiLevelType w:val="hybridMultilevel"/>
    <w:tmpl w:val="85FEFC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FA92E2E"/>
    <w:multiLevelType w:val="hybridMultilevel"/>
    <w:tmpl w:val="97FAB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A097C"/>
    <w:multiLevelType w:val="multilevel"/>
    <w:tmpl w:val="D5F23868"/>
    <w:lvl w:ilvl="0">
      <w:start w:val="1"/>
      <w:numFmt w:val="decimal"/>
      <w:pStyle w:val="ListNumber2"/>
      <w:lvlText w:val="%1."/>
      <w:lvlJc w:val="left"/>
      <w:pPr>
        <w:ind w:left="4046" w:hanging="360"/>
      </w:pPr>
    </w:lvl>
    <w:lvl w:ilvl="1">
      <w:start w:val="1"/>
      <w:numFmt w:val="decimal"/>
      <w:pStyle w:val="11NumPara"/>
      <w:lvlText w:val="%1.%2."/>
      <w:lvlJc w:val="left"/>
      <w:pPr>
        <w:ind w:left="857" w:hanging="432"/>
      </w:pPr>
      <w:rPr>
        <w:b w:val="0"/>
        <w:bCs w:val="0"/>
        <w:i w:val="0"/>
        <w:iCs w:val="0"/>
      </w:rPr>
    </w:lvl>
    <w:lvl w:ilvl="2">
      <w:start w:val="1"/>
      <w:numFmt w:val="decimal"/>
      <w:lvlText w:val="%1.%2.%3."/>
      <w:lvlJc w:val="left"/>
      <w:pPr>
        <w:ind w:left="4910" w:hanging="504"/>
      </w:pPr>
    </w:lvl>
    <w:lvl w:ilvl="3">
      <w:start w:val="1"/>
      <w:numFmt w:val="decimal"/>
      <w:lvlText w:val="%1.%2.%3.%4."/>
      <w:lvlJc w:val="left"/>
      <w:pPr>
        <w:ind w:left="5414" w:hanging="648"/>
      </w:pPr>
    </w:lvl>
    <w:lvl w:ilvl="4">
      <w:start w:val="1"/>
      <w:numFmt w:val="decimal"/>
      <w:lvlText w:val="%1.%2.%3.%4.%5."/>
      <w:lvlJc w:val="left"/>
      <w:pPr>
        <w:ind w:left="5918" w:hanging="792"/>
      </w:pPr>
    </w:lvl>
    <w:lvl w:ilvl="5">
      <w:start w:val="1"/>
      <w:numFmt w:val="decimal"/>
      <w:lvlText w:val="%1.%2.%3.%4.%5.%6."/>
      <w:lvlJc w:val="left"/>
      <w:pPr>
        <w:ind w:left="6422" w:hanging="936"/>
      </w:pPr>
    </w:lvl>
    <w:lvl w:ilvl="6">
      <w:start w:val="1"/>
      <w:numFmt w:val="decimal"/>
      <w:lvlText w:val="%1.%2.%3.%4.%5.%6.%7."/>
      <w:lvlJc w:val="left"/>
      <w:pPr>
        <w:ind w:left="6926" w:hanging="1080"/>
      </w:pPr>
    </w:lvl>
    <w:lvl w:ilvl="7">
      <w:start w:val="1"/>
      <w:numFmt w:val="decimal"/>
      <w:lvlText w:val="%1.%2.%3.%4.%5.%6.%7.%8."/>
      <w:lvlJc w:val="left"/>
      <w:pPr>
        <w:ind w:left="7430" w:hanging="1224"/>
      </w:pPr>
    </w:lvl>
    <w:lvl w:ilvl="8">
      <w:start w:val="1"/>
      <w:numFmt w:val="decimal"/>
      <w:lvlText w:val="%1.%2.%3.%4.%5.%6.%7.%8.%9."/>
      <w:lvlJc w:val="left"/>
      <w:pPr>
        <w:ind w:left="8006" w:hanging="1440"/>
      </w:pPr>
    </w:lvl>
  </w:abstractNum>
  <w:abstractNum w:abstractNumId="11" w15:restartNumberingAfterBreak="0">
    <w:nsid w:val="465E553A"/>
    <w:multiLevelType w:val="multilevel"/>
    <w:tmpl w:val="5B2298A0"/>
    <w:lvl w:ilvl="0">
      <w:numFmt w:val="none"/>
      <w:pStyle w:val="CommissionJuneHeading"/>
      <w:lvlText w:val=""/>
      <w:lvlJc w:val="left"/>
      <w:pPr>
        <w:tabs>
          <w:tab w:val="num" w:pos="360"/>
        </w:tabs>
      </w:pPr>
    </w:lvl>
    <w:lvl w:ilvl="1">
      <w:numFmt w:val="decimal"/>
      <w:pStyle w:val="CommissionJuneHeading"/>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rPr>
        <w:rFonts w:ascii="Arial" w:hAnsi="Arial" w:cs="Times New Roman" w:hint="default"/>
        <w:sz w:val="24"/>
        <w:szCs w:val="28"/>
        <w14:glow w14:rad="0">
          <w14:srgbClr w14:val="000000"/>
        </w14:glow>
        <w14:scene3d>
          <w14:camera w14:prst="orthographicFront"/>
          <w14:lightRig w14:rig="threePt" w14:dir="t">
            <w14:rot w14:lat="0" w14:lon="0" w14:rev="0"/>
          </w14:lightRig>
        </w14:scene3d>
      </w:rPr>
    </w:lvl>
    <w:lvl w:ilvl="8">
      <w:numFmt w:val="decimal"/>
      <w:lvlText w:val=""/>
      <w:lvlJc w:val="left"/>
    </w:lvl>
  </w:abstractNum>
  <w:abstractNum w:abstractNumId="12" w15:restartNumberingAfterBreak="0">
    <w:nsid w:val="4AF730DA"/>
    <w:multiLevelType w:val="hybridMultilevel"/>
    <w:tmpl w:val="AD0A0698"/>
    <w:lvl w:ilvl="0" w:tplc="FFFFFFFF">
      <w:start w:val="1"/>
      <w:numFmt w:val="decimal"/>
      <w:lvlText w:val="%1."/>
      <w:lvlJc w:val="left"/>
      <w:pPr>
        <w:ind w:left="12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5551AD"/>
    <w:multiLevelType w:val="hybridMultilevel"/>
    <w:tmpl w:val="BFF25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7C0459"/>
    <w:multiLevelType w:val="hybridMultilevel"/>
    <w:tmpl w:val="3A2AACF2"/>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5" w15:restartNumberingAfterBreak="0">
    <w:nsid w:val="539F2F9B"/>
    <w:multiLevelType w:val="hybridMultilevel"/>
    <w:tmpl w:val="2C8E9A46"/>
    <w:lvl w:ilvl="0" w:tplc="1CD09B52">
      <w:start w:val="1"/>
      <w:numFmt w:val="bullet"/>
      <w:lvlText w:val=""/>
      <w:lvlJc w:val="left"/>
      <w:pPr>
        <w:ind w:left="720" w:hanging="360"/>
      </w:pPr>
      <w:rPr>
        <w:rFonts w:ascii="Symbol" w:hAnsi="Symbol"/>
      </w:rPr>
    </w:lvl>
    <w:lvl w:ilvl="1" w:tplc="3352288E">
      <w:start w:val="1"/>
      <w:numFmt w:val="bullet"/>
      <w:lvlText w:val=""/>
      <w:lvlJc w:val="left"/>
      <w:pPr>
        <w:ind w:left="720" w:hanging="360"/>
      </w:pPr>
      <w:rPr>
        <w:rFonts w:ascii="Symbol" w:hAnsi="Symbol"/>
      </w:rPr>
    </w:lvl>
    <w:lvl w:ilvl="2" w:tplc="271E0060">
      <w:start w:val="1"/>
      <w:numFmt w:val="bullet"/>
      <w:lvlText w:val=""/>
      <w:lvlJc w:val="left"/>
      <w:pPr>
        <w:ind w:left="720" w:hanging="360"/>
      </w:pPr>
      <w:rPr>
        <w:rFonts w:ascii="Symbol" w:hAnsi="Symbol"/>
      </w:rPr>
    </w:lvl>
    <w:lvl w:ilvl="3" w:tplc="B3DED6C4">
      <w:start w:val="1"/>
      <w:numFmt w:val="bullet"/>
      <w:lvlText w:val=""/>
      <w:lvlJc w:val="left"/>
      <w:pPr>
        <w:ind w:left="720" w:hanging="360"/>
      </w:pPr>
      <w:rPr>
        <w:rFonts w:ascii="Symbol" w:hAnsi="Symbol"/>
      </w:rPr>
    </w:lvl>
    <w:lvl w:ilvl="4" w:tplc="CC16EE54">
      <w:start w:val="1"/>
      <w:numFmt w:val="bullet"/>
      <w:lvlText w:val=""/>
      <w:lvlJc w:val="left"/>
      <w:pPr>
        <w:ind w:left="720" w:hanging="360"/>
      </w:pPr>
      <w:rPr>
        <w:rFonts w:ascii="Symbol" w:hAnsi="Symbol"/>
      </w:rPr>
    </w:lvl>
    <w:lvl w:ilvl="5" w:tplc="AF98EB90">
      <w:start w:val="1"/>
      <w:numFmt w:val="bullet"/>
      <w:lvlText w:val=""/>
      <w:lvlJc w:val="left"/>
      <w:pPr>
        <w:ind w:left="720" w:hanging="360"/>
      </w:pPr>
      <w:rPr>
        <w:rFonts w:ascii="Symbol" w:hAnsi="Symbol"/>
      </w:rPr>
    </w:lvl>
    <w:lvl w:ilvl="6" w:tplc="8B64FEDE">
      <w:start w:val="1"/>
      <w:numFmt w:val="bullet"/>
      <w:lvlText w:val=""/>
      <w:lvlJc w:val="left"/>
      <w:pPr>
        <w:ind w:left="720" w:hanging="360"/>
      </w:pPr>
      <w:rPr>
        <w:rFonts w:ascii="Symbol" w:hAnsi="Symbol"/>
      </w:rPr>
    </w:lvl>
    <w:lvl w:ilvl="7" w:tplc="23A6E624">
      <w:start w:val="1"/>
      <w:numFmt w:val="bullet"/>
      <w:lvlText w:val=""/>
      <w:lvlJc w:val="left"/>
      <w:pPr>
        <w:ind w:left="720" w:hanging="360"/>
      </w:pPr>
      <w:rPr>
        <w:rFonts w:ascii="Symbol" w:hAnsi="Symbol"/>
      </w:rPr>
    </w:lvl>
    <w:lvl w:ilvl="8" w:tplc="8D7685F8">
      <w:start w:val="1"/>
      <w:numFmt w:val="bullet"/>
      <w:lvlText w:val=""/>
      <w:lvlJc w:val="left"/>
      <w:pPr>
        <w:ind w:left="720" w:hanging="360"/>
      </w:pPr>
      <w:rPr>
        <w:rFonts w:ascii="Symbol" w:hAnsi="Symbol"/>
      </w:rPr>
    </w:lvl>
  </w:abstractNum>
  <w:abstractNum w:abstractNumId="16" w15:restartNumberingAfterBreak="0">
    <w:nsid w:val="55DC17FF"/>
    <w:multiLevelType w:val="hybridMultilevel"/>
    <w:tmpl w:val="8D849BA2"/>
    <w:lvl w:ilvl="0" w:tplc="00506A7E">
      <w:start w:val="1"/>
      <w:numFmt w:val="bullet"/>
      <w:lvlText w:val=""/>
      <w:lvlJc w:val="left"/>
      <w:pPr>
        <w:ind w:left="1080" w:hanging="360"/>
      </w:pPr>
      <w:rPr>
        <w:rFonts w:ascii="Symbol" w:hAnsi="Symbol"/>
      </w:rPr>
    </w:lvl>
    <w:lvl w:ilvl="1" w:tplc="EFFC4D4A">
      <w:start w:val="1"/>
      <w:numFmt w:val="bullet"/>
      <w:lvlText w:val=""/>
      <w:lvlJc w:val="left"/>
      <w:pPr>
        <w:ind w:left="1080" w:hanging="360"/>
      </w:pPr>
      <w:rPr>
        <w:rFonts w:ascii="Symbol" w:hAnsi="Symbol"/>
      </w:rPr>
    </w:lvl>
    <w:lvl w:ilvl="2" w:tplc="9126DC82">
      <w:start w:val="1"/>
      <w:numFmt w:val="bullet"/>
      <w:lvlText w:val=""/>
      <w:lvlJc w:val="left"/>
      <w:pPr>
        <w:ind w:left="1080" w:hanging="360"/>
      </w:pPr>
      <w:rPr>
        <w:rFonts w:ascii="Symbol" w:hAnsi="Symbol"/>
      </w:rPr>
    </w:lvl>
    <w:lvl w:ilvl="3" w:tplc="E64A55AE">
      <w:start w:val="1"/>
      <w:numFmt w:val="bullet"/>
      <w:lvlText w:val=""/>
      <w:lvlJc w:val="left"/>
      <w:pPr>
        <w:ind w:left="1080" w:hanging="360"/>
      </w:pPr>
      <w:rPr>
        <w:rFonts w:ascii="Symbol" w:hAnsi="Symbol"/>
      </w:rPr>
    </w:lvl>
    <w:lvl w:ilvl="4" w:tplc="8CB8D644">
      <w:start w:val="1"/>
      <w:numFmt w:val="bullet"/>
      <w:lvlText w:val=""/>
      <w:lvlJc w:val="left"/>
      <w:pPr>
        <w:ind w:left="1080" w:hanging="360"/>
      </w:pPr>
      <w:rPr>
        <w:rFonts w:ascii="Symbol" w:hAnsi="Symbol"/>
      </w:rPr>
    </w:lvl>
    <w:lvl w:ilvl="5" w:tplc="8D9E7660">
      <w:start w:val="1"/>
      <w:numFmt w:val="bullet"/>
      <w:lvlText w:val=""/>
      <w:lvlJc w:val="left"/>
      <w:pPr>
        <w:ind w:left="1080" w:hanging="360"/>
      </w:pPr>
      <w:rPr>
        <w:rFonts w:ascii="Symbol" w:hAnsi="Symbol"/>
      </w:rPr>
    </w:lvl>
    <w:lvl w:ilvl="6" w:tplc="BB1CA274">
      <w:start w:val="1"/>
      <w:numFmt w:val="bullet"/>
      <w:lvlText w:val=""/>
      <w:lvlJc w:val="left"/>
      <w:pPr>
        <w:ind w:left="1080" w:hanging="360"/>
      </w:pPr>
      <w:rPr>
        <w:rFonts w:ascii="Symbol" w:hAnsi="Symbol"/>
      </w:rPr>
    </w:lvl>
    <w:lvl w:ilvl="7" w:tplc="B6A0B39C">
      <w:start w:val="1"/>
      <w:numFmt w:val="bullet"/>
      <w:lvlText w:val=""/>
      <w:lvlJc w:val="left"/>
      <w:pPr>
        <w:ind w:left="1080" w:hanging="360"/>
      </w:pPr>
      <w:rPr>
        <w:rFonts w:ascii="Symbol" w:hAnsi="Symbol"/>
      </w:rPr>
    </w:lvl>
    <w:lvl w:ilvl="8" w:tplc="DCB0DE94">
      <w:start w:val="1"/>
      <w:numFmt w:val="bullet"/>
      <w:lvlText w:val=""/>
      <w:lvlJc w:val="left"/>
      <w:pPr>
        <w:ind w:left="1080" w:hanging="360"/>
      </w:pPr>
      <w:rPr>
        <w:rFonts w:ascii="Symbol" w:hAnsi="Symbol"/>
      </w:rPr>
    </w:lvl>
  </w:abstractNum>
  <w:abstractNum w:abstractNumId="17" w15:restartNumberingAfterBreak="0">
    <w:nsid w:val="5BDC5367"/>
    <w:multiLevelType w:val="hybridMultilevel"/>
    <w:tmpl w:val="AD426C84"/>
    <w:lvl w:ilvl="0" w:tplc="282460C4">
      <w:start w:val="1"/>
      <w:numFmt w:val="decimal"/>
      <w:lvlText w:val="%1."/>
      <w:lvlJc w:val="left"/>
      <w:pPr>
        <w:ind w:left="1222" w:hanging="360"/>
      </w:pPr>
      <w:rPr>
        <w:rFonts w:hint="default"/>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18" w15:restartNumberingAfterBreak="0">
    <w:nsid w:val="5F2D15CC"/>
    <w:multiLevelType w:val="hybridMultilevel"/>
    <w:tmpl w:val="8818A576"/>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1960B2D"/>
    <w:multiLevelType w:val="hybridMultilevel"/>
    <w:tmpl w:val="DBA83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E34D40"/>
    <w:multiLevelType w:val="hybridMultilevel"/>
    <w:tmpl w:val="AD426C84"/>
    <w:lvl w:ilvl="0" w:tplc="FFFFFFFF">
      <w:start w:val="1"/>
      <w:numFmt w:val="decimal"/>
      <w:lvlText w:val="%1."/>
      <w:lvlJc w:val="left"/>
      <w:pPr>
        <w:ind w:left="1222" w:hanging="360"/>
      </w:pPr>
      <w:rPr>
        <w:rFonts w:hint="default"/>
      </w:rPr>
    </w:lvl>
    <w:lvl w:ilvl="1" w:tplc="FFFFFFFF" w:tentative="1">
      <w:start w:val="1"/>
      <w:numFmt w:val="lowerLetter"/>
      <w:lvlText w:val="%2."/>
      <w:lvlJc w:val="left"/>
      <w:pPr>
        <w:ind w:left="194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num w:numId="1" w16cid:durableId="643389172">
    <w:abstractNumId w:val="8"/>
  </w:num>
  <w:num w:numId="2" w16cid:durableId="659235792">
    <w:abstractNumId w:val="6"/>
  </w:num>
  <w:num w:numId="3" w16cid:durableId="942611352">
    <w:abstractNumId w:val="13"/>
  </w:num>
  <w:num w:numId="4" w16cid:durableId="472065652">
    <w:abstractNumId w:val="19"/>
  </w:num>
  <w:num w:numId="5" w16cid:durableId="1625650624">
    <w:abstractNumId w:val="2"/>
  </w:num>
  <w:num w:numId="6" w16cid:durableId="1844969958">
    <w:abstractNumId w:val="1"/>
  </w:num>
  <w:num w:numId="7" w16cid:durableId="1862626668">
    <w:abstractNumId w:val="5"/>
  </w:num>
  <w:num w:numId="8" w16cid:durableId="324867684">
    <w:abstractNumId w:val="10"/>
  </w:num>
  <w:num w:numId="9" w16cid:durableId="1545677967">
    <w:abstractNumId w:val="9"/>
  </w:num>
  <w:num w:numId="10" w16cid:durableId="1653177577">
    <w:abstractNumId w:val="18"/>
  </w:num>
  <w:num w:numId="11" w16cid:durableId="1509952006">
    <w:abstractNumId w:val="4"/>
  </w:num>
  <w:num w:numId="12" w16cid:durableId="999505511">
    <w:abstractNumId w:val="17"/>
  </w:num>
  <w:num w:numId="13" w16cid:durableId="1390766332">
    <w:abstractNumId w:val="20"/>
  </w:num>
  <w:num w:numId="14" w16cid:durableId="126362721">
    <w:abstractNumId w:val="12"/>
  </w:num>
  <w:num w:numId="15" w16cid:durableId="267546361">
    <w:abstractNumId w:val="3"/>
  </w:num>
  <w:num w:numId="16" w16cid:durableId="1026449566">
    <w:abstractNumId w:val="11"/>
  </w:num>
  <w:num w:numId="17" w16cid:durableId="1187600710">
    <w:abstractNumId w:val="7"/>
  </w:num>
  <w:num w:numId="18" w16cid:durableId="319041541">
    <w:abstractNumId w:val="15"/>
  </w:num>
  <w:num w:numId="19" w16cid:durableId="704328098">
    <w:abstractNumId w:val="16"/>
  </w:num>
  <w:num w:numId="20" w16cid:durableId="986670922">
    <w:abstractNumId w:val="0"/>
  </w:num>
  <w:num w:numId="21" w16cid:durableId="16731384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32"/>
    <w:rsid w:val="00000705"/>
    <w:rsid w:val="000007B8"/>
    <w:rsid w:val="00000B81"/>
    <w:rsid w:val="00000C3D"/>
    <w:rsid w:val="00000E22"/>
    <w:rsid w:val="000010D0"/>
    <w:rsid w:val="00001B11"/>
    <w:rsid w:val="00003C98"/>
    <w:rsid w:val="000042B6"/>
    <w:rsid w:val="00004B71"/>
    <w:rsid w:val="0000645C"/>
    <w:rsid w:val="000072E3"/>
    <w:rsid w:val="00010122"/>
    <w:rsid w:val="000102E7"/>
    <w:rsid w:val="00010E5E"/>
    <w:rsid w:val="00010EA5"/>
    <w:rsid w:val="00011863"/>
    <w:rsid w:val="00011D80"/>
    <w:rsid w:val="00011F37"/>
    <w:rsid w:val="00012F12"/>
    <w:rsid w:val="00013787"/>
    <w:rsid w:val="00013AAB"/>
    <w:rsid w:val="000154B6"/>
    <w:rsid w:val="000155E2"/>
    <w:rsid w:val="0001604D"/>
    <w:rsid w:val="000161B8"/>
    <w:rsid w:val="000162AE"/>
    <w:rsid w:val="000163DD"/>
    <w:rsid w:val="0001666C"/>
    <w:rsid w:val="0001679F"/>
    <w:rsid w:val="000167D4"/>
    <w:rsid w:val="00016C55"/>
    <w:rsid w:val="0001746F"/>
    <w:rsid w:val="00017BD3"/>
    <w:rsid w:val="00020D1B"/>
    <w:rsid w:val="00021C06"/>
    <w:rsid w:val="0002201C"/>
    <w:rsid w:val="00023472"/>
    <w:rsid w:val="000241DE"/>
    <w:rsid w:val="000243D5"/>
    <w:rsid w:val="00024C80"/>
    <w:rsid w:val="00025434"/>
    <w:rsid w:val="000255D4"/>
    <w:rsid w:val="00025E7A"/>
    <w:rsid w:val="000262CF"/>
    <w:rsid w:val="00027BCD"/>
    <w:rsid w:val="00030409"/>
    <w:rsid w:val="00030447"/>
    <w:rsid w:val="00030AD9"/>
    <w:rsid w:val="000321EC"/>
    <w:rsid w:val="000328C6"/>
    <w:rsid w:val="00032A1E"/>
    <w:rsid w:val="00034732"/>
    <w:rsid w:val="000348D5"/>
    <w:rsid w:val="00034B83"/>
    <w:rsid w:val="0003504F"/>
    <w:rsid w:val="0003505D"/>
    <w:rsid w:val="0003714D"/>
    <w:rsid w:val="0003763C"/>
    <w:rsid w:val="0003779A"/>
    <w:rsid w:val="00040479"/>
    <w:rsid w:val="000407DD"/>
    <w:rsid w:val="000412AC"/>
    <w:rsid w:val="000413DE"/>
    <w:rsid w:val="00042097"/>
    <w:rsid w:val="00043196"/>
    <w:rsid w:val="000434E4"/>
    <w:rsid w:val="000447ED"/>
    <w:rsid w:val="00045C26"/>
    <w:rsid w:val="00046E89"/>
    <w:rsid w:val="00047DB9"/>
    <w:rsid w:val="0005043A"/>
    <w:rsid w:val="00050990"/>
    <w:rsid w:val="00051641"/>
    <w:rsid w:val="00052395"/>
    <w:rsid w:val="000579B4"/>
    <w:rsid w:val="00060278"/>
    <w:rsid w:val="000608C3"/>
    <w:rsid w:val="000616D4"/>
    <w:rsid w:val="000631AA"/>
    <w:rsid w:val="000646A4"/>
    <w:rsid w:val="0006562F"/>
    <w:rsid w:val="0007029B"/>
    <w:rsid w:val="000721EB"/>
    <w:rsid w:val="00072C41"/>
    <w:rsid w:val="0007375D"/>
    <w:rsid w:val="00077037"/>
    <w:rsid w:val="00077389"/>
    <w:rsid w:val="00077DD3"/>
    <w:rsid w:val="00080948"/>
    <w:rsid w:val="0008110A"/>
    <w:rsid w:val="0008180B"/>
    <w:rsid w:val="00081A80"/>
    <w:rsid w:val="00081B63"/>
    <w:rsid w:val="00083EBD"/>
    <w:rsid w:val="0008417E"/>
    <w:rsid w:val="0008487F"/>
    <w:rsid w:val="00084C19"/>
    <w:rsid w:val="000858C7"/>
    <w:rsid w:val="0008663B"/>
    <w:rsid w:val="000879A5"/>
    <w:rsid w:val="00087F41"/>
    <w:rsid w:val="000908FC"/>
    <w:rsid w:val="00090E2E"/>
    <w:rsid w:val="00091656"/>
    <w:rsid w:val="00091F75"/>
    <w:rsid w:val="000925C8"/>
    <w:rsid w:val="0009324A"/>
    <w:rsid w:val="0009334E"/>
    <w:rsid w:val="000935B0"/>
    <w:rsid w:val="000940CE"/>
    <w:rsid w:val="000950F8"/>
    <w:rsid w:val="00095579"/>
    <w:rsid w:val="0009596D"/>
    <w:rsid w:val="00096018"/>
    <w:rsid w:val="00096979"/>
    <w:rsid w:val="00096FCA"/>
    <w:rsid w:val="000A0119"/>
    <w:rsid w:val="000A0343"/>
    <w:rsid w:val="000A233A"/>
    <w:rsid w:val="000A6243"/>
    <w:rsid w:val="000A7F3B"/>
    <w:rsid w:val="000B0CEB"/>
    <w:rsid w:val="000B0E7D"/>
    <w:rsid w:val="000B0EA9"/>
    <w:rsid w:val="000B168D"/>
    <w:rsid w:val="000B29C1"/>
    <w:rsid w:val="000B32DA"/>
    <w:rsid w:val="000B3F71"/>
    <w:rsid w:val="000B40BA"/>
    <w:rsid w:val="000B4882"/>
    <w:rsid w:val="000B4A86"/>
    <w:rsid w:val="000B4BF3"/>
    <w:rsid w:val="000B51C0"/>
    <w:rsid w:val="000B6405"/>
    <w:rsid w:val="000B7553"/>
    <w:rsid w:val="000C072A"/>
    <w:rsid w:val="000C08E4"/>
    <w:rsid w:val="000C0A86"/>
    <w:rsid w:val="000C0CAD"/>
    <w:rsid w:val="000C1701"/>
    <w:rsid w:val="000C329E"/>
    <w:rsid w:val="000C5332"/>
    <w:rsid w:val="000C5618"/>
    <w:rsid w:val="000C689F"/>
    <w:rsid w:val="000C7130"/>
    <w:rsid w:val="000D015B"/>
    <w:rsid w:val="000D19B6"/>
    <w:rsid w:val="000D237C"/>
    <w:rsid w:val="000D23A3"/>
    <w:rsid w:val="000D2D95"/>
    <w:rsid w:val="000D43F9"/>
    <w:rsid w:val="000D466B"/>
    <w:rsid w:val="000D5641"/>
    <w:rsid w:val="000D5E85"/>
    <w:rsid w:val="000D66FA"/>
    <w:rsid w:val="000D723E"/>
    <w:rsid w:val="000D780C"/>
    <w:rsid w:val="000E0FEE"/>
    <w:rsid w:val="000E1E7C"/>
    <w:rsid w:val="000E20F6"/>
    <w:rsid w:val="000E2115"/>
    <w:rsid w:val="000E22E7"/>
    <w:rsid w:val="000E3339"/>
    <w:rsid w:val="000E3E02"/>
    <w:rsid w:val="000E4300"/>
    <w:rsid w:val="000E4BC1"/>
    <w:rsid w:val="000E559C"/>
    <w:rsid w:val="000E5F4D"/>
    <w:rsid w:val="000E6CF7"/>
    <w:rsid w:val="000E6DDD"/>
    <w:rsid w:val="000E6E6F"/>
    <w:rsid w:val="000E749B"/>
    <w:rsid w:val="000E7F8D"/>
    <w:rsid w:val="000F0702"/>
    <w:rsid w:val="000F0CDD"/>
    <w:rsid w:val="000F26CD"/>
    <w:rsid w:val="000F312F"/>
    <w:rsid w:val="000F32A2"/>
    <w:rsid w:val="000F44BC"/>
    <w:rsid w:val="000F4E6B"/>
    <w:rsid w:val="000F5AB9"/>
    <w:rsid w:val="000F5B39"/>
    <w:rsid w:val="000F650B"/>
    <w:rsid w:val="000F693C"/>
    <w:rsid w:val="000F6E34"/>
    <w:rsid w:val="000F70FD"/>
    <w:rsid w:val="000F71B2"/>
    <w:rsid w:val="000F733A"/>
    <w:rsid w:val="000F7FB3"/>
    <w:rsid w:val="00100948"/>
    <w:rsid w:val="00103B21"/>
    <w:rsid w:val="001041FF"/>
    <w:rsid w:val="00104698"/>
    <w:rsid w:val="00106431"/>
    <w:rsid w:val="001078F4"/>
    <w:rsid w:val="00107DD8"/>
    <w:rsid w:val="001104B4"/>
    <w:rsid w:val="00110562"/>
    <w:rsid w:val="00110848"/>
    <w:rsid w:val="0011170F"/>
    <w:rsid w:val="00111F1C"/>
    <w:rsid w:val="0011365E"/>
    <w:rsid w:val="00114E7C"/>
    <w:rsid w:val="00114F16"/>
    <w:rsid w:val="00115826"/>
    <w:rsid w:val="00116F3D"/>
    <w:rsid w:val="0011718E"/>
    <w:rsid w:val="00120987"/>
    <w:rsid w:val="00121055"/>
    <w:rsid w:val="00121237"/>
    <w:rsid w:val="001217EC"/>
    <w:rsid w:val="00122360"/>
    <w:rsid w:val="00122E84"/>
    <w:rsid w:val="0012404D"/>
    <w:rsid w:val="00125432"/>
    <w:rsid w:val="0012546F"/>
    <w:rsid w:val="00126960"/>
    <w:rsid w:val="0012699E"/>
    <w:rsid w:val="00126DD8"/>
    <w:rsid w:val="00126ED7"/>
    <w:rsid w:val="00130B47"/>
    <w:rsid w:val="00131563"/>
    <w:rsid w:val="00131ABA"/>
    <w:rsid w:val="001327B2"/>
    <w:rsid w:val="001328C2"/>
    <w:rsid w:val="001330AE"/>
    <w:rsid w:val="001333F8"/>
    <w:rsid w:val="00133EF2"/>
    <w:rsid w:val="00134E3D"/>
    <w:rsid w:val="00135731"/>
    <w:rsid w:val="00135D70"/>
    <w:rsid w:val="00135D78"/>
    <w:rsid w:val="00135EB8"/>
    <w:rsid w:val="001370AD"/>
    <w:rsid w:val="0014056B"/>
    <w:rsid w:val="00140C73"/>
    <w:rsid w:val="00141637"/>
    <w:rsid w:val="00141968"/>
    <w:rsid w:val="00141DBD"/>
    <w:rsid w:val="001428CD"/>
    <w:rsid w:val="0014414B"/>
    <w:rsid w:val="001448E1"/>
    <w:rsid w:val="001450D3"/>
    <w:rsid w:val="00145326"/>
    <w:rsid w:val="00147A52"/>
    <w:rsid w:val="00147E45"/>
    <w:rsid w:val="00147FE1"/>
    <w:rsid w:val="00150A86"/>
    <w:rsid w:val="0015147D"/>
    <w:rsid w:val="0015211A"/>
    <w:rsid w:val="001523F1"/>
    <w:rsid w:val="00152D3E"/>
    <w:rsid w:val="0015302B"/>
    <w:rsid w:val="00153D06"/>
    <w:rsid w:val="00155478"/>
    <w:rsid w:val="00155D8C"/>
    <w:rsid w:val="001567CF"/>
    <w:rsid w:val="00156924"/>
    <w:rsid w:val="0015702F"/>
    <w:rsid w:val="00157716"/>
    <w:rsid w:val="00160F7C"/>
    <w:rsid w:val="001617D2"/>
    <w:rsid w:val="001629F8"/>
    <w:rsid w:val="00163239"/>
    <w:rsid w:val="00163A67"/>
    <w:rsid w:val="0016439F"/>
    <w:rsid w:val="0016502A"/>
    <w:rsid w:val="00165394"/>
    <w:rsid w:val="001654DB"/>
    <w:rsid w:val="001662C9"/>
    <w:rsid w:val="0017002D"/>
    <w:rsid w:val="00170C1F"/>
    <w:rsid w:val="00171155"/>
    <w:rsid w:val="001711EB"/>
    <w:rsid w:val="00171745"/>
    <w:rsid w:val="00173295"/>
    <w:rsid w:val="00174BA4"/>
    <w:rsid w:val="0017569D"/>
    <w:rsid w:val="001756F3"/>
    <w:rsid w:val="00176BE2"/>
    <w:rsid w:val="0017725E"/>
    <w:rsid w:val="001772A4"/>
    <w:rsid w:val="00177391"/>
    <w:rsid w:val="00177D01"/>
    <w:rsid w:val="001802C9"/>
    <w:rsid w:val="001803B8"/>
    <w:rsid w:val="00180A01"/>
    <w:rsid w:val="001818D2"/>
    <w:rsid w:val="00182B58"/>
    <w:rsid w:val="00182CF9"/>
    <w:rsid w:val="00183824"/>
    <w:rsid w:val="001841B9"/>
    <w:rsid w:val="00184A3C"/>
    <w:rsid w:val="00184B38"/>
    <w:rsid w:val="00185691"/>
    <w:rsid w:val="00186B74"/>
    <w:rsid w:val="00187251"/>
    <w:rsid w:val="001879D0"/>
    <w:rsid w:val="00190CDA"/>
    <w:rsid w:val="0019117B"/>
    <w:rsid w:val="001912EB"/>
    <w:rsid w:val="00191342"/>
    <w:rsid w:val="00192525"/>
    <w:rsid w:val="00193080"/>
    <w:rsid w:val="00193AFD"/>
    <w:rsid w:val="001943EE"/>
    <w:rsid w:val="0019458B"/>
    <w:rsid w:val="001950C3"/>
    <w:rsid w:val="001955CE"/>
    <w:rsid w:val="00195678"/>
    <w:rsid w:val="00195780"/>
    <w:rsid w:val="0019677F"/>
    <w:rsid w:val="0019684A"/>
    <w:rsid w:val="001977A2"/>
    <w:rsid w:val="00197852"/>
    <w:rsid w:val="00197B35"/>
    <w:rsid w:val="001A0C97"/>
    <w:rsid w:val="001A1108"/>
    <w:rsid w:val="001A1289"/>
    <w:rsid w:val="001A19A6"/>
    <w:rsid w:val="001A2BE6"/>
    <w:rsid w:val="001A5830"/>
    <w:rsid w:val="001A644E"/>
    <w:rsid w:val="001A6498"/>
    <w:rsid w:val="001A6B73"/>
    <w:rsid w:val="001A6F46"/>
    <w:rsid w:val="001A7C93"/>
    <w:rsid w:val="001B120B"/>
    <w:rsid w:val="001B16F8"/>
    <w:rsid w:val="001B17BA"/>
    <w:rsid w:val="001B1E56"/>
    <w:rsid w:val="001B2383"/>
    <w:rsid w:val="001B2B84"/>
    <w:rsid w:val="001B3EEC"/>
    <w:rsid w:val="001B485B"/>
    <w:rsid w:val="001B5406"/>
    <w:rsid w:val="001B5FF7"/>
    <w:rsid w:val="001B68E1"/>
    <w:rsid w:val="001B765E"/>
    <w:rsid w:val="001B7D3C"/>
    <w:rsid w:val="001C1938"/>
    <w:rsid w:val="001C3261"/>
    <w:rsid w:val="001C338A"/>
    <w:rsid w:val="001C3862"/>
    <w:rsid w:val="001C498E"/>
    <w:rsid w:val="001C50F9"/>
    <w:rsid w:val="001C5DC8"/>
    <w:rsid w:val="001D0AE6"/>
    <w:rsid w:val="001D1D1A"/>
    <w:rsid w:val="001D21C3"/>
    <w:rsid w:val="001D2A1F"/>
    <w:rsid w:val="001D2BF7"/>
    <w:rsid w:val="001D34E3"/>
    <w:rsid w:val="001D3E0F"/>
    <w:rsid w:val="001D3EAE"/>
    <w:rsid w:val="001D43A5"/>
    <w:rsid w:val="001D4E82"/>
    <w:rsid w:val="001D567E"/>
    <w:rsid w:val="001D584A"/>
    <w:rsid w:val="001D68D2"/>
    <w:rsid w:val="001D7376"/>
    <w:rsid w:val="001E118F"/>
    <w:rsid w:val="001E142E"/>
    <w:rsid w:val="001E17B0"/>
    <w:rsid w:val="001E1CF9"/>
    <w:rsid w:val="001E513E"/>
    <w:rsid w:val="001E54DB"/>
    <w:rsid w:val="001E5607"/>
    <w:rsid w:val="001E5CF1"/>
    <w:rsid w:val="001E5DCF"/>
    <w:rsid w:val="001E63C2"/>
    <w:rsid w:val="001E6D70"/>
    <w:rsid w:val="001F0E4E"/>
    <w:rsid w:val="001F13C5"/>
    <w:rsid w:val="001F16BC"/>
    <w:rsid w:val="001F16E4"/>
    <w:rsid w:val="001F2265"/>
    <w:rsid w:val="001F2C4E"/>
    <w:rsid w:val="001F2F32"/>
    <w:rsid w:val="001F336C"/>
    <w:rsid w:val="001F3E1B"/>
    <w:rsid w:val="001F4112"/>
    <w:rsid w:val="001F5259"/>
    <w:rsid w:val="001F6922"/>
    <w:rsid w:val="001F7597"/>
    <w:rsid w:val="001F7E7F"/>
    <w:rsid w:val="00200216"/>
    <w:rsid w:val="002009BB"/>
    <w:rsid w:val="00200A0E"/>
    <w:rsid w:val="00202497"/>
    <w:rsid w:val="00202E8B"/>
    <w:rsid w:val="002032A5"/>
    <w:rsid w:val="0020455F"/>
    <w:rsid w:val="00204B23"/>
    <w:rsid w:val="00204C15"/>
    <w:rsid w:val="002052D3"/>
    <w:rsid w:val="00205551"/>
    <w:rsid w:val="00205D22"/>
    <w:rsid w:val="00206321"/>
    <w:rsid w:val="002064B8"/>
    <w:rsid w:val="00207EC3"/>
    <w:rsid w:val="00210333"/>
    <w:rsid w:val="00210860"/>
    <w:rsid w:val="00210986"/>
    <w:rsid w:val="00210F00"/>
    <w:rsid w:val="00211152"/>
    <w:rsid w:val="00211235"/>
    <w:rsid w:val="00212142"/>
    <w:rsid w:val="002122AC"/>
    <w:rsid w:val="00212737"/>
    <w:rsid w:val="002129DE"/>
    <w:rsid w:val="00212F0A"/>
    <w:rsid w:val="00213035"/>
    <w:rsid w:val="00213276"/>
    <w:rsid w:val="00213A3B"/>
    <w:rsid w:val="00214733"/>
    <w:rsid w:val="00215613"/>
    <w:rsid w:val="002158EE"/>
    <w:rsid w:val="002165F9"/>
    <w:rsid w:val="00216758"/>
    <w:rsid w:val="00217015"/>
    <w:rsid w:val="0021770D"/>
    <w:rsid w:val="00220ED4"/>
    <w:rsid w:val="002227FC"/>
    <w:rsid w:val="002241AC"/>
    <w:rsid w:val="002253CC"/>
    <w:rsid w:val="002255E8"/>
    <w:rsid w:val="00225BE3"/>
    <w:rsid w:val="00225E2B"/>
    <w:rsid w:val="00227108"/>
    <w:rsid w:val="00227E10"/>
    <w:rsid w:val="00230A19"/>
    <w:rsid w:val="00230E2D"/>
    <w:rsid w:val="00230EFD"/>
    <w:rsid w:val="00231525"/>
    <w:rsid w:val="00231DA0"/>
    <w:rsid w:val="00231DE4"/>
    <w:rsid w:val="00233F90"/>
    <w:rsid w:val="002356BD"/>
    <w:rsid w:val="00235C4F"/>
    <w:rsid w:val="002361AB"/>
    <w:rsid w:val="002361C1"/>
    <w:rsid w:val="002363D4"/>
    <w:rsid w:val="0023685E"/>
    <w:rsid w:val="00241091"/>
    <w:rsid w:val="0024164B"/>
    <w:rsid w:val="00241B72"/>
    <w:rsid w:val="00243989"/>
    <w:rsid w:val="0024436A"/>
    <w:rsid w:val="00245C0C"/>
    <w:rsid w:val="00245CA0"/>
    <w:rsid w:val="00246358"/>
    <w:rsid w:val="002464B3"/>
    <w:rsid w:val="00247291"/>
    <w:rsid w:val="00247E01"/>
    <w:rsid w:val="002501C7"/>
    <w:rsid w:val="002507C9"/>
    <w:rsid w:val="00252BFC"/>
    <w:rsid w:val="002533E2"/>
    <w:rsid w:val="00254925"/>
    <w:rsid w:val="00255BDF"/>
    <w:rsid w:val="00255FE4"/>
    <w:rsid w:val="002565BE"/>
    <w:rsid w:val="0026074D"/>
    <w:rsid w:val="002612BA"/>
    <w:rsid w:val="00261C60"/>
    <w:rsid w:val="002620DF"/>
    <w:rsid w:val="0026394B"/>
    <w:rsid w:val="00265142"/>
    <w:rsid w:val="0026522E"/>
    <w:rsid w:val="0026573B"/>
    <w:rsid w:val="002662F5"/>
    <w:rsid w:val="002664F5"/>
    <w:rsid w:val="0026697D"/>
    <w:rsid w:val="00266F36"/>
    <w:rsid w:val="00267015"/>
    <w:rsid w:val="00270530"/>
    <w:rsid w:val="0027083A"/>
    <w:rsid w:val="00271C29"/>
    <w:rsid w:val="00272A5E"/>
    <w:rsid w:val="002744B3"/>
    <w:rsid w:val="002754E7"/>
    <w:rsid w:val="0027643D"/>
    <w:rsid w:val="00276D91"/>
    <w:rsid w:val="00277165"/>
    <w:rsid w:val="00277571"/>
    <w:rsid w:val="0027774C"/>
    <w:rsid w:val="00280751"/>
    <w:rsid w:val="002807E9"/>
    <w:rsid w:val="002826B2"/>
    <w:rsid w:val="0028270B"/>
    <w:rsid w:val="00282F88"/>
    <w:rsid w:val="002830B3"/>
    <w:rsid w:val="00283110"/>
    <w:rsid w:val="00284820"/>
    <w:rsid w:val="002852E9"/>
    <w:rsid w:val="0028589E"/>
    <w:rsid w:val="00285BB7"/>
    <w:rsid w:val="00285EBE"/>
    <w:rsid w:val="002872AA"/>
    <w:rsid w:val="00287413"/>
    <w:rsid w:val="00287CF3"/>
    <w:rsid w:val="00290CDA"/>
    <w:rsid w:val="0029161A"/>
    <w:rsid w:val="00291A15"/>
    <w:rsid w:val="0029261C"/>
    <w:rsid w:val="00292B80"/>
    <w:rsid w:val="00292CF1"/>
    <w:rsid w:val="0029357F"/>
    <w:rsid w:val="0029402C"/>
    <w:rsid w:val="002941B5"/>
    <w:rsid w:val="002942FA"/>
    <w:rsid w:val="00294965"/>
    <w:rsid w:val="00294AEB"/>
    <w:rsid w:val="00294C72"/>
    <w:rsid w:val="0029522C"/>
    <w:rsid w:val="002952D1"/>
    <w:rsid w:val="002954D0"/>
    <w:rsid w:val="00295AC9"/>
    <w:rsid w:val="00296711"/>
    <w:rsid w:val="002A0F2D"/>
    <w:rsid w:val="002A1D7D"/>
    <w:rsid w:val="002A2727"/>
    <w:rsid w:val="002A30F4"/>
    <w:rsid w:val="002A33F0"/>
    <w:rsid w:val="002A3B42"/>
    <w:rsid w:val="002A4280"/>
    <w:rsid w:val="002A468F"/>
    <w:rsid w:val="002A55F1"/>
    <w:rsid w:val="002A5B6D"/>
    <w:rsid w:val="002B105F"/>
    <w:rsid w:val="002B10F5"/>
    <w:rsid w:val="002B116F"/>
    <w:rsid w:val="002B1218"/>
    <w:rsid w:val="002B1A2A"/>
    <w:rsid w:val="002B2AB5"/>
    <w:rsid w:val="002B2B6C"/>
    <w:rsid w:val="002B3717"/>
    <w:rsid w:val="002B376C"/>
    <w:rsid w:val="002B4F51"/>
    <w:rsid w:val="002C05B4"/>
    <w:rsid w:val="002C0C55"/>
    <w:rsid w:val="002C0F7D"/>
    <w:rsid w:val="002C0F8B"/>
    <w:rsid w:val="002C126F"/>
    <w:rsid w:val="002C12EA"/>
    <w:rsid w:val="002C278C"/>
    <w:rsid w:val="002C2A12"/>
    <w:rsid w:val="002C2F7A"/>
    <w:rsid w:val="002C37FF"/>
    <w:rsid w:val="002C3E6A"/>
    <w:rsid w:val="002C4B2D"/>
    <w:rsid w:val="002C5073"/>
    <w:rsid w:val="002C5410"/>
    <w:rsid w:val="002C55BD"/>
    <w:rsid w:val="002C5930"/>
    <w:rsid w:val="002C6B5C"/>
    <w:rsid w:val="002D00FA"/>
    <w:rsid w:val="002D053A"/>
    <w:rsid w:val="002D21A8"/>
    <w:rsid w:val="002D24A6"/>
    <w:rsid w:val="002D2981"/>
    <w:rsid w:val="002D36C4"/>
    <w:rsid w:val="002D4A12"/>
    <w:rsid w:val="002D54E9"/>
    <w:rsid w:val="002D5574"/>
    <w:rsid w:val="002D6343"/>
    <w:rsid w:val="002D6A0F"/>
    <w:rsid w:val="002D6D40"/>
    <w:rsid w:val="002D7281"/>
    <w:rsid w:val="002D7BE1"/>
    <w:rsid w:val="002D7D52"/>
    <w:rsid w:val="002E06F2"/>
    <w:rsid w:val="002E226B"/>
    <w:rsid w:val="002E2277"/>
    <w:rsid w:val="002E2801"/>
    <w:rsid w:val="002E3360"/>
    <w:rsid w:val="002E3FD3"/>
    <w:rsid w:val="002E4C11"/>
    <w:rsid w:val="002E52E1"/>
    <w:rsid w:val="002E54A8"/>
    <w:rsid w:val="002E5AE7"/>
    <w:rsid w:val="002E6DA6"/>
    <w:rsid w:val="002E7196"/>
    <w:rsid w:val="002E7B03"/>
    <w:rsid w:val="002E7E49"/>
    <w:rsid w:val="002F0994"/>
    <w:rsid w:val="002F09C4"/>
    <w:rsid w:val="002F1279"/>
    <w:rsid w:val="002F191E"/>
    <w:rsid w:val="002F309A"/>
    <w:rsid w:val="002F33AC"/>
    <w:rsid w:val="002F36E1"/>
    <w:rsid w:val="002F38E8"/>
    <w:rsid w:val="002F3BC9"/>
    <w:rsid w:val="002F5046"/>
    <w:rsid w:val="002F589C"/>
    <w:rsid w:val="002F61A3"/>
    <w:rsid w:val="002F62B7"/>
    <w:rsid w:val="002F6A8F"/>
    <w:rsid w:val="002F6EFC"/>
    <w:rsid w:val="002F6F03"/>
    <w:rsid w:val="002F71A2"/>
    <w:rsid w:val="002F7D1C"/>
    <w:rsid w:val="002F7ED6"/>
    <w:rsid w:val="003001A4"/>
    <w:rsid w:val="00300E2B"/>
    <w:rsid w:val="00301B23"/>
    <w:rsid w:val="00301DEC"/>
    <w:rsid w:val="00302B64"/>
    <w:rsid w:val="003032FB"/>
    <w:rsid w:val="003034DF"/>
    <w:rsid w:val="00303D0C"/>
    <w:rsid w:val="00303D7E"/>
    <w:rsid w:val="00303D9F"/>
    <w:rsid w:val="0030428E"/>
    <w:rsid w:val="003042B3"/>
    <w:rsid w:val="00304627"/>
    <w:rsid w:val="00304DC3"/>
    <w:rsid w:val="0030553B"/>
    <w:rsid w:val="00305971"/>
    <w:rsid w:val="00305DC5"/>
    <w:rsid w:val="003105D9"/>
    <w:rsid w:val="0031096E"/>
    <w:rsid w:val="00311084"/>
    <w:rsid w:val="003118FF"/>
    <w:rsid w:val="00313538"/>
    <w:rsid w:val="00313A60"/>
    <w:rsid w:val="00313C2B"/>
    <w:rsid w:val="00313DC4"/>
    <w:rsid w:val="0031416C"/>
    <w:rsid w:val="00314435"/>
    <w:rsid w:val="003157C3"/>
    <w:rsid w:val="00315821"/>
    <w:rsid w:val="003163D6"/>
    <w:rsid w:val="00316571"/>
    <w:rsid w:val="00317142"/>
    <w:rsid w:val="00317201"/>
    <w:rsid w:val="0032180A"/>
    <w:rsid w:val="00322902"/>
    <w:rsid w:val="00322C99"/>
    <w:rsid w:val="00323D90"/>
    <w:rsid w:val="0032600F"/>
    <w:rsid w:val="0033066B"/>
    <w:rsid w:val="003312AD"/>
    <w:rsid w:val="00332DD1"/>
    <w:rsid w:val="00333423"/>
    <w:rsid w:val="00333451"/>
    <w:rsid w:val="00333762"/>
    <w:rsid w:val="00333EF1"/>
    <w:rsid w:val="00333F06"/>
    <w:rsid w:val="0033453F"/>
    <w:rsid w:val="003347C1"/>
    <w:rsid w:val="003368A5"/>
    <w:rsid w:val="00340C64"/>
    <w:rsid w:val="003414AA"/>
    <w:rsid w:val="00341DED"/>
    <w:rsid w:val="00342A8B"/>
    <w:rsid w:val="00343764"/>
    <w:rsid w:val="00343ACE"/>
    <w:rsid w:val="003441FB"/>
    <w:rsid w:val="00344691"/>
    <w:rsid w:val="0034472E"/>
    <w:rsid w:val="00344C40"/>
    <w:rsid w:val="00347BE3"/>
    <w:rsid w:val="00350044"/>
    <w:rsid w:val="0035035B"/>
    <w:rsid w:val="00350AD5"/>
    <w:rsid w:val="003510AF"/>
    <w:rsid w:val="003512C0"/>
    <w:rsid w:val="00351D19"/>
    <w:rsid w:val="00351D5B"/>
    <w:rsid w:val="0035276E"/>
    <w:rsid w:val="00355E7D"/>
    <w:rsid w:val="003563F8"/>
    <w:rsid w:val="003564F5"/>
    <w:rsid w:val="00356AF0"/>
    <w:rsid w:val="00357468"/>
    <w:rsid w:val="00360F5B"/>
    <w:rsid w:val="003611D1"/>
    <w:rsid w:val="0036252A"/>
    <w:rsid w:val="003627E6"/>
    <w:rsid w:val="00362989"/>
    <w:rsid w:val="00362B02"/>
    <w:rsid w:val="003638DF"/>
    <w:rsid w:val="00364BC6"/>
    <w:rsid w:val="00365CA1"/>
    <w:rsid w:val="0036698B"/>
    <w:rsid w:val="00367534"/>
    <w:rsid w:val="00367C05"/>
    <w:rsid w:val="00370583"/>
    <w:rsid w:val="00371FBE"/>
    <w:rsid w:val="0037236C"/>
    <w:rsid w:val="00372EB1"/>
    <w:rsid w:val="003737CF"/>
    <w:rsid w:val="00374D59"/>
    <w:rsid w:val="003758E9"/>
    <w:rsid w:val="00375DD6"/>
    <w:rsid w:val="0037602E"/>
    <w:rsid w:val="00376174"/>
    <w:rsid w:val="0037685F"/>
    <w:rsid w:val="00376F2D"/>
    <w:rsid w:val="00377675"/>
    <w:rsid w:val="003801C5"/>
    <w:rsid w:val="00380619"/>
    <w:rsid w:val="00381F7B"/>
    <w:rsid w:val="003824CB"/>
    <w:rsid w:val="00382CBE"/>
    <w:rsid w:val="00382E69"/>
    <w:rsid w:val="00383339"/>
    <w:rsid w:val="003833B2"/>
    <w:rsid w:val="003839AF"/>
    <w:rsid w:val="00384360"/>
    <w:rsid w:val="003851F1"/>
    <w:rsid w:val="00385F17"/>
    <w:rsid w:val="003900C3"/>
    <w:rsid w:val="003907D5"/>
    <w:rsid w:val="00390DAA"/>
    <w:rsid w:val="003917B1"/>
    <w:rsid w:val="00392306"/>
    <w:rsid w:val="0039289A"/>
    <w:rsid w:val="00392F92"/>
    <w:rsid w:val="00393137"/>
    <w:rsid w:val="0039343F"/>
    <w:rsid w:val="0039463B"/>
    <w:rsid w:val="0039704E"/>
    <w:rsid w:val="00397833"/>
    <w:rsid w:val="003978EE"/>
    <w:rsid w:val="003A0679"/>
    <w:rsid w:val="003A0928"/>
    <w:rsid w:val="003A0E5A"/>
    <w:rsid w:val="003A2EDA"/>
    <w:rsid w:val="003A3ACA"/>
    <w:rsid w:val="003A4BD6"/>
    <w:rsid w:val="003A5E1D"/>
    <w:rsid w:val="003A5F43"/>
    <w:rsid w:val="003A6102"/>
    <w:rsid w:val="003A6225"/>
    <w:rsid w:val="003A6B70"/>
    <w:rsid w:val="003A74CD"/>
    <w:rsid w:val="003A7E22"/>
    <w:rsid w:val="003B0328"/>
    <w:rsid w:val="003B1FFD"/>
    <w:rsid w:val="003B3057"/>
    <w:rsid w:val="003B3202"/>
    <w:rsid w:val="003B3563"/>
    <w:rsid w:val="003B3834"/>
    <w:rsid w:val="003B5264"/>
    <w:rsid w:val="003B53C7"/>
    <w:rsid w:val="003B53F9"/>
    <w:rsid w:val="003B6B3E"/>
    <w:rsid w:val="003B7DE5"/>
    <w:rsid w:val="003C011C"/>
    <w:rsid w:val="003C0123"/>
    <w:rsid w:val="003C13B1"/>
    <w:rsid w:val="003C178C"/>
    <w:rsid w:val="003C292F"/>
    <w:rsid w:val="003C4602"/>
    <w:rsid w:val="003C549C"/>
    <w:rsid w:val="003C5F83"/>
    <w:rsid w:val="003C6AFC"/>
    <w:rsid w:val="003C6E91"/>
    <w:rsid w:val="003C7070"/>
    <w:rsid w:val="003C72E8"/>
    <w:rsid w:val="003C796C"/>
    <w:rsid w:val="003D03F5"/>
    <w:rsid w:val="003D04CC"/>
    <w:rsid w:val="003D0824"/>
    <w:rsid w:val="003D1058"/>
    <w:rsid w:val="003D118D"/>
    <w:rsid w:val="003D1CE5"/>
    <w:rsid w:val="003D2203"/>
    <w:rsid w:val="003D2208"/>
    <w:rsid w:val="003D2691"/>
    <w:rsid w:val="003D32D7"/>
    <w:rsid w:val="003D3DE8"/>
    <w:rsid w:val="003D4270"/>
    <w:rsid w:val="003D4F66"/>
    <w:rsid w:val="003D5D1F"/>
    <w:rsid w:val="003D6ED1"/>
    <w:rsid w:val="003E11D2"/>
    <w:rsid w:val="003E18FE"/>
    <w:rsid w:val="003E27E4"/>
    <w:rsid w:val="003E2C2A"/>
    <w:rsid w:val="003E2D1C"/>
    <w:rsid w:val="003E48DA"/>
    <w:rsid w:val="003E5093"/>
    <w:rsid w:val="003E5202"/>
    <w:rsid w:val="003E66FE"/>
    <w:rsid w:val="003E69C0"/>
    <w:rsid w:val="003E6DA3"/>
    <w:rsid w:val="003F0694"/>
    <w:rsid w:val="003F082D"/>
    <w:rsid w:val="003F0A31"/>
    <w:rsid w:val="003F1927"/>
    <w:rsid w:val="003F1F54"/>
    <w:rsid w:val="003F4323"/>
    <w:rsid w:val="003F433C"/>
    <w:rsid w:val="003F4416"/>
    <w:rsid w:val="003F51C0"/>
    <w:rsid w:val="003F54B8"/>
    <w:rsid w:val="003F6151"/>
    <w:rsid w:val="003F69A1"/>
    <w:rsid w:val="003F76CD"/>
    <w:rsid w:val="003F7B46"/>
    <w:rsid w:val="00400516"/>
    <w:rsid w:val="00402C4A"/>
    <w:rsid w:val="00403396"/>
    <w:rsid w:val="00403AB6"/>
    <w:rsid w:val="00403E60"/>
    <w:rsid w:val="00404F08"/>
    <w:rsid w:val="00405AC9"/>
    <w:rsid w:val="004075BC"/>
    <w:rsid w:val="004106C7"/>
    <w:rsid w:val="00411625"/>
    <w:rsid w:val="00411D83"/>
    <w:rsid w:val="00411FFA"/>
    <w:rsid w:val="00412A26"/>
    <w:rsid w:val="00412DDC"/>
    <w:rsid w:val="00413565"/>
    <w:rsid w:val="004152C7"/>
    <w:rsid w:val="00415317"/>
    <w:rsid w:val="004153C6"/>
    <w:rsid w:val="004160A0"/>
    <w:rsid w:val="00420F1E"/>
    <w:rsid w:val="004212AD"/>
    <w:rsid w:val="004241D9"/>
    <w:rsid w:val="00424A3B"/>
    <w:rsid w:val="0042578A"/>
    <w:rsid w:val="00425B01"/>
    <w:rsid w:val="00426595"/>
    <w:rsid w:val="00426FF0"/>
    <w:rsid w:val="00427CCA"/>
    <w:rsid w:val="00427D00"/>
    <w:rsid w:val="0043083A"/>
    <w:rsid w:val="00430BF8"/>
    <w:rsid w:val="00430F00"/>
    <w:rsid w:val="00432011"/>
    <w:rsid w:val="004356CB"/>
    <w:rsid w:val="00435707"/>
    <w:rsid w:val="00436286"/>
    <w:rsid w:val="0043667A"/>
    <w:rsid w:val="00436983"/>
    <w:rsid w:val="00436AA4"/>
    <w:rsid w:val="00437593"/>
    <w:rsid w:val="00441848"/>
    <w:rsid w:val="00441D61"/>
    <w:rsid w:val="00443FBF"/>
    <w:rsid w:val="004445BF"/>
    <w:rsid w:val="0044462E"/>
    <w:rsid w:val="004446A6"/>
    <w:rsid w:val="0044557A"/>
    <w:rsid w:val="004473DB"/>
    <w:rsid w:val="004477B5"/>
    <w:rsid w:val="004479B6"/>
    <w:rsid w:val="00450191"/>
    <w:rsid w:val="00450901"/>
    <w:rsid w:val="00450E86"/>
    <w:rsid w:val="004513C8"/>
    <w:rsid w:val="004528A7"/>
    <w:rsid w:val="00452BD2"/>
    <w:rsid w:val="00453EA5"/>
    <w:rsid w:val="0045449E"/>
    <w:rsid w:val="004550D8"/>
    <w:rsid w:val="004554EA"/>
    <w:rsid w:val="004556D7"/>
    <w:rsid w:val="00456210"/>
    <w:rsid w:val="00457200"/>
    <w:rsid w:val="00460308"/>
    <w:rsid w:val="00460BA6"/>
    <w:rsid w:val="0046170B"/>
    <w:rsid w:val="00462199"/>
    <w:rsid w:val="00463B0C"/>
    <w:rsid w:val="00463D46"/>
    <w:rsid w:val="00464696"/>
    <w:rsid w:val="00464856"/>
    <w:rsid w:val="00465795"/>
    <w:rsid w:val="00465B2C"/>
    <w:rsid w:val="00465F73"/>
    <w:rsid w:val="00466005"/>
    <w:rsid w:val="004668FB"/>
    <w:rsid w:val="00470344"/>
    <w:rsid w:val="00470F28"/>
    <w:rsid w:val="00472B43"/>
    <w:rsid w:val="00472F43"/>
    <w:rsid w:val="00473020"/>
    <w:rsid w:val="0047303F"/>
    <w:rsid w:val="00475548"/>
    <w:rsid w:val="004757C4"/>
    <w:rsid w:val="00475AF0"/>
    <w:rsid w:val="00476757"/>
    <w:rsid w:val="0047698F"/>
    <w:rsid w:val="00476AB4"/>
    <w:rsid w:val="00477625"/>
    <w:rsid w:val="0048114F"/>
    <w:rsid w:val="00482B00"/>
    <w:rsid w:val="00486251"/>
    <w:rsid w:val="00486A63"/>
    <w:rsid w:val="00486E69"/>
    <w:rsid w:val="00486FA0"/>
    <w:rsid w:val="00487921"/>
    <w:rsid w:val="004903F9"/>
    <w:rsid w:val="004913CA"/>
    <w:rsid w:val="00491D1B"/>
    <w:rsid w:val="00491FAE"/>
    <w:rsid w:val="004920CF"/>
    <w:rsid w:val="0049217B"/>
    <w:rsid w:val="004923FD"/>
    <w:rsid w:val="0049267E"/>
    <w:rsid w:val="004928F2"/>
    <w:rsid w:val="00492CF3"/>
    <w:rsid w:val="004937E4"/>
    <w:rsid w:val="00494901"/>
    <w:rsid w:val="0049643C"/>
    <w:rsid w:val="00496EBC"/>
    <w:rsid w:val="00496FD1"/>
    <w:rsid w:val="00497AF1"/>
    <w:rsid w:val="004A02DB"/>
    <w:rsid w:val="004A0A02"/>
    <w:rsid w:val="004A1642"/>
    <w:rsid w:val="004A2F1F"/>
    <w:rsid w:val="004A2FAB"/>
    <w:rsid w:val="004A4009"/>
    <w:rsid w:val="004A442F"/>
    <w:rsid w:val="004A4679"/>
    <w:rsid w:val="004A4864"/>
    <w:rsid w:val="004A48DF"/>
    <w:rsid w:val="004A4CC3"/>
    <w:rsid w:val="004A5CBA"/>
    <w:rsid w:val="004A6653"/>
    <w:rsid w:val="004A7258"/>
    <w:rsid w:val="004A7F75"/>
    <w:rsid w:val="004B0A24"/>
    <w:rsid w:val="004B1B9D"/>
    <w:rsid w:val="004B230C"/>
    <w:rsid w:val="004B2372"/>
    <w:rsid w:val="004B2452"/>
    <w:rsid w:val="004B2C43"/>
    <w:rsid w:val="004B2F91"/>
    <w:rsid w:val="004B39E0"/>
    <w:rsid w:val="004B5572"/>
    <w:rsid w:val="004B56A8"/>
    <w:rsid w:val="004B680C"/>
    <w:rsid w:val="004B7101"/>
    <w:rsid w:val="004B73CD"/>
    <w:rsid w:val="004B7679"/>
    <w:rsid w:val="004B7A90"/>
    <w:rsid w:val="004B7C8A"/>
    <w:rsid w:val="004C08D9"/>
    <w:rsid w:val="004C10DB"/>
    <w:rsid w:val="004C170E"/>
    <w:rsid w:val="004C17FA"/>
    <w:rsid w:val="004C1A09"/>
    <w:rsid w:val="004C3396"/>
    <w:rsid w:val="004C360A"/>
    <w:rsid w:val="004C373B"/>
    <w:rsid w:val="004C4CEA"/>
    <w:rsid w:val="004C7003"/>
    <w:rsid w:val="004D0910"/>
    <w:rsid w:val="004D10DD"/>
    <w:rsid w:val="004D1D52"/>
    <w:rsid w:val="004D2889"/>
    <w:rsid w:val="004D3E27"/>
    <w:rsid w:val="004D46DA"/>
    <w:rsid w:val="004D48B2"/>
    <w:rsid w:val="004D5F08"/>
    <w:rsid w:val="004D67A4"/>
    <w:rsid w:val="004E03D0"/>
    <w:rsid w:val="004E0B1C"/>
    <w:rsid w:val="004E0C84"/>
    <w:rsid w:val="004E0CCF"/>
    <w:rsid w:val="004E1E8E"/>
    <w:rsid w:val="004E2193"/>
    <w:rsid w:val="004E27A5"/>
    <w:rsid w:val="004E2BD3"/>
    <w:rsid w:val="004E2CF2"/>
    <w:rsid w:val="004E2DEC"/>
    <w:rsid w:val="004E4DF3"/>
    <w:rsid w:val="004E5D99"/>
    <w:rsid w:val="004E6564"/>
    <w:rsid w:val="004E6CDA"/>
    <w:rsid w:val="004E791A"/>
    <w:rsid w:val="004E7D5B"/>
    <w:rsid w:val="004F0405"/>
    <w:rsid w:val="004F0E1D"/>
    <w:rsid w:val="004F0EB7"/>
    <w:rsid w:val="004F1FB1"/>
    <w:rsid w:val="004F209F"/>
    <w:rsid w:val="004F227C"/>
    <w:rsid w:val="004F2724"/>
    <w:rsid w:val="004F3018"/>
    <w:rsid w:val="004F3B7E"/>
    <w:rsid w:val="004F3BEA"/>
    <w:rsid w:val="004F52ED"/>
    <w:rsid w:val="004F5B14"/>
    <w:rsid w:val="004F7115"/>
    <w:rsid w:val="004F71F5"/>
    <w:rsid w:val="004F755A"/>
    <w:rsid w:val="004F7D8B"/>
    <w:rsid w:val="00500274"/>
    <w:rsid w:val="0050029F"/>
    <w:rsid w:val="005010D7"/>
    <w:rsid w:val="00501A9D"/>
    <w:rsid w:val="005021E4"/>
    <w:rsid w:val="00504C57"/>
    <w:rsid w:val="005052F6"/>
    <w:rsid w:val="005065A0"/>
    <w:rsid w:val="0050680D"/>
    <w:rsid w:val="00506C9E"/>
    <w:rsid w:val="00507AAC"/>
    <w:rsid w:val="00510950"/>
    <w:rsid w:val="00512C22"/>
    <w:rsid w:val="00514928"/>
    <w:rsid w:val="00515AB3"/>
    <w:rsid w:val="005163B6"/>
    <w:rsid w:val="00516F04"/>
    <w:rsid w:val="005200E8"/>
    <w:rsid w:val="00520806"/>
    <w:rsid w:val="00520EF1"/>
    <w:rsid w:val="0052120C"/>
    <w:rsid w:val="005222A0"/>
    <w:rsid w:val="00522348"/>
    <w:rsid w:val="0052269A"/>
    <w:rsid w:val="00522CC8"/>
    <w:rsid w:val="00522E0C"/>
    <w:rsid w:val="00524586"/>
    <w:rsid w:val="00524932"/>
    <w:rsid w:val="005251D9"/>
    <w:rsid w:val="0052592E"/>
    <w:rsid w:val="00525EC6"/>
    <w:rsid w:val="00526116"/>
    <w:rsid w:val="00526539"/>
    <w:rsid w:val="00526588"/>
    <w:rsid w:val="00526A98"/>
    <w:rsid w:val="00527AB7"/>
    <w:rsid w:val="00527CEA"/>
    <w:rsid w:val="00530074"/>
    <w:rsid w:val="005314E7"/>
    <w:rsid w:val="005318DD"/>
    <w:rsid w:val="00531F4E"/>
    <w:rsid w:val="00532701"/>
    <w:rsid w:val="00533E85"/>
    <w:rsid w:val="00534089"/>
    <w:rsid w:val="00534F18"/>
    <w:rsid w:val="005353F6"/>
    <w:rsid w:val="00537035"/>
    <w:rsid w:val="00540093"/>
    <w:rsid w:val="00540B94"/>
    <w:rsid w:val="00540D53"/>
    <w:rsid w:val="00541982"/>
    <w:rsid w:val="00541E14"/>
    <w:rsid w:val="0054297A"/>
    <w:rsid w:val="00543831"/>
    <w:rsid w:val="00543D3B"/>
    <w:rsid w:val="005449AB"/>
    <w:rsid w:val="0054534D"/>
    <w:rsid w:val="00546605"/>
    <w:rsid w:val="005469C3"/>
    <w:rsid w:val="00546F7A"/>
    <w:rsid w:val="0054794F"/>
    <w:rsid w:val="0055007B"/>
    <w:rsid w:val="00550625"/>
    <w:rsid w:val="005508BD"/>
    <w:rsid w:val="00550A3C"/>
    <w:rsid w:val="0055202C"/>
    <w:rsid w:val="005526E7"/>
    <w:rsid w:val="00552C13"/>
    <w:rsid w:val="00552D23"/>
    <w:rsid w:val="00553EE8"/>
    <w:rsid w:val="005544A8"/>
    <w:rsid w:val="00554B71"/>
    <w:rsid w:val="0055529F"/>
    <w:rsid w:val="00556726"/>
    <w:rsid w:val="005574E1"/>
    <w:rsid w:val="00557996"/>
    <w:rsid w:val="00557C1F"/>
    <w:rsid w:val="00557DE2"/>
    <w:rsid w:val="00561580"/>
    <w:rsid w:val="00564770"/>
    <w:rsid w:val="00564946"/>
    <w:rsid w:val="00564E58"/>
    <w:rsid w:val="0056559A"/>
    <w:rsid w:val="00565E87"/>
    <w:rsid w:val="00566159"/>
    <w:rsid w:val="00566218"/>
    <w:rsid w:val="00566FDF"/>
    <w:rsid w:val="00567090"/>
    <w:rsid w:val="0056720B"/>
    <w:rsid w:val="00567CB1"/>
    <w:rsid w:val="00571C1D"/>
    <w:rsid w:val="00572228"/>
    <w:rsid w:val="005729E7"/>
    <w:rsid w:val="005735DB"/>
    <w:rsid w:val="00573B88"/>
    <w:rsid w:val="0057442C"/>
    <w:rsid w:val="00574B23"/>
    <w:rsid w:val="00574E00"/>
    <w:rsid w:val="00575309"/>
    <w:rsid w:val="00575970"/>
    <w:rsid w:val="00577769"/>
    <w:rsid w:val="005778E6"/>
    <w:rsid w:val="005805F6"/>
    <w:rsid w:val="00581697"/>
    <w:rsid w:val="00581BFB"/>
    <w:rsid w:val="005838DA"/>
    <w:rsid w:val="00583E52"/>
    <w:rsid w:val="005849D6"/>
    <w:rsid w:val="0058579A"/>
    <w:rsid w:val="00585E10"/>
    <w:rsid w:val="005869CA"/>
    <w:rsid w:val="00586A1F"/>
    <w:rsid w:val="005871CA"/>
    <w:rsid w:val="00587F4F"/>
    <w:rsid w:val="00591C6B"/>
    <w:rsid w:val="00592A8F"/>
    <w:rsid w:val="00595037"/>
    <w:rsid w:val="00595254"/>
    <w:rsid w:val="00595B9E"/>
    <w:rsid w:val="005961CB"/>
    <w:rsid w:val="00597B6B"/>
    <w:rsid w:val="00597D86"/>
    <w:rsid w:val="005A055C"/>
    <w:rsid w:val="005A1865"/>
    <w:rsid w:val="005A1DA8"/>
    <w:rsid w:val="005A1E4D"/>
    <w:rsid w:val="005A2E9F"/>
    <w:rsid w:val="005A2FB0"/>
    <w:rsid w:val="005A406B"/>
    <w:rsid w:val="005A4544"/>
    <w:rsid w:val="005A6A3B"/>
    <w:rsid w:val="005A6A57"/>
    <w:rsid w:val="005A70E9"/>
    <w:rsid w:val="005B0B52"/>
    <w:rsid w:val="005B1E9E"/>
    <w:rsid w:val="005B341A"/>
    <w:rsid w:val="005B3FFA"/>
    <w:rsid w:val="005B615D"/>
    <w:rsid w:val="005B6338"/>
    <w:rsid w:val="005B7F26"/>
    <w:rsid w:val="005C0D42"/>
    <w:rsid w:val="005C1452"/>
    <w:rsid w:val="005C2421"/>
    <w:rsid w:val="005C51EC"/>
    <w:rsid w:val="005C5E86"/>
    <w:rsid w:val="005C5EA1"/>
    <w:rsid w:val="005C5F28"/>
    <w:rsid w:val="005C6672"/>
    <w:rsid w:val="005C7DFA"/>
    <w:rsid w:val="005D030F"/>
    <w:rsid w:val="005D03B2"/>
    <w:rsid w:val="005D1852"/>
    <w:rsid w:val="005D1D12"/>
    <w:rsid w:val="005D25BC"/>
    <w:rsid w:val="005D4467"/>
    <w:rsid w:val="005D448E"/>
    <w:rsid w:val="005D5862"/>
    <w:rsid w:val="005D691C"/>
    <w:rsid w:val="005D7510"/>
    <w:rsid w:val="005D76EC"/>
    <w:rsid w:val="005E00EF"/>
    <w:rsid w:val="005E1C0C"/>
    <w:rsid w:val="005E1C3F"/>
    <w:rsid w:val="005E1F91"/>
    <w:rsid w:val="005E2A96"/>
    <w:rsid w:val="005E466C"/>
    <w:rsid w:val="005E4C48"/>
    <w:rsid w:val="005E5721"/>
    <w:rsid w:val="005E61A8"/>
    <w:rsid w:val="005E6608"/>
    <w:rsid w:val="005E6629"/>
    <w:rsid w:val="005E7EF6"/>
    <w:rsid w:val="005F0172"/>
    <w:rsid w:val="005F05FC"/>
    <w:rsid w:val="005F3C55"/>
    <w:rsid w:val="005F4F72"/>
    <w:rsid w:val="005F5006"/>
    <w:rsid w:val="005F5EA3"/>
    <w:rsid w:val="005F65BC"/>
    <w:rsid w:val="005F7864"/>
    <w:rsid w:val="005F7B67"/>
    <w:rsid w:val="005F7D90"/>
    <w:rsid w:val="005F7E6C"/>
    <w:rsid w:val="0060013E"/>
    <w:rsid w:val="00600D60"/>
    <w:rsid w:val="00601035"/>
    <w:rsid w:val="00603509"/>
    <w:rsid w:val="00603D8E"/>
    <w:rsid w:val="0060434D"/>
    <w:rsid w:val="00606187"/>
    <w:rsid w:val="006072BB"/>
    <w:rsid w:val="006078DE"/>
    <w:rsid w:val="00607A9C"/>
    <w:rsid w:val="006107F2"/>
    <w:rsid w:val="00610C3F"/>
    <w:rsid w:val="00611281"/>
    <w:rsid w:val="00611573"/>
    <w:rsid w:val="0061192B"/>
    <w:rsid w:val="00612114"/>
    <w:rsid w:val="00612629"/>
    <w:rsid w:val="006126C8"/>
    <w:rsid w:val="00613026"/>
    <w:rsid w:val="00613161"/>
    <w:rsid w:val="0061427D"/>
    <w:rsid w:val="00616DF7"/>
    <w:rsid w:val="0061736B"/>
    <w:rsid w:val="0062026C"/>
    <w:rsid w:val="006211D9"/>
    <w:rsid w:val="006227B4"/>
    <w:rsid w:val="0062367C"/>
    <w:rsid w:val="00623A61"/>
    <w:rsid w:val="00623EAA"/>
    <w:rsid w:val="006240A5"/>
    <w:rsid w:val="00624686"/>
    <w:rsid w:val="00625617"/>
    <w:rsid w:val="00625C22"/>
    <w:rsid w:val="006261C5"/>
    <w:rsid w:val="00626D05"/>
    <w:rsid w:val="006271F6"/>
    <w:rsid w:val="00630A64"/>
    <w:rsid w:val="00630A65"/>
    <w:rsid w:val="00630E1D"/>
    <w:rsid w:val="00631308"/>
    <w:rsid w:val="0063239D"/>
    <w:rsid w:val="00632F7C"/>
    <w:rsid w:val="00635FE3"/>
    <w:rsid w:val="006360D0"/>
    <w:rsid w:val="006364BA"/>
    <w:rsid w:val="006366B4"/>
    <w:rsid w:val="00636735"/>
    <w:rsid w:val="006371B9"/>
    <w:rsid w:val="006411F6"/>
    <w:rsid w:val="00641C35"/>
    <w:rsid w:val="00642302"/>
    <w:rsid w:val="00642BAA"/>
    <w:rsid w:val="00642C02"/>
    <w:rsid w:val="00642C6D"/>
    <w:rsid w:val="00642F7A"/>
    <w:rsid w:val="006458C7"/>
    <w:rsid w:val="00645F32"/>
    <w:rsid w:val="00645FA4"/>
    <w:rsid w:val="00646874"/>
    <w:rsid w:val="00646BA5"/>
    <w:rsid w:val="00647338"/>
    <w:rsid w:val="0064741E"/>
    <w:rsid w:val="0065102D"/>
    <w:rsid w:val="00651438"/>
    <w:rsid w:val="0065162C"/>
    <w:rsid w:val="00651B37"/>
    <w:rsid w:val="00652376"/>
    <w:rsid w:val="00652632"/>
    <w:rsid w:val="006535F7"/>
    <w:rsid w:val="006545D9"/>
    <w:rsid w:val="0065467D"/>
    <w:rsid w:val="00655088"/>
    <w:rsid w:val="00656495"/>
    <w:rsid w:val="00656526"/>
    <w:rsid w:val="00656668"/>
    <w:rsid w:val="00656A45"/>
    <w:rsid w:val="00661B88"/>
    <w:rsid w:val="00661C28"/>
    <w:rsid w:val="00663A6A"/>
    <w:rsid w:val="00664792"/>
    <w:rsid w:val="00666362"/>
    <w:rsid w:val="006665A0"/>
    <w:rsid w:val="0066678B"/>
    <w:rsid w:val="00666E25"/>
    <w:rsid w:val="0066744C"/>
    <w:rsid w:val="00667540"/>
    <w:rsid w:val="00667A53"/>
    <w:rsid w:val="00667AB0"/>
    <w:rsid w:val="0067058D"/>
    <w:rsid w:val="00670BC9"/>
    <w:rsid w:val="00671F6F"/>
    <w:rsid w:val="0067292F"/>
    <w:rsid w:val="006737B8"/>
    <w:rsid w:val="006737C1"/>
    <w:rsid w:val="006740F5"/>
    <w:rsid w:val="006742A1"/>
    <w:rsid w:val="006750AB"/>
    <w:rsid w:val="00675F7D"/>
    <w:rsid w:val="00676BA6"/>
    <w:rsid w:val="00676C0B"/>
    <w:rsid w:val="00676DB6"/>
    <w:rsid w:val="00676E14"/>
    <w:rsid w:val="00680657"/>
    <w:rsid w:val="00681052"/>
    <w:rsid w:val="00681DC8"/>
    <w:rsid w:val="00681DE0"/>
    <w:rsid w:val="00683529"/>
    <w:rsid w:val="00683649"/>
    <w:rsid w:val="0068384F"/>
    <w:rsid w:val="00683BA0"/>
    <w:rsid w:val="006841B8"/>
    <w:rsid w:val="00685C02"/>
    <w:rsid w:val="00685CD5"/>
    <w:rsid w:val="0068653C"/>
    <w:rsid w:val="006866D0"/>
    <w:rsid w:val="006905B3"/>
    <w:rsid w:val="0069108E"/>
    <w:rsid w:val="00693703"/>
    <w:rsid w:val="006940B1"/>
    <w:rsid w:val="0069477E"/>
    <w:rsid w:val="00694EF8"/>
    <w:rsid w:val="00695678"/>
    <w:rsid w:val="00697460"/>
    <w:rsid w:val="006979C8"/>
    <w:rsid w:val="006A35D8"/>
    <w:rsid w:val="006A36D3"/>
    <w:rsid w:val="006A3DAF"/>
    <w:rsid w:val="006A4D35"/>
    <w:rsid w:val="006A54B7"/>
    <w:rsid w:val="006A613D"/>
    <w:rsid w:val="006A79F3"/>
    <w:rsid w:val="006B0432"/>
    <w:rsid w:val="006B0453"/>
    <w:rsid w:val="006B133E"/>
    <w:rsid w:val="006B18D7"/>
    <w:rsid w:val="006B1EEE"/>
    <w:rsid w:val="006B330A"/>
    <w:rsid w:val="006B351D"/>
    <w:rsid w:val="006B3FBE"/>
    <w:rsid w:val="006B4751"/>
    <w:rsid w:val="006B50FF"/>
    <w:rsid w:val="006B58BB"/>
    <w:rsid w:val="006B6DF8"/>
    <w:rsid w:val="006B79E0"/>
    <w:rsid w:val="006C024F"/>
    <w:rsid w:val="006C02E6"/>
    <w:rsid w:val="006C08F2"/>
    <w:rsid w:val="006C0F81"/>
    <w:rsid w:val="006C1F49"/>
    <w:rsid w:val="006C1FB6"/>
    <w:rsid w:val="006C2320"/>
    <w:rsid w:val="006C2B42"/>
    <w:rsid w:val="006C2F68"/>
    <w:rsid w:val="006C37FE"/>
    <w:rsid w:val="006C5959"/>
    <w:rsid w:val="006C59AA"/>
    <w:rsid w:val="006C6C4E"/>
    <w:rsid w:val="006C71E5"/>
    <w:rsid w:val="006C7EFB"/>
    <w:rsid w:val="006D01F1"/>
    <w:rsid w:val="006D10ED"/>
    <w:rsid w:val="006D1261"/>
    <w:rsid w:val="006D1AD4"/>
    <w:rsid w:val="006D1EC3"/>
    <w:rsid w:val="006D32AB"/>
    <w:rsid w:val="006D372D"/>
    <w:rsid w:val="006D3F24"/>
    <w:rsid w:val="006D461F"/>
    <w:rsid w:val="006D4DAF"/>
    <w:rsid w:val="006D4E8C"/>
    <w:rsid w:val="006D5868"/>
    <w:rsid w:val="006D6C45"/>
    <w:rsid w:val="006D6C77"/>
    <w:rsid w:val="006E0BDF"/>
    <w:rsid w:val="006E1014"/>
    <w:rsid w:val="006E1B87"/>
    <w:rsid w:val="006E1D2D"/>
    <w:rsid w:val="006E2ABD"/>
    <w:rsid w:val="006E32C7"/>
    <w:rsid w:val="006E52CE"/>
    <w:rsid w:val="006E6075"/>
    <w:rsid w:val="006E625D"/>
    <w:rsid w:val="006E6AFA"/>
    <w:rsid w:val="006E7383"/>
    <w:rsid w:val="006E77E0"/>
    <w:rsid w:val="006F0FD8"/>
    <w:rsid w:val="006F1725"/>
    <w:rsid w:val="006F1ADF"/>
    <w:rsid w:val="006F2499"/>
    <w:rsid w:val="006F33D0"/>
    <w:rsid w:val="006F34FC"/>
    <w:rsid w:val="006F3E9F"/>
    <w:rsid w:val="006F49C0"/>
    <w:rsid w:val="006F72F3"/>
    <w:rsid w:val="006F72FF"/>
    <w:rsid w:val="006F751E"/>
    <w:rsid w:val="0070035B"/>
    <w:rsid w:val="007009B1"/>
    <w:rsid w:val="00701380"/>
    <w:rsid w:val="00702040"/>
    <w:rsid w:val="00702771"/>
    <w:rsid w:val="0070425C"/>
    <w:rsid w:val="007044FB"/>
    <w:rsid w:val="007057A9"/>
    <w:rsid w:val="007057D9"/>
    <w:rsid w:val="00706299"/>
    <w:rsid w:val="00707B9E"/>
    <w:rsid w:val="007108E0"/>
    <w:rsid w:val="0071090E"/>
    <w:rsid w:val="0071098F"/>
    <w:rsid w:val="00711381"/>
    <w:rsid w:val="00712296"/>
    <w:rsid w:val="007123EC"/>
    <w:rsid w:val="00713809"/>
    <w:rsid w:val="00713AA1"/>
    <w:rsid w:val="00713D4C"/>
    <w:rsid w:val="00715443"/>
    <w:rsid w:val="00715C49"/>
    <w:rsid w:val="00716139"/>
    <w:rsid w:val="00717AC4"/>
    <w:rsid w:val="00717F27"/>
    <w:rsid w:val="007216FB"/>
    <w:rsid w:val="00721D23"/>
    <w:rsid w:val="00721DCE"/>
    <w:rsid w:val="00723620"/>
    <w:rsid w:val="007236FB"/>
    <w:rsid w:val="007237F4"/>
    <w:rsid w:val="00723DD4"/>
    <w:rsid w:val="0072475E"/>
    <w:rsid w:val="0072553A"/>
    <w:rsid w:val="0072569D"/>
    <w:rsid w:val="007259E1"/>
    <w:rsid w:val="0072635A"/>
    <w:rsid w:val="0072644C"/>
    <w:rsid w:val="00727713"/>
    <w:rsid w:val="00727AC9"/>
    <w:rsid w:val="00727B47"/>
    <w:rsid w:val="00727DFD"/>
    <w:rsid w:val="00727E29"/>
    <w:rsid w:val="00727ED8"/>
    <w:rsid w:val="007302C1"/>
    <w:rsid w:val="0073044D"/>
    <w:rsid w:val="00730F17"/>
    <w:rsid w:val="007314B5"/>
    <w:rsid w:val="00733B3C"/>
    <w:rsid w:val="00734CC3"/>
    <w:rsid w:val="00735638"/>
    <w:rsid w:val="007357B4"/>
    <w:rsid w:val="0073633B"/>
    <w:rsid w:val="007404DE"/>
    <w:rsid w:val="00742E98"/>
    <w:rsid w:val="00742E9E"/>
    <w:rsid w:val="00743298"/>
    <w:rsid w:val="00743341"/>
    <w:rsid w:val="00743B2F"/>
    <w:rsid w:val="007448EC"/>
    <w:rsid w:val="007457C5"/>
    <w:rsid w:val="00745913"/>
    <w:rsid w:val="00746546"/>
    <w:rsid w:val="0074685C"/>
    <w:rsid w:val="007470C9"/>
    <w:rsid w:val="007471E7"/>
    <w:rsid w:val="00747779"/>
    <w:rsid w:val="00750008"/>
    <w:rsid w:val="00750492"/>
    <w:rsid w:val="00750D5B"/>
    <w:rsid w:val="00750F0C"/>
    <w:rsid w:val="0075228F"/>
    <w:rsid w:val="00752350"/>
    <w:rsid w:val="0075304D"/>
    <w:rsid w:val="00753791"/>
    <w:rsid w:val="00754172"/>
    <w:rsid w:val="007550FB"/>
    <w:rsid w:val="0075545D"/>
    <w:rsid w:val="0075556B"/>
    <w:rsid w:val="0075583A"/>
    <w:rsid w:val="007569A1"/>
    <w:rsid w:val="00757543"/>
    <w:rsid w:val="007577D9"/>
    <w:rsid w:val="00757AEE"/>
    <w:rsid w:val="007604D7"/>
    <w:rsid w:val="00760581"/>
    <w:rsid w:val="007610F1"/>
    <w:rsid w:val="00761115"/>
    <w:rsid w:val="007616A6"/>
    <w:rsid w:val="00761B4D"/>
    <w:rsid w:val="00761F3D"/>
    <w:rsid w:val="00762D12"/>
    <w:rsid w:val="007639FA"/>
    <w:rsid w:val="00764193"/>
    <w:rsid w:val="00765310"/>
    <w:rsid w:val="00766318"/>
    <w:rsid w:val="007666C7"/>
    <w:rsid w:val="00766A54"/>
    <w:rsid w:val="00767171"/>
    <w:rsid w:val="007671A8"/>
    <w:rsid w:val="00771816"/>
    <w:rsid w:val="00772DA0"/>
    <w:rsid w:val="00773624"/>
    <w:rsid w:val="007739D9"/>
    <w:rsid w:val="007746DE"/>
    <w:rsid w:val="00774787"/>
    <w:rsid w:val="00775F48"/>
    <w:rsid w:val="00776D1A"/>
    <w:rsid w:val="007771E7"/>
    <w:rsid w:val="00777D01"/>
    <w:rsid w:val="00780287"/>
    <w:rsid w:val="007810E4"/>
    <w:rsid w:val="007849FF"/>
    <w:rsid w:val="00784BBB"/>
    <w:rsid w:val="007850E6"/>
    <w:rsid w:val="00785848"/>
    <w:rsid w:val="00785B6D"/>
    <w:rsid w:val="00785F5A"/>
    <w:rsid w:val="0078620C"/>
    <w:rsid w:val="007869AE"/>
    <w:rsid w:val="00787192"/>
    <w:rsid w:val="00790EBC"/>
    <w:rsid w:val="00791558"/>
    <w:rsid w:val="0079202D"/>
    <w:rsid w:val="00792E0B"/>
    <w:rsid w:val="00793C1F"/>
    <w:rsid w:val="00793F56"/>
    <w:rsid w:val="00794186"/>
    <w:rsid w:val="00794C07"/>
    <w:rsid w:val="0079613C"/>
    <w:rsid w:val="0079627F"/>
    <w:rsid w:val="00797721"/>
    <w:rsid w:val="007A1876"/>
    <w:rsid w:val="007A24CD"/>
    <w:rsid w:val="007A2BD5"/>
    <w:rsid w:val="007A44CE"/>
    <w:rsid w:val="007A4A0D"/>
    <w:rsid w:val="007A4B03"/>
    <w:rsid w:val="007A5174"/>
    <w:rsid w:val="007A6E1D"/>
    <w:rsid w:val="007A71F7"/>
    <w:rsid w:val="007A73B6"/>
    <w:rsid w:val="007B0A95"/>
    <w:rsid w:val="007B0DD5"/>
    <w:rsid w:val="007B12C5"/>
    <w:rsid w:val="007B3472"/>
    <w:rsid w:val="007B34C1"/>
    <w:rsid w:val="007B3C1B"/>
    <w:rsid w:val="007B423F"/>
    <w:rsid w:val="007B4324"/>
    <w:rsid w:val="007B49A4"/>
    <w:rsid w:val="007B7ED4"/>
    <w:rsid w:val="007B7F18"/>
    <w:rsid w:val="007C0143"/>
    <w:rsid w:val="007C061A"/>
    <w:rsid w:val="007C065E"/>
    <w:rsid w:val="007C0D37"/>
    <w:rsid w:val="007C0E15"/>
    <w:rsid w:val="007C27B0"/>
    <w:rsid w:val="007C2974"/>
    <w:rsid w:val="007C2A2E"/>
    <w:rsid w:val="007C3306"/>
    <w:rsid w:val="007C4346"/>
    <w:rsid w:val="007C7B3E"/>
    <w:rsid w:val="007D00CD"/>
    <w:rsid w:val="007D0D4B"/>
    <w:rsid w:val="007D0E1D"/>
    <w:rsid w:val="007D182C"/>
    <w:rsid w:val="007D1E0B"/>
    <w:rsid w:val="007D22AB"/>
    <w:rsid w:val="007D2341"/>
    <w:rsid w:val="007D2381"/>
    <w:rsid w:val="007D2860"/>
    <w:rsid w:val="007D2DE3"/>
    <w:rsid w:val="007D328D"/>
    <w:rsid w:val="007D3B77"/>
    <w:rsid w:val="007D4601"/>
    <w:rsid w:val="007D470F"/>
    <w:rsid w:val="007D4AFB"/>
    <w:rsid w:val="007D5027"/>
    <w:rsid w:val="007D552D"/>
    <w:rsid w:val="007D5545"/>
    <w:rsid w:val="007D5A7E"/>
    <w:rsid w:val="007D7767"/>
    <w:rsid w:val="007D7FD9"/>
    <w:rsid w:val="007E1858"/>
    <w:rsid w:val="007E1E97"/>
    <w:rsid w:val="007E2AF4"/>
    <w:rsid w:val="007E2C2F"/>
    <w:rsid w:val="007E4405"/>
    <w:rsid w:val="007E5143"/>
    <w:rsid w:val="007E57A8"/>
    <w:rsid w:val="007E5D0B"/>
    <w:rsid w:val="007E621F"/>
    <w:rsid w:val="007E6B72"/>
    <w:rsid w:val="007F0724"/>
    <w:rsid w:val="007F2297"/>
    <w:rsid w:val="007F2917"/>
    <w:rsid w:val="007F40EC"/>
    <w:rsid w:val="007F4155"/>
    <w:rsid w:val="007F4CCF"/>
    <w:rsid w:val="007F527A"/>
    <w:rsid w:val="007F5C9D"/>
    <w:rsid w:val="007F640F"/>
    <w:rsid w:val="007F6693"/>
    <w:rsid w:val="007F6A92"/>
    <w:rsid w:val="007F6FAC"/>
    <w:rsid w:val="007F7231"/>
    <w:rsid w:val="007F77E9"/>
    <w:rsid w:val="0080059D"/>
    <w:rsid w:val="00800DEF"/>
    <w:rsid w:val="0080170B"/>
    <w:rsid w:val="00801D54"/>
    <w:rsid w:val="00801F83"/>
    <w:rsid w:val="008025E2"/>
    <w:rsid w:val="00803011"/>
    <w:rsid w:val="008034B2"/>
    <w:rsid w:val="00804A69"/>
    <w:rsid w:val="0080591D"/>
    <w:rsid w:val="0080593D"/>
    <w:rsid w:val="0080721D"/>
    <w:rsid w:val="0080727B"/>
    <w:rsid w:val="008072EE"/>
    <w:rsid w:val="0081042C"/>
    <w:rsid w:val="00810718"/>
    <w:rsid w:val="00810BC1"/>
    <w:rsid w:val="00810FBB"/>
    <w:rsid w:val="0081172C"/>
    <w:rsid w:val="00811F61"/>
    <w:rsid w:val="008122E9"/>
    <w:rsid w:val="00812C7E"/>
    <w:rsid w:val="00812E7E"/>
    <w:rsid w:val="00812F9D"/>
    <w:rsid w:val="00814164"/>
    <w:rsid w:val="0081453B"/>
    <w:rsid w:val="0081615A"/>
    <w:rsid w:val="00816476"/>
    <w:rsid w:val="0081751C"/>
    <w:rsid w:val="00820033"/>
    <w:rsid w:val="00820C16"/>
    <w:rsid w:val="00820C95"/>
    <w:rsid w:val="00821640"/>
    <w:rsid w:val="00821A2D"/>
    <w:rsid w:val="008241A0"/>
    <w:rsid w:val="008250D8"/>
    <w:rsid w:val="00825229"/>
    <w:rsid w:val="00825B82"/>
    <w:rsid w:val="008262ED"/>
    <w:rsid w:val="00830D74"/>
    <w:rsid w:val="00831114"/>
    <w:rsid w:val="008313B1"/>
    <w:rsid w:val="00831D8B"/>
    <w:rsid w:val="0083227E"/>
    <w:rsid w:val="00833B54"/>
    <w:rsid w:val="00833D65"/>
    <w:rsid w:val="0083448E"/>
    <w:rsid w:val="00836798"/>
    <w:rsid w:val="0083776B"/>
    <w:rsid w:val="00837E71"/>
    <w:rsid w:val="008421CC"/>
    <w:rsid w:val="0084296B"/>
    <w:rsid w:val="00845D78"/>
    <w:rsid w:val="00845FB0"/>
    <w:rsid w:val="0084635D"/>
    <w:rsid w:val="0084658E"/>
    <w:rsid w:val="00847F76"/>
    <w:rsid w:val="00850206"/>
    <w:rsid w:val="008502AF"/>
    <w:rsid w:val="00851215"/>
    <w:rsid w:val="0085179B"/>
    <w:rsid w:val="008521D0"/>
    <w:rsid w:val="00852A00"/>
    <w:rsid w:val="00852E6A"/>
    <w:rsid w:val="00853642"/>
    <w:rsid w:val="00853E98"/>
    <w:rsid w:val="008544CB"/>
    <w:rsid w:val="00854E5A"/>
    <w:rsid w:val="0085564C"/>
    <w:rsid w:val="00855691"/>
    <w:rsid w:val="00855728"/>
    <w:rsid w:val="00855968"/>
    <w:rsid w:val="00856354"/>
    <w:rsid w:val="00856781"/>
    <w:rsid w:val="00857817"/>
    <w:rsid w:val="00860BD8"/>
    <w:rsid w:val="008628EE"/>
    <w:rsid w:val="008635BA"/>
    <w:rsid w:val="00863786"/>
    <w:rsid w:val="00863A35"/>
    <w:rsid w:val="00863A45"/>
    <w:rsid w:val="00863AD3"/>
    <w:rsid w:val="00864693"/>
    <w:rsid w:val="00867E08"/>
    <w:rsid w:val="008711C5"/>
    <w:rsid w:val="00871F32"/>
    <w:rsid w:val="008722BE"/>
    <w:rsid w:val="00873843"/>
    <w:rsid w:val="00874031"/>
    <w:rsid w:val="00874057"/>
    <w:rsid w:val="008748DD"/>
    <w:rsid w:val="0087505A"/>
    <w:rsid w:val="00876E51"/>
    <w:rsid w:val="0087743F"/>
    <w:rsid w:val="00880076"/>
    <w:rsid w:val="00880567"/>
    <w:rsid w:val="00880576"/>
    <w:rsid w:val="0088070B"/>
    <w:rsid w:val="00880F06"/>
    <w:rsid w:val="008814A5"/>
    <w:rsid w:val="00881D19"/>
    <w:rsid w:val="008833DC"/>
    <w:rsid w:val="00883C65"/>
    <w:rsid w:val="00883EF8"/>
    <w:rsid w:val="0088437D"/>
    <w:rsid w:val="0088483B"/>
    <w:rsid w:val="0088572C"/>
    <w:rsid w:val="00885F1B"/>
    <w:rsid w:val="008865CE"/>
    <w:rsid w:val="00886CB9"/>
    <w:rsid w:val="00887367"/>
    <w:rsid w:val="00887B92"/>
    <w:rsid w:val="00890025"/>
    <w:rsid w:val="008907A2"/>
    <w:rsid w:val="008907AF"/>
    <w:rsid w:val="008908C6"/>
    <w:rsid w:val="00890F21"/>
    <w:rsid w:val="00891262"/>
    <w:rsid w:val="008919BA"/>
    <w:rsid w:val="00892599"/>
    <w:rsid w:val="008926A4"/>
    <w:rsid w:val="008932FC"/>
    <w:rsid w:val="00893616"/>
    <w:rsid w:val="00893A8B"/>
    <w:rsid w:val="00894338"/>
    <w:rsid w:val="008960FC"/>
    <w:rsid w:val="008965D1"/>
    <w:rsid w:val="008972D0"/>
    <w:rsid w:val="00897432"/>
    <w:rsid w:val="008A16FF"/>
    <w:rsid w:val="008A1AE0"/>
    <w:rsid w:val="008A1BA5"/>
    <w:rsid w:val="008A2BAB"/>
    <w:rsid w:val="008A7924"/>
    <w:rsid w:val="008A79FD"/>
    <w:rsid w:val="008B08D6"/>
    <w:rsid w:val="008B260E"/>
    <w:rsid w:val="008B41D0"/>
    <w:rsid w:val="008B4546"/>
    <w:rsid w:val="008B49EF"/>
    <w:rsid w:val="008B5883"/>
    <w:rsid w:val="008B6E48"/>
    <w:rsid w:val="008B7532"/>
    <w:rsid w:val="008B76DA"/>
    <w:rsid w:val="008B78A9"/>
    <w:rsid w:val="008B7D42"/>
    <w:rsid w:val="008B7E2C"/>
    <w:rsid w:val="008C01E9"/>
    <w:rsid w:val="008C0E17"/>
    <w:rsid w:val="008C0EA7"/>
    <w:rsid w:val="008C3503"/>
    <w:rsid w:val="008C3BFD"/>
    <w:rsid w:val="008C6326"/>
    <w:rsid w:val="008D04D0"/>
    <w:rsid w:val="008D0E66"/>
    <w:rsid w:val="008D0E83"/>
    <w:rsid w:val="008D1250"/>
    <w:rsid w:val="008D1812"/>
    <w:rsid w:val="008D1981"/>
    <w:rsid w:val="008D233C"/>
    <w:rsid w:val="008D2530"/>
    <w:rsid w:val="008D2C1C"/>
    <w:rsid w:val="008D2C5C"/>
    <w:rsid w:val="008D33C1"/>
    <w:rsid w:val="008D3488"/>
    <w:rsid w:val="008D3626"/>
    <w:rsid w:val="008D3EBA"/>
    <w:rsid w:val="008D4F67"/>
    <w:rsid w:val="008D576F"/>
    <w:rsid w:val="008D6085"/>
    <w:rsid w:val="008D6C86"/>
    <w:rsid w:val="008E002F"/>
    <w:rsid w:val="008E060E"/>
    <w:rsid w:val="008E0E07"/>
    <w:rsid w:val="008E1CA9"/>
    <w:rsid w:val="008E3107"/>
    <w:rsid w:val="008E34BA"/>
    <w:rsid w:val="008E4F05"/>
    <w:rsid w:val="008E53AF"/>
    <w:rsid w:val="008E5873"/>
    <w:rsid w:val="008E7687"/>
    <w:rsid w:val="008F179C"/>
    <w:rsid w:val="008F22D1"/>
    <w:rsid w:val="008F2851"/>
    <w:rsid w:val="008F4687"/>
    <w:rsid w:val="008F4A32"/>
    <w:rsid w:val="008F54F0"/>
    <w:rsid w:val="008F613D"/>
    <w:rsid w:val="008F68EA"/>
    <w:rsid w:val="008F6C23"/>
    <w:rsid w:val="008F6E3D"/>
    <w:rsid w:val="008F780E"/>
    <w:rsid w:val="00900FCA"/>
    <w:rsid w:val="00903B04"/>
    <w:rsid w:val="00904B5B"/>
    <w:rsid w:val="00904EEB"/>
    <w:rsid w:val="009054FD"/>
    <w:rsid w:val="00906C0F"/>
    <w:rsid w:val="0090760D"/>
    <w:rsid w:val="00907F30"/>
    <w:rsid w:val="00907F96"/>
    <w:rsid w:val="0091094E"/>
    <w:rsid w:val="009128BE"/>
    <w:rsid w:val="009132F1"/>
    <w:rsid w:val="0091410F"/>
    <w:rsid w:val="00914ADC"/>
    <w:rsid w:val="00915A90"/>
    <w:rsid w:val="00915C05"/>
    <w:rsid w:val="00916D71"/>
    <w:rsid w:val="00916FB8"/>
    <w:rsid w:val="00921323"/>
    <w:rsid w:val="009220BF"/>
    <w:rsid w:val="0092212A"/>
    <w:rsid w:val="00922B4D"/>
    <w:rsid w:val="00923037"/>
    <w:rsid w:val="0092343D"/>
    <w:rsid w:val="009235C3"/>
    <w:rsid w:val="00923791"/>
    <w:rsid w:val="00923B37"/>
    <w:rsid w:val="00923E5D"/>
    <w:rsid w:val="00923E69"/>
    <w:rsid w:val="0092471E"/>
    <w:rsid w:val="00925832"/>
    <w:rsid w:val="009262A8"/>
    <w:rsid w:val="00927399"/>
    <w:rsid w:val="00930012"/>
    <w:rsid w:val="009317DD"/>
    <w:rsid w:val="00931D68"/>
    <w:rsid w:val="00932EE6"/>
    <w:rsid w:val="00932EFF"/>
    <w:rsid w:val="0093329B"/>
    <w:rsid w:val="00933688"/>
    <w:rsid w:val="00934441"/>
    <w:rsid w:val="00934A3E"/>
    <w:rsid w:val="00935CCD"/>
    <w:rsid w:val="009364CD"/>
    <w:rsid w:val="009376AA"/>
    <w:rsid w:val="009410BB"/>
    <w:rsid w:val="009412FD"/>
    <w:rsid w:val="009419D1"/>
    <w:rsid w:val="009426DF"/>
    <w:rsid w:val="009427D8"/>
    <w:rsid w:val="00943C21"/>
    <w:rsid w:val="00943E68"/>
    <w:rsid w:val="00943EC1"/>
    <w:rsid w:val="00944C8A"/>
    <w:rsid w:val="009453ED"/>
    <w:rsid w:val="00946C3B"/>
    <w:rsid w:val="00951842"/>
    <w:rsid w:val="00952168"/>
    <w:rsid w:val="00952383"/>
    <w:rsid w:val="00953593"/>
    <w:rsid w:val="00953A55"/>
    <w:rsid w:val="009543B5"/>
    <w:rsid w:val="00954AEF"/>
    <w:rsid w:val="00954B1A"/>
    <w:rsid w:val="00955B8E"/>
    <w:rsid w:val="009577E9"/>
    <w:rsid w:val="0095793F"/>
    <w:rsid w:val="009579B5"/>
    <w:rsid w:val="00957DD9"/>
    <w:rsid w:val="009604D7"/>
    <w:rsid w:val="00960948"/>
    <w:rsid w:val="009609B9"/>
    <w:rsid w:val="00960E04"/>
    <w:rsid w:val="00961275"/>
    <w:rsid w:val="009621AD"/>
    <w:rsid w:val="00963079"/>
    <w:rsid w:val="00963173"/>
    <w:rsid w:val="00963528"/>
    <w:rsid w:val="00963711"/>
    <w:rsid w:val="00964359"/>
    <w:rsid w:val="009643B2"/>
    <w:rsid w:val="00964572"/>
    <w:rsid w:val="009647FA"/>
    <w:rsid w:val="009649DF"/>
    <w:rsid w:val="00964C9E"/>
    <w:rsid w:val="00965418"/>
    <w:rsid w:val="00965ED5"/>
    <w:rsid w:val="00966D3F"/>
    <w:rsid w:val="009676EC"/>
    <w:rsid w:val="009703E4"/>
    <w:rsid w:val="00970C86"/>
    <w:rsid w:val="00972554"/>
    <w:rsid w:val="00972BEB"/>
    <w:rsid w:val="009733DA"/>
    <w:rsid w:val="009735AA"/>
    <w:rsid w:val="0097434A"/>
    <w:rsid w:val="009758B7"/>
    <w:rsid w:val="00975F28"/>
    <w:rsid w:val="009761D0"/>
    <w:rsid w:val="00976849"/>
    <w:rsid w:val="0097748C"/>
    <w:rsid w:val="00980E77"/>
    <w:rsid w:val="00980ED2"/>
    <w:rsid w:val="00981084"/>
    <w:rsid w:val="0098117E"/>
    <w:rsid w:val="0098255D"/>
    <w:rsid w:val="0098344E"/>
    <w:rsid w:val="00983D10"/>
    <w:rsid w:val="00984F63"/>
    <w:rsid w:val="00985528"/>
    <w:rsid w:val="009855CF"/>
    <w:rsid w:val="0098595E"/>
    <w:rsid w:val="00985F46"/>
    <w:rsid w:val="009861F3"/>
    <w:rsid w:val="00987069"/>
    <w:rsid w:val="00987678"/>
    <w:rsid w:val="00987C16"/>
    <w:rsid w:val="0099071C"/>
    <w:rsid w:val="0099096A"/>
    <w:rsid w:val="00990A1D"/>
    <w:rsid w:val="00990E76"/>
    <w:rsid w:val="0099169C"/>
    <w:rsid w:val="009924D9"/>
    <w:rsid w:val="009931FC"/>
    <w:rsid w:val="00993C0F"/>
    <w:rsid w:val="00994803"/>
    <w:rsid w:val="00994ABA"/>
    <w:rsid w:val="00995741"/>
    <w:rsid w:val="00995992"/>
    <w:rsid w:val="00995D0F"/>
    <w:rsid w:val="00995D72"/>
    <w:rsid w:val="00996077"/>
    <w:rsid w:val="00996BEA"/>
    <w:rsid w:val="009974E3"/>
    <w:rsid w:val="00997971"/>
    <w:rsid w:val="00997BEC"/>
    <w:rsid w:val="009A089C"/>
    <w:rsid w:val="009A1897"/>
    <w:rsid w:val="009A21C5"/>
    <w:rsid w:val="009A313C"/>
    <w:rsid w:val="009A35DE"/>
    <w:rsid w:val="009A36D1"/>
    <w:rsid w:val="009A4138"/>
    <w:rsid w:val="009A508F"/>
    <w:rsid w:val="009A52C0"/>
    <w:rsid w:val="009A553E"/>
    <w:rsid w:val="009A643D"/>
    <w:rsid w:val="009A6BA2"/>
    <w:rsid w:val="009A6E5D"/>
    <w:rsid w:val="009A72B9"/>
    <w:rsid w:val="009A776A"/>
    <w:rsid w:val="009A79E5"/>
    <w:rsid w:val="009B0197"/>
    <w:rsid w:val="009B0443"/>
    <w:rsid w:val="009B1620"/>
    <w:rsid w:val="009B189E"/>
    <w:rsid w:val="009B1D9A"/>
    <w:rsid w:val="009B1F58"/>
    <w:rsid w:val="009B1FAD"/>
    <w:rsid w:val="009B2A10"/>
    <w:rsid w:val="009B386B"/>
    <w:rsid w:val="009B3B46"/>
    <w:rsid w:val="009B44AE"/>
    <w:rsid w:val="009B4676"/>
    <w:rsid w:val="009B6FED"/>
    <w:rsid w:val="009B722C"/>
    <w:rsid w:val="009B7AFE"/>
    <w:rsid w:val="009B7D51"/>
    <w:rsid w:val="009C1F19"/>
    <w:rsid w:val="009C2500"/>
    <w:rsid w:val="009C2962"/>
    <w:rsid w:val="009C3C92"/>
    <w:rsid w:val="009C4039"/>
    <w:rsid w:val="009C4347"/>
    <w:rsid w:val="009C477F"/>
    <w:rsid w:val="009C4F5E"/>
    <w:rsid w:val="009C5BC6"/>
    <w:rsid w:val="009D021B"/>
    <w:rsid w:val="009D0832"/>
    <w:rsid w:val="009D0EDD"/>
    <w:rsid w:val="009D1850"/>
    <w:rsid w:val="009D185E"/>
    <w:rsid w:val="009D18F8"/>
    <w:rsid w:val="009D1DCB"/>
    <w:rsid w:val="009D2265"/>
    <w:rsid w:val="009D38D4"/>
    <w:rsid w:val="009D4202"/>
    <w:rsid w:val="009D4E5C"/>
    <w:rsid w:val="009D61F7"/>
    <w:rsid w:val="009D6597"/>
    <w:rsid w:val="009D6CB4"/>
    <w:rsid w:val="009E0451"/>
    <w:rsid w:val="009E2536"/>
    <w:rsid w:val="009E2642"/>
    <w:rsid w:val="009E29B4"/>
    <w:rsid w:val="009E29F9"/>
    <w:rsid w:val="009E4027"/>
    <w:rsid w:val="009E4195"/>
    <w:rsid w:val="009E51D1"/>
    <w:rsid w:val="009E5C28"/>
    <w:rsid w:val="009E7371"/>
    <w:rsid w:val="009E737B"/>
    <w:rsid w:val="009F0080"/>
    <w:rsid w:val="009F01A5"/>
    <w:rsid w:val="009F0C9D"/>
    <w:rsid w:val="009F116E"/>
    <w:rsid w:val="009F1FEA"/>
    <w:rsid w:val="009F2531"/>
    <w:rsid w:val="009F288A"/>
    <w:rsid w:val="009F395D"/>
    <w:rsid w:val="009F3983"/>
    <w:rsid w:val="009F39A4"/>
    <w:rsid w:val="009F4095"/>
    <w:rsid w:val="009F467B"/>
    <w:rsid w:val="009F571B"/>
    <w:rsid w:val="009F5CF5"/>
    <w:rsid w:val="009F66E9"/>
    <w:rsid w:val="009F70FA"/>
    <w:rsid w:val="009F79FF"/>
    <w:rsid w:val="00A00506"/>
    <w:rsid w:val="00A0091A"/>
    <w:rsid w:val="00A00AAC"/>
    <w:rsid w:val="00A00D41"/>
    <w:rsid w:val="00A01F52"/>
    <w:rsid w:val="00A03230"/>
    <w:rsid w:val="00A04282"/>
    <w:rsid w:val="00A0438B"/>
    <w:rsid w:val="00A0528A"/>
    <w:rsid w:val="00A055A5"/>
    <w:rsid w:val="00A05685"/>
    <w:rsid w:val="00A0592C"/>
    <w:rsid w:val="00A07899"/>
    <w:rsid w:val="00A07922"/>
    <w:rsid w:val="00A07A52"/>
    <w:rsid w:val="00A102D2"/>
    <w:rsid w:val="00A10FDC"/>
    <w:rsid w:val="00A115A5"/>
    <w:rsid w:val="00A11F04"/>
    <w:rsid w:val="00A123A8"/>
    <w:rsid w:val="00A1240D"/>
    <w:rsid w:val="00A137D9"/>
    <w:rsid w:val="00A13DC7"/>
    <w:rsid w:val="00A15CDD"/>
    <w:rsid w:val="00A1626F"/>
    <w:rsid w:val="00A1692A"/>
    <w:rsid w:val="00A178C0"/>
    <w:rsid w:val="00A20D5B"/>
    <w:rsid w:val="00A23B31"/>
    <w:rsid w:val="00A24994"/>
    <w:rsid w:val="00A24F92"/>
    <w:rsid w:val="00A2543F"/>
    <w:rsid w:val="00A25741"/>
    <w:rsid w:val="00A27434"/>
    <w:rsid w:val="00A30932"/>
    <w:rsid w:val="00A31714"/>
    <w:rsid w:val="00A31BEB"/>
    <w:rsid w:val="00A31C2E"/>
    <w:rsid w:val="00A32724"/>
    <w:rsid w:val="00A33572"/>
    <w:rsid w:val="00A33617"/>
    <w:rsid w:val="00A336D1"/>
    <w:rsid w:val="00A34A93"/>
    <w:rsid w:val="00A34DE4"/>
    <w:rsid w:val="00A34E9C"/>
    <w:rsid w:val="00A34F54"/>
    <w:rsid w:val="00A355D0"/>
    <w:rsid w:val="00A3566D"/>
    <w:rsid w:val="00A35694"/>
    <w:rsid w:val="00A35A50"/>
    <w:rsid w:val="00A360AA"/>
    <w:rsid w:val="00A36259"/>
    <w:rsid w:val="00A36346"/>
    <w:rsid w:val="00A36A5A"/>
    <w:rsid w:val="00A36E5F"/>
    <w:rsid w:val="00A40245"/>
    <w:rsid w:val="00A4059C"/>
    <w:rsid w:val="00A4067D"/>
    <w:rsid w:val="00A411D3"/>
    <w:rsid w:val="00A4149B"/>
    <w:rsid w:val="00A41960"/>
    <w:rsid w:val="00A41D04"/>
    <w:rsid w:val="00A4257B"/>
    <w:rsid w:val="00A4261C"/>
    <w:rsid w:val="00A42686"/>
    <w:rsid w:val="00A430C6"/>
    <w:rsid w:val="00A431C8"/>
    <w:rsid w:val="00A46376"/>
    <w:rsid w:val="00A46822"/>
    <w:rsid w:val="00A4789B"/>
    <w:rsid w:val="00A47A32"/>
    <w:rsid w:val="00A47C6C"/>
    <w:rsid w:val="00A52BCA"/>
    <w:rsid w:val="00A532F4"/>
    <w:rsid w:val="00A537AA"/>
    <w:rsid w:val="00A54165"/>
    <w:rsid w:val="00A5456B"/>
    <w:rsid w:val="00A54A59"/>
    <w:rsid w:val="00A54F72"/>
    <w:rsid w:val="00A55A1B"/>
    <w:rsid w:val="00A56666"/>
    <w:rsid w:val="00A573E7"/>
    <w:rsid w:val="00A61DB4"/>
    <w:rsid w:val="00A62126"/>
    <w:rsid w:val="00A628DB"/>
    <w:rsid w:val="00A63A55"/>
    <w:rsid w:val="00A652ED"/>
    <w:rsid w:val="00A653D1"/>
    <w:rsid w:val="00A6632D"/>
    <w:rsid w:val="00A66813"/>
    <w:rsid w:val="00A67083"/>
    <w:rsid w:val="00A672F6"/>
    <w:rsid w:val="00A677B3"/>
    <w:rsid w:val="00A679B9"/>
    <w:rsid w:val="00A70063"/>
    <w:rsid w:val="00A71B55"/>
    <w:rsid w:val="00A71FEC"/>
    <w:rsid w:val="00A723EC"/>
    <w:rsid w:val="00A72675"/>
    <w:rsid w:val="00A72A78"/>
    <w:rsid w:val="00A72B81"/>
    <w:rsid w:val="00A731E2"/>
    <w:rsid w:val="00A73373"/>
    <w:rsid w:val="00A73EE3"/>
    <w:rsid w:val="00A7437B"/>
    <w:rsid w:val="00A74829"/>
    <w:rsid w:val="00A75CA7"/>
    <w:rsid w:val="00A7722D"/>
    <w:rsid w:val="00A777DF"/>
    <w:rsid w:val="00A7796F"/>
    <w:rsid w:val="00A77CF3"/>
    <w:rsid w:val="00A800D2"/>
    <w:rsid w:val="00A8313D"/>
    <w:rsid w:val="00A837B4"/>
    <w:rsid w:val="00A8459F"/>
    <w:rsid w:val="00A85D06"/>
    <w:rsid w:val="00A8600D"/>
    <w:rsid w:val="00A8726C"/>
    <w:rsid w:val="00A87E60"/>
    <w:rsid w:val="00A903C4"/>
    <w:rsid w:val="00A90EC1"/>
    <w:rsid w:val="00A910D2"/>
    <w:rsid w:val="00A92C14"/>
    <w:rsid w:val="00A92CF4"/>
    <w:rsid w:val="00A9350E"/>
    <w:rsid w:val="00A936E4"/>
    <w:rsid w:val="00A938DC"/>
    <w:rsid w:val="00A948A6"/>
    <w:rsid w:val="00A966CB"/>
    <w:rsid w:val="00A96E31"/>
    <w:rsid w:val="00A96FA5"/>
    <w:rsid w:val="00A9775C"/>
    <w:rsid w:val="00A97797"/>
    <w:rsid w:val="00A97D3E"/>
    <w:rsid w:val="00A97E91"/>
    <w:rsid w:val="00AA133D"/>
    <w:rsid w:val="00AA1647"/>
    <w:rsid w:val="00AA2089"/>
    <w:rsid w:val="00AA33A1"/>
    <w:rsid w:val="00AA3764"/>
    <w:rsid w:val="00AA5D9F"/>
    <w:rsid w:val="00AA67F3"/>
    <w:rsid w:val="00AA69FB"/>
    <w:rsid w:val="00AA6FDF"/>
    <w:rsid w:val="00AA7847"/>
    <w:rsid w:val="00AA7A23"/>
    <w:rsid w:val="00AA7B29"/>
    <w:rsid w:val="00AB043A"/>
    <w:rsid w:val="00AB0CE3"/>
    <w:rsid w:val="00AB1D1D"/>
    <w:rsid w:val="00AB2DE8"/>
    <w:rsid w:val="00AB3CF9"/>
    <w:rsid w:val="00AB41EB"/>
    <w:rsid w:val="00AB43B1"/>
    <w:rsid w:val="00AB48D8"/>
    <w:rsid w:val="00AB4E65"/>
    <w:rsid w:val="00AB562C"/>
    <w:rsid w:val="00AB5B7B"/>
    <w:rsid w:val="00AB5BE2"/>
    <w:rsid w:val="00AB5DA0"/>
    <w:rsid w:val="00AB601E"/>
    <w:rsid w:val="00AB7319"/>
    <w:rsid w:val="00AB751D"/>
    <w:rsid w:val="00AB77FC"/>
    <w:rsid w:val="00AB7FB7"/>
    <w:rsid w:val="00AC0164"/>
    <w:rsid w:val="00AC1F1B"/>
    <w:rsid w:val="00AC3C60"/>
    <w:rsid w:val="00AC3CA4"/>
    <w:rsid w:val="00AC5016"/>
    <w:rsid w:val="00AC6A05"/>
    <w:rsid w:val="00AC7281"/>
    <w:rsid w:val="00AC7EBA"/>
    <w:rsid w:val="00AD0975"/>
    <w:rsid w:val="00AD09E9"/>
    <w:rsid w:val="00AD0AA0"/>
    <w:rsid w:val="00AD103B"/>
    <w:rsid w:val="00AD1106"/>
    <w:rsid w:val="00AD114E"/>
    <w:rsid w:val="00AD2C84"/>
    <w:rsid w:val="00AD4E46"/>
    <w:rsid w:val="00AD6CF2"/>
    <w:rsid w:val="00AE0FAB"/>
    <w:rsid w:val="00AE18E4"/>
    <w:rsid w:val="00AE3286"/>
    <w:rsid w:val="00AE38C9"/>
    <w:rsid w:val="00AE42D3"/>
    <w:rsid w:val="00AE4704"/>
    <w:rsid w:val="00AE549F"/>
    <w:rsid w:val="00AE61ED"/>
    <w:rsid w:val="00AE64AC"/>
    <w:rsid w:val="00AE6ABC"/>
    <w:rsid w:val="00AE7549"/>
    <w:rsid w:val="00AE7997"/>
    <w:rsid w:val="00AE7E24"/>
    <w:rsid w:val="00AF13CF"/>
    <w:rsid w:val="00AF1557"/>
    <w:rsid w:val="00AF1650"/>
    <w:rsid w:val="00AF1B99"/>
    <w:rsid w:val="00AF38BA"/>
    <w:rsid w:val="00AF3AD3"/>
    <w:rsid w:val="00AF440F"/>
    <w:rsid w:val="00AF67FD"/>
    <w:rsid w:val="00AF6E57"/>
    <w:rsid w:val="00AF7AEA"/>
    <w:rsid w:val="00AF7C46"/>
    <w:rsid w:val="00B0028C"/>
    <w:rsid w:val="00B00367"/>
    <w:rsid w:val="00B00C89"/>
    <w:rsid w:val="00B023AD"/>
    <w:rsid w:val="00B02729"/>
    <w:rsid w:val="00B027C6"/>
    <w:rsid w:val="00B02AEB"/>
    <w:rsid w:val="00B03266"/>
    <w:rsid w:val="00B03DBB"/>
    <w:rsid w:val="00B045B6"/>
    <w:rsid w:val="00B0483C"/>
    <w:rsid w:val="00B05968"/>
    <w:rsid w:val="00B05FFF"/>
    <w:rsid w:val="00B06ADD"/>
    <w:rsid w:val="00B06CC2"/>
    <w:rsid w:val="00B073D3"/>
    <w:rsid w:val="00B07AFB"/>
    <w:rsid w:val="00B07C24"/>
    <w:rsid w:val="00B10381"/>
    <w:rsid w:val="00B1269B"/>
    <w:rsid w:val="00B138E6"/>
    <w:rsid w:val="00B138F4"/>
    <w:rsid w:val="00B13EEA"/>
    <w:rsid w:val="00B14A8C"/>
    <w:rsid w:val="00B1523D"/>
    <w:rsid w:val="00B15E60"/>
    <w:rsid w:val="00B1635F"/>
    <w:rsid w:val="00B16603"/>
    <w:rsid w:val="00B16AA7"/>
    <w:rsid w:val="00B17CF5"/>
    <w:rsid w:val="00B20502"/>
    <w:rsid w:val="00B20A59"/>
    <w:rsid w:val="00B20F98"/>
    <w:rsid w:val="00B21EDF"/>
    <w:rsid w:val="00B2249C"/>
    <w:rsid w:val="00B22F0A"/>
    <w:rsid w:val="00B26548"/>
    <w:rsid w:val="00B2759F"/>
    <w:rsid w:val="00B27DAA"/>
    <w:rsid w:val="00B30286"/>
    <w:rsid w:val="00B30429"/>
    <w:rsid w:val="00B310CE"/>
    <w:rsid w:val="00B31F18"/>
    <w:rsid w:val="00B32016"/>
    <w:rsid w:val="00B32304"/>
    <w:rsid w:val="00B330A8"/>
    <w:rsid w:val="00B33EB5"/>
    <w:rsid w:val="00B3456F"/>
    <w:rsid w:val="00B34D03"/>
    <w:rsid w:val="00B361AB"/>
    <w:rsid w:val="00B363D9"/>
    <w:rsid w:val="00B36920"/>
    <w:rsid w:val="00B3D6CD"/>
    <w:rsid w:val="00B40599"/>
    <w:rsid w:val="00B4059B"/>
    <w:rsid w:val="00B406BC"/>
    <w:rsid w:val="00B41F0F"/>
    <w:rsid w:val="00B422BB"/>
    <w:rsid w:val="00B4246D"/>
    <w:rsid w:val="00B4274F"/>
    <w:rsid w:val="00B42970"/>
    <w:rsid w:val="00B447AA"/>
    <w:rsid w:val="00B447D4"/>
    <w:rsid w:val="00B4486E"/>
    <w:rsid w:val="00B45BE2"/>
    <w:rsid w:val="00B45DAD"/>
    <w:rsid w:val="00B46467"/>
    <w:rsid w:val="00B46BEB"/>
    <w:rsid w:val="00B46D52"/>
    <w:rsid w:val="00B46EA2"/>
    <w:rsid w:val="00B47714"/>
    <w:rsid w:val="00B47F29"/>
    <w:rsid w:val="00B507D1"/>
    <w:rsid w:val="00B51958"/>
    <w:rsid w:val="00B52AB8"/>
    <w:rsid w:val="00B54C96"/>
    <w:rsid w:val="00B55781"/>
    <w:rsid w:val="00B5586D"/>
    <w:rsid w:val="00B55980"/>
    <w:rsid w:val="00B55FCF"/>
    <w:rsid w:val="00B5603D"/>
    <w:rsid w:val="00B563A8"/>
    <w:rsid w:val="00B57C21"/>
    <w:rsid w:val="00B60990"/>
    <w:rsid w:val="00B6117D"/>
    <w:rsid w:val="00B621FB"/>
    <w:rsid w:val="00B62677"/>
    <w:rsid w:val="00B627BB"/>
    <w:rsid w:val="00B62B49"/>
    <w:rsid w:val="00B63CD5"/>
    <w:rsid w:val="00B645B0"/>
    <w:rsid w:val="00B6470E"/>
    <w:rsid w:val="00B6671E"/>
    <w:rsid w:val="00B675C0"/>
    <w:rsid w:val="00B676A1"/>
    <w:rsid w:val="00B677A7"/>
    <w:rsid w:val="00B7192A"/>
    <w:rsid w:val="00B738CB"/>
    <w:rsid w:val="00B73E97"/>
    <w:rsid w:val="00B754F6"/>
    <w:rsid w:val="00B75B4F"/>
    <w:rsid w:val="00B75E1D"/>
    <w:rsid w:val="00B76A73"/>
    <w:rsid w:val="00B76C7A"/>
    <w:rsid w:val="00B76D1F"/>
    <w:rsid w:val="00B77420"/>
    <w:rsid w:val="00B77546"/>
    <w:rsid w:val="00B77AA6"/>
    <w:rsid w:val="00B80839"/>
    <w:rsid w:val="00B830DF"/>
    <w:rsid w:val="00B8341B"/>
    <w:rsid w:val="00B83A2E"/>
    <w:rsid w:val="00B842CE"/>
    <w:rsid w:val="00B850CA"/>
    <w:rsid w:val="00B8556C"/>
    <w:rsid w:val="00B8579F"/>
    <w:rsid w:val="00B85938"/>
    <w:rsid w:val="00B86992"/>
    <w:rsid w:val="00B86E66"/>
    <w:rsid w:val="00B90372"/>
    <w:rsid w:val="00B91583"/>
    <w:rsid w:val="00B918D7"/>
    <w:rsid w:val="00B91D41"/>
    <w:rsid w:val="00B9426C"/>
    <w:rsid w:val="00B94553"/>
    <w:rsid w:val="00B9521B"/>
    <w:rsid w:val="00B95C42"/>
    <w:rsid w:val="00B96202"/>
    <w:rsid w:val="00B96FC8"/>
    <w:rsid w:val="00B971DB"/>
    <w:rsid w:val="00B97C72"/>
    <w:rsid w:val="00B97F92"/>
    <w:rsid w:val="00BA0535"/>
    <w:rsid w:val="00BA1255"/>
    <w:rsid w:val="00BA1274"/>
    <w:rsid w:val="00BA2279"/>
    <w:rsid w:val="00BA2F03"/>
    <w:rsid w:val="00BA3A19"/>
    <w:rsid w:val="00BA5411"/>
    <w:rsid w:val="00BA5AEB"/>
    <w:rsid w:val="00BA60CF"/>
    <w:rsid w:val="00BA7DA6"/>
    <w:rsid w:val="00BB1200"/>
    <w:rsid w:val="00BB19DA"/>
    <w:rsid w:val="00BB1DD7"/>
    <w:rsid w:val="00BB2E0F"/>
    <w:rsid w:val="00BB301A"/>
    <w:rsid w:val="00BB3517"/>
    <w:rsid w:val="00BB522E"/>
    <w:rsid w:val="00BB537C"/>
    <w:rsid w:val="00BB67AB"/>
    <w:rsid w:val="00BB71E2"/>
    <w:rsid w:val="00BB72D9"/>
    <w:rsid w:val="00BC17A6"/>
    <w:rsid w:val="00BC1ADC"/>
    <w:rsid w:val="00BC2190"/>
    <w:rsid w:val="00BC2504"/>
    <w:rsid w:val="00BC560C"/>
    <w:rsid w:val="00BC6305"/>
    <w:rsid w:val="00BC646A"/>
    <w:rsid w:val="00BC6517"/>
    <w:rsid w:val="00BC7100"/>
    <w:rsid w:val="00BC7470"/>
    <w:rsid w:val="00BC7584"/>
    <w:rsid w:val="00BC77F2"/>
    <w:rsid w:val="00BD0803"/>
    <w:rsid w:val="00BD09A0"/>
    <w:rsid w:val="00BD09B9"/>
    <w:rsid w:val="00BD1040"/>
    <w:rsid w:val="00BD1B73"/>
    <w:rsid w:val="00BD2BA6"/>
    <w:rsid w:val="00BD3A36"/>
    <w:rsid w:val="00BD4B71"/>
    <w:rsid w:val="00BD4B78"/>
    <w:rsid w:val="00BD596E"/>
    <w:rsid w:val="00BD5E01"/>
    <w:rsid w:val="00BD6BCF"/>
    <w:rsid w:val="00BD735D"/>
    <w:rsid w:val="00BD7442"/>
    <w:rsid w:val="00BE0419"/>
    <w:rsid w:val="00BE1D40"/>
    <w:rsid w:val="00BE2385"/>
    <w:rsid w:val="00BE2F87"/>
    <w:rsid w:val="00BE2FB3"/>
    <w:rsid w:val="00BE3DCE"/>
    <w:rsid w:val="00BE3F58"/>
    <w:rsid w:val="00BE4D8B"/>
    <w:rsid w:val="00BE53C8"/>
    <w:rsid w:val="00BE5DB7"/>
    <w:rsid w:val="00BF0CB1"/>
    <w:rsid w:val="00BF0DF4"/>
    <w:rsid w:val="00BF19CD"/>
    <w:rsid w:val="00BF2128"/>
    <w:rsid w:val="00BF396A"/>
    <w:rsid w:val="00BF4CBF"/>
    <w:rsid w:val="00BF5DF1"/>
    <w:rsid w:val="00BF60DF"/>
    <w:rsid w:val="00BF71A3"/>
    <w:rsid w:val="00BF78BF"/>
    <w:rsid w:val="00BF7F13"/>
    <w:rsid w:val="00C00A0C"/>
    <w:rsid w:val="00C01081"/>
    <w:rsid w:val="00C01507"/>
    <w:rsid w:val="00C038CA"/>
    <w:rsid w:val="00C039DE"/>
    <w:rsid w:val="00C03F95"/>
    <w:rsid w:val="00C04532"/>
    <w:rsid w:val="00C04807"/>
    <w:rsid w:val="00C05786"/>
    <w:rsid w:val="00C06F5A"/>
    <w:rsid w:val="00C07254"/>
    <w:rsid w:val="00C0747F"/>
    <w:rsid w:val="00C074BD"/>
    <w:rsid w:val="00C07D05"/>
    <w:rsid w:val="00C10949"/>
    <w:rsid w:val="00C109D6"/>
    <w:rsid w:val="00C11E94"/>
    <w:rsid w:val="00C12289"/>
    <w:rsid w:val="00C1249D"/>
    <w:rsid w:val="00C12589"/>
    <w:rsid w:val="00C125AB"/>
    <w:rsid w:val="00C12A5C"/>
    <w:rsid w:val="00C12AA1"/>
    <w:rsid w:val="00C13913"/>
    <w:rsid w:val="00C13BB0"/>
    <w:rsid w:val="00C15A3A"/>
    <w:rsid w:val="00C21AB0"/>
    <w:rsid w:val="00C221F0"/>
    <w:rsid w:val="00C22D26"/>
    <w:rsid w:val="00C231AC"/>
    <w:rsid w:val="00C2365F"/>
    <w:rsid w:val="00C23AB9"/>
    <w:rsid w:val="00C23BC6"/>
    <w:rsid w:val="00C23F70"/>
    <w:rsid w:val="00C24178"/>
    <w:rsid w:val="00C24DF5"/>
    <w:rsid w:val="00C24E6E"/>
    <w:rsid w:val="00C2545F"/>
    <w:rsid w:val="00C26933"/>
    <w:rsid w:val="00C26B2A"/>
    <w:rsid w:val="00C30215"/>
    <w:rsid w:val="00C302D4"/>
    <w:rsid w:val="00C30829"/>
    <w:rsid w:val="00C315F9"/>
    <w:rsid w:val="00C324D2"/>
    <w:rsid w:val="00C326A4"/>
    <w:rsid w:val="00C339C0"/>
    <w:rsid w:val="00C34583"/>
    <w:rsid w:val="00C352F4"/>
    <w:rsid w:val="00C35F97"/>
    <w:rsid w:val="00C3609E"/>
    <w:rsid w:val="00C361DB"/>
    <w:rsid w:val="00C36E5D"/>
    <w:rsid w:val="00C37B41"/>
    <w:rsid w:val="00C37CBB"/>
    <w:rsid w:val="00C40BBB"/>
    <w:rsid w:val="00C40E36"/>
    <w:rsid w:val="00C41202"/>
    <w:rsid w:val="00C414A0"/>
    <w:rsid w:val="00C414C7"/>
    <w:rsid w:val="00C4208E"/>
    <w:rsid w:val="00C42093"/>
    <w:rsid w:val="00C420FD"/>
    <w:rsid w:val="00C4234A"/>
    <w:rsid w:val="00C446D1"/>
    <w:rsid w:val="00C45721"/>
    <w:rsid w:val="00C45C55"/>
    <w:rsid w:val="00C45F87"/>
    <w:rsid w:val="00C46D29"/>
    <w:rsid w:val="00C473EB"/>
    <w:rsid w:val="00C508BF"/>
    <w:rsid w:val="00C5177C"/>
    <w:rsid w:val="00C51A87"/>
    <w:rsid w:val="00C5275E"/>
    <w:rsid w:val="00C53D52"/>
    <w:rsid w:val="00C555FF"/>
    <w:rsid w:val="00C55CC0"/>
    <w:rsid w:val="00C5619E"/>
    <w:rsid w:val="00C56929"/>
    <w:rsid w:val="00C56C05"/>
    <w:rsid w:val="00C61BC9"/>
    <w:rsid w:val="00C62EA0"/>
    <w:rsid w:val="00C63A17"/>
    <w:rsid w:val="00C64118"/>
    <w:rsid w:val="00C646BF"/>
    <w:rsid w:val="00C64C21"/>
    <w:rsid w:val="00C64F5C"/>
    <w:rsid w:val="00C6579E"/>
    <w:rsid w:val="00C67C46"/>
    <w:rsid w:val="00C67C95"/>
    <w:rsid w:val="00C70164"/>
    <w:rsid w:val="00C708D5"/>
    <w:rsid w:val="00C7097B"/>
    <w:rsid w:val="00C71EB7"/>
    <w:rsid w:val="00C720F7"/>
    <w:rsid w:val="00C7243F"/>
    <w:rsid w:val="00C7304E"/>
    <w:rsid w:val="00C731AE"/>
    <w:rsid w:val="00C74B99"/>
    <w:rsid w:val="00C754F3"/>
    <w:rsid w:val="00C76D4C"/>
    <w:rsid w:val="00C77985"/>
    <w:rsid w:val="00C80736"/>
    <w:rsid w:val="00C80873"/>
    <w:rsid w:val="00C811D1"/>
    <w:rsid w:val="00C81796"/>
    <w:rsid w:val="00C81938"/>
    <w:rsid w:val="00C81C9A"/>
    <w:rsid w:val="00C8313B"/>
    <w:rsid w:val="00C8327E"/>
    <w:rsid w:val="00C83EBA"/>
    <w:rsid w:val="00C84799"/>
    <w:rsid w:val="00C853AA"/>
    <w:rsid w:val="00C869B5"/>
    <w:rsid w:val="00C90A71"/>
    <w:rsid w:val="00C91054"/>
    <w:rsid w:val="00C923E6"/>
    <w:rsid w:val="00C92500"/>
    <w:rsid w:val="00C93209"/>
    <w:rsid w:val="00C936BC"/>
    <w:rsid w:val="00C939FC"/>
    <w:rsid w:val="00C9443C"/>
    <w:rsid w:val="00C94447"/>
    <w:rsid w:val="00C9477A"/>
    <w:rsid w:val="00C95127"/>
    <w:rsid w:val="00C9524F"/>
    <w:rsid w:val="00C9561B"/>
    <w:rsid w:val="00C9698B"/>
    <w:rsid w:val="00C96A2C"/>
    <w:rsid w:val="00C97954"/>
    <w:rsid w:val="00C97961"/>
    <w:rsid w:val="00CA07DF"/>
    <w:rsid w:val="00CA10B8"/>
    <w:rsid w:val="00CA191E"/>
    <w:rsid w:val="00CA1AF2"/>
    <w:rsid w:val="00CA2204"/>
    <w:rsid w:val="00CA2A63"/>
    <w:rsid w:val="00CA36C1"/>
    <w:rsid w:val="00CA36CD"/>
    <w:rsid w:val="00CA4EA7"/>
    <w:rsid w:val="00CA5115"/>
    <w:rsid w:val="00CA55FF"/>
    <w:rsid w:val="00CA59A6"/>
    <w:rsid w:val="00CA68C3"/>
    <w:rsid w:val="00CB0781"/>
    <w:rsid w:val="00CB0B91"/>
    <w:rsid w:val="00CB0BF6"/>
    <w:rsid w:val="00CB0FE8"/>
    <w:rsid w:val="00CB13B0"/>
    <w:rsid w:val="00CB229B"/>
    <w:rsid w:val="00CB29C7"/>
    <w:rsid w:val="00CB3962"/>
    <w:rsid w:val="00CB3FC2"/>
    <w:rsid w:val="00CB4741"/>
    <w:rsid w:val="00CB4DF3"/>
    <w:rsid w:val="00CB50A9"/>
    <w:rsid w:val="00CB617A"/>
    <w:rsid w:val="00CB61AB"/>
    <w:rsid w:val="00CB7C27"/>
    <w:rsid w:val="00CC0293"/>
    <w:rsid w:val="00CC1C4E"/>
    <w:rsid w:val="00CC321D"/>
    <w:rsid w:val="00CC3D09"/>
    <w:rsid w:val="00CC3EC4"/>
    <w:rsid w:val="00CC4107"/>
    <w:rsid w:val="00CC4D72"/>
    <w:rsid w:val="00CC4E2B"/>
    <w:rsid w:val="00CC4EF5"/>
    <w:rsid w:val="00CC4FCD"/>
    <w:rsid w:val="00CC5410"/>
    <w:rsid w:val="00CC5A48"/>
    <w:rsid w:val="00CC5ED7"/>
    <w:rsid w:val="00CC75EF"/>
    <w:rsid w:val="00CC76A6"/>
    <w:rsid w:val="00CC783F"/>
    <w:rsid w:val="00CD0364"/>
    <w:rsid w:val="00CD06EA"/>
    <w:rsid w:val="00CD37AC"/>
    <w:rsid w:val="00CD4E85"/>
    <w:rsid w:val="00CD6B5C"/>
    <w:rsid w:val="00CD7CD2"/>
    <w:rsid w:val="00CE08E2"/>
    <w:rsid w:val="00CE1A2E"/>
    <w:rsid w:val="00CE333B"/>
    <w:rsid w:val="00CE344A"/>
    <w:rsid w:val="00CE3997"/>
    <w:rsid w:val="00CE5252"/>
    <w:rsid w:val="00CE549C"/>
    <w:rsid w:val="00CE54D9"/>
    <w:rsid w:val="00CE5DB4"/>
    <w:rsid w:val="00CE5FDA"/>
    <w:rsid w:val="00CE669A"/>
    <w:rsid w:val="00CE728D"/>
    <w:rsid w:val="00CE7686"/>
    <w:rsid w:val="00CF0C59"/>
    <w:rsid w:val="00CF163D"/>
    <w:rsid w:val="00CF1E51"/>
    <w:rsid w:val="00CF2C30"/>
    <w:rsid w:val="00CF3495"/>
    <w:rsid w:val="00CF39AA"/>
    <w:rsid w:val="00CF3F10"/>
    <w:rsid w:val="00CF435B"/>
    <w:rsid w:val="00CF476C"/>
    <w:rsid w:val="00CF5011"/>
    <w:rsid w:val="00CF52E7"/>
    <w:rsid w:val="00CF5657"/>
    <w:rsid w:val="00CF5747"/>
    <w:rsid w:val="00CF5871"/>
    <w:rsid w:val="00CF5E0F"/>
    <w:rsid w:val="00CF6184"/>
    <w:rsid w:val="00CF66F4"/>
    <w:rsid w:val="00CF6BCA"/>
    <w:rsid w:val="00CF7A1E"/>
    <w:rsid w:val="00CF7CAE"/>
    <w:rsid w:val="00CF7D50"/>
    <w:rsid w:val="00D006DC"/>
    <w:rsid w:val="00D00A95"/>
    <w:rsid w:val="00D00D32"/>
    <w:rsid w:val="00D015BD"/>
    <w:rsid w:val="00D01CB6"/>
    <w:rsid w:val="00D02256"/>
    <w:rsid w:val="00D02D10"/>
    <w:rsid w:val="00D035B1"/>
    <w:rsid w:val="00D03A59"/>
    <w:rsid w:val="00D03F29"/>
    <w:rsid w:val="00D045A7"/>
    <w:rsid w:val="00D045C7"/>
    <w:rsid w:val="00D04DD7"/>
    <w:rsid w:val="00D05F5E"/>
    <w:rsid w:val="00D06082"/>
    <w:rsid w:val="00D06C7B"/>
    <w:rsid w:val="00D1057F"/>
    <w:rsid w:val="00D10AE4"/>
    <w:rsid w:val="00D1128F"/>
    <w:rsid w:val="00D125B1"/>
    <w:rsid w:val="00D12F67"/>
    <w:rsid w:val="00D136EA"/>
    <w:rsid w:val="00D13E35"/>
    <w:rsid w:val="00D145E1"/>
    <w:rsid w:val="00D14A7C"/>
    <w:rsid w:val="00D1521E"/>
    <w:rsid w:val="00D1549D"/>
    <w:rsid w:val="00D15E5D"/>
    <w:rsid w:val="00D16AB0"/>
    <w:rsid w:val="00D17406"/>
    <w:rsid w:val="00D17655"/>
    <w:rsid w:val="00D2044B"/>
    <w:rsid w:val="00D20737"/>
    <w:rsid w:val="00D20F30"/>
    <w:rsid w:val="00D211A2"/>
    <w:rsid w:val="00D21342"/>
    <w:rsid w:val="00D23351"/>
    <w:rsid w:val="00D24A0D"/>
    <w:rsid w:val="00D25A4E"/>
    <w:rsid w:val="00D26250"/>
    <w:rsid w:val="00D271AF"/>
    <w:rsid w:val="00D2727D"/>
    <w:rsid w:val="00D272F3"/>
    <w:rsid w:val="00D27C9D"/>
    <w:rsid w:val="00D3059E"/>
    <w:rsid w:val="00D30ADA"/>
    <w:rsid w:val="00D30C1B"/>
    <w:rsid w:val="00D30EE0"/>
    <w:rsid w:val="00D31861"/>
    <w:rsid w:val="00D31974"/>
    <w:rsid w:val="00D31D2C"/>
    <w:rsid w:val="00D32CC3"/>
    <w:rsid w:val="00D33373"/>
    <w:rsid w:val="00D33526"/>
    <w:rsid w:val="00D33E0F"/>
    <w:rsid w:val="00D347E8"/>
    <w:rsid w:val="00D34952"/>
    <w:rsid w:val="00D3522C"/>
    <w:rsid w:val="00D3544F"/>
    <w:rsid w:val="00D364A1"/>
    <w:rsid w:val="00D36B00"/>
    <w:rsid w:val="00D4015B"/>
    <w:rsid w:val="00D40B63"/>
    <w:rsid w:val="00D4185D"/>
    <w:rsid w:val="00D44929"/>
    <w:rsid w:val="00D46096"/>
    <w:rsid w:val="00D46101"/>
    <w:rsid w:val="00D469D2"/>
    <w:rsid w:val="00D46A3D"/>
    <w:rsid w:val="00D46C1F"/>
    <w:rsid w:val="00D46FCB"/>
    <w:rsid w:val="00D47713"/>
    <w:rsid w:val="00D47D79"/>
    <w:rsid w:val="00D50224"/>
    <w:rsid w:val="00D505C3"/>
    <w:rsid w:val="00D50A5E"/>
    <w:rsid w:val="00D51313"/>
    <w:rsid w:val="00D523E7"/>
    <w:rsid w:val="00D529E6"/>
    <w:rsid w:val="00D52BA3"/>
    <w:rsid w:val="00D536DD"/>
    <w:rsid w:val="00D53966"/>
    <w:rsid w:val="00D53BCE"/>
    <w:rsid w:val="00D53D37"/>
    <w:rsid w:val="00D540DA"/>
    <w:rsid w:val="00D54353"/>
    <w:rsid w:val="00D5630F"/>
    <w:rsid w:val="00D56E4B"/>
    <w:rsid w:val="00D57B19"/>
    <w:rsid w:val="00D57C44"/>
    <w:rsid w:val="00D600AC"/>
    <w:rsid w:val="00D60D6A"/>
    <w:rsid w:val="00D61254"/>
    <w:rsid w:val="00D61C23"/>
    <w:rsid w:val="00D638A6"/>
    <w:rsid w:val="00D63970"/>
    <w:rsid w:val="00D63A48"/>
    <w:rsid w:val="00D63E0C"/>
    <w:rsid w:val="00D64B97"/>
    <w:rsid w:val="00D65306"/>
    <w:rsid w:val="00D675D9"/>
    <w:rsid w:val="00D676C9"/>
    <w:rsid w:val="00D67CF6"/>
    <w:rsid w:val="00D67DCC"/>
    <w:rsid w:val="00D71D8D"/>
    <w:rsid w:val="00D72583"/>
    <w:rsid w:val="00D73559"/>
    <w:rsid w:val="00D735E2"/>
    <w:rsid w:val="00D73F12"/>
    <w:rsid w:val="00D7627D"/>
    <w:rsid w:val="00D77B1D"/>
    <w:rsid w:val="00D802F0"/>
    <w:rsid w:val="00D81627"/>
    <w:rsid w:val="00D827CF"/>
    <w:rsid w:val="00D83631"/>
    <w:rsid w:val="00D84B1B"/>
    <w:rsid w:val="00D84CEC"/>
    <w:rsid w:val="00D84F5A"/>
    <w:rsid w:val="00D86E55"/>
    <w:rsid w:val="00D87567"/>
    <w:rsid w:val="00D90074"/>
    <w:rsid w:val="00D90410"/>
    <w:rsid w:val="00D9076C"/>
    <w:rsid w:val="00D90D9D"/>
    <w:rsid w:val="00D9181D"/>
    <w:rsid w:val="00D919BA"/>
    <w:rsid w:val="00D92F12"/>
    <w:rsid w:val="00D945F9"/>
    <w:rsid w:val="00D9461C"/>
    <w:rsid w:val="00D950B2"/>
    <w:rsid w:val="00DA0324"/>
    <w:rsid w:val="00DA0346"/>
    <w:rsid w:val="00DA09E5"/>
    <w:rsid w:val="00DA1409"/>
    <w:rsid w:val="00DA2696"/>
    <w:rsid w:val="00DA2A6E"/>
    <w:rsid w:val="00DA2E61"/>
    <w:rsid w:val="00DA4570"/>
    <w:rsid w:val="00DA490F"/>
    <w:rsid w:val="00DA4B5F"/>
    <w:rsid w:val="00DA4D10"/>
    <w:rsid w:val="00DA5219"/>
    <w:rsid w:val="00DA580D"/>
    <w:rsid w:val="00DA6075"/>
    <w:rsid w:val="00DA75C3"/>
    <w:rsid w:val="00DA77BC"/>
    <w:rsid w:val="00DA77DE"/>
    <w:rsid w:val="00DA7940"/>
    <w:rsid w:val="00DB08E7"/>
    <w:rsid w:val="00DB08FB"/>
    <w:rsid w:val="00DB0958"/>
    <w:rsid w:val="00DB1AF3"/>
    <w:rsid w:val="00DB1B61"/>
    <w:rsid w:val="00DB2CCE"/>
    <w:rsid w:val="00DB325B"/>
    <w:rsid w:val="00DB34B3"/>
    <w:rsid w:val="00DB478B"/>
    <w:rsid w:val="00DB4DAD"/>
    <w:rsid w:val="00DB4F8E"/>
    <w:rsid w:val="00DB60A8"/>
    <w:rsid w:val="00DB6704"/>
    <w:rsid w:val="00DB6761"/>
    <w:rsid w:val="00DB67E6"/>
    <w:rsid w:val="00DB6831"/>
    <w:rsid w:val="00DB7018"/>
    <w:rsid w:val="00DB7AFF"/>
    <w:rsid w:val="00DC0503"/>
    <w:rsid w:val="00DC0F26"/>
    <w:rsid w:val="00DC253F"/>
    <w:rsid w:val="00DC26CB"/>
    <w:rsid w:val="00DC34CB"/>
    <w:rsid w:val="00DC35B1"/>
    <w:rsid w:val="00DC5FCB"/>
    <w:rsid w:val="00DC61CA"/>
    <w:rsid w:val="00DC6AA2"/>
    <w:rsid w:val="00DC7BC0"/>
    <w:rsid w:val="00DD0414"/>
    <w:rsid w:val="00DD1596"/>
    <w:rsid w:val="00DD18AF"/>
    <w:rsid w:val="00DD1E6D"/>
    <w:rsid w:val="00DD23AF"/>
    <w:rsid w:val="00DD2AD4"/>
    <w:rsid w:val="00DD2F33"/>
    <w:rsid w:val="00DD326C"/>
    <w:rsid w:val="00DD4C93"/>
    <w:rsid w:val="00DD5567"/>
    <w:rsid w:val="00DD5BA0"/>
    <w:rsid w:val="00DE07A0"/>
    <w:rsid w:val="00DE1F73"/>
    <w:rsid w:val="00DE24BC"/>
    <w:rsid w:val="00DE2A40"/>
    <w:rsid w:val="00DE2C4C"/>
    <w:rsid w:val="00DE30AA"/>
    <w:rsid w:val="00DE5F5A"/>
    <w:rsid w:val="00DE65E5"/>
    <w:rsid w:val="00DE6696"/>
    <w:rsid w:val="00DE7FB5"/>
    <w:rsid w:val="00DF02D7"/>
    <w:rsid w:val="00DF06DF"/>
    <w:rsid w:val="00DF0A61"/>
    <w:rsid w:val="00DF0FA7"/>
    <w:rsid w:val="00DF1B3C"/>
    <w:rsid w:val="00DF1BE6"/>
    <w:rsid w:val="00DF28AC"/>
    <w:rsid w:val="00DF3219"/>
    <w:rsid w:val="00DF345A"/>
    <w:rsid w:val="00DF378F"/>
    <w:rsid w:val="00DF3993"/>
    <w:rsid w:val="00DF464E"/>
    <w:rsid w:val="00DF473A"/>
    <w:rsid w:val="00DF5323"/>
    <w:rsid w:val="00DF5650"/>
    <w:rsid w:val="00DF5D50"/>
    <w:rsid w:val="00DF5FB1"/>
    <w:rsid w:val="00DF63BA"/>
    <w:rsid w:val="00DF67E3"/>
    <w:rsid w:val="00DF6F6B"/>
    <w:rsid w:val="00DF6F85"/>
    <w:rsid w:val="00DF72FF"/>
    <w:rsid w:val="00DF78E6"/>
    <w:rsid w:val="00DF7998"/>
    <w:rsid w:val="00DF7A53"/>
    <w:rsid w:val="00E0013B"/>
    <w:rsid w:val="00E0153F"/>
    <w:rsid w:val="00E017AC"/>
    <w:rsid w:val="00E02A6D"/>
    <w:rsid w:val="00E02A86"/>
    <w:rsid w:val="00E02CD1"/>
    <w:rsid w:val="00E03539"/>
    <w:rsid w:val="00E03848"/>
    <w:rsid w:val="00E04CB6"/>
    <w:rsid w:val="00E05198"/>
    <w:rsid w:val="00E05397"/>
    <w:rsid w:val="00E05ADF"/>
    <w:rsid w:val="00E06444"/>
    <w:rsid w:val="00E06553"/>
    <w:rsid w:val="00E1123E"/>
    <w:rsid w:val="00E11873"/>
    <w:rsid w:val="00E119E6"/>
    <w:rsid w:val="00E12946"/>
    <w:rsid w:val="00E13206"/>
    <w:rsid w:val="00E1453D"/>
    <w:rsid w:val="00E145E4"/>
    <w:rsid w:val="00E1485C"/>
    <w:rsid w:val="00E15976"/>
    <w:rsid w:val="00E16832"/>
    <w:rsid w:val="00E16A81"/>
    <w:rsid w:val="00E16FA3"/>
    <w:rsid w:val="00E17510"/>
    <w:rsid w:val="00E20513"/>
    <w:rsid w:val="00E20E75"/>
    <w:rsid w:val="00E2126D"/>
    <w:rsid w:val="00E22123"/>
    <w:rsid w:val="00E2300D"/>
    <w:rsid w:val="00E23BD3"/>
    <w:rsid w:val="00E24A3C"/>
    <w:rsid w:val="00E24C3A"/>
    <w:rsid w:val="00E250FB"/>
    <w:rsid w:val="00E2681F"/>
    <w:rsid w:val="00E26892"/>
    <w:rsid w:val="00E27B21"/>
    <w:rsid w:val="00E30940"/>
    <w:rsid w:val="00E309A8"/>
    <w:rsid w:val="00E31576"/>
    <w:rsid w:val="00E318F9"/>
    <w:rsid w:val="00E334E9"/>
    <w:rsid w:val="00E3422F"/>
    <w:rsid w:val="00E34909"/>
    <w:rsid w:val="00E34B52"/>
    <w:rsid w:val="00E367CB"/>
    <w:rsid w:val="00E3706E"/>
    <w:rsid w:val="00E372BC"/>
    <w:rsid w:val="00E37897"/>
    <w:rsid w:val="00E404DA"/>
    <w:rsid w:val="00E40FC7"/>
    <w:rsid w:val="00E41B5E"/>
    <w:rsid w:val="00E41DAC"/>
    <w:rsid w:val="00E42360"/>
    <w:rsid w:val="00E423E9"/>
    <w:rsid w:val="00E4507E"/>
    <w:rsid w:val="00E47DAE"/>
    <w:rsid w:val="00E47E64"/>
    <w:rsid w:val="00E50BE0"/>
    <w:rsid w:val="00E50EE0"/>
    <w:rsid w:val="00E53DC3"/>
    <w:rsid w:val="00E54129"/>
    <w:rsid w:val="00E54543"/>
    <w:rsid w:val="00E55189"/>
    <w:rsid w:val="00E555E5"/>
    <w:rsid w:val="00E56782"/>
    <w:rsid w:val="00E57372"/>
    <w:rsid w:val="00E60792"/>
    <w:rsid w:val="00E63B21"/>
    <w:rsid w:val="00E6619D"/>
    <w:rsid w:val="00E7023E"/>
    <w:rsid w:val="00E71F40"/>
    <w:rsid w:val="00E72127"/>
    <w:rsid w:val="00E72F4D"/>
    <w:rsid w:val="00E72FA8"/>
    <w:rsid w:val="00E736A1"/>
    <w:rsid w:val="00E74A96"/>
    <w:rsid w:val="00E75979"/>
    <w:rsid w:val="00E76F95"/>
    <w:rsid w:val="00E77617"/>
    <w:rsid w:val="00E776DD"/>
    <w:rsid w:val="00E77828"/>
    <w:rsid w:val="00E77A67"/>
    <w:rsid w:val="00E77D76"/>
    <w:rsid w:val="00E77FC7"/>
    <w:rsid w:val="00E8067B"/>
    <w:rsid w:val="00E812B2"/>
    <w:rsid w:val="00E81CA5"/>
    <w:rsid w:val="00E81F36"/>
    <w:rsid w:val="00E81F3D"/>
    <w:rsid w:val="00E82F4D"/>
    <w:rsid w:val="00E83B6D"/>
    <w:rsid w:val="00E83DEC"/>
    <w:rsid w:val="00E84457"/>
    <w:rsid w:val="00E84E8F"/>
    <w:rsid w:val="00E85F83"/>
    <w:rsid w:val="00E874FB"/>
    <w:rsid w:val="00E902D7"/>
    <w:rsid w:val="00E91270"/>
    <w:rsid w:val="00E9176A"/>
    <w:rsid w:val="00E91791"/>
    <w:rsid w:val="00E917BE"/>
    <w:rsid w:val="00E929ED"/>
    <w:rsid w:val="00E92CF9"/>
    <w:rsid w:val="00E93507"/>
    <w:rsid w:val="00E9476F"/>
    <w:rsid w:val="00E95A61"/>
    <w:rsid w:val="00E96074"/>
    <w:rsid w:val="00E96EAC"/>
    <w:rsid w:val="00E97BA2"/>
    <w:rsid w:val="00EA2344"/>
    <w:rsid w:val="00EA3C65"/>
    <w:rsid w:val="00EA3E58"/>
    <w:rsid w:val="00EA3F6F"/>
    <w:rsid w:val="00EA46EB"/>
    <w:rsid w:val="00EA7A24"/>
    <w:rsid w:val="00EA7D3C"/>
    <w:rsid w:val="00EB09FB"/>
    <w:rsid w:val="00EB1C55"/>
    <w:rsid w:val="00EB24A0"/>
    <w:rsid w:val="00EB2B9C"/>
    <w:rsid w:val="00EB44D0"/>
    <w:rsid w:val="00EB4B27"/>
    <w:rsid w:val="00EB5C6E"/>
    <w:rsid w:val="00EB6845"/>
    <w:rsid w:val="00EB75E8"/>
    <w:rsid w:val="00EB7DE7"/>
    <w:rsid w:val="00EC030C"/>
    <w:rsid w:val="00EC04B5"/>
    <w:rsid w:val="00EC1A01"/>
    <w:rsid w:val="00EC27BC"/>
    <w:rsid w:val="00EC2B83"/>
    <w:rsid w:val="00EC3770"/>
    <w:rsid w:val="00EC3A81"/>
    <w:rsid w:val="00EC4517"/>
    <w:rsid w:val="00EC4E40"/>
    <w:rsid w:val="00EC53E4"/>
    <w:rsid w:val="00EC79E0"/>
    <w:rsid w:val="00ED26DC"/>
    <w:rsid w:val="00ED2D72"/>
    <w:rsid w:val="00ED5052"/>
    <w:rsid w:val="00ED52D6"/>
    <w:rsid w:val="00ED548A"/>
    <w:rsid w:val="00ED5B20"/>
    <w:rsid w:val="00ED5C1B"/>
    <w:rsid w:val="00ED6598"/>
    <w:rsid w:val="00ED66F8"/>
    <w:rsid w:val="00ED6AC7"/>
    <w:rsid w:val="00ED6AD4"/>
    <w:rsid w:val="00ED6D6B"/>
    <w:rsid w:val="00ED6F21"/>
    <w:rsid w:val="00ED729A"/>
    <w:rsid w:val="00ED7BE8"/>
    <w:rsid w:val="00ED7EF6"/>
    <w:rsid w:val="00EE01B7"/>
    <w:rsid w:val="00EE05CD"/>
    <w:rsid w:val="00EE0D4B"/>
    <w:rsid w:val="00EE1711"/>
    <w:rsid w:val="00EE2AF5"/>
    <w:rsid w:val="00EE2B6B"/>
    <w:rsid w:val="00EE391F"/>
    <w:rsid w:val="00EE3CB0"/>
    <w:rsid w:val="00EE3DF5"/>
    <w:rsid w:val="00EE4FCA"/>
    <w:rsid w:val="00EE61C3"/>
    <w:rsid w:val="00EE6383"/>
    <w:rsid w:val="00EE64E0"/>
    <w:rsid w:val="00EE68CD"/>
    <w:rsid w:val="00EE7D62"/>
    <w:rsid w:val="00EF00FC"/>
    <w:rsid w:val="00EF02B9"/>
    <w:rsid w:val="00EF0E04"/>
    <w:rsid w:val="00EF123F"/>
    <w:rsid w:val="00EF1F47"/>
    <w:rsid w:val="00EF1F9E"/>
    <w:rsid w:val="00EF2450"/>
    <w:rsid w:val="00EF257D"/>
    <w:rsid w:val="00EF2889"/>
    <w:rsid w:val="00EF2A7C"/>
    <w:rsid w:val="00EF489B"/>
    <w:rsid w:val="00EF56E4"/>
    <w:rsid w:val="00EF66AC"/>
    <w:rsid w:val="00EF6D3E"/>
    <w:rsid w:val="00F00493"/>
    <w:rsid w:val="00F01470"/>
    <w:rsid w:val="00F0199F"/>
    <w:rsid w:val="00F01AF7"/>
    <w:rsid w:val="00F01DE6"/>
    <w:rsid w:val="00F02F7A"/>
    <w:rsid w:val="00F03876"/>
    <w:rsid w:val="00F03C0B"/>
    <w:rsid w:val="00F05361"/>
    <w:rsid w:val="00F053C4"/>
    <w:rsid w:val="00F05406"/>
    <w:rsid w:val="00F0587A"/>
    <w:rsid w:val="00F06081"/>
    <w:rsid w:val="00F066CF"/>
    <w:rsid w:val="00F0682E"/>
    <w:rsid w:val="00F06D0C"/>
    <w:rsid w:val="00F07BC2"/>
    <w:rsid w:val="00F11DC6"/>
    <w:rsid w:val="00F1216C"/>
    <w:rsid w:val="00F13084"/>
    <w:rsid w:val="00F131A5"/>
    <w:rsid w:val="00F13468"/>
    <w:rsid w:val="00F14293"/>
    <w:rsid w:val="00F14476"/>
    <w:rsid w:val="00F14581"/>
    <w:rsid w:val="00F1504C"/>
    <w:rsid w:val="00F16195"/>
    <w:rsid w:val="00F16682"/>
    <w:rsid w:val="00F169FB"/>
    <w:rsid w:val="00F16D24"/>
    <w:rsid w:val="00F17728"/>
    <w:rsid w:val="00F2088B"/>
    <w:rsid w:val="00F21125"/>
    <w:rsid w:val="00F21684"/>
    <w:rsid w:val="00F229D8"/>
    <w:rsid w:val="00F232F9"/>
    <w:rsid w:val="00F233F9"/>
    <w:rsid w:val="00F238EC"/>
    <w:rsid w:val="00F240CA"/>
    <w:rsid w:val="00F255AE"/>
    <w:rsid w:val="00F266E8"/>
    <w:rsid w:val="00F26AA4"/>
    <w:rsid w:val="00F26DDD"/>
    <w:rsid w:val="00F26F3D"/>
    <w:rsid w:val="00F272AD"/>
    <w:rsid w:val="00F27C8B"/>
    <w:rsid w:val="00F30427"/>
    <w:rsid w:val="00F3057E"/>
    <w:rsid w:val="00F30B53"/>
    <w:rsid w:val="00F30BF1"/>
    <w:rsid w:val="00F3152F"/>
    <w:rsid w:val="00F315AF"/>
    <w:rsid w:val="00F318B9"/>
    <w:rsid w:val="00F32136"/>
    <w:rsid w:val="00F32AB4"/>
    <w:rsid w:val="00F3364B"/>
    <w:rsid w:val="00F36254"/>
    <w:rsid w:val="00F41CC5"/>
    <w:rsid w:val="00F42702"/>
    <w:rsid w:val="00F42BBD"/>
    <w:rsid w:val="00F43E1C"/>
    <w:rsid w:val="00F45340"/>
    <w:rsid w:val="00F4587D"/>
    <w:rsid w:val="00F45ADC"/>
    <w:rsid w:val="00F45E5A"/>
    <w:rsid w:val="00F4649B"/>
    <w:rsid w:val="00F46520"/>
    <w:rsid w:val="00F475BF"/>
    <w:rsid w:val="00F47DF8"/>
    <w:rsid w:val="00F509B1"/>
    <w:rsid w:val="00F521AD"/>
    <w:rsid w:val="00F5281C"/>
    <w:rsid w:val="00F53158"/>
    <w:rsid w:val="00F536EB"/>
    <w:rsid w:val="00F537B1"/>
    <w:rsid w:val="00F53F97"/>
    <w:rsid w:val="00F54162"/>
    <w:rsid w:val="00F54780"/>
    <w:rsid w:val="00F570A6"/>
    <w:rsid w:val="00F57A2E"/>
    <w:rsid w:val="00F57DF5"/>
    <w:rsid w:val="00F61924"/>
    <w:rsid w:val="00F62071"/>
    <w:rsid w:val="00F622FB"/>
    <w:rsid w:val="00F623E0"/>
    <w:rsid w:val="00F62856"/>
    <w:rsid w:val="00F62DC8"/>
    <w:rsid w:val="00F65B03"/>
    <w:rsid w:val="00F67246"/>
    <w:rsid w:val="00F67867"/>
    <w:rsid w:val="00F679FF"/>
    <w:rsid w:val="00F67CCB"/>
    <w:rsid w:val="00F710B8"/>
    <w:rsid w:val="00F71B7F"/>
    <w:rsid w:val="00F7220C"/>
    <w:rsid w:val="00F727E1"/>
    <w:rsid w:val="00F7330F"/>
    <w:rsid w:val="00F74B13"/>
    <w:rsid w:val="00F74DC5"/>
    <w:rsid w:val="00F76834"/>
    <w:rsid w:val="00F76C3F"/>
    <w:rsid w:val="00F76EB9"/>
    <w:rsid w:val="00F819CC"/>
    <w:rsid w:val="00F81D64"/>
    <w:rsid w:val="00F820AA"/>
    <w:rsid w:val="00F825B3"/>
    <w:rsid w:val="00F834BB"/>
    <w:rsid w:val="00F849E1"/>
    <w:rsid w:val="00F85A9F"/>
    <w:rsid w:val="00F8696D"/>
    <w:rsid w:val="00F86AAD"/>
    <w:rsid w:val="00F91B09"/>
    <w:rsid w:val="00F92484"/>
    <w:rsid w:val="00F924C4"/>
    <w:rsid w:val="00F925C1"/>
    <w:rsid w:val="00F9270D"/>
    <w:rsid w:val="00F92BDE"/>
    <w:rsid w:val="00F93A03"/>
    <w:rsid w:val="00F9522B"/>
    <w:rsid w:val="00F95660"/>
    <w:rsid w:val="00F96826"/>
    <w:rsid w:val="00F97AD4"/>
    <w:rsid w:val="00FA0E8B"/>
    <w:rsid w:val="00FA1EC7"/>
    <w:rsid w:val="00FA21B8"/>
    <w:rsid w:val="00FA4C88"/>
    <w:rsid w:val="00FA5B26"/>
    <w:rsid w:val="00FA667A"/>
    <w:rsid w:val="00FA6AF3"/>
    <w:rsid w:val="00FA6FE1"/>
    <w:rsid w:val="00FA73DE"/>
    <w:rsid w:val="00FB0F3C"/>
    <w:rsid w:val="00FB1124"/>
    <w:rsid w:val="00FB12E0"/>
    <w:rsid w:val="00FB1B76"/>
    <w:rsid w:val="00FB222F"/>
    <w:rsid w:val="00FB2468"/>
    <w:rsid w:val="00FB3175"/>
    <w:rsid w:val="00FB3579"/>
    <w:rsid w:val="00FB39F0"/>
    <w:rsid w:val="00FB4A9F"/>
    <w:rsid w:val="00FB4FF6"/>
    <w:rsid w:val="00FB54A8"/>
    <w:rsid w:val="00FB5C84"/>
    <w:rsid w:val="00FB5EB0"/>
    <w:rsid w:val="00FB70AA"/>
    <w:rsid w:val="00FB7676"/>
    <w:rsid w:val="00FC0466"/>
    <w:rsid w:val="00FC0523"/>
    <w:rsid w:val="00FC11CB"/>
    <w:rsid w:val="00FC12B4"/>
    <w:rsid w:val="00FC17D4"/>
    <w:rsid w:val="00FC1D9E"/>
    <w:rsid w:val="00FC312F"/>
    <w:rsid w:val="00FC32C4"/>
    <w:rsid w:val="00FC4FC8"/>
    <w:rsid w:val="00FC52CB"/>
    <w:rsid w:val="00FC5D88"/>
    <w:rsid w:val="00FC68FF"/>
    <w:rsid w:val="00FC7BB3"/>
    <w:rsid w:val="00FD0486"/>
    <w:rsid w:val="00FD0EC3"/>
    <w:rsid w:val="00FD1ACE"/>
    <w:rsid w:val="00FD1F66"/>
    <w:rsid w:val="00FD3E27"/>
    <w:rsid w:val="00FD423B"/>
    <w:rsid w:val="00FD4A5B"/>
    <w:rsid w:val="00FD4A79"/>
    <w:rsid w:val="00FD4C0D"/>
    <w:rsid w:val="00FD5265"/>
    <w:rsid w:val="00FD52BC"/>
    <w:rsid w:val="00FD5A2A"/>
    <w:rsid w:val="00FD613F"/>
    <w:rsid w:val="00FD67DB"/>
    <w:rsid w:val="00FD75C0"/>
    <w:rsid w:val="00FD774D"/>
    <w:rsid w:val="00FD7954"/>
    <w:rsid w:val="00FE0714"/>
    <w:rsid w:val="00FE0CF6"/>
    <w:rsid w:val="00FE153B"/>
    <w:rsid w:val="00FE1B2B"/>
    <w:rsid w:val="00FE1E22"/>
    <w:rsid w:val="00FE2197"/>
    <w:rsid w:val="00FE2A97"/>
    <w:rsid w:val="00FE318C"/>
    <w:rsid w:val="00FE35AB"/>
    <w:rsid w:val="00FE410B"/>
    <w:rsid w:val="00FE4C2C"/>
    <w:rsid w:val="00FE4F6F"/>
    <w:rsid w:val="00FE502D"/>
    <w:rsid w:val="00FE5A1C"/>
    <w:rsid w:val="00FE5A52"/>
    <w:rsid w:val="00FE666C"/>
    <w:rsid w:val="00FE7CBC"/>
    <w:rsid w:val="00FF1920"/>
    <w:rsid w:val="00FF4B6F"/>
    <w:rsid w:val="00FF5FC6"/>
    <w:rsid w:val="00FF6671"/>
    <w:rsid w:val="00FF6EBE"/>
    <w:rsid w:val="00FF7346"/>
    <w:rsid w:val="00FF7557"/>
    <w:rsid w:val="00FF7AC3"/>
    <w:rsid w:val="0296C8E7"/>
    <w:rsid w:val="0AD9376D"/>
    <w:rsid w:val="0B1AE8F6"/>
    <w:rsid w:val="10CA258F"/>
    <w:rsid w:val="12F19E35"/>
    <w:rsid w:val="165A3449"/>
    <w:rsid w:val="19FCFAC6"/>
    <w:rsid w:val="1B02F4AF"/>
    <w:rsid w:val="2061936D"/>
    <w:rsid w:val="20EFFC3B"/>
    <w:rsid w:val="235AC2D0"/>
    <w:rsid w:val="2363CCE4"/>
    <w:rsid w:val="23807187"/>
    <w:rsid w:val="25195D1A"/>
    <w:rsid w:val="305560A4"/>
    <w:rsid w:val="331E9AB8"/>
    <w:rsid w:val="37AF34C6"/>
    <w:rsid w:val="39799FF5"/>
    <w:rsid w:val="39BC34B0"/>
    <w:rsid w:val="3C5D35AC"/>
    <w:rsid w:val="3F1831F0"/>
    <w:rsid w:val="425EE375"/>
    <w:rsid w:val="428832DC"/>
    <w:rsid w:val="45FBAEF3"/>
    <w:rsid w:val="49D5EB1E"/>
    <w:rsid w:val="4D03FD80"/>
    <w:rsid w:val="4D56A8AF"/>
    <w:rsid w:val="50E36A77"/>
    <w:rsid w:val="51ACE434"/>
    <w:rsid w:val="56129D06"/>
    <w:rsid w:val="569C8AE4"/>
    <w:rsid w:val="57572383"/>
    <w:rsid w:val="5BFDF8D1"/>
    <w:rsid w:val="5C5593D9"/>
    <w:rsid w:val="6087BB3A"/>
    <w:rsid w:val="63A0DD99"/>
    <w:rsid w:val="65985062"/>
    <w:rsid w:val="6A414A84"/>
    <w:rsid w:val="6A6948E1"/>
    <w:rsid w:val="6D07DF8E"/>
    <w:rsid w:val="6E88F6F5"/>
    <w:rsid w:val="75E9CE98"/>
    <w:rsid w:val="77CBC69D"/>
    <w:rsid w:val="7B351E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DFF8D"/>
  <w15:chartTrackingRefBased/>
  <w15:docId w15:val="{BCD35635-01C1-4B55-93DB-24A04F1AD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641C35"/>
    <w:pPr>
      <w:numPr>
        <w:numId w:val="11"/>
      </w:numPr>
      <w:spacing w:after="240" w:line="276" w:lineRule="auto"/>
      <w:contextualSpacing w:val="0"/>
      <w:outlineLvl w:val="0"/>
    </w:pPr>
    <w:rPr>
      <w:rFonts w:asciiTheme="minorHAnsi" w:eastAsiaTheme="minorHAnsi" w:hAnsiTheme="minorHAnsi" w:cstheme="minorHAnsi"/>
      <w:b/>
      <w:bCs/>
      <w:sz w:val="52"/>
      <w:szCs w:val="40"/>
      <w:lang w:eastAsia="en-US"/>
    </w:rPr>
  </w:style>
  <w:style w:type="paragraph" w:styleId="Heading2">
    <w:name w:val="heading 2"/>
    <w:basedOn w:val="Normal"/>
    <w:next w:val="Normal"/>
    <w:link w:val="Heading2Char"/>
    <w:uiPriority w:val="9"/>
    <w:unhideWhenUsed/>
    <w:qFormat/>
    <w:rsid w:val="0079613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6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25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55D"/>
    <w:rPr>
      <w:rFonts w:ascii="Segoe UI" w:hAnsi="Segoe UI" w:cs="Segoe UI"/>
      <w:sz w:val="18"/>
      <w:szCs w:val="18"/>
    </w:rPr>
  </w:style>
  <w:style w:type="character" w:styleId="Hyperlink">
    <w:name w:val="Hyperlink"/>
    <w:basedOn w:val="DefaultParagraphFont"/>
    <w:uiPriority w:val="99"/>
    <w:unhideWhenUsed/>
    <w:rsid w:val="0098255D"/>
    <w:rPr>
      <w:color w:val="0563C1" w:themeColor="hyperlink"/>
      <w:u w:val="single"/>
    </w:rPr>
  </w:style>
  <w:style w:type="paragraph" w:styleId="Header">
    <w:name w:val="header"/>
    <w:basedOn w:val="Normal"/>
    <w:link w:val="HeaderChar"/>
    <w:uiPriority w:val="99"/>
    <w:unhideWhenUsed/>
    <w:rsid w:val="008E4F05"/>
    <w:pPr>
      <w:tabs>
        <w:tab w:val="center" w:pos="4513"/>
        <w:tab w:val="right" w:pos="9026"/>
      </w:tabs>
    </w:pPr>
  </w:style>
  <w:style w:type="character" w:customStyle="1" w:styleId="HeaderChar">
    <w:name w:val="Header Char"/>
    <w:basedOn w:val="DefaultParagraphFont"/>
    <w:link w:val="Header"/>
    <w:uiPriority w:val="99"/>
    <w:rsid w:val="008E4F05"/>
  </w:style>
  <w:style w:type="paragraph" w:styleId="Footer">
    <w:name w:val="footer"/>
    <w:basedOn w:val="Normal"/>
    <w:link w:val="FooterChar"/>
    <w:uiPriority w:val="99"/>
    <w:unhideWhenUsed/>
    <w:rsid w:val="008E4F05"/>
    <w:pPr>
      <w:tabs>
        <w:tab w:val="center" w:pos="4513"/>
        <w:tab w:val="right" w:pos="9026"/>
      </w:tabs>
    </w:pPr>
  </w:style>
  <w:style w:type="character" w:customStyle="1" w:styleId="FooterChar">
    <w:name w:val="Footer Char"/>
    <w:basedOn w:val="DefaultParagraphFont"/>
    <w:link w:val="Footer"/>
    <w:uiPriority w:val="99"/>
    <w:rsid w:val="008E4F05"/>
  </w:style>
  <w:style w:type="paragraph" w:styleId="FootnoteText">
    <w:name w:val="footnote text"/>
    <w:aliases w:val=" Char,Char,5_G,Footnote Text Char Char,Footnote Text Char1 Char Char,Footnote Text Char Char Char Char,Footnote Text Char1 Char Char1 Char Char,Footnote Text Char Char Char Char1 Char Char,ft Char Char Char Char Char Char,Footnote Quot,Cha"/>
    <w:basedOn w:val="Normal"/>
    <w:link w:val="FootnoteTextChar"/>
    <w:uiPriority w:val="99"/>
    <w:unhideWhenUsed/>
    <w:qFormat/>
    <w:rsid w:val="00972BEB"/>
    <w:rPr>
      <w:sz w:val="20"/>
      <w:szCs w:val="20"/>
    </w:rPr>
  </w:style>
  <w:style w:type="character" w:customStyle="1" w:styleId="FootnoteTextChar">
    <w:name w:val="Footnote Text Char"/>
    <w:aliases w:val=" Char Char,Char Char,5_G Char,Footnote Text Char Char Char,Footnote Text Char1 Char Char Char,Footnote Text Char Char Char Char Char,Footnote Text Char1 Char Char1 Char Char Char,Footnote Text Char Char Char Char1 Char Char Char"/>
    <w:basedOn w:val="DefaultParagraphFont"/>
    <w:link w:val="FootnoteText"/>
    <w:uiPriority w:val="99"/>
    <w:rsid w:val="00972BEB"/>
    <w:rPr>
      <w:sz w:val="20"/>
      <w:szCs w:val="20"/>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
    <w:basedOn w:val="DefaultParagraphFont"/>
    <w:link w:val="4GChar"/>
    <w:uiPriority w:val="99"/>
    <w:unhideWhenUsed/>
    <w:qFormat/>
    <w:rsid w:val="00972BEB"/>
    <w:rPr>
      <w:vertAlign w:val="superscript"/>
    </w:rPr>
  </w:style>
  <w:style w:type="paragraph" w:customStyle="1" w:styleId="Normal1">
    <w:name w:val="Normal1"/>
    <w:basedOn w:val="Normal"/>
    <w:rsid w:val="00972BE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8D0E83"/>
    <w:rPr>
      <w:color w:val="605E5C"/>
      <w:shd w:val="clear" w:color="auto" w:fill="E1DFDD"/>
    </w:rPr>
  </w:style>
  <w:style w:type="character" w:styleId="CommentReference">
    <w:name w:val="annotation reference"/>
    <w:basedOn w:val="DefaultParagraphFont"/>
    <w:uiPriority w:val="99"/>
    <w:semiHidden/>
    <w:unhideWhenUsed/>
    <w:rsid w:val="00923E5D"/>
    <w:rPr>
      <w:sz w:val="16"/>
      <w:szCs w:val="16"/>
    </w:rPr>
  </w:style>
  <w:style w:type="paragraph" w:styleId="CommentText">
    <w:name w:val="annotation text"/>
    <w:basedOn w:val="Normal"/>
    <w:link w:val="CommentTextChar"/>
    <w:uiPriority w:val="99"/>
    <w:unhideWhenUsed/>
    <w:rsid w:val="00923E5D"/>
    <w:rPr>
      <w:sz w:val="20"/>
      <w:szCs w:val="20"/>
    </w:rPr>
  </w:style>
  <w:style w:type="character" w:customStyle="1" w:styleId="CommentTextChar">
    <w:name w:val="Comment Text Char"/>
    <w:basedOn w:val="DefaultParagraphFont"/>
    <w:link w:val="CommentText"/>
    <w:uiPriority w:val="99"/>
    <w:rsid w:val="00923E5D"/>
    <w:rPr>
      <w:sz w:val="20"/>
      <w:szCs w:val="20"/>
    </w:rPr>
  </w:style>
  <w:style w:type="paragraph" w:styleId="CommentSubject">
    <w:name w:val="annotation subject"/>
    <w:basedOn w:val="CommentText"/>
    <w:next w:val="CommentText"/>
    <w:link w:val="CommentSubjectChar"/>
    <w:uiPriority w:val="99"/>
    <w:semiHidden/>
    <w:unhideWhenUsed/>
    <w:rsid w:val="00923E5D"/>
    <w:rPr>
      <w:b/>
      <w:bCs/>
    </w:rPr>
  </w:style>
  <w:style w:type="character" w:customStyle="1" w:styleId="CommentSubjectChar">
    <w:name w:val="Comment Subject Char"/>
    <w:basedOn w:val="CommentTextChar"/>
    <w:link w:val="CommentSubject"/>
    <w:uiPriority w:val="99"/>
    <w:semiHidden/>
    <w:rsid w:val="00923E5D"/>
    <w:rPr>
      <w:b/>
      <w:bCs/>
      <w:sz w:val="20"/>
      <w:szCs w:val="20"/>
    </w:rPr>
  </w:style>
  <w:style w:type="paragraph" w:styleId="ListParagraph">
    <w:name w:val="List Paragraph"/>
    <w:aliases w:val="Dot pt,No Spacing1,List Paragraph Char Char Char,Indicator Text,Numbered Para 1,List Paragraph1,Bullet 1,Bullet Points,MAIN CONTENT,Bullet Style,List Paragraph2,OBC Bullet,List Paragraph11,List Paragraph12,F5 List Paragraph,Maire,L"/>
    <w:basedOn w:val="Normal"/>
    <w:link w:val="ListParagraphChar"/>
    <w:uiPriority w:val="34"/>
    <w:qFormat/>
    <w:rsid w:val="00B8341B"/>
    <w:pPr>
      <w:ind w:left="720"/>
      <w:contextualSpacing/>
    </w:pPr>
    <w:rPr>
      <w:rFonts w:ascii="Times New Roman" w:eastAsia="Times New Roman" w:hAnsi="Times New Roman" w:cs="Times New Roman"/>
      <w:sz w:val="24"/>
      <w:szCs w:val="24"/>
      <w:lang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Bullet Style Char,List Paragraph2 Char,OBC Bullet Char"/>
    <w:basedOn w:val="DefaultParagraphFont"/>
    <w:link w:val="ListParagraph"/>
    <w:uiPriority w:val="34"/>
    <w:qFormat/>
    <w:locked/>
    <w:rsid w:val="00B8341B"/>
    <w:rPr>
      <w:rFonts w:ascii="Times New Roman" w:eastAsia="Times New Roman" w:hAnsi="Times New Roman" w:cs="Times New Roman"/>
      <w:sz w:val="24"/>
      <w:szCs w:val="24"/>
      <w:lang w:eastAsia="en-GB"/>
    </w:rPr>
  </w:style>
  <w:style w:type="paragraph" w:styleId="NoSpacing">
    <w:name w:val="No Spacing"/>
    <w:uiPriority w:val="1"/>
    <w:qFormat/>
    <w:rsid w:val="00A01F52"/>
  </w:style>
  <w:style w:type="paragraph" w:customStyle="1" w:styleId="paragraph">
    <w:name w:val="paragraph"/>
    <w:basedOn w:val="Normal"/>
    <w:rsid w:val="0007029B"/>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zNumPara">
    <w:name w:val="zNumPara"/>
    <w:basedOn w:val="Normal"/>
    <w:link w:val="zNumParaChar"/>
    <w:qFormat/>
    <w:rsid w:val="002C0C55"/>
    <w:pPr>
      <w:numPr>
        <w:ilvl w:val="8"/>
        <w:numId w:val="6"/>
      </w:numPr>
      <w:spacing w:after="240"/>
    </w:pPr>
    <w:rPr>
      <w:rFonts w:ascii="Arial" w:eastAsia="Times New Roman" w:hAnsi="Arial" w:cs="Arial"/>
      <w:sz w:val="28"/>
      <w:szCs w:val="28"/>
    </w:rPr>
  </w:style>
  <w:style w:type="character" w:customStyle="1" w:styleId="zNumParaChar">
    <w:name w:val="zNumPara Char"/>
    <w:basedOn w:val="DefaultParagraphFont"/>
    <w:link w:val="zNumPara"/>
    <w:rsid w:val="002C0C55"/>
    <w:rPr>
      <w:rFonts w:ascii="Arial" w:eastAsia="Times New Roman" w:hAnsi="Arial" w:cs="Arial"/>
      <w:sz w:val="28"/>
      <w:szCs w:val="28"/>
    </w:rPr>
  </w:style>
  <w:style w:type="paragraph" w:customStyle="1" w:styleId="zH1">
    <w:name w:val="zH1"/>
    <w:next w:val="zNumPara"/>
    <w:qFormat/>
    <w:rsid w:val="002C0C55"/>
    <w:pPr>
      <w:keepNext/>
      <w:numPr>
        <w:numId w:val="6"/>
      </w:numPr>
      <w:spacing w:before="600" w:after="120"/>
      <w:outlineLvl w:val="0"/>
    </w:pPr>
    <w:rPr>
      <w:rFonts w:ascii="Arial" w:eastAsia="Times New Roman" w:hAnsi="Arial" w:cs="Arial"/>
      <w:b/>
      <w:bCs/>
      <w:kern w:val="32"/>
      <w:sz w:val="36"/>
      <w:szCs w:val="32"/>
    </w:rPr>
  </w:style>
  <w:style w:type="paragraph" w:customStyle="1" w:styleId="zH2">
    <w:name w:val="zH2"/>
    <w:next w:val="zNumPara"/>
    <w:qFormat/>
    <w:rsid w:val="002C0C55"/>
    <w:pPr>
      <w:keepNext/>
      <w:spacing w:before="480" w:after="60"/>
      <w:ind w:left="1134"/>
      <w:outlineLvl w:val="1"/>
    </w:pPr>
    <w:rPr>
      <w:rFonts w:ascii="Arial" w:eastAsia="Times New Roman" w:hAnsi="Arial" w:cs="Arial"/>
      <w:b/>
      <w:bCs/>
      <w:i/>
      <w:iCs/>
      <w:sz w:val="32"/>
      <w:szCs w:val="32"/>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2C0C55"/>
    <w:pPr>
      <w:spacing w:line="240" w:lineRule="exact"/>
      <w:jc w:val="both"/>
    </w:pPr>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rsid w:val="00943EC1"/>
    <w:pPr>
      <w:spacing w:after="160" w:line="240" w:lineRule="exact"/>
      <w:jc w:val="both"/>
    </w:pPr>
    <w:rPr>
      <w:vertAlign w:val="superscript"/>
    </w:rPr>
  </w:style>
  <w:style w:type="paragraph" w:customStyle="1" w:styleId="11NumPara">
    <w:name w:val="1.1 Num Para"/>
    <w:basedOn w:val="ListNumber2"/>
    <w:link w:val="11NumParaChar"/>
    <w:qFormat/>
    <w:rsid w:val="000579B4"/>
    <w:pPr>
      <w:numPr>
        <w:ilvl w:val="1"/>
      </w:numPr>
      <w:ind w:left="709" w:hanging="709"/>
    </w:pPr>
    <w:rPr>
      <w:rFonts w:ascii="Calibri" w:hAnsi="Calibri"/>
      <w:kern w:val="2"/>
      <w:sz w:val="28"/>
      <w14:ligatures w14:val="standardContextual"/>
    </w:rPr>
  </w:style>
  <w:style w:type="character" w:customStyle="1" w:styleId="11NumParaChar">
    <w:name w:val="1.1 Num Para Char"/>
    <w:basedOn w:val="DefaultParagraphFont"/>
    <w:link w:val="11NumPara"/>
    <w:rsid w:val="000579B4"/>
    <w:rPr>
      <w:rFonts w:ascii="Calibri" w:hAnsi="Calibri"/>
      <w:kern w:val="2"/>
      <w:sz w:val="28"/>
      <w14:ligatures w14:val="standardContextual"/>
    </w:rPr>
  </w:style>
  <w:style w:type="paragraph" w:styleId="ListNumber2">
    <w:name w:val="List Number 2"/>
    <w:basedOn w:val="Normal"/>
    <w:uiPriority w:val="99"/>
    <w:unhideWhenUsed/>
    <w:rsid w:val="000579B4"/>
    <w:pPr>
      <w:numPr>
        <w:numId w:val="8"/>
      </w:numPr>
      <w:contextualSpacing/>
    </w:pPr>
  </w:style>
  <w:style w:type="character" w:styleId="FollowedHyperlink">
    <w:name w:val="FollowedHyperlink"/>
    <w:basedOn w:val="DefaultParagraphFont"/>
    <w:uiPriority w:val="99"/>
    <w:semiHidden/>
    <w:unhideWhenUsed/>
    <w:rsid w:val="00303D9F"/>
    <w:rPr>
      <w:color w:val="954F72" w:themeColor="followedHyperlink"/>
      <w:u w:val="single"/>
    </w:rPr>
  </w:style>
  <w:style w:type="character" w:customStyle="1" w:styleId="oj-super">
    <w:name w:val="oj-super"/>
    <w:basedOn w:val="DefaultParagraphFont"/>
    <w:rsid w:val="001A2BE6"/>
  </w:style>
  <w:style w:type="paragraph" w:customStyle="1" w:styleId="oj-normal">
    <w:name w:val="oj-normal"/>
    <w:basedOn w:val="Normal"/>
    <w:rsid w:val="002D4A12"/>
    <w:pPr>
      <w:spacing w:before="100" w:beforeAutospacing="1" w:after="100" w:afterAutospacing="1"/>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semiHidden/>
    <w:unhideWhenUsed/>
    <w:rsid w:val="00D53966"/>
    <w:rPr>
      <w:sz w:val="20"/>
      <w:szCs w:val="20"/>
    </w:rPr>
  </w:style>
  <w:style w:type="character" w:customStyle="1" w:styleId="EndnoteTextChar">
    <w:name w:val="Endnote Text Char"/>
    <w:basedOn w:val="DefaultParagraphFont"/>
    <w:link w:val="EndnoteText"/>
    <w:uiPriority w:val="99"/>
    <w:semiHidden/>
    <w:rsid w:val="00D53966"/>
    <w:rPr>
      <w:sz w:val="20"/>
      <w:szCs w:val="20"/>
    </w:rPr>
  </w:style>
  <w:style w:type="character" w:styleId="EndnoteReference">
    <w:name w:val="endnote reference"/>
    <w:basedOn w:val="DefaultParagraphFont"/>
    <w:uiPriority w:val="99"/>
    <w:semiHidden/>
    <w:unhideWhenUsed/>
    <w:rsid w:val="00D53966"/>
    <w:rPr>
      <w:vertAlign w:val="superscript"/>
    </w:rPr>
  </w:style>
  <w:style w:type="character" w:customStyle="1" w:styleId="oj-italic">
    <w:name w:val="oj-italic"/>
    <w:basedOn w:val="DefaultParagraphFont"/>
    <w:rsid w:val="00E6619D"/>
  </w:style>
  <w:style w:type="paragraph" w:customStyle="1" w:styleId="pf0">
    <w:name w:val="pf0"/>
    <w:basedOn w:val="Normal"/>
    <w:rsid w:val="0080591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f01">
    <w:name w:val="cf01"/>
    <w:basedOn w:val="DefaultParagraphFont"/>
    <w:rsid w:val="0080591D"/>
    <w:rPr>
      <w:rFonts w:ascii="Segoe UI" w:hAnsi="Segoe UI" w:cs="Segoe UI" w:hint="default"/>
      <w:color w:val="222222"/>
      <w:sz w:val="18"/>
      <w:szCs w:val="18"/>
      <w:shd w:val="clear" w:color="auto" w:fill="FFFFFF"/>
    </w:rPr>
  </w:style>
  <w:style w:type="character" w:customStyle="1" w:styleId="cf11">
    <w:name w:val="cf11"/>
    <w:basedOn w:val="DefaultParagraphFont"/>
    <w:rsid w:val="0080591D"/>
    <w:rPr>
      <w:rFonts w:ascii="Segoe UI" w:hAnsi="Segoe UI" w:cs="Segoe UI" w:hint="default"/>
      <w:b/>
      <w:bCs/>
      <w:color w:val="222222"/>
      <w:sz w:val="18"/>
      <w:szCs w:val="18"/>
      <w:shd w:val="clear" w:color="auto" w:fill="FFFFFF"/>
    </w:rPr>
  </w:style>
  <w:style w:type="character" w:customStyle="1" w:styleId="cf21">
    <w:name w:val="cf21"/>
    <w:basedOn w:val="DefaultParagraphFont"/>
    <w:rsid w:val="0080591D"/>
    <w:rPr>
      <w:rFonts w:ascii="Segoe UI" w:hAnsi="Segoe UI" w:cs="Segoe UI" w:hint="default"/>
      <w:sz w:val="18"/>
      <w:szCs w:val="18"/>
    </w:rPr>
  </w:style>
  <w:style w:type="paragraph" w:styleId="NormalWeb">
    <w:name w:val="Normal (Web)"/>
    <w:basedOn w:val="Normal"/>
    <w:uiPriority w:val="99"/>
    <w:semiHidden/>
    <w:unhideWhenUsed/>
    <w:rsid w:val="00DF7998"/>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F7998"/>
    <w:rPr>
      <w:b/>
      <w:bCs/>
    </w:rPr>
  </w:style>
  <w:style w:type="character" w:customStyle="1" w:styleId="Heading1Char">
    <w:name w:val="Heading 1 Char"/>
    <w:basedOn w:val="DefaultParagraphFont"/>
    <w:link w:val="Heading1"/>
    <w:uiPriority w:val="9"/>
    <w:rsid w:val="00641C35"/>
    <w:rPr>
      <w:rFonts w:cstheme="minorHAnsi"/>
      <w:b/>
      <w:bCs/>
      <w:sz w:val="52"/>
      <w:szCs w:val="40"/>
    </w:rPr>
  </w:style>
  <w:style w:type="paragraph" w:styleId="Quote">
    <w:name w:val="Quote"/>
    <w:basedOn w:val="ListParagraph"/>
    <w:next w:val="Normal"/>
    <w:link w:val="QuoteChar"/>
    <w:uiPriority w:val="29"/>
    <w:qFormat/>
    <w:rsid w:val="00DF0A61"/>
    <w:pPr>
      <w:spacing w:after="240"/>
      <w:ind w:left="1418" w:right="873"/>
      <w:contextualSpacing w:val="0"/>
    </w:pPr>
    <w:rPr>
      <w:rFonts w:asciiTheme="minorHAnsi" w:eastAsiaTheme="minorHAnsi" w:hAnsiTheme="minorHAnsi" w:cstheme="minorBidi"/>
      <w:sz w:val="28"/>
      <w:szCs w:val="28"/>
      <w:lang w:eastAsia="en-US"/>
    </w:rPr>
  </w:style>
  <w:style w:type="character" w:customStyle="1" w:styleId="QuoteChar">
    <w:name w:val="Quote Char"/>
    <w:basedOn w:val="DefaultParagraphFont"/>
    <w:link w:val="Quote"/>
    <w:uiPriority w:val="29"/>
    <w:rsid w:val="00DF0A61"/>
    <w:rPr>
      <w:sz w:val="28"/>
      <w:szCs w:val="28"/>
    </w:rPr>
  </w:style>
  <w:style w:type="paragraph" w:customStyle="1" w:styleId="Default">
    <w:name w:val="Default"/>
    <w:rsid w:val="005B1E9E"/>
    <w:pPr>
      <w:autoSpaceDE w:val="0"/>
      <w:autoSpaceDN w:val="0"/>
      <w:adjustRightInd w:val="0"/>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79613C"/>
    <w:rPr>
      <w:rFonts w:asciiTheme="majorHAnsi" w:eastAsiaTheme="majorEastAsia" w:hAnsiTheme="majorHAnsi" w:cstheme="majorBidi"/>
      <w:color w:val="2E74B5" w:themeColor="accent1" w:themeShade="BF"/>
      <w:sz w:val="26"/>
      <w:szCs w:val="26"/>
    </w:rPr>
  </w:style>
  <w:style w:type="paragraph" w:customStyle="1" w:styleId="CommissionJuneHeading">
    <w:name w:val="Commission June Heading"/>
    <w:basedOn w:val="ListParagraph"/>
    <w:qFormat/>
    <w:rsid w:val="00997971"/>
    <w:pPr>
      <w:numPr>
        <w:ilvl w:val="1"/>
        <w:numId w:val="16"/>
      </w:numPr>
      <w:spacing w:after="240"/>
      <w:contextualSpacing w:val="0"/>
    </w:pPr>
    <w:rPr>
      <w:rFonts w:ascii="Calibri" w:eastAsiaTheme="minorHAnsi" w:hAnsi="Calibri" w:cs="Arial"/>
      <w:sz w:val="28"/>
      <w:szCs w:val="28"/>
      <w:lang w:eastAsia="en-US"/>
    </w:rPr>
  </w:style>
  <w:style w:type="paragraph" w:customStyle="1" w:styleId="Numbparas11">
    <w:name w:val="Numb paras 1.1..."/>
    <w:basedOn w:val="ListParagraph"/>
    <w:autoRedefine/>
    <w:qFormat/>
    <w:rsid w:val="002830B3"/>
    <w:pPr>
      <w:spacing w:before="240" w:after="240"/>
      <w:ind w:hanging="720"/>
      <w:contextualSpacing w:val="0"/>
    </w:pPr>
    <w:rPr>
      <w:rFonts w:ascii="Calibri" w:hAnsi="Calibri" w:cs="Arial"/>
      <w:b/>
      <w:bCs/>
      <w:sz w:val="28"/>
      <w:szCs w:val="28"/>
      <w:lang w:eastAsia="en-US"/>
    </w:rPr>
  </w:style>
  <w:style w:type="character" w:styleId="UnresolvedMention">
    <w:name w:val="Unresolved Mention"/>
    <w:basedOn w:val="DefaultParagraphFont"/>
    <w:uiPriority w:val="99"/>
    <w:semiHidden/>
    <w:unhideWhenUsed/>
    <w:rsid w:val="004C7003"/>
    <w:rPr>
      <w:color w:val="605E5C"/>
      <w:shd w:val="clear" w:color="auto" w:fill="E1DFDD"/>
    </w:rPr>
  </w:style>
  <w:style w:type="paragraph" w:styleId="Revision">
    <w:name w:val="Revision"/>
    <w:hidden/>
    <w:uiPriority w:val="99"/>
    <w:semiHidden/>
    <w:rsid w:val="00676C0B"/>
  </w:style>
  <w:style w:type="character" w:styleId="Mention">
    <w:name w:val="Mention"/>
    <w:basedOn w:val="DefaultParagraphFont"/>
    <w:uiPriority w:val="99"/>
    <w:unhideWhenUsed/>
    <w:rsid w:val="006458C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07548">
      <w:bodyDiv w:val="1"/>
      <w:marLeft w:val="0"/>
      <w:marRight w:val="0"/>
      <w:marTop w:val="0"/>
      <w:marBottom w:val="0"/>
      <w:divBdr>
        <w:top w:val="none" w:sz="0" w:space="0" w:color="auto"/>
        <w:left w:val="none" w:sz="0" w:space="0" w:color="auto"/>
        <w:bottom w:val="none" w:sz="0" w:space="0" w:color="auto"/>
        <w:right w:val="none" w:sz="0" w:space="0" w:color="auto"/>
      </w:divBdr>
    </w:div>
    <w:div w:id="165216666">
      <w:bodyDiv w:val="1"/>
      <w:marLeft w:val="0"/>
      <w:marRight w:val="0"/>
      <w:marTop w:val="0"/>
      <w:marBottom w:val="0"/>
      <w:divBdr>
        <w:top w:val="none" w:sz="0" w:space="0" w:color="auto"/>
        <w:left w:val="none" w:sz="0" w:space="0" w:color="auto"/>
        <w:bottom w:val="none" w:sz="0" w:space="0" w:color="auto"/>
        <w:right w:val="none" w:sz="0" w:space="0" w:color="auto"/>
      </w:divBdr>
    </w:div>
    <w:div w:id="183784343">
      <w:bodyDiv w:val="1"/>
      <w:marLeft w:val="0"/>
      <w:marRight w:val="0"/>
      <w:marTop w:val="0"/>
      <w:marBottom w:val="0"/>
      <w:divBdr>
        <w:top w:val="none" w:sz="0" w:space="0" w:color="auto"/>
        <w:left w:val="none" w:sz="0" w:space="0" w:color="auto"/>
        <w:bottom w:val="none" w:sz="0" w:space="0" w:color="auto"/>
        <w:right w:val="none" w:sz="0" w:space="0" w:color="auto"/>
      </w:divBdr>
      <w:divsChild>
        <w:div w:id="972516430">
          <w:marLeft w:val="0"/>
          <w:marRight w:val="0"/>
          <w:marTop w:val="0"/>
          <w:marBottom w:val="0"/>
          <w:divBdr>
            <w:top w:val="none" w:sz="0" w:space="0" w:color="auto"/>
            <w:left w:val="none" w:sz="0" w:space="0" w:color="auto"/>
            <w:bottom w:val="none" w:sz="0" w:space="0" w:color="auto"/>
            <w:right w:val="none" w:sz="0" w:space="0" w:color="auto"/>
          </w:divBdr>
        </w:div>
        <w:div w:id="1419713599">
          <w:marLeft w:val="0"/>
          <w:marRight w:val="0"/>
          <w:marTop w:val="0"/>
          <w:marBottom w:val="0"/>
          <w:divBdr>
            <w:top w:val="none" w:sz="0" w:space="0" w:color="auto"/>
            <w:left w:val="none" w:sz="0" w:space="0" w:color="auto"/>
            <w:bottom w:val="none" w:sz="0" w:space="0" w:color="auto"/>
            <w:right w:val="none" w:sz="0" w:space="0" w:color="auto"/>
          </w:divBdr>
        </w:div>
      </w:divsChild>
    </w:div>
    <w:div w:id="310256363">
      <w:bodyDiv w:val="1"/>
      <w:marLeft w:val="0"/>
      <w:marRight w:val="0"/>
      <w:marTop w:val="0"/>
      <w:marBottom w:val="0"/>
      <w:divBdr>
        <w:top w:val="none" w:sz="0" w:space="0" w:color="auto"/>
        <w:left w:val="none" w:sz="0" w:space="0" w:color="auto"/>
        <w:bottom w:val="none" w:sz="0" w:space="0" w:color="auto"/>
        <w:right w:val="none" w:sz="0" w:space="0" w:color="auto"/>
      </w:divBdr>
    </w:div>
    <w:div w:id="406263957">
      <w:bodyDiv w:val="1"/>
      <w:marLeft w:val="0"/>
      <w:marRight w:val="0"/>
      <w:marTop w:val="0"/>
      <w:marBottom w:val="0"/>
      <w:divBdr>
        <w:top w:val="none" w:sz="0" w:space="0" w:color="auto"/>
        <w:left w:val="none" w:sz="0" w:space="0" w:color="auto"/>
        <w:bottom w:val="none" w:sz="0" w:space="0" w:color="auto"/>
        <w:right w:val="none" w:sz="0" w:space="0" w:color="auto"/>
      </w:divBdr>
    </w:div>
    <w:div w:id="533077114">
      <w:bodyDiv w:val="1"/>
      <w:marLeft w:val="0"/>
      <w:marRight w:val="0"/>
      <w:marTop w:val="0"/>
      <w:marBottom w:val="0"/>
      <w:divBdr>
        <w:top w:val="none" w:sz="0" w:space="0" w:color="auto"/>
        <w:left w:val="none" w:sz="0" w:space="0" w:color="auto"/>
        <w:bottom w:val="none" w:sz="0" w:space="0" w:color="auto"/>
        <w:right w:val="none" w:sz="0" w:space="0" w:color="auto"/>
      </w:divBdr>
    </w:div>
    <w:div w:id="644892679">
      <w:bodyDiv w:val="1"/>
      <w:marLeft w:val="0"/>
      <w:marRight w:val="0"/>
      <w:marTop w:val="0"/>
      <w:marBottom w:val="0"/>
      <w:divBdr>
        <w:top w:val="none" w:sz="0" w:space="0" w:color="auto"/>
        <w:left w:val="none" w:sz="0" w:space="0" w:color="auto"/>
        <w:bottom w:val="none" w:sz="0" w:space="0" w:color="auto"/>
        <w:right w:val="none" w:sz="0" w:space="0" w:color="auto"/>
      </w:divBdr>
    </w:div>
    <w:div w:id="690228303">
      <w:bodyDiv w:val="1"/>
      <w:marLeft w:val="0"/>
      <w:marRight w:val="0"/>
      <w:marTop w:val="0"/>
      <w:marBottom w:val="0"/>
      <w:divBdr>
        <w:top w:val="none" w:sz="0" w:space="0" w:color="auto"/>
        <w:left w:val="none" w:sz="0" w:space="0" w:color="auto"/>
        <w:bottom w:val="none" w:sz="0" w:space="0" w:color="auto"/>
        <w:right w:val="none" w:sz="0" w:space="0" w:color="auto"/>
      </w:divBdr>
    </w:div>
    <w:div w:id="704526049">
      <w:bodyDiv w:val="1"/>
      <w:marLeft w:val="0"/>
      <w:marRight w:val="0"/>
      <w:marTop w:val="0"/>
      <w:marBottom w:val="0"/>
      <w:divBdr>
        <w:top w:val="none" w:sz="0" w:space="0" w:color="auto"/>
        <w:left w:val="none" w:sz="0" w:space="0" w:color="auto"/>
        <w:bottom w:val="none" w:sz="0" w:space="0" w:color="auto"/>
        <w:right w:val="none" w:sz="0" w:space="0" w:color="auto"/>
      </w:divBdr>
    </w:div>
    <w:div w:id="782768354">
      <w:bodyDiv w:val="1"/>
      <w:marLeft w:val="0"/>
      <w:marRight w:val="0"/>
      <w:marTop w:val="0"/>
      <w:marBottom w:val="0"/>
      <w:divBdr>
        <w:top w:val="none" w:sz="0" w:space="0" w:color="auto"/>
        <w:left w:val="none" w:sz="0" w:space="0" w:color="auto"/>
        <w:bottom w:val="none" w:sz="0" w:space="0" w:color="auto"/>
        <w:right w:val="none" w:sz="0" w:space="0" w:color="auto"/>
      </w:divBdr>
    </w:div>
    <w:div w:id="834347772">
      <w:bodyDiv w:val="1"/>
      <w:marLeft w:val="0"/>
      <w:marRight w:val="0"/>
      <w:marTop w:val="0"/>
      <w:marBottom w:val="0"/>
      <w:divBdr>
        <w:top w:val="none" w:sz="0" w:space="0" w:color="auto"/>
        <w:left w:val="none" w:sz="0" w:space="0" w:color="auto"/>
        <w:bottom w:val="none" w:sz="0" w:space="0" w:color="auto"/>
        <w:right w:val="none" w:sz="0" w:space="0" w:color="auto"/>
      </w:divBdr>
    </w:div>
    <w:div w:id="949314759">
      <w:bodyDiv w:val="1"/>
      <w:marLeft w:val="0"/>
      <w:marRight w:val="0"/>
      <w:marTop w:val="0"/>
      <w:marBottom w:val="0"/>
      <w:divBdr>
        <w:top w:val="none" w:sz="0" w:space="0" w:color="auto"/>
        <w:left w:val="none" w:sz="0" w:space="0" w:color="auto"/>
        <w:bottom w:val="none" w:sz="0" w:space="0" w:color="auto"/>
        <w:right w:val="none" w:sz="0" w:space="0" w:color="auto"/>
      </w:divBdr>
    </w:div>
    <w:div w:id="1433429851">
      <w:bodyDiv w:val="1"/>
      <w:marLeft w:val="0"/>
      <w:marRight w:val="0"/>
      <w:marTop w:val="0"/>
      <w:marBottom w:val="0"/>
      <w:divBdr>
        <w:top w:val="none" w:sz="0" w:space="0" w:color="auto"/>
        <w:left w:val="none" w:sz="0" w:space="0" w:color="auto"/>
        <w:bottom w:val="none" w:sz="0" w:space="0" w:color="auto"/>
        <w:right w:val="none" w:sz="0" w:space="0" w:color="auto"/>
      </w:divBdr>
    </w:div>
    <w:div w:id="1467427562">
      <w:bodyDiv w:val="1"/>
      <w:marLeft w:val="0"/>
      <w:marRight w:val="0"/>
      <w:marTop w:val="0"/>
      <w:marBottom w:val="0"/>
      <w:divBdr>
        <w:top w:val="none" w:sz="0" w:space="0" w:color="auto"/>
        <w:left w:val="none" w:sz="0" w:space="0" w:color="auto"/>
        <w:bottom w:val="none" w:sz="0" w:space="0" w:color="auto"/>
        <w:right w:val="none" w:sz="0" w:space="0" w:color="auto"/>
      </w:divBdr>
    </w:div>
    <w:div w:id="1568761162">
      <w:bodyDiv w:val="1"/>
      <w:marLeft w:val="0"/>
      <w:marRight w:val="0"/>
      <w:marTop w:val="0"/>
      <w:marBottom w:val="0"/>
      <w:divBdr>
        <w:top w:val="none" w:sz="0" w:space="0" w:color="auto"/>
        <w:left w:val="none" w:sz="0" w:space="0" w:color="auto"/>
        <w:bottom w:val="none" w:sz="0" w:space="0" w:color="auto"/>
        <w:right w:val="none" w:sz="0" w:space="0" w:color="auto"/>
      </w:divBdr>
    </w:div>
    <w:div w:id="1613972075">
      <w:bodyDiv w:val="1"/>
      <w:marLeft w:val="0"/>
      <w:marRight w:val="0"/>
      <w:marTop w:val="0"/>
      <w:marBottom w:val="0"/>
      <w:divBdr>
        <w:top w:val="none" w:sz="0" w:space="0" w:color="auto"/>
        <w:left w:val="none" w:sz="0" w:space="0" w:color="auto"/>
        <w:bottom w:val="none" w:sz="0" w:space="0" w:color="auto"/>
        <w:right w:val="none" w:sz="0" w:space="0" w:color="auto"/>
      </w:divBdr>
    </w:div>
    <w:div w:id="1933469850">
      <w:bodyDiv w:val="1"/>
      <w:marLeft w:val="0"/>
      <w:marRight w:val="0"/>
      <w:marTop w:val="0"/>
      <w:marBottom w:val="0"/>
      <w:divBdr>
        <w:top w:val="none" w:sz="0" w:space="0" w:color="auto"/>
        <w:left w:val="none" w:sz="0" w:space="0" w:color="auto"/>
        <w:bottom w:val="none" w:sz="0" w:space="0" w:color="auto"/>
        <w:right w:val="none" w:sz="0" w:space="0" w:color="auto"/>
      </w:divBdr>
    </w:div>
    <w:div w:id="2098090329">
      <w:bodyDiv w:val="1"/>
      <w:marLeft w:val="0"/>
      <w:marRight w:val="0"/>
      <w:marTop w:val="0"/>
      <w:marBottom w:val="0"/>
      <w:divBdr>
        <w:top w:val="none" w:sz="0" w:space="0" w:color="auto"/>
        <w:left w:val="none" w:sz="0" w:space="0" w:color="auto"/>
        <w:bottom w:val="none" w:sz="0" w:space="0" w:color="auto"/>
        <w:right w:val="none" w:sz="0" w:space="0" w:color="auto"/>
      </w:divBdr>
    </w:div>
    <w:div w:id="213702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EN/TXT/HTML/?uri=CELEX:32006L0054&amp;from=E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907682/Explainer__UK_Government_commitment_to_no_diminution_of_rights__safeguards_and_equality_of_opportunity_in_Northern_Ireland.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907682/Explainer__UK_Government_commitment_to_no_diminution_of_rights__safeguards_and_equality_of_opportunity_in_Northern_Ireland.pdf" TargetMode="External"/><Relationship Id="rId13" Type="http://schemas.openxmlformats.org/officeDocument/2006/relationships/hyperlink" Target="https://www.legislation.gov.uk/eut/teec/article/157" TargetMode="External"/><Relationship Id="rId18" Type="http://schemas.openxmlformats.org/officeDocument/2006/relationships/hyperlink" Target="https://www.equalityni.org/ECNI/media/ECNI/Publications/Delivering%20Equality/DMU/NIHRC-ECNI-Scope-of-Protocol-Working-Paper-December-2022.pdf" TargetMode="External"/><Relationship Id="rId3" Type="http://schemas.openxmlformats.org/officeDocument/2006/relationships/hyperlink" Target="https://www.legislation.gov.uk/eut/teec/article/157" TargetMode="External"/><Relationship Id="rId21" Type="http://schemas.openxmlformats.org/officeDocument/2006/relationships/hyperlink" Target="https://www.nisra.gov.uk/news/employee-earnings-northern-ireland-2023" TargetMode="External"/><Relationship Id="rId7" Type="http://schemas.openxmlformats.org/officeDocument/2006/relationships/hyperlink" Target="https://eur-lex.europa.eu/legal-content/EN/TXT/HTML/?uri=CELEX:32006L0054&amp;from=EN" TargetMode="External"/><Relationship Id="rId12" Type="http://schemas.openxmlformats.org/officeDocument/2006/relationships/hyperlink" Target="https://www.equalityni.org/ECNI/media/ECNI/Publications/Delivering%20Equality/DMU/NIHRC-ECNI-Scope-of-Protocol-Working-Paper-December-2022.pdf" TargetMode="External"/><Relationship Id="rId17" Type="http://schemas.openxmlformats.org/officeDocument/2006/relationships/hyperlink" Target="https://www.eumonitor.eu/9353000/1/j4nvhdfdk3hydzq_j9vvik7m1c3gyxp/vlgtge5u2awi" TargetMode="External"/><Relationship Id="rId2" Type="http://schemas.openxmlformats.org/officeDocument/2006/relationships/hyperlink" Target="https://eur-lex.europa.eu/legal-content/EN/TXT/PDF/?uri=CELEX:32023L0970" TargetMode="External"/><Relationship Id="rId16" Type="http://schemas.openxmlformats.org/officeDocument/2006/relationships/hyperlink" Target="https://www.eumonitor.eu/9353000/1/j4nvhdfdk3hydzq_j9vvik7m1c3gyxp/vlgtge5u2awi" TargetMode="External"/><Relationship Id="rId20" Type="http://schemas.openxmlformats.org/officeDocument/2006/relationships/hyperlink" Target="https://www.eumonitor.eu/9353000/1/j4nvhdfdk3hydzq_j9vvik7m1c3gyxp/vlgtge5u2awi" TargetMode="External"/><Relationship Id="rId1" Type="http://schemas.openxmlformats.org/officeDocument/2006/relationships/hyperlink" Target="https://eur-lex.europa.eu/legal-content/EN/TXT/HTML/?uri=CELEX:32006L0054&amp;from=EN" TargetMode="External"/><Relationship Id="rId6" Type="http://schemas.openxmlformats.org/officeDocument/2006/relationships/hyperlink" Target="https://www.equalityni.org/ECNI/media/ECNI/Publications/Delivering%20Equality/DMU/NIHRC-ECNI-Scope-of-Protocol-Working-Paper-December-2022.pdf" TargetMode="External"/><Relationship Id="rId11" Type="http://schemas.openxmlformats.org/officeDocument/2006/relationships/hyperlink" Target="https://eur01.safelinks.protection.outlook.com/?url=http%3A%2F%2Feuropeanmemoranda.cabinetoffice.gov.uk%2Ffiles%2F2021%2F07%2FCorrespondence_from_the_Northern_Ireland_Office_15072021_-_European_Scrutiny_Committee.pdf&amp;data=04%7C01%7CRMallon%40equalityni.org%7C4f34575efdb54aadbcff08d94b635270%7C5820a9e267394cd7838b4cb0f6ccf5ce%7C0%7C0%7C637623712212023482%7CUnknown%7CTWFpbGZsb3d8eyJWIjoiMC4wLjAwMDAiLCJQIjoiV2luMzIiLCJBTiI6Ik1haWwiLCJXVCI6Mn0%3D%7C1000&amp;sdata=hXTZGrWsQLVTKXxZGuybUJ4PTF1vDzXSsD6TiXfRV1w%3D&amp;reserved=0" TargetMode="External"/><Relationship Id="rId5" Type="http://schemas.openxmlformats.org/officeDocument/2006/relationships/hyperlink" Target="Equality%20Commission's%20response%20to%20the%20Executive%20Office's%20consultation%20on%20the%20review%20of%20Race%20Relations%20(NI)%20Order%201997%20(equalityni.org)." TargetMode="External"/><Relationship Id="rId15" Type="http://schemas.openxmlformats.org/officeDocument/2006/relationships/hyperlink" Target="https://www.eumonitor.eu/9353000/1/j4nvhdfdk3hydzq_j9vvik7m1c3gyxp/vlgtge5u2awi" TargetMode="External"/><Relationship Id="rId10" Type="http://schemas.openxmlformats.org/officeDocument/2006/relationships/hyperlink" Target="https://www.legislation.gov.uk/eut/teec/article/157" TargetMode="External"/><Relationship Id="rId19" Type="http://schemas.openxmlformats.org/officeDocument/2006/relationships/hyperlink" Target="https://www.eumonitor.eu/9353000/1/j4nvhdfdk3hydzq_j9vvik7m1c3gyxp/vlgtge5u2awi" TargetMode="External"/><Relationship Id="rId4" Type="http://schemas.openxmlformats.org/officeDocument/2006/relationships/hyperlink" Target="https://www.legislation.gov.uk/eut/teec/article/157" TargetMode="External"/><Relationship Id="rId9" Type="http://schemas.openxmlformats.org/officeDocument/2006/relationships/hyperlink" Target="https://eur-lex.europa.eu/legal-content/EN/TXT/PDF/?uri=CELEX:32023L0970" TargetMode="External"/><Relationship Id="rId14" Type="http://schemas.openxmlformats.org/officeDocument/2006/relationships/hyperlink" Target="https://www.eumonitor.eu/9353000/1/j4nvhdfdk3hydzq_j9vvik7m1c3gyxp/vlgtge5u2awi" TargetMode="External"/><Relationship Id="rId22" Type="http://schemas.openxmlformats.org/officeDocument/2006/relationships/hyperlink" Target="https://www.equalityni.org/ECNI/media/ECNI/Consultation%20Responses/2023/TEO-RaceRelationsOrder-ECNI-Response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DC2B27FF6E44438F904410BC48B24A" ma:contentTypeVersion="18" ma:contentTypeDescription="Create a new document." ma:contentTypeScope="" ma:versionID="fea5e2489b50ac5825144e24a53281ef">
  <xsd:schema xmlns:xsd="http://www.w3.org/2001/XMLSchema" xmlns:xs="http://www.w3.org/2001/XMLSchema" xmlns:p="http://schemas.microsoft.com/office/2006/metadata/properties" xmlns:ns2="ea09e9fc-379a-42ee-8df3-44583002b528" xmlns:ns3="ed086548-c02c-4137-b81a-e76ef2108fdb" targetNamespace="http://schemas.microsoft.com/office/2006/metadata/properties" ma:root="true" ma:fieldsID="91411863dd9d1cb65ea77316c26d669a" ns2:_="" ns3:_="">
    <xsd:import namespace="ea09e9fc-379a-42ee-8df3-44583002b528"/>
    <xsd:import namespace="ed086548-c02c-4137-b81a-e76ef2108f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9e9fc-379a-42ee-8df3-44583002b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086548-c02c-4137-b81a-e76ef2108fd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4b84402-ef25-4d5a-84ae-2c698506da50}" ma:internalName="TaxCatchAll" ma:showField="CatchAllData" ma:web="ed086548-c02c-4137-b81a-e76ef2108f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a09e9fc-379a-42ee-8df3-44583002b528">
      <Terms xmlns="http://schemas.microsoft.com/office/infopath/2007/PartnerControls"/>
    </lcf76f155ced4ddcb4097134ff3c332f>
    <TaxCatchAll xmlns="ed086548-c02c-4137-b81a-e76ef2108fdb" xsi:nil="true"/>
    <SharedWithUsers xmlns="ed086548-c02c-4137-b81a-e76ef2108fdb">
      <UserInfo>
        <DisplayName>Natasha McClelland</DisplayName>
        <AccountId>141</AccountId>
        <AccountType/>
      </UserInfo>
      <UserInfo>
        <DisplayName>Martina McAuley</DisplayName>
        <AccountId>26</AccountId>
        <AccountType/>
      </UserInfo>
      <UserInfo>
        <DisplayName>Patricia Cosgrove</DisplayName>
        <AccountId>12</AccountId>
        <AccountType/>
      </UserInfo>
      <UserInfo>
        <DisplayName>Roisin Mallon</DisplayName>
        <AccountId>13</AccountId>
        <AccountType/>
      </UserInfo>
      <UserInfo>
        <DisplayName>Leah Crooks</DisplayName>
        <AccountId>23</AccountId>
        <AccountType/>
      </UserInfo>
      <UserInfo>
        <DisplayName>Laura Collins</DisplayName>
        <AccountId>74</AccountId>
        <AccountType/>
      </UserInfo>
      <UserInfo>
        <DisplayName>Megan McDermott</DisplayName>
        <AccountId>186</AccountId>
        <AccountType/>
      </UserInfo>
    </SharedWithUsers>
  </documentManagement>
</p:properties>
</file>

<file path=customXml/itemProps1.xml><?xml version="1.0" encoding="utf-8"?>
<ds:datastoreItem xmlns:ds="http://schemas.openxmlformats.org/officeDocument/2006/customXml" ds:itemID="{7971FF22-E9C7-46D0-818E-1390DA59F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9e9fc-379a-42ee-8df3-44583002b528"/>
    <ds:schemaRef ds:uri="ed086548-c02c-4137-b81a-e76ef2108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7B401F-4336-4883-813A-914C9D7FB5D7}">
  <ds:schemaRefs>
    <ds:schemaRef ds:uri="http://schemas.openxmlformats.org/officeDocument/2006/bibliography"/>
  </ds:schemaRefs>
</ds:datastoreItem>
</file>

<file path=customXml/itemProps3.xml><?xml version="1.0" encoding="utf-8"?>
<ds:datastoreItem xmlns:ds="http://schemas.openxmlformats.org/officeDocument/2006/customXml" ds:itemID="{3C555E69-3CFC-4D8E-AB62-BBA39ECD1C51}">
  <ds:schemaRefs>
    <ds:schemaRef ds:uri="http://schemas.microsoft.com/sharepoint/v3/contenttype/forms"/>
  </ds:schemaRefs>
</ds:datastoreItem>
</file>

<file path=customXml/itemProps4.xml><?xml version="1.0" encoding="utf-8"?>
<ds:datastoreItem xmlns:ds="http://schemas.openxmlformats.org/officeDocument/2006/customXml" ds:itemID="{91C05CD1-69F6-4EC2-9DAA-BE5174D7EE5C}">
  <ds:schemaRefs>
    <ds:schemaRef ds:uri="http://schemas.microsoft.com/office/2006/metadata/properties"/>
    <ds:schemaRef ds:uri="http://schemas.microsoft.com/office/infopath/2007/PartnerControls"/>
    <ds:schemaRef ds:uri="ea09e9fc-379a-42ee-8df3-44583002b528"/>
    <ds:schemaRef ds:uri="ed086548-c02c-4137-b81a-e76ef2108fd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45</Pages>
  <Words>13406</Words>
  <Characters>76415</Characters>
  <Application>Microsoft Office Word</Application>
  <DocSecurity>4</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Equality Commission</Company>
  <LinksUpToDate>false</LinksUpToDate>
  <CharactersWithSpaces>89642</CharactersWithSpaces>
  <SharedDoc>false</SharedDoc>
  <HLinks>
    <vt:vector size="144" baseType="variant">
      <vt:variant>
        <vt:i4>2686989</vt:i4>
      </vt:variant>
      <vt:variant>
        <vt:i4>3</vt:i4>
      </vt:variant>
      <vt:variant>
        <vt:i4>0</vt:i4>
      </vt:variant>
      <vt:variant>
        <vt:i4>5</vt:i4>
      </vt:variant>
      <vt:variant>
        <vt:lpwstr>https://assets.publishing.service.gov.uk/government/uploads/system/uploads/attachment_data/file/907682/Explainer__UK_Government_commitment_to_no_diminution_of_rights__safeguards_and_equality_of_opportunity_in_Northern_Ireland.pdf</vt:lpwstr>
      </vt:variant>
      <vt:variant>
        <vt:lpwstr/>
      </vt:variant>
      <vt:variant>
        <vt:i4>196629</vt:i4>
      </vt:variant>
      <vt:variant>
        <vt:i4>0</vt:i4>
      </vt:variant>
      <vt:variant>
        <vt:i4>0</vt:i4>
      </vt:variant>
      <vt:variant>
        <vt:i4>5</vt:i4>
      </vt:variant>
      <vt:variant>
        <vt:lpwstr>https://eur-lex.europa.eu/legal-content/EN/TXT/HTML/?uri=CELEX:32006L0054&amp;from=EN</vt:lpwstr>
      </vt:variant>
      <vt:variant>
        <vt:lpwstr/>
      </vt:variant>
      <vt:variant>
        <vt:i4>3801145</vt:i4>
      </vt:variant>
      <vt:variant>
        <vt:i4>63</vt:i4>
      </vt:variant>
      <vt:variant>
        <vt:i4>0</vt:i4>
      </vt:variant>
      <vt:variant>
        <vt:i4>5</vt:i4>
      </vt:variant>
      <vt:variant>
        <vt:lpwstr>https://www.equalityni.org/ECNI/media/ECNI/Consultation Responses/2023/TEO-RaceRelationsOrder-ECNI-Response2023.pdf</vt:lpwstr>
      </vt:variant>
      <vt:variant>
        <vt:lpwstr/>
      </vt:variant>
      <vt:variant>
        <vt:i4>5505107</vt:i4>
      </vt:variant>
      <vt:variant>
        <vt:i4>60</vt:i4>
      </vt:variant>
      <vt:variant>
        <vt:i4>0</vt:i4>
      </vt:variant>
      <vt:variant>
        <vt:i4>5</vt:i4>
      </vt:variant>
      <vt:variant>
        <vt:lpwstr>https://www.nisra.gov.uk/news/employee-earnings-northern-ireland-2023</vt:lpwstr>
      </vt:variant>
      <vt:variant>
        <vt:lpwstr>:~:text=Gender%20pay%20gap%20in%20favour%20of%20males%20in%20NI&amp;text=Median%20hourly%20earnings%20(excluding%20overtime,for%20males%20(%C2%A314.92).</vt:lpwstr>
      </vt:variant>
      <vt:variant>
        <vt:i4>4587564</vt:i4>
      </vt:variant>
      <vt:variant>
        <vt:i4>57</vt:i4>
      </vt:variant>
      <vt:variant>
        <vt:i4>0</vt:i4>
      </vt:variant>
      <vt:variant>
        <vt:i4>5</vt:i4>
      </vt:variant>
      <vt:variant>
        <vt:lpwstr>https://www.eumonitor.eu/9353000/1/j4nvhdfdk3hydzq_j9vvik7m1c3gyxp/vlgtge5u2awi</vt:lpwstr>
      </vt:variant>
      <vt:variant>
        <vt:lpwstr>:~:text=The%20proposed%20directive%20is%20based,employment%20and%20occupation%2C%20including%20the</vt:lpwstr>
      </vt:variant>
      <vt:variant>
        <vt:i4>4587564</vt:i4>
      </vt:variant>
      <vt:variant>
        <vt:i4>54</vt:i4>
      </vt:variant>
      <vt:variant>
        <vt:i4>0</vt:i4>
      </vt:variant>
      <vt:variant>
        <vt:i4>5</vt:i4>
      </vt:variant>
      <vt:variant>
        <vt:lpwstr>https://www.eumonitor.eu/9353000/1/j4nvhdfdk3hydzq_j9vvik7m1c3gyxp/vlgtge5u2awi</vt:lpwstr>
      </vt:variant>
      <vt:variant>
        <vt:lpwstr>:~:text=The%20proposed%20directive%20is%20based,employment%20and%20occupation%2C%20including%20the</vt:lpwstr>
      </vt:variant>
      <vt:variant>
        <vt:i4>5570639</vt:i4>
      </vt:variant>
      <vt:variant>
        <vt:i4>51</vt:i4>
      </vt:variant>
      <vt:variant>
        <vt:i4>0</vt:i4>
      </vt:variant>
      <vt:variant>
        <vt:i4>5</vt:i4>
      </vt:variant>
      <vt:variant>
        <vt:lpwstr>https://www.equalityni.org/ECNI/media/ECNI/Publications/Delivering Equality/DMU/NIHRC-ECNI-Scope-of-Protocol-Working-Paper-December-2022.pdf</vt:lpwstr>
      </vt:variant>
      <vt:variant>
        <vt:lpwstr/>
      </vt:variant>
      <vt:variant>
        <vt:i4>4587564</vt:i4>
      </vt:variant>
      <vt:variant>
        <vt:i4>48</vt:i4>
      </vt:variant>
      <vt:variant>
        <vt:i4>0</vt:i4>
      </vt:variant>
      <vt:variant>
        <vt:i4>5</vt:i4>
      </vt:variant>
      <vt:variant>
        <vt:lpwstr>https://www.eumonitor.eu/9353000/1/j4nvhdfdk3hydzq_j9vvik7m1c3gyxp/vlgtge5u2awi</vt:lpwstr>
      </vt:variant>
      <vt:variant>
        <vt:lpwstr>:~:text=The%20proposed%20directive%20is%20based,employment%20and%20occupation%2C%20including%20the</vt:lpwstr>
      </vt:variant>
      <vt:variant>
        <vt:i4>4587564</vt:i4>
      </vt:variant>
      <vt:variant>
        <vt:i4>45</vt:i4>
      </vt:variant>
      <vt:variant>
        <vt:i4>0</vt:i4>
      </vt:variant>
      <vt:variant>
        <vt:i4>5</vt:i4>
      </vt:variant>
      <vt:variant>
        <vt:lpwstr>https://www.eumonitor.eu/9353000/1/j4nvhdfdk3hydzq_j9vvik7m1c3gyxp/vlgtge5u2awi</vt:lpwstr>
      </vt:variant>
      <vt:variant>
        <vt:lpwstr>:~:text=The%20proposed%20directive%20is%20based,employment%20and%20occupation%2C%20including%20the</vt:lpwstr>
      </vt:variant>
      <vt:variant>
        <vt:i4>4587564</vt:i4>
      </vt:variant>
      <vt:variant>
        <vt:i4>42</vt:i4>
      </vt:variant>
      <vt:variant>
        <vt:i4>0</vt:i4>
      </vt:variant>
      <vt:variant>
        <vt:i4>5</vt:i4>
      </vt:variant>
      <vt:variant>
        <vt:lpwstr>https://www.eumonitor.eu/9353000/1/j4nvhdfdk3hydzq_j9vvik7m1c3gyxp/vlgtge5u2awi</vt:lpwstr>
      </vt:variant>
      <vt:variant>
        <vt:lpwstr>:~:text=The%20proposed%20directive%20is%20based,employment%20and%20occupation%2C%20including%20the</vt:lpwstr>
      </vt:variant>
      <vt:variant>
        <vt:i4>4587564</vt:i4>
      </vt:variant>
      <vt:variant>
        <vt:i4>39</vt:i4>
      </vt:variant>
      <vt:variant>
        <vt:i4>0</vt:i4>
      </vt:variant>
      <vt:variant>
        <vt:i4>5</vt:i4>
      </vt:variant>
      <vt:variant>
        <vt:lpwstr>https://www.eumonitor.eu/9353000/1/j4nvhdfdk3hydzq_j9vvik7m1c3gyxp/vlgtge5u2awi</vt:lpwstr>
      </vt:variant>
      <vt:variant>
        <vt:lpwstr>:~:text=The%20proposed%20directive%20is%20based,employment%20and%20occupation%2C%20including%20the</vt:lpwstr>
      </vt:variant>
      <vt:variant>
        <vt:i4>2621501</vt:i4>
      </vt:variant>
      <vt:variant>
        <vt:i4>36</vt:i4>
      </vt:variant>
      <vt:variant>
        <vt:i4>0</vt:i4>
      </vt:variant>
      <vt:variant>
        <vt:i4>5</vt:i4>
      </vt:variant>
      <vt:variant>
        <vt:lpwstr>https://www.legislation.gov.uk/eut/teec/article/157</vt:lpwstr>
      </vt:variant>
      <vt:variant>
        <vt:lpwstr>:~:text=Each%20Member%20State%20shall%20ensure,of%20equal%20value%20is%20applied.</vt:lpwstr>
      </vt:variant>
      <vt:variant>
        <vt:i4>5570639</vt:i4>
      </vt:variant>
      <vt:variant>
        <vt:i4>33</vt:i4>
      </vt:variant>
      <vt:variant>
        <vt:i4>0</vt:i4>
      </vt:variant>
      <vt:variant>
        <vt:i4>5</vt:i4>
      </vt:variant>
      <vt:variant>
        <vt:lpwstr>https://www.equalityni.org/ECNI/media/ECNI/Publications/Delivering Equality/DMU/NIHRC-ECNI-Scope-of-Protocol-Working-Paper-December-2022.pdf</vt:lpwstr>
      </vt:variant>
      <vt:variant>
        <vt:lpwstr/>
      </vt:variant>
      <vt:variant>
        <vt:i4>2228350</vt:i4>
      </vt:variant>
      <vt:variant>
        <vt:i4>30</vt:i4>
      </vt:variant>
      <vt:variant>
        <vt:i4>0</vt:i4>
      </vt:variant>
      <vt:variant>
        <vt:i4>5</vt:i4>
      </vt:variant>
      <vt:variant>
        <vt:lpwstr>https://eur01.safelinks.protection.outlook.com/?url=http%3A%2F%2Feuropeanmemoranda.cabinetoffice.gov.uk%2Ffiles%2F2021%2F07%2FCorrespondence_from_the_Northern_Ireland_Office_15072021_-_European_Scrutiny_Committee.pdf&amp;data=04%7C01%7CRMallon%40equalityni.org%7C4f34575efdb54aadbcff08d94b635270%7C5820a9e267394cd7838b4cb0f6ccf5ce%7C0%7C0%7C637623712212023482%7CUnknown%7CTWFpbGZsb3d8eyJWIjoiMC4wLjAwMDAiLCJQIjoiV2luMzIiLCJBTiI6Ik1haWwiLCJXVCI6Mn0%3D%7C1000&amp;sdata=hXTZGrWsQLVTKXxZGuybUJ4PTF1vDzXSsD6TiXfRV1w%3D&amp;reserved=0</vt:lpwstr>
      </vt:variant>
      <vt:variant>
        <vt:lpwstr/>
      </vt:variant>
      <vt:variant>
        <vt:i4>2621501</vt:i4>
      </vt:variant>
      <vt:variant>
        <vt:i4>27</vt:i4>
      </vt:variant>
      <vt:variant>
        <vt:i4>0</vt:i4>
      </vt:variant>
      <vt:variant>
        <vt:i4>5</vt:i4>
      </vt:variant>
      <vt:variant>
        <vt:lpwstr>https://www.legislation.gov.uk/eut/teec/article/157</vt:lpwstr>
      </vt:variant>
      <vt:variant>
        <vt:lpwstr>:~:text=Each%20Member%20State%20shall%20ensure,of%20equal%20value%20is%20applied.</vt:lpwstr>
      </vt:variant>
      <vt:variant>
        <vt:i4>1507342</vt:i4>
      </vt:variant>
      <vt:variant>
        <vt:i4>24</vt:i4>
      </vt:variant>
      <vt:variant>
        <vt:i4>0</vt:i4>
      </vt:variant>
      <vt:variant>
        <vt:i4>5</vt:i4>
      </vt:variant>
      <vt:variant>
        <vt:lpwstr>https://eur-lex.europa.eu/legal-content/EN/TXT/PDF/?uri=CELEX:32023L0970</vt:lpwstr>
      </vt:variant>
      <vt:variant>
        <vt:lpwstr/>
      </vt:variant>
      <vt:variant>
        <vt:i4>2686989</vt:i4>
      </vt:variant>
      <vt:variant>
        <vt:i4>21</vt:i4>
      </vt:variant>
      <vt:variant>
        <vt:i4>0</vt:i4>
      </vt:variant>
      <vt:variant>
        <vt:i4>5</vt:i4>
      </vt:variant>
      <vt:variant>
        <vt:lpwstr>https://assets.publishing.service.gov.uk/government/uploads/system/uploads/attachment_data/file/907682/Explainer__UK_Government_commitment_to_no_diminution_of_rights__safeguards_and_equality_of_opportunity_in_Northern_Ireland.pdf</vt:lpwstr>
      </vt:variant>
      <vt:variant>
        <vt:lpwstr/>
      </vt:variant>
      <vt:variant>
        <vt:i4>196629</vt:i4>
      </vt:variant>
      <vt:variant>
        <vt:i4>18</vt:i4>
      </vt:variant>
      <vt:variant>
        <vt:i4>0</vt:i4>
      </vt:variant>
      <vt:variant>
        <vt:i4>5</vt:i4>
      </vt:variant>
      <vt:variant>
        <vt:lpwstr>https://eur-lex.europa.eu/legal-content/EN/TXT/HTML/?uri=CELEX:32006L0054&amp;from=EN</vt:lpwstr>
      </vt:variant>
      <vt:variant>
        <vt:lpwstr/>
      </vt:variant>
      <vt:variant>
        <vt:i4>5570639</vt:i4>
      </vt:variant>
      <vt:variant>
        <vt:i4>15</vt:i4>
      </vt:variant>
      <vt:variant>
        <vt:i4>0</vt:i4>
      </vt:variant>
      <vt:variant>
        <vt:i4>5</vt:i4>
      </vt:variant>
      <vt:variant>
        <vt:lpwstr>https://www.equalityni.org/ECNI/media/ECNI/Publications/Delivering Equality/DMU/NIHRC-ECNI-Scope-of-Protocol-Working-Paper-December-2022.pdf</vt:lpwstr>
      </vt:variant>
      <vt:variant>
        <vt:lpwstr/>
      </vt:variant>
      <vt:variant>
        <vt:i4>2687039</vt:i4>
      </vt:variant>
      <vt:variant>
        <vt:i4>12</vt:i4>
      </vt:variant>
      <vt:variant>
        <vt:i4>0</vt:i4>
      </vt:variant>
      <vt:variant>
        <vt:i4>5</vt:i4>
      </vt:variant>
      <vt:variant>
        <vt:lpwstr>https://ecni.sharepoint.com/sites/DMU/Shared Documents/General/General/Commission/2024/Feb2024/Equality Commission's response to the Executive Office's consultation on the review of Race Relations (NI) Order 1997 (equalityni.org).</vt:lpwstr>
      </vt:variant>
      <vt:variant>
        <vt:lpwstr/>
      </vt:variant>
      <vt:variant>
        <vt:i4>2621501</vt:i4>
      </vt:variant>
      <vt:variant>
        <vt:i4>9</vt:i4>
      </vt:variant>
      <vt:variant>
        <vt:i4>0</vt:i4>
      </vt:variant>
      <vt:variant>
        <vt:i4>5</vt:i4>
      </vt:variant>
      <vt:variant>
        <vt:lpwstr>https://www.legislation.gov.uk/eut/teec/article/157</vt:lpwstr>
      </vt:variant>
      <vt:variant>
        <vt:lpwstr>:~:text=Each%20Member%20State%20shall%20ensure,of%20equal%20value%20is%20applied.</vt:lpwstr>
      </vt:variant>
      <vt:variant>
        <vt:i4>2621501</vt:i4>
      </vt:variant>
      <vt:variant>
        <vt:i4>6</vt:i4>
      </vt:variant>
      <vt:variant>
        <vt:i4>0</vt:i4>
      </vt:variant>
      <vt:variant>
        <vt:i4>5</vt:i4>
      </vt:variant>
      <vt:variant>
        <vt:lpwstr>https://www.legislation.gov.uk/eut/teec/article/157</vt:lpwstr>
      </vt:variant>
      <vt:variant>
        <vt:lpwstr>:~:text=Each%20Member%20State%20shall%20ensure,of%20equal%20value%20is%20applied.</vt:lpwstr>
      </vt:variant>
      <vt:variant>
        <vt:i4>1507342</vt:i4>
      </vt:variant>
      <vt:variant>
        <vt:i4>3</vt:i4>
      </vt:variant>
      <vt:variant>
        <vt:i4>0</vt:i4>
      </vt:variant>
      <vt:variant>
        <vt:i4>5</vt:i4>
      </vt:variant>
      <vt:variant>
        <vt:lpwstr>https://eur-lex.europa.eu/legal-content/EN/TXT/PDF/?uri=CELEX:32023L0970</vt:lpwstr>
      </vt:variant>
      <vt:variant>
        <vt:lpwstr/>
      </vt:variant>
      <vt:variant>
        <vt:i4>196629</vt:i4>
      </vt:variant>
      <vt:variant>
        <vt:i4>0</vt:i4>
      </vt:variant>
      <vt:variant>
        <vt:i4>0</vt:i4>
      </vt:variant>
      <vt:variant>
        <vt:i4>5</vt:i4>
      </vt:variant>
      <vt:variant>
        <vt:lpwstr>https://eur-lex.europa.eu/legal-content/EN/TXT/HTML/?uri=CELEX:32006L0054&amp;from=EN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Roisin Mallon</cp:lastModifiedBy>
  <cp:revision>2</cp:revision>
  <cp:lastPrinted>2024-02-09T04:51:00Z</cp:lastPrinted>
  <dcterms:created xsi:type="dcterms:W3CDTF">2024-03-04T12:54:00Z</dcterms:created>
  <dcterms:modified xsi:type="dcterms:W3CDTF">2024-03-04T12:54:00Z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0x010100E3DC2B27FF6E44438F904410BC48B24A</vt:lpwstr>
  </property>
  <property fmtid="{D5CDD505-2E9C-101B-9397-08002B2CF9AE}" pid="3" name="Order">
    <vt:r8>487200</vt:r8>
  </property>
  <property fmtid="{D5CDD505-2E9C-101B-9397-08002B2CF9AE}" pid="4" name="MediaServiceImageTags">
    <vt:lpwstr/>
  </property>
</Properties>
</file>