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79E01D" w14:textId="2F3DF22A" w:rsidR="00F31387" w:rsidRDefault="00F31387" w:rsidP="00EF0CA0">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3AB794C" w14:textId="77777777" w:rsidR="00C04AF2" w:rsidRDefault="00C04AF2" w:rsidP="00EF0CA0">
      <w:pPr>
        <w:pStyle w:val="BasicParagraph"/>
        <w:suppressAutoHyphens/>
        <w:jc w:val="center"/>
        <w:rPr>
          <w:rFonts w:ascii="Verdana" w:hAnsi="Verdana" w:cs="Arial"/>
          <w:b/>
          <w:bCs/>
          <w:color w:val="734791"/>
          <w:sz w:val="36"/>
          <w:szCs w:val="36"/>
        </w:rPr>
      </w:pPr>
    </w:p>
    <w:p w14:paraId="4D9A3FE3" w14:textId="77777777" w:rsidR="00C04AF2" w:rsidRDefault="00C04AF2" w:rsidP="00EF0CA0">
      <w:pPr>
        <w:pStyle w:val="BasicParagraph"/>
        <w:suppressAutoHyphens/>
        <w:jc w:val="center"/>
        <w:rPr>
          <w:rFonts w:ascii="Verdana" w:hAnsi="Verdana" w:cs="Arial"/>
          <w:b/>
          <w:bCs/>
          <w:color w:val="734791"/>
          <w:sz w:val="36"/>
          <w:szCs w:val="36"/>
        </w:rPr>
      </w:pPr>
    </w:p>
    <w:p w14:paraId="521D0DD0" w14:textId="77777777" w:rsidR="00BD2E10" w:rsidRDefault="00BD2E10" w:rsidP="00484210">
      <w:pPr>
        <w:pStyle w:val="BasicParagraph"/>
        <w:suppressAutoHyphens/>
        <w:rPr>
          <w:rFonts w:ascii="Verdana" w:hAnsi="Verdana" w:cs="Arial"/>
          <w:b/>
          <w:bCs/>
          <w:color w:val="734791"/>
          <w:sz w:val="36"/>
          <w:szCs w:val="36"/>
        </w:rPr>
      </w:pPr>
    </w:p>
    <w:p w14:paraId="142E1EE7" w14:textId="77777777" w:rsidR="00484210" w:rsidRPr="00EA12CE" w:rsidRDefault="00484210" w:rsidP="00484210">
      <w:pPr>
        <w:pStyle w:val="BasicParagraph"/>
        <w:suppressAutoHyphens/>
        <w:rPr>
          <w:rFonts w:ascii="Verdana" w:hAnsi="Verdana" w:cs="Arial"/>
          <w:b/>
          <w:bCs/>
          <w:color w:val="734791"/>
          <w:sz w:val="36"/>
          <w:szCs w:val="36"/>
        </w:rPr>
      </w:pPr>
    </w:p>
    <w:p w14:paraId="57C7C2F8" w14:textId="79C18154" w:rsidR="0096459E" w:rsidRPr="003B7D0E" w:rsidRDefault="00AD6F93"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 xml:space="preserve">Submission to the </w:t>
      </w:r>
      <w:r w:rsidR="00A3265D">
        <w:rPr>
          <w:rFonts w:ascii="Verdana" w:hAnsi="Verdana" w:cs="Arial"/>
          <w:b/>
          <w:bCs/>
          <w:color w:val="77328A"/>
          <w:sz w:val="36"/>
          <w:szCs w:val="36"/>
        </w:rPr>
        <w:t>Committee for the Executive Office</w:t>
      </w:r>
      <w:r w:rsidR="008479B4">
        <w:rPr>
          <w:rFonts w:ascii="Verdana" w:hAnsi="Verdana" w:cs="Arial"/>
          <w:b/>
          <w:bCs/>
          <w:color w:val="77328A"/>
          <w:sz w:val="36"/>
          <w:szCs w:val="36"/>
        </w:rPr>
        <w:t xml:space="preserve"> </w:t>
      </w:r>
      <w:r w:rsidR="00A3265D" w:rsidRPr="00A3265D">
        <w:rPr>
          <w:rFonts w:ascii="Verdana" w:hAnsi="Verdana" w:cs="Arial"/>
          <w:b/>
          <w:bCs/>
          <w:color w:val="77328A"/>
          <w:sz w:val="36"/>
          <w:szCs w:val="36"/>
        </w:rPr>
        <w:t>Inquiry into Gaps in Equality Legislation</w:t>
      </w:r>
    </w:p>
    <w:p w14:paraId="258F7D8F" w14:textId="77777777" w:rsidR="00F31387" w:rsidRPr="00331C61" w:rsidRDefault="00F31387" w:rsidP="003B7D0E">
      <w:pPr>
        <w:pStyle w:val="Default"/>
        <w:spacing w:line="288" w:lineRule="auto"/>
        <w:jc w:val="center"/>
        <w:rPr>
          <w:rFonts w:cs="Arial"/>
          <w:color w:val="232120"/>
          <w:sz w:val="36"/>
          <w:szCs w:val="36"/>
        </w:rPr>
      </w:pPr>
    </w:p>
    <w:p w14:paraId="2014B73B" w14:textId="77777777" w:rsidR="00BD2E10" w:rsidRDefault="00BD2E10" w:rsidP="003B7D0E">
      <w:pPr>
        <w:pStyle w:val="Default"/>
        <w:spacing w:line="288" w:lineRule="auto"/>
        <w:jc w:val="center"/>
        <w:rPr>
          <w:rFonts w:cs="Arial"/>
          <w:color w:val="232120"/>
          <w:sz w:val="36"/>
          <w:szCs w:val="36"/>
        </w:rPr>
      </w:pPr>
    </w:p>
    <w:p w14:paraId="2C0B08B8" w14:textId="77777777" w:rsidR="00BD2E10" w:rsidRDefault="00BD2E10" w:rsidP="003B7D0E">
      <w:pPr>
        <w:pStyle w:val="Default"/>
        <w:spacing w:line="288" w:lineRule="auto"/>
        <w:jc w:val="center"/>
        <w:rPr>
          <w:rFonts w:cs="Arial"/>
          <w:color w:val="232120"/>
          <w:sz w:val="36"/>
          <w:szCs w:val="36"/>
        </w:rPr>
      </w:pPr>
    </w:p>
    <w:p w14:paraId="28110A89" w14:textId="77777777" w:rsidR="00BD2E10" w:rsidRDefault="00BD2E10" w:rsidP="003B7D0E">
      <w:pPr>
        <w:pStyle w:val="Default"/>
        <w:spacing w:line="288" w:lineRule="auto"/>
        <w:jc w:val="center"/>
        <w:rPr>
          <w:rFonts w:cs="Arial"/>
          <w:color w:val="232120"/>
          <w:sz w:val="36"/>
          <w:szCs w:val="36"/>
        </w:rPr>
      </w:pPr>
    </w:p>
    <w:p w14:paraId="6870803B" w14:textId="77777777" w:rsidR="00BD2E10" w:rsidRDefault="00BD2E10" w:rsidP="003B7D0E">
      <w:pPr>
        <w:pStyle w:val="Default"/>
        <w:spacing w:line="288" w:lineRule="auto"/>
        <w:jc w:val="center"/>
        <w:rPr>
          <w:rFonts w:cs="Arial"/>
          <w:color w:val="232120"/>
          <w:sz w:val="36"/>
          <w:szCs w:val="36"/>
        </w:rPr>
      </w:pPr>
    </w:p>
    <w:p w14:paraId="3ED5B9C2" w14:textId="77777777" w:rsidR="00BD2E10" w:rsidRDefault="00BD2E10" w:rsidP="003B7D0E">
      <w:pPr>
        <w:pStyle w:val="Default"/>
        <w:spacing w:line="288" w:lineRule="auto"/>
        <w:jc w:val="center"/>
        <w:rPr>
          <w:rFonts w:cs="Arial"/>
          <w:color w:val="232120"/>
          <w:sz w:val="36"/>
          <w:szCs w:val="36"/>
        </w:rPr>
      </w:pPr>
    </w:p>
    <w:p w14:paraId="580F99FC" w14:textId="77777777" w:rsidR="00BD2E10" w:rsidRPr="00331C61" w:rsidRDefault="00BD2E10" w:rsidP="003B7D0E">
      <w:pPr>
        <w:pStyle w:val="Default"/>
        <w:spacing w:line="288" w:lineRule="auto"/>
        <w:jc w:val="center"/>
        <w:rPr>
          <w:rFonts w:cs="Arial"/>
          <w:color w:val="232120"/>
          <w:sz w:val="36"/>
          <w:szCs w:val="36"/>
        </w:rPr>
      </w:pPr>
    </w:p>
    <w:p w14:paraId="0CD0AC25" w14:textId="456BE62D" w:rsidR="008159E8" w:rsidRPr="00331C61" w:rsidRDefault="00A3265D" w:rsidP="003B7D0E">
      <w:pPr>
        <w:jc w:val="center"/>
        <w:rPr>
          <w:rFonts w:cs="Arial"/>
          <w:b/>
          <w:color w:val="232120"/>
          <w:sz w:val="30"/>
          <w:szCs w:val="30"/>
        </w:rPr>
      </w:pPr>
      <w:r>
        <w:rPr>
          <w:rFonts w:cs="Arial"/>
          <w:b/>
          <w:color w:val="232120"/>
          <w:sz w:val="30"/>
          <w:szCs w:val="30"/>
        </w:rPr>
        <w:t xml:space="preserve">September </w:t>
      </w:r>
      <w:r w:rsidR="0096056C">
        <w:rPr>
          <w:rFonts w:cs="Arial"/>
          <w:b/>
          <w:color w:val="232120"/>
          <w:sz w:val="30"/>
          <w:szCs w:val="30"/>
        </w:rPr>
        <w:t>202</w:t>
      </w:r>
      <w:r w:rsidR="007E69FB">
        <w:rPr>
          <w:rFonts w:cs="Arial"/>
          <w:b/>
          <w:color w:val="232120"/>
          <w:sz w:val="30"/>
          <w:szCs w:val="30"/>
        </w:rPr>
        <w:t>4</w:t>
      </w:r>
    </w:p>
    <w:p w14:paraId="3C68CF13" w14:textId="77777777" w:rsidR="00046705" w:rsidRPr="00331C61" w:rsidRDefault="00046705" w:rsidP="003B7D0E">
      <w:pPr>
        <w:jc w:val="center"/>
        <w:rPr>
          <w:rFonts w:cs="Arial"/>
          <w:b/>
          <w:color w:val="232120"/>
          <w:sz w:val="28"/>
          <w:szCs w:val="28"/>
        </w:rPr>
      </w:pPr>
    </w:p>
    <w:p w14:paraId="1BDCD842" w14:textId="77777777" w:rsidR="00046705" w:rsidRPr="00331C61" w:rsidRDefault="00046705" w:rsidP="003B7D0E">
      <w:pPr>
        <w:jc w:val="center"/>
        <w:rPr>
          <w:rFonts w:cs="Arial"/>
          <w:b/>
          <w:color w:val="232120"/>
          <w:sz w:val="28"/>
          <w:szCs w:val="28"/>
        </w:rPr>
      </w:pPr>
    </w:p>
    <w:p w14:paraId="026112FA"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b/>
          <w:bCs/>
          <w:color w:val="77328A"/>
          <w:sz w:val="30"/>
          <w:szCs w:val="30"/>
          <w:lang w:val="en-GB"/>
        </w:rPr>
        <w:id w:val="-1539971895"/>
        <w:docPartObj>
          <w:docPartGallery w:val="Table of Contents"/>
          <w:docPartUnique/>
        </w:docPartObj>
      </w:sdtPr>
      <w:sdtEndPr>
        <w:rPr>
          <w:noProof/>
          <w:color w:val="auto"/>
          <w:sz w:val="24"/>
          <w:szCs w:val="24"/>
        </w:rPr>
      </w:sdtEndPr>
      <w:sdtContent>
        <w:p w14:paraId="342F33D0" w14:textId="77777777" w:rsidR="00D258FC" w:rsidRDefault="0096056C" w:rsidP="00D258FC">
          <w:pPr>
            <w:pStyle w:val="TOCHeading"/>
            <w:rPr>
              <w:rFonts w:ascii="Verdana" w:hAnsi="Verdana"/>
              <w:b/>
              <w:bCs/>
              <w:color w:val="77328A"/>
              <w:sz w:val="30"/>
              <w:szCs w:val="30"/>
            </w:rPr>
          </w:pPr>
          <w:r w:rsidRPr="00D84515">
            <w:rPr>
              <w:rFonts w:ascii="Verdana" w:hAnsi="Verdana"/>
              <w:b/>
              <w:bCs/>
              <w:color w:val="77328A"/>
              <w:sz w:val="30"/>
              <w:szCs w:val="30"/>
            </w:rPr>
            <w:t>Table of Contents</w:t>
          </w:r>
        </w:p>
        <w:p w14:paraId="749F2915" w14:textId="77777777" w:rsidR="000E2077" w:rsidRPr="000E2077" w:rsidRDefault="000E2077" w:rsidP="000E2077">
          <w:pPr>
            <w:rPr>
              <w:lang w:val="en-US"/>
            </w:rPr>
          </w:pPr>
        </w:p>
        <w:p w14:paraId="29426638" w14:textId="4D2C08B6" w:rsidR="001904D5" w:rsidRDefault="0096056C">
          <w:pPr>
            <w:pStyle w:val="TOC1"/>
            <w:rPr>
              <w:rFonts w:asciiTheme="minorHAnsi" w:hAnsiTheme="minorHAnsi"/>
              <w:b w:val="0"/>
              <w:bCs w:val="0"/>
              <w:kern w:val="2"/>
              <w:lang w:eastAsia="en-GB"/>
              <w14:ligatures w14:val="standardContextual"/>
            </w:rPr>
          </w:pPr>
          <w:r w:rsidRPr="00D84515">
            <w:rPr>
              <w:rFonts w:asciiTheme="majorHAnsi" w:eastAsiaTheme="majorEastAsia" w:hAnsiTheme="majorHAnsi" w:cstheme="majorBidi"/>
              <w:noProof w:val="0"/>
              <w:color w:val="365F91" w:themeColor="accent1" w:themeShade="BF"/>
              <w:sz w:val="32"/>
              <w:szCs w:val="32"/>
              <w:lang w:val="en-US"/>
            </w:rPr>
            <w:fldChar w:fldCharType="begin"/>
          </w:r>
          <w:r w:rsidRPr="00D84515">
            <w:instrText xml:space="preserve"> TOC \o "1-3" \h \z \u </w:instrText>
          </w:r>
          <w:r w:rsidRPr="00D84515">
            <w:rPr>
              <w:rFonts w:asciiTheme="majorHAnsi" w:eastAsiaTheme="majorEastAsia" w:hAnsiTheme="majorHAnsi" w:cstheme="majorBidi"/>
              <w:noProof w:val="0"/>
              <w:color w:val="365F91" w:themeColor="accent1" w:themeShade="BF"/>
              <w:sz w:val="32"/>
              <w:szCs w:val="32"/>
              <w:lang w:val="en-US"/>
            </w:rPr>
            <w:fldChar w:fldCharType="separate"/>
          </w:r>
          <w:hyperlink w:anchor="_Toc176503680" w:history="1">
            <w:r w:rsidR="001904D5" w:rsidRPr="008062EC">
              <w:rPr>
                <w:rStyle w:val="Hyperlink"/>
              </w:rPr>
              <w:t>Summary of Recommendations</w:t>
            </w:r>
            <w:r w:rsidR="001904D5">
              <w:rPr>
                <w:webHidden/>
              </w:rPr>
              <w:tab/>
            </w:r>
            <w:r w:rsidR="001904D5">
              <w:rPr>
                <w:webHidden/>
              </w:rPr>
              <w:fldChar w:fldCharType="begin"/>
            </w:r>
            <w:r w:rsidR="001904D5">
              <w:rPr>
                <w:webHidden/>
              </w:rPr>
              <w:instrText xml:space="preserve"> PAGEREF _Toc176503680 \h </w:instrText>
            </w:r>
            <w:r w:rsidR="001904D5">
              <w:rPr>
                <w:webHidden/>
              </w:rPr>
            </w:r>
            <w:r w:rsidR="001904D5">
              <w:rPr>
                <w:webHidden/>
              </w:rPr>
              <w:fldChar w:fldCharType="separate"/>
            </w:r>
            <w:r w:rsidR="00337704">
              <w:rPr>
                <w:webHidden/>
              </w:rPr>
              <w:t>3</w:t>
            </w:r>
            <w:r w:rsidR="001904D5">
              <w:rPr>
                <w:webHidden/>
              </w:rPr>
              <w:fldChar w:fldCharType="end"/>
            </w:r>
          </w:hyperlink>
        </w:p>
        <w:p w14:paraId="7358328E" w14:textId="6F6F851C" w:rsidR="001904D5" w:rsidRDefault="00000000">
          <w:pPr>
            <w:pStyle w:val="TOC1"/>
            <w:rPr>
              <w:rFonts w:asciiTheme="minorHAnsi" w:hAnsiTheme="minorHAnsi"/>
              <w:b w:val="0"/>
              <w:bCs w:val="0"/>
              <w:kern w:val="2"/>
              <w:lang w:eastAsia="en-GB"/>
              <w14:ligatures w14:val="standardContextual"/>
            </w:rPr>
          </w:pPr>
          <w:hyperlink w:anchor="_Toc176503681" w:history="1">
            <w:r w:rsidR="001904D5" w:rsidRPr="008062EC">
              <w:rPr>
                <w:rStyle w:val="Hyperlink"/>
              </w:rPr>
              <w:t>1.0</w:t>
            </w:r>
            <w:r w:rsidR="001904D5">
              <w:rPr>
                <w:rFonts w:asciiTheme="minorHAnsi" w:hAnsiTheme="minorHAnsi"/>
                <w:b w:val="0"/>
                <w:bCs w:val="0"/>
                <w:kern w:val="2"/>
                <w:lang w:eastAsia="en-GB"/>
                <w14:ligatures w14:val="standardContextual"/>
              </w:rPr>
              <w:tab/>
            </w:r>
            <w:r w:rsidR="001904D5" w:rsidRPr="008062EC">
              <w:rPr>
                <w:rStyle w:val="Hyperlink"/>
              </w:rPr>
              <w:t>Introduction</w:t>
            </w:r>
            <w:r w:rsidR="001904D5">
              <w:rPr>
                <w:webHidden/>
              </w:rPr>
              <w:tab/>
            </w:r>
            <w:r w:rsidR="001904D5">
              <w:rPr>
                <w:webHidden/>
              </w:rPr>
              <w:fldChar w:fldCharType="begin"/>
            </w:r>
            <w:r w:rsidR="001904D5">
              <w:rPr>
                <w:webHidden/>
              </w:rPr>
              <w:instrText xml:space="preserve"> PAGEREF _Toc176503681 \h </w:instrText>
            </w:r>
            <w:r w:rsidR="001904D5">
              <w:rPr>
                <w:webHidden/>
              </w:rPr>
            </w:r>
            <w:r w:rsidR="001904D5">
              <w:rPr>
                <w:webHidden/>
              </w:rPr>
              <w:fldChar w:fldCharType="separate"/>
            </w:r>
            <w:r w:rsidR="00337704">
              <w:rPr>
                <w:webHidden/>
              </w:rPr>
              <w:t>7</w:t>
            </w:r>
            <w:r w:rsidR="001904D5">
              <w:rPr>
                <w:webHidden/>
              </w:rPr>
              <w:fldChar w:fldCharType="end"/>
            </w:r>
          </w:hyperlink>
        </w:p>
        <w:p w14:paraId="199864FA" w14:textId="0B6D184D" w:rsidR="001904D5" w:rsidRDefault="00000000">
          <w:pPr>
            <w:pStyle w:val="TOC1"/>
            <w:rPr>
              <w:rFonts w:asciiTheme="minorHAnsi" w:hAnsiTheme="minorHAnsi"/>
              <w:b w:val="0"/>
              <w:bCs w:val="0"/>
              <w:kern w:val="2"/>
              <w:lang w:eastAsia="en-GB"/>
              <w14:ligatures w14:val="standardContextual"/>
            </w:rPr>
          </w:pPr>
          <w:hyperlink w:anchor="_Toc176503682" w:history="1">
            <w:r w:rsidR="001904D5" w:rsidRPr="008062EC">
              <w:rPr>
                <w:rStyle w:val="Hyperlink"/>
              </w:rPr>
              <w:t>2.0</w:t>
            </w:r>
            <w:r w:rsidR="001904D5">
              <w:rPr>
                <w:rFonts w:asciiTheme="minorHAnsi" w:hAnsiTheme="minorHAnsi"/>
                <w:b w:val="0"/>
                <w:bCs w:val="0"/>
                <w:kern w:val="2"/>
                <w:lang w:eastAsia="en-GB"/>
                <w14:ligatures w14:val="standardContextual"/>
              </w:rPr>
              <w:tab/>
            </w:r>
            <w:r w:rsidR="001904D5" w:rsidRPr="008062EC">
              <w:rPr>
                <w:rStyle w:val="Hyperlink"/>
              </w:rPr>
              <w:t>Human Rights Framework: Relevant recommendations</w:t>
            </w:r>
            <w:r w:rsidR="001904D5">
              <w:rPr>
                <w:webHidden/>
              </w:rPr>
              <w:tab/>
            </w:r>
            <w:r w:rsidR="001904D5">
              <w:rPr>
                <w:webHidden/>
              </w:rPr>
              <w:fldChar w:fldCharType="begin"/>
            </w:r>
            <w:r w:rsidR="001904D5">
              <w:rPr>
                <w:webHidden/>
              </w:rPr>
              <w:instrText xml:space="preserve"> PAGEREF _Toc176503682 \h </w:instrText>
            </w:r>
            <w:r w:rsidR="001904D5">
              <w:rPr>
                <w:webHidden/>
              </w:rPr>
            </w:r>
            <w:r w:rsidR="001904D5">
              <w:rPr>
                <w:webHidden/>
              </w:rPr>
              <w:fldChar w:fldCharType="separate"/>
            </w:r>
            <w:r w:rsidR="00337704">
              <w:rPr>
                <w:webHidden/>
              </w:rPr>
              <w:t>9</w:t>
            </w:r>
            <w:r w:rsidR="001904D5">
              <w:rPr>
                <w:webHidden/>
              </w:rPr>
              <w:fldChar w:fldCharType="end"/>
            </w:r>
          </w:hyperlink>
        </w:p>
        <w:p w14:paraId="06669A2C" w14:textId="759C827E" w:rsidR="001904D5" w:rsidRDefault="00000000">
          <w:pPr>
            <w:pStyle w:val="TOC2"/>
            <w:rPr>
              <w:rFonts w:asciiTheme="minorHAnsi" w:hAnsiTheme="minorHAnsi"/>
              <w:kern w:val="2"/>
              <w:lang w:eastAsia="en-GB"/>
              <w14:ligatures w14:val="standardContextual"/>
            </w:rPr>
          </w:pPr>
          <w:hyperlink w:anchor="_Toc176503683" w:history="1">
            <w:r w:rsidR="001904D5" w:rsidRPr="008062EC">
              <w:rPr>
                <w:rStyle w:val="Hyperlink"/>
              </w:rPr>
              <w:t>Intersectional Discrimination</w:t>
            </w:r>
            <w:r w:rsidR="001904D5">
              <w:rPr>
                <w:webHidden/>
              </w:rPr>
              <w:tab/>
            </w:r>
            <w:r w:rsidR="001904D5">
              <w:rPr>
                <w:webHidden/>
              </w:rPr>
              <w:fldChar w:fldCharType="begin"/>
            </w:r>
            <w:r w:rsidR="001904D5">
              <w:rPr>
                <w:webHidden/>
              </w:rPr>
              <w:instrText xml:space="preserve"> PAGEREF _Toc176503683 \h </w:instrText>
            </w:r>
            <w:r w:rsidR="001904D5">
              <w:rPr>
                <w:webHidden/>
              </w:rPr>
            </w:r>
            <w:r w:rsidR="001904D5">
              <w:rPr>
                <w:webHidden/>
              </w:rPr>
              <w:fldChar w:fldCharType="separate"/>
            </w:r>
            <w:r w:rsidR="00337704">
              <w:rPr>
                <w:webHidden/>
              </w:rPr>
              <w:t>10</w:t>
            </w:r>
            <w:r w:rsidR="001904D5">
              <w:rPr>
                <w:webHidden/>
              </w:rPr>
              <w:fldChar w:fldCharType="end"/>
            </w:r>
          </w:hyperlink>
        </w:p>
        <w:p w14:paraId="29354B2C" w14:textId="10F82F5E" w:rsidR="001904D5" w:rsidRDefault="00000000">
          <w:pPr>
            <w:pStyle w:val="TOC2"/>
            <w:rPr>
              <w:rFonts w:asciiTheme="minorHAnsi" w:hAnsiTheme="minorHAnsi"/>
              <w:kern w:val="2"/>
              <w:lang w:eastAsia="en-GB"/>
              <w14:ligatures w14:val="standardContextual"/>
            </w:rPr>
          </w:pPr>
          <w:hyperlink w:anchor="_Toc176503684" w:history="1">
            <w:r w:rsidR="001904D5" w:rsidRPr="008062EC">
              <w:rPr>
                <w:rStyle w:val="Hyperlink"/>
              </w:rPr>
              <w:t>Age discrimination</w:t>
            </w:r>
            <w:r w:rsidR="001904D5">
              <w:rPr>
                <w:webHidden/>
              </w:rPr>
              <w:tab/>
            </w:r>
            <w:r w:rsidR="001904D5">
              <w:rPr>
                <w:webHidden/>
              </w:rPr>
              <w:fldChar w:fldCharType="begin"/>
            </w:r>
            <w:r w:rsidR="001904D5">
              <w:rPr>
                <w:webHidden/>
              </w:rPr>
              <w:instrText xml:space="preserve"> PAGEREF _Toc176503684 \h </w:instrText>
            </w:r>
            <w:r w:rsidR="001904D5">
              <w:rPr>
                <w:webHidden/>
              </w:rPr>
            </w:r>
            <w:r w:rsidR="001904D5">
              <w:rPr>
                <w:webHidden/>
              </w:rPr>
              <w:fldChar w:fldCharType="separate"/>
            </w:r>
            <w:r w:rsidR="00337704">
              <w:rPr>
                <w:webHidden/>
              </w:rPr>
              <w:t>11</w:t>
            </w:r>
            <w:r w:rsidR="001904D5">
              <w:rPr>
                <w:webHidden/>
              </w:rPr>
              <w:fldChar w:fldCharType="end"/>
            </w:r>
          </w:hyperlink>
        </w:p>
        <w:p w14:paraId="7C91B1DE" w14:textId="0BE6DC11" w:rsidR="001904D5" w:rsidRDefault="00000000">
          <w:pPr>
            <w:pStyle w:val="TOC2"/>
            <w:rPr>
              <w:rFonts w:asciiTheme="minorHAnsi" w:hAnsiTheme="minorHAnsi"/>
              <w:kern w:val="2"/>
              <w:lang w:eastAsia="en-GB"/>
              <w14:ligatures w14:val="standardContextual"/>
            </w:rPr>
          </w:pPr>
          <w:hyperlink w:anchor="_Toc176503685" w:history="1">
            <w:r w:rsidR="001904D5" w:rsidRPr="008062EC">
              <w:rPr>
                <w:rStyle w:val="Hyperlink"/>
                <w:bCs/>
                <w:shd w:val="clear" w:color="auto" w:fill="FFFFFF"/>
              </w:rPr>
              <w:t>Sexual</w:t>
            </w:r>
            <w:r w:rsidR="001904D5" w:rsidRPr="008062EC">
              <w:rPr>
                <w:rStyle w:val="Hyperlink"/>
                <w:bCs/>
                <w:i/>
                <w:iCs/>
                <w:shd w:val="clear" w:color="auto" w:fill="FFFFFF"/>
              </w:rPr>
              <w:t xml:space="preserve"> </w:t>
            </w:r>
            <w:r w:rsidR="001904D5" w:rsidRPr="008062EC">
              <w:rPr>
                <w:rStyle w:val="Hyperlink"/>
                <w:bCs/>
                <w:shd w:val="clear" w:color="auto" w:fill="FFFFFF"/>
              </w:rPr>
              <w:t>Orientation</w:t>
            </w:r>
            <w:r w:rsidR="001904D5">
              <w:rPr>
                <w:webHidden/>
              </w:rPr>
              <w:tab/>
            </w:r>
            <w:r w:rsidR="001904D5">
              <w:rPr>
                <w:webHidden/>
              </w:rPr>
              <w:fldChar w:fldCharType="begin"/>
            </w:r>
            <w:r w:rsidR="001904D5">
              <w:rPr>
                <w:webHidden/>
              </w:rPr>
              <w:instrText xml:space="preserve"> PAGEREF _Toc176503685 \h </w:instrText>
            </w:r>
            <w:r w:rsidR="001904D5">
              <w:rPr>
                <w:webHidden/>
              </w:rPr>
            </w:r>
            <w:r w:rsidR="001904D5">
              <w:rPr>
                <w:webHidden/>
              </w:rPr>
              <w:fldChar w:fldCharType="separate"/>
            </w:r>
            <w:r w:rsidR="00337704">
              <w:rPr>
                <w:webHidden/>
              </w:rPr>
              <w:t>12</w:t>
            </w:r>
            <w:r w:rsidR="001904D5">
              <w:rPr>
                <w:webHidden/>
              </w:rPr>
              <w:fldChar w:fldCharType="end"/>
            </w:r>
          </w:hyperlink>
        </w:p>
        <w:p w14:paraId="7C619E83" w14:textId="22C93409" w:rsidR="001904D5" w:rsidRDefault="00000000">
          <w:pPr>
            <w:pStyle w:val="TOC2"/>
            <w:rPr>
              <w:rFonts w:asciiTheme="minorHAnsi" w:hAnsiTheme="minorHAnsi"/>
              <w:kern w:val="2"/>
              <w:lang w:eastAsia="en-GB"/>
              <w14:ligatures w14:val="standardContextual"/>
            </w:rPr>
          </w:pPr>
          <w:hyperlink w:anchor="_Toc176503686" w:history="1">
            <w:r w:rsidR="001904D5" w:rsidRPr="008062EC">
              <w:rPr>
                <w:rStyle w:val="Hyperlink"/>
              </w:rPr>
              <w:t>Gender Equality</w:t>
            </w:r>
            <w:r w:rsidR="001904D5">
              <w:rPr>
                <w:webHidden/>
              </w:rPr>
              <w:tab/>
            </w:r>
            <w:r w:rsidR="001904D5">
              <w:rPr>
                <w:webHidden/>
              </w:rPr>
              <w:fldChar w:fldCharType="begin"/>
            </w:r>
            <w:r w:rsidR="001904D5">
              <w:rPr>
                <w:webHidden/>
              </w:rPr>
              <w:instrText xml:space="preserve"> PAGEREF _Toc176503686 \h </w:instrText>
            </w:r>
            <w:r w:rsidR="001904D5">
              <w:rPr>
                <w:webHidden/>
              </w:rPr>
            </w:r>
            <w:r w:rsidR="001904D5">
              <w:rPr>
                <w:webHidden/>
              </w:rPr>
              <w:fldChar w:fldCharType="separate"/>
            </w:r>
            <w:r w:rsidR="00337704">
              <w:rPr>
                <w:webHidden/>
              </w:rPr>
              <w:t>12</w:t>
            </w:r>
            <w:r w:rsidR="001904D5">
              <w:rPr>
                <w:webHidden/>
              </w:rPr>
              <w:fldChar w:fldCharType="end"/>
            </w:r>
          </w:hyperlink>
        </w:p>
        <w:p w14:paraId="480AF403" w14:textId="30381538" w:rsidR="001904D5" w:rsidRDefault="00000000">
          <w:pPr>
            <w:pStyle w:val="TOC2"/>
            <w:rPr>
              <w:rFonts w:asciiTheme="minorHAnsi" w:hAnsiTheme="minorHAnsi"/>
              <w:kern w:val="2"/>
              <w:lang w:eastAsia="en-GB"/>
              <w14:ligatures w14:val="standardContextual"/>
            </w:rPr>
          </w:pPr>
          <w:hyperlink w:anchor="_Toc176503687" w:history="1">
            <w:r w:rsidR="001904D5" w:rsidRPr="008062EC">
              <w:rPr>
                <w:rStyle w:val="Hyperlink"/>
              </w:rPr>
              <w:t>Persons with disabilities</w:t>
            </w:r>
            <w:r w:rsidR="001904D5">
              <w:rPr>
                <w:webHidden/>
              </w:rPr>
              <w:tab/>
            </w:r>
            <w:r w:rsidR="001904D5">
              <w:rPr>
                <w:webHidden/>
              </w:rPr>
              <w:fldChar w:fldCharType="begin"/>
            </w:r>
            <w:r w:rsidR="001904D5">
              <w:rPr>
                <w:webHidden/>
              </w:rPr>
              <w:instrText xml:space="preserve"> PAGEREF _Toc176503687 \h </w:instrText>
            </w:r>
            <w:r w:rsidR="001904D5">
              <w:rPr>
                <w:webHidden/>
              </w:rPr>
            </w:r>
            <w:r w:rsidR="001904D5">
              <w:rPr>
                <w:webHidden/>
              </w:rPr>
              <w:fldChar w:fldCharType="separate"/>
            </w:r>
            <w:r w:rsidR="00337704">
              <w:rPr>
                <w:webHidden/>
              </w:rPr>
              <w:t>13</w:t>
            </w:r>
            <w:r w:rsidR="001904D5">
              <w:rPr>
                <w:webHidden/>
              </w:rPr>
              <w:fldChar w:fldCharType="end"/>
            </w:r>
          </w:hyperlink>
        </w:p>
        <w:p w14:paraId="673FEAA2" w14:textId="05135C13" w:rsidR="001904D5" w:rsidRDefault="00000000">
          <w:pPr>
            <w:pStyle w:val="TOC2"/>
            <w:rPr>
              <w:rFonts w:asciiTheme="minorHAnsi" w:hAnsiTheme="minorHAnsi"/>
              <w:kern w:val="2"/>
              <w:lang w:eastAsia="en-GB"/>
              <w14:ligatures w14:val="standardContextual"/>
            </w:rPr>
          </w:pPr>
          <w:hyperlink w:anchor="_Toc176503688" w:history="1">
            <w:r w:rsidR="001904D5" w:rsidRPr="008062EC">
              <w:rPr>
                <w:rStyle w:val="Hyperlink"/>
              </w:rPr>
              <w:t>Race Equality</w:t>
            </w:r>
            <w:r w:rsidR="001904D5">
              <w:rPr>
                <w:webHidden/>
              </w:rPr>
              <w:tab/>
            </w:r>
            <w:r w:rsidR="001904D5">
              <w:rPr>
                <w:webHidden/>
              </w:rPr>
              <w:fldChar w:fldCharType="begin"/>
            </w:r>
            <w:r w:rsidR="001904D5">
              <w:rPr>
                <w:webHidden/>
              </w:rPr>
              <w:instrText xml:space="preserve"> PAGEREF _Toc176503688 \h </w:instrText>
            </w:r>
            <w:r w:rsidR="001904D5">
              <w:rPr>
                <w:webHidden/>
              </w:rPr>
            </w:r>
            <w:r w:rsidR="001904D5">
              <w:rPr>
                <w:webHidden/>
              </w:rPr>
              <w:fldChar w:fldCharType="separate"/>
            </w:r>
            <w:r w:rsidR="00337704">
              <w:rPr>
                <w:webHidden/>
              </w:rPr>
              <w:t>14</w:t>
            </w:r>
            <w:r w:rsidR="001904D5">
              <w:rPr>
                <w:webHidden/>
              </w:rPr>
              <w:fldChar w:fldCharType="end"/>
            </w:r>
          </w:hyperlink>
        </w:p>
        <w:p w14:paraId="1A193700" w14:textId="26DF92FC" w:rsidR="001904D5" w:rsidRDefault="00000000">
          <w:pPr>
            <w:pStyle w:val="TOC1"/>
            <w:rPr>
              <w:rFonts w:asciiTheme="minorHAnsi" w:hAnsiTheme="minorHAnsi"/>
              <w:b w:val="0"/>
              <w:bCs w:val="0"/>
              <w:kern w:val="2"/>
              <w:lang w:eastAsia="en-GB"/>
              <w14:ligatures w14:val="standardContextual"/>
            </w:rPr>
          </w:pPr>
          <w:hyperlink w:anchor="_Toc176503689" w:history="1">
            <w:r w:rsidR="001904D5" w:rsidRPr="008062EC">
              <w:rPr>
                <w:rStyle w:val="Hyperlink"/>
              </w:rPr>
              <w:t>3.0. Windsor Framework Article 2</w:t>
            </w:r>
            <w:r w:rsidR="001904D5">
              <w:rPr>
                <w:webHidden/>
              </w:rPr>
              <w:tab/>
            </w:r>
            <w:r w:rsidR="001904D5">
              <w:rPr>
                <w:webHidden/>
              </w:rPr>
              <w:fldChar w:fldCharType="begin"/>
            </w:r>
            <w:r w:rsidR="001904D5">
              <w:rPr>
                <w:webHidden/>
              </w:rPr>
              <w:instrText xml:space="preserve"> PAGEREF _Toc176503689 \h </w:instrText>
            </w:r>
            <w:r w:rsidR="001904D5">
              <w:rPr>
                <w:webHidden/>
              </w:rPr>
            </w:r>
            <w:r w:rsidR="001904D5">
              <w:rPr>
                <w:webHidden/>
              </w:rPr>
              <w:fldChar w:fldCharType="separate"/>
            </w:r>
            <w:r w:rsidR="00337704">
              <w:rPr>
                <w:webHidden/>
              </w:rPr>
              <w:t>15</w:t>
            </w:r>
            <w:r w:rsidR="001904D5">
              <w:rPr>
                <w:webHidden/>
              </w:rPr>
              <w:fldChar w:fldCharType="end"/>
            </w:r>
          </w:hyperlink>
        </w:p>
        <w:p w14:paraId="545FAEED" w14:textId="7FFE2B34" w:rsidR="001904D5" w:rsidRDefault="00000000">
          <w:pPr>
            <w:pStyle w:val="TOC2"/>
            <w:rPr>
              <w:rFonts w:asciiTheme="minorHAnsi" w:hAnsiTheme="minorHAnsi"/>
              <w:kern w:val="2"/>
              <w:lang w:eastAsia="en-GB"/>
              <w14:ligatures w14:val="standardContextual"/>
            </w:rPr>
          </w:pPr>
          <w:hyperlink w:anchor="_Toc176503690" w:history="1">
            <w:r w:rsidR="001904D5" w:rsidRPr="008062EC">
              <w:rPr>
                <w:rStyle w:val="Hyperlink"/>
              </w:rPr>
              <w:t>Keeping Pace: Annex 1 EU Equality Directives</w:t>
            </w:r>
            <w:r w:rsidR="001904D5">
              <w:rPr>
                <w:webHidden/>
              </w:rPr>
              <w:tab/>
            </w:r>
            <w:r w:rsidR="001904D5">
              <w:rPr>
                <w:webHidden/>
              </w:rPr>
              <w:fldChar w:fldCharType="begin"/>
            </w:r>
            <w:r w:rsidR="001904D5">
              <w:rPr>
                <w:webHidden/>
              </w:rPr>
              <w:instrText xml:space="preserve"> PAGEREF _Toc176503690 \h </w:instrText>
            </w:r>
            <w:r w:rsidR="001904D5">
              <w:rPr>
                <w:webHidden/>
              </w:rPr>
            </w:r>
            <w:r w:rsidR="001904D5">
              <w:rPr>
                <w:webHidden/>
              </w:rPr>
              <w:fldChar w:fldCharType="separate"/>
            </w:r>
            <w:r w:rsidR="00337704">
              <w:rPr>
                <w:webHidden/>
              </w:rPr>
              <w:t>16</w:t>
            </w:r>
            <w:r w:rsidR="001904D5">
              <w:rPr>
                <w:webHidden/>
              </w:rPr>
              <w:fldChar w:fldCharType="end"/>
            </w:r>
          </w:hyperlink>
        </w:p>
        <w:p w14:paraId="75C68F37" w14:textId="43595215" w:rsidR="001904D5" w:rsidRDefault="00000000">
          <w:pPr>
            <w:pStyle w:val="TOC2"/>
            <w:rPr>
              <w:rFonts w:asciiTheme="minorHAnsi" w:hAnsiTheme="minorHAnsi"/>
              <w:kern w:val="2"/>
              <w:lang w:eastAsia="en-GB"/>
              <w14:ligatures w14:val="standardContextual"/>
            </w:rPr>
          </w:pPr>
          <w:hyperlink w:anchor="_Toc176503691" w:history="1">
            <w:r w:rsidR="001904D5" w:rsidRPr="008062EC">
              <w:rPr>
                <w:rStyle w:val="Hyperlink"/>
              </w:rPr>
              <w:t>EU Pay Transparency Directive</w:t>
            </w:r>
            <w:r w:rsidR="001904D5">
              <w:rPr>
                <w:webHidden/>
              </w:rPr>
              <w:tab/>
            </w:r>
            <w:r w:rsidR="001904D5">
              <w:rPr>
                <w:webHidden/>
              </w:rPr>
              <w:fldChar w:fldCharType="begin"/>
            </w:r>
            <w:r w:rsidR="001904D5">
              <w:rPr>
                <w:webHidden/>
              </w:rPr>
              <w:instrText xml:space="preserve"> PAGEREF _Toc176503691 \h </w:instrText>
            </w:r>
            <w:r w:rsidR="001904D5">
              <w:rPr>
                <w:webHidden/>
              </w:rPr>
            </w:r>
            <w:r w:rsidR="001904D5">
              <w:rPr>
                <w:webHidden/>
              </w:rPr>
              <w:fldChar w:fldCharType="separate"/>
            </w:r>
            <w:r w:rsidR="00337704">
              <w:rPr>
                <w:webHidden/>
              </w:rPr>
              <w:t>18</w:t>
            </w:r>
            <w:r w:rsidR="001904D5">
              <w:rPr>
                <w:webHidden/>
              </w:rPr>
              <w:fldChar w:fldCharType="end"/>
            </w:r>
          </w:hyperlink>
        </w:p>
        <w:p w14:paraId="5D711801" w14:textId="51EC6153" w:rsidR="001904D5" w:rsidRDefault="00000000">
          <w:pPr>
            <w:pStyle w:val="TOC2"/>
            <w:rPr>
              <w:rFonts w:asciiTheme="minorHAnsi" w:hAnsiTheme="minorHAnsi"/>
              <w:kern w:val="2"/>
              <w:lang w:eastAsia="en-GB"/>
              <w14:ligatures w14:val="standardContextual"/>
            </w:rPr>
          </w:pPr>
          <w:hyperlink w:anchor="_Toc176503692" w:history="1">
            <w:r w:rsidR="001904D5" w:rsidRPr="008062EC">
              <w:rPr>
                <w:rStyle w:val="Hyperlink"/>
              </w:rPr>
              <w:t>Binding Standards for Equality Bodies</w:t>
            </w:r>
            <w:r w:rsidR="001904D5">
              <w:rPr>
                <w:webHidden/>
              </w:rPr>
              <w:tab/>
            </w:r>
            <w:r w:rsidR="001904D5">
              <w:rPr>
                <w:webHidden/>
              </w:rPr>
              <w:fldChar w:fldCharType="begin"/>
            </w:r>
            <w:r w:rsidR="001904D5">
              <w:rPr>
                <w:webHidden/>
              </w:rPr>
              <w:instrText xml:space="preserve"> PAGEREF _Toc176503692 \h </w:instrText>
            </w:r>
            <w:r w:rsidR="001904D5">
              <w:rPr>
                <w:webHidden/>
              </w:rPr>
            </w:r>
            <w:r w:rsidR="001904D5">
              <w:rPr>
                <w:webHidden/>
              </w:rPr>
              <w:fldChar w:fldCharType="separate"/>
            </w:r>
            <w:r w:rsidR="00337704">
              <w:rPr>
                <w:webHidden/>
              </w:rPr>
              <w:t>19</w:t>
            </w:r>
            <w:r w:rsidR="001904D5">
              <w:rPr>
                <w:webHidden/>
              </w:rPr>
              <w:fldChar w:fldCharType="end"/>
            </w:r>
          </w:hyperlink>
        </w:p>
        <w:p w14:paraId="56B2D546" w14:textId="68F1F581" w:rsidR="001904D5" w:rsidRDefault="00000000">
          <w:pPr>
            <w:pStyle w:val="TOC2"/>
            <w:rPr>
              <w:rFonts w:asciiTheme="minorHAnsi" w:hAnsiTheme="minorHAnsi"/>
              <w:kern w:val="2"/>
              <w:lang w:eastAsia="en-GB"/>
              <w14:ligatures w14:val="standardContextual"/>
            </w:rPr>
          </w:pPr>
          <w:hyperlink w:anchor="_Toc176503693" w:history="1">
            <w:r w:rsidR="001904D5" w:rsidRPr="008062EC">
              <w:rPr>
                <w:rStyle w:val="Hyperlink"/>
              </w:rPr>
              <w:t>Intersectional Discrimination</w:t>
            </w:r>
            <w:r w:rsidR="001904D5">
              <w:rPr>
                <w:webHidden/>
              </w:rPr>
              <w:tab/>
            </w:r>
            <w:r w:rsidR="001904D5">
              <w:rPr>
                <w:webHidden/>
              </w:rPr>
              <w:fldChar w:fldCharType="begin"/>
            </w:r>
            <w:r w:rsidR="001904D5">
              <w:rPr>
                <w:webHidden/>
              </w:rPr>
              <w:instrText xml:space="preserve"> PAGEREF _Toc176503693 \h </w:instrText>
            </w:r>
            <w:r w:rsidR="001904D5">
              <w:rPr>
                <w:webHidden/>
              </w:rPr>
            </w:r>
            <w:r w:rsidR="001904D5">
              <w:rPr>
                <w:webHidden/>
              </w:rPr>
              <w:fldChar w:fldCharType="separate"/>
            </w:r>
            <w:r w:rsidR="00337704">
              <w:rPr>
                <w:webHidden/>
              </w:rPr>
              <w:t>21</w:t>
            </w:r>
            <w:r w:rsidR="001904D5">
              <w:rPr>
                <w:webHidden/>
              </w:rPr>
              <w:fldChar w:fldCharType="end"/>
            </w:r>
          </w:hyperlink>
        </w:p>
        <w:p w14:paraId="25ACC263" w14:textId="1307B5B7" w:rsidR="001904D5" w:rsidRDefault="00000000">
          <w:pPr>
            <w:pStyle w:val="TOC2"/>
            <w:rPr>
              <w:rFonts w:asciiTheme="minorHAnsi" w:hAnsiTheme="minorHAnsi"/>
              <w:kern w:val="2"/>
              <w:lang w:eastAsia="en-GB"/>
              <w14:ligatures w14:val="standardContextual"/>
            </w:rPr>
          </w:pPr>
          <w:hyperlink w:anchor="_Toc176503694" w:history="1">
            <w:r w:rsidR="001904D5" w:rsidRPr="008062EC">
              <w:rPr>
                <w:rStyle w:val="Hyperlink"/>
              </w:rPr>
              <w:t>Gender Equality</w:t>
            </w:r>
            <w:r w:rsidR="001904D5">
              <w:rPr>
                <w:webHidden/>
              </w:rPr>
              <w:tab/>
            </w:r>
            <w:r w:rsidR="001904D5">
              <w:rPr>
                <w:webHidden/>
              </w:rPr>
              <w:fldChar w:fldCharType="begin"/>
            </w:r>
            <w:r w:rsidR="001904D5">
              <w:rPr>
                <w:webHidden/>
              </w:rPr>
              <w:instrText xml:space="preserve"> PAGEREF _Toc176503694 \h </w:instrText>
            </w:r>
            <w:r w:rsidR="001904D5">
              <w:rPr>
                <w:webHidden/>
              </w:rPr>
            </w:r>
            <w:r w:rsidR="001904D5">
              <w:rPr>
                <w:webHidden/>
              </w:rPr>
              <w:fldChar w:fldCharType="separate"/>
            </w:r>
            <w:r w:rsidR="00337704">
              <w:rPr>
                <w:webHidden/>
              </w:rPr>
              <w:t>22</w:t>
            </w:r>
            <w:r w:rsidR="001904D5">
              <w:rPr>
                <w:webHidden/>
              </w:rPr>
              <w:fldChar w:fldCharType="end"/>
            </w:r>
          </w:hyperlink>
        </w:p>
        <w:p w14:paraId="6FAA0F47" w14:textId="1CC48962" w:rsidR="001904D5" w:rsidRDefault="00000000">
          <w:pPr>
            <w:pStyle w:val="TOC2"/>
            <w:rPr>
              <w:rFonts w:asciiTheme="minorHAnsi" w:hAnsiTheme="minorHAnsi"/>
              <w:kern w:val="2"/>
              <w:lang w:eastAsia="en-GB"/>
              <w14:ligatures w14:val="standardContextual"/>
            </w:rPr>
          </w:pPr>
          <w:hyperlink w:anchor="_Toc176503695" w:history="1">
            <w:r w:rsidR="001904D5" w:rsidRPr="008062EC">
              <w:rPr>
                <w:rStyle w:val="Hyperlink"/>
              </w:rPr>
              <w:t>Disability Equality</w:t>
            </w:r>
            <w:r w:rsidR="001904D5">
              <w:rPr>
                <w:webHidden/>
              </w:rPr>
              <w:tab/>
            </w:r>
            <w:r w:rsidR="001904D5">
              <w:rPr>
                <w:webHidden/>
              </w:rPr>
              <w:fldChar w:fldCharType="begin"/>
            </w:r>
            <w:r w:rsidR="001904D5">
              <w:rPr>
                <w:webHidden/>
              </w:rPr>
              <w:instrText xml:space="preserve"> PAGEREF _Toc176503695 \h </w:instrText>
            </w:r>
            <w:r w:rsidR="001904D5">
              <w:rPr>
                <w:webHidden/>
              </w:rPr>
            </w:r>
            <w:r w:rsidR="001904D5">
              <w:rPr>
                <w:webHidden/>
              </w:rPr>
              <w:fldChar w:fldCharType="separate"/>
            </w:r>
            <w:r w:rsidR="00337704">
              <w:rPr>
                <w:webHidden/>
              </w:rPr>
              <w:t>24</w:t>
            </w:r>
            <w:r w:rsidR="001904D5">
              <w:rPr>
                <w:webHidden/>
              </w:rPr>
              <w:fldChar w:fldCharType="end"/>
            </w:r>
          </w:hyperlink>
        </w:p>
        <w:p w14:paraId="6A190349" w14:textId="6B1DD974" w:rsidR="001904D5" w:rsidRDefault="00000000">
          <w:pPr>
            <w:pStyle w:val="TOC3"/>
            <w:rPr>
              <w:rFonts w:asciiTheme="minorHAnsi" w:hAnsiTheme="minorHAnsi"/>
              <w:noProof/>
              <w:kern w:val="2"/>
              <w:lang w:eastAsia="en-GB"/>
              <w14:ligatures w14:val="standardContextual"/>
            </w:rPr>
          </w:pPr>
          <w:hyperlink w:anchor="_Toc176503696" w:history="1">
            <w:r w:rsidR="001904D5" w:rsidRPr="008062EC">
              <w:rPr>
                <w:rStyle w:val="Hyperlink"/>
                <w:noProof/>
              </w:rPr>
              <w:t>CJEU developments on Disability</w:t>
            </w:r>
            <w:r w:rsidR="001904D5">
              <w:rPr>
                <w:noProof/>
                <w:webHidden/>
              </w:rPr>
              <w:tab/>
            </w:r>
            <w:r w:rsidR="001904D5">
              <w:rPr>
                <w:noProof/>
                <w:webHidden/>
              </w:rPr>
              <w:fldChar w:fldCharType="begin"/>
            </w:r>
            <w:r w:rsidR="001904D5">
              <w:rPr>
                <w:noProof/>
                <w:webHidden/>
              </w:rPr>
              <w:instrText xml:space="preserve"> PAGEREF _Toc176503696 \h </w:instrText>
            </w:r>
            <w:r w:rsidR="001904D5">
              <w:rPr>
                <w:noProof/>
                <w:webHidden/>
              </w:rPr>
            </w:r>
            <w:r w:rsidR="001904D5">
              <w:rPr>
                <w:noProof/>
                <w:webHidden/>
              </w:rPr>
              <w:fldChar w:fldCharType="separate"/>
            </w:r>
            <w:r w:rsidR="00337704">
              <w:rPr>
                <w:noProof/>
                <w:webHidden/>
              </w:rPr>
              <w:t>25</w:t>
            </w:r>
            <w:r w:rsidR="001904D5">
              <w:rPr>
                <w:noProof/>
                <w:webHidden/>
              </w:rPr>
              <w:fldChar w:fldCharType="end"/>
            </w:r>
          </w:hyperlink>
        </w:p>
        <w:p w14:paraId="5CA00852" w14:textId="7EFB6340" w:rsidR="001904D5" w:rsidRDefault="00000000">
          <w:pPr>
            <w:pStyle w:val="TOC2"/>
            <w:rPr>
              <w:rFonts w:asciiTheme="minorHAnsi" w:hAnsiTheme="minorHAnsi"/>
              <w:kern w:val="2"/>
              <w:lang w:eastAsia="en-GB"/>
              <w14:ligatures w14:val="standardContextual"/>
            </w:rPr>
          </w:pPr>
          <w:hyperlink w:anchor="_Toc176503697" w:history="1">
            <w:r w:rsidR="001904D5" w:rsidRPr="008062EC">
              <w:rPr>
                <w:rStyle w:val="Hyperlink"/>
              </w:rPr>
              <w:t>Racial Equality</w:t>
            </w:r>
            <w:r w:rsidR="001904D5">
              <w:rPr>
                <w:webHidden/>
              </w:rPr>
              <w:tab/>
            </w:r>
            <w:r w:rsidR="001904D5">
              <w:rPr>
                <w:webHidden/>
              </w:rPr>
              <w:fldChar w:fldCharType="begin"/>
            </w:r>
            <w:r w:rsidR="001904D5">
              <w:rPr>
                <w:webHidden/>
              </w:rPr>
              <w:instrText xml:space="preserve"> PAGEREF _Toc176503697 \h </w:instrText>
            </w:r>
            <w:r w:rsidR="001904D5">
              <w:rPr>
                <w:webHidden/>
              </w:rPr>
            </w:r>
            <w:r w:rsidR="001904D5">
              <w:rPr>
                <w:webHidden/>
              </w:rPr>
              <w:fldChar w:fldCharType="separate"/>
            </w:r>
            <w:r w:rsidR="00337704">
              <w:rPr>
                <w:webHidden/>
              </w:rPr>
              <w:t>26</w:t>
            </w:r>
            <w:r w:rsidR="001904D5">
              <w:rPr>
                <w:webHidden/>
              </w:rPr>
              <w:fldChar w:fldCharType="end"/>
            </w:r>
          </w:hyperlink>
        </w:p>
        <w:p w14:paraId="026C14D9" w14:textId="7642FDBA" w:rsidR="001904D5" w:rsidRDefault="00000000">
          <w:pPr>
            <w:pStyle w:val="TOC1"/>
            <w:rPr>
              <w:rFonts w:asciiTheme="minorHAnsi" w:hAnsiTheme="minorHAnsi"/>
              <w:b w:val="0"/>
              <w:bCs w:val="0"/>
              <w:kern w:val="2"/>
              <w:lang w:eastAsia="en-GB"/>
              <w14:ligatures w14:val="standardContextual"/>
            </w:rPr>
          </w:pPr>
          <w:hyperlink w:anchor="_Toc176503698" w:history="1">
            <w:r w:rsidR="001904D5" w:rsidRPr="008062EC">
              <w:rPr>
                <w:rStyle w:val="Hyperlink"/>
              </w:rPr>
              <w:t>4.0. Divergence of Rights on the island of Ireland</w:t>
            </w:r>
            <w:r w:rsidR="001904D5">
              <w:rPr>
                <w:webHidden/>
              </w:rPr>
              <w:tab/>
            </w:r>
            <w:r w:rsidR="001904D5">
              <w:rPr>
                <w:webHidden/>
              </w:rPr>
              <w:fldChar w:fldCharType="begin"/>
            </w:r>
            <w:r w:rsidR="001904D5">
              <w:rPr>
                <w:webHidden/>
              </w:rPr>
              <w:instrText xml:space="preserve"> PAGEREF _Toc176503698 \h </w:instrText>
            </w:r>
            <w:r w:rsidR="001904D5">
              <w:rPr>
                <w:webHidden/>
              </w:rPr>
            </w:r>
            <w:r w:rsidR="001904D5">
              <w:rPr>
                <w:webHidden/>
              </w:rPr>
              <w:fldChar w:fldCharType="separate"/>
            </w:r>
            <w:r w:rsidR="00337704">
              <w:rPr>
                <w:webHidden/>
              </w:rPr>
              <w:t>29</w:t>
            </w:r>
            <w:r w:rsidR="001904D5">
              <w:rPr>
                <w:webHidden/>
              </w:rPr>
              <w:fldChar w:fldCharType="end"/>
            </w:r>
          </w:hyperlink>
        </w:p>
        <w:p w14:paraId="07688142" w14:textId="1CE980D2" w:rsidR="001904D5" w:rsidRDefault="00000000">
          <w:pPr>
            <w:pStyle w:val="TOC2"/>
            <w:rPr>
              <w:rFonts w:asciiTheme="minorHAnsi" w:hAnsiTheme="minorHAnsi"/>
              <w:kern w:val="2"/>
              <w:lang w:eastAsia="en-GB"/>
              <w14:ligatures w14:val="standardContextual"/>
            </w:rPr>
          </w:pPr>
          <w:hyperlink w:anchor="_Toc176503699" w:history="1">
            <w:r w:rsidR="001904D5" w:rsidRPr="008062EC">
              <w:rPr>
                <w:rStyle w:val="Hyperlink"/>
              </w:rPr>
              <w:t>Ireland’s Equality Legislation</w:t>
            </w:r>
            <w:r w:rsidR="001904D5">
              <w:rPr>
                <w:webHidden/>
              </w:rPr>
              <w:tab/>
            </w:r>
            <w:r w:rsidR="001904D5">
              <w:rPr>
                <w:webHidden/>
              </w:rPr>
              <w:fldChar w:fldCharType="begin"/>
            </w:r>
            <w:r w:rsidR="001904D5">
              <w:rPr>
                <w:webHidden/>
              </w:rPr>
              <w:instrText xml:space="preserve"> PAGEREF _Toc176503699 \h </w:instrText>
            </w:r>
            <w:r w:rsidR="001904D5">
              <w:rPr>
                <w:webHidden/>
              </w:rPr>
            </w:r>
            <w:r w:rsidR="001904D5">
              <w:rPr>
                <w:webHidden/>
              </w:rPr>
              <w:fldChar w:fldCharType="separate"/>
            </w:r>
            <w:r w:rsidR="00337704">
              <w:rPr>
                <w:webHidden/>
              </w:rPr>
              <w:t>29</w:t>
            </w:r>
            <w:r w:rsidR="001904D5">
              <w:rPr>
                <w:webHidden/>
              </w:rPr>
              <w:fldChar w:fldCharType="end"/>
            </w:r>
          </w:hyperlink>
        </w:p>
        <w:p w14:paraId="4F336BD6" w14:textId="1F8185FA" w:rsidR="001904D5" w:rsidRDefault="00000000">
          <w:pPr>
            <w:pStyle w:val="TOC2"/>
            <w:rPr>
              <w:rFonts w:asciiTheme="minorHAnsi" w:hAnsiTheme="minorHAnsi"/>
              <w:kern w:val="2"/>
              <w:lang w:eastAsia="en-GB"/>
              <w14:ligatures w14:val="standardContextual"/>
            </w:rPr>
          </w:pPr>
          <w:hyperlink w:anchor="_Toc176503700" w:history="1">
            <w:r w:rsidR="001904D5" w:rsidRPr="008062EC">
              <w:rPr>
                <w:rStyle w:val="Hyperlink"/>
              </w:rPr>
              <w:t>Ensuring North-South Equivalence</w:t>
            </w:r>
            <w:r w:rsidR="001904D5">
              <w:rPr>
                <w:webHidden/>
              </w:rPr>
              <w:tab/>
            </w:r>
            <w:r w:rsidR="001904D5">
              <w:rPr>
                <w:webHidden/>
              </w:rPr>
              <w:fldChar w:fldCharType="begin"/>
            </w:r>
            <w:r w:rsidR="001904D5">
              <w:rPr>
                <w:webHidden/>
              </w:rPr>
              <w:instrText xml:space="preserve"> PAGEREF _Toc176503700 \h </w:instrText>
            </w:r>
            <w:r w:rsidR="001904D5">
              <w:rPr>
                <w:webHidden/>
              </w:rPr>
            </w:r>
            <w:r w:rsidR="001904D5">
              <w:rPr>
                <w:webHidden/>
              </w:rPr>
              <w:fldChar w:fldCharType="separate"/>
            </w:r>
            <w:r w:rsidR="00337704">
              <w:rPr>
                <w:webHidden/>
              </w:rPr>
              <w:t>29</w:t>
            </w:r>
            <w:r w:rsidR="001904D5">
              <w:rPr>
                <w:webHidden/>
              </w:rPr>
              <w:fldChar w:fldCharType="end"/>
            </w:r>
          </w:hyperlink>
        </w:p>
        <w:p w14:paraId="02BCDDAF" w14:textId="056FE449" w:rsidR="001904D5" w:rsidRDefault="00000000">
          <w:pPr>
            <w:pStyle w:val="TOC2"/>
            <w:rPr>
              <w:rFonts w:asciiTheme="minorHAnsi" w:hAnsiTheme="minorHAnsi"/>
              <w:kern w:val="2"/>
              <w:lang w:eastAsia="en-GB"/>
              <w14:ligatures w14:val="standardContextual"/>
            </w:rPr>
          </w:pPr>
          <w:hyperlink w:anchor="_Toc176503701" w:history="1">
            <w:r w:rsidR="001904D5" w:rsidRPr="008062EC">
              <w:rPr>
                <w:rStyle w:val="Hyperlink"/>
              </w:rPr>
              <w:t>Voluntary Alignment in Specific Areas</w:t>
            </w:r>
            <w:r w:rsidR="001904D5">
              <w:rPr>
                <w:webHidden/>
              </w:rPr>
              <w:tab/>
            </w:r>
            <w:r w:rsidR="001904D5">
              <w:rPr>
                <w:webHidden/>
              </w:rPr>
              <w:fldChar w:fldCharType="begin"/>
            </w:r>
            <w:r w:rsidR="001904D5">
              <w:rPr>
                <w:webHidden/>
              </w:rPr>
              <w:instrText xml:space="preserve"> PAGEREF _Toc176503701 \h </w:instrText>
            </w:r>
            <w:r w:rsidR="001904D5">
              <w:rPr>
                <w:webHidden/>
              </w:rPr>
            </w:r>
            <w:r w:rsidR="001904D5">
              <w:rPr>
                <w:webHidden/>
              </w:rPr>
              <w:fldChar w:fldCharType="separate"/>
            </w:r>
            <w:r w:rsidR="00337704">
              <w:rPr>
                <w:webHidden/>
              </w:rPr>
              <w:t>32</w:t>
            </w:r>
            <w:r w:rsidR="001904D5">
              <w:rPr>
                <w:webHidden/>
              </w:rPr>
              <w:fldChar w:fldCharType="end"/>
            </w:r>
          </w:hyperlink>
        </w:p>
        <w:p w14:paraId="22912AD0" w14:textId="71180415" w:rsidR="001904D5" w:rsidRDefault="00000000">
          <w:pPr>
            <w:pStyle w:val="TOC3"/>
            <w:rPr>
              <w:rFonts w:asciiTheme="minorHAnsi" w:hAnsiTheme="minorHAnsi"/>
              <w:noProof/>
              <w:kern w:val="2"/>
              <w:lang w:eastAsia="en-GB"/>
              <w14:ligatures w14:val="standardContextual"/>
            </w:rPr>
          </w:pPr>
          <w:hyperlink w:anchor="_Toc176503702" w:history="1">
            <w:r w:rsidR="001904D5" w:rsidRPr="008062EC">
              <w:rPr>
                <w:rStyle w:val="Hyperlink"/>
                <w:noProof/>
              </w:rPr>
              <w:t>Participation of Women in Public Life</w:t>
            </w:r>
            <w:r w:rsidR="001904D5">
              <w:rPr>
                <w:noProof/>
                <w:webHidden/>
              </w:rPr>
              <w:tab/>
            </w:r>
            <w:r w:rsidR="001904D5">
              <w:rPr>
                <w:noProof/>
                <w:webHidden/>
              </w:rPr>
              <w:fldChar w:fldCharType="begin"/>
            </w:r>
            <w:r w:rsidR="001904D5">
              <w:rPr>
                <w:noProof/>
                <w:webHidden/>
              </w:rPr>
              <w:instrText xml:space="preserve"> PAGEREF _Toc176503702 \h </w:instrText>
            </w:r>
            <w:r w:rsidR="001904D5">
              <w:rPr>
                <w:noProof/>
                <w:webHidden/>
              </w:rPr>
            </w:r>
            <w:r w:rsidR="001904D5">
              <w:rPr>
                <w:noProof/>
                <w:webHidden/>
              </w:rPr>
              <w:fldChar w:fldCharType="separate"/>
            </w:r>
            <w:r w:rsidR="00337704">
              <w:rPr>
                <w:noProof/>
                <w:webHidden/>
              </w:rPr>
              <w:t>32</w:t>
            </w:r>
            <w:r w:rsidR="001904D5">
              <w:rPr>
                <w:noProof/>
                <w:webHidden/>
              </w:rPr>
              <w:fldChar w:fldCharType="end"/>
            </w:r>
          </w:hyperlink>
        </w:p>
        <w:p w14:paraId="362435CC" w14:textId="563AEA70" w:rsidR="001904D5" w:rsidRDefault="00000000">
          <w:pPr>
            <w:pStyle w:val="TOC3"/>
            <w:rPr>
              <w:rFonts w:asciiTheme="minorHAnsi" w:hAnsiTheme="minorHAnsi"/>
              <w:noProof/>
              <w:kern w:val="2"/>
              <w:lang w:eastAsia="en-GB"/>
              <w14:ligatures w14:val="standardContextual"/>
            </w:rPr>
          </w:pPr>
          <w:hyperlink w:anchor="_Toc176503703" w:history="1">
            <w:r w:rsidR="001904D5" w:rsidRPr="008062EC">
              <w:rPr>
                <w:rStyle w:val="Hyperlink"/>
                <w:noProof/>
              </w:rPr>
              <w:t>Work-life Balance</w:t>
            </w:r>
            <w:r w:rsidR="001904D5">
              <w:rPr>
                <w:noProof/>
                <w:webHidden/>
              </w:rPr>
              <w:tab/>
            </w:r>
            <w:r w:rsidR="001904D5">
              <w:rPr>
                <w:noProof/>
                <w:webHidden/>
              </w:rPr>
              <w:fldChar w:fldCharType="begin"/>
            </w:r>
            <w:r w:rsidR="001904D5">
              <w:rPr>
                <w:noProof/>
                <w:webHidden/>
              </w:rPr>
              <w:instrText xml:space="preserve"> PAGEREF _Toc176503703 \h </w:instrText>
            </w:r>
            <w:r w:rsidR="001904D5">
              <w:rPr>
                <w:noProof/>
                <w:webHidden/>
              </w:rPr>
            </w:r>
            <w:r w:rsidR="001904D5">
              <w:rPr>
                <w:noProof/>
                <w:webHidden/>
              </w:rPr>
              <w:fldChar w:fldCharType="separate"/>
            </w:r>
            <w:r w:rsidR="00337704">
              <w:rPr>
                <w:noProof/>
                <w:webHidden/>
              </w:rPr>
              <w:t>32</w:t>
            </w:r>
            <w:r w:rsidR="001904D5">
              <w:rPr>
                <w:noProof/>
                <w:webHidden/>
              </w:rPr>
              <w:fldChar w:fldCharType="end"/>
            </w:r>
          </w:hyperlink>
        </w:p>
        <w:p w14:paraId="2630A17C" w14:textId="260E2888" w:rsidR="001904D5" w:rsidRDefault="00000000">
          <w:pPr>
            <w:pStyle w:val="TOC3"/>
            <w:rPr>
              <w:rFonts w:asciiTheme="minorHAnsi" w:hAnsiTheme="minorHAnsi"/>
              <w:noProof/>
              <w:kern w:val="2"/>
              <w:lang w:eastAsia="en-GB"/>
              <w14:ligatures w14:val="standardContextual"/>
            </w:rPr>
          </w:pPr>
          <w:hyperlink w:anchor="_Toc176503704" w:history="1">
            <w:r w:rsidR="001904D5" w:rsidRPr="008062EC">
              <w:rPr>
                <w:rStyle w:val="Hyperlink"/>
                <w:noProof/>
              </w:rPr>
              <w:t>EU Accessibility Act</w:t>
            </w:r>
            <w:r w:rsidR="001904D5">
              <w:rPr>
                <w:noProof/>
                <w:webHidden/>
              </w:rPr>
              <w:tab/>
            </w:r>
            <w:r w:rsidR="001904D5">
              <w:rPr>
                <w:noProof/>
                <w:webHidden/>
              </w:rPr>
              <w:fldChar w:fldCharType="begin"/>
            </w:r>
            <w:r w:rsidR="001904D5">
              <w:rPr>
                <w:noProof/>
                <w:webHidden/>
              </w:rPr>
              <w:instrText xml:space="preserve"> PAGEREF _Toc176503704 \h </w:instrText>
            </w:r>
            <w:r w:rsidR="001904D5">
              <w:rPr>
                <w:noProof/>
                <w:webHidden/>
              </w:rPr>
            </w:r>
            <w:r w:rsidR="001904D5">
              <w:rPr>
                <w:noProof/>
                <w:webHidden/>
              </w:rPr>
              <w:fldChar w:fldCharType="separate"/>
            </w:r>
            <w:r w:rsidR="00337704">
              <w:rPr>
                <w:noProof/>
                <w:webHidden/>
              </w:rPr>
              <w:t>34</w:t>
            </w:r>
            <w:r w:rsidR="001904D5">
              <w:rPr>
                <w:noProof/>
                <w:webHidden/>
              </w:rPr>
              <w:fldChar w:fldCharType="end"/>
            </w:r>
          </w:hyperlink>
        </w:p>
        <w:p w14:paraId="1A1ADE6B" w14:textId="32AFEBBD" w:rsidR="0096056C" w:rsidRPr="00D84515" w:rsidRDefault="0096056C">
          <w:r w:rsidRPr="00D84515">
            <w:rPr>
              <w:noProof/>
            </w:rPr>
            <w:fldChar w:fldCharType="end"/>
          </w:r>
        </w:p>
      </w:sdtContent>
    </w:sdt>
    <w:p w14:paraId="32F82717" w14:textId="5AB177AE" w:rsidR="00EA12CE" w:rsidRPr="00D84515" w:rsidRDefault="00EA12CE" w:rsidP="00331C61">
      <w:pPr>
        <w:pStyle w:val="Default"/>
        <w:spacing w:line="288" w:lineRule="auto"/>
        <w:rPr>
          <w:rFonts w:cs="Arial"/>
          <w:b/>
          <w:color w:val="232120"/>
        </w:rPr>
      </w:pPr>
    </w:p>
    <w:p w14:paraId="75006B94" w14:textId="44F0B512" w:rsidR="00EA12CE" w:rsidRPr="00D84515" w:rsidRDefault="00EA12CE" w:rsidP="00331C61">
      <w:pPr>
        <w:pStyle w:val="Default"/>
        <w:spacing w:line="288" w:lineRule="auto"/>
        <w:rPr>
          <w:rFonts w:cs="Arial"/>
          <w:b/>
          <w:color w:val="232120"/>
        </w:rPr>
      </w:pPr>
    </w:p>
    <w:tbl>
      <w:tblPr>
        <w:tblStyle w:val="TableGrid"/>
        <w:tblW w:w="0" w:type="auto"/>
        <w:tblLook w:val="04A0" w:firstRow="1" w:lastRow="0" w:firstColumn="1" w:lastColumn="0" w:noHBand="0" w:noVBand="1"/>
      </w:tblPr>
      <w:tblGrid>
        <w:gridCol w:w="9487"/>
      </w:tblGrid>
      <w:tr w:rsidR="005B39F9" w14:paraId="7DC3026A" w14:textId="77777777" w:rsidTr="005B39F9">
        <w:tc>
          <w:tcPr>
            <w:tcW w:w="9487" w:type="dxa"/>
          </w:tcPr>
          <w:p w14:paraId="18836267" w14:textId="77777777" w:rsidR="001904D5" w:rsidRDefault="001904D5" w:rsidP="001904D5">
            <w:pPr>
              <w:pStyle w:val="Heading1"/>
              <w:ind w:left="720" w:hanging="720"/>
            </w:pPr>
            <w:bookmarkStart w:id="0" w:name="_Toc176503680"/>
            <w:bookmarkStart w:id="1" w:name="_Toc170204679"/>
            <w:r>
              <w:lastRenderedPageBreak/>
              <w:t>Summary of Recommendations</w:t>
            </w:r>
            <w:bookmarkEnd w:id="0"/>
          </w:p>
          <w:p w14:paraId="0362BB8D" w14:textId="77777777" w:rsidR="001904D5" w:rsidRPr="005B39F9" w:rsidRDefault="001904D5" w:rsidP="001904D5">
            <w:pPr>
              <w:ind w:left="720" w:hanging="720"/>
              <w:rPr>
                <w:b/>
                <w:bCs/>
              </w:rPr>
            </w:pPr>
            <w:bookmarkStart w:id="2" w:name="_Toc173411170"/>
            <w:r w:rsidRPr="005B39F9">
              <w:rPr>
                <w:b/>
                <w:bCs/>
              </w:rPr>
              <w:t>The NI Human Rights Commission recommends:</w:t>
            </w:r>
            <w:bookmarkEnd w:id="2"/>
            <w:r w:rsidRPr="005B39F9">
              <w:rPr>
                <w:b/>
                <w:bCs/>
              </w:rPr>
              <w:t xml:space="preserve">  </w:t>
            </w:r>
          </w:p>
          <w:p w14:paraId="7DC1B130" w14:textId="77777777" w:rsidR="001904D5" w:rsidRPr="005B39F9" w:rsidRDefault="001904D5" w:rsidP="001904D5">
            <w:pPr>
              <w:ind w:left="720" w:hanging="720"/>
              <w:rPr>
                <w:b/>
                <w:bCs/>
              </w:rPr>
            </w:pPr>
          </w:p>
          <w:p w14:paraId="0AB77BA5" w14:textId="77777777" w:rsidR="001904D5" w:rsidRPr="005B39F9" w:rsidRDefault="001904D5" w:rsidP="001904D5">
            <w:pPr>
              <w:ind w:left="720" w:hanging="720"/>
              <w:contextualSpacing/>
              <w:rPr>
                <w:b/>
                <w:bCs/>
              </w:rPr>
            </w:pPr>
            <w:r w:rsidRPr="005B39F9">
              <w:rPr>
                <w:b/>
                <w:bCs/>
              </w:rPr>
              <w:t xml:space="preserve">2.5 </w:t>
            </w:r>
            <w:r>
              <w:rPr>
                <w:b/>
                <w:bCs/>
              </w:rPr>
              <w:tab/>
              <w:t xml:space="preserve">that </w:t>
            </w:r>
            <w:r w:rsidRPr="005B39F9">
              <w:rPr>
                <w:b/>
                <w:bCs/>
              </w:rPr>
              <w:t>the Committee consider the consolidation of equality and non-discrimination protections into a single legislative instrument.</w:t>
            </w:r>
          </w:p>
          <w:p w14:paraId="3C0F3080" w14:textId="77777777" w:rsidR="001904D5" w:rsidRPr="005B39F9" w:rsidRDefault="001904D5" w:rsidP="001904D5">
            <w:pPr>
              <w:ind w:left="720" w:hanging="720"/>
              <w:contextualSpacing/>
              <w:rPr>
                <w:b/>
                <w:bCs/>
              </w:rPr>
            </w:pPr>
          </w:p>
          <w:p w14:paraId="2DC463E3" w14:textId="77777777" w:rsidR="001904D5" w:rsidRPr="005B39F9" w:rsidRDefault="001904D5" w:rsidP="001904D5">
            <w:pPr>
              <w:ind w:left="720" w:hanging="720"/>
              <w:contextualSpacing/>
              <w:rPr>
                <w:b/>
                <w:bCs/>
              </w:rPr>
            </w:pPr>
            <w:r w:rsidRPr="005B39F9">
              <w:rPr>
                <w:b/>
                <w:bCs/>
              </w:rPr>
              <w:t xml:space="preserve">2.8 </w:t>
            </w:r>
            <w:r>
              <w:rPr>
                <w:b/>
                <w:bCs/>
              </w:rPr>
              <w:tab/>
              <w:t xml:space="preserve">that </w:t>
            </w:r>
            <w:r w:rsidRPr="005B39F9">
              <w:rPr>
                <w:b/>
                <w:bCs/>
              </w:rPr>
              <w:t>intersectional multiple discrimination should be prohibited expressly in a consolidated legislative instrument.</w:t>
            </w:r>
          </w:p>
          <w:p w14:paraId="6238B695" w14:textId="77777777" w:rsidR="001904D5" w:rsidRPr="005B39F9" w:rsidRDefault="001904D5" w:rsidP="001904D5">
            <w:pPr>
              <w:ind w:left="720" w:hanging="720"/>
              <w:contextualSpacing/>
              <w:rPr>
                <w:b/>
                <w:bCs/>
              </w:rPr>
            </w:pPr>
          </w:p>
          <w:p w14:paraId="34C15808" w14:textId="77777777" w:rsidR="001904D5" w:rsidRPr="005B39F9" w:rsidRDefault="001904D5" w:rsidP="001904D5">
            <w:pPr>
              <w:ind w:left="720" w:hanging="720"/>
              <w:contextualSpacing/>
              <w:rPr>
                <w:b/>
                <w:bCs/>
              </w:rPr>
            </w:pPr>
            <w:r w:rsidRPr="005B39F9">
              <w:rPr>
                <w:b/>
                <w:bCs/>
              </w:rPr>
              <w:t>2.11</w:t>
            </w:r>
            <w:r>
              <w:rPr>
                <w:b/>
                <w:bCs/>
              </w:rPr>
              <w:tab/>
              <w:t xml:space="preserve">that </w:t>
            </w:r>
            <w:r w:rsidRPr="005B39F9">
              <w:rPr>
                <w:b/>
                <w:bCs/>
              </w:rPr>
              <w:t>the existing equality protections be extended to provide age discrimination protection in the provision of goods, facilities and services to all children under 18 years old.</w:t>
            </w:r>
          </w:p>
          <w:p w14:paraId="785B05F1" w14:textId="77777777" w:rsidR="001904D5" w:rsidRPr="005B39F9" w:rsidRDefault="001904D5" w:rsidP="001904D5">
            <w:pPr>
              <w:ind w:left="720" w:hanging="720"/>
              <w:contextualSpacing/>
              <w:rPr>
                <w:b/>
                <w:bCs/>
              </w:rPr>
            </w:pPr>
          </w:p>
          <w:p w14:paraId="56FFE2FD" w14:textId="77777777" w:rsidR="001904D5" w:rsidRPr="005B39F9" w:rsidRDefault="001904D5" w:rsidP="001904D5">
            <w:pPr>
              <w:ind w:left="720" w:hanging="720"/>
              <w:contextualSpacing/>
              <w:rPr>
                <w:b/>
                <w:bCs/>
              </w:rPr>
            </w:pPr>
            <w:r w:rsidRPr="005B39F9">
              <w:rPr>
                <w:b/>
                <w:bCs/>
              </w:rPr>
              <w:t>2.13</w:t>
            </w:r>
            <w:r>
              <w:rPr>
                <w:b/>
                <w:bCs/>
              </w:rPr>
              <w:tab/>
              <w:t xml:space="preserve">that </w:t>
            </w:r>
            <w:r w:rsidRPr="005B39F9">
              <w:rPr>
                <w:b/>
                <w:bCs/>
              </w:rPr>
              <w:t>the equality framework is amended to better protect those who experience discrimination in relation to their sexual orientation and/or gender identity.</w:t>
            </w:r>
          </w:p>
          <w:p w14:paraId="31B3E83E" w14:textId="77777777" w:rsidR="001904D5" w:rsidRPr="005B39F9" w:rsidRDefault="001904D5" w:rsidP="001904D5">
            <w:pPr>
              <w:ind w:left="720" w:hanging="720"/>
              <w:contextualSpacing/>
              <w:rPr>
                <w:b/>
                <w:bCs/>
              </w:rPr>
            </w:pPr>
          </w:p>
          <w:p w14:paraId="5DE14E51" w14:textId="77777777" w:rsidR="001904D5" w:rsidRPr="005B39F9" w:rsidRDefault="001904D5" w:rsidP="001904D5">
            <w:pPr>
              <w:ind w:left="720" w:hanging="720"/>
              <w:contextualSpacing/>
              <w:rPr>
                <w:b/>
                <w:bCs/>
              </w:rPr>
            </w:pPr>
            <w:r w:rsidRPr="005B39F9">
              <w:rPr>
                <w:b/>
                <w:bCs/>
              </w:rPr>
              <w:t>2.16</w:t>
            </w:r>
            <w:r>
              <w:rPr>
                <w:b/>
                <w:bCs/>
              </w:rPr>
              <w:tab/>
              <w:t xml:space="preserve">that </w:t>
            </w:r>
            <w:r w:rsidRPr="005B39F9">
              <w:rPr>
                <w:b/>
                <w:bCs/>
              </w:rPr>
              <w:t>institutional mechanisms are required to ensure the enforcement of equality law, in particular those relating to gender equality.</w:t>
            </w:r>
          </w:p>
          <w:p w14:paraId="27865152" w14:textId="77777777" w:rsidR="001904D5" w:rsidRPr="005B39F9" w:rsidRDefault="001904D5" w:rsidP="001904D5">
            <w:pPr>
              <w:ind w:left="720" w:hanging="720"/>
              <w:contextualSpacing/>
              <w:rPr>
                <w:b/>
                <w:bCs/>
              </w:rPr>
            </w:pPr>
          </w:p>
          <w:p w14:paraId="66EA6CBC" w14:textId="77777777" w:rsidR="001904D5" w:rsidRPr="005B39F9" w:rsidRDefault="001904D5" w:rsidP="001904D5">
            <w:pPr>
              <w:ind w:left="720" w:hanging="720"/>
              <w:contextualSpacing/>
              <w:rPr>
                <w:b/>
                <w:bCs/>
              </w:rPr>
            </w:pPr>
            <w:r w:rsidRPr="005B39F9">
              <w:rPr>
                <w:b/>
                <w:bCs/>
              </w:rPr>
              <w:t>2.19</w:t>
            </w:r>
            <w:r>
              <w:rPr>
                <w:b/>
                <w:bCs/>
              </w:rPr>
              <w:tab/>
              <w:t xml:space="preserve">that </w:t>
            </w:r>
            <w:r w:rsidRPr="005B39F9">
              <w:rPr>
                <w:b/>
                <w:bCs/>
              </w:rPr>
              <w:t>equality laws should be amended to ensure they address inequalities experienced by disabled people in NI.</w:t>
            </w:r>
          </w:p>
          <w:p w14:paraId="4A5A601B" w14:textId="77777777" w:rsidR="001904D5" w:rsidRPr="005B39F9" w:rsidRDefault="001904D5" w:rsidP="001904D5">
            <w:pPr>
              <w:ind w:left="720" w:hanging="720"/>
              <w:contextualSpacing/>
              <w:rPr>
                <w:b/>
                <w:bCs/>
              </w:rPr>
            </w:pPr>
          </w:p>
          <w:p w14:paraId="0825D6A9" w14:textId="77777777" w:rsidR="001904D5" w:rsidRPr="005B39F9" w:rsidRDefault="001904D5" w:rsidP="001904D5">
            <w:pPr>
              <w:ind w:left="720" w:hanging="720"/>
              <w:contextualSpacing/>
              <w:rPr>
                <w:b/>
                <w:bCs/>
              </w:rPr>
            </w:pPr>
            <w:r w:rsidRPr="005B39F9">
              <w:rPr>
                <w:b/>
                <w:bCs/>
              </w:rPr>
              <w:t>2.23</w:t>
            </w:r>
            <w:r>
              <w:rPr>
                <w:b/>
                <w:bCs/>
              </w:rPr>
              <w:tab/>
              <w:t xml:space="preserve">that </w:t>
            </w:r>
            <w:r w:rsidRPr="005B39F9">
              <w:rPr>
                <w:b/>
                <w:bCs/>
              </w:rPr>
              <w:t>the Committee consider the role of strategies, including the racial equality strategy, in supporting the implementation of reforms to equality laws and monitor their effectiveness in so doing.</w:t>
            </w:r>
          </w:p>
          <w:p w14:paraId="2EA8C59F" w14:textId="77777777" w:rsidR="001904D5" w:rsidRPr="005B39F9" w:rsidRDefault="001904D5" w:rsidP="001904D5">
            <w:pPr>
              <w:ind w:left="720" w:hanging="720"/>
              <w:contextualSpacing/>
              <w:rPr>
                <w:b/>
                <w:bCs/>
              </w:rPr>
            </w:pPr>
          </w:p>
          <w:p w14:paraId="1BB22F65" w14:textId="77777777" w:rsidR="001904D5" w:rsidRPr="005B39F9" w:rsidRDefault="001904D5" w:rsidP="001904D5">
            <w:pPr>
              <w:ind w:left="720" w:hanging="720"/>
              <w:contextualSpacing/>
              <w:rPr>
                <w:b/>
                <w:bCs/>
              </w:rPr>
            </w:pPr>
            <w:r w:rsidRPr="005B39F9">
              <w:rPr>
                <w:b/>
                <w:bCs/>
              </w:rPr>
              <w:t>3.15</w:t>
            </w:r>
            <w:r>
              <w:rPr>
                <w:b/>
                <w:bCs/>
              </w:rPr>
              <w:tab/>
              <w:t xml:space="preserve">that </w:t>
            </w:r>
            <w:r w:rsidRPr="005B39F9">
              <w:rPr>
                <w:b/>
                <w:bCs/>
              </w:rPr>
              <w:t>the NI Executive ensure that provisions of the EU Pay Transparency Directive that amend and/or replace provisions of the EU Gender Equality (Employment) Directive are reflected in domestic law.</w:t>
            </w:r>
          </w:p>
          <w:p w14:paraId="1DD0E5DF" w14:textId="77777777" w:rsidR="001904D5" w:rsidRPr="005B39F9" w:rsidRDefault="001904D5" w:rsidP="001904D5">
            <w:pPr>
              <w:ind w:left="720" w:hanging="720"/>
              <w:contextualSpacing/>
              <w:rPr>
                <w:b/>
                <w:bCs/>
              </w:rPr>
            </w:pPr>
            <w:r w:rsidRPr="005B39F9">
              <w:rPr>
                <w:b/>
                <w:bCs/>
              </w:rPr>
              <w:t xml:space="preserve"> </w:t>
            </w:r>
          </w:p>
          <w:p w14:paraId="720F6DFB" w14:textId="77777777" w:rsidR="001904D5" w:rsidRPr="005B39F9" w:rsidRDefault="001904D5" w:rsidP="001904D5">
            <w:pPr>
              <w:ind w:left="720" w:hanging="720"/>
              <w:contextualSpacing/>
              <w:rPr>
                <w:b/>
                <w:bCs/>
              </w:rPr>
            </w:pPr>
            <w:r w:rsidRPr="005B39F9">
              <w:rPr>
                <w:b/>
                <w:bCs/>
              </w:rPr>
              <w:t>3.22</w:t>
            </w:r>
            <w:r>
              <w:rPr>
                <w:b/>
                <w:bCs/>
              </w:rPr>
              <w:tab/>
              <w:t xml:space="preserve">that </w:t>
            </w:r>
            <w:r w:rsidRPr="005B39F9">
              <w:rPr>
                <w:b/>
                <w:bCs/>
              </w:rPr>
              <w:t xml:space="preserve">the Executive Office amend NI law to keep pace with those provisions of the EU Directives on standards for equality bodies adopted which amend or replace the Annex 1 equality </w:t>
            </w:r>
            <w:r w:rsidRPr="005B39F9">
              <w:rPr>
                <w:b/>
                <w:bCs/>
              </w:rPr>
              <w:lastRenderedPageBreak/>
              <w:t xml:space="preserve">directives, pursuant to Articles 2 and 13 of the Windsor Framework. The implementation of these changes in NI law should align with the transposition deadline for Member States in the directives. </w:t>
            </w:r>
          </w:p>
          <w:p w14:paraId="54FB2B72" w14:textId="77777777" w:rsidR="001904D5" w:rsidRPr="005B39F9" w:rsidRDefault="001904D5" w:rsidP="001904D5">
            <w:pPr>
              <w:ind w:left="720" w:hanging="720"/>
              <w:contextualSpacing/>
              <w:rPr>
                <w:b/>
                <w:bCs/>
              </w:rPr>
            </w:pPr>
          </w:p>
          <w:p w14:paraId="42BE9898" w14:textId="77777777" w:rsidR="001904D5" w:rsidRPr="005B39F9" w:rsidRDefault="001904D5" w:rsidP="001904D5">
            <w:pPr>
              <w:ind w:left="720" w:hanging="720"/>
              <w:contextualSpacing/>
              <w:rPr>
                <w:b/>
                <w:bCs/>
              </w:rPr>
            </w:pPr>
            <w:r w:rsidRPr="005B39F9">
              <w:rPr>
                <w:b/>
                <w:bCs/>
              </w:rPr>
              <w:t>3.26</w:t>
            </w:r>
            <w:r>
              <w:rPr>
                <w:b/>
                <w:bCs/>
              </w:rPr>
              <w:tab/>
              <w:t xml:space="preserve">that </w:t>
            </w:r>
            <w:r w:rsidRPr="005B39F9">
              <w:rPr>
                <w:b/>
                <w:bCs/>
              </w:rPr>
              <w:t>the Executive Office amend the definition of discrimination in relevant NI equality law to include “intersectional discrimination” aligned to the relevant provisions of the EU Pay Transparency Directive and the transposition deadline of the Directive, in accordance with the keeping pace obligation relating to Windsor Framework Article 2.</w:t>
            </w:r>
          </w:p>
          <w:p w14:paraId="24F0D371" w14:textId="77777777" w:rsidR="001904D5" w:rsidRPr="005B39F9" w:rsidRDefault="001904D5" w:rsidP="001904D5">
            <w:pPr>
              <w:ind w:left="720" w:hanging="720"/>
              <w:contextualSpacing/>
              <w:rPr>
                <w:b/>
                <w:bCs/>
              </w:rPr>
            </w:pPr>
          </w:p>
          <w:p w14:paraId="45EC4FD2" w14:textId="77777777" w:rsidR="001904D5" w:rsidRPr="005B39F9" w:rsidRDefault="001904D5" w:rsidP="001904D5">
            <w:pPr>
              <w:ind w:left="720" w:hanging="720"/>
              <w:contextualSpacing/>
              <w:rPr>
                <w:b/>
                <w:bCs/>
              </w:rPr>
            </w:pPr>
            <w:r w:rsidRPr="005B39F9">
              <w:rPr>
                <w:b/>
                <w:bCs/>
              </w:rPr>
              <w:t>3.31</w:t>
            </w:r>
            <w:r>
              <w:rPr>
                <w:b/>
                <w:bCs/>
              </w:rPr>
              <w:tab/>
              <w:t xml:space="preserve">that </w:t>
            </w:r>
            <w:r w:rsidRPr="005B39F9">
              <w:rPr>
                <w:b/>
                <w:bCs/>
              </w:rPr>
              <w:t>the Executive Office analyse the EU Directive on Combating Violence Against Women and consider if, and to what extent, it updates provisions the EU Gender Equality (Employment) Directive.</w:t>
            </w:r>
          </w:p>
          <w:p w14:paraId="15BF06DB" w14:textId="77777777" w:rsidR="001904D5" w:rsidRPr="005B39F9" w:rsidRDefault="001904D5" w:rsidP="001904D5">
            <w:pPr>
              <w:ind w:left="720" w:hanging="720"/>
              <w:contextualSpacing/>
              <w:rPr>
                <w:b/>
                <w:bCs/>
              </w:rPr>
            </w:pPr>
          </w:p>
          <w:p w14:paraId="5C76B1AF" w14:textId="77777777" w:rsidR="001904D5" w:rsidRPr="005B39F9" w:rsidRDefault="001904D5" w:rsidP="001904D5">
            <w:pPr>
              <w:ind w:left="720" w:hanging="720"/>
              <w:contextualSpacing/>
              <w:rPr>
                <w:b/>
                <w:bCs/>
              </w:rPr>
            </w:pPr>
            <w:r w:rsidRPr="005B39F9">
              <w:rPr>
                <w:b/>
                <w:bCs/>
              </w:rPr>
              <w:t>3.32</w:t>
            </w:r>
            <w:r>
              <w:rPr>
                <w:b/>
                <w:bCs/>
              </w:rPr>
              <w:tab/>
              <w:t xml:space="preserve">that </w:t>
            </w:r>
            <w:r w:rsidRPr="005B39F9">
              <w:rPr>
                <w:b/>
                <w:bCs/>
              </w:rPr>
              <w:t xml:space="preserve">in addition to any changes required by the keeping pace obligation under the Windsor Framework, the Executive Office consider aligning on a voluntary basis with any enhancement to equality and human rights pursuant to the EU Directive on Combating Violence against Women and Domestic Violence. </w:t>
            </w:r>
          </w:p>
          <w:p w14:paraId="508B7445" w14:textId="77777777" w:rsidR="001904D5" w:rsidRPr="005B39F9" w:rsidRDefault="001904D5" w:rsidP="001904D5">
            <w:pPr>
              <w:ind w:left="720" w:hanging="720"/>
              <w:contextualSpacing/>
              <w:rPr>
                <w:b/>
                <w:bCs/>
              </w:rPr>
            </w:pPr>
          </w:p>
          <w:p w14:paraId="10F851E9" w14:textId="77777777" w:rsidR="001904D5" w:rsidRPr="005B39F9" w:rsidRDefault="001904D5" w:rsidP="001904D5">
            <w:pPr>
              <w:ind w:left="720" w:hanging="720"/>
              <w:contextualSpacing/>
              <w:rPr>
                <w:b/>
                <w:bCs/>
              </w:rPr>
            </w:pPr>
            <w:r w:rsidRPr="005B39F9">
              <w:rPr>
                <w:b/>
                <w:bCs/>
              </w:rPr>
              <w:t>3.40</w:t>
            </w:r>
            <w:r>
              <w:rPr>
                <w:b/>
                <w:bCs/>
              </w:rPr>
              <w:tab/>
              <w:t xml:space="preserve">that </w:t>
            </w:r>
            <w:r w:rsidRPr="005B39F9">
              <w:rPr>
                <w:b/>
                <w:bCs/>
              </w:rPr>
              <w:t xml:space="preserve">NI law be amended to keep pace with the provisions of the EU Directives on standards for equality bodies which amend or replace the EU Employment Equality (Framework) Directive. </w:t>
            </w:r>
          </w:p>
          <w:p w14:paraId="216B1F21" w14:textId="77777777" w:rsidR="001904D5" w:rsidRPr="005B39F9" w:rsidRDefault="001904D5" w:rsidP="001904D5">
            <w:pPr>
              <w:ind w:left="720" w:hanging="720"/>
              <w:contextualSpacing/>
              <w:rPr>
                <w:b/>
                <w:bCs/>
              </w:rPr>
            </w:pPr>
          </w:p>
          <w:p w14:paraId="2595F368" w14:textId="77777777" w:rsidR="001904D5" w:rsidRPr="005B39F9" w:rsidRDefault="001904D5" w:rsidP="001904D5">
            <w:pPr>
              <w:ind w:left="720" w:hanging="720"/>
              <w:contextualSpacing/>
              <w:rPr>
                <w:b/>
                <w:bCs/>
              </w:rPr>
            </w:pPr>
            <w:r w:rsidRPr="005B39F9">
              <w:rPr>
                <w:b/>
                <w:bCs/>
              </w:rPr>
              <w:t>3.41</w:t>
            </w:r>
            <w:r>
              <w:rPr>
                <w:b/>
                <w:bCs/>
              </w:rPr>
              <w:tab/>
              <w:t xml:space="preserve">that </w:t>
            </w:r>
            <w:r w:rsidRPr="005B39F9">
              <w:rPr>
                <w:b/>
                <w:bCs/>
              </w:rPr>
              <w:t xml:space="preserve">the Executive Office ensure that the EU Framework Equality Directive and domestic law, which gives effect to this Directive, is interpreted in line with the decision of the CJEU in the </w:t>
            </w:r>
            <w:proofErr w:type="spellStart"/>
            <w:r w:rsidRPr="005B39F9">
              <w:rPr>
                <w:b/>
                <w:bCs/>
                <w:i/>
                <w:iCs/>
              </w:rPr>
              <w:t>Szpital</w:t>
            </w:r>
            <w:proofErr w:type="spellEnd"/>
            <w:r w:rsidRPr="005B39F9">
              <w:rPr>
                <w:b/>
                <w:bCs/>
                <w:i/>
                <w:iCs/>
              </w:rPr>
              <w:t xml:space="preserve"> </w:t>
            </w:r>
            <w:proofErr w:type="spellStart"/>
            <w:r w:rsidRPr="005B39F9">
              <w:rPr>
                <w:b/>
                <w:bCs/>
                <w:i/>
                <w:iCs/>
              </w:rPr>
              <w:t>Kliniczny</w:t>
            </w:r>
            <w:proofErr w:type="spellEnd"/>
            <w:r w:rsidRPr="005B39F9">
              <w:rPr>
                <w:b/>
                <w:bCs/>
              </w:rPr>
              <w:t xml:space="preserve"> case relating to disability discrimination.</w:t>
            </w:r>
          </w:p>
          <w:p w14:paraId="04A79C06" w14:textId="77777777" w:rsidR="001904D5" w:rsidRPr="005B39F9" w:rsidRDefault="001904D5" w:rsidP="001904D5">
            <w:pPr>
              <w:ind w:left="720" w:hanging="720"/>
              <w:contextualSpacing/>
              <w:rPr>
                <w:b/>
                <w:bCs/>
              </w:rPr>
            </w:pPr>
          </w:p>
          <w:p w14:paraId="2D195159" w14:textId="77777777" w:rsidR="001904D5" w:rsidRPr="005B39F9" w:rsidRDefault="001904D5" w:rsidP="001904D5">
            <w:pPr>
              <w:ind w:left="720" w:hanging="720"/>
              <w:contextualSpacing/>
              <w:rPr>
                <w:b/>
                <w:bCs/>
              </w:rPr>
            </w:pPr>
            <w:r w:rsidRPr="005B39F9">
              <w:rPr>
                <w:b/>
                <w:bCs/>
              </w:rPr>
              <w:t>3.48</w:t>
            </w:r>
            <w:r>
              <w:rPr>
                <w:b/>
                <w:bCs/>
              </w:rPr>
              <w:tab/>
              <w:t xml:space="preserve">that </w:t>
            </w:r>
            <w:r w:rsidRPr="005B39F9">
              <w:rPr>
                <w:b/>
                <w:bCs/>
              </w:rPr>
              <w:t xml:space="preserve">the Executive Office provide an annual report that monitors any proposed changes by the EU to the six Annex 1 equality directives, including relevant case law of the CJEU, which would facilitate compliance with these changes. </w:t>
            </w:r>
          </w:p>
          <w:p w14:paraId="3F527B87" w14:textId="77777777" w:rsidR="001904D5" w:rsidRPr="005B39F9" w:rsidRDefault="001904D5" w:rsidP="001904D5">
            <w:pPr>
              <w:ind w:left="720" w:hanging="720"/>
              <w:contextualSpacing/>
              <w:rPr>
                <w:b/>
                <w:bCs/>
              </w:rPr>
            </w:pPr>
          </w:p>
          <w:p w14:paraId="5A59CCB9" w14:textId="77777777" w:rsidR="001904D5" w:rsidRPr="005B39F9" w:rsidRDefault="001904D5" w:rsidP="001904D5">
            <w:pPr>
              <w:ind w:left="720" w:hanging="720"/>
              <w:contextualSpacing/>
              <w:rPr>
                <w:b/>
                <w:bCs/>
              </w:rPr>
            </w:pPr>
            <w:r w:rsidRPr="005B39F9">
              <w:rPr>
                <w:b/>
                <w:bCs/>
              </w:rPr>
              <w:lastRenderedPageBreak/>
              <w:t>3.49</w:t>
            </w:r>
            <w:r>
              <w:rPr>
                <w:b/>
                <w:bCs/>
              </w:rPr>
              <w:tab/>
              <w:t xml:space="preserve">that </w:t>
            </w:r>
            <w:r w:rsidRPr="005B39F9">
              <w:rPr>
                <w:b/>
                <w:bCs/>
              </w:rPr>
              <w:t xml:space="preserve">the Executive Office strengthen racial equality legislation in NI and ensure that developments on race law reform in NI are in compliance with Windsor Framework Article 2, including the keeping pace obligations relating to the EU Racial Equality Directive. </w:t>
            </w:r>
          </w:p>
          <w:p w14:paraId="420FB783" w14:textId="77777777" w:rsidR="001904D5" w:rsidRPr="005B39F9" w:rsidRDefault="001904D5" w:rsidP="001904D5">
            <w:pPr>
              <w:ind w:left="720" w:hanging="720"/>
              <w:contextualSpacing/>
              <w:rPr>
                <w:b/>
                <w:bCs/>
              </w:rPr>
            </w:pPr>
          </w:p>
          <w:p w14:paraId="7000026A" w14:textId="77777777" w:rsidR="001904D5" w:rsidRPr="005B39F9" w:rsidRDefault="001904D5" w:rsidP="001904D5">
            <w:pPr>
              <w:ind w:left="720" w:hanging="720"/>
              <w:contextualSpacing/>
              <w:rPr>
                <w:b/>
                <w:bCs/>
              </w:rPr>
            </w:pPr>
            <w:r w:rsidRPr="005B39F9">
              <w:rPr>
                <w:b/>
                <w:bCs/>
              </w:rPr>
              <w:t xml:space="preserve">3.50 </w:t>
            </w:r>
            <w:r>
              <w:rPr>
                <w:b/>
                <w:bCs/>
              </w:rPr>
              <w:t xml:space="preserve">that </w:t>
            </w:r>
            <w:r w:rsidRPr="005B39F9">
              <w:rPr>
                <w:b/>
                <w:bCs/>
              </w:rPr>
              <w:t>the Executive Office keep pace with those provisions of the newly adopted EU Directives on standards for equality bodies which amend or replace the EU Racial Equality Directive.</w:t>
            </w:r>
          </w:p>
          <w:p w14:paraId="4B6996F1" w14:textId="77777777" w:rsidR="001904D5" w:rsidRPr="005B39F9" w:rsidRDefault="001904D5" w:rsidP="001904D5">
            <w:pPr>
              <w:ind w:left="720" w:hanging="720"/>
              <w:contextualSpacing/>
              <w:rPr>
                <w:b/>
                <w:bCs/>
              </w:rPr>
            </w:pPr>
          </w:p>
          <w:p w14:paraId="2CD06DE6" w14:textId="619816CA" w:rsidR="001904D5" w:rsidRPr="005B39F9" w:rsidRDefault="001904D5" w:rsidP="001904D5">
            <w:pPr>
              <w:ind w:left="720" w:hanging="720"/>
              <w:contextualSpacing/>
              <w:rPr>
                <w:b/>
                <w:bCs/>
              </w:rPr>
            </w:pPr>
            <w:r w:rsidRPr="005B39F9">
              <w:rPr>
                <w:b/>
                <w:bCs/>
              </w:rPr>
              <w:t xml:space="preserve">4.3 </w:t>
            </w:r>
            <w:r>
              <w:rPr>
                <w:b/>
                <w:bCs/>
              </w:rPr>
              <w:tab/>
            </w:r>
            <w:r w:rsidRPr="005B39F9">
              <w:rPr>
                <w:b/>
                <w:bCs/>
              </w:rPr>
              <w:t xml:space="preserve">the integration of international human rights duties in the design and delivery of policy measures. </w:t>
            </w:r>
          </w:p>
          <w:p w14:paraId="5314DBEF" w14:textId="77777777" w:rsidR="001904D5" w:rsidRPr="005B39F9" w:rsidRDefault="001904D5" w:rsidP="001904D5">
            <w:pPr>
              <w:ind w:left="720" w:hanging="720"/>
              <w:contextualSpacing/>
              <w:rPr>
                <w:b/>
                <w:bCs/>
              </w:rPr>
            </w:pPr>
          </w:p>
          <w:p w14:paraId="62462F52" w14:textId="3AB93E1F" w:rsidR="001904D5" w:rsidRPr="005B39F9" w:rsidRDefault="001904D5" w:rsidP="001904D5">
            <w:pPr>
              <w:ind w:left="720" w:hanging="720"/>
              <w:contextualSpacing/>
              <w:rPr>
                <w:b/>
                <w:bCs/>
              </w:rPr>
            </w:pPr>
            <w:r w:rsidRPr="005B39F9">
              <w:rPr>
                <w:b/>
                <w:bCs/>
              </w:rPr>
              <w:t xml:space="preserve">4.7 </w:t>
            </w:r>
            <w:r>
              <w:rPr>
                <w:b/>
                <w:bCs/>
              </w:rPr>
              <w:tab/>
              <w:t xml:space="preserve">that </w:t>
            </w:r>
            <w:r w:rsidRPr="005B39F9">
              <w:rPr>
                <w:b/>
                <w:bCs/>
              </w:rPr>
              <w:t>NI equality and human rights policy and legislation keep pace with changes to EU law which strengthen protections and align with international human rights standards. This includes aligning on a voluntary basis with rights introduced as a result of EU laws that do not amend or replace the Annex 1 directives.</w:t>
            </w:r>
          </w:p>
          <w:p w14:paraId="39925247" w14:textId="77777777" w:rsidR="001904D5" w:rsidRPr="005B39F9" w:rsidRDefault="001904D5" w:rsidP="001904D5">
            <w:pPr>
              <w:ind w:left="720" w:hanging="720"/>
              <w:contextualSpacing/>
              <w:rPr>
                <w:b/>
                <w:bCs/>
              </w:rPr>
            </w:pPr>
          </w:p>
          <w:p w14:paraId="3D6B4070" w14:textId="77777777" w:rsidR="001904D5" w:rsidRPr="005B39F9" w:rsidRDefault="001904D5" w:rsidP="001904D5">
            <w:pPr>
              <w:ind w:left="720" w:hanging="720"/>
              <w:contextualSpacing/>
              <w:rPr>
                <w:b/>
                <w:bCs/>
              </w:rPr>
            </w:pPr>
            <w:r w:rsidRPr="005B39F9">
              <w:rPr>
                <w:b/>
                <w:bCs/>
              </w:rPr>
              <w:t xml:space="preserve">4.8 </w:t>
            </w:r>
            <w:r>
              <w:rPr>
                <w:b/>
                <w:bCs/>
              </w:rPr>
              <w:t xml:space="preserve">that </w:t>
            </w:r>
            <w:r w:rsidRPr="005B39F9">
              <w:rPr>
                <w:b/>
                <w:bCs/>
              </w:rPr>
              <w:t xml:space="preserve">the Committee considers the enhancement and harmonisation of equality and human rights protections on the island of Ireland and to working towards ensuring North-South equivalence of rights on the island of Ireland. </w:t>
            </w:r>
          </w:p>
          <w:p w14:paraId="5693EFF0" w14:textId="77777777" w:rsidR="001904D5" w:rsidRPr="005B39F9" w:rsidRDefault="001904D5" w:rsidP="001904D5">
            <w:pPr>
              <w:ind w:left="720" w:hanging="720"/>
              <w:contextualSpacing/>
              <w:rPr>
                <w:b/>
                <w:bCs/>
              </w:rPr>
            </w:pPr>
          </w:p>
          <w:p w14:paraId="0468AF92" w14:textId="77777777" w:rsidR="001904D5" w:rsidRPr="005B39F9" w:rsidRDefault="001904D5" w:rsidP="001904D5">
            <w:pPr>
              <w:ind w:left="720" w:hanging="720"/>
              <w:contextualSpacing/>
              <w:rPr>
                <w:b/>
                <w:bCs/>
              </w:rPr>
            </w:pPr>
            <w:r w:rsidRPr="005B39F9">
              <w:rPr>
                <w:b/>
                <w:bCs/>
              </w:rPr>
              <w:t xml:space="preserve">4.12 </w:t>
            </w:r>
            <w:r>
              <w:rPr>
                <w:b/>
                <w:bCs/>
              </w:rPr>
              <w:t xml:space="preserve">that </w:t>
            </w:r>
            <w:r w:rsidRPr="005B39F9">
              <w:rPr>
                <w:b/>
                <w:bCs/>
              </w:rPr>
              <w:t xml:space="preserve">regular reviews of new EU laws relating to equality and human rights should be undertaken to identify new measures to be considered for addition to the Annex 1 equality directives with particular consideration given to alignment of standards across the two jurisdictions on the island of Ireland. </w:t>
            </w:r>
          </w:p>
          <w:p w14:paraId="3F241E4D" w14:textId="77777777" w:rsidR="001904D5" w:rsidRPr="005B39F9" w:rsidRDefault="001904D5" w:rsidP="001904D5">
            <w:pPr>
              <w:ind w:left="720" w:hanging="720"/>
              <w:contextualSpacing/>
              <w:rPr>
                <w:b/>
                <w:bCs/>
              </w:rPr>
            </w:pPr>
          </w:p>
          <w:p w14:paraId="67AB3488" w14:textId="77777777" w:rsidR="001904D5" w:rsidRPr="005B39F9" w:rsidRDefault="001904D5" w:rsidP="001904D5">
            <w:pPr>
              <w:ind w:left="720" w:hanging="720"/>
              <w:contextualSpacing/>
              <w:rPr>
                <w:b/>
                <w:bCs/>
              </w:rPr>
            </w:pPr>
            <w:r w:rsidRPr="005B39F9">
              <w:rPr>
                <w:b/>
                <w:bCs/>
              </w:rPr>
              <w:t>4.15</w:t>
            </w:r>
            <w:r>
              <w:rPr>
                <w:b/>
                <w:bCs/>
              </w:rPr>
              <w:tab/>
            </w:r>
            <w:r w:rsidRPr="005B39F9">
              <w:rPr>
                <w:b/>
                <w:bCs/>
              </w:rPr>
              <w:t>the voluntary alignment of NI law with the EU Gender Balance Directive where this strengthens protections and aligns with international human rights standards.</w:t>
            </w:r>
          </w:p>
          <w:p w14:paraId="2E0B26F7" w14:textId="77777777" w:rsidR="001904D5" w:rsidRPr="005B39F9" w:rsidRDefault="001904D5" w:rsidP="001904D5">
            <w:pPr>
              <w:ind w:left="720" w:hanging="720"/>
              <w:contextualSpacing/>
              <w:rPr>
                <w:b/>
                <w:bCs/>
              </w:rPr>
            </w:pPr>
          </w:p>
          <w:p w14:paraId="7CE2983C" w14:textId="77777777" w:rsidR="001904D5" w:rsidRPr="005B39F9" w:rsidRDefault="001904D5" w:rsidP="001904D5">
            <w:pPr>
              <w:ind w:left="720" w:hanging="720"/>
              <w:contextualSpacing/>
              <w:rPr>
                <w:b/>
                <w:bCs/>
              </w:rPr>
            </w:pPr>
            <w:r w:rsidRPr="005B39F9">
              <w:rPr>
                <w:b/>
                <w:bCs/>
              </w:rPr>
              <w:t>4.20</w:t>
            </w:r>
            <w:r>
              <w:rPr>
                <w:b/>
                <w:bCs/>
              </w:rPr>
              <w:tab/>
              <w:t xml:space="preserve">the </w:t>
            </w:r>
            <w:r w:rsidRPr="005B39F9">
              <w:rPr>
                <w:b/>
                <w:bCs/>
              </w:rPr>
              <w:t xml:space="preserve">voluntary alignment of NI law with those provisions of the EU Work-Life Balance Directive that enhance equality and human rights protections and align with international human rights standards. </w:t>
            </w:r>
          </w:p>
          <w:p w14:paraId="1BF73314" w14:textId="77777777" w:rsidR="001904D5" w:rsidRPr="005B39F9" w:rsidRDefault="001904D5" w:rsidP="001904D5">
            <w:pPr>
              <w:ind w:left="720" w:hanging="720"/>
              <w:contextualSpacing/>
              <w:rPr>
                <w:b/>
                <w:bCs/>
              </w:rPr>
            </w:pPr>
          </w:p>
          <w:p w14:paraId="756F54B6" w14:textId="77777777" w:rsidR="001904D5" w:rsidRDefault="001904D5" w:rsidP="001904D5">
            <w:pPr>
              <w:ind w:left="720" w:hanging="720"/>
              <w:contextualSpacing/>
              <w:rPr>
                <w:b/>
                <w:bCs/>
              </w:rPr>
            </w:pPr>
            <w:r w:rsidRPr="005B39F9">
              <w:rPr>
                <w:b/>
                <w:bCs/>
              </w:rPr>
              <w:t>4.23</w:t>
            </w:r>
            <w:r>
              <w:rPr>
                <w:b/>
                <w:bCs/>
              </w:rPr>
              <w:tab/>
            </w:r>
            <w:r w:rsidRPr="005B39F9">
              <w:rPr>
                <w:b/>
                <w:bCs/>
              </w:rPr>
              <w:t xml:space="preserve">that NI law aligns, on a voluntary basis, with the EU Accessibility Act where this enhances protections for people with disabilities and older people and aligns with international human rights standards. </w:t>
            </w:r>
          </w:p>
          <w:p w14:paraId="55AD8B3A" w14:textId="77777777" w:rsidR="005B39F9" w:rsidRDefault="005B39F9" w:rsidP="005B39F9"/>
        </w:tc>
      </w:tr>
    </w:tbl>
    <w:p w14:paraId="5890D793" w14:textId="77777777" w:rsidR="005B39F9" w:rsidRDefault="005B39F9" w:rsidP="005B39F9"/>
    <w:p w14:paraId="1A281B6B" w14:textId="77777777" w:rsidR="005B39F9" w:rsidRDefault="005B39F9" w:rsidP="005B39F9">
      <w:pPr>
        <w:pBdr>
          <w:top w:val="single" w:sz="4" w:space="1" w:color="auto"/>
          <w:left w:val="single" w:sz="4" w:space="1" w:color="auto"/>
          <w:bottom w:val="single" w:sz="4" w:space="1" w:color="auto"/>
          <w:right w:val="single" w:sz="4" w:space="1" w:color="auto"/>
        </w:pBdr>
        <w:spacing w:line="240" w:lineRule="auto"/>
        <w:rPr>
          <w:b/>
          <w:bCs/>
        </w:rPr>
      </w:pPr>
      <w:r>
        <w:rPr>
          <w:b/>
          <w:bCs/>
        </w:rPr>
        <w:br w:type="page"/>
      </w:r>
    </w:p>
    <w:p w14:paraId="303C0ECB" w14:textId="12A6C21F" w:rsidR="009222D4" w:rsidRDefault="00BA533F" w:rsidP="008143AF">
      <w:pPr>
        <w:pStyle w:val="Heading1"/>
        <w:ind w:left="360" w:hanging="360"/>
      </w:pPr>
      <w:bookmarkStart w:id="3" w:name="_Toc172560358"/>
      <w:bookmarkStart w:id="4" w:name="_Toc176503681"/>
      <w:r>
        <w:lastRenderedPageBreak/>
        <w:t>1.0</w:t>
      </w:r>
      <w:r>
        <w:tab/>
      </w:r>
      <w:r w:rsidR="00ED40E9" w:rsidRPr="00041050">
        <w:t>Introduction</w:t>
      </w:r>
      <w:bookmarkEnd w:id="1"/>
      <w:bookmarkEnd w:id="3"/>
      <w:bookmarkEnd w:id="4"/>
    </w:p>
    <w:p w14:paraId="484FAE9A" w14:textId="342B61FD" w:rsidR="0093383D" w:rsidRDefault="00693F63" w:rsidP="005B3BC6">
      <w:pPr>
        <w:pStyle w:val="ListParagraph"/>
        <w:numPr>
          <w:ilvl w:val="1"/>
          <w:numId w:val="1"/>
        </w:numPr>
      </w:pPr>
      <w:r w:rsidRPr="00693F63">
        <w:t xml:space="preserve">The Northern Ireland Human Rights Commission (the NIHRC), pursuant to section 69(1) of the Northern Ireland Act 1998, reviews the adequacy and effectiveness of law and practice relating to the protection of human rights in Northern Ireland (NI). The NIHRC is also </w:t>
      </w:r>
      <w:r w:rsidR="001D23D4">
        <w:t>required</w:t>
      </w:r>
      <w:r w:rsidRPr="00693F63">
        <w:t xml:space="preserve">, </w:t>
      </w:r>
      <w:r w:rsidR="001D23D4">
        <w:t>by</w:t>
      </w:r>
      <w:r w:rsidR="001D23D4" w:rsidRPr="00693F63">
        <w:t xml:space="preserve"> </w:t>
      </w:r>
      <w:r w:rsidRPr="00693F63">
        <w:t>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005C30ED">
        <w:rPr>
          <w:rStyle w:val="FootnoteReference"/>
        </w:rPr>
        <w:footnoteReference w:id="2"/>
      </w:r>
      <w:r w:rsidRPr="00693F63">
        <w:t xml:space="preserve"> In accordance with these </w:t>
      </w:r>
      <w:r w:rsidR="001D23D4">
        <w:t>statutory duties</w:t>
      </w:r>
      <w:r w:rsidR="001D23D4" w:rsidRPr="00693F63">
        <w:t xml:space="preserve"> </w:t>
      </w:r>
      <w:r w:rsidR="004F6D3A">
        <w:rPr>
          <w:rFonts w:cs="Segoe UI"/>
          <w:lang w:val="en" w:eastAsia="en-GB"/>
        </w:rPr>
        <w:t xml:space="preserve">the following advice is submitted to the </w:t>
      </w:r>
      <w:r w:rsidR="00550703">
        <w:rPr>
          <w:rFonts w:cs="Segoe UI"/>
          <w:lang w:val="en" w:eastAsia="en-GB"/>
        </w:rPr>
        <w:t xml:space="preserve">Executive Office </w:t>
      </w:r>
      <w:r w:rsidR="0075522C">
        <w:rPr>
          <w:rFonts w:cs="Segoe UI"/>
          <w:lang w:val="en" w:eastAsia="en-GB"/>
        </w:rPr>
        <w:t xml:space="preserve">Committee </w:t>
      </w:r>
      <w:r w:rsidR="00D34AF1">
        <w:rPr>
          <w:rFonts w:cs="Segoe UI"/>
          <w:lang w:val="en" w:eastAsia="en-GB"/>
        </w:rPr>
        <w:t>to</w:t>
      </w:r>
      <w:r w:rsidR="00D34AF1" w:rsidRPr="00D34AF1">
        <w:rPr>
          <w:rFonts w:cs="Segoe UI"/>
          <w:lang w:val="en" w:eastAsia="en-GB"/>
        </w:rPr>
        <w:t xml:space="preserve"> inform its </w:t>
      </w:r>
      <w:r w:rsidR="00D34AF1">
        <w:rPr>
          <w:rFonts w:cs="Segoe UI"/>
          <w:lang w:val="en" w:eastAsia="en-GB"/>
        </w:rPr>
        <w:t xml:space="preserve">legislative and </w:t>
      </w:r>
      <w:r w:rsidR="00D34AF1" w:rsidRPr="00D34AF1">
        <w:rPr>
          <w:rFonts w:cs="Segoe UI"/>
          <w:lang w:val="en" w:eastAsia="en-GB"/>
        </w:rPr>
        <w:t>policy development on</w:t>
      </w:r>
      <w:r w:rsidR="00D34AF1">
        <w:rPr>
          <w:rFonts w:cs="Segoe UI"/>
          <w:lang w:val="en" w:eastAsia="en-GB"/>
        </w:rPr>
        <w:t xml:space="preserve"> equality </w:t>
      </w:r>
      <w:r w:rsidR="001F586B">
        <w:rPr>
          <w:rFonts w:cs="Segoe UI"/>
          <w:lang w:val="en" w:eastAsia="en-GB"/>
        </w:rPr>
        <w:t xml:space="preserve">in NI. </w:t>
      </w:r>
    </w:p>
    <w:p w14:paraId="42B35CC6" w14:textId="77777777" w:rsidR="00693F63" w:rsidRPr="00693F63" w:rsidRDefault="00693F63" w:rsidP="00693F63">
      <w:pPr>
        <w:pStyle w:val="ListParagraph"/>
      </w:pPr>
    </w:p>
    <w:p w14:paraId="61222577" w14:textId="6C44985B" w:rsidR="00693F63" w:rsidRDefault="00DA159C" w:rsidP="005B3BC6">
      <w:pPr>
        <w:pStyle w:val="ListParagraph"/>
        <w:numPr>
          <w:ilvl w:val="1"/>
          <w:numId w:val="1"/>
        </w:numPr>
      </w:pPr>
      <w:r w:rsidRPr="00DA159C">
        <w:t>The NIHRC bases its advice on the full range of internationally accepted human rights standards, including the European Convention on Human Rights (ECHR), as incorporated by the Human Rights Act 1998, and the United Nations (UN) system and treaty obligations of the Council of Europe (</w:t>
      </w:r>
      <w:proofErr w:type="spellStart"/>
      <w:r w:rsidRPr="00DA159C">
        <w:t>CoE</w:t>
      </w:r>
      <w:proofErr w:type="spellEnd"/>
      <w:r w:rsidRPr="00DA159C">
        <w:t>) and United Nations (UN). The relevant regional and international treaties in this context include:</w:t>
      </w:r>
    </w:p>
    <w:p w14:paraId="19BF1336" w14:textId="77777777" w:rsidR="00164B5B" w:rsidRPr="00164B5B" w:rsidRDefault="00164B5B" w:rsidP="00164B5B">
      <w:pPr>
        <w:pStyle w:val="ListParagraph"/>
      </w:pPr>
    </w:p>
    <w:p w14:paraId="6323FF93" w14:textId="70BFB890" w:rsidR="009D1921" w:rsidRDefault="009D1921" w:rsidP="005B3BC6">
      <w:pPr>
        <w:pStyle w:val="ListParagraph"/>
        <w:numPr>
          <w:ilvl w:val="0"/>
          <w:numId w:val="2"/>
        </w:numPr>
      </w:pPr>
      <w:r w:rsidRPr="004771AF">
        <w:t xml:space="preserve">European Convention on Human Rights </w:t>
      </w:r>
      <w:r w:rsidR="00A74292">
        <w:t xml:space="preserve">1950 </w:t>
      </w:r>
      <w:r w:rsidRPr="004771AF">
        <w:t>(ECHR);</w:t>
      </w:r>
      <w:r w:rsidRPr="004771AF">
        <w:rPr>
          <w:rStyle w:val="FootnoteReference"/>
        </w:rPr>
        <w:footnoteReference w:id="3"/>
      </w:r>
    </w:p>
    <w:p w14:paraId="37B19A48" w14:textId="77777777" w:rsidR="001E4A4A" w:rsidRPr="004771AF" w:rsidRDefault="001E4A4A" w:rsidP="005B3BC6">
      <w:pPr>
        <w:pStyle w:val="ListParagraph"/>
        <w:numPr>
          <w:ilvl w:val="0"/>
          <w:numId w:val="2"/>
        </w:numPr>
      </w:pPr>
      <w:r>
        <w:t>UN Convention on the Elimination of Racial Discrimination 1965 (UN CERD);</w:t>
      </w:r>
      <w:r>
        <w:rPr>
          <w:rStyle w:val="FootnoteReference"/>
        </w:rPr>
        <w:footnoteReference w:id="4"/>
      </w:r>
    </w:p>
    <w:p w14:paraId="17361231" w14:textId="77777777" w:rsidR="001E4A4A" w:rsidRDefault="001E4A4A" w:rsidP="005B3BC6">
      <w:pPr>
        <w:pStyle w:val="ListParagraph"/>
        <w:numPr>
          <w:ilvl w:val="0"/>
          <w:numId w:val="2"/>
        </w:numPr>
      </w:pPr>
      <w:r>
        <w:t>UN International Covenant on Civil and Political Rights 1966 (UN ICCPR);</w:t>
      </w:r>
      <w:r>
        <w:rPr>
          <w:rStyle w:val="FootnoteReference"/>
        </w:rPr>
        <w:footnoteReference w:id="5"/>
      </w:r>
    </w:p>
    <w:p w14:paraId="0AA9B8DF" w14:textId="77777777" w:rsidR="001D31D8" w:rsidRPr="004771AF" w:rsidRDefault="001D31D8" w:rsidP="005B3BC6">
      <w:pPr>
        <w:pStyle w:val="ListParagraph"/>
        <w:numPr>
          <w:ilvl w:val="0"/>
          <w:numId w:val="2"/>
        </w:numPr>
      </w:pPr>
      <w:r w:rsidRPr="004771AF">
        <w:t xml:space="preserve">UN Convention on Elimination of Discrimination against Women </w:t>
      </w:r>
      <w:r>
        <w:t xml:space="preserve">1981 </w:t>
      </w:r>
      <w:r w:rsidRPr="004771AF">
        <w:t>(UN CEDAW);</w:t>
      </w:r>
      <w:r w:rsidRPr="004771AF">
        <w:rPr>
          <w:rStyle w:val="FootnoteReference"/>
        </w:rPr>
        <w:footnoteReference w:id="6"/>
      </w:r>
    </w:p>
    <w:p w14:paraId="48793F0E" w14:textId="77777777" w:rsidR="001D31D8" w:rsidRDefault="001D31D8" w:rsidP="005B3BC6">
      <w:pPr>
        <w:pStyle w:val="ListParagraph"/>
        <w:numPr>
          <w:ilvl w:val="0"/>
          <w:numId w:val="2"/>
        </w:numPr>
      </w:pPr>
      <w:r w:rsidRPr="004771AF">
        <w:t xml:space="preserve">UN Convention on the Rights of the Child </w:t>
      </w:r>
      <w:r>
        <w:t xml:space="preserve">1989 </w:t>
      </w:r>
      <w:r w:rsidRPr="004771AF">
        <w:t>(UN CRC);</w:t>
      </w:r>
      <w:r w:rsidRPr="004771AF">
        <w:rPr>
          <w:rStyle w:val="FootnoteReference"/>
        </w:rPr>
        <w:footnoteReference w:id="7"/>
      </w:r>
    </w:p>
    <w:p w14:paraId="68D94CE1" w14:textId="56EDC934" w:rsidR="0038387A" w:rsidRPr="0038387A" w:rsidRDefault="0038387A" w:rsidP="005B3BC6">
      <w:pPr>
        <w:pStyle w:val="ListParagraph"/>
        <w:numPr>
          <w:ilvl w:val="0"/>
          <w:numId w:val="2"/>
        </w:numPr>
      </w:pPr>
      <w:r w:rsidRPr="0038387A">
        <w:t>UN Convention on the Rights of Persons with Disabilities 2006 (UN CRPD)</w:t>
      </w:r>
      <w:r w:rsidR="007A714B">
        <w:t>.</w:t>
      </w:r>
      <w:r w:rsidRPr="0038387A">
        <w:rPr>
          <w:vertAlign w:val="superscript"/>
        </w:rPr>
        <w:footnoteReference w:id="8"/>
      </w:r>
      <w:r w:rsidRPr="0038387A">
        <w:t xml:space="preserve"> </w:t>
      </w:r>
    </w:p>
    <w:p w14:paraId="23BCD6DC" w14:textId="77777777" w:rsidR="00917F39" w:rsidRPr="00917F39" w:rsidRDefault="00917F39" w:rsidP="00917F39">
      <w:pPr>
        <w:pStyle w:val="ListParagraph"/>
      </w:pPr>
    </w:p>
    <w:p w14:paraId="6A37D74E" w14:textId="5322D304" w:rsidR="00683FB4" w:rsidRDefault="00917F39" w:rsidP="009B49E9">
      <w:pPr>
        <w:pStyle w:val="ListParagraph"/>
        <w:numPr>
          <w:ilvl w:val="1"/>
          <w:numId w:val="1"/>
        </w:numPr>
      </w:pPr>
      <w:r w:rsidRPr="00917F39">
        <w:t>In addition to these treaty standards, the following declarations and principles provide further guidance in respect of specific areas:</w:t>
      </w:r>
    </w:p>
    <w:p w14:paraId="571761D2" w14:textId="77777777" w:rsidR="009B49E9" w:rsidRPr="009B49E9" w:rsidRDefault="009B49E9" w:rsidP="009B49E9">
      <w:pPr>
        <w:pStyle w:val="ListParagraph"/>
        <w:ind w:left="720"/>
      </w:pPr>
    </w:p>
    <w:p w14:paraId="1A5A1514" w14:textId="604327BD" w:rsidR="778B6BC4" w:rsidRDefault="778B6BC4" w:rsidP="2D61A484">
      <w:pPr>
        <w:pStyle w:val="FootnoteText"/>
        <w:numPr>
          <w:ilvl w:val="0"/>
          <w:numId w:val="3"/>
        </w:numPr>
      </w:pPr>
      <w:r w:rsidRPr="2D61A484">
        <w:t>UN ‘Beijing Declaration and Platform of Action’</w:t>
      </w:r>
      <w:r w:rsidRPr="00180820">
        <w:rPr>
          <w:vertAlign w:val="superscript"/>
        </w:rPr>
        <w:footnoteReference w:id="9"/>
      </w:r>
      <w:r w:rsidRPr="00180820">
        <w:rPr>
          <w:vertAlign w:val="superscript"/>
        </w:rPr>
        <w:t xml:space="preserve"> </w:t>
      </w:r>
    </w:p>
    <w:p w14:paraId="6B6273C8" w14:textId="60FBAD32" w:rsidR="3158958A" w:rsidRDefault="3158958A" w:rsidP="2D61A484">
      <w:pPr>
        <w:pStyle w:val="FootnoteText"/>
        <w:numPr>
          <w:ilvl w:val="0"/>
          <w:numId w:val="3"/>
        </w:numPr>
      </w:pPr>
      <w:r w:rsidRPr="2D61A484">
        <w:t>UN ‘Durban Declaration and Programme of Action’</w:t>
      </w:r>
      <w:r w:rsidRPr="00180820">
        <w:rPr>
          <w:vertAlign w:val="superscript"/>
        </w:rPr>
        <w:footnoteReference w:id="10"/>
      </w:r>
    </w:p>
    <w:p w14:paraId="5A079F99" w14:textId="77777777" w:rsidR="00A3265D" w:rsidRPr="00DD25CB" w:rsidRDefault="00A3265D" w:rsidP="00A3265D">
      <w:pPr>
        <w:pStyle w:val="FootnoteText"/>
        <w:ind w:left="1440"/>
      </w:pPr>
    </w:p>
    <w:p w14:paraId="3F723722" w14:textId="563DB2D1" w:rsidR="00550E59" w:rsidRDefault="00DD25CB" w:rsidP="00550E59">
      <w:pPr>
        <w:pStyle w:val="ListParagraph"/>
        <w:numPr>
          <w:ilvl w:val="1"/>
          <w:numId w:val="1"/>
        </w:numPr>
      </w:pPr>
      <w:r>
        <w:t xml:space="preserve">The NIHRC advises on </w:t>
      </w:r>
      <w:r w:rsidR="001D23D4">
        <w:t xml:space="preserve">the </w:t>
      </w:r>
      <w:r>
        <w:t>UK Government’s commitment</w:t>
      </w:r>
      <w:r w:rsidR="001D23D4">
        <w:t>,</w:t>
      </w:r>
      <w:r>
        <w:t xml:space="preserve"> in Windsor Framework Article 2(1)</w:t>
      </w:r>
      <w:r w:rsidR="001D23D4">
        <w:t>,</w:t>
      </w:r>
      <w:r>
        <w:t xml:space="preserve"> to ensure there is no diminution of rights, safeguards and equality of opportunity in the relevant section of the Belfast (Good Friday) Agreement as a result of the UK’s withdrawal from the EU. This is given effect in UK law by section 7A of the EU (Withdrawal) Act 2018. In addition, </w:t>
      </w:r>
      <w:r w:rsidR="00D61ACF">
        <w:t>s</w:t>
      </w:r>
      <w:r>
        <w:t>ection 6 of the Northern Ireland Act 1998 provides that the NI Assembly is prohibited from making any law which is incompatible with Windsor Framework Article 2. Section 24 of the 1998 Act also provides that all acts of the Department</w:t>
      </w:r>
      <w:r w:rsidR="000D3219">
        <w:t>s</w:t>
      </w:r>
      <w:r>
        <w:t xml:space="preserve"> should be compatible with Windsor Framework Article 2. </w:t>
      </w:r>
      <w:r w:rsidR="00A31CCE">
        <w:t xml:space="preserve">The relevant EU law </w:t>
      </w:r>
      <w:r w:rsidR="0092752E">
        <w:t>in</w:t>
      </w:r>
      <w:r w:rsidR="00F8712D">
        <w:t xml:space="preserve"> this</w:t>
      </w:r>
      <w:r w:rsidR="0092752E">
        <w:t xml:space="preserve"> context </w:t>
      </w:r>
      <w:r w:rsidR="00A31CCE">
        <w:t>is</w:t>
      </w:r>
      <w:r w:rsidR="0092752E">
        <w:t>:</w:t>
      </w:r>
    </w:p>
    <w:p w14:paraId="37266E69" w14:textId="77777777" w:rsidR="00550E59" w:rsidRDefault="00550E59" w:rsidP="00550E59">
      <w:pPr>
        <w:pStyle w:val="ListParagraph"/>
        <w:ind w:left="720"/>
      </w:pPr>
    </w:p>
    <w:p w14:paraId="6B08E2B9" w14:textId="44240A1F" w:rsidR="00550E59" w:rsidRPr="0044490B" w:rsidRDefault="00550E59" w:rsidP="00550E59">
      <w:pPr>
        <w:pStyle w:val="ListParagraph"/>
        <w:numPr>
          <w:ilvl w:val="0"/>
          <w:numId w:val="14"/>
        </w:numPr>
      </w:pPr>
      <w:r w:rsidRPr="2D61A484">
        <w:t>EU Racial Equality Directive</w:t>
      </w:r>
      <w:r w:rsidR="000C711A" w:rsidRPr="2D61A484">
        <w:t>;</w:t>
      </w:r>
      <w:r w:rsidRPr="2D61A484">
        <w:rPr>
          <w:rStyle w:val="FootnoteReference"/>
        </w:rPr>
        <w:footnoteReference w:id="11"/>
      </w:r>
      <w:r w:rsidRPr="2D61A484">
        <w:t xml:space="preserve"> </w:t>
      </w:r>
    </w:p>
    <w:p w14:paraId="4EEEB43D" w14:textId="4CD75948" w:rsidR="00550E59" w:rsidRPr="0044490B" w:rsidRDefault="00550E59" w:rsidP="00550E59">
      <w:pPr>
        <w:pStyle w:val="ListParagraph"/>
        <w:numPr>
          <w:ilvl w:val="0"/>
          <w:numId w:val="14"/>
        </w:numPr>
      </w:pPr>
      <w:r w:rsidRPr="2D61A484">
        <w:t>EU Employment Equality (Framework) Directive</w:t>
      </w:r>
      <w:r w:rsidR="000C711A" w:rsidRPr="2D61A484">
        <w:t>;</w:t>
      </w:r>
      <w:r w:rsidRPr="2D61A484">
        <w:rPr>
          <w:rStyle w:val="FootnoteReference"/>
        </w:rPr>
        <w:footnoteReference w:id="12"/>
      </w:r>
      <w:r w:rsidRPr="2D61A484">
        <w:t xml:space="preserve"> </w:t>
      </w:r>
    </w:p>
    <w:p w14:paraId="36856AB1" w14:textId="5D2DD9E2" w:rsidR="00550E59" w:rsidRPr="0044490B" w:rsidRDefault="00550E59" w:rsidP="00550E59">
      <w:pPr>
        <w:pStyle w:val="ListParagraph"/>
        <w:numPr>
          <w:ilvl w:val="0"/>
          <w:numId w:val="14"/>
        </w:numPr>
      </w:pPr>
      <w:r w:rsidRPr="2D61A484">
        <w:t>EU Gender Goods and Services Directive</w:t>
      </w:r>
      <w:r w:rsidR="000C711A" w:rsidRPr="2D61A484">
        <w:t>;</w:t>
      </w:r>
      <w:r w:rsidRPr="2D61A484">
        <w:rPr>
          <w:rStyle w:val="FootnoteReference"/>
        </w:rPr>
        <w:footnoteReference w:id="13"/>
      </w:r>
      <w:r w:rsidRPr="2D61A484">
        <w:t xml:space="preserve"> </w:t>
      </w:r>
    </w:p>
    <w:p w14:paraId="375ADCAC" w14:textId="304F2FDD" w:rsidR="00550E59" w:rsidRPr="0044490B" w:rsidRDefault="00550E59" w:rsidP="00550E59">
      <w:pPr>
        <w:pStyle w:val="ListParagraph"/>
        <w:numPr>
          <w:ilvl w:val="0"/>
          <w:numId w:val="14"/>
        </w:numPr>
      </w:pPr>
      <w:r w:rsidRPr="2D61A484">
        <w:t>EU Gender Equality (Employment) Directive</w:t>
      </w:r>
      <w:r w:rsidR="000C711A" w:rsidRPr="2D61A484">
        <w:t>;</w:t>
      </w:r>
      <w:r w:rsidRPr="2D61A484">
        <w:rPr>
          <w:rStyle w:val="FootnoteReference"/>
        </w:rPr>
        <w:footnoteReference w:id="14"/>
      </w:r>
      <w:r w:rsidRPr="2D61A484">
        <w:t xml:space="preserve"> </w:t>
      </w:r>
    </w:p>
    <w:p w14:paraId="33D07A31" w14:textId="1F9BC798" w:rsidR="00550E59" w:rsidRPr="0048152E" w:rsidRDefault="00550E59" w:rsidP="00550E59">
      <w:pPr>
        <w:pStyle w:val="ListParagraph"/>
        <w:numPr>
          <w:ilvl w:val="0"/>
          <w:numId w:val="14"/>
        </w:numPr>
      </w:pPr>
      <w:r w:rsidRPr="2D61A484">
        <w:t>EU Gender Equality (Self-Employment) Directive</w:t>
      </w:r>
      <w:r w:rsidR="000C711A" w:rsidRPr="2D61A484">
        <w:t>;</w:t>
      </w:r>
      <w:r w:rsidRPr="2D61A484">
        <w:rPr>
          <w:rStyle w:val="FootnoteReference"/>
        </w:rPr>
        <w:footnoteReference w:id="15"/>
      </w:r>
    </w:p>
    <w:p w14:paraId="5D1789A8" w14:textId="1C4EFD04" w:rsidR="00550E59" w:rsidRDefault="001904D5" w:rsidP="00550E59">
      <w:pPr>
        <w:pStyle w:val="ListParagraph"/>
        <w:numPr>
          <w:ilvl w:val="0"/>
          <w:numId w:val="14"/>
        </w:numPr>
        <w:rPr>
          <w:rFonts w:cstheme="minorHAnsi"/>
        </w:rPr>
      </w:pPr>
      <w:r>
        <w:t xml:space="preserve">EU </w:t>
      </w:r>
      <w:r w:rsidR="00550E59" w:rsidRPr="2D61A484">
        <w:t>Gender Equality in Social Security Directive</w:t>
      </w:r>
      <w:r w:rsidR="000C711A" w:rsidRPr="2D61A484">
        <w:t>;</w:t>
      </w:r>
      <w:r w:rsidR="00550E59" w:rsidRPr="2D61A484">
        <w:rPr>
          <w:rStyle w:val="FootnoteReference"/>
        </w:rPr>
        <w:footnoteReference w:id="16"/>
      </w:r>
    </w:p>
    <w:p w14:paraId="3AB9ACB3" w14:textId="429254A8" w:rsidR="004C279B" w:rsidRDefault="004C279B" w:rsidP="00550E59">
      <w:pPr>
        <w:pStyle w:val="ListParagraph"/>
        <w:numPr>
          <w:ilvl w:val="0"/>
          <w:numId w:val="14"/>
        </w:numPr>
        <w:rPr>
          <w:rFonts w:cstheme="minorHAnsi"/>
        </w:rPr>
      </w:pPr>
      <w:r w:rsidRPr="2D61A484">
        <w:t xml:space="preserve">EU Directive on </w:t>
      </w:r>
      <w:r w:rsidR="0025623E">
        <w:t>Combating Violence</w:t>
      </w:r>
      <w:r w:rsidRPr="2D61A484">
        <w:t xml:space="preserve"> against </w:t>
      </w:r>
      <w:r w:rsidR="0025623E">
        <w:t>Women</w:t>
      </w:r>
      <w:r w:rsidRPr="2D61A484">
        <w:t xml:space="preserve"> and </w:t>
      </w:r>
      <w:r w:rsidR="0025623E">
        <w:t>Domestic Violence</w:t>
      </w:r>
      <w:r w:rsidRPr="2D61A484">
        <w:t>;</w:t>
      </w:r>
      <w:r w:rsidRPr="2D61A484">
        <w:rPr>
          <w:rStyle w:val="FootnoteReference"/>
        </w:rPr>
        <w:footnoteReference w:id="17"/>
      </w:r>
    </w:p>
    <w:p w14:paraId="47A103EC" w14:textId="18E6D72B" w:rsidR="00AD0B19" w:rsidRPr="00D470A7" w:rsidRDefault="00AD0B19" w:rsidP="00550E59">
      <w:pPr>
        <w:pStyle w:val="ListParagraph"/>
        <w:numPr>
          <w:ilvl w:val="0"/>
          <w:numId w:val="14"/>
        </w:numPr>
        <w:rPr>
          <w:rFonts w:cstheme="minorHAnsi"/>
        </w:rPr>
      </w:pPr>
      <w:r w:rsidRPr="003A36F8">
        <w:rPr>
          <w:rFonts w:eastAsia="Times New Roman"/>
        </w:rPr>
        <w:lastRenderedPageBreak/>
        <w:t>EU Pay Transparency Directive</w:t>
      </w:r>
      <w:r w:rsidR="000C711A">
        <w:rPr>
          <w:rFonts w:eastAsia="Times New Roman"/>
        </w:rPr>
        <w:t>;</w:t>
      </w:r>
      <w:r w:rsidRPr="00616C66">
        <w:rPr>
          <w:vertAlign w:val="superscript"/>
        </w:rPr>
        <w:footnoteReference w:id="18"/>
      </w:r>
      <w:r w:rsidRPr="003A36F8">
        <w:rPr>
          <w:rFonts w:eastAsia="Times New Roman"/>
        </w:rPr>
        <w:t xml:space="preserve"> </w:t>
      </w:r>
    </w:p>
    <w:p w14:paraId="2AFADDC2" w14:textId="6AD944F7" w:rsidR="00D470A7" w:rsidRPr="00D470A7" w:rsidRDefault="00D470A7" w:rsidP="00550E59">
      <w:pPr>
        <w:pStyle w:val="ListParagraph"/>
        <w:numPr>
          <w:ilvl w:val="0"/>
          <w:numId w:val="14"/>
        </w:numPr>
        <w:rPr>
          <w:rFonts w:cstheme="minorHAnsi"/>
        </w:rPr>
      </w:pPr>
      <w:r w:rsidRPr="00FF4DA7">
        <w:t>EU Parental Leave Directive</w:t>
      </w:r>
      <w:r w:rsidR="000C711A">
        <w:t>;</w:t>
      </w:r>
      <w:r w:rsidRPr="00FF4DA7">
        <w:rPr>
          <w:vertAlign w:val="superscript"/>
        </w:rPr>
        <w:footnoteReference w:id="19"/>
      </w:r>
    </w:p>
    <w:p w14:paraId="18C5A443" w14:textId="09F114B0" w:rsidR="00D470A7" w:rsidRPr="00C23D4C" w:rsidRDefault="00D470A7" w:rsidP="00550E59">
      <w:pPr>
        <w:pStyle w:val="ListParagraph"/>
        <w:numPr>
          <w:ilvl w:val="0"/>
          <w:numId w:val="14"/>
        </w:numPr>
        <w:rPr>
          <w:rFonts w:cstheme="minorHAnsi"/>
        </w:rPr>
      </w:pPr>
      <w:r w:rsidRPr="00FF4DA7">
        <w:t>EU Pregnant Worker’s Directive</w:t>
      </w:r>
      <w:r w:rsidR="000C711A">
        <w:t>;</w:t>
      </w:r>
      <w:r w:rsidRPr="00FF4DA7">
        <w:rPr>
          <w:vertAlign w:val="superscript"/>
        </w:rPr>
        <w:footnoteReference w:id="20"/>
      </w:r>
      <w:r w:rsidR="000C711A">
        <w:t xml:space="preserve"> and</w:t>
      </w:r>
    </w:p>
    <w:p w14:paraId="2F5D03FB" w14:textId="14912A5F" w:rsidR="004C279B" w:rsidRPr="004C279B" w:rsidRDefault="00C321B5" w:rsidP="004C279B">
      <w:pPr>
        <w:pStyle w:val="ListParagraph"/>
        <w:numPr>
          <w:ilvl w:val="0"/>
          <w:numId w:val="14"/>
        </w:numPr>
        <w:rPr>
          <w:rFonts w:cstheme="minorHAnsi"/>
        </w:rPr>
      </w:pPr>
      <w:r w:rsidRPr="2D61A484">
        <w:t>two EU</w:t>
      </w:r>
      <w:r w:rsidR="001904D5">
        <w:t xml:space="preserve"> Directives on</w:t>
      </w:r>
      <w:r w:rsidRPr="2D61A484">
        <w:t xml:space="preserve"> Binding Standards </w:t>
      </w:r>
      <w:r w:rsidR="001904D5">
        <w:t xml:space="preserve">for </w:t>
      </w:r>
      <w:r w:rsidRPr="2D61A484">
        <w:t xml:space="preserve">Equality </w:t>
      </w:r>
      <w:r w:rsidR="001904D5">
        <w:t>B</w:t>
      </w:r>
      <w:r w:rsidRPr="2D61A484">
        <w:t>odies</w:t>
      </w:r>
      <w:r w:rsidR="000C711A" w:rsidRPr="2D61A484">
        <w:t>.</w:t>
      </w:r>
      <w:r w:rsidRPr="2D61A484">
        <w:rPr>
          <w:rStyle w:val="FootnoteReference"/>
        </w:rPr>
        <w:footnoteReference w:id="21"/>
      </w:r>
      <w:r w:rsidRPr="2D61A484">
        <w:t xml:space="preserve"> </w:t>
      </w:r>
    </w:p>
    <w:p w14:paraId="237C320D" w14:textId="77777777" w:rsidR="00550E59" w:rsidRDefault="00550E59" w:rsidP="00550E59"/>
    <w:p w14:paraId="4AFF482B" w14:textId="0B3016EE" w:rsidR="00786F82" w:rsidRPr="00786F82" w:rsidRDefault="00B24416" w:rsidP="005B3BC6">
      <w:pPr>
        <w:pStyle w:val="ListParagraph"/>
        <w:numPr>
          <w:ilvl w:val="1"/>
          <w:numId w:val="1"/>
        </w:numPr>
        <w:spacing w:line="276" w:lineRule="auto"/>
        <w:rPr>
          <w:lang w:val="en"/>
        </w:rPr>
      </w:pPr>
      <w:r>
        <w:t xml:space="preserve">This response addresses the questions posed in the survey and focuses </w:t>
      </w:r>
      <w:r w:rsidR="003B697A" w:rsidRPr="003B697A">
        <w:t>on relevant recommendations from international human rights monitoring bodies</w:t>
      </w:r>
      <w:r w:rsidR="00E27773">
        <w:t>.</w:t>
      </w:r>
      <w:r w:rsidR="00831FF0">
        <w:t xml:space="preserve"> </w:t>
      </w:r>
      <w:r>
        <w:t xml:space="preserve">We also cover </w:t>
      </w:r>
      <w:r w:rsidR="000B7D82">
        <w:t>recommendation</w:t>
      </w:r>
      <w:r w:rsidR="006279F2">
        <w:t xml:space="preserve"> obligations </w:t>
      </w:r>
      <w:r w:rsidR="00E60758">
        <w:t xml:space="preserve">stemming from </w:t>
      </w:r>
      <w:r w:rsidR="003B697A" w:rsidRPr="003B697A">
        <w:t>Windsor Framework Article 2</w:t>
      </w:r>
      <w:r>
        <w:t xml:space="preserve"> and our relevant recommendations.</w:t>
      </w:r>
      <w:r w:rsidR="003B697A" w:rsidRPr="003B697A">
        <w:t xml:space="preserve"> </w:t>
      </w:r>
      <w:r w:rsidR="00831FF0">
        <w:t xml:space="preserve">Lastly, </w:t>
      </w:r>
      <w:r>
        <w:t xml:space="preserve">we outline our analysis of </w:t>
      </w:r>
      <w:r w:rsidR="00831FF0">
        <w:t xml:space="preserve">the </w:t>
      </w:r>
      <w:r w:rsidR="003B697A" w:rsidRPr="003B697A">
        <w:t>divergence of rights on the island of Ireland following UK withdrawal from the EU.</w:t>
      </w:r>
    </w:p>
    <w:p w14:paraId="26DEA202" w14:textId="3E80685F" w:rsidR="00424644" w:rsidRPr="00424644" w:rsidRDefault="00424644" w:rsidP="00786F82">
      <w:pPr>
        <w:pStyle w:val="ListParagraph"/>
        <w:spacing w:line="276" w:lineRule="auto"/>
      </w:pPr>
    </w:p>
    <w:p w14:paraId="6B849134" w14:textId="52ED5086" w:rsidR="008B7F6D" w:rsidRDefault="005304CB" w:rsidP="005B3BC6">
      <w:pPr>
        <w:pStyle w:val="Heading1"/>
        <w:numPr>
          <w:ilvl w:val="0"/>
          <w:numId w:val="5"/>
        </w:numPr>
        <w:spacing w:before="0" w:line="276" w:lineRule="auto"/>
      </w:pPr>
      <w:bookmarkStart w:id="5" w:name="_Toc172560359"/>
      <w:bookmarkStart w:id="6" w:name="_Toc176503682"/>
      <w:r>
        <w:t>Human Rights Framewor</w:t>
      </w:r>
      <w:r w:rsidR="008B7F6D">
        <w:t>k</w:t>
      </w:r>
      <w:r w:rsidR="00C869AA">
        <w:t>: Relevant recommendations</w:t>
      </w:r>
      <w:bookmarkEnd w:id="5"/>
      <w:bookmarkEnd w:id="6"/>
    </w:p>
    <w:p w14:paraId="2C971ADF" w14:textId="77777777" w:rsidR="009A7EF7" w:rsidRPr="009A7EF7" w:rsidRDefault="009A7EF7" w:rsidP="009A7EF7"/>
    <w:p w14:paraId="7B46D89A" w14:textId="51D4D314" w:rsidR="009A7EF7" w:rsidRDefault="009A7EF7" w:rsidP="005B3BC6">
      <w:pPr>
        <w:pStyle w:val="ListParagraph"/>
        <w:numPr>
          <w:ilvl w:val="1"/>
          <w:numId w:val="5"/>
        </w:numPr>
        <w:rPr>
          <w:color w:val="000000"/>
        </w:rPr>
      </w:pPr>
      <w:r w:rsidRPr="206F246B">
        <w:rPr>
          <w:color w:val="000000" w:themeColor="text1"/>
        </w:rPr>
        <w:t xml:space="preserve">In NI, </w:t>
      </w:r>
      <w:r w:rsidR="00B24416" w:rsidRPr="206F246B">
        <w:rPr>
          <w:color w:val="000000" w:themeColor="text1"/>
        </w:rPr>
        <w:t xml:space="preserve">the prohibition of </w:t>
      </w:r>
      <w:r w:rsidRPr="206F246B">
        <w:rPr>
          <w:color w:val="000000" w:themeColor="text1"/>
        </w:rPr>
        <w:t xml:space="preserve">discrimination is </w:t>
      </w:r>
      <w:r w:rsidR="00B24416" w:rsidRPr="206F246B">
        <w:rPr>
          <w:color w:val="000000" w:themeColor="text1"/>
        </w:rPr>
        <w:t xml:space="preserve">contained in a number of instruments, </w:t>
      </w:r>
      <w:r w:rsidRPr="206F246B">
        <w:rPr>
          <w:color w:val="000000" w:themeColor="text1"/>
        </w:rPr>
        <w:t xml:space="preserve">resulting in a complex </w:t>
      </w:r>
      <w:r w:rsidR="00B24416" w:rsidRPr="206F246B">
        <w:rPr>
          <w:color w:val="000000" w:themeColor="text1"/>
        </w:rPr>
        <w:t xml:space="preserve">and inaccessible </w:t>
      </w:r>
      <w:r w:rsidRPr="206F246B">
        <w:rPr>
          <w:color w:val="000000" w:themeColor="text1"/>
        </w:rPr>
        <w:t xml:space="preserve">framework. </w:t>
      </w:r>
      <w:r w:rsidR="7A3122EB" w:rsidRPr="206F246B">
        <w:rPr>
          <w:color w:val="000000" w:themeColor="text1"/>
        </w:rPr>
        <w:t>Unlike Great</w:t>
      </w:r>
      <w:r w:rsidR="00B24416" w:rsidRPr="206F246B">
        <w:rPr>
          <w:color w:val="000000" w:themeColor="text1"/>
        </w:rPr>
        <w:t xml:space="preserve"> Britian, </w:t>
      </w:r>
      <w:r w:rsidRPr="206F246B">
        <w:rPr>
          <w:color w:val="000000" w:themeColor="text1"/>
        </w:rPr>
        <w:t xml:space="preserve">there is no single legislative instrument to consolidate, clarify and enhance equality protections in NI. </w:t>
      </w:r>
    </w:p>
    <w:p w14:paraId="12D2D8D4" w14:textId="77777777" w:rsidR="009A7EF7" w:rsidRDefault="009A7EF7" w:rsidP="009A7EF7">
      <w:pPr>
        <w:pStyle w:val="ListParagraph"/>
        <w:ind w:left="720"/>
        <w:rPr>
          <w:color w:val="000000"/>
        </w:rPr>
      </w:pPr>
    </w:p>
    <w:p w14:paraId="2032F6B7" w14:textId="66469BCF" w:rsidR="009A7EF7" w:rsidRDefault="00FA77D4" w:rsidP="005B3BC6">
      <w:pPr>
        <w:pStyle w:val="ListParagraph"/>
        <w:numPr>
          <w:ilvl w:val="1"/>
          <w:numId w:val="5"/>
        </w:numPr>
        <w:rPr>
          <w:color w:val="000000"/>
        </w:rPr>
      </w:pPr>
      <w:r w:rsidRPr="009A7EF7">
        <w:rPr>
          <w:color w:val="000000"/>
        </w:rPr>
        <w:t xml:space="preserve">International and regional human rights bodies have </w:t>
      </w:r>
      <w:r w:rsidR="6A0CE974" w:rsidRPr="009A7EF7">
        <w:rPr>
          <w:color w:val="000000"/>
        </w:rPr>
        <w:t>repeatedly</w:t>
      </w:r>
      <w:r w:rsidRPr="009A7EF7">
        <w:rPr>
          <w:color w:val="000000"/>
        </w:rPr>
        <w:t xml:space="preserve"> called for </w:t>
      </w:r>
      <w:r w:rsidR="00B24416">
        <w:rPr>
          <w:color w:val="000000"/>
        </w:rPr>
        <w:t>amendment of</w:t>
      </w:r>
      <w:r w:rsidRPr="009A7EF7">
        <w:rPr>
          <w:color w:val="000000"/>
        </w:rPr>
        <w:t xml:space="preserve"> equality laws in NI</w:t>
      </w:r>
      <w:r w:rsidR="00B24416">
        <w:rPr>
          <w:color w:val="000000"/>
        </w:rPr>
        <w:t xml:space="preserve">, in </w:t>
      </w:r>
      <w:r w:rsidR="00B24416" w:rsidRPr="206F246B">
        <w:rPr>
          <w:color w:val="000000" w:themeColor="text1"/>
        </w:rPr>
        <w:t>particular</w:t>
      </w:r>
      <w:r w:rsidR="73151FD8">
        <w:rPr>
          <w:color w:val="000000"/>
        </w:rPr>
        <w:t xml:space="preserve">, </w:t>
      </w:r>
      <w:r w:rsidR="00B24416" w:rsidRPr="206F246B">
        <w:rPr>
          <w:color w:val="000000" w:themeColor="text1"/>
        </w:rPr>
        <w:t>b</w:t>
      </w:r>
      <w:r w:rsidR="00B24416">
        <w:rPr>
          <w:color w:val="000000"/>
        </w:rPr>
        <w:t xml:space="preserve">y the introduction of </w:t>
      </w:r>
      <w:r w:rsidRPr="009A7EF7">
        <w:rPr>
          <w:color w:val="000000"/>
        </w:rPr>
        <w:t>a consolidated equality law instrument</w:t>
      </w:r>
      <w:r w:rsidR="00B24416">
        <w:rPr>
          <w:color w:val="000000"/>
        </w:rPr>
        <w:t>.</w:t>
      </w:r>
      <w:r w:rsidRPr="009A7EF7">
        <w:rPr>
          <w:color w:val="000000"/>
        </w:rPr>
        <w:t xml:space="preserve"> In 2016, the UN ICESCR Committee stated its regret that no action had been taken on its earlier recommendation to extend “comprehensive anti-discrimination legislation” to NI.</w:t>
      </w:r>
      <w:r>
        <w:rPr>
          <w:rStyle w:val="FootnoteReference"/>
        </w:rPr>
        <w:footnoteReference w:id="22"/>
      </w:r>
    </w:p>
    <w:p w14:paraId="6266EA7D" w14:textId="77777777" w:rsidR="009A7EF7" w:rsidRDefault="009A7EF7" w:rsidP="009A7EF7">
      <w:pPr>
        <w:pStyle w:val="ListParagraph"/>
        <w:ind w:left="720"/>
        <w:rPr>
          <w:color w:val="000000"/>
        </w:rPr>
      </w:pPr>
    </w:p>
    <w:p w14:paraId="4C285AB0" w14:textId="77777777" w:rsidR="009A7EF7" w:rsidRDefault="00FA77D4" w:rsidP="005B3BC6">
      <w:pPr>
        <w:pStyle w:val="ListParagraph"/>
        <w:numPr>
          <w:ilvl w:val="1"/>
          <w:numId w:val="5"/>
        </w:numPr>
        <w:rPr>
          <w:color w:val="000000"/>
        </w:rPr>
      </w:pPr>
      <w:r w:rsidRPr="009A7EF7">
        <w:rPr>
          <w:color w:val="000000"/>
        </w:rPr>
        <w:lastRenderedPageBreak/>
        <w:t xml:space="preserve">In 2022, the </w:t>
      </w:r>
      <w:proofErr w:type="spellStart"/>
      <w:r w:rsidRPr="009A7EF7">
        <w:rPr>
          <w:color w:val="000000"/>
        </w:rPr>
        <w:t>CoE</w:t>
      </w:r>
      <w:proofErr w:type="spellEnd"/>
      <w:r w:rsidRPr="009A7EF7">
        <w:rPr>
          <w:color w:val="000000"/>
        </w:rPr>
        <w:t xml:space="preserve"> Advisory Committee on the Framework Convention for Protection of National Minorities called on the UK Government and NI Executive to “effectively guarantee to persons belonging to national minorities the right to equality before the law by adopting comprehensive equality legislation for NI”.</w:t>
      </w:r>
      <w:r>
        <w:rPr>
          <w:rStyle w:val="FootnoteReference"/>
          <w:color w:val="000000"/>
        </w:rPr>
        <w:footnoteReference w:id="23"/>
      </w:r>
    </w:p>
    <w:p w14:paraId="09540833" w14:textId="77777777" w:rsidR="009A7EF7" w:rsidRDefault="009A7EF7" w:rsidP="009A7EF7">
      <w:pPr>
        <w:pStyle w:val="ListParagraph"/>
        <w:ind w:left="720"/>
        <w:rPr>
          <w:color w:val="000000"/>
        </w:rPr>
      </w:pPr>
    </w:p>
    <w:p w14:paraId="1FBB96EC" w14:textId="77777777" w:rsidR="009A7EF7" w:rsidRDefault="00FA77D4" w:rsidP="005B3BC6">
      <w:pPr>
        <w:pStyle w:val="ListParagraph"/>
        <w:numPr>
          <w:ilvl w:val="1"/>
          <w:numId w:val="5"/>
        </w:numPr>
        <w:rPr>
          <w:color w:val="000000"/>
        </w:rPr>
      </w:pPr>
      <w:r w:rsidRPr="009A7EF7">
        <w:rPr>
          <w:color w:val="000000"/>
        </w:rPr>
        <w:t>The UN CRC Committee urged action to ensure “a similar level of protection to rights holders with regard to all grounds of discrimination for all individuals in all jurisdictions of the State party, including NI”.</w:t>
      </w:r>
      <w:r>
        <w:rPr>
          <w:rStyle w:val="FootnoteReference"/>
        </w:rPr>
        <w:footnoteReference w:id="24"/>
      </w:r>
      <w:r w:rsidRPr="009A7EF7">
        <w:rPr>
          <w:color w:val="000000"/>
        </w:rPr>
        <w:t xml:space="preserve"> The </w:t>
      </w:r>
      <w:proofErr w:type="spellStart"/>
      <w:r w:rsidRPr="009A7EF7">
        <w:rPr>
          <w:color w:val="000000"/>
        </w:rPr>
        <w:t>CoE</w:t>
      </w:r>
      <w:proofErr w:type="spellEnd"/>
      <w:r w:rsidRPr="009A7EF7">
        <w:rPr>
          <w:color w:val="000000"/>
        </w:rPr>
        <w:t xml:space="preserve"> European Commission against Racism and Intolerance also recommended, as a priority for implementation, that the NI Executive “consolidate equality legislation into a single, comprehensive equality act, taking inspiration from the Equality Act 2010, and taking account of the recommendations of the Equality Commission NI”.</w:t>
      </w:r>
      <w:r>
        <w:rPr>
          <w:rStyle w:val="FootnoteReference"/>
        </w:rPr>
        <w:footnoteReference w:id="25"/>
      </w:r>
    </w:p>
    <w:p w14:paraId="72D3AD2D" w14:textId="77777777" w:rsidR="00D61ACF" w:rsidRPr="00D61ACF" w:rsidRDefault="00D61ACF" w:rsidP="00D61ACF">
      <w:pPr>
        <w:pStyle w:val="ListParagraph"/>
        <w:rPr>
          <w:color w:val="000000"/>
        </w:rPr>
      </w:pPr>
    </w:p>
    <w:p w14:paraId="1E886D3E" w14:textId="18C84130" w:rsidR="00D61ACF" w:rsidRDefault="00D61ACF" w:rsidP="005B3BC6">
      <w:pPr>
        <w:pStyle w:val="ListParagraph"/>
        <w:numPr>
          <w:ilvl w:val="1"/>
          <w:numId w:val="5"/>
        </w:numPr>
        <w:rPr>
          <w:color w:val="000000"/>
        </w:rPr>
      </w:pPr>
      <w:r w:rsidRPr="206F246B">
        <w:rPr>
          <w:b/>
          <w:bCs/>
          <w:color w:val="000000" w:themeColor="text1"/>
        </w:rPr>
        <w:t xml:space="preserve">The </w:t>
      </w:r>
      <w:r w:rsidR="00D33364" w:rsidRPr="206F246B">
        <w:rPr>
          <w:b/>
          <w:bCs/>
          <w:color w:val="000000" w:themeColor="text1"/>
        </w:rPr>
        <w:t>NIHRC</w:t>
      </w:r>
      <w:r w:rsidRPr="206F246B">
        <w:rPr>
          <w:b/>
          <w:bCs/>
          <w:color w:val="000000" w:themeColor="text1"/>
        </w:rPr>
        <w:t xml:space="preserve"> recommends that the Committee consider </w:t>
      </w:r>
      <w:r w:rsidR="003232F9" w:rsidRPr="206F246B">
        <w:rPr>
          <w:b/>
          <w:bCs/>
          <w:color w:val="000000" w:themeColor="text1"/>
        </w:rPr>
        <w:t xml:space="preserve">the </w:t>
      </w:r>
      <w:r w:rsidRPr="206F246B">
        <w:rPr>
          <w:b/>
          <w:bCs/>
          <w:color w:val="000000" w:themeColor="text1"/>
        </w:rPr>
        <w:t>consolidati</w:t>
      </w:r>
      <w:r w:rsidR="003232F9" w:rsidRPr="206F246B">
        <w:rPr>
          <w:b/>
          <w:bCs/>
          <w:color w:val="000000" w:themeColor="text1"/>
        </w:rPr>
        <w:t>on</w:t>
      </w:r>
      <w:r w:rsidRPr="206F246B">
        <w:rPr>
          <w:b/>
          <w:bCs/>
          <w:color w:val="000000" w:themeColor="text1"/>
        </w:rPr>
        <w:t xml:space="preserve"> </w:t>
      </w:r>
      <w:r w:rsidR="003232F9" w:rsidRPr="206F246B">
        <w:rPr>
          <w:b/>
          <w:bCs/>
          <w:color w:val="000000" w:themeColor="text1"/>
        </w:rPr>
        <w:t xml:space="preserve">of </w:t>
      </w:r>
      <w:r w:rsidRPr="206F246B">
        <w:rPr>
          <w:b/>
          <w:bCs/>
          <w:color w:val="000000" w:themeColor="text1"/>
        </w:rPr>
        <w:t>equality and non-discrimination protections into a single legislative instrument.</w:t>
      </w:r>
    </w:p>
    <w:p w14:paraId="264365D4" w14:textId="77777777" w:rsidR="009A7EF7" w:rsidRDefault="009A7EF7" w:rsidP="009A7EF7"/>
    <w:p w14:paraId="52B3C4B3" w14:textId="341FD705" w:rsidR="00DD5BAC" w:rsidRPr="009D08DF" w:rsidRDefault="00FA77D4" w:rsidP="009D08DF">
      <w:pPr>
        <w:pStyle w:val="Heading2"/>
        <w:rPr>
          <w:color w:val="000000"/>
        </w:rPr>
      </w:pPr>
      <w:bookmarkStart w:id="7" w:name="_Toc176503683"/>
      <w:r>
        <w:t>Intersectional</w:t>
      </w:r>
      <w:r w:rsidR="001301EA">
        <w:t xml:space="preserve"> Discrimination</w:t>
      </w:r>
      <w:bookmarkEnd w:id="7"/>
      <w:r w:rsidR="001301EA">
        <w:t xml:space="preserve"> </w:t>
      </w:r>
    </w:p>
    <w:p w14:paraId="113C9C96" w14:textId="13986B40" w:rsidR="009A7EF7" w:rsidRPr="009A7EF7" w:rsidRDefault="00FA77D4" w:rsidP="005B3BC6">
      <w:pPr>
        <w:pStyle w:val="ListParagraph"/>
        <w:numPr>
          <w:ilvl w:val="1"/>
          <w:numId w:val="5"/>
        </w:numPr>
        <w:rPr>
          <w:color w:val="000000"/>
        </w:rPr>
      </w:pPr>
      <w:r w:rsidRPr="2D61A484">
        <w:rPr>
          <w:color w:val="000000" w:themeColor="text1"/>
        </w:rPr>
        <w:t xml:space="preserve">The current equality law framework does not provide for cases of intersectional multiple discrimination. At present in NI, each ground for discrimination must form its own case, meaning it </w:t>
      </w:r>
      <w:bookmarkStart w:id="8" w:name="_Toc170204680"/>
      <w:r w:rsidRPr="2D61A484">
        <w:rPr>
          <w:color w:val="000000" w:themeColor="text1"/>
        </w:rPr>
        <w:t xml:space="preserve">must be considered and ruled on separately. </w:t>
      </w:r>
      <w:r>
        <w:t>The Equality Act 2010 which applies in England, Scotland and Wales, contains a dual discrimination provision, which has not been brought into force.</w:t>
      </w:r>
      <w:r w:rsidR="00C53CC4">
        <w:rPr>
          <w:rStyle w:val="FootnoteReference"/>
        </w:rPr>
        <w:footnoteReference w:id="26"/>
      </w:r>
    </w:p>
    <w:p w14:paraId="5A307EDC" w14:textId="77777777" w:rsidR="009A7EF7" w:rsidRPr="009A7EF7" w:rsidRDefault="009A7EF7" w:rsidP="009A7EF7">
      <w:pPr>
        <w:pStyle w:val="ListParagraph"/>
        <w:ind w:left="720"/>
        <w:rPr>
          <w:color w:val="000000"/>
        </w:rPr>
      </w:pPr>
    </w:p>
    <w:p w14:paraId="3C7A40F0" w14:textId="77777777" w:rsidR="009A7EF7" w:rsidRDefault="00FA77D4" w:rsidP="005B3BC6">
      <w:pPr>
        <w:pStyle w:val="ListParagraph"/>
        <w:numPr>
          <w:ilvl w:val="1"/>
          <w:numId w:val="5"/>
        </w:numPr>
      </w:pPr>
      <w:r>
        <w:t>In 2017, the UN CRPD Committee recommended that the UK Government</w:t>
      </w:r>
      <w:r w:rsidR="009A7EF7">
        <w:t xml:space="preserve"> </w:t>
      </w:r>
      <w:r>
        <w:t>and NI Executive:</w:t>
      </w:r>
      <w:r w:rsidR="009A7EF7" w:rsidRPr="009A7EF7">
        <w:t xml:space="preserve"> </w:t>
      </w:r>
    </w:p>
    <w:p w14:paraId="30A48098" w14:textId="77777777" w:rsidR="00D61ACF" w:rsidRDefault="00D61ACF" w:rsidP="00D61ACF">
      <w:pPr>
        <w:pStyle w:val="ListParagraph"/>
      </w:pPr>
    </w:p>
    <w:p w14:paraId="316FD92D" w14:textId="0890B7A0" w:rsidR="00D61ACF" w:rsidRDefault="00D61ACF" w:rsidP="008A6FD3">
      <w:pPr>
        <w:pStyle w:val="Quote"/>
      </w:pPr>
      <w:r w:rsidRPr="009A7EF7">
        <w:t xml:space="preserve">explicitly incorporate in its national legislation protection from, in particular multiple and intersectional discrimination on the basis of gender, age, </w:t>
      </w:r>
      <w:r w:rsidRPr="008A6FD3">
        <w:t>race</w:t>
      </w:r>
      <w:r w:rsidRPr="009A7EF7">
        <w:t xml:space="preserve">, disability, migrant, refugee and/or </w:t>
      </w:r>
      <w:r w:rsidRPr="009A7EF7">
        <w:lastRenderedPageBreak/>
        <w:t xml:space="preserve">other status, and provide appropriate compensation, and redress for victims, and sanctions proportional with the severity of the violation. </w:t>
      </w:r>
      <w:r w:rsidRPr="009A7EF7">
        <w:rPr>
          <w:vertAlign w:val="superscript"/>
        </w:rPr>
        <w:footnoteReference w:id="27"/>
      </w:r>
    </w:p>
    <w:p w14:paraId="457ABB2C" w14:textId="77777777" w:rsidR="00D61ACF" w:rsidRDefault="00D61ACF" w:rsidP="00D61ACF">
      <w:pPr>
        <w:pStyle w:val="ListParagraph"/>
      </w:pPr>
    </w:p>
    <w:p w14:paraId="316331D0" w14:textId="33B0CC10" w:rsidR="00D61ACF" w:rsidRDefault="00D61ACF" w:rsidP="005B3BC6">
      <w:pPr>
        <w:pStyle w:val="ListParagraph"/>
        <w:numPr>
          <w:ilvl w:val="1"/>
          <w:numId w:val="5"/>
        </w:numPr>
      </w:pPr>
      <w:r w:rsidRPr="206F246B">
        <w:rPr>
          <w:b/>
          <w:bCs/>
          <w:color w:val="000000" w:themeColor="text1"/>
        </w:rPr>
        <w:t xml:space="preserve">The </w:t>
      </w:r>
      <w:r w:rsidR="00D33364" w:rsidRPr="206F246B">
        <w:rPr>
          <w:b/>
          <w:bCs/>
          <w:color w:val="000000" w:themeColor="text1"/>
        </w:rPr>
        <w:t>NIHRC</w:t>
      </w:r>
      <w:r w:rsidRPr="206F246B">
        <w:rPr>
          <w:b/>
          <w:bCs/>
          <w:color w:val="000000" w:themeColor="text1"/>
        </w:rPr>
        <w:t xml:space="preserve"> recommends that intersectional multiple discrimination </w:t>
      </w:r>
      <w:r w:rsidR="003232F9" w:rsidRPr="206F246B">
        <w:rPr>
          <w:b/>
          <w:bCs/>
          <w:color w:val="000000" w:themeColor="text1"/>
        </w:rPr>
        <w:t xml:space="preserve">should be prohibited expressly in </w:t>
      </w:r>
      <w:r w:rsidRPr="206F246B">
        <w:rPr>
          <w:b/>
          <w:bCs/>
          <w:color w:val="000000" w:themeColor="text1"/>
        </w:rPr>
        <w:t>a consolidated legislative instrument.</w:t>
      </w:r>
    </w:p>
    <w:p w14:paraId="178BF1B6" w14:textId="77777777" w:rsidR="009A7EF7" w:rsidRPr="009A7EF7" w:rsidRDefault="009A7EF7" w:rsidP="009A7EF7">
      <w:pPr>
        <w:rPr>
          <w:b/>
          <w:bCs/>
          <w:color w:val="000000"/>
        </w:rPr>
      </w:pPr>
    </w:p>
    <w:p w14:paraId="247ECF0B" w14:textId="579B3A8F" w:rsidR="009A7EF7" w:rsidRDefault="00FD21A8" w:rsidP="00DE4C3D">
      <w:pPr>
        <w:pStyle w:val="Heading2"/>
      </w:pPr>
      <w:bookmarkStart w:id="9" w:name="_Toc176503684"/>
      <w:r w:rsidRPr="009A7EF7">
        <w:t>Age discrimination</w:t>
      </w:r>
      <w:bookmarkEnd w:id="9"/>
      <w:r w:rsidRPr="009A7EF7">
        <w:t xml:space="preserve"> </w:t>
      </w:r>
      <w:r w:rsidR="00FA77D4" w:rsidRPr="009A7EF7">
        <w:t xml:space="preserve"> </w:t>
      </w:r>
    </w:p>
    <w:p w14:paraId="08A0E3C4" w14:textId="71743D56" w:rsidR="009A7EF7" w:rsidRPr="009A7EF7" w:rsidRDefault="00FA77D4" w:rsidP="005B3BC6">
      <w:pPr>
        <w:pStyle w:val="ListParagraph"/>
        <w:numPr>
          <w:ilvl w:val="1"/>
          <w:numId w:val="5"/>
        </w:numPr>
        <w:rPr>
          <w:rStyle w:val="eop"/>
          <w:b/>
          <w:bCs/>
          <w:color w:val="000000"/>
        </w:rPr>
      </w:pPr>
      <w:r w:rsidRPr="009A7EF7">
        <w:rPr>
          <w:color w:val="000000"/>
        </w:rPr>
        <w:t>The UN CRC Committee ha</w:t>
      </w:r>
      <w:r w:rsidR="568837EF" w:rsidRPr="009A7EF7">
        <w:rPr>
          <w:color w:val="000000"/>
        </w:rPr>
        <w:t>s</w:t>
      </w:r>
      <w:r w:rsidRPr="009A7EF7">
        <w:rPr>
          <w:color w:val="000000"/>
        </w:rPr>
        <w:t xml:space="preserve"> raised specific concerns relating to protections for children from discrimination. </w:t>
      </w:r>
      <w:r w:rsidRPr="009A7EF7">
        <w:rPr>
          <w:rStyle w:val="normaltextrun"/>
          <w:color w:val="000000"/>
          <w:shd w:val="clear" w:color="auto" w:fill="FFFFFF"/>
        </w:rPr>
        <w:t>In 2023, the UN CRC Committee found that there was “insufficient progress in ensuring protection of all children under 18 years of age against discrimination on the grounds of their age”.</w:t>
      </w:r>
      <w:r w:rsidRPr="009A7EF7">
        <w:rPr>
          <w:rStyle w:val="superscript"/>
          <w:color w:val="000000"/>
          <w:sz w:val="19"/>
          <w:szCs w:val="19"/>
          <w:shd w:val="clear" w:color="auto" w:fill="FFFFFF"/>
          <w:vertAlign w:val="superscript"/>
        </w:rPr>
        <w:t>1</w:t>
      </w:r>
      <w:r w:rsidRPr="009A7EF7">
        <w:rPr>
          <w:rStyle w:val="normaltextrun"/>
          <w:color w:val="000000"/>
          <w:shd w:val="clear" w:color="auto" w:fill="FFFFFF"/>
        </w:rPr>
        <w:t xml:space="preserve"> The UN CRC Committee recommended that the UK Government and the NI Executive “take legislative and other measures to ensure the protection of all children below 18 years of age from discrimination on the grounds of their age, particularly in… NI”.</w:t>
      </w:r>
      <w:r w:rsidRPr="009A7EF7">
        <w:rPr>
          <w:rStyle w:val="superscript"/>
          <w:color w:val="000000"/>
          <w:sz w:val="19"/>
          <w:szCs w:val="19"/>
          <w:shd w:val="clear" w:color="auto" w:fill="FFFFFF"/>
          <w:vertAlign w:val="superscript"/>
        </w:rPr>
        <w:t>2</w:t>
      </w:r>
      <w:r w:rsidRPr="009A7EF7">
        <w:rPr>
          <w:rStyle w:val="normaltextrun"/>
          <w:color w:val="000000"/>
          <w:shd w:val="clear" w:color="auto" w:fill="FFFFFF"/>
        </w:rPr>
        <w:t> </w:t>
      </w:r>
      <w:r w:rsidRPr="009A7EF7">
        <w:rPr>
          <w:rStyle w:val="eop"/>
          <w:shd w:val="clear" w:color="auto" w:fill="FFFFFF"/>
        </w:rPr>
        <w:t> </w:t>
      </w:r>
    </w:p>
    <w:p w14:paraId="250FD259" w14:textId="77777777" w:rsidR="009A7EF7" w:rsidRPr="009A7EF7" w:rsidRDefault="009A7EF7" w:rsidP="009A7EF7">
      <w:pPr>
        <w:pStyle w:val="ListParagraph"/>
        <w:ind w:left="720"/>
        <w:rPr>
          <w:rStyle w:val="eop"/>
          <w:b/>
          <w:bCs/>
          <w:color w:val="000000"/>
        </w:rPr>
      </w:pPr>
    </w:p>
    <w:p w14:paraId="7EDE5CE0" w14:textId="20ACEB1D" w:rsidR="009A7EF7" w:rsidRPr="008A6FD3" w:rsidRDefault="00FA77D4" w:rsidP="005B3BC6">
      <w:pPr>
        <w:pStyle w:val="ListParagraph"/>
        <w:numPr>
          <w:ilvl w:val="1"/>
          <w:numId w:val="5"/>
        </w:numPr>
        <w:rPr>
          <w:b/>
          <w:bCs/>
          <w:color w:val="000000"/>
        </w:rPr>
      </w:pPr>
      <w:r w:rsidRPr="009A7EF7">
        <w:rPr>
          <w:color w:val="000000"/>
        </w:rPr>
        <w:t xml:space="preserve">In 2015, the Office of the First Minister and Deputy First Minster (now the Executive Office) proposed </w:t>
      </w:r>
      <w:r w:rsidR="003232F9" w:rsidRPr="206F246B">
        <w:rPr>
          <w:color w:val="000000" w:themeColor="text1"/>
        </w:rPr>
        <w:t xml:space="preserve">an extension </w:t>
      </w:r>
      <w:r w:rsidR="003232F9">
        <w:rPr>
          <w:color w:val="000000"/>
        </w:rPr>
        <w:t xml:space="preserve">of </w:t>
      </w:r>
      <w:r w:rsidR="003232F9" w:rsidRPr="009A7EF7">
        <w:rPr>
          <w:color w:val="000000"/>
        </w:rPr>
        <w:t xml:space="preserve"> </w:t>
      </w:r>
      <w:r w:rsidRPr="009A7EF7">
        <w:rPr>
          <w:color w:val="000000"/>
        </w:rPr>
        <w:t>age discrimination legislation to cover the provision of goods, facilities and services.</w:t>
      </w:r>
      <w:r>
        <w:rPr>
          <w:rStyle w:val="FootnoteReference"/>
        </w:rPr>
        <w:footnoteReference w:id="28"/>
      </w:r>
      <w:r w:rsidRPr="009A7EF7">
        <w:rPr>
          <w:color w:val="000000"/>
        </w:rPr>
        <w:t xml:space="preserve"> The </w:t>
      </w:r>
      <w:r w:rsidR="00D33364">
        <w:rPr>
          <w:color w:val="000000"/>
        </w:rPr>
        <w:t>NIHRC</w:t>
      </w:r>
      <w:r w:rsidRPr="009A7EF7">
        <w:rPr>
          <w:color w:val="000000"/>
        </w:rPr>
        <w:t xml:space="preserve"> welcomed th</w:t>
      </w:r>
      <w:r w:rsidR="003232F9">
        <w:rPr>
          <w:color w:val="000000"/>
        </w:rPr>
        <w:t xml:space="preserve">at proposal </w:t>
      </w:r>
      <w:r w:rsidRPr="009A7EF7">
        <w:rPr>
          <w:color w:val="000000"/>
        </w:rPr>
        <w:t xml:space="preserve">but, along with the NI Commissioner for Children and Young People and a number of children’s organisations, highlighted </w:t>
      </w:r>
      <w:r w:rsidR="003232F9">
        <w:rPr>
          <w:color w:val="000000"/>
        </w:rPr>
        <w:t xml:space="preserve">the need to include </w:t>
      </w:r>
      <w:r w:rsidRPr="009A7EF7">
        <w:rPr>
          <w:color w:val="000000"/>
        </w:rPr>
        <w:t>discrimination against children under 16 years</w:t>
      </w:r>
      <w:r w:rsidR="003232F9">
        <w:rPr>
          <w:color w:val="000000"/>
        </w:rPr>
        <w:t>.</w:t>
      </w:r>
      <w:r>
        <w:rPr>
          <w:rStyle w:val="FootnoteReference"/>
        </w:rPr>
        <w:footnoteReference w:id="29"/>
      </w:r>
    </w:p>
    <w:p w14:paraId="6A0D09C9" w14:textId="77777777" w:rsidR="008A6FD3" w:rsidRPr="008A6FD3" w:rsidRDefault="008A6FD3" w:rsidP="008A6FD3">
      <w:pPr>
        <w:pStyle w:val="ListParagraph"/>
        <w:rPr>
          <w:b/>
          <w:bCs/>
          <w:color w:val="000000"/>
        </w:rPr>
      </w:pPr>
    </w:p>
    <w:p w14:paraId="04FC3F9A" w14:textId="58C666C6" w:rsidR="008A6FD3" w:rsidRPr="009A7EF7" w:rsidRDefault="008A6FD3" w:rsidP="005B3BC6">
      <w:pPr>
        <w:pStyle w:val="ListParagraph"/>
        <w:numPr>
          <w:ilvl w:val="1"/>
          <w:numId w:val="5"/>
        </w:numPr>
        <w:rPr>
          <w:b/>
          <w:bCs/>
          <w:color w:val="000000"/>
        </w:rPr>
      </w:pPr>
      <w:r w:rsidRPr="206F246B">
        <w:rPr>
          <w:b/>
          <w:bCs/>
        </w:rPr>
        <w:t xml:space="preserve">The </w:t>
      </w:r>
      <w:r w:rsidR="00D33364" w:rsidRPr="206F246B">
        <w:rPr>
          <w:b/>
          <w:bCs/>
        </w:rPr>
        <w:t>NIHRC</w:t>
      </w:r>
      <w:r w:rsidRPr="206F246B">
        <w:rPr>
          <w:b/>
          <w:bCs/>
        </w:rPr>
        <w:t xml:space="preserve"> recommends that the existing equality protections be extended to provide age discrimination protection in the provision of goods, facilities and services to all children under 18 years old.</w:t>
      </w:r>
    </w:p>
    <w:p w14:paraId="642DD52B" w14:textId="77777777" w:rsidR="009A7EF7" w:rsidRPr="009A7EF7" w:rsidRDefault="009A7EF7" w:rsidP="009A7EF7">
      <w:pPr>
        <w:pStyle w:val="ListParagraph"/>
        <w:ind w:left="720"/>
        <w:rPr>
          <w:b/>
          <w:bCs/>
          <w:color w:val="000000"/>
        </w:rPr>
      </w:pPr>
    </w:p>
    <w:p w14:paraId="11842F22" w14:textId="77777777" w:rsidR="009A7EF7" w:rsidRPr="009A7EF7" w:rsidRDefault="00FA77D4" w:rsidP="008A6FD3">
      <w:pPr>
        <w:pStyle w:val="Heading2"/>
        <w:rPr>
          <w:rStyle w:val="eop"/>
          <w:bCs/>
          <w:i/>
          <w:iCs/>
          <w:color w:val="000000"/>
        </w:rPr>
      </w:pPr>
      <w:bookmarkStart w:id="10" w:name="_Toc176503685"/>
      <w:r w:rsidRPr="008A6FD3">
        <w:rPr>
          <w:rStyle w:val="eop"/>
          <w:bCs/>
          <w:shd w:val="clear" w:color="auto" w:fill="FFFFFF"/>
        </w:rPr>
        <w:lastRenderedPageBreak/>
        <w:t>Sexual</w:t>
      </w:r>
      <w:r w:rsidRPr="009A7EF7">
        <w:rPr>
          <w:rStyle w:val="eop"/>
          <w:bCs/>
          <w:i/>
          <w:iCs/>
          <w:shd w:val="clear" w:color="auto" w:fill="FFFFFF"/>
        </w:rPr>
        <w:t xml:space="preserve"> </w:t>
      </w:r>
      <w:r w:rsidRPr="008A6FD3">
        <w:rPr>
          <w:rStyle w:val="eop"/>
          <w:bCs/>
          <w:shd w:val="clear" w:color="auto" w:fill="FFFFFF"/>
        </w:rPr>
        <w:t>Orientation</w:t>
      </w:r>
      <w:bookmarkEnd w:id="10"/>
    </w:p>
    <w:p w14:paraId="6B215BED" w14:textId="77777777" w:rsidR="009A7EF7" w:rsidRPr="008A6FD3" w:rsidRDefault="00FA77D4" w:rsidP="005B3BC6">
      <w:pPr>
        <w:pStyle w:val="ListParagraph"/>
        <w:numPr>
          <w:ilvl w:val="1"/>
          <w:numId w:val="5"/>
        </w:numPr>
        <w:rPr>
          <w:b/>
          <w:bCs/>
          <w:color w:val="000000"/>
        </w:rPr>
      </w:pPr>
      <w:r w:rsidRPr="009A7EF7">
        <w:rPr>
          <w:color w:val="000000"/>
        </w:rPr>
        <w:t>In June 2023, the UN CRC Committee noted that it remained concerned about “persistent discrimination… against children in disadvantaged situations including… lesbian, gay, bisexual and transgender children”.</w:t>
      </w:r>
      <w:r>
        <w:rPr>
          <w:rStyle w:val="FootnoteReference"/>
          <w:color w:val="000000"/>
        </w:rPr>
        <w:footnoteReference w:id="30"/>
      </w:r>
      <w:r w:rsidRPr="009A7EF7">
        <w:rPr>
          <w:color w:val="000000"/>
        </w:rPr>
        <w:t xml:space="preserve"> The UN CRC Committee issued a revised recommendation that the UK Government and NI Executive should “ensure that children who experience discrimination, bullying and harassment in relation to their sexual orientation or gender identity receive protection and support, including through targeted anti-bullying measures”.</w:t>
      </w:r>
      <w:r>
        <w:rPr>
          <w:rStyle w:val="FootnoteReference"/>
          <w:color w:val="000000"/>
        </w:rPr>
        <w:footnoteReference w:id="31"/>
      </w:r>
    </w:p>
    <w:p w14:paraId="5A87A712" w14:textId="77777777" w:rsidR="008A6FD3" w:rsidRPr="008A6FD3" w:rsidRDefault="008A6FD3" w:rsidP="008A6FD3">
      <w:pPr>
        <w:pStyle w:val="ListParagraph"/>
        <w:ind w:left="720"/>
        <w:rPr>
          <w:b/>
          <w:bCs/>
          <w:color w:val="000000"/>
        </w:rPr>
      </w:pPr>
    </w:p>
    <w:p w14:paraId="2AD60F2A" w14:textId="56A624FC" w:rsidR="008A6FD3" w:rsidRPr="009A7EF7" w:rsidRDefault="008A6FD3" w:rsidP="005B3BC6">
      <w:pPr>
        <w:pStyle w:val="ListParagraph"/>
        <w:numPr>
          <w:ilvl w:val="1"/>
          <w:numId w:val="5"/>
        </w:numPr>
        <w:rPr>
          <w:b/>
          <w:bCs/>
          <w:color w:val="000000"/>
        </w:rPr>
      </w:pPr>
      <w:r w:rsidRPr="009A7EF7">
        <w:rPr>
          <w:rStyle w:val="normaltextrun"/>
          <w:b/>
          <w:bCs/>
          <w:color w:val="000000"/>
          <w:shd w:val="clear" w:color="auto" w:fill="FFFFFF"/>
        </w:rPr>
        <w:t xml:space="preserve">The </w:t>
      </w:r>
      <w:r w:rsidR="00D33364">
        <w:rPr>
          <w:rStyle w:val="normaltextrun"/>
          <w:b/>
          <w:bCs/>
          <w:color w:val="000000"/>
          <w:shd w:val="clear" w:color="auto" w:fill="FFFFFF"/>
        </w:rPr>
        <w:t>NIHRC</w:t>
      </w:r>
      <w:r w:rsidRPr="009A7EF7">
        <w:rPr>
          <w:rStyle w:val="normaltextrun"/>
          <w:b/>
          <w:bCs/>
          <w:color w:val="000000"/>
          <w:shd w:val="clear" w:color="auto" w:fill="FFFFFF"/>
        </w:rPr>
        <w:t xml:space="preserve"> recommends that the equality framework is </w:t>
      </w:r>
      <w:r w:rsidR="003232F9">
        <w:rPr>
          <w:rStyle w:val="normaltextrun"/>
          <w:b/>
          <w:bCs/>
          <w:color w:val="000000"/>
          <w:shd w:val="clear" w:color="auto" w:fill="FFFFFF"/>
        </w:rPr>
        <w:t xml:space="preserve">amended to better </w:t>
      </w:r>
      <w:r w:rsidRPr="009A7EF7">
        <w:rPr>
          <w:rStyle w:val="normaltextrun"/>
          <w:b/>
          <w:bCs/>
          <w:color w:val="000000"/>
          <w:shd w:val="clear" w:color="auto" w:fill="FFFFFF"/>
        </w:rPr>
        <w:t xml:space="preserve">protect those who experience discrimination in relation to </w:t>
      </w:r>
      <w:r w:rsidRPr="009A7EF7">
        <w:rPr>
          <w:b/>
          <w:bCs/>
          <w:color w:val="000000"/>
        </w:rPr>
        <w:t xml:space="preserve">their sexual orientation </w:t>
      </w:r>
      <w:r w:rsidR="003232F9">
        <w:rPr>
          <w:b/>
          <w:bCs/>
          <w:color w:val="000000"/>
        </w:rPr>
        <w:t>and/or</w:t>
      </w:r>
      <w:r w:rsidRPr="009A7EF7">
        <w:rPr>
          <w:b/>
          <w:bCs/>
          <w:color w:val="000000"/>
        </w:rPr>
        <w:t xml:space="preserve"> gender identity</w:t>
      </w:r>
      <w:r w:rsidRPr="009A7EF7">
        <w:rPr>
          <w:rStyle w:val="normaltextrun"/>
          <w:b/>
          <w:bCs/>
          <w:color w:val="000000"/>
          <w:shd w:val="clear" w:color="auto" w:fill="FFFFFF"/>
        </w:rPr>
        <w:t>.</w:t>
      </w:r>
    </w:p>
    <w:p w14:paraId="5020A3FF" w14:textId="77777777" w:rsidR="009A7EF7" w:rsidRPr="009A7EF7" w:rsidRDefault="009A7EF7" w:rsidP="009A7EF7">
      <w:pPr>
        <w:pStyle w:val="ListParagraph"/>
        <w:ind w:left="720"/>
        <w:rPr>
          <w:rStyle w:val="normaltextrun"/>
          <w:b/>
          <w:bCs/>
          <w:color w:val="000000"/>
        </w:rPr>
      </w:pPr>
    </w:p>
    <w:p w14:paraId="408440F8" w14:textId="77777777" w:rsidR="009A7EF7" w:rsidRPr="009A7EF7" w:rsidRDefault="001301EA" w:rsidP="008A6FD3">
      <w:pPr>
        <w:pStyle w:val="Heading2"/>
        <w:rPr>
          <w:bCs/>
          <w:color w:val="000000"/>
        </w:rPr>
      </w:pPr>
      <w:bookmarkStart w:id="11" w:name="_Toc176503686"/>
      <w:r w:rsidRPr="009A7EF7">
        <w:t>Gender Equality</w:t>
      </w:r>
      <w:bookmarkEnd w:id="11"/>
    </w:p>
    <w:p w14:paraId="1CC9E6C6" w14:textId="7CEBC97D" w:rsidR="009A7EF7" w:rsidRPr="008A6FD3" w:rsidRDefault="00FA77D4" w:rsidP="005B3BC6">
      <w:pPr>
        <w:pStyle w:val="ListParagraph"/>
        <w:numPr>
          <w:ilvl w:val="1"/>
          <w:numId w:val="5"/>
        </w:numPr>
        <w:rPr>
          <w:b/>
          <w:bCs/>
          <w:color w:val="000000"/>
        </w:rPr>
      </w:pPr>
      <w:r>
        <w:t>In 2019, the UN CEDAW Committee recommended that the NI Executive “revise its legislation in NI to ensure that it affords protection to women on an equal footing with women in other administrations of the State party”.</w:t>
      </w:r>
      <w:r w:rsidRPr="2D61A484">
        <w:rPr>
          <w:rStyle w:val="FootnoteReference"/>
          <w:rFonts w:eastAsiaTheme="majorEastAsia"/>
        </w:rPr>
        <w:footnoteReference w:id="32"/>
      </w:r>
      <w:r>
        <w:t xml:space="preserve">  </w:t>
      </w:r>
    </w:p>
    <w:p w14:paraId="1F37CF50" w14:textId="77777777" w:rsidR="008A6FD3" w:rsidRPr="008A6FD3" w:rsidRDefault="008A6FD3" w:rsidP="008A6FD3">
      <w:pPr>
        <w:rPr>
          <w:b/>
          <w:bCs/>
          <w:color w:val="000000"/>
        </w:rPr>
      </w:pPr>
    </w:p>
    <w:p w14:paraId="43BAB844" w14:textId="7347D236" w:rsidR="009A7EF7" w:rsidRPr="008A6FD3" w:rsidRDefault="00FA77D4" w:rsidP="005B3BC6">
      <w:pPr>
        <w:pStyle w:val="ListParagraph"/>
        <w:numPr>
          <w:ilvl w:val="1"/>
          <w:numId w:val="5"/>
        </w:numPr>
        <w:rPr>
          <w:b/>
          <w:bCs/>
          <w:color w:val="000000"/>
        </w:rPr>
      </w:pPr>
      <w:r w:rsidRPr="00FD21A8">
        <w:t xml:space="preserve">The Committee further highlighted the need to ensure that national machinery for the advancement of women was robust. The </w:t>
      </w:r>
      <w:r w:rsidR="00D33364">
        <w:t>NIHRC</w:t>
      </w:r>
      <w:r w:rsidRPr="00FD21A8">
        <w:t xml:space="preserve"> recalls that the 1995 Beijing Platform for Action</w:t>
      </w:r>
      <w:r w:rsidR="00C16BFE" w:rsidRPr="005E35D5">
        <w:rPr>
          <w:color w:val="000000" w:themeColor="text1"/>
          <w:vertAlign w:val="superscript"/>
        </w:rPr>
        <w:footnoteReference w:id="33"/>
      </w:r>
      <w:r w:rsidRPr="00FD21A8">
        <w:t xml:space="preserve"> </w:t>
      </w:r>
      <w:r w:rsidRPr="009A7EF7">
        <w:rPr>
          <w:shd w:val="clear" w:color="auto" w:fill="FFFFFF"/>
        </w:rPr>
        <w:t>highlighted the importance of robust laws and policies being coupled with strong institutions to coordinate actors and ensure their effective enforcement and implementation.</w:t>
      </w:r>
      <w:r w:rsidR="00D400D7">
        <w:rPr>
          <w:rStyle w:val="FootnoteReference"/>
          <w:shd w:val="clear" w:color="auto" w:fill="FFFFFF"/>
        </w:rPr>
        <w:footnoteReference w:id="34"/>
      </w:r>
    </w:p>
    <w:p w14:paraId="7ABB4184" w14:textId="77777777" w:rsidR="008A6FD3" w:rsidRPr="008A6FD3" w:rsidRDefault="008A6FD3" w:rsidP="008A6FD3">
      <w:pPr>
        <w:pStyle w:val="ListParagraph"/>
        <w:rPr>
          <w:b/>
          <w:bCs/>
          <w:color w:val="000000"/>
        </w:rPr>
      </w:pPr>
    </w:p>
    <w:p w14:paraId="03C01391" w14:textId="4E438B0A" w:rsidR="008A6FD3" w:rsidRPr="00BB1C50" w:rsidRDefault="008A6FD3" w:rsidP="005B3BC6">
      <w:pPr>
        <w:pStyle w:val="ListParagraph"/>
        <w:numPr>
          <w:ilvl w:val="1"/>
          <w:numId w:val="5"/>
        </w:numPr>
        <w:rPr>
          <w:b/>
          <w:bCs/>
          <w:color w:val="000000"/>
        </w:rPr>
      </w:pPr>
      <w:r w:rsidRPr="009A7EF7">
        <w:rPr>
          <w:b/>
          <w:bCs/>
          <w:shd w:val="clear" w:color="auto" w:fill="FFFFFF"/>
        </w:rPr>
        <w:t xml:space="preserve">The </w:t>
      </w:r>
      <w:r w:rsidR="00D33364">
        <w:rPr>
          <w:b/>
          <w:bCs/>
          <w:shd w:val="clear" w:color="auto" w:fill="FFFFFF"/>
        </w:rPr>
        <w:t>NIHRC</w:t>
      </w:r>
      <w:r w:rsidRPr="009A7EF7">
        <w:rPr>
          <w:b/>
          <w:bCs/>
          <w:shd w:val="clear" w:color="auto" w:fill="FFFFFF"/>
        </w:rPr>
        <w:t xml:space="preserve"> recommends that institutional mechanisms </w:t>
      </w:r>
      <w:r w:rsidR="003232F9">
        <w:rPr>
          <w:b/>
          <w:bCs/>
          <w:shd w:val="clear" w:color="auto" w:fill="FFFFFF"/>
        </w:rPr>
        <w:t xml:space="preserve">are </w:t>
      </w:r>
      <w:r w:rsidRPr="009A7EF7">
        <w:rPr>
          <w:b/>
          <w:bCs/>
          <w:shd w:val="clear" w:color="auto" w:fill="FFFFFF"/>
        </w:rPr>
        <w:t>required to ensure the enforcement of equality law, in particular those relating to gender equality.</w:t>
      </w:r>
    </w:p>
    <w:p w14:paraId="6452466F" w14:textId="77777777" w:rsidR="009A7EF7" w:rsidRPr="009A7EF7" w:rsidRDefault="009A7EF7" w:rsidP="009A7EF7">
      <w:pPr>
        <w:pStyle w:val="ListParagraph"/>
        <w:ind w:left="720"/>
        <w:rPr>
          <w:b/>
          <w:bCs/>
          <w:color w:val="000000"/>
        </w:rPr>
      </w:pPr>
    </w:p>
    <w:p w14:paraId="1B1D9070" w14:textId="73222D50" w:rsidR="009A7EF7" w:rsidRDefault="00FA77D4" w:rsidP="008A6FD3">
      <w:pPr>
        <w:pStyle w:val="Heading2"/>
      </w:pPr>
      <w:bookmarkStart w:id="12" w:name="_Toc176503687"/>
      <w:r w:rsidRPr="009A7EF7">
        <w:lastRenderedPageBreak/>
        <w:t>Persons with disabilitie</w:t>
      </w:r>
      <w:r w:rsidR="009A7EF7">
        <w:t>s</w:t>
      </w:r>
      <w:bookmarkEnd w:id="12"/>
    </w:p>
    <w:p w14:paraId="391E5D13" w14:textId="5FFA7DC2" w:rsidR="009A7EF7" w:rsidRPr="009A7EF7" w:rsidRDefault="00FA77D4" w:rsidP="005B3BC6">
      <w:pPr>
        <w:pStyle w:val="ListParagraph"/>
        <w:numPr>
          <w:ilvl w:val="1"/>
          <w:numId w:val="5"/>
        </w:numPr>
        <w:rPr>
          <w:b/>
          <w:bCs/>
          <w:color w:val="000000"/>
        </w:rPr>
      </w:pPr>
      <w:r w:rsidRPr="009A7EF7">
        <w:rPr>
          <w:color w:val="000000"/>
        </w:rPr>
        <w:t xml:space="preserve">In 2017, the UN CRPD Committee recommended that the UK Government and NI Executive “ensure that the Northern Ireland Executive reform on disability rights law reflects the recommendations made by the Equality Commission for </w:t>
      </w:r>
      <w:r w:rsidR="00D33364">
        <w:rPr>
          <w:color w:val="000000"/>
        </w:rPr>
        <w:t>NI</w:t>
      </w:r>
      <w:r w:rsidRPr="009A7EF7">
        <w:rPr>
          <w:color w:val="000000"/>
        </w:rPr>
        <w:t xml:space="preserve"> in its 2012 Strengthening Protection for Disabled People report to protect persons with disabilities in Northern Ireland from direct and indirect disability-based discrimination and discrimination through association”.</w:t>
      </w:r>
      <w:r>
        <w:rPr>
          <w:rStyle w:val="FootnoteReference"/>
        </w:rPr>
        <w:footnoteReference w:id="35"/>
      </w:r>
      <w:r w:rsidRPr="009A7EF7">
        <w:rPr>
          <w:color w:val="000000"/>
        </w:rPr>
        <w:t xml:space="preserve"> The UN CRPD Committee also recommended that the UK Government and NI Executive “recognise the right to living independently and being included in the community as a subjective right, recognise the enforceability of all its elements, and adopt rights-based policies, regulations and guidelines to ensure implementation”.</w:t>
      </w:r>
      <w:r>
        <w:rPr>
          <w:rStyle w:val="FootnoteReference"/>
        </w:rPr>
        <w:footnoteReference w:id="36"/>
      </w:r>
    </w:p>
    <w:p w14:paraId="1A98DBAA" w14:textId="77777777" w:rsidR="009A7EF7" w:rsidRPr="009A7EF7" w:rsidRDefault="009A7EF7" w:rsidP="009A7EF7">
      <w:pPr>
        <w:pStyle w:val="ListParagraph"/>
        <w:ind w:left="720"/>
        <w:rPr>
          <w:b/>
          <w:bCs/>
          <w:color w:val="000000"/>
        </w:rPr>
      </w:pPr>
    </w:p>
    <w:p w14:paraId="42B25D2E" w14:textId="4372B92E" w:rsidR="009A7EF7" w:rsidRPr="008A6FD3" w:rsidRDefault="009A7EF7" w:rsidP="005B3BC6">
      <w:pPr>
        <w:pStyle w:val="ListParagraph"/>
        <w:numPr>
          <w:ilvl w:val="1"/>
          <w:numId w:val="5"/>
        </w:numPr>
        <w:rPr>
          <w:b/>
          <w:bCs/>
          <w:color w:val="000000"/>
        </w:rPr>
      </w:pPr>
      <w:r>
        <w:t>In August 2023, the UN CRPD Committee held a follow-up session to its 2016 inquiry into the impact of social security reform on persons with disabilities.</w:t>
      </w:r>
      <w:r w:rsidRPr="2D61A484">
        <w:rPr>
          <w:rStyle w:val="FootnoteReference"/>
        </w:rPr>
        <w:footnoteReference w:id="37"/>
      </w:r>
      <w:r w:rsidRPr="009A7EF7">
        <w:rPr>
          <w:rFonts w:ascii="Times New Roman" w:hAnsi="Times New Roman"/>
          <w:lang w:eastAsia="en-GB"/>
        </w:rPr>
        <w:t xml:space="preserve"> </w:t>
      </w:r>
      <w:r>
        <w:t>The Committee raised a concern that the UK had</w:t>
      </w:r>
      <w:r w:rsidR="6784729A">
        <w:t>,</w:t>
      </w:r>
      <w:r>
        <w:t xml:space="preserve"> </w:t>
      </w:r>
    </w:p>
    <w:p w14:paraId="56A84DE3" w14:textId="77777777" w:rsidR="008A6FD3" w:rsidRPr="008A6FD3" w:rsidRDefault="008A6FD3" w:rsidP="008A6FD3">
      <w:pPr>
        <w:rPr>
          <w:b/>
          <w:bCs/>
          <w:color w:val="000000"/>
        </w:rPr>
      </w:pPr>
    </w:p>
    <w:p w14:paraId="671E1FDE" w14:textId="4488B195" w:rsidR="008A6FD3" w:rsidRDefault="008A6FD3" w:rsidP="009D08DF">
      <w:pPr>
        <w:pStyle w:val="Quote"/>
      </w:pPr>
      <w:r w:rsidRPr="001624D1">
        <w:t>failed to take all appropriate measures to address grave and systematic violations of the human rights of persons with disabilities and has failed to eliminate the root causes of inequality and discrimination as framed in General Comment No. 6 on equality and non-discrimination. This failure exists particularly with respect to the State party’s obligation to guarantee the right of persons with disabilities to live independently and be included in the community (art. 19), to work and employment (art. 27), and to an adequate standard of living and social protection (art. 28) in the United Kingdom of Great Britain and Northern Ireland.</w:t>
      </w:r>
      <w:r w:rsidRPr="001624D1">
        <w:rPr>
          <w:rStyle w:val="FootnoteReference"/>
          <w:rFonts w:eastAsia="Calibri"/>
        </w:rPr>
        <w:footnoteReference w:id="38"/>
      </w:r>
    </w:p>
    <w:p w14:paraId="7A9B7742" w14:textId="77777777" w:rsidR="009D08DF" w:rsidRPr="009D08DF" w:rsidRDefault="009D08DF" w:rsidP="009D08DF"/>
    <w:p w14:paraId="0F165741" w14:textId="45BCA6B2" w:rsidR="008A6FD3" w:rsidRPr="009A7EF7" w:rsidRDefault="008A6FD3" w:rsidP="005B3BC6">
      <w:pPr>
        <w:pStyle w:val="ListParagraph"/>
        <w:numPr>
          <w:ilvl w:val="1"/>
          <w:numId w:val="5"/>
        </w:numPr>
        <w:rPr>
          <w:b/>
          <w:bCs/>
          <w:color w:val="000000"/>
        </w:rPr>
      </w:pPr>
      <w:r w:rsidRPr="206F246B">
        <w:rPr>
          <w:b/>
          <w:bCs/>
          <w:color w:val="000000" w:themeColor="text1"/>
        </w:rPr>
        <w:lastRenderedPageBreak/>
        <w:t xml:space="preserve">The </w:t>
      </w:r>
      <w:r w:rsidR="00D33364" w:rsidRPr="206F246B">
        <w:rPr>
          <w:b/>
          <w:bCs/>
          <w:color w:val="000000" w:themeColor="text1"/>
        </w:rPr>
        <w:t>NIHRC</w:t>
      </w:r>
      <w:r w:rsidRPr="206F246B">
        <w:rPr>
          <w:b/>
          <w:bCs/>
          <w:color w:val="000000" w:themeColor="text1"/>
        </w:rPr>
        <w:t xml:space="preserve"> recommends that equality laws </w:t>
      </w:r>
      <w:r w:rsidR="003232F9" w:rsidRPr="206F246B">
        <w:rPr>
          <w:b/>
          <w:bCs/>
          <w:color w:val="000000" w:themeColor="text1"/>
        </w:rPr>
        <w:t>should be</w:t>
      </w:r>
      <w:r w:rsidRPr="206F246B">
        <w:rPr>
          <w:b/>
          <w:bCs/>
          <w:color w:val="000000" w:themeColor="text1"/>
        </w:rPr>
        <w:t xml:space="preserve"> amended to ensure they address inequalities experienced by disabled people in NI.</w:t>
      </w:r>
    </w:p>
    <w:p w14:paraId="41E5F4CF" w14:textId="77777777" w:rsidR="00BB1C50" w:rsidRDefault="00BB1C50" w:rsidP="00BB1C50">
      <w:pPr>
        <w:pStyle w:val="ListParagraph"/>
        <w:ind w:left="720"/>
        <w:rPr>
          <w:b/>
          <w:bCs/>
          <w:color w:val="000000"/>
        </w:rPr>
      </w:pPr>
    </w:p>
    <w:p w14:paraId="08EF804C" w14:textId="42D78994" w:rsidR="00BB1C50" w:rsidRPr="00432A44" w:rsidRDefault="00BB1C50" w:rsidP="00432A44">
      <w:pPr>
        <w:pStyle w:val="Heading2"/>
      </w:pPr>
      <w:bookmarkStart w:id="13" w:name="_Toc176503688"/>
      <w:r w:rsidRPr="009A7EF7">
        <w:t>Race Equality</w:t>
      </w:r>
      <w:bookmarkEnd w:id="13"/>
      <w:r w:rsidRPr="009A7EF7">
        <w:t xml:space="preserve"> </w:t>
      </w:r>
    </w:p>
    <w:p w14:paraId="6719986F" w14:textId="77777777" w:rsidR="00BB1C50" w:rsidRPr="009A7EF7" w:rsidRDefault="00BB1C50" w:rsidP="005B3BC6">
      <w:pPr>
        <w:pStyle w:val="ListParagraph"/>
        <w:numPr>
          <w:ilvl w:val="1"/>
          <w:numId w:val="5"/>
        </w:numPr>
        <w:rPr>
          <w:b/>
          <w:bCs/>
          <w:color w:val="000000"/>
        </w:rPr>
      </w:pPr>
      <w:r>
        <w:t>Article 2 of the UN Convention on the Elimination of All Forms of Racial Discrimination (UN CERD) requires states to “take effective measures to review governmental, national and local policies, and to amend, rescind or nullify any laws and regulations which have the effect of creating or perpetuating racial discrimination wherever it exists”. In addition, Article 2(2) obliges States to:</w:t>
      </w:r>
    </w:p>
    <w:p w14:paraId="5BF9B656" w14:textId="77777777" w:rsidR="00BB1C50" w:rsidRDefault="00BB1C50" w:rsidP="00BB1C50">
      <w:pPr>
        <w:pStyle w:val="ListParagraph"/>
      </w:pPr>
    </w:p>
    <w:p w14:paraId="64F86521" w14:textId="2A22F065" w:rsidR="00BB1C50" w:rsidRPr="00BB1C50" w:rsidRDefault="00BB1C50" w:rsidP="00BB1C50">
      <w:pPr>
        <w:pStyle w:val="ListParagraph"/>
        <w:ind w:left="873"/>
      </w:pPr>
      <w:r>
        <w:t>take, in the social, economic, cultural and other fields, special and concrete measures to ensure the adequate development and protection of certain racial groups or individuals belonging to them, for the purpose of guaranteeing them the full and equal enjoyment of human rights and fundamental freedoms.</w:t>
      </w:r>
      <w:r>
        <w:rPr>
          <w:rStyle w:val="FootnoteReference"/>
        </w:rPr>
        <w:footnoteReference w:id="39"/>
      </w:r>
    </w:p>
    <w:p w14:paraId="11ECD8FC" w14:textId="77777777" w:rsidR="00BB1C50" w:rsidRDefault="00BB1C50" w:rsidP="00BB1C50">
      <w:pPr>
        <w:pStyle w:val="ListParagraph"/>
        <w:ind w:left="720"/>
        <w:rPr>
          <w:b/>
          <w:bCs/>
          <w:color w:val="000000"/>
        </w:rPr>
      </w:pPr>
    </w:p>
    <w:p w14:paraId="5B81E469" w14:textId="77777777" w:rsidR="00BB1C50" w:rsidRDefault="00BB1C50" w:rsidP="005B3BC6">
      <w:pPr>
        <w:pStyle w:val="ListParagraph"/>
        <w:numPr>
          <w:ilvl w:val="1"/>
          <w:numId w:val="5"/>
        </w:numPr>
        <w:rPr>
          <w:rFonts w:eastAsia="Verdana" w:cs="Verdana"/>
          <w:color w:val="000000"/>
        </w:rPr>
      </w:pPr>
      <w:r w:rsidRPr="00AE4E66">
        <w:rPr>
          <w:rFonts w:eastAsia="Verdana" w:cs="Verdana"/>
          <w:color w:val="000000"/>
        </w:rPr>
        <w:t>In October 2016, the UN CERD Committee recommended that the UK Government and NI Executive “act without further delay to adopt comprehensive legislation prohibiting racial discrimination, in accordance with the provisions of the [UN CERD]”.</w:t>
      </w:r>
      <w:r w:rsidRPr="2D61A484">
        <w:rPr>
          <w:rStyle w:val="FootnoteReference"/>
          <w:rFonts w:eastAsiaTheme="majorEastAsia"/>
        </w:rPr>
        <w:footnoteReference w:id="40"/>
      </w:r>
    </w:p>
    <w:p w14:paraId="0F6F9E4A" w14:textId="77777777" w:rsidR="00BB1C50" w:rsidRDefault="00BB1C50" w:rsidP="00BB1C50">
      <w:pPr>
        <w:pStyle w:val="ListParagraph"/>
        <w:ind w:left="720"/>
        <w:rPr>
          <w:rFonts w:eastAsia="Verdana" w:cs="Verdana"/>
          <w:color w:val="000000"/>
        </w:rPr>
      </w:pPr>
    </w:p>
    <w:p w14:paraId="6FC12E2D" w14:textId="23666F41" w:rsidR="00BB1C50" w:rsidRDefault="005C54F0" w:rsidP="005B3BC6">
      <w:pPr>
        <w:pStyle w:val="ListParagraph"/>
        <w:numPr>
          <w:ilvl w:val="1"/>
          <w:numId w:val="5"/>
        </w:numPr>
        <w:rPr>
          <w:rFonts w:eastAsia="Verdana" w:cs="Verdana"/>
          <w:color w:val="000000"/>
        </w:rPr>
      </w:pPr>
      <w:r w:rsidRPr="4150A299">
        <w:rPr>
          <w:rFonts w:eastAsia="Verdana" w:cs="Verdana"/>
          <w:color w:val="000000" w:themeColor="text1"/>
        </w:rPr>
        <w:t>The Office of the High Commissioner for Human Rights has highlighted that a national action plan against racism is a key tool to support the realisation of racial equality.</w:t>
      </w:r>
      <w:r w:rsidRPr="00C16BFE">
        <w:rPr>
          <w:rFonts w:eastAsia="Verdana" w:cs="Verdana"/>
          <w:color w:val="000000" w:themeColor="text1"/>
          <w:vertAlign w:val="superscript"/>
        </w:rPr>
        <w:footnoteReference w:id="41"/>
      </w:r>
      <w:r w:rsidR="00390612">
        <w:rPr>
          <w:rFonts w:eastAsia="Verdana" w:cs="Verdana"/>
          <w:color w:val="000000" w:themeColor="text1"/>
        </w:rPr>
        <w:t xml:space="preserve"> </w:t>
      </w:r>
      <w:r w:rsidRPr="4150A299">
        <w:rPr>
          <w:rFonts w:eastAsia="Verdana" w:cs="Verdana"/>
          <w:color w:val="000000" w:themeColor="text1"/>
        </w:rPr>
        <w:t xml:space="preserve">The </w:t>
      </w:r>
      <w:r w:rsidR="00D33364" w:rsidRPr="4150A299">
        <w:rPr>
          <w:rFonts w:eastAsia="Verdana" w:cs="Verdana"/>
          <w:color w:val="000000" w:themeColor="text1"/>
        </w:rPr>
        <w:t>NIHRC</w:t>
      </w:r>
      <w:r w:rsidRPr="4150A299">
        <w:rPr>
          <w:rFonts w:eastAsia="Verdana" w:cs="Verdana"/>
          <w:color w:val="000000" w:themeColor="text1"/>
        </w:rPr>
        <w:t xml:space="preserve"> notes that the racial equality strategy is in operation until 2025.</w:t>
      </w:r>
    </w:p>
    <w:p w14:paraId="4E376CF0" w14:textId="77777777" w:rsidR="008A6FD3" w:rsidRPr="008A6FD3" w:rsidRDefault="008A6FD3" w:rsidP="008A6FD3">
      <w:pPr>
        <w:pStyle w:val="ListParagraph"/>
        <w:rPr>
          <w:rFonts w:eastAsia="Verdana" w:cs="Verdana"/>
          <w:color w:val="000000"/>
        </w:rPr>
      </w:pPr>
    </w:p>
    <w:p w14:paraId="7F239FCF" w14:textId="07FA9422" w:rsidR="00FA77D4" w:rsidRDefault="008A6FD3" w:rsidP="206F246B">
      <w:pPr>
        <w:pStyle w:val="ListParagraph"/>
        <w:numPr>
          <w:ilvl w:val="1"/>
          <w:numId w:val="5"/>
        </w:numPr>
        <w:rPr>
          <w:b/>
          <w:bCs/>
        </w:rPr>
      </w:pPr>
      <w:r w:rsidRPr="106B3DEA">
        <w:rPr>
          <w:b/>
          <w:bCs/>
        </w:rPr>
        <w:t xml:space="preserve">The </w:t>
      </w:r>
      <w:r w:rsidR="00D33364" w:rsidRPr="106B3DEA">
        <w:rPr>
          <w:b/>
          <w:bCs/>
        </w:rPr>
        <w:t>NIHRC</w:t>
      </w:r>
      <w:r w:rsidRPr="106B3DEA">
        <w:rPr>
          <w:b/>
          <w:bCs/>
        </w:rPr>
        <w:t xml:space="preserve"> recommends that the Committee consider the role of strategies, including the racial equality strategy, in supporting the implementation of reforms to equality laws</w:t>
      </w:r>
      <w:r w:rsidR="003232F9" w:rsidRPr="106B3DEA">
        <w:rPr>
          <w:b/>
          <w:bCs/>
        </w:rPr>
        <w:t xml:space="preserve"> and monitor their effectiveness in so doing.</w:t>
      </w:r>
    </w:p>
    <w:p w14:paraId="5D9DCFA3" w14:textId="06363468" w:rsidR="106B3DEA" w:rsidRDefault="106B3DEA" w:rsidP="00FB483F">
      <w:pPr>
        <w:pStyle w:val="ListParagraph"/>
        <w:ind w:left="720"/>
        <w:rPr>
          <w:b/>
          <w:bCs/>
        </w:rPr>
      </w:pPr>
    </w:p>
    <w:p w14:paraId="08D6716C" w14:textId="79EFF4D4" w:rsidR="0054459D" w:rsidRDefault="0079415F" w:rsidP="002205FF">
      <w:pPr>
        <w:pStyle w:val="Heading1"/>
        <w:spacing w:before="0" w:line="276" w:lineRule="auto"/>
        <w:ind w:left="360" w:hanging="360"/>
      </w:pPr>
      <w:bookmarkStart w:id="14" w:name="_Toc172560360"/>
      <w:bookmarkStart w:id="15" w:name="_Toc176503689"/>
      <w:r>
        <w:lastRenderedPageBreak/>
        <w:t xml:space="preserve">3.0. </w:t>
      </w:r>
      <w:r w:rsidR="0054459D">
        <w:t xml:space="preserve">Windsor Framework </w:t>
      </w:r>
      <w:r w:rsidR="002205FF">
        <w:t>Article 2</w:t>
      </w:r>
      <w:bookmarkEnd w:id="14"/>
      <w:bookmarkEnd w:id="15"/>
      <w:r w:rsidR="002205FF">
        <w:t xml:space="preserve"> </w:t>
      </w:r>
    </w:p>
    <w:p w14:paraId="0645404A" w14:textId="77777777" w:rsidR="0011068A" w:rsidRDefault="0011068A" w:rsidP="0011068A"/>
    <w:p w14:paraId="18647668" w14:textId="315A988E" w:rsidR="00EF1C3A" w:rsidRPr="00727808" w:rsidRDefault="0054459D" w:rsidP="005B3BC6">
      <w:pPr>
        <w:pStyle w:val="ListParagraph"/>
        <w:numPr>
          <w:ilvl w:val="1"/>
          <w:numId w:val="8"/>
        </w:numPr>
        <w:spacing w:after="240" w:line="276" w:lineRule="auto"/>
        <w:contextualSpacing w:val="0"/>
      </w:pPr>
      <w:r w:rsidRPr="00727808">
        <w:t xml:space="preserve">Windsor Framework Article 2 requires the UK Government to ensure that no diminution of rights, safeguards and equality of opportunities contained in the </w:t>
      </w:r>
      <w:r w:rsidR="006E63CA" w:rsidRPr="00727808">
        <w:t>r</w:t>
      </w:r>
      <w:r w:rsidRPr="00727808">
        <w:t xml:space="preserve">elevant part of the Belfast (Good Friday) Agreement 1998 occurs as a result of the UK’s withdrawal from the EU. </w:t>
      </w:r>
      <w:r w:rsidR="00EF1C3A" w:rsidRPr="00727808">
        <w:t>This includes an obligation to “keep pace” with any changes made to the six Annex 1 equality directives</w:t>
      </w:r>
      <w:r w:rsidR="00EF1C3A" w:rsidRPr="00727808">
        <w:rPr>
          <w:rStyle w:val="FootnoteReference"/>
        </w:rPr>
        <w:footnoteReference w:id="42"/>
      </w:r>
      <w:r w:rsidR="00EF1C3A" w:rsidRPr="00727808">
        <w:t xml:space="preserve"> which improve the minimum levels of protection available, after 1 January 2021.</w:t>
      </w:r>
      <w:r w:rsidR="00EF1C3A" w:rsidRPr="00727808">
        <w:rPr>
          <w:rStyle w:val="FootnoteReference"/>
        </w:rPr>
        <w:footnoteReference w:id="43"/>
      </w:r>
      <w:r w:rsidR="00EF1C3A" w:rsidRPr="00727808">
        <w:t xml:space="preserve"> For other EU obligations which underpin the rights, safeguards and equality of opportunity in Windsor Framework Article 2, the UK Government commitment to ensure ‘no diminution’ is measured by the relevant EU standards as they were on the 31 December 2020.</w:t>
      </w:r>
      <w:r w:rsidR="00EF1C3A" w:rsidRPr="00727808">
        <w:rPr>
          <w:rStyle w:val="FootnoteReference"/>
        </w:rPr>
        <w:footnoteReference w:id="44"/>
      </w:r>
    </w:p>
    <w:p w14:paraId="79EB5564" w14:textId="708C6CC7" w:rsidR="009C6A35" w:rsidRPr="00727808" w:rsidRDefault="0054459D" w:rsidP="005B3BC6">
      <w:pPr>
        <w:pStyle w:val="ListParagraph"/>
        <w:numPr>
          <w:ilvl w:val="1"/>
          <w:numId w:val="8"/>
        </w:numPr>
        <w:spacing w:after="240" w:line="276" w:lineRule="auto"/>
        <w:contextualSpacing w:val="0"/>
      </w:pPr>
      <w:r w:rsidRPr="00727808">
        <w:t>The rights, safeguards and equality of opportunity chapter of the Belfast (Good Friday) Agreement was not an exhaustive statement of rights protections. Rather, the parties affirmed their “commitment to … the civil rights and religious liberties of everyone in the community” before affirming “in particular” a non-exhaustive list of rights and safeguards.</w:t>
      </w:r>
      <w:r w:rsidRPr="00727808">
        <w:rPr>
          <w:rStyle w:val="FootnoteReference"/>
        </w:rPr>
        <w:footnoteReference w:id="45"/>
      </w:r>
      <w:r w:rsidRPr="00727808">
        <w:t xml:space="preserve"> </w:t>
      </w:r>
    </w:p>
    <w:p w14:paraId="2BECDAF5" w14:textId="79B1BAA9" w:rsidR="006A4EFF" w:rsidRPr="00727808" w:rsidRDefault="0054459D" w:rsidP="005B3BC6">
      <w:pPr>
        <w:pStyle w:val="ListParagraph"/>
        <w:numPr>
          <w:ilvl w:val="1"/>
          <w:numId w:val="8"/>
        </w:numPr>
        <w:spacing w:after="240" w:line="276" w:lineRule="auto"/>
        <w:contextualSpacing w:val="0"/>
      </w:pPr>
      <w:r w:rsidRPr="00727808">
        <w:t xml:space="preserve">The </w:t>
      </w:r>
      <w:r w:rsidR="00026FE0">
        <w:t xml:space="preserve">NI </w:t>
      </w:r>
      <w:r w:rsidRPr="00727808">
        <w:t xml:space="preserve">High Court </w:t>
      </w:r>
      <w:r w:rsidR="00026FE0">
        <w:t xml:space="preserve">has considered </w:t>
      </w:r>
      <w:r w:rsidR="00026FE0" w:rsidRPr="00727808">
        <w:t xml:space="preserve">Windsor Framework Article 2 </w:t>
      </w:r>
      <w:r w:rsidR="00026FE0">
        <w:t xml:space="preserve">in a number of cases. The court </w:t>
      </w:r>
      <w:r w:rsidRPr="00727808">
        <w:t>adopted a purposive approach to interpretation of the relevant chapter of the Belfast (Good Friday) Agreement.</w:t>
      </w:r>
      <w:r w:rsidRPr="00727808">
        <w:rPr>
          <w:rStyle w:val="FootnoteReference"/>
        </w:rPr>
        <w:footnoteReference w:id="46"/>
      </w:r>
      <w:r w:rsidRPr="00727808">
        <w:t xml:space="preserve"> </w:t>
      </w:r>
      <w:r w:rsidR="009A66AF">
        <w:t>In a recent judgment, the NI High Court confirmed that “</w:t>
      </w:r>
      <w:r w:rsidR="009A66AF" w:rsidRPr="009A66AF">
        <w:t>reading the BGFA as a whole, it is apparent its provisions and protections were broad in scope</w:t>
      </w:r>
      <w:r w:rsidR="009A66AF">
        <w:t>”</w:t>
      </w:r>
      <w:r w:rsidR="000C711A">
        <w:t>.</w:t>
      </w:r>
      <w:r w:rsidR="009A66AF">
        <w:rPr>
          <w:rStyle w:val="FootnoteReference"/>
        </w:rPr>
        <w:footnoteReference w:id="47"/>
      </w:r>
      <w:r w:rsidR="009A66AF" w:rsidRPr="009A66AF">
        <w:t xml:space="preserve"> </w:t>
      </w:r>
      <w:r w:rsidRPr="00727808">
        <w:t xml:space="preserve">The High Court held that, “a narrow interpretation of ‘civil rights’ undermines the forward-facing dimension </w:t>
      </w:r>
      <w:r w:rsidRPr="00727808">
        <w:lastRenderedPageBreak/>
        <w:t>of the non-diminution commitment in article 2(1)”.</w:t>
      </w:r>
      <w:r w:rsidRPr="00727808">
        <w:rPr>
          <w:rStyle w:val="FootnoteReference"/>
        </w:rPr>
        <w:footnoteReference w:id="48"/>
      </w:r>
      <w:r w:rsidRPr="00727808">
        <w:t xml:space="preserve"> It is the </w:t>
      </w:r>
      <w:r w:rsidR="00D33364">
        <w:t>NIHRC</w:t>
      </w:r>
      <w:r w:rsidRPr="00727808">
        <w:t>’s considered opinion that the chapter represents a broad (i.e. wide-ranging) commitment to civil, political, economic, social and cultural rights and equality of opportunity.</w:t>
      </w:r>
      <w:r w:rsidRPr="00727808">
        <w:rPr>
          <w:rStyle w:val="FootnoteReference"/>
        </w:rPr>
        <w:footnoteReference w:id="49"/>
      </w:r>
      <w:r w:rsidRPr="00727808">
        <w:t xml:space="preserve"> </w:t>
      </w:r>
    </w:p>
    <w:p w14:paraId="42FC1CC1" w14:textId="6EB14704" w:rsidR="000318A3" w:rsidRPr="00727808" w:rsidRDefault="006A4EFF" w:rsidP="005B3BC6">
      <w:pPr>
        <w:pStyle w:val="ListParagraph"/>
        <w:numPr>
          <w:ilvl w:val="1"/>
          <w:numId w:val="8"/>
        </w:numPr>
        <w:spacing w:after="240" w:line="276" w:lineRule="auto"/>
        <w:contextualSpacing w:val="0"/>
      </w:pPr>
      <w:r w:rsidRPr="00727808">
        <w:t>Further, t</w:t>
      </w:r>
      <w:r w:rsidR="0054459D" w:rsidRPr="00727808">
        <w:t xml:space="preserve">he NI High Court </w:t>
      </w:r>
      <w:r w:rsidR="00026FE0">
        <w:t xml:space="preserve">has separately </w:t>
      </w:r>
      <w:r w:rsidR="0054459D" w:rsidRPr="00727808">
        <w:t>reiterated that Windsor Framework Article 2 has direct effect, which can be relied on in the domestic courts.</w:t>
      </w:r>
      <w:r w:rsidR="0054459D" w:rsidRPr="00727808">
        <w:rPr>
          <w:rStyle w:val="FootnoteReference"/>
          <w:color w:val="000000"/>
        </w:rPr>
        <w:footnoteReference w:id="50"/>
      </w:r>
      <w:r w:rsidR="0054459D" w:rsidRPr="00727808">
        <w:t xml:space="preserve"> The High Court further confirmed that the EU Charter on Fundamental Rights falls within the ambit of Article 2(1) of the Windsor Framework and remains enforceable in NI.</w:t>
      </w:r>
      <w:r w:rsidR="0054459D" w:rsidRPr="00727808">
        <w:rPr>
          <w:rStyle w:val="FootnoteReference"/>
          <w:color w:val="000000"/>
        </w:rPr>
        <w:footnoteReference w:id="51"/>
      </w:r>
      <w:r w:rsidR="0054459D" w:rsidRPr="00727808">
        <w:t xml:space="preserve"> </w:t>
      </w:r>
      <w:r w:rsidR="008F2E0E">
        <w:t>Further, in a recent judgment, the NI High Court</w:t>
      </w:r>
      <w:r w:rsidR="00DD776C">
        <w:t xml:space="preserve"> confirmed that “</w:t>
      </w:r>
      <w:r w:rsidR="00DD776C" w:rsidRPr="00DD776C">
        <w:t xml:space="preserve">the </w:t>
      </w:r>
      <w:r w:rsidR="00DD776C">
        <w:t xml:space="preserve">EU Charter of Fundamental Rights </w:t>
      </w:r>
      <w:r w:rsidR="00DD776C" w:rsidRPr="00DD776C">
        <w:t xml:space="preserve">continues to have effect in UK law in circumstances where </w:t>
      </w:r>
      <w:r w:rsidR="000C711A">
        <w:t>‘</w:t>
      </w:r>
      <w:r w:rsidR="00DD776C" w:rsidRPr="00DD776C">
        <w:t>Union law</w:t>
      </w:r>
      <w:r w:rsidR="000C711A">
        <w:t>’</w:t>
      </w:r>
      <w:r w:rsidR="00DD776C" w:rsidRPr="00DD776C">
        <w:t xml:space="preserve"> continues to be implemented</w:t>
      </w:r>
      <w:r w:rsidR="00DD776C">
        <w:t>”.</w:t>
      </w:r>
      <w:r w:rsidR="003161F7">
        <w:rPr>
          <w:rStyle w:val="FootnoteReference"/>
        </w:rPr>
        <w:footnoteReference w:id="52"/>
      </w:r>
      <w:r w:rsidR="00DD776C">
        <w:t xml:space="preserve"> </w:t>
      </w:r>
      <w:r w:rsidR="0054459D" w:rsidRPr="00727808">
        <w:t>The High Court also rejected the argument that the rights and safeguards in the relevant part of the Belfast (Good Friday) Agreement 1998 are frozen in time and limited to the political context of 1998.</w:t>
      </w:r>
      <w:r w:rsidR="0054459D" w:rsidRPr="00727808">
        <w:rPr>
          <w:rStyle w:val="FootnoteReference"/>
          <w:color w:val="000000"/>
        </w:rPr>
        <w:footnoteReference w:id="53"/>
      </w:r>
    </w:p>
    <w:p w14:paraId="096781A1" w14:textId="3019CEAE" w:rsidR="00620A0D" w:rsidRPr="00727808" w:rsidRDefault="00820444" w:rsidP="00620A0D">
      <w:pPr>
        <w:pStyle w:val="ListParagraph"/>
        <w:numPr>
          <w:ilvl w:val="1"/>
          <w:numId w:val="8"/>
        </w:numPr>
        <w:spacing w:after="240" w:line="276" w:lineRule="auto"/>
        <w:contextualSpacing w:val="0"/>
      </w:pPr>
      <w:r w:rsidRPr="00820444">
        <w:t>Based on the above, this submission outline</w:t>
      </w:r>
      <w:r w:rsidR="005A69E5">
        <w:t>s</w:t>
      </w:r>
      <w:r w:rsidRPr="00820444">
        <w:t xml:space="preserve"> the minimum EU standards enshrined in EU law in the area of equality and non-discrimination</w:t>
      </w:r>
      <w:r w:rsidR="00026FE0">
        <w:t>, which continue to be relevant in NI</w:t>
      </w:r>
      <w:r w:rsidRPr="00820444">
        <w:t>.</w:t>
      </w:r>
      <w:r>
        <w:t xml:space="preserve"> </w:t>
      </w:r>
      <w:r w:rsidR="000318A3" w:rsidRPr="00727808">
        <w:t xml:space="preserve">These standards </w:t>
      </w:r>
      <w:r w:rsidR="005A69E5">
        <w:t>must</w:t>
      </w:r>
      <w:r w:rsidR="005A69E5" w:rsidRPr="00727808">
        <w:t xml:space="preserve"> </w:t>
      </w:r>
      <w:r w:rsidR="000318A3" w:rsidRPr="00727808">
        <w:t xml:space="preserve">guide the review of equality legislation and policy in </w:t>
      </w:r>
      <w:r w:rsidR="00026FE0">
        <w:t>NI</w:t>
      </w:r>
      <w:r w:rsidR="000318A3" w:rsidRPr="00727808">
        <w:t>, in line with the UK Government's commitments to non-diminution and keeping pace obligations</w:t>
      </w:r>
      <w:r w:rsidR="00977B67">
        <w:t xml:space="preserve">. </w:t>
      </w:r>
    </w:p>
    <w:p w14:paraId="5DD741C6" w14:textId="211D4702" w:rsidR="00940B8C" w:rsidRPr="00940B8C" w:rsidRDefault="00940B8C" w:rsidP="00026FE0">
      <w:pPr>
        <w:pStyle w:val="Heading2"/>
      </w:pPr>
      <w:bookmarkStart w:id="16" w:name="_Toc172560361"/>
      <w:bookmarkStart w:id="17" w:name="_Toc176503690"/>
      <w:r>
        <w:t>Keeping Pace: Annex 1 EU Equality Directives</w:t>
      </w:r>
      <w:bookmarkEnd w:id="16"/>
      <w:bookmarkEnd w:id="17"/>
      <w:r>
        <w:t xml:space="preserve"> </w:t>
      </w:r>
    </w:p>
    <w:p w14:paraId="6F1DDE34" w14:textId="77777777" w:rsidR="005C54F0" w:rsidRDefault="00A74216" w:rsidP="005B3BC6">
      <w:pPr>
        <w:pStyle w:val="ListParagraph"/>
        <w:numPr>
          <w:ilvl w:val="1"/>
          <w:numId w:val="8"/>
        </w:numPr>
        <w:spacing w:after="240" w:line="276" w:lineRule="auto"/>
        <w:contextualSpacing w:val="0"/>
      </w:pPr>
      <w:r>
        <w:t xml:space="preserve">Windsor Framework </w:t>
      </w:r>
      <w:r w:rsidRPr="00FF4DDD">
        <w:t>Article 2 provides specific protection against discrimination as enshrined in the six EU equality directives listed in Annex 1 of the Windsor Framework (Annex 1 equality directives).</w:t>
      </w:r>
      <w:r w:rsidRPr="00FF4DDD">
        <w:rPr>
          <w:rStyle w:val="FootnoteReference"/>
        </w:rPr>
        <w:footnoteReference w:id="54"/>
      </w:r>
      <w:r w:rsidRPr="00FF4DDD">
        <w:t xml:space="preserve"> The </w:t>
      </w:r>
      <w:r w:rsidRPr="00FF4DDD">
        <w:lastRenderedPageBreak/>
        <w:t xml:space="preserve">UK Government has </w:t>
      </w:r>
      <w:r>
        <w:t>declared</w:t>
      </w:r>
      <w:r w:rsidRPr="00FF4DDD">
        <w:t xml:space="preserve"> that these directives have “been specifically referenced because of the important framework they </w:t>
      </w:r>
      <w:r w:rsidRPr="004F4D8A">
        <w:t>provide</w:t>
      </w:r>
      <w:r w:rsidRPr="00FF4DDD">
        <w:t xml:space="preserve"> for the anti-discrimination commitments set out in the relevant chapter of the Belfast (Good Friday) Agreement”.</w:t>
      </w:r>
      <w:r w:rsidRPr="00FF4DDD">
        <w:rPr>
          <w:rStyle w:val="FootnoteReference"/>
        </w:rPr>
        <w:footnoteReference w:id="55"/>
      </w:r>
      <w:r w:rsidRPr="00FF4DDD">
        <w:t xml:space="preserve"> </w:t>
      </w:r>
    </w:p>
    <w:p w14:paraId="680415BD" w14:textId="178D5DA2" w:rsidR="00A74216" w:rsidRDefault="00A74216" w:rsidP="005B3BC6">
      <w:pPr>
        <w:pStyle w:val="ListParagraph"/>
        <w:numPr>
          <w:ilvl w:val="1"/>
          <w:numId w:val="8"/>
        </w:numPr>
        <w:spacing w:after="240" w:line="276" w:lineRule="auto"/>
        <w:contextualSpacing w:val="0"/>
      </w:pPr>
      <w:r>
        <w:t xml:space="preserve">These EU Directives are the following: </w:t>
      </w:r>
    </w:p>
    <w:p w14:paraId="5F143D81" w14:textId="7701752D" w:rsidR="00293721" w:rsidRPr="0044490B" w:rsidRDefault="00D958B0" w:rsidP="005B3BC6">
      <w:pPr>
        <w:pStyle w:val="ListParagraph"/>
        <w:numPr>
          <w:ilvl w:val="0"/>
          <w:numId w:val="4"/>
        </w:numPr>
      </w:pPr>
      <w:r w:rsidRPr="2D61A484">
        <w:t xml:space="preserve">EU </w:t>
      </w:r>
      <w:r w:rsidR="00293721" w:rsidRPr="2D61A484">
        <w:t>Racial Equality Directive</w:t>
      </w:r>
      <w:r w:rsidR="000C711A" w:rsidRPr="2D61A484">
        <w:t>;</w:t>
      </w:r>
      <w:r w:rsidR="00293721" w:rsidRPr="2D61A484">
        <w:rPr>
          <w:rStyle w:val="FootnoteReference"/>
        </w:rPr>
        <w:footnoteReference w:id="56"/>
      </w:r>
      <w:r w:rsidR="00293721" w:rsidRPr="2D61A484">
        <w:t xml:space="preserve"> </w:t>
      </w:r>
    </w:p>
    <w:p w14:paraId="268872C1" w14:textId="7990F1A5" w:rsidR="00293721" w:rsidRPr="0044490B" w:rsidRDefault="00D958B0" w:rsidP="005B3BC6">
      <w:pPr>
        <w:pStyle w:val="ListParagraph"/>
        <w:numPr>
          <w:ilvl w:val="0"/>
          <w:numId w:val="4"/>
        </w:numPr>
      </w:pPr>
      <w:r w:rsidRPr="2D61A484">
        <w:t xml:space="preserve">EU </w:t>
      </w:r>
      <w:r w:rsidR="00293721" w:rsidRPr="2D61A484">
        <w:t>Employment Equality (Framework) Directive</w:t>
      </w:r>
      <w:r w:rsidR="000C711A" w:rsidRPr="2D61A484">
        <w:t>;</w:t>
      </w:r>
      <w:r w:rsidR="00293721" w:rsidRPr="2D61A484">
        <w:rPr>
          <w:rStyle w:val="FootnoteReference"/>
        </w:rPr>
        <w:footnoteReference w:id="57"/>
      </w:r>
      <w:r w:rsidR="00293721" w:rsidRPr="2D61A484">
        <w:t xml:space="preserve"> </w:t>
      </w:r>
    </w:p>
    <w:p w14:paraId="5BA71760" w14:textId="77DAF416" w:rsidR="00293721" w:rsidRPr="0044490B" w:rsidRDefault="00D958B0" w:rsidP="005B3BC6">
      <w:pPr>
        <w:pStyle w:val="ListParagraph"/>
        <w:numPr>
          <w:ilvl w:val="0"/>
          <w:numId w:val="4"/>
        </w:numPr>
      </w:pPr>
      <w:r w:rsidRPr="2D61A484">
        <w:t xml:space="preserve">EU </w:t>
      </w:r>
      <w:r w:rsidR="00293721" w:rsidRPr="2D61A484">
        <w:t xml:space="preserve">Gender </w:t>
      </w:r>
      <w:r w:rsidR="00E70E4D">
        <w:t xml:space="preserve">Equality </w:t>
      </w:r>
      <w:r w:rsidR="00293721" w:rsidRPr="2D61A484">
        <w:t>Goods and Services Directive</w:t>
      </w:r>
      <w:r w:rsidR="000C711A" w:rsidRPr="2D61A484">
        <w:t>;</w:t>
      </w:r>
      <w:r w:rsidR="00293721" w:rsidRPr="2D61A484">
        <w:rPr>
          <w:rStyle w:val="FootnoteReference"/>
        </w:rPr>
        <w:footnoteReference w:id="58"/>
      </w:r>
      <w:r w:rsidR="00293721" w:rsidRPr="2D61A484">
        <w:t xml:space="preserve"> </w:t>
      </w:r>
    </w:p>
    <w:p w14:paraId="34389FBB" w14:textId="0020F96B" w:rsidR="00293721" w:rsidRPr="0044490B" w:rsidRDefault="00D958B0" w:rsidP="005B3BC6">
      <w:pPr>
        <w:pStyle w:val="ListParagraph"/>
        <w:numPr>
          <w:ilvl w:val="0"/>
          <w:numId w:val="4"/>
        </w:numPr>
      </w:pPr>
      <w:r w:rsidRPr="2D61A484">
        <w:t xml:space="preserve">EU </w:t>
      </w:r>
      <w:r w:rsidR="00293721" w:rsidRPr="2D61A484">
        <w:t>Gender Equality (Employment) Directive</w:t>
      </w:r>
      <w:r w:rsidR="000C711A" w:rsidRPr="2D61A484">
        <w:t>;</w:t>
      </w:r>
      <w:r w:rsidR="00293721" w:rsidRPr="2D61A484">
        <w:rPr>
          <w:rStyle w:val="FootnoteReference"/>
        </w:rPr>
        <w:footnoteReference w:id="59"/>
      </w:r>
      <w:r w:rsidR="00293721" w:rsidRPr="2D61A484">
        <w:t xml:space="preserve"> </w:t>
      </w:r>
    </w:p>
    <w:p w14:paraId="7B54AB50" w14:textId="1D4D461E" w:rsidR="00293721" w:rsidRPr="0048152E" w:rsidRDefault="00D958B0" w:rsidP="005B3BC6">
      <w:pPr>
        <w:pStyle w:val="ListParagraph"/>
        <w:numPr>
          <w:ilvl w:val="0"/>
          <w:numId w:val="4"/>
        </w:numPr>
      </w:pPr>
      <w:r w:rsidRPr="2D61A484">
        <w:t>EU Gender Equality (</w:t>
      </w:r>
      <w:r w:rsidR="00293721" w:rsidRPr="2D61A484">
        <w:t>Self-Employment</w:t>
      </w:r>
      <w:r w:rsidRPr="2D61A484">
        <w:t>)</w:t>
      </w:r>
      <w:r w:rsidR="00293721" w:rsidRPr="2D61A484">
        <w:t xml:space="preserve"> Directive</w:t>
      </w:r>
      <w:r w:rsidR="000C711A" w:rsidRPr="2D61A484">
        <w:t>;</w:t>
      </w:r>
      <w:r w:rsidR="00293721" w:rsidRPr="2D61A484">
        <w:rPr>
          <w:rStyle w:val="FootnoteReference"/>
        </w:rPr>
        <w:footnoteReference w:id="60"/>
      </w:r>
      <w:r w:rsidR="000C711A" w:rsidRPr="2D61A484">
        <w:t xml:space="preserve"> and</w:t>
      </w:r>
    </w:p>
    <w:p w14:paraId="0267C83A" w14:textId="3985CFB5" w:rsidR="00293721" w:rsidRPr="003A36F8" w:rsidRDefault="00D958B0" w:rsidP="005B3BC6">
      <w:pPr>
        <w:pStyle w:val="ListParagraph"/>
        <w:numPr>
          <w:ilvl w:val="0"/>
          <w:numId w:val="4"/>
        </w:numPr>
      </w:pPr>
      <w:r w:rsidRPr="2D61A484">
        <w:t xml:space="preserve">Gender </w:t>
      </w:r>
      <w:r w:rsidR="00293721" w:rsidRPr="2D61A484">
        <w:t>Equality in Social Security Directive</w:t>
      </w:r>
      <w:r w:rsidRPr="2D61A484">
        <w:t>.</w:t>
      </w:r>
      <w:r w:rsidR="00293721" w:rsidRPr="2D61A484">
        <w:rPr>
          <w:rStyle w:val="FootnoteReference"/>
        </w:rPr>
        <w:footnoteReference w:id="61"/>
      </w:r>
    </w:p>
    <w:p w14:paraId="5091D24F" w14:textId="77777777" w:rsidR="003A36F8" w:rsidRDefault="003A36F8" w:rsidP="003A36F8">
      <w:pPr>
        <w:pStyle w:val="ListParagraph"/>
        <w:ind w:left="1520"/>
      </w:pPr>
    </w:p>
    <w:p w14:paraId="3564C701" w14:textId="5269A895" w:rsidR="00293721" w:rsidRDefault="00293721" w:rsidP="005B3BC6">
      <w:pPr>
        <w:pStyle w:val="ListParagraph"/>
        <w:numPr>
          <w:ilvl w:val="1"/>
          <w:numId w:val="8"/>
        </w:numPr>
        <w:spacing w:after="240" w:line="276" w:lineRule="auto"/>
        <w:contextualSpacing w:val="0"/>
      </w:pPr>
      <w:r>
        <w:t>NI Equality</w:t>
      </w:r>
      <w:r w:rsidRPr="00293721">
        <w:t xml:space="preserve"> </w:t>
      </w:r>
      <w:r w:rsidRPr="00FF4DDD">
        <w:t>law must keep pace with any changes made by the EU to improve the minimum levels of protection, on or after 1 January 2021 in relation to the Annex 1 directives</w:t>
      </w:r>
      <w:r>
        <w:t>. Further, this keeping pace obligation includes</w:t>
      </w:r>
      <w:r w:rsidRPr="00FF4DDD">
        <w:t xml:space="preserve"> monitoring</w:t>
      </w:r>
      <w:r>
        <w:t xml:space="preserve"> and complying with</w:t>
      </w:r>
      <w:r w:rsidRPr="00FF4DDD">
        <w:t xml:space="preserve"> relevant current and future CJEU case law</w:t>
      </w:r>
      <w:r>
        <w:t xml:space="preserve"> across these different areas</w:t>
      </w:r>
      <w:r w:rsidR="008F0C0C">
        <w:t xml:space="preserve"> and different equality and non-discrimination grounds</w:t>
      </w:r>
      <w:r w:rsidRPr="00FF4DDD">
        <w:t>.</w:t>
      </w:r>
      <w:r w:rsidRPr="00FF4DDD">
        <w:rPr>
          <w:rStyle w:val="FootnoteReference"/>
        </w:rPr>
        <w:footnoteReference w:id="62"/>
      </w:r>
    </w:p>
    <w:p w14:paraId="296CD99F" w14:textId="570B8AEB" w:rsidR="00737A87" w:rsidRDefault="00026FE0" w:rsidP="00737A87">
      <w:pPr>
        <w:pStyle w:val="ListParagraph"/>
        <w:numPr>
          <w:ilvl w:val="1"/>
          <w:numId w:val="8"/>
        </w:numPr>
        <w:spacing w:after="240" w:line="276" w:lineRule="auto"/>
        <w:contextualSpacing w:val="0"/>
      </w:pPr>
      <w:r>
        <w:t xml:space="preserve">The </w:t>
      </w:r>
      <w:r w:rsidR="00B56627">
        <w:t>NIHRC</w:t>
      </w:r>
      <w:r>
        <w:t xml:space="preserve">, along with the Equality Commission </w:t>
      </w:r>
      <w:r w:rsidR="008F0C0C">
        <w:t>f</w:t>
      </w:r>
      <w:r>
        <w:t>or NI, has identified a number of measures which they consider amend and</w:t>
      </w:r>
      <w:r w:rsidR="00482DAA">
        <w:t>/</w:t>
      </w:r>
      <w:r>
        <w:t xml:space="preserve">or replace the EU </w:t>
      </w:r>
      <w:r w:rsidR="00B55315">
        <w:t>e</w:t>
      </w:r>
      <w:r>
        <w:t xml:space="preserve">quality </w:t>
      </w:r>
      <w:r w:rsidR="00B55315">
        <w:t>d</w:t>
      </w:r>
      <w:r>
        <w:t>irectives in Annex 1</w:t>
      </w:r>
      <w:r w:rsidR="008F0C0C">
        <w:t xml:space="preserve">. </w:t>
      </w:r>
      <w:r w:rsidR="008E3644">
        <w:t xml:space="preserve">These include the </w:t>
      </w:r>
      <w:r w:rsidR="008E3644" w:rsidRPr="008E3644">
        <w:t>EU Pay Transparency Directive</w:t>
      </w:r>
      <w:r w:rsidR="00DC6B92">
        <w:rPr>
          <w:rStyle w:val="FootnoteReference"/>
        </w:rPr>
        <w:footnoteReference w:id="63"/>
      </w:r>
      <w:r w:rsidR="008E3644">
        <w:t xml:space="preserve"> and two EU </w:t>
      </w:r>
      <w:r w:rsidR="00F65604">
        <w:t>d</w:t>
      </w:r>
      <w:r w:rsidR="008E3644">
        <w:t>irectives on binding standards for equality bodies.</w:t>
      </w:r>
      <w:r w:rsidR="00DC6B92">
        <w:rPr>
          <w:rStyle w:val="FootnoteReference"/>
        </w:rPr>
        <w:footnoteReference w:id="64"/>
      </w:r>
      <w:r w:rsidR="008E3644">
        <w:t xml:space="preserve"> The Commission is </w:t>
      </w:r>
      <w:r w:rsidR="00523D23">
        <w:t xml:space="preserve">currently reviewing the EU Directive on </w:t>
      </w:r>
      <w:r w:rsidR="00523D23">
        <w:lastRenderedPageBreak/>
        <w:t>Combating Violence against Women</w:t>
      </w:r>
      <w:r w:rsidR="00C507D4">
        <w:t xml:space="preserve"> and </w:t>
      </w:r>
      <w:r w:rsidR="00390612">
        <w:t>Domestic Violence</w:t>
      </w:r>
      <w:r w:rsidR="00DC6B92">
        <w:t>,</w:t>
      </w:r>
      <w:r w:rsidR="00DC6B92">
        <w:rPr>
          <w:rStyle w:val="FootnoteReference"/>
        </w:rPr>
        <w:footnoteReference w:id="65"/>
      </w:r>
      <w:r w:rsidR="00523D23">
        <w:t xml:space="preserve"> t</w:t>
      </w:r>
      <w:r w:rsidR="00523D23" w:rsidRPr="00523D23">
        <w:t>o understand if</w:t>
      </w:r>
      <w:r w:rsidR="00523D23">
        <w:t>,</w:t>
      </w:r>
      <w:r w:rsidR="00523D23" w:rsidRPr="00523D23">
        <w:t xml:space="preserve"> </w:t>
      </w:r>
      <w:r w:rsidR="00996DA5">
        <w:t>or</w:t>
      </w:r>
      <w:r w:rsidR="00996DA5" w:rsidRPr="00523D23">
        <w:t xml:space="preserve"> </w:t>
      </w:r>
      <w:r w:rsidR="00523D23" w:rsidRPr="00523D23">
        <w:t>to what extent</w:t>
      </w:r>
      <w:r w:rsidR="00523D23">
        <w:t>,</w:t>
      </w:r>
      <w:r w:rsidR="00523D23" w:rsidRPr="00523D23">
        <w:t xml:space="preserve"> it amends and/or replaces provisions of the EU Gender Equality (Employment) Directive</w:t>
      </w:r>
      <w:r w:rsidR="00523D23">
        <w:t>.</w:t>
      </w:r>
      <w:r w:rsidR="00DC6B92">
        <w:rPr>
          <w:rStyle w:val="FootnoteReference"/>
        </w:rPr>
        <w:footnoteReference w:id="66"/>
      </w:r>
    </w:p>
    <w:p w14:paraId="2F778628" w14:textId="57B76CD6" w:rsidR="00737A87" w:rsidRDefault="00523D23" w:rsidP="00737A87">
      <w:pPr>
        <w:pStyle w:val="Heading2"/>
      </w:pPr>
      <w:bookmarkStart w:id="18" w:name="_Toc176503691"/>
      <w:r>
        <w:t xml:space="preserve">EU </w:t>
      </w:r>
      <w:r w:rsidR="00737A87">
        <w:t xml:space="preserve">Pay </w:t>
      </w:r>
      <w:r>
        <w:t>Transparency</w:t>
      </w:r>
      <w:r w:rsidR="00737A87">
        <w:t xml:space="preserve"> </w:t>
      </w:r>
      <w:r>
        <w:t>Directive</w:t>
      </w:r>
      <w:bookmarkEnd w:id="18"/>
      <w:r>
        <w:t xml:space="preserve"> </w:t>
      </w:r>
      <w:r w:rsidR="00737A87">
        <w:t xml:space="preserve"> </w:t>
      </w:r>
    </w:p>
    <w:p w14:paraId="01C101AB" w14:textId="77777777" w:rsidR="00597B5F" w:rsidRPr="004145CE" w:rsidRDefault="00F26C17" w:rsidP="00597B5F">
      <w:pPr>
        <w:pStyle w:val="ListParagraph"/>
        <w:numPr>
          <w:ilvl w:val="1"/>
          <w:numId w:val="8"/>
        </w:numPr>
        <w:spacing w:after="240" w:line="276" w:lineRule="auto"/>
        <w:contextualSpacing w:val="0"/>
      </w:pPr>
      <w:r>
        <w:t>Even though t</w:t>
      </w:r>
      <w:r w:rsidR="00737A87" w:rsidRPr="00737A87">
        <w:t>he earning gap between men and women in NI has reduced over the past 20 years, in 2023 women</w:t>
      </w:r>
      <w:r w:rsidR="00165BD6">
        <w:t>’s</w:t>
      </w:r>
      <w:r w:rsidR="00D55893">
        <w:t xml:space="preserve"> median hourly earnings</w:t>
      </w:r>
      <w:r w:rsidR="00737A87" w:rsidRPr="00737A87">
        <w:t xml:space="preserve"> in NI </w:t>
      </w:r>
      <w:r w:rsidR="00D55893">
        <w:t xml:space="preserve">were </w:t>
      </w:r>
      <w:r w:rsidR="00737A87" w:rsidRPr="00737A87">
        <w:t xml:space="preserve">7.8% less in comparison </w:t>
      </w:r>
      <w:r>
        <w:t>to</w:t>
      </w:r>
      <w:r w:rsidR="00737A87" w:rsidRPr="00737A87">
        <w:t xml:space="preserve"> men.</w:t>
      </w:r>
      <w:r w:rsidR="00737A87" w:rsidRPr="00737A87">
        <w:rPr>
          <w:vertAlign w:val="superscript"/>
        </w:rPr>
        <w:footnoteReference w:id="67"/>
      </w:r>
      <w:r w:rsidR="00737A87" w:rsidRPr="00737A87">
        <w:t xml:space="preserve"> Moreover, the gender pay gap in NI is affected by the ‘part-time effect’, as part-time employees earn less on average than full-time employees and a higher proportion of part-time employees are women.</w:t>
      </w:r>
      <w:r w:rsidR="00737A87" w:rsidRPr="00737A87">
        <w:rPr>
          <w:vertAlign w:val="superscript"/>
        </w:rPr>
        <w:footnoteReference w:id="68"/>
      </w:r>
      <w:r w:rsidR="00597B5F">
        <w:t xml:space="preserve"> U</w:t>
      </w:r>
      <w:r w:rsidR="00597B5F" w:rsidRPr="00616C66">
        <w:t xml:space="preserve">nlike in Great Britain and Ireland, there is currently no legislation in </w:t>
      </w:r>
      <w:r w:rsidR="00597B5F">
        <w:t>NI</w:t>
      </w:r>
      <w:r w:rsidR="00597B5F" w:rsidRPr="00616C66">
        <w:t xml:space="preserve"> requiring gender pay reporting by certain employers.</w:t>
      </w:r>
      <w:r w:rsidR="00597B5F">
        <w:rPr>
          <w:rStyle w:val="FootnoteReference"/>
        </w:rPr>
        <w:footnoteReference w:id="69"/>
      </w:r>
    </w:p>
    <w:p w14:paraId="497A8D39" w14:textId="6A2CBF17" w:rsidR="004145CE" w:rsidRDefault="00240071" w:rsidP="004145CE">
      <w:pPr>
        <w:pStyle w:val="ListParagraph"/>
        <w:numPr>
          <w:ilvl w:val="1"/>
          <w:numId w:val="8"/>
        </w:numPr>
        <w:spacing w:line="276" w:lineRule="auto"/>
      </w:pPr>
      <w:r w:rsidRPr="00A82978">
        <w:t xml:space="preserve">The obligation to keep pace with the </w:t>
      </w:r>
      <w:r>
        <w:t>Annex 1 equality directives pursuant to Articles 2 and 13 of the Windsor Framework,</w:t>
      </w:r>
      <w:r w:rsidRPr="00A82978">
        <w:t xml:space="preserve"> includes the </w:t>
      </w:r>
      <w:r>
        <w:t xml:space="preserve">EU </w:t>
      </w:r>
      <w:r w:rsidRPr="00A82978">
        <w:t>Gender Equality (Employment) Directive which protects against discrimination in employment on the grounds of gender.</w:t>
      </w:r>
      <w:r w:rsidRPr="00A82978">
        <w:rPr>
          <w:vertAlign w:val="superscript"/>
        </w:rPr>
        <w:footnoteReference w:id="70"/>
      </w:r>
      <w:r w:rsidRPr="00A82978">
        <w:t xml:space="preserve"> </w:t>
      </w:r>
      <w:r w:rsidR="005B3681">
        <w:t xml:space="preserve">As mentioned above, </w:t>
      </w:r>
      <w:r w:rsidRPr="00A82978">
        <w:t>NI equality law must align with any improvements made by the EU to these rights</w:t>
      </w:r>
      <w:r w:rsidRPr="00A82978">
        <w:rPr>
          <w:color w:val="000000" w:themeColor="text1"/>
        </w:rPr>
        <w:t xml:space="preserve">, </w:t>
      </w:r>
      <w:r w:rsidRPr="00A82978">
        <w:t xml:space="preserve">on or after 1 January 2021, including </w:t>
      </w:r>
      <w:r>
        <w:t xml:space="preserve">complying with </w:t>
      </w:r>
      <w:r w:rsidRPr="00A82978">
        <w:t>relevant current and future CJEU case law.</w:t>
      </w:r>
      <w:r w:rsidRPr="00A82978">
        <w:rPr>
          <w:vertAlign w:val="superscript"/>
        </w:rPr>
        <w:footnoteReference w:id="71"/>
      </w:r>
    </w:p>
    <w:p w14:paraId="38E7D701" w14:textId="77777777" w:rsidR="00B0774A" w:rsidRPr="003A36F8" w:rsidRDefault="00B0774A" w:rsidP="004145CE">
      <w:pPr>
        <w:spacing w:line="276" w:lineRule="auto"/>
        <w:rPr>
          <w:i/>
          <w:iCs/>
        </w:rPr>
      </w:pPr>
    </w:p>
    <w:p w14:paraId="3230345C" w14:textId="77777777" w:rsidR="006361CC" w:rsidRDefault="00B0774A" w:rsidP="006361CC">
      <w:pPr>
        <w:pStyle w:val="ListParagraph"/>
        <w:numPr>
          <w:ilvl w:val="1"/>
          <w:numId w:val="8"/>
        </w:numPr>
        <w:spacing w:after="240" w:line="276" w:lineRule="auto"/>
        <w:contextualSpacing w:val="0"/>
      </w:pPr>
      <w:r>
        <w:t>The EU Pay Transparency Directive came into force on 6 June 2023 and must be transposed by Member States by 7 June 2026.</w:t>
      </w:r>
      <w:r>
        <w:rPr>
          <w:rStyle w:val="FootnoteReference"/>
        </w:rPr>
        <w:footnoteReference w:id="72"/>
      </w:r>
      <w:r>
        <w:t xml:space="preserve"> The Directive aims to strengthen the existing enforcement tools and procedures </w:t>
      </w:r>
      <w:r w:rsidR="006361CC">
        <w:lastRenderedPageBreak/>
        <w:t>regarding</w:t>
      </w:r>
      <w:r>
        <w:t xml:space="preserve"> the rights and obligations and equal pay provisions set out in the EU </w:t>
      </w:r>
      <w:r w:rsidRPr="00A82978">
        <w:t>Gender Equality (Employment) Directive</w:t>
      </w:r>
      <w:r>
        <w:t xml:space="preserve"> (</w:t>
      </w:r>
      <w:r w:rsidRPr="1AFD9E60">
        <w:t>2006/54/EC</w:t>
      </w:r>
      <w:r>
        <w:t>).</w:t>
      </w:r>
      <w:r w:rsidRPr="1AFD9E60">
        <w:rPr>
          <w:rStyle w:val="FootnoteReference"/>
        </w:rPr>
        <w:footnoteReference w:id="73"/>
      </w:r>
    </w:p>
    <w:p w14:paraId="11BC2EB1" w14:textId="4B9B0DB4" w:rsidR="004145CE" w:rsidRPr="004145CE" w:rsidRDefault="004145CE" w:rsidP="004145CE">
      <w:pPr>
        <w:pStyle w:val="ListParagraph"/>
        <w:numPr>
          <w:ilvl w:val="1"/>
          <w:numId w:val="8"/>
        </w:numPr>
        <w:spacing w:after="240" w:line="276" w:lineRule="auto"/>
        <w:contextualSpacing w:val="0"/>
      </w:pPr>
      <w:r w:rsidRPr="00616C66">
        <w:t xml:space="preserve">To date </w:t>
      </w:r>
      <w:r w:rsidR="006C57ED">
        <w:t>the UK Government has not expressed a view</w:t>
      </w:r>
      <w:r w:rsidR="00E429F3">
        <w:t xml:space="preserve"> </w:t>
      </w:r>
      <w:r w:rsidR="006E17BF">
        <w:t xml:space="preserve">on </w:t>
      </w:r>
      <w:r w:rsidR="00255D0C">
        <w:t>extent to which</w:t>
      </w:r>
      <w:r w:rsidR="006E17BF" w:rsidRPr="00616C66">
        <w:t xml:space="preserve"> the EU Pay Transparency Directive </w:t>
      </w:r>
      <w:r w:rsidR="00255D0C">
        <w:t>affects</w:t>
      </w:r>
      <w:r w:rsidR="006E17BF" w:rsidRPr="00616C66">
        <w:t xml:space="preserve"> dynamic obligations under Windsor Framework Article 2</w:t>
      </w:r>
      <w:r w:rsidR="00E6264F">
        <w:t xml:space="preserve"> and </w:t>
      </w:r>
      <w:r w:rsidRPr="00616C66">
        <w:t>there has been no clear indication from</w:t>
      </w:r>
      <w:r w:rsidR="003A1EDF">
        <w:t xml:space="preserve"> the Department of Economy</w:t>
      </w:r>
      <w:r w:rsidRPr="00616C66">
        <w:t xml:space="preserve"> that it is committed to ensuring that relevant protections in </w:t>
      </w:r>
      <w:r>
        <w:t>NI</w:t>
      </w:r>
      <w:r w:rsidRPr="00616C66">
        <w:t xml:space="preserve">’s equality legislation relating to equal pay will be amended to keep pace. </w:t>
      </w:r>
    </w:p>
    <w:p w14:paraId="06058568" w14:textId="7750D12D" w:rsidR="00F7271F" w:rsidRPr="003A3913" w:rsidRDefault="00B86BFE" w:rsidP="00F7271F">
      <w:pPr>
        <w:pStyle w:val="ListParagraph"/>
        <w:numPr>
          <w:ilvl w:val="1"/>
          <w:numId w:val="8"/>
        </w:numPr>
        <w:spacing w:after="240" w:line="276" w:lineRule="auto"/>
        <w:contextualSpacing w:val="0"/>
      </w:pPr>
      <w:r>
        <w:rPr>
          <w:rFonts w:eastAsia="Times New Roman"/>
        </w:rPr>
        <w:t xml:space="preserve">The </w:t>
      </w:r>
      <w:r w:rsidR="005A69E5">
        <w:rPr>
          <w:rFonts w:eastAsia="Times New Roman"/>
        </w:rPr>
        <w:t xml:space="preserve">NIHRC and the </w:t>
      </w:r>
      <w:r w:rsidRPr="006756EA">
        <w:rPr>
          <w:rFonts w:eastAsia="Times New Roman"/>
        </w:rPr>
        <w:t>E</w:t>
      </w:r>
      <w:r>
        <w:rPr>
          <w:rFonts w:eastAsia="Times New Roman"/>
        </w:rPr>
        <w:t>quality Commission for NI</w:t>
      </w:r>
      <w:r w:rsidRPr="006756EA">
        <w:rPr>
          <w:rFonts w:eastAsia="Times New Roman"/>
        </w:rPr>
        <w:t xml:space="preserve"> published a joint briefing paper providing detailed analysis of the EU P</w:t>
      </w:r>
      <w:r>
        <w:rPr>
          <w:rFonts w:eastAsia="Times New Roman"/>
        </w:rPr>
        <w:t xml:space="preserve">ay </w:t>
      </w:r>
      <w:r w:rsidRPr="006756EA">
        <w:rPr>
          <w:rFonts w:eastAsia="Times New Roman"/>
        </w:rPr>
        <w:t>T</w:t>
      </w:r>
      <w:r>
        <w:rPr>
          <w:rFonts w:eastAsia="Times New Roman"/>
        </w:rPr>
        <w:t xml:space="preserve">ransparency </w:t>
      </w:r>
      <w:r w:rsidRPr="006756EA">
        <w:rPr>
          <w:rFonts w:eastAsia="Times New Roman"/>
        </w:rPr>
        <w:t>D</w:t>
      </w:r>
      <w:r>
        <w:rPr>
          <w:rFonts w:eastAsia="Times New Roman"/>
        </w:rPr>
        <w:t>irective</w:t>
      </w:r>
      <w:r w:rsidR="00260F96">
        <w:rPr>
          <w:rFonts w:eastAsia="Times New Roman"/>
        </w:rPr>
        <w:t xml:space="preserve">, </w:t>
      </w:r>
      <w:r w:rsidRPr="006756EA">
        <w:rPr>
          <w:rFonts w:eastAsia="Times New Roman"/>
        </w:rPr>
        <w:t xml:space="preserve">concluding </w:t>
      </w:r>
      <w:r w:rsidR="004145CE" w:rsidRPr="004145CE">
        <w:rPr>
          <w:rFonts w:eastAsia="Times New Roman"/>
        </w:rPr>
        <w:t>that the provisions of the EU Pay Transparency Directive</w:t>
      </w:r>
      <w:r w:rsidR="004145CE" w:rsidRPr="00616C66">
        <w:rPr>
          <w:vertAlign w:val="superscript"/>
        </w:rPr>
        <w:footnoteReference w:id="74"/>
      </w:r>
      <w:r w:rsidR="004145CE" w:rsidRPr="004145CE">
        <w:rPr>
          <w:rFonts w:eastAsia="Times New Roman"/>
        </w:rPr>
        <w:t xml:space="preserve"> amend and/or replace provisions in the EU Gender Equality (Employment) Directive</w:t>
      </w:r>
      <w:r w:rsidR="004145CE" w:rsidRPr="00616C66">
        <w:rPr>
          <w:vertAlign w:val="superscript"/>
        </w:rPr>
        <w:footnoteReference w:id="75"/>
      </w:r>
      <w:r w:rsidR="004145CE" w:rsidRPr="004145CE">
        <w:rPr>
          <w:rFonts w:eastAsia="Times New Roman"/>
        </w:rPr>
        <w:t xml:space="preserve"> which is listed in Annex 1 of the Windsor Framework.</w:t>
      </w:r>
      <w:r w:rsidR="004145CE" w:rsidRPr="00616C66">
        <w:rPr>
          <w:vertAlign w:val="superscript"/>
        </w:rPr>
        <w:footnoteReference w:id="76"/>
      </w:r>
      <w:r w:rsidR="004145CE" w:rsidRPr="004145CE">
        <w:rPr>
          <w:rFonts w:eastAsia="Times New Roman"/>
        </w:rPr>
        <w:t xml:space="preserve"> Therefore, NI equality law must keep pace with these changes, further to the UK Government’s dynamic alignment obliga</w:t>
      </w:r>
      <w:r w:rsidR="00121F75">
        <w:rPr>
          <w:rFonts w:eastAsia="Times New Roman"/>
        </w:rPr>
        <w:t>t</w:t>
      </w:r>
      <w:r w:rsidR="004145CE" w:rsidRPr="004145CE">
        <w:rPr>
          <w:rFonts w:eastAsia="Times New Roman"/>
        </w:rPr>
        <w:t>ion in the Windsor Framework.</w:t>
      </w:r>
      <w:r w:rsidR="004145CE" w:rsidRPr="00616C66">
        <w:rPr>
          <w:vertAlign w:val="superscript"/>
        </w:rPr>
        <w:footnoteReference w:id="77"/>
      </w:r>
    </w:p>
    <w:p w14:paraId="4BABB1AC" w14:textId="0A1F929A" w:rsidR="00F00998" w:rsidRPr="00B86BFE" w:rsidRDefault="00F00998" w:rsidP="00B86BFE">
      <w:pPr>
        <w:pStyle w:val="ListParagraph"/>
        <w:numPr>
          <w:ilvl w:val="1"/>
          <w:numId w:val="8"/>
        </w:numPr>
        <w:spacing w:after="240" w:line="276" w:lineRule="auto"/>
        <w:rPr>
          <w:rFonts w:eastAsia="Times New Roman"/>
          <w:b/>
          <w:bCs/>
        </w:rPr>
      </w:pPr>
      <w:r w:rsidRPr="00B86BFE">
        <w:rPr>
          <w:rFonts w:eastAsia="Times New Roman"/>
          <w:b/>
          <w:bCs/>
        </w:rPr>
        <w:t xml:space="preserve">The NIHRC recommends </w:t>
      </w:r>
      <w:r w:rsidR="00C97093">
        <w:rPr>
          <w:rFonts w:eastAsia="Times New Roman"/>
          <w:b/>
          <w:bCs/>
        </w:rPr>
        <w:t>t</w:t>
      </w:r>
      <w:r w:rsidR="00C06745">
        <w:rPr>
          <w:rFonts w:eastAsia="Times New Roman"/>
          <w:b/>
          <w:bCs/>
        </w:rPr>
        <w:t>hat</w:t>
      </w:r>
      <w:r w:rsidR="00C97093">
        <w:rPr>
          <w:rFonts w:eastAsia="Times New Roman"/>
          <w:b/>
          <w:bCs/>
        </w:rPr>
        <w:t xml:space="preserve"> the </w:t>
      </w:r>
      <w:r w:rsidR="00426041" w:rsidRPr="00426041">
        <w:rPr>
          <w:rFonts w:eastAsia="Times New Roman"/>
          <w:b/>
          <w:bCs/>
        </w:rPr>
        <w:t>NI Executive</w:t>
      </w:r>
      <w:r w:rsidR="008A3EB0">
        <w:rPr>
          <w:rFonts w:eastAsia="Times New Roman"/>
          <w:b/>
          <w:bCs/>
        </w:rPr>
        <w:t xml:space="preserve"> </w:t>
      </w:r>
      <w:r w:rsidR="00426041" w:rsidRPr="00426041">
        <w:rPr>
          <w:rFonts w:eastAsia="Times New Roman"/>
          <w:b/>
          <w:bCs/>
        </w:rPr>
        <w:t>ensure tha</w:t>
      </w:r>
      <w:r w:rsidR="00195DF8">
        <w:rPr>
          <w:rFonts w:eastAsia="Times New Roman"/>
          <w:b/>
          <w:bCs/>
        </w:rPr>
        <w:t xml:space="preserve">t </w:t>
      </w:r>
      <w:r w:rsidR="00426041" w:rsidRPr="00426041">
        <w:rPr>
          <w:rFonts w:eastAsia="Times New Roman"/>
          <w:b/>
          <w:bCs/>
        </w:rPr>
        <w:t>provisions of the EU Pay Transparency Directive</w:t>
      </w:r>
      <w:r w:rsidR="008A3EB0">
        <w:rPr>
          <w:rFonts w:eastAsia="Times New Roman"/>
          <w:b/>
          <w:bCs/>
        </w:rPr>
        <w:t xml:space="preserve"> that </w:t>
      </w:r>
      <w:r w:rsidR="008A3EB0" w:rsidRPr="008A3EB0">
        <w:rPr>
          <w:rFonts w:eastAsia="Times New Roman"/>
          <w:b/>
          <w:bCs/>
        </w:rPr>
        <w:t xml:space="preserve">amend and/or replace provisions </w:t>
      </w:r>
      <w:r w:rsidR="005F59D5">
        <w:rPr>
          <w:rFonts w:eastAsia="Times New Roman"/>
          <w:b/>
          <w:bCs/>
        </w:rPr>
        <w:t xml:space="preserve">of </w:t>
      </w:r>
      <w:r w:rsidR="008A3EB0" w:rsidRPr="008A3EB0">
        <w:rPr>
          <w:rFonts w:eastAsia="Times New Roman"/>
          <w:b/>
          <w:bCs/>
        </w:rPr>
        <w:t>the EU Gender Equality (Employment) Directive</w:t>
      </w:r>
      <w:r w:rsidR="00426041" w:rsidRPr="00426041">
        <w:rPr>
          <w:rFonts w:eastAsia="Times New Roman"/>
          <w:b/>
          <w:bCs/>
        </w:rPr>
        <w:t xml:space="preserve"> </w:t>
      </w:r>
      <w:r w:rsidR="001F1A70">
        <w:rPr>
          <w:rFonts w:eastAsia="Times New Roman"/>
          <w:b/>
          <w:bCs/>
        </w:rPr>
        <w:t xml:space="preserve">are </w:t>
      </w:r>
      <w:r w:rsidR="000335D5">
        <w:rPr>
          <w:rFonts w:eastAsia="Times New Roman"/>
          <w:b/>
          <w:bCs/>
        </w:rPr>
        <w:t>reflected in domestic law</w:t>
      </w:r>
      <w:r w:rsidR="00FA1E5C">
        <w:rPr>
          <w:rFonts w:eastAsia="Times New Roman"/>
          <w:b/>
          <w:bCs/>
        </w:rPr>
        <w:t xml:space="preserve">. </w:t>
      </w:r>
    </w:p>
    <w:p w14:paraId="43970A26" w14:textId="0B649620" w:rsidR="00F7271F" w:rsidRPr="00FD21A8" w:rsidRDefault="00F7271F" w:rsidP="0022103C">
      <w:pPr>
        <w:pStyle w:val="Heading2"/>
      </w:pPr>
      <w:bookmarkStart w:id="20" w:name="_Toc176503692"/>
      <w:bookmarkStart w:id="21" w:name="_Hlk165117730"/>
      <w:r w:rsidRPr="00FD21A8">
        <w:t>Binding Standards for Equality Bodies</w:t>
      </w:r>
      <w:bookmarkEnd w:id="20"/>
    </w:p>
    <w:p w14:paraId="3620B757" w14:textId="3F90CB1A" w:rsidR="00F7271F" w:rsidRPr="00F7271F" w:rsidRDefault="00F7271F" w:rsidP="005B3BC6">
      <w:pPr>
        <w:pStyle w:val="ListParagraph"/>
        <w:numPr>
          <w:ilvl w:val="1"/>
          <w:numId w:val="8"/>
        </w:numPr>
        <w:rPr>
          <w:b/>
          <w:bCs/>
        </w:rPr>
      </w:pPr>
      <w:r w:rsidRPr="005B4C83">
        <w:rPr>
          <w:rFonts w:eastAsia="Times New Roman"/>
        </w:rPr>
        <w:t xml:space="preserve">In </w:t>
      </w:r>
      <w:r w:rsidRPr="00FD7576">
        <w:rPr>
          <w:rFonts w:eastAsia="Times New Roman"/>
        </w:rPr>
        <w:t>May 2024</w:t>
      </w:r>
      <w:r w:rsidRPr="005B4C83">
        <w:rPr>
          <w:rFonts w:eastAsia="Times New Roman"/>
        </w:rPr>
        <w:t xml:space="preserve">, the EU Commission </w:t>
      </w:r>
      <w:r>
        <w:rPr>
          <w:rFonts w:eastAsia="Times New Roman"/>
        </w:rPr>
        <w:t>adopted</w:t>
      </w:r>
      <w:r w:rsidRPr="005B4C83">
        <w:rPr>
          <w:rFonts w:eastAsia="Times New Roman"/>
        </w:rPr>
        <w:t xml:space="preserve"> two </w:t>
      </w:r>
      <w:r w:rsidR="000E7CEB">
        <w:rPr>
          <w:rFonts w:eastAsia="Times New Roman"/>
        </w:rPr>
        <w:t>D</w:t>
      </w:r>
      <w:r w:rsidRPr="005B4C83">
        <w:rPr>
          <w:rFonts w:eastAsia="Times New Roman"/>
        </w:rPr>
        <w:t xml:space="preserve">irectives on </w:t>
      </w:r>
      <w:r w:rsidRPr="2D61A484">
        <w:rPr>
          <w:rFonts w:eastAsia="Times New Roman"/>
        </w:rPr>
        <w:t>standards for equality bodies.</w:t>
      </w:r>
      <w:r w:rsidRPr="2D61A484">
        <w:rPr>
          <w:vertAlign w:val="superscript"/>
        </w:rPr>
        <w:footnoteReference w:id="78"/>
      </w:r>
      <w:r w:rsidRPr="005B4C83">
        <w:rPr>
          <w:rFonts w:eastAsia="Times New Roman"/>
          <w:vertAlign w:val="superscript"/>
        </w:rPr>
        <w:t xml:space="preserve"> </w:t>
      </w:r>
      <w:bookmarkEnd w:id="21"/>
    </w:p>
    <w:p w14:paraId="7BF0A259" w14:textId="77777777" w:rsidR="00F7271F" w:rsidRPr="00F7271F" w:rsidRDefault="00F7271F" w:rsidP="00F7271F">
      <w:pPr>
        <w:pStyle w:val="ListParagraph"/>
        <w:ind w:left="720"/>
        <w:rPr>
          <w:b/>
          <w:bCs/>
        </w:rPr>
      </w:pPr>
    </w:p>
    <w:p w14:paraId="7D77762B" w14:textId="22150365" w:rsidR="00F7271F" w:rsidRPr="00F7271F" w:rsidRDefault="00A74216" w:rsidP="005B3BC6">
      <w:pPr>
        <w:pStyle w:val="ListParagraph"/>
        <w:numPr>
          <w:ilvl w:val="1"/>
          <w:numId w:val="8"/>
        </w:numPr>
        <w:rPr>
          <w:b/>
          <w:bCs/>
        </w:rPr>
      </w:pPr>
      <w:r w:rsidRPr="00F7271F">
        <w:rPr>
          <w:rFonts w:eastAsia="Times New Roman"/>
        </w:rPr>
        <w:lastRenderedPageBreak/>
        <w:t xml:space="preserve">The aim of the </w:t>
      </w:r>
      <w:r w:rsidR="000E7CEB">
        <w:rPr>
          <w:rFonts w:eastAsia="Times New Roman"/>
        </w:rPr>
        <w:t>D</w:t>
      </w:r>
      <w:r w:rsidRPr="00F7271F">
        <w:rPr>
          <w:rFonts w:eastAsia="Times New Roman"/>
        </w:rPr>
        <w:t xml:space="preserve">irectives is to create a strengthened framework for EU equality bodies to promote equal treatment and equal opportunities and combat discrimination on all grounds and in the fields set out by the EU equality directives. </w:t>
      </w:r>
      <w:r w:rsidR="00CD26A4" w:rsidRPr="00F7271F">
        <w:rPr>
          <w:rFonts w:eastAsia="Times New Roman"/>
        </w:rPr>
        <w:t>T</w:t>
      </w:r>
      <w:r w:rsidRPr="00F7271F">
        <w:rPr>
          <w:rFonts w:eastAsia="Times New Roman"/>
        </w:rPr>
        <w:t>ogether, they strengthen the role and independence of equality bodies to engage in the prevention of discrimination</w:t>
      </w:r>
      <w:r w:rsidR="00A1038C" w:rsidRPr="00F7271F">
        <w:rPr>
          <w:rFonts w:eastAsia="Times New Roman"/>
        </w:rPr>
        <w:t xml:space="preserve"> and </w:t>
      </w:r>
      <w:r w:rsidRPr="00F7271F">
        <w:rPr>
          <w:rFonts w:eastAsia="Times New Roman"/>
        </w:rPr>
        <w:t>promote equal treatment</w:t>
      </w:r>
      <w:r w:rsidR="00A1038C" w:rsidRPr="00F7271F">
        <w:rPr>
          <w:rFonts w:eastAsia="Times New Roman"/>
        </w:rPr>
        <w:t xml:space="preserve">. </w:t>
      </w:r>
    </w:p>
    <w:p w14:paraId="0FF265C0" w14:textId="77777777" w:rsidR="00F7271F" w:rsidRPr="00F7271F" w:rsidRDefault="00F7271F" w:rsidP="00F7271F">
      <w:pPr>
        <w:pStyle w:val="ListParagraph"/>
        <w:ind w:left="720"/>
        <w:rPr>
          <w:b/>
          <w:bCs/>
        </w:rPr>
      </w:pPr>
    </w:p>
    <w:p w14:paraId="3D3C27FC" w14:textId="5F21E836" w:rsidR="00D250B2" w:rsidRPr="001B55A0" w:rsidRDefault="00A74216" w:rsidP="00D33364">
      <w:pPr>
        <w:pStyle w:val="ListParagraph"/>
        <w:numPr>
          <w:ilvl w:val="1"/>
          <w:numId w:val="8"/>
        </w:numPr>
        <w:rPr>
          <w:b/>
        </w:rPr>
      </w:pPr>
      <w:r w:rsidRPr="00F7271F">
        <w:rPr>
          <w:rFonts w:eastAsia="Times New Roman"/>
        </w:rPr>
        <w:t>Four Annex 1 equality directives reference the minimum competencies of equality bodies in their respective field: the EU Racial Equality Directive;</w:t>
      </w:r>
      <w:r w:rsidRPr="00474F10">
        <w:rPr>
          <w:vertAlign w:val="superscript"/>
        </w:rPr>
        <w:footnoteReference w:id="79"/>
      </w:r>
      <w:r w:rsidRPr="00F7271F">
        <w:rPr>
          <w:rFonts w:eastAsia="Times New Roman"/>
        </w:rPr>
        <w:t xml:space="preserve"> the EU Gender Equality Directive in the field of goods and services;</w:t>
      </w:r>
      <w:r w:rsidRPr="00474F10">
        <w:rPr>
          <w:vertAlign w:val="superscript"/>
        </w:rPr>
        <w:footnoteReference w:id="80"/>
      </w:r>
      <w:r w:rsidRPr="00F7271F">
        <w:rPr>
          <w:rFonts w:eastAsia="Times New Roman"/>
        </w:rPr>
        <w:t xml:space="preserve"> </w:t>
      </w:r>
      <w:r w:rsidR="00523D23">
        <w:rPr>
          <w:rFonts w:eastAsia="Times New Roman"/>
        </w:rPr>
        <w:t>and</w:t>
      </w:r>
      <w:r w:rsidRPr="00F7271F">
        <w:rPr>
          <w:rFonts w:eastAsia="Times New Roman"/>
        </w:rPr>
        <w:t xml:space="preserve"> the EU Gender Equality Directive</w:t>
      </w:r>
      <w:r w:rsidR="00D958B0">
        <w:rPr>
          <w:rFonts w:eastAsia="Times New Roman"/>
        </w:rPr>
        <w:t>s</w:t>
      </w:r>
      <w:r w:rsidRPr="00F7271F">
        <w:rPr>
          <w:rFonts w:eastAsia="Times New Roman"/>
        </w:rPr>
        <w:t xml:space="preserve"> in the field of employment</w:t>
      </w:r>
      <w:r w:rsidRPr="00474F10">
        <w:rPr>
          <w:vertAlign w:val="superscript"/>
        </w:rPr>
        <w:footnoteReference w:id="81"/>
      </w:r>
      <w:r w:rsidRPr="00F7271F">
        <w:rPr>
          <w:rFonts w:eastAsia="Times New Roman"/>
        </w:rPr>
        <w:t xml:space="preserve"> and self-employment.</w:t>
      </w:r>
      <w:r w:rsidRPr="00474F10">
        <w:rPr>
          <w:vertAlign w:val="superscript"/>
        </w:rPr>
        <w:footnoteReference w:id="82"/>
      </w:r>
      <w:r w:rsidRPr="00F7271F">
        <w:rPr>
          <w:rFonts w:eastAsia="Times New Roman"/>
        </w:rPr>
        <w:t xml:space="preserve"> </w:t>
      </w:r>
      <w:r w:rsidR="00523D23" w:rsidRPr="001B55A0">
        <w:rPr>
          <w:rFonts w:eastAsia="Times New Roman"/>
        </w:rPr>
        <w:t xml:space="preserve">In addition, the EU Directives on Binding Standards for Equality Bodies also make provision for the role of equality bodies in respect of </w:t>
      </w:r>
      <w:r w:rsidR="00523D23" w:rsidRPr="2D61A484">
        <w:t>the EU Employment Equality (Framework) Directive</w:t>
      </w:r>
      <w:r w:rsidR="00523D23" w:rsidRPr="2D61A484">
        <w:rPr>
          <w:rStyle w:val="FootnoteReference"/>
        </w:rPr>
        <w:footnoteReference w:id="83"/>
      </w:r>
      <w:r w:rsidR="00523D23" w:rsidRPr="2D61A484">
        <w:t xml:space="preserve"> </w:t>
      </w:r>
      <w:r w:rsidR="00523D23">
        <w:t xml:space="preserve">and </w:t>
      </w:r>
      <w:r w:rsidR="00523D23" w:rsidRPr="2D61A484">
        <w:t>the EU Gender Equality in Social Security Directive.</w:t>
      </w:r>
      <w:r w:rsidR="00523D23" w:rsidRPr="2D61A484">
        <w:rPr>
          <w:rStyle w:val="FootnoteReference"/>
        </w:rPr>
        <w:footnoteReference w:id="84"/>
      </w:r>
      <w:r w:rsidR="00523D23" w:rsidRPr="001B55A0">
        <w:rPr>
          <w:rFonts w:eastAsia="Times New Roman"/>
        </w:rPr>
        <w:t xml:space="preserve"> T</w:t>
      </w:r>
      <w:r w:rsidR="00523D23" w:rsidRPr="00FF4DA7">
        <w:t xml:space="preserve">he EU Employment Equality (Framework) Directive, protects against discrimination </w:t>
      </w:r>
      <w:r w:rsidR="00523D23">
        <w:t xml:space="preserve">in employment </w:t>
      </w:r>
      <w:r w:rsidR="00523D23" w:rsidRPr="00FF4DA7">
        <w:t xml:space="preserve">on grounds of </w:t>
      </w:r>
      <w:r w:rsidR="00523D23">
        <w:t xml:space="preserve">age, </w:t>
      </w:r>
      <w:r w:rsidR="00523D23" w:rsidRPr="00FF4DA7">
        <w:t>sexual orientation</w:t>
      </w:r>
      <w:r w:rsidR="00523D23">
        <w:t>, gender and disability</w:t>
      </w:r>
      <w:r w:rsidR="00523D23" w:rsidRPr="00FF4DA7">
        <w:t>.</w:t>
      </w:r>
      <w:r w:rsidR="00523D23" w:rsidRPr="00FF4DA7">
        <w:rPr>
          <w:vertAlign w:val="superscript"/>
        </w:rPr>
        <w:footnoteReference w:id="85"/>
      </w:r>
    </w:p>
    <w:p w14:paraId="5563C86E" w14:textId="77777777" w:rsidR="001B55A0" w:rsidRPr="001B55A0" w:rsidRDefault="001B55A0" w:rsidP="001B55A0">
      <w:pPr>
        <w:pStyle w:val="ListParagraph"/>
        <w:ind w:left="720"/>
        <w:rPr>
          <w:b/>
        </w:rPr>
      </w:pPr>
    </w:p>
    <w:p w14:paraId="7FB0BE81" w14:textId="2412935A" w:rsidR="007D353A" w:rsidRPr="009308AB" w:rsidRDefault="007D353A" w:rsidP="009308AB">
      <w:pPr>
        <w:pStyle w:val="ListParagraph"/>
        <w:numPr>
          <w:ilvl w:val="1"/>
          <w:numId w:val="8"/>
        </w:numPr>
        <w:rPr>
          <w:b/>
        </w:rPr>
      </w:pPr>
      <w:r w:rsidRPr="00FF4DDD">
        <w:t xml:space="preserve">Windsor Framework </w:t>
      </w:r>
      <w:r w:rsidRPr="00716ED8">
        <w:t>Articles</w:t>
      </w:r>
      <w:r w:rsidRPr="00FF4DDD">
        <w:t xml:space="preserve"> 2 </w:t>
      </w:r>
      <w:r w:rsidRPr="00716ED8">
        <w:t xml:space="preserve">and 13 require </w:t>
      </w:r>
      <w:r w:rsidR="00A74216" w:rsidRPr="00F7271F">
        <w:rPr>
          <w:rFonts w:eastAsia="Times New Roman"/>
        </w:rPr>
        <w:t xml:space="preserve">NI equality law </w:t>
      </w:r>
      <w:r w:rsidR="00BF608C" w:rsidRPr="2D61A484">
        <w:rPr>
          <w:rFonts w:eastAsia="Times New Roman"/>
        </w:rPr>
        <w:t xml:space="preserve">to </w:t>
      </w:r>
      <w:r w:rsidR="00A74216" w:rsidRPr="00F7271F">
        <w:rPr>
          <w:rFonts w:eastAsia="Times New Roman"/>
        </w:rPr>
        <w:t xml:space="preserve">keep pace with any changes to these equality directives </w:t>
      </w:r>
      <w:r w:rsidR="00376C81">
        <w:rPr>
          <w:rFonts w:eastAsia="Times New Roman"/>
        </w:rPr>
        <w:t xml:space="preserve">following the adoption of </w:t>
      </w:r>
      <w:r w:rsidR="00A74216" w:rsidRPr="00F7271F">
        <w:rPr>
          <w:rFonts w:eastAsia="Times New Roman"/>
        </w:rPr>
        <w:t xml:space="preserve">the </w:t>
      </w:r>
      <w:r w:rsidR="00376C81">
        <w:rPr>
          <w:rFonts w:eastAsia="Times New Roman"/>
        </w:rPr>
        <w:t xml:space="preserve">EU </w:t>
      </w:r>
      <w:r w:rsidR="00A74216" w:rsidRPr="00F7271F">
        <w:rPr>
          <w:rFonts w:eastAsia="Times New Roman"/>
        </w:rPr>
        <w:t xml:space="preserve">Directives </w:t>
      </w:r>
      <w:r w:rsidR="00376C81">
        <w:rPr>
          <w:rFonts w:eastAsia="Times New Roman"/>
        </w:rPr>
        <w:t>on Binding standards</w:t>
      </w:r>
      <w:r w:rsidR="00A74216" w:rsidRPr="00F7271F">
        <w:rPr>
          <w:rFonts w:eastAsia="Times New Roman"/>
        </w:rPr>
        <w:t xml:space="preserve">. </w:t>
      </w:r>
      <w:r w:rsidR="009308AB">
        <w:rPr>
          <w:rFonts w:eastAsia="Times New Roman"/>
        </w:rPr>
        <w:t>T</w:t>
      </w:r>
      <w:r w:rsidR="009308AB" w:rsidRPr="00F7271F">
        <w:rPr>
          <w:rFonts w:eastAsia="Times New Roman"/>
        </w:rPr>
        <w:t xml:space="preserve">he standards outlined in the EU directives are minimum standards and the NI Executive could introduce legislation that goes beyond these standards, aligned to international human rights standards. </w:t>
      </w:r>
      <w:r w:rsidR="009308AB" w:rsidRPr="00F7271F" w:rsidDel="007D353A">
        <w:rPr>
          <w:rFonts w:eastAsia="Times New Roman"/>
        </w:rPr>
        <w:t xml:space="preserve">These two </w:t>
      </w:r>
      <w:r w:rsidR="009C6488">
        <w:rPr>
          <w:rFonts w:eastAsia="Times New Roman"/>
        </w:rPr>
        <w:t>D</w:t>
      </w:r>
      <w:r w:rsidR="009308AB" w:rsidRPr="00F7271F" w:rsidDel="007D353A">
        <w:rPr>
          <w:rFonts w:eastAsia="Times New Roman"/>
        </w:rPr>
        <w:t xml:space="preserve">irectives have to be transposed </w:t>
      </w:r>
      <w:r w:rsidR="009308AB">
        <w:rPr>
          <w:rFonts w:eastAsia="Times New Roman"/>
        </w:rPr>
        <w:t>by June 2026</w:t>
      </w:r>
      <w:r w:rsidR="009308AB" w:rsidRPr="00F7271F" w:rsidDel="007D353A">
        <w:rPr>
          <w:rFonts w:eastAsia="Times New Roman"/>
        </w:rPr>
        <w:t>.</w:t>
      </w:r>
      <w:r w:rsidR="009308AB" w:rsidRPr="00474F10" w:rsidDel="007D353A">
        <w:rPr>
          <w:vertAlign w:val="superscript"/>
        </w:rPr>
        <w:footnoteReference w:id="86"/>
      </w:r>
    </w:p>
    <w:p w14:paraId="0A0FBB4F" w14:textId="77777777" w:rsidR="007D353A" w:rsidRPr="007D353A" w:rsidRDefault="007D353A" w:rsidP="007D353A">
      <w:pPr>
        <w:pStyle w:val="ListParagraph"/>
        <w:ind w:left="720"/>
        <w:rPr>
          <w:b/>
          <w:bCs/>
        </w:rPr>
      </w:pPr>
    </w:p>
    <w:p w14:paraId="4CB2D0C4" w14:textId="6435D19E" w:rsidR="00F7271F" w:rsidRPr="009308AB" w:rsidRDefault="00A74216" w:rsidP="009308AB">
      <w:pPr>
        <w:pStyle w:val="ListParagraph"/>
        <w:numPr>
          <w:ilvl w:val="1"/>
          <w:numId w:val="8"/>
        </w:numPr>
        <w:rPr>
          <w:b/>
          <w:bCs/>
        </w:rPr>
      </w:pPr>
      <w:r w:rsidRPr="00F7271F">
        <w:rPr>
          <w:rFonts w:eastAsia="Times New Roman"/>
        </w:rPr>
        <w:t xml:space="preserve">The UK Government </w:t>
      </w:r>
      <w:r w:rsidR="007D353A">
        <w:rPr>
          <w:rFonts w:eastAsia="Times New Roman"/>
        </w:rPr>
        <w:t xml:space="preserve">has </w:t>
      </w:r>
      <w:r w:rsidRPr="00F7271F">
        <w:rPr>
          <w:rFonts w:eastAsia="Times New Roman"/>
        </w:rPr>
        <w:t xml:space="preserve">recognised that these adopted EU </w:t>
      </w:r>
      <w:r w:rsidR="009C6488">
        <w:rPr>
          <w:rFonts w:eastAsia="Times New Roman"/>
        </w:rPr>
        <w:t>D</w:t>
      </w:r>
      <w:r w:rsidRPr="00F7271F">
        <w:rPr>
          <w:rFonts w:eastAsia="Times New Roman"/>
        </w:rPr>
        <w:t>irectives fall within the scope of Windsor Framework Article 2.</w:t>
      </w:r>
      <w:r w:rsidRPr="00474F10">
        <w:rPr>
          <w:vertAlign w:val="superscript"/>
        </w:rPr>
        <w:footnoteReference w:id="87"/>
      </w:r>
      <w:r w:rsidR="007D353A">
        <w:rPr>
          <w:rFonts w:eastAsia="Times New Roman"/>
        </w:rPr>
        <w:t xml:space="preserve"> </w:t>
      </w:r>
      <w:r w:rsidR="007D353A" w:rsidRPr="00FF4DDD">
        <w:t xml:space="preserve">The </w:t>
      </w:r>
      <w:r w:rsidR="007D353A">
        <w:t>NIHRC has</w:t>
      </w:r>
      <w:r w:rsidR="007D353A" w:rsidRPr="00FF4DDD">
        <w:t xml:space="preserve"> </w:t>
      </w:r>
      <w:r w:rsidR="00EE1331">
        <w:t>acknowledged</w:t>
      </w:r>
      <w:r w:rsidR="00C9284B">
        <w:t xml:space="preserve"> </w:t>
      </w:r>
      <w:r w:rsidR="007D353A">
        <w:t xml:space="preserve">that </w:t>
      </w:r>
      <w:r w:rsidR="007D353A" w:rsidRPr="00FF4DDD">
        <w:t xml:space="preserve">the development and adoption of EU legislation on binding standards for equality bodies </w:t>
      </w:r>
      <w:r w:rsidR="007D353A" w:rsidRPr="000B2E0C">
        <w:t>is</w:t>
      </w:r>
      <w:r w:rsidR="007D353A" w:rsidRPr="00FF4DDD">
        <w:t xml:space="preserve"> a significant and important step to ensure that EU equality legislation is better applied, reducing opportunities for any divergence of rights across </w:t>
      </w:r>
      <w:r w:rsidR="007D353A">
        <w:t>jurisdictions</w:t>
      </w:r>
      <w:r w:rsidR="007D353A" w:rsidRPr="00FF4DDD">
        <w:t xml:space="preserve"> where such legislation </w:t>
      </w:r>
      <w:r w:rsidR="003B7D5F">
        <w:t>set</w:t>
      </w:r>
      <w:r w:rsidR="000D2211">
        <w:t>s</w:t>
      </w:r>
      <w:r w:rsidR="003B7D5F">
        <w:t xml:space="preserve"> minimum standards</w:t>
      </w:r>
      <w:r w:rsidR="007D353A" w:rsidRPr="00FF4DDD">
        <w:t>, including NI.</w:t>
      </w:r>
      <w:r w:rsidR="007D353A" w:rsidRPr="00357ECC">
        <w:rPr>
          <w:rStyle w:val="FootnoteReference"/>
        </w:rPr>
        <w:footnoteReference w:id="88"/>
      </w:r>
    </w:p>
    <w:p w14:paraId="0890D775" w14:textId="77777777" w:rsidR="00D250B2" w:rsidRPr="00D33364" w:rsidRDefault="00D250B2" w:rsidP="00D33364">
      <w:pPr>
        <w:pStyle w:val="ListParagraph"/>
        <w:rPr>
          <w:b/>
        </w:rPr>
      </w:pPr>
    </w:p>
    <w:p w14:paraId="715297A7" w14:textId="5DC3BCDB" w:rsidR="00D250B2" w:rsidRPr="00360C25" w:rsidRDefault="00D250B2" w:rsidP="005B3BC6">
      <w:pPr>
        <w:pStyle w:val="ListParagraph"/>
        <w:numPr>
          <w:ilvl w:val="1"/>
          <w:numId w:val="8"/>
        </w:numPr>
        <w:rPr>
          <w:b/>
          <w:bCs/>
        </w:rPr>
      </w:pPr>
      <w:r w:rsidRPr="00FF4DA7">
        <w:t xml:space="preserve">The </w:t>
      </w:r>
      <w:r>
        <w:t xml:space="preserve">NIHRC </w:t>
      </w:r>
      <w:r w:rsidR="005A69E5">
        <w:t xml:space="preserve">has reached the view that </w:t>
      </w:r>
      <w:r w:rsidRPr="00FF4DA7">
        <w:t xml:space="preserve">these </w:t>
      </w:r>
      <w:r w:rsidRPr="005B4C83">
        <w:rPr>
          <w:rFonts w:eastAsia="Times New Roman"/>
        </w:rPr>
        <w:t xml:space="preserve">EU </w:t>
      </w:r>
      <w:r>
        <w:rPr>
          <w:rFonts w:eastAsia="Times New Roman"/>
        </w:rPr>
        <w:t xml:space="preserve">Directives </w:t>
      </w:r>
      <w:r w:rsidRPr="005B4C83">
        <w:rPr>
          <w:rFonts w:eastAsia="Times New Roman"/>
        </w:rPr>
        <w:t xml:space="preserve">on </w:t>
      </w:r>
      <w:r>
        <w:rPr>
          <w:rFonts w:eastAsia="Times New Roman"/>
        </w:rPr>
        <w:t xml:space="preserve">binding </w:t>
      </w:r>
      <w:r w:rsidRPr="005B4C83">
        <w:rPr>
          <w:rFonts w:eastAsia="Times New Roman"/>
          <w:bCs/>
        </w:rPr>
        <w:t>standards for equality bodies</w:t>
      </w:r>
      <w:r w:rsidRPr="00FF4DA7">
        <w:t xml:space="preserve"> </w:t>
      </w:r>
      <w:r>
        <w:t xml:space="preserve">amend and /or replace provisions of the </w:t>
      </w:r>
      <w:r w:rsidR="002E674E">
        <w:t xml:space="preserve">six </w:t>
      </w:r>
      <w:r>
        <w:t xml:space="preserve">Annex 1 </w:t>
      </w:r>
      <w:r w:rsidR="009C6488">
        <w:t>e</w:t>
      </w:r>
      <w:r w:rsidR="002E674E">
        <w:t>quality</w:t>
      </w:r>
      <w:r>
        <w:t xml:space="preserve"> </w:t>
      </w:r>
      <w:r w:rsidR="009C6488">
        <w:t>d</w:t>
      </w:r>
      <w:r w:rsidR="002E674E">
        <w:t>irective</w:t>
      </w:r>
      <w:r w:rsidR="005A69E5">
        <w:t xml:space="preserve">s. They have an impact on a </w:t>
      </w:r>
      <w:r w:rsidR="002E674E">
        <w:t>range of equality grounds</w:t>
      </w:r>
      <w:r w:rsidR="009308AB">
        <w:t xml:space="preserve"> namely</w:t>
      </w:r>
      <w:r w:rsidR="009308AB" w:rsidRPr="00FF4DA7">
        <w:t xml:space="preserve"> </w:t>
      </w:r>
      <w:r w:rsidR="009308AB">
        <w:t xml:space="preserve">age, </w:t>
      </w:r>
      <w:r w:rsidR="009308AB" w:rsidRPr="00FF4DA7">
        <w:t>sexual orientation</w:t>
      </w:r>
      <w:r w:rsidR="009308AB">
        <w:t xml:space="preserve">, gender and disability. </w:t>
      </w:r>
    </w:p>
    <w:p w14:paraId="385F9E14" w14:textId="77777777" w:rsidR="00360C25" w:rsidRPr="00193FDE" w:rsidRDefault="00360C25" w:rsidP="00193FDE">
      <w:pPr>
        <w:rPr>
          <w:b/>
        </w:rPr>
      </w:pPr>
    </w:p>
    <w:p w14:paraId="7CBBA045" w14:textId="57158702" w:rsidR="00F7271F" w:rsidRPr="004E54FD" w:rsidRDefault="00A74216" w:rsidP="004E54FD">
      <w:pPr>
        <w:pStyle w:val="ListParagraph"/>
        <w:numPr>
          <w:ilvl w:val="1"/>
          <w:numId w:val="8"/>
        </w:numPr>
        <w:rPr>
          <w:b/>
          <w:bCs/>
        </w:rPr>
      </w:pPr>
      <w:r w:rsidRPr="00360C25">
        <w:rPr>
          <w:rFonts w:eastAsia="Times New Roman"/>
          <w:b/>
          <w:bCs/>
        </w:rPr>
        <w:t xml:space="preserve">The </w:t>
      </w:r>
      <w:r w:rsidR="00D250B2" w:rsidRPr="00360C25">
        <w:rPr>
          <w:rFonts w:eastAsia="Times New Roman"/>
          <w:b/>
          <w:bCs/>
        </w:rPr>
        <w:t xml:space="preserve">NIHRC </w:t>
      </w:r>
      <w:r w:rsidR="00B64371">
        <w:rPr>
          <w:rFonts w:eastAsia="Times New Roman"/>
          <w:b/>
          <w:bCs/>
        </w:rPr>
        <w:t xml:space="preserve">recommends </w:t>
      </w:r>
      <w:r w:rsidR="00FB117C">
        <w:rPr>
          <w:rFonts w:eastAsia="Times New Roman"/>
          <w:b/>
          <w:bCs/>
        </w:rPr>
        <w:t>that</w:t>
      </w:r>
      <w:r w:rsidR="00FB117C" w:rsidRPr="00360C25">
        <w:rPr>
          <w:rFonts w:eastAsia="Times New Roman"/>
          <w:b/>
          <w:bCs/>
        </w:rPr>
        <w:t xml:space="preserve"> </w:t>
      </w:r>
      <w:r w:rsidR="007A2A96" w:rsidRPr="00360C25">
        <w:rPr>
          <w:rFonts w:eastAsia="Times New Roman"/>
          <w:b/>
          <w:bCs/>
        </w:rPr>
        <w:t>the</w:t>
      </w:r>
      <w:r w:rsidRPr="00360C25">
        <w:rPr>
          <w:rFonts w:eastAsia="Times New Roman"/>
          <w:b/>
          <w:bCs/>
        </w:rPr>
        <w:t xml:space="preserve"> </w:t>
      </w:r>
      <w:r w:rsidR="000C4310">
        <w:rPr>
          <w:rFonts w:eastAsia="Times New Roman"/>
          <w:b/>
          <w:bCs/>
        </w:rPr>
        <w:t xml:space="preserve">Executive Office </w:t>
      </w:r>
      <w:r w:rsidR="00FB5EE6">
        <w:rPr>
          <w:rFonts w:eastAsia="Times New Roman"/>
          <w:b/>
          <w:bCs/>
        </w:rPr>
        <w:t>amend</w:t>
      </w:r>
      <w:r w:rsidR="004E54FD">
        <w:rPr>
          <w:rFonts w:eastAsia="Times New Roman"/>
          <w:b/>
          <w:bCs/>
        </w:rPr>
        <w:t xml:space="preserve"> </w:t>
      </w:r>
      <w:r w:rsidR="007D353A" w:rsidRPr="004E54FD">
        <w:rPr>
          <w:rFonts w:eastAsia="Times New Roman"/>
          <w:b/>
          <w:bCs/>
        </w:rPr>
        <w:t xml:space="preserve">NI law </w:t>
      </w:r>
      <w:r w:rsidR="004E54FD">
        <w:rPr>
          <w:rFonts w:eastAsia="Times New Roman"/>
          <w:b/>
          <w:bCs/>
        </w:rPr>
        <w:t>t</w:t>
      </w:r>
      <w:r w:rsidRPr="004E54FD">
        <w:rPr>
          <w:rFonts w:eastAsia="Times New Roman"/>
          <w:b/>
          <w:bCs/>
        </w:rPr>
        <w:t xml:space="preserve">o keep pace with those provisions of the EU </w:t>
      </w:r>
      <w:r w:rsidR="00C84945">
        <w:rPr>
          <w:rFonts w:eastAsia="Times New Roman"/>
          <w:b/>
          <w:bCs/>
        </w:rPr>
        <w:t>D</w:t>
      </w:r>
      <w:r w:rsidRPr="004E54FD">
        <w:rPr>
          <w:rFonts w:eastAsia="Times New Roman"/>
          <w:b/>
          <w:bCs/>
        </w:rPr>
        <w:t xml:space="preserve">irectives on standards for equality bodies adopted which amend or replace </w:t>
      </w:r>
      <w:r w:rsidR="009E69DA" w:rsidRPr="004E54FD">
        <w:rPr>
          <w:rFonts w:eastAsia="Times New Roman"/>
          <w:b/>
          <w:bCs/>
        </w:rPr>
        <w:t xml:space="preserve">the </w:t>
      </w:r>
      <w:r w:rsidRPr="004E54FD">
        <w:rPr>
          <w:rFonts w:eastAsia="Times New Roman"/>
          <w:b/>
          <w:bCs/>
        </w:rPr>
        <w:t>Annex 1 equality directives</w:t>
      </w:r>
      <w:r w:rsidR="00B64371" w:rsidRPr="004E54FD">
        <w:rPr>
          <w:rFonts w:eastAsia="Times New Roman"/>
          <w:b/>
          <w:bCs/>
        </w:rPr>
        <w:t>, pursuant to Articles 2 and 13 of the Windsor Framework.</w:t>
      </w:r>
      <w:r w:rsidRPr="004E54FD">
        <w:rPr>
          <w:rFonts w:eastAsia="Times New Roman"/>
          <w:b/>
          <w:bCs/>
        </w:rPr>
        <w:t xml:space="preserve"> The implementation of these changes in NI law should align with the transposition deadline for Member States in </w:t>
      </w:r>
      <w:r w:rsidR="007D353A" w:rsidRPr="004E54FD">
        <w:rPr>
          <w:rFonts w:eastAsia="Times New Roman"/>
          <w:b/>
          <w:bCs/>
        </w:rPr>
        <w:t>the</w:t>
      </w:r>
      <w:r w:rsidRPr="004E54FD">
        <w:rPr>
          <w:rFonts w:eastAsia="Times New Roman"/>
          <w:b/>
          <w:bCs/>
        </w:rPr>
        <w:t xml:space="preserve"> directives</w:t>
      </w:r>
      <w:bookmarkStart w:id="22" w:name="_Hlk134626628"/>
      <w:r w:rsidRPr="004E54FD">
        <w:rPr>
          <w:rFonts w:eastAsia="Times New Roman"/>
          <w:b/>
          <w:bCs/>
        </w:rPr>
        <w:t xml:space="preserve">. </w:t>
      </w:r>
      <w:bookmarkEnd w:id="22"/>
    </w:p>
    <w:p w14:paraId="6C6AE85A" w14:textId="77777777" w:rsidR="005C665F" w:rsidRPr="005C665F" w:rsidRDefault="005C665F" w:rsidP="005C665F">
      <w:pPr>
        <w:pStyle w:val="ListParagraph"/>
        <w:ind w:left="720"/>
        <w:rPr>
          <w:b/>
          <w:bCs/>
        </w:rPr>
      </w:pPr>
    </w:p>
    <w:p w14:paraId="58E9A9A4" w14:textId="77777777" w:rsidR="005C665F" w:rsidRPr="00FD21A8" w:rsidRDefault="005C665F" w:rsidP="005C665F">
      <w:pPr>
        <w:pStyle w:val="Heading2"/>
      </w:pPr>
      <w:bookmarkStart w:id="23" w:name="_Toc176503693"/>
      <w:r w:rsidRPr="00FD21A8">
        <w:t>Intersectional Discrimination</w:t>
      </w:r>
      <w:bookmarkEnd w:id="23"/>
      <w:r w:rsidRPr="00FD21A8">
        <w:t xml:space="preserve"> </w:t>
      </w:r>
    </w:p>
    <w:p w14:paraId="171DE17C" w14:textId="77777777" w:rsidR="005C665F" w:rsidRPr="003A36F8" w:rsidRDefault="005C665F" w:rsidP="005C665F">
      <w:pPr>
        <w:pStyle w:val="ListParagraph"/>
        <w:numPr>
          <w:ilvl w:val="1"/>
          <w:numId w:val="8"/>
        </w:numPr>
        <w:spacing w:after="240" w:line="276" w:lineRule="auto"/>
        <w:contextualSpacing w:val="0"/>
      </w:pPr>
      <w:r>
        <w:rPr>
          <w:rFonts w:eastAsia="Times New Roman"/>
        </w:rPr>
        <w:t xml:space="preserve">Further, as </w:t>
      </w:r>
      <w:r w:rsidRPr="003A36F8">
        <w:rPr>
          <w:rFonts w:eastAsia="Times New Roman"/>
        </w:rPr>
        <w:t>NI legislation does not address cases of intersectional multiple discrimination, recent developments in EU law that emphasise the importance of intersectional discrimination have significant implications for NI equality law.</w:t>
      </w:r>
    </w:p>
    <w:p w14:paraId="7060018C" w14:textId="7CF6D133" w:rsidR="005C665F" w:rsidRPr="003B7C97" w:rsidRDefault="005C665F" w:rsidP="00307D4A">
      <w:pPr>
        <w:pStyle w:val="ListParagraph"/>
        <w:numPr>
          <w:ilvl w:val="1"/>
          <w:numId w:val="8"/>
        </w:numPr>
        <w:spacing w:after="240" w:line="276" w:lineRule="auto"/>
        <w:contextualSpacing w:val="0"/>
      </w:pPr>
      <w:r w:rsidRPr="003A36F8">
        <w:rPr>
          <w:rFonts w:eastAsia="Times New Roman"/>
        </w:rPr>
        <w:t xml:space="preserve">In Article 3, the </w:t>
      </w:r>
      <w:r>
        <w:rPr>
          <w:rFonts w:eastAsia="Times New Roman"/>
        </w:rPr>
        <w:t xml:space="preserve">EU Pay Transparency </w:t>
      </w:r>
      <w:r w:rsidRPr="003A36F8">
        <w:rPr>
          <w:rFonts w:eastAsia="Times New Roman"/>
        </w:rPr>
        <w:t xml:space="preserve">Directive includes “intersectional” discrimination in its definition which </w:t>
      </w:r>
      <w:r>
        <w:rPr>
          <w:rFonts w:eastAsia="Times New Roman"/>
        </w:rPr>
        <w:t>is</w:t>
      </w:r>
      <w:r w:rsidRPr="003A36F8">
        <w:rPr>
          <w:rFonts w:eastAsia="Times New Roman"/>
        </w:rPr>
        <w:t xml:space="preserve"> based on a combination of sex and a number of other equality grounds protected under EU equality directives. </w:t>
      </w:r>
      <w:r w:rsidRPr="00616C66">
        <w:t xml:space="preserve">The EU Pay Transparency Directive recognises that individuals can experience discrimination and inequality based on the </w:t>
      </w:r>
      <w:r w:rsidRPr="00616C66">
        <w:lastRenderedPageBreak/>
        <w:t xml:space="preserve">intersection of multiple identities, such as race, gender, disabilities, age, and </w:t>
      </w:r>
      <w:r>
        <w:t>other grounds</w:t>
      </w:r>
      <w:r w:rsidRPr="00616C66">
        <w:t>. Further, it strengthens the application of the principle of equal pay for equal work, between men and women through pay transparency and enforcement mechanisms.</w:t>
      </w:r>
      <w:r w:rsidRPr="00616C66">
        <w:rPr>
          <w:rStyle w:val="FootnoteReference"/>
        </w:rPr>
        <w:footnoteReference w:id="89"/>
      </w:r>
    </w:p>
    <w:p w14:paraId="2E285E35" w14:textId="77777777" w:rsidR="005C665F" w:rsidRPr="003B7C97" w:rsidRDefault="005C665F" w:rsidP="005C665F">
      <w:pPr>
        <w:pStyle w:val="ListParagraph"/>
        <w:numPr>
          <w:ilvl w:val="1"/>
          <w:numId w:val="8"/>
        </w:numPr>
        <w:spacing w:after="240" w:line="276" w:lineRule="auto"/>
        <w:contextualSpacing w:val="0"/>
      </w:pPr>
      <w:r>
        <w:rPr>
          <w:rFonts w:eastAsia="Times New Roman"/>
        </w:rPr>
        <w:t xml:space="preserve">As noted above, </w:t>
      </w:r>
      <w:r w:rsidRPr="003A36F8">
        <w:rPr>
          <w:rFonts w:eastAsia="Times New Roman"/>
        </w:rPr>
        <w:t xml:space="preserve">the </w:t>
      </w:r>
      <w:r>
        <w:rPr>
          <w:rFonts w:eastAsia="Times New Roman"/>
        </w:rPr>
        <w:t>NIHRC</w:t>
      </w:r>
      <w:r w:rsidRPr="003A36F8">
        <w:rPr>
          <w:rFonts w:eastAsia="Times New Roman"/>
        </w:rPr>
        <w:t xml:space="preserve"> takes the view that the provisions of the EU Pay Transparency Directive,</w:t>
      </w:r>
      <w:r w:rsidRPr="00616C66">
        <w:rPr>
          <w:vertAlign w:val="superscript"/>
        </w:rPr>
        <w:footnoteReference w:id="90"/>
      </w:r>
      <w:r w:rsidRPr="003A36F8">
        <w:rPr>
          <w:rFonts w:eastAsia="Times New Roman"/>
        </w:rPr>
        <w:t xml:space="preserve"> amend and/or replace provisions in the EU Gender Equality (Employment) Directive</w:t>
      </w:r>
      <w:r w:rsidRPr="00616C66">
        <w:rPr>
          <w:vertAlign w:val="superscript"/>
        </w:rPr>
        <w:footnoteReference w:id="91"/>
      </w:r>
      <w:r w:rsidRPr="003A36F8">
        <w:rPr>
          <w:rFonts w:eastAsia="Times New Roman"/>
        </w:rPr>
        <w:t xml:space="preserve"> which is listed in Annex 1 of the Windsor Framework.</w:t>
      </w:r>
      <w:r w:rsidRPr="00616C66">
        <w:rPr>
          <w:vertAlign w:val="superscript"/>
        </w:rPr>
        <w:footnoteReference w:id="92"/>
      </w:r>
      <w:r w:rsidRPr="003A36F8">
        <w:rPr>
          <w:rFonts w:eastAsia="Times New Roman"/>
        </w:rPr>
        <w:t xml:space="preserve"> Therefore, NI equality law must keep pace with these changes, further to the UK Government’s dynamic alignment obligation in the Windsor Framework.</w:t>
      </w:r>
      <w:r w:rsidRPr="00616C66">
        <w:rPr>
          <w:vertAlign w:val="superscript"/>
        </w:rPr>
        <w:footnoteReference w:id="93"/>
      </w:r>
      <w:r w:rsidRPr="003A36F8">
        <w:rPr>
          <w:rFonts w:eastAsia="Times New Roman"/>
        </w:rPr>
        <w:t xml:space="preserve">  This includes changes to the definition of discrimination to include “intersectional” discrimination</w:t>
      </w:r>
      <w:r>
        <w:rPr>
          <w:rFonts w:eastAsia="Times New Roman"/>
        </w:rPr>
        <w:t>.</w:t>
      </w:r>
    </w:p>
    <w:p w14:paraId="40B378F1" w14:textId="0BEDC019" w:rsidR="00F25304" w:rsidRPr="005C665F" w:rsidRDefault="005C665F" w:rsidP="00F25304">
      <w:pPr>
        <w:pStyle w:val="ListParagraph"/>
        <w:numPr>
          <w:ilvl w:val="1"/>
          <w:numId w:val="8"/>
        </w:numPr>
        <w:spacing w:after="240" w:line="276" w:lineRule="auto"/>
        <w:contextualSpacing w:val="0"/>
      </w:pPr>
      <w:r w:rsidRPr="003B7C97">
        <w:rPr>
          <w:b/>
          <w:bCs/>
        </w:rPr>
        <w:t xml:space="preserve">The NIHRC </w:t>
      </w:r>
      <w:r>
        <w:rPr>
          <w:b/>
          <w:bCs/>
        </w:rPr>
        <w:t>recommends</w:t>
      </w:r>
      <w:r w:rsidRPr="003B7C97">
        <w:rPr>
          <w:b/>
          <w:bCs/>
        </w:rPr>
        <w:t xml:space="preserve"> </w:t>
      </w:r>
      <w:r w:rsidR="003E2510">
        <w:rPr>
          <w:b/>
          <w:bCs/>
        </w:rPr>
        <w:t>that</w:t>
      </w:r>
      <w:r w:rsidR="003E2510" w:rsidRPr="003B7C97">
        <w:rPr>
          <w:b/>
          <w:bCs/>
        </w:rPr>
        <w:t xml:space="preserve"> </w:t>
      </w:r>
      <w:r w:rsidR="00840A81">
        <w:rPr>
          <w:rFonts w:eastAsia="Times New Roman"/>
          <w:b/>
          <w:bCs/>
        </w:rPr>
        <w:t>the Executive Office</w:t>
      </w:r>
      <w:r w:rsidR="005B4AF7">
        <w:rPr>
          <w:rFonts w:eastAsia="Times New Roman"/>
          <w:b/>
          <w:bCs/>
        </w:rPr>
        <w:t xml:space="preserve"> </w:t>
      </w:r>
      <w:r w:rsidR="00C46D05">
        <w:rPr>
          <w:rFonts w:eastAsia="Times New Roman"/>
          <w:b/>
          <w:bCs/>
        </w:rPr>
        <w:t xml:space="preserve">amend </w:t>
      </w:r>
      <w:r w:rsidRPr="003B7C97">
        <w:rPr>
          <w:b/>
          <w:bCs/>
        </w:rPr>
        <w:t xml:space="preserve">the definition of discrimination in relevant NI equality law </w:t>
      </w:r>
      <w:r w:rsidR="00FB483F">
        <w:rPr>
          <w:b/>
          <w:bCs/>
        </w:rPr>
        <w:t xml:space="preserve">to </w:t>
      </w:r>
      <w:r w:rsidRPr="003B7C97">
        <w:rPr>
          <w:b/>
          <w:bCs/>
        </w:rPr>
        <w:t>include “intersectional discrimination” aligned to the relevant provisions of the EU Pay Transparency Directive and the transposition deadline of the Direct</w:t>
      </w:r>
      <w:r w:rsidRPr="005C665F">
        <w:rPr>
          <w:b/>
          <w:bCs/>
        </w:rPr>
        <w:t>ive,</w:t>
      </w:r>
      <w:r w:rsidRPr="003B7C97">
        <w:rPr>
          <w:b/>
          <w:bCs/>
        </w:rPr>
        <w:t xml:space="preserve"> in accordance with the keeping pace obligation relating to Windsor Framework Article 2</w:t>
      </w:r>
      <w:r>
        <w:rPr>
          <w:b/>
          <w:bCs/>
        </w:rPr>
        <w:t>.</w:t>
      </w:r>
    </w:p>
    <w:p w14:paraId="26432743" w14:textId="468F22E7" w:rsidR="00B537A5" w:rsidRPr="00D760A2" w:rsidRDefault="00B537A5" w:rsidP="00D760A2">
      <w:pPr>
        <w:pStyle w:val="Heading2"/>
        <w:rPr>
          <w:bCs/>
        </w:rPr>
      </w:pPr>
      <w:bookmarkStart w:id="24" w:name="_Toc176503694"/>
      <w:r w:rsidRPr="00D33364">
        <w:t>Gender</w:t>
      </w:r>
      <w:r w:rsidRPr="00FD21A8">
        <w:t xml:space="preserve"> Equality</w:t>
      </w:r>
      <w:bookmarkEnd w:id="24"/>
    </w:p>
    <w:p w14:paraId="4D7E1AF8" w14:textId="5CEDCEC2" w:rsidR="00B40164" w:rsidRPr="00B40164" w:rsidRDefault="00B537A5" w:rsidP="005B3BC6">
      <w:pPr>
        <w:pStyle w:val="ListParagraph"/>
        <w:numPr>
          <w:ilvl w:val="1"/>
          <w:numId w:val="8"/>
        </w:numPr>
        <w:rPr>
          <w:b/>
          <w:bCs/>
        </w:rPr>
      </w:pPr>
      <w:r w:rsidRPr="00FF4DA7">
        <w:t xml:space="preserve">The rights, safeguards and equality of opportunity provisions set out in the relevant chapter of the Belfast (Good Friday) Agreement include the “right to equal opportunity in all social and economic activity, regardless of … gender”. To the extent that EU obligations </w:t>
      </w:r>
      <w:r w:rsidR="0041766C">
        <w:t>underpin this right</w:t>
      </w:r>
      <w:r w:rsidRPr="00FF4DA7">
        <w:t>, such as the EU Parental Leave Directive</w:t>
      </w:r>
      <w:r w:rsidRPr="00FF4DA7">
        <w:rPr>
          <w:vertAlign w:val="superscript"/>
        </w:rPr>
        <w:footnoteReference w:id="94"/>
      </w:r>
      <w:r w:rsidRPr="00FF4DA7">
        <w:t xml:space="preserve"> and the EU Pregnant Worker’s Directive,</w:t>
      </w:r>
      <w:r w:rsidRPr="00FF4DA7">
        <w:rPr>
          <w:vertAlign w:val="superscript"/>
        </w:rPr>
        <w:footnoteReference w:id="95"/>
      </w:r>
      <w:r w:rsidRPr="00FF4DA7">
        <w:t xml:space="preserve"> there should be no diminution of rights, safeguards and equality of opportunity following the UK withdrawal from the EU.</w:t>
      </w:r>
      <w:bookmarkStart w:id="25" w:name="_Toc128554129"/>
      <w:r w:rsidR="00FD44FD">
        <w:t xml:space="preserve"> This is in addition to the keep pace obligation outlined above, in relation to the Annex 1 Equality Directives.</w:t>
      </w:r>
    </w:p>
    <w:p w14:paraId="3E0DFA00" w14:textId="77777777" w:rsidR="00B40164" w:rsidRPr="00B40164" w:rsidRDefault="00B40164" w:rsidP="00B40164">
      <w:pPr>
        <w:pStyle w:val="ListParagraph"/>
        <w:ind w:left="720"/>
        <w:rPr>
          <w:b/>
          <w:bCs/>
        </w:rPr>
      </w:pPr>
    </w:p>
    <w:p w14:paraId="31328620" w14:textId="13FE7361" w:rsidR="00B40164" w:rsidRPr="00632974" w:rsidRDefault="002E674E" w:rsidP="005B3BC6">
      <w:pPr>
        <w:pStyle w:val="ListParagraph"/>
        <w:numPr>
          <w:ilvl w:val="1"/>
          <w:numId w:val="8"/>
        </w:numPr>
        <w:rPr>
          <w:b/>
          <w:bCs/>
        </w:rPr>
      </w:pPr>
      <w:r>
        <w:rPr>
          <w:color w:val="000000"/>
        </w:rPr>
        <w:t xml:space="preserve">In addition to the EU Pay Transparency Directive and EU Directives on </w:t>
      </w:r>
      <w:r>
        <w:rPr>
          <w:rFonts w:eastAsia="Times New Roman"/>
        </w:rPr>
        <w:t xml:space="preserve">binding </w:t>
      </w:r>
      <w:r w:rsidRPr="2D61A484">
        <w:rPr>
          <w:rFonts w:eastAsia="Times New Roman"/>
        </w:rPr>
        <w:t xml:space="preserve">standards for equality bodies </w:t>
      </w:r>
      <w:r w:rsidR="005D15A5">
        <w:t>discussed</w:t>
      </w:r>
      <w:r>
        <w:t xml:space="preserve"> above, </w:t>
      </w:r>
      <w:r w:rsidRPr="00B40164">
        <w:rPr>
          <w:color w:val="000000"/>
        </w:rPr>
        <w:t xml:space="preserve">in </w:t>
      </w:r>
      <w:r w:rsidR="00B40164" w:rsidRPr="00B40164">
        <w:rPr>
          <w:color w:val="000000"/>
        </w:rPr>
        <w:t xml:space="preserve">May 2024, the </w:t>
      </w:r>
      <w:r w:rsidR="00B40164">
        <w:t xml:space="preserve">EU Directive on </w:t>
      </w:r>
      <w:r w:rsidR="0025623E">
        <w:t>Combating Violence</w:t>
      </w:r>
      <w:r w:rsidR="00B40164">
        <w:t xml:space="preserve"> against </w:t>
      </w:r>
      <w:r w:rsidR="0025623E">
        <w:t>Women</w:t>
      </w:r>
      <w:r w:rsidR="00B40164">
        <w:t xml:space="preserve"> and </w:t>
      </w:r>
      <w:r w:rsidR="0025623E">
        <w:t>Domestic Violence</w:t>
      </w:r>
      <w:r w:rsidR="00B40164" w:rsidRPr="00B40164">
        <w:rPr>
          <w:color w:val="000000"/>
        </w:rPr>
        <w:t xml:space="preserve"> was adopted.</w:t>
      </w:r>
      <w:r w:rsidR="00B40164">
        <w:rPr>
          <w:rStyle w:val="FootnoteReference"/>
          <w:color w:val="000000"/>
        </w:rPr>
        <w:footnoteReference w:id="96"/>
      </w:r>
      <w:r w:rsidR="00B40164" w:rsidRPr="00B40164">
        <w:rPr>
          <w:color w:val="000000"/>
        </w:rPr>
        <w:t xml:space="preserve"> The Directive constitutes the first piece of EU legislation which specifically addresses these issues.</w:t>
      </w:r>
      <w:r w:rsidR="00B40164" w:rsidRPr="00A23E94">
        <w:t xml:space="preserve"> </w:t>
      </w:r>
      <w:r w:rsidR="00B40164" w:rsidRPr="00B40164">
        <w:rPr>
          <w:color w:val="000000"/>
        </w:rPr>
        <w:t xml:space="preserve">The Directive adopts a holistic approach to combat violence against women and domestic violence, incorporating measures relating to prevention, </w:t>
      </w:r>
      <w:r w:rsidR="00B40164" w:rsidRPr="00632974">
        <w:t>protection, support for victims, access to justice and prosecution of perpetrators.</w:t>
      </w:r>
      <w:r w:rsidR="00B40164" w:rsidRPr="00632974">
        <w:rPr>
          <w:rStyle w:val="FootnoteReference"/>
        </w:rPr>
        <w:footnoteReference w:id="97"/>
      </w:r>
    </w:p>
    <w:p w14:paraId="1B96BE35" w14:textId="77777777" w:rsidR="00632974" w:rsidRPr="00632974" w:rsidRDefault="00632974" w:rsidP="00632974">
      <w:pPr>
        <w:pStyle w:val="ListParagraph"/>
        <w:ind w:left="720"/>
        <w:rPr>
          <w:b/>
          <w:bCs/>
        </w:rPr>
      </w:pPr>
    </w:p>
    <w:p w14:paraId="52F7E7E1" w14:textId="317835C2" w:rsidR="00937A05" w:rsidRPr="00247259" w:rsidRDefault="00937A05" w:rsidP="00247259">
      <w:pPr>
        <w:pStyle w:val="ListParagraph"/>
        <w:numPr>
          <w:ilvl w:val="1"/>
          <w:numId w:val="8"/>
        </w:numPr>
        <w:suppressAutoHyphens/>
        <w:rPr>
          <w:rFonts w:cs="Arial"/>
          <w:sz w:val="20"/>
          <w:szCs w:val="20"/>
        </w:rPr>
      </w:pPr>
      <w:r w:rsidRPr="00632974">
        <w:rPr>
          <w:rFonts w:cs="Arial"/>
        </w:rPr>
        <w:t xml:space="preserve">The </w:t>
      </w:r>
      <w:r>
        <w:t>EU</w:t>
      </w:r>
      <w:r w:rsidR="00635241">
        <w:t xml:space="preserve"> Directive on </w:t>
      </w:r>
      <w:r w:rsidR="00DA1245">
        <w:t>Combating Violence</w:t>
      </w:r>
      <w:r w:rsidR="00635241">
        <w:t xml:space="preserve"> against </w:t>
      </w:r>
      <w:r w:rsidR="00DA1245">
        <w:t>Women</w:t>
      </w:r>
      <w:r w:rsidR="00635241">
        <w:t xml:space="preserve"> and </w:t>
      </w:r>
      <w:r w:rsidR="00DA1245">
        <w:t>Domestic Violence</w:t>
      </w:r>
      <w:r w:rsidR="00635241" w:rsidRPr="00B40164">
        <w:rPr>
          <w:color w:val="000000"/>
        </w:rPr>
        <w:t xml:space="preserve"> </w:t>
      </w:r>
      <w:r w:rsidR="00247259" w:rsidRPr="00247259">
        <w:rPr>
          <w:color w:val="000000"/>
        </w:rPr>
        <w:t>makes particular provision for specialist provision for victims of sexual harassment at work</w:t>
      </w:r>
      <w:r w:rsidR="00AE67B9">
        <w:rPr>
          <w:rStyle w:val="FootnoteReference"/>
          <w:color w:val="000000"/>
        </w:rPr>
        <w:footnoteReference w:id="98"/>
      </w:r>
      <w:r w:rsidR="00247259" w:rsidRPr="00247259">
        <w:rPr>
          <w:color w:val="000000"/>
        </w:rPr>
        <w:t xml:space="preserve"> and for managers and supervisors to receive training on how to recognise, prevent and address sexual harassment at work.</w:t>
      </w:r>
      <w:r w:rsidR="00AE67B9">
        <w:rPr>
          <w:rStyle w:val="FootnoteReference"/>
          <w:color w:val="000000"/>
        </w:rPr>
        <w:footnoteReference w:id="99"/>
      </w:r>
    </w:p>
    <w:p w14:paraId="0A5024DF" w14:textId="77777777" w:rsidR="00247259" w:rsidRPr="00247259" w:rsidRDefault="00247259" w:rsidP="00247259">
      <w:pPr>
        <w:suppressAutoHyphens/>
        <w:rPr>
          <w:rFonts w:cs="Arial"/>
          <w:sz w:val="20"/>
          <w:szCs w:val="20"/>
        </w:rPr>
      </w:pPr>
    </w:p>
    <w:p w14:paraId="0B87825A" w14:textId="51737C70" w:rsidR="00937A05" w:rsidRPr="00FE3853" w:rsidRDefault="00937A05" w:rsidP="00FE3853">
      <w:pPr>
        <w:pStyle w:val="ListParagraph"/>
        <w:numPr>
          <w:ilvl w:val="1"/>
          <w:numId w:val="8"/>
        </w:numPr>
        <w:suppressAutoHyphens/>
        <w:rPr>
          <w:rFonts w:cs="Arial"/>
        </w:rPr>
      </w:pPr>
      <w:r w:rsidRPr="00632974">
        <w:rPr>
          <w:rFonts w:cs="Arial"/>
        </w:rPr>
        <w:t>The Gender Equality Directives</w:t>
      </w:r>
      <w:r w:rsidRPr="00632974">
        <w:rPr>
          <w:rStyle w:val="FootnoteReference"/>
          <w:rFonts w:cs="Arial"/>
        </w:rPr>
        <w:footnoteReference w:id="100"/>
      </w:r>
      <w:r w:rsidRPr="00632974">
        <w:rPr>
          <w:rFonts w:cs="Arial"/>
        </w:rPr>
        <w:t xml:space="preserve"> fall within Annex 1 of the Windsor Framework. </w:t>
      </w:r>
      <w:r w:rsidR="00FE3853" w:rsidRPr="00FE3853">
        <w:rPr>
          <w:rFonts w:cs="Arial"/>
        </w:rPr>
        <w:t xml:space="preserve">NIHRC is currently </w:t>
      </w:r>
      <w:r w:rsidR="00B10FC9">
        <w:rPr>
          <w:rFonts w:cs="Arial"/>
        </w:rPr>
        <w:t>examining</w:t>
      </w:r>
      <w:r w:rsidR="00993D3F">
        <w:rPr>
          <w:rFonts w:cs="Arial"/>
        </w:rPr>
        <w:t xml:space="preserve"> </w:t>
      </w:r>
      <w:r w:rsidR="00947E51">
        <w:rPr>
          <w:rFonts w:cs="Arial"/>
        </w:rPr>
        <w:t xml:space="preserve">the extent to which </w:t>
      </w:r>
      <w:r w:rsidR="00FE3853" w:rsidRPr="00FE3853">
        <w:rPr>
          <w:rFonts w:cs="Arial"/>
        </w:rPr>
        <w:t xml:space="preserve">the </w:t>
      </w:r>
      <w:r w:rsidR="00FE3853">
        <w:t xml:space="preserve">EU Directive on </w:t>
      </w:r>
      <w:r w:rsidR="00DA1245">
        <w:t>Combating Violence</w:t>
      </w:r>
      <w:r w:rsidR="00FE3853">
        <w:t xml:space="preserve"> against </w:t>
      </w:r>
      <w:r w:rsidR="00DA1245">
        <w:t>Women</w:t>
      </w:r>
      <w:r w:rsidR="00AE67B9">
        <w:t xml:space="preserve"> and </w:t>
      </w:r>
      <w:r w:rsidR="00DA1245">
        <w:t>Domestic Violence</w:t>
      </w:r>
      <w:r w:rsidR="00FE3853" w:rsidRPr="00FE3853">
        <w:rPr>
          <w:rFonts w:cs="Arial"/>
        </w:rPr>
        <w:t xml:space="preserve"> amends and/or replaces provisions of the EU Gender Equality (Employment) Directive</w:t>
      </w:r>
      <w:r w:rsidRPr="00FE3853">
        <w:rPr>
          <w:rFonts w:cs="Arial"/>
        </w:rPr>
        <w:t>.</w:t>
      </w:r>
      <w:r w:rsidR="000E1509">
        <w:rPr>
          <w:rStyle w:val="FootnoteReference"/>
          <w:rFonts w:cs="Arial"/>
        </w:rPr>
        <w:footnoteReference w:id="101"/>
      </w:r>
    </w:p>
    <w:p w14:paraId="05166A1C" w14:textId="77777777" w:rsidR="00937A05" w:rsidRPr="00632974" w:rsidRDefault="00937A05" w:rsidP="00937A05">
      <w:pPr>
        <w:pStyle w:val="ListParagraph"/>
        <w:rPr>
          <w:rFonts w:cs="Arial"/>
          <w:sz w:val="20"/>
          <w:szCs w:val="20"/>
        </w:rPr>
      </w:pPr>
    </w:p>
    <w:p w14:paraId="40DEB51D" w14:textId="7CC4E9D8" w:rsidR="00AD676A" w:rsidRPr="00AD676A" w:rsidRDefault="00937A05" w:rsidP="00AD676A">
      <w:pPr>
        <w:pStyle w:val="ListParagraph"/>
        <w:numPr>
          <w:ilvl w:val="1"/>
          <w:numId w:val="8"/>
        </w:numPr>
        <w:suppressAutoHyphens/>
        <w:rPr>
          <w:rFonts w:cs="Arial"/>
          <w:sz w:val="20"/>
          <w:szCs w:val="20"/>
        </w:rPr>
      </w:pPr>
      <w:r w:rsidRPr="00632974">
        <w:rPr>
          <w:rFonts w:cs="Arial"/>
          <w:b/>
          <w:bCs/>
        </w:rPr>
        <w:t>The NIHRC recommends</w:t>
      </w:r>
      <w:r w:rsidR="00632974" w:rsidRPr="00632974">
        <w:rPr>
          <w:rFonts w:cs="Arial"/>
          <w:b/>
          <w:bCs/>
        </w:rPr>
        <w:t xml:space="preserve"> </w:t>
      </w:r>
      <w:r w:rsidR="00FD4484">
        <w:rPr>
          <w:rFonts w:cs="Arial"/>
          <w:b/>
          <w:bCs/>
        </w:rPr>
        <w:t>that</w:t>
      </w:r>
      <w:r w:rsidR="00FD4484" w:rsidRPr="00632974">
        <w:rPr>
          <w:rFonts w:cs="Arial"/>
          <w:b/>
          <w:bCs/>
        </w:rPr>
        <w:t xml:space="preserve"> </w:t>
      </w:r>
      <w:r w:rsidR="0086332C">
        <w:rPr>
          <w:rFonts w:cs="Arial"/>
          <w:b/>
          <w:bCs/>
        </w:rPr>
        <w:t>the Executive Office analys</w:t>
      </w:r>
      <w:r w:rsidR="005A69E5">
        <w:rPr>
          <w:rFonts w:cs="Arial"/>
          <w:b/>
          <w:bCs/>
        </w:rPr>
        <w:t>e</w:t>
      </w:r>
      <w:r w:rsidRPr="00632974">
        <w:rPr>
          <w:rFonts w:cs="Arial"/>
          <w:b/>
          <w:bCs/>
        </w:rPr>
        <w:t xml:space="preserve"> </w:t>
      </w:r>
      <w:r w:rsidR="00632974" w:rsidRPr="00632974">
        <w:rPr>
          <w:rFonts w:cs="Arial"/>
          <w:b/>
          <w:bCs/>
        </w:rPr>
        <w:t xml:space="preserve">the EU Directive </w:t>
      </w:r>
      <w:r w:rsidR="0086332C">
        <w:rPr>
          <w:rFonts w:cs="Arial"/>
          <w:b/>
          <w:bCs/>
        </w:rPr>
        <w:t xml:space="preserve">on Combating Violence Against Women </w:t>
      </w:r>
      <w:r w:rsidR="005A69E5">
        <w:rPr>
          <w:rFonts w:cs="Arial"/>
          <w:b/>
          <w:bCs/>
        </w:rPr>
        <w:t xml:space="preserve">and </w:t>
      </w:r>
      <w:r w:rsidR="0086332C">
        <w:rPr>
          <w:rFonts w:cs="Arial"/>
          <w:b/>
          <w:bCs/>
        </w:rPr>
        <w:t xml:space="preserve">consider if, </w:t>
      </w:r>
      <w:r w:rsidR="005A69E5">
        <w:rPr>
          <w:rFonts w:cs="Arial"/>
          <w:b/>
          <w:bCs/>
        </w:rPr>
        <w:t xml:space="preserve">and </w:t>
      </w:r>
      <w:r w:rsidR="00AC0458">
        <w:rPr>
          <w:rFonts w:cs="Arial"/>
          <w:b/>
          <w:bCs/>
        </w:rPr>
        <w:t>to what</w:t>
      </w:r>
      <w:r w:rsidR="0086332C">
        <w:rPr>
          <w:rFonts w:cs="Arial"/>
          <w:b/>
          <w:bCs/>
        </w:rPr>
        <w:t xml:space="preserve"> extent, it</w:t>
      </w:r>
      <w:r w:rsidRPr="00632974">
        <w:rPr>
          <w:rFonts w:cs="Arial"/>
          <w:b/>
          <w:bCs/>
        </w:rPr>
        <w:t xml:space="preserve"> updates </w:t>
      </w:r>
      <w:r w:rsidR="0086332C">
        <w:rPr>
          <w:rFonts w:cs="Arial"/>
          <w:b/>
          <w:bCs/>
        </w:rPr>
        <w:t xml:space="preserve">provisions </w:t>
      </w:r>
      <w:r w:rsidRPr="00632974">
        <w:rPr>
          <w:rFonts w:cs="Arial"/>
          <w:b/>
          <w:bCs/>
        </w:rPr>
        <w:t xml:space="preserve">the EU </w:t>
      </w:r>
      <w:r w:rsidR="0086332C" w:rsidRPr="0086332C">
        <w:rPr>
          <w:rFonts w:cs="Arial"/>
          <w:b/>
          <w:bCs/>
        </w:rPr>
        <w:t>Gender Equality (Employment) Directive</w:t>
      </w:r>
      <w:bookmarkEnd w:id="25"/>
      <w:r w:rsidR="007B7D98">
        <w:rPr>
          <w:rFonts w:cs="Arial"/>
          <w:b/>
          <w:bCs/>
        </w:rPr>
        <w:t>.</w:t>
      </w:r>
    </w:p>
    <w:p w14:paraId="24C71F46" w14:textId="77777777" w:rsidR="00AD676A" w:rsidRDefault="00AD676A" w:rsidP="00AD676A">
      <w:pPr>
        <w:pStyle w:val="ListParagraph"/>
        <w:suppressAutoHyphens/>
        <w:ind w:left="720"/>
        <w:rPr>
          <w:rFonts w:cs="Arial"/>
          <w:sz w:val="20"/>
          <w:szCs w:val="20"/>
        </w:rPr>
      </w:pPr>
    </w:p>
    <w:p w14:paraId="7E91E9F7" w14:textId="4100E3ED" w:rsidR="0086332C" w:rsidRPr="00AD676A" w:rsidRDefault="0086332C" w:rsidP="00AD676A">
      <w:pPr>
        <w:pStyle w:val="ListParagraph"/>
        <w:numPr>
          <w:ilvl w:val="1"/>
          <w:numId w:val="8"/>
        </w:numPr>
        <w:suppressAutoHyphens/>
        <w:rPr>
          <w:rFonts w:cs="Arial"/>
          <w:sz w:val="20"/>
          <w:szCs w:val="20"/>
        </w:rPr>
      </w:pPr>
      <w:r w:rsidRPr="00AD676A">
        <w:rPr>
          <w:b/>
          <w:bCs/>
        </w:rPr>
        <w:lastRenderedPageBreak/>
        <w:t xml:space="preserve">The NIHRC recommends </w:t>
      </w:r>
      <w:r w:rsidR="00604DB2">
        <w:rPr>
          <w:b/>
          <w:bCs/>
        </w:rPr>
        <w:t>that</w:t>
      </w:r>
      <w:r w:rsidRPr="00AD676A">
        <w:rPr>
          <w:b/>
          <w:bCs/>
        </w:rPr>
        <w:t xml:space="preserve">, in addition to any changes required by the keeping pace obligation under the Windsor Framework, </w:t>
      </w:r>
      <w:r w:rsidR="00FB483F">
        <w:rPr>
          <w:b/>
          <w:bCs/>
        </w:rPr>
        <w:t xml:space="preserve">the Executive Office </w:t>
      </w:r>
      <w:r w:rsidR="00CC4717">
        <w:rPr>
          <w:b/>
          <w:bCs/>
        </w:rPr>
        <w:t>consider aligning on a voluntary basis</w:t>
      </w:r>
      <w:r w:rsidRPr="00AD676A">
        <w:rPr>
          <w:b/>
          <w:bCs/>
        </w:rPr>
        <w:t xml:space="preserve"> with any enhancement to equality and human rights pursuant to </w:t>
      </w:r>
      <w:r w:rsidRPr="00654351">
        <w:rPr>
          <w:b/>
          <w:bCs/>
        </w:rPr>
        <w:t xml:space="preserve">the </w:t>
      </w:r>
      <w:r w:rsidR="00654351" w:rsidRPr="00654351">
        <w:rPr>
          <w:b/>
          <w:bCs/>
        </w:rPr>
        <w:t>EU Directive on Combating Violence against Women and Domestic Violence</w:t>
      </w:r>
      <w:r w:rsidR="00E92FB7" w:rsidRPr="00654351">
        <w:rPr>
          <w:b/>
          <w:bCs/>
        </w:rPr>
        <w:t>.</w:t>
      </w:r>
      <w:r w:rsidR="00E92FB7">
        <w:rPr>
          <w:b/>
          <w:bCs/>
        </w:rPr>
        <w:t xml:space="preserve"> </w:t>
      </w:r>
    </w:p>
    <w:p w14:paraId="191FE462" w14:textId="77777777" w:rsidR="00ED68A3" w:rsidRPr="00ED68A3" w:rsidRDefault="00ED68A3" w:rsidP="00ED68A3">
      <w:pPr>
        <w:suppressAutoHyphens/>
        <w:rPr>
          <w:rFonts w:cs="Arial"/>
          <w:sz w:val="20"/>
          <w:szCs w:val="20"/>
        </w:rPr>
      </w:pPr>
    </w:p>
    <w:p w14:paraId="1749BA11" w14:textId="17918385" w:rsidR="00F25304" w:rsidRPr="00FD21A8" w:rsidRDefault="00F25304" w:rsidP="00A821E4">
      <w:pPr>
        <w:pStyle w:val="Heading2"/>
      </w:pPr>
      <w:bookmarkStart w:id="26" w:name="_Toc176503695"/>
      <w:r w:rsidRPr="000E4CFE">
        <w:t>Disability</w:t>
      </w:r>
      <w:r w:rsidRPr="00FD21A8">
        <w:t xml:space="preserve"> Equality</w:t>
      </w:r>
      <w:bookmarkEnd w:id="26"/>
    </w:p>
    <w:p w14:paraId="4A5B428B" w14:textId="7A0DB5E0" w:rsidR="00F25304" w:rsidRPr="00F25304" w:rsidRDefault="00F25304" w:rsidP="005B3BC6">
      <w:pPr>
        <w:pStyle w:val="ListParagraph"/>
        <w:numPr>
          <w:ilvl w:val="1"/>
          <w:numId w:val="8"/>
        </w:numPr>
        <w:rPr>
          <w:b/>
          <w:bCs/>
        </w:rPr>
      </w:pPr>
      <w:r>
        <w:t xml:space="preserve">Further to the </w:t>
      </w:r>
      <w:r w:rsidRPr="00FF4DA7">
        <w:t>minimum standards of equality protection enshrined in six EU directives listed in Annex 1 to the Windsor Framework</w:t>
      </w:r>
      <w:r>
        <w:t>,</w:t>
      </w:r>
      <w:r w:rsidRPr="00FF4DA7">
        <w:t xml:space="preserve"> </w:t>
      </w:r>
      <w:r>
        <w:t>t</w:t>
      </w:r>
      <w:r w:rsidRPr="00FF4DA7">
        <w:t>he UK Government has also recognised a non-exhaustive list of other measures which fall within the scope of the commitment in Windsor Framework Article 2,</w:t>
      </w:r>
      <w:r w:rsidR="00D70B8D" w:rsidRPr="00FF4DA7">
        <w:rPr>
          <w:vertAlign w:val="superscript"/>
        </w:rPr>
        <w:footnoteReference w:id="102"/>
      </w:r>
      <w:r w:rsidR="00D70B8D" w:rsidRPr="00FF4DA7">
        <w:t xml:space="preserve"> </w:t>
      </w:r>
      <w:r w:rsidRPr="00FF4DA7">
        <w:t>including specific measures which protect the rights of disabled people.</w:t>
      </w:r>
      <w:r w:rsidRPr="00FF4DA7">
        <w:rPr>
          <w:vertAlign w:val="superscript"/>
        </w:rPr>
        <w:footnoteReference w:id="103"/>
      </w:r>
    </w:p>
    <w:p w14:paraId="19472AEE" w14:textId="77777777" w:rsidR="00D33364" w:rsidRPr="00A75056" w:rsidRDefault="00D33364" w:rsidP="00A75056">
      <w:pPr>
        <w:pStyle w:val="ListParagraph"/>
        <w:ind w:left="720"/>
        <w:rPr>
          <w:b/>
          <w:bCs/>
        </w:rPr>
      </w:pPr>
    </w:p>
    <w:p w14:paraId="77961F6F" w14:textId="1F9BDF0C" w:rsidR="00D33364" w:rsidRPr="00A75056" w:rsidRDefault="00D33364" w:rsidP="005B3BC6">
      <w:pPr>
        <w:pStyle w:val="ListParagraph"/>
        <w:numPr>
          <w:ilvl w:val="1"/>
          <w:numId w:val="8"/>
        </w:numPr>
        <w:rPr>
          <w:b/>
          <w:bCs/>
        </w:rPr>
      </w:pPr>
      <w:r w:rsidRPr="00FF4DDD">
        <w:t>The definition of EU law in the UK-EU Withdrawal Agreement encompasses those international agreements to which the EU is party, including the UN CRPD. As the EU acceded to the UN CRPD prior to UK withdrawal,</w:t>
      </w:r>
      <w:r w:rsidRPr="00FF4DDD">
        <w:rPr>
          <w:rStyle w:val="FootnoteReference"/>
        </w:rPr>
        <w:footnoteReference w:id="104"/>
      </w:r>
      <w:r w:rsidRPr="00FF4DDD">
        <w:t xml:space="preserve"> the overriding obligation to promote, protect and implement the UN CRPD through EU law and policy is relevant to the interpretation of UK-EU Withdrawal Agreement 2020, including Windsor Framework Article 2, and to all EU measures referenced in that Agreement.</w:t>
      </w:r>
      <w:r w:rsidRPr="00FF4DDD">
        <w:rPr>
          <w:rStyle w:val="FootnoteReference"/>
        </w:rPr>
        <w:footnoteReference w:id="105"/>
      </w:r>
    </w:p>
    <w:p w14:paraId="2DCE4B45" w14:textId="77777777" w:rsidR="00D33364" w:rsidRPr="00A75056" w:rsidRDefault="00D33364" w:rsidP="00A75056">
      <w:pPr>
        <w:rPr>
          <w:b/>
          <w:bCs/>
        </w:rPr>
      </w:pPr>
    </w:p>
    <w:p w14:paraId="7073582F" w14:textId="223F9458" w:rsidR="00D33364" w:rsidRPr="00E87D80" w:rsidRDefault="00D33364" w:rsidP="005B3BC6">
      <w:pPr>
        <w:pStyle w:val="ListParagraph"/>
        <w:numPr>
          <w:ilvl w:val="1"/>
          <w:numId w:val="8"/>
        </w:numPr>
        <w:rPr>
          <w:b/>
        </w:rPr>
      </w:pPr>
      <w:r w:rsidRPr="00FF4DDD">
        <w:t>The NI High Court has recognised that the UN CRPD is an integral part of the EU legal order and is relevant to Windsor Framework Article 2.</w:t>
      </w:r>
      <w:r w:rsidRPr="00FF4DDD">
        <w:rPr>
          <w:vertAlign w:val="superscript"/>
        </w:rPr>
        <w:footnoteReference w:id="106"/>
      </w:r>
      <w:r w:rsidRPr="00FF4DDD">
        <w:t xml:space="preserve"> </w:t>
      </w:r>
      <w:r w:rsidRPr="00FF4DDD" w:rsidDel="0026135E">
        <w:t>In May 2023, the Court of Appeal in NI confirmed that since UN CRPD was a part of the EU legal order prior to UK withdrawal, the NI Assembly was prohibited from legislating contrary to the UN CRPD as EU law where matters fell within the competence of the EU.</w:t>
      </w:r>
      <w:r w:rsidRPr="00FF4DDD" w:rsidDel="0026135E">
        <w:rPr>
          <w:rStyle w:val="FootnoteReference"/>
        </w:rPr>
        <w:footnoteReference w:id="107"/>
      </w:r>
    </w:p>
    <w:p w14:paraId="26829B0D" w14:textId="77777777" w:rsidR="0035266C" w:rsidRPr="00B84EE0" w:rsidRDefault="0035266C" w:rsidP="009B64CE">
      <w:pPr>
        <w:pStyle w:val="ListParagraph"/>
        <w:rPr>
          <w:b/>
          <w:bCs/>
        </w:rPr>
      </w:pPr>
    </w:p>
    <w:p w14:paraId="0B891F4E" w14:textId="2F035953" w:rsidR="0035266C" w:rsidRPr="00825759" w:rsidRDefault="0035266C" w:rsidP="00825759">
      <w:pPr>
        <w:pStyle w:val="ListParagraph"/>
        <w:numPr>
          <w:ilvl w:val="1"/>
          <w:numId w:val="8"/>
        </w:numPr>
        <w:rPr>
          <w:rFonts w:eastAsia="Verdana" w:cs="Verdana"/>
        </w:rPr>
      </w:pPr>
      <w:r w:rsidRPr="00FF4DA7">
        <w:t>In 2023, policy developments encourage</w:t>
      </w:r>
      <w:r>
        <w:t>d</w:t>
      </w:r>
      <w:r w:rsidRPr="00FF4DA7">
        <w:t xml:space="preserve"> EU Member States to ensure full integration and compliance with the UN CRPD, as well as EU legislative proposals to protect the rights of people with disabilities, extending the protections afforded by the EU Employment Equality (Framework) Directive.</w:t>
      </w:r>
      <w:r w:rsidRPr="00FF4DA7">
        <w:rPr>
          <w:vertAlign w:val="superscript"/>
        </w:rPr>
        <w:footnoteReference w:id="108"/>
      </w:r>
      <w:r w:rsidRPr="00FF4DA7">
        <w:t xml:space="preserve"> Therefore incorporating UN CRPD rights into NI law would limit any potential for future divergence between NI and Ireland in the area of disability discrimination.</w:t>
      </w:r>
    </w:p>
    <w:p w14:paraId="75A1BBE0" w14:textId="77777777" w:rsidR="00F25304" w:rsidRPr="00F25304" w:rsidRDefault="00F25304" w:rsidP="00F25304">
      <w:pPr>
        <w:pStyle w:val="ListParagraph"/>
        <w:ind w:left="720"/>
        <w:rPr>
          <w:b/>
          <w:bCs/>
        </w:rPr>
      </w:pPr>
    </w:p>
    <w:p w14:paraId="316B83B1" w14:textId="61DD0FA4" w:rsidR="00D343AA" w:rsidRPr="00F25304" w:rsidRDefault="00FF4DA7" w:rsidP="005B3BC6">
      <w:pPr>
        <w:pStyle w:val="ListParagraph"/>
        <w:numPr>
          <w:ilvl w:val="1"/>
          <w:numId w:val="8"/>
        </w:numPr>
        <w:rPr>
          <w:b/>
          <w:bCs/>
        </w:rPr>
      </w:pPr>
      <w:r w:rsidRPr="00FF4DA7">
        <w:t xml:space="preserve">The </w:t>
      </w:r>
      <w:r w:rsidR="00D33364">
        <w:t>NIHRC</w:t>
      </w:r>
      <w:r w:rsidR="00A75056">
        <w:t xml:space="preserve">, together with the Equality </w:t>
      </w:r>
      <w:r w:rsidRPr="00FF4DA7">
        <w:t xml:space="preserve">Commission </w:t>
      </w:r>
      <w:r w:rsidR="00A75056">
        <w:t xml:space="preserve">for NI, </w:t>
      </w:r>
      <w:r w:rsidRPr="00FF4DA7">
        <w:t>ha</w:t>
      </w:r>
      <w:r w:rsidR="00D33364">
        <w:t>s</w:t>
      </w:r>
      <w:r w:rsidRPr="00FF4DA7">
        <w:t xml:space="preserve"> identified measures which fall within the scope of Windsor Framework Article 2,</w:t>
      </w:r>
      <w:r w:rsidRPr="00FF4DA7">
        <w:rPr>
          <w:vertAlign w:val="superscript"/>
        </w:rPr>
        <w:footnoteReference w:id="109"/>
      </w:r>
      <w:r w:rsidRPr="00FF4DA7">
        <w:t xml:space="preserve"> which are to be subject the ‘Stormont brake’ mechanism.</w:t>
      </w:r>
      <w:r w:rsidR="00673967" w:rsidRPr="00FF4DA7">
        <w:t xml:space="preserve"> </w:t>
      </w:r>
      <w:r w:rsidRPr="00FF4DA7">
        <w:t>These include measures that are relevant for disabled people in terms of accessibility standards. For example, Article 24 of the EU Directive on Machinery (Directive 2006/42/EC),</w:t>
      </w:r>
      <w:r w:rsidRPr="00FF4DA7">
        <w:rPr>
          <w:vertAlign w:val="superscript"/>
        </w:rPr>
        <w:footnoteReference w:id="110"/>
      </w:r>
      <w:r w:rsidRPr="00FF4DA7">
        <w:t xml:space="preserve"> amends the law on the manufacture of lifts in relation to access for, and use by, disabled people, which is included in Windsor Framework Annex 2. The ‘Stormont brake’ mechanism may therefore have potential implications for equality and human rights, including those relating to disabled people in NI.</w:t>
      </w:r>
      <w:r w:rsidRPr="00FF4DA7">
        <w:rPr>
          <w:vertAlign w:val="superscript"/>
        </w:rPr>
        <w:footnoteReference w:id="111"/>
      </w:r>
      <w:r w:rsidRPr="00FF4DA7">
        <w:t xml:space="preserve"> </w:t>
      </w:r>
      <w:bookmarkStart w:id="27" w:name="_Toc128554136"/>
    </w:p>
    <w:p w14:paraId="32AB1083" w14:textId="77777777" w:rsidR="00F25304" w:rsidRPr="00F25304" w:rsidRDefault="00F25304" w:rsidP="00F25304">
      <w:pPr>
        <w:pStyle w:val="ListParagraph"/>
        <w:ind w:left="720"/>
        <w:rPr>
          <w:b/>
          <w:bCs/>
        </w:rPr>
      </w:pPr>
    </w:p>
    <w:p w14:paraId="14926FCD" w14:textId="77777777" w:rsidR="00F25304" w:rsidRPr="00F25304" w:rsidRDefault="00F25304" w:rsidP="00F33164">
      <w:pPr>
        <w:pStyle w:val="Heading3"/>
      </w:pPr>
      <w:bookmarkStart w:id="28" w:name="_Toc176503696"/>
      <w:r w:rsidRPr="00F33164">
        <w:t>CJEU</w:t>
      </w:r>
      <w:r w:rsidRPr="00F25304">
        <w:t xml:space="preserve"> developments on Disability</w:t>
      </w:r>
      <w:bookmarkEnd w:id="27"/>
      <w:bookmarkEnd w:id="28"/>
    </w:p>
    <w:p w14:paraId="7FD6812B" w14:textId="77777777" w:rsidR="00F25304" w:rsidRDefault="00F25304" w:rsidP="00F25304">
      <w:pPr>
        <w:pStyle w:val="ListParagraph"/>
        <w:ind w:left="720"/>
        <w:rPr>
          <w:b/>
          <w:bCs/>
        </w:rPr>
      </w:pPr>
    </w:p>
    <w:p w14:paraId="67818CF4" w14:textId="10CDBDA8" w:rsidR="00F25304" w:rsidRPr="00F25304" w:rsidRDefault="00A75056" w:rsidP="005B3BC6">
      <w:pPr>
        <w:pStyle w:val="ListParagraph"/>
        <w:numPr>
          <w:ilvl w:val="1"/>
          <w:numId w:val="8"/>
        </w:numPr>
        <w:rPr>
          <w:b/>
          <w:bCs/>
        </w:rPr>
      </w:pPr>
      <w:r>
        <w:t>P</w:t>
      </w:r>
      <w:r w:rsidRPr="00A277C6">
        <w:t>ursuant to Articles 2 and 13 of the Windsor Framework</w:t>
      </w:r>
      <w:r>
        <w:t>,</w:t>
      </w:r>
      <w:r w:rsidRPr="00FF4DA7">
        <w:t xml:space="preserve"> </w:t>
      </w:r>
      <w:r w:rsidR="00FF4DA7" w:rsidRPr="00FF4DA7">
        <w:t xml:space="preserve">NI disability discrimination law needs to be updated to meet the Windsor Framework’s requirements of dynamic alignment, including in relation to evolving CJEU case law on the Annex 1 equality directives post 31 December 2020. For example, the CJEU ruling in the case of </w:t>
      </w:r>
      <w:proofErr w:type="spellStart"/>
      <w:r w:rsidR="00FF4DA7" w:rsidRPr="2D61A484">
        <w:rPr>
          <w:i/>
          <w:iCs/>
        </w:rPr>
        <w:t>Szpital</w:t>
      </w:r>
      <w:proofErr w:type="spellEnd"/>
      <w:r w:rsidR="00FF4DA7" w:rsidRPr="2D61A484">
        <w:rPr>
          <w:i/>
          <w:iCs/>
        </w:rPr>
        <w:t xml:space="preserve"> </w:t>
      </w:r>
      <w:proofErr w:type="spellStart"/>
      <w:r w:rsidR="00FF4DA7" w:rsidRPr="2D61A484">
        <w:rPr>
          <w:i/>
          <w:iCs/>
        </w:rPr>
        <w:t>Kliniczny</w:t>
      </w:r>
      <w:proofErr w:type="spellEnd"/>
      <w:r w:rsidR="00FF4DA7" w:rsidRPr="2D61A484">
        <w:rPr>
          <w:vertAlign w:val="superscript"/>
        </w:rPr>
        <w:footnoteReference w:id="112"/>
      </w:r>
      <w:r w:rsidR="00FF4DA7" w:rsidRPr="00FF4DA7">
        <w:t xml:space="preserve"> elaborated on the concept of disability within the EU </w:t>
      </w:r>
      <w:r w:rsidR="00FF4DA7" w:rsidRPr="00FF4DA7">
        <w:lastRenderedPageBreak/>
        <w:t>Framework Equality Directive.</w:t>
      </w:r>
      <w:r w:rsidR="00FF4DA7" w:rsidRPr="00FF4DA7">
        <w:rPr>
          <w:vertAlign w:val="superscript"/>
        </w:rPr>
        <w:footnoteReference w:id="113"/>
      </w:r>
      <w:r w:rsidR="00FF4DA7" w:rsidRPr="00FF4DA7">
        <w:t xml:space="preserve"> </w:t>
      </w:r>
      <w:r w:rsidR="00FF4DA7" w:rsidRPr="2D61A484">
        <w:rPr>
          <w:b/>
          <w:bCs/>
        </w:rPr>
        <w:t xml:space="preserve"> </w:t>
      </w:r>
      <w:r w:rsidR="00FF4DA7" w:rsidRPr="2D61A484">
        <w:t xml:space="preserve">In addition, </w:t>
      </w:r>
      <w:r w:rsidR="00FF4DA7" w:rsidRPr="2D61A484">
        <w:rPr>
          <w:i/>
          <w:iCs/>
        </w:rPr>
        <w:t>Jurors</w:t>
      </w:r>
      <w:r w:rsidR="00FF4DA7" w:rsidRPr="2D61A484">
        <w:rPr>
          <w:i/>
          <w:iCs/>
          <w:vertAlign w:val="superscript"/>
        </w:rPr>
        <w:footnoteReference w:id="114"/>
      </w:r>
      <w:r w:rsidR="00FF4DA7" w:rsidRPr="00FF4DA7">
        <w:t xml:space="preserve"> and </w:t>
      </w:r>
      <w:r w:rsidR="00FF4DA7" w:rsidRPr="2D61A484">
        <w:rPr>
          <w:i/>
          <w:iCs/>
        </w:rPr>
        <w:t xml:space="preserve">Tartu </w:t>
      </w:r>
      <w:proofErr w:type="spellStart"/>
      <w:r w:rsidR="00FF4DA7" w:rsidRPr="2D61A484">
        <w:rPr>
          <w:i/>
          <w:iCs/>
        </w:rPr>
        <w:t>Vangla</w:t>
      </w:r>
      <w:proofErr w:type="spellEnd"/>
      <w:r w:rsidR="00FF4DA7" w:rsidRPr="2D61A484">
        <w:rPr>
          <w:vertAlign w:val="superscript"/>
        </w:rPr>
        <w:footnoteReference w:id="115"/>
      </w:r>
      <w:r w:rsidR="00FF4DA7" w:rsidRPr="00FF4DA7">
        <w:t xml:space="preserve"> highlighted that justifications for the exclusion of persons with a disability from certain professional roles must be scrutinised closel</w:t>
      </w:r>
      <w:r w:rsidR="00F2071A">
        <w:t xml:space="preserve">y. </w:t>
      </w:r>
    </w:p>
    <w:p w14:paraId="2F3DAA38" w14:textId="77777777" w:rsidR="00F25304" w:rsidRPr="00F25304" w:rsidRDefault="00F25304" w:rsidP="00F25304">
      <w:pPr>
        <w:pStyle w:val="ListParagraph"/>
        <w:ind w:left="720"/>
        <w:rPr>
          <w:b/>
          <w:bCs/>
        </w:rPr>
      </w:pPr>
    </w:p>
    <w:p w14:paraId="1DB335FE" w14:textId="77777777" w:rsidR="00F25304" w:rsidRPr="00E50FA8" w:rsidRDefault="00FF4DA7" w:rsidP="005B3BC6">
      <w:pPr>
        <w:pStyle w:val="ListParagraph"/>
        <w:numPr>
          <w:ilvl w:val="1"/>
          <w:numId w:val="8"/>
        </w:numPr>
        <w:rPr>
          <w:b/>
          <w:bCs/>
        </w:rPr>
      </w:pPr>
      <w:r w:rsidRPr="00FF4DA7">
        <w:t xml:space="preserve">While some aspects of the Court’s findings are covered by the Disability Discrimination Act 1995, as amended, further reform of the 1995 Act is needed, particularly in relation to the definition of disability discrimination. </w:t>
      </w:r>
      <w:bookmarkStart w:id="29" w:name="_Toc128554140"/>
    </w:p>
    <w:p w14:paraId="4F45ED0E" w14:textId="77777777" w:rsidR="00F25304" w:rsidRPr="00F25304" w:rsidRDefault="00F25304" w:rsidP="00F33164">
      <w:pPr>
        <w:pStyle w:val="ListParagraph"/>
        <w:rPr>
          <w:b/>
          <w:bCs/>
        </w:rPr>
      </w:pPr>
    </w:p>
    <w:p w14:paraId="7B701C40" w14:textId="015C6D2B" w:rsidR="00F33164" w:rsidRDefault="00F33164" w:rsidP="005B3BC6">
      <w:pPr>
        <w:pStyle w:val="ListParagraph"/>
        <w:numPr>
          <w:ilvl w:val="1"/>
          <w:numId w:val="8"/>
        </w:numPr>
        <w:rPr>
          <w:b/>
          <w:bCs/>
        </w:rPr>
      </w:pPr>
      <w:r w:rsidRPr="00F25304">
        <w:rPr>
          <w:b/>
          <w:bCs/>
        </w:rPr>
        <w:t xml:space="preserve">The </w:t>
      </w:r>
      <w:r w:rsidR="00D33364">
        <w:rPr>
          <w:b/>
          <w:bCs/>
        </w:rPr>
        <w:t xml:space="preserve">NIHRC </w:t>
      </w:r>
      <w:r w:rsidR="00E21676">
        <w:rPr>
          <w:b/>
          <w:bCs/>
        </w:rPr>
        <w:t>recommends t</w:t>
      </w:r>
      <w:r>
        <w:rPr>
          <w:b/>
          <w:bCs/>
        </w:rPr>
        <w:t xml:space="preserve">hat </w:t>
      </w:r>
      <w:r w:rsidRPr="00F25304">
        <w:rPr>
          <w:b/>
          <w:bCs/>
        </w:rPr>
        <w:t xml:space="preserve">NI law be amended to keep pace with </w:t>
      </w:r>
      <w:r w:rsidR="00063C61">
        <w:rPr>
          <w:b/>
          <w:bCs/>
        </w:rPr>
        <w:t>the</w:t>
      </w:r>
      <w:r w:rsidR="00063C61" w:rsidRPr="00F25304">
        <w:rPr>
          <w:b/>
          <w:bCs/>
        </w:rPr>
        <w:t xml:space="preserve"> </w:t>
      </w:r>
      <w:r w:rsidRPr="00F25304">
        <w:rPr>
          <w:b/>
          <w:bCs/>
        </w:rPr>
        <w:t xml:space="preserve">provisions of the EU </w:t>
      </w:r>
      <w:r w:rsidR="001E095D">
        <w:rPr>
          <w:b/>
          <w:bCs/>
        </w:rPr>
        <w:t>D</w:t>
      </w:r>
      <w:r w:rsidRPr="00F25304">
        <w:rPr>
          <w:b/>
          <w:bCs/>
        </w:rPr>
        <w:t xml:space="preserve">irectives on standards for equality bodies which amend or replace the </w:t>
      </w:r>
      <w:r w:rsidR="00A75056" w:rsidRPr="00807AD1">
        <w:rPr>
          <w:b/>
          <w:bCs/>
        </w:rPr>
        <w:t>EU Employment Equality (Framework) Directive</w:t>
      </w:r>
      <w:r w:rsidR="00C37C2B">
        <w:rPr>
          <w:b/>
          <w:bCs/>
        </w:rPr>
        <w:t>.</w:t>
      </w:r>
      <w:r w:rsidR="00E21676">
        <w:rPr>
          <w:b/>
          <w:bCs/>
        </w:rPr>
        <w:t xml:space="preserve"> </w:t>
      </w:r>
    </w:p>
    <w:p w14:paraId="41E5DEB6" w14:textId="77777777" w:rsidR="00F33164" w:rsidRPr="00F33164" w:rsidRDefault="00F33164" w:rsidP="00F33164">
      <w:pPr>
        <w:pStyle w:val="ListParagraph"/>
        <w:rPr>
          <w:b/>
          <w:bCs/>
        </w:rPr>
      </w:pPr>
    </w:p>
    <w:bookmarkEnd w:id="29"/>
    <w:p w14:paraId="17087B6F" w14:textId="2C7802BA" w:rsidR="00F33164" w:rsidRPr="00F25304" w:rsidRDefault="00F33164" w:rsidP="005B3BC6">
      <w:pPr>
        <w:pStyle w:val="ListParagraph"/>
        <w:numPr>
          <w:ilvl w:val="1"/>
          <w:numId w:val="8"/>
        </w:numPr>
        <w:rPr>
          <w:b/>
          <w:bCs/>
        </w:rPr>
      </w:pPr>
      <w:r w:rsidRPr="00A821E4">
        <w:rPr>
          <w:b/>
          <w:bCs/>
        </w:rPr>
        <w:t xml:space="preserve">The </w:t>
      </w:r>
      <w:r w:rsidR="00D33364">
        <w:rPr>
          <w:b/>
          <w:bCs/>
        </w:rPr>
        <w:t>NIHRC</w:t>
      </w:r>
      <w:r w:rsidR="00D33364" w:rsidRPr="00A821E4">
        <w:rPr>
          <w:b/>
          <w:bCs/>
        </w:rPr>
        <w:t xml:space="preserve"> </w:t>
      </w:r>
      <w:r w:rsidR="00A63376">
        <w:rPr>
          <w:b/>
          <w:bCs/>
        </w:rPr>
        <w:t xml:space="preserve">recommends </w:t>
      </w:r>
      <w:r w:rsidR="00700997">
        <w:rPr>
          <w:b/>
          <w:bCs/>
        </w:rPr>
        <w:t xml:space="preserve">that </w:t>
      </w:r>
      <w:r w:rsidR="00A63376">
        <w:rPr>
          <w:b/>
          <w:bCs/>
        </w:rPr>
        <w:t>the</w:t>
      </w:r>
      <w:r w:rsidRPr="00A821E4">
        <w:rPr>
          <w:b/>
          <w:bCs/>
        </w:rPr>
        <w:t xml:space="preserve"> </w:t>
      </w:r>
      <w:r w:rsidR="00092955">
        <w:rPr>
          <w:rFonts w:eastAsia="Times New Roman"/>
          <w:b/>
          <w:bCs/>
        </w:rPr>
        <w:t xml:space="preserve">Executive Office </w:t>
      </w:r>
      <w:r w:rsidR="006A0AB5">
        <w:rPr>
          <w:rFonts w:eastAsia="Times New Roman"/>
          <w:b/>
          <w:bCs/>
        </w:rPr>
        <w:t xml:space="preserve">ensure </w:t>
      </w:r>
      <w:r w:rsidR="00A75056">
        <w:rPr>
          <w:b/>
          <w:bCs/>
        </w:rPr>
        <w:t xml:space="preserve">that </w:t>
      </w:r>
      <w:r w:rsidRPr="00A821E4">
        <w:rPr>
          <w:b/>
          <w:bCs/>
        </w:rPr>
        <w:t>the EU Framework Equality Directive and domestic law</w:t>
      </w:r>
      <w:r w:rsidR="00092955">
        <w:rPr>
          <w:b/>
          <w:bCs/>
        </w:rPr>
        <w:t xml:space="preserve">, </w:t>
      </w:r>
      <w:r w:rsidRPr="00A821E4">
        <w:rPr>
          <w:b/>
          <w:bCs/>
        </w:rPr>
        <w:t>which gives effect to this Directive</w:t>
      </w:r>
      <w:r w:rsidR="00092955">
        <w:rPr>
          <w:b/>
          <w:bCs/>
        </w:rPr>
        <w:t>,</w:t>
      </w:r>
      <w:r w:rsidRPr="00A821E4">
        <w:rPr>
          <w:b/>
          <w:bCs/>
        </w:rPr>
        <w:t xml:space="preserve"> </w:t>
      </w:r>
      <w:r w:rsidR="00A75056">
        <w:rPr>
          <w:b/>
          <w:bCs/>
        </w:rPr>
        <w:t xml:space="preserve">is interpreted </w:t>
      </w:r>
      <w:r w:rsidRPr="00A821E4">
        <w:rPr>
          <w:b/>
          <w:bCs/>
        </w:rPr>
        <w:t xml:space="preserve">in line with the decision of the CJEU in the </w:t>
      </w:r>
      <w:proofErr w:type="spellStart"/>
      <w:r w:rsidRPr="00A821E4">
        <w:rPr>
          <w:b/>
          <w:bCs/>
          <w:i/>
          <w:iCs/>
        </w:rPr>
        <w:t>Szpital</w:t>
      </w:r>
      <w:proofErr w:type="spellEnd"/>
      <w:r w:rsidRPr="00A821E4">
        <w:rPr>
          <w:b/>
          <w:bCs/>
          <w:i/>
          <w:iCs/>
        </w:rPr>
        <w:t xml:space="preserve"> </w:t>
      </w:r>
      <w:proofErr w:type="spellStart"/>
      <w:r w:rsidRPr="00A821E4">
        <w:rPr>
          <w:b/>
          <w:bCs/>
          <w:i/>
          <w:iCs/>
        </w:rPr>
        <w:t>Kliniczny</w:t>
      </w:r>
      <w:proofErr w:type="spellEnd"/>
      <w:r w:rsidRPr="00A821E4">
        <w:rPr>
          <w:b/>
          <w:bCs/>
        </w:rPr>
        <w:t xml:space="preserve"> case relating to disability discrimination</w:t>
      </w:r>
      <w:r w:rsidR="00C37C2B">
        <w:rPr>
          <w:b/>
          <w:bCs/>
        </w:rPr>
        <w:t>.</w:t>
      </w:r>
    </w:p>
    <w:p w14:paraId="2EB439DF" w14:textId="77777777" w:rsidR="00F25304" w:rsidRPr="00B537A5" w:rsidRDefault="00F25304" w:rsidP="00B537A5">
      <w:pPr>
        <w:rPr>
          <w:b/>
          <w:bCs/>
        </w:rPr>
      </w:pPr>
    </w:p>
    <w:p w14:paraId="6EAE9DF0" w14:textId="7EDA6B52" w:rsidR="00F25304" w:rsidRPr="00D70B8D" w:rsidRDefault="009F708C" w:rsidP="00D70B8D">
      <w:pPr>
        <w:pStyle w:val="Heading2"/>
      </w:pPr>
      <w:bookmarkStart w:id="30" w:name="_Toc176503697"/>
      <w:r w:rsidRPr="00F25304">
        <w:t>Racial Equality</w:t>
      </w:r>
      <w:bookmarkEnd w:id="30"/>
    </w:p>
    <w:p w14:paraId="494A1408" w14:textId="33148D6F" w:rsidR="00F25304" w:rsidRPr="00F25304" w:rsidRDefault="009F708C" w:rsidP="005B3BC6">
      <w:pPr>
        <w:pStyle w:val="ListParagraph"/>
        <w:numPr>
          <w:ilvl w:val="1"/>
          <w:numId w:val="8"/>
        </w:numPr>
        <w:rPr>
          <w:b/>
          <w:bCs/>
        </w:rPr>
      </w:pPr>
      <w:r>
        <w:t xml:space="preserve">As </w:t>
      </w:r>
      <w:r w:rsidR="000F6E28">
        <w:t>outlined above</w:t>
      </w:r>
      <w:r>
        <w:t xml:space="preserve">, </w:t>
      </w:r>
      <w:r w:rsidRPr="00524E26">
        <w:t>Windsor Framework Articles 2 and 13 require the law in NI to keep pace with any improvements to minimum standards of equality protection enshrined in six EU directives listed in Annex 1 to the Windsor Framework, including the EU Racial Equality Directive.</w:t>
      </w:r>
      <w:r w:rsidRPr="003A7942">
        <w:rPr>
          <w:vertAlign w:val="superscript"/>
        </w:rPr>
        <w:footnoteReference w:id="116"/>
      </w:r>
      <w:r w:rsidRPr="00524E26">
        <w:t xml:space="preserve"> The obligation also requires compliance with current and future CJEU case-law</w:t>
      </w:r>
      <w:r>
        <w:t>.</w:t>
      </w:r>
    </w:p>
    <w:p w14:paraId="2B6FB2C7" w14:textId="77777777" w:rsidR="00F25304" w:rsidRPr="00F25304" w:rsidRDefault="00F25304" w:rsidP="00F25304">
      <w:pPr>
        <w:pStyle w:val="ListParagraph"/>
        <w:ind w:left="720"/>
        <w:rPr>
          <w:b/>
          <w:bCs/>
        </w:rPr>
      </w:pPr>
    </w:p>
    <w:p w14:paraId="1BDC96CE" w14:textId="0BDB771C" w:rsidR="00F25304" w:rsidRPr="00F25304" w:rsidRDefault="009F708C" w:rsidP="005B3BC6">
      <w:pPr>
        <w:pStyle w:val="ListParagraph"/>
        <w:numPr>
          <w:ilvl w:val="1"/>
          <w:numId w:val="8"/>
        </w:numPr>
        <w:rPr>
          <w:b/>
          <w:bCs/>
        </w:rPr>
      </w:pPr>
      <w:r>
        <w:t>The</w:t>
      </w:r>
      <w:r w:rsidRPr="00524E26">
        <w:t xml:space="preserve"> </w:t>
      </w:r>
      <w:r w:rsidR="00D33364">
        <w:t>NIHRC</w:t>
      </w:r>
      <w:r w:rsidRPr="00524E26">
        <w:t xml:space="preserve"> </w:t>
      </w:r>
      <w:r>
        <w:t xml:space="preserve">takes the view that </w:t>
      </w:r>
      <w:r w:rsidRPr="00524E26">
        <w:t>refugees and asylum seekers are protected by Windsor Framework Article 2 and identified relevant EU law which underpins the non-diminution commitment.</w:t>
      </w:r>
      <w:r w:rsidRPr="003A7942">
        <w:rPr>
          <w:vertAlign w:val="superscript"/>
        </w:rPr>
        <w:footnoteReference w:id="117"/>
      </w:r>
      <w:r>
        <w:t xml:space="preserve"> </w:t>
      </w:r>
      <w:r w:rsidR="00EF66E0">
        <w:t xml:space="preserve">In a recent </w:t>
      </w:r>
      <w:r w:rsidR="00EF66E0">
        <w:lastRenderedPageBreak/>
        <w:t xml:space="preserve">High Court judgment, it was declared that </w:t>
      </w:r>
      <w:r w:rsidR="00FA2AA3">
        <w:t>“w</w:t>
      </w:r>
      <w:r w:rsidR="00FA2AA3" w:rsidRPr="00FA2AA3">
        <w:t xml:space="preserve">hilst it is true to say that the </w:t>
      </w:r>
      <w:r w:rsidR="0035266C">
        <w:t>[Belfast (Good Friday) Agreement]</w:t>
      </w:r>
      <w:r w:rsidR="00FA2AA3" w:rsidRPr="00FA2AA3">
        <w:t xml:space="preserve"> did not expressly reference immigration or asylum, there is no basis to exclude such individuals from the wide compass of </w:t>
      </w:r>
      <w:r w:rsidR="0035266C">
        <w:t>‘</w:t>
      </w:r>
      <w:r w:rsidR="00FA2AA3" w:rsidRPr="00FA2AA3">
        <w:t>everyone in the community</w:t>
      </w:r>
      <w:r w:rsidR="0035266C">
        <w:t>’</w:t>
      </w:r>
      <w:r w:rsidR="00FA2AA3">
        <w:t>”.</w:t>
      </w:r>
      <w:r w:rsidR="00FA2AA3">
        <w:rPr>
          <w:rStyle w:val="FootnoteReference"/>
        </w:rPr>
        <w:footnoteReference w:id="118"/>
      </w:r>
    </w:p>
    <w:p w14:paraId="15D946A0" w14:textId="77777777" w:rsidR="00F25304" w:rsidRPr="00F25304" w:rsidRDefault="00F25304" w:rsidP="00F25304">
      <w:pPr>
        <w:pStyle w:val="ListParagraph"/>
        <w:ind w:left="720"/>
        <w:rPr>
          <w:b/>
          <w:bCs/>
        </w:rPr>
      </w:pPr>
    </w:p>
    <w:p w14:paraId="4F407E44" w14:textId="77777777" w:rsidR="00F25304" w:rsidRPr="00F25304" w:rsidRDefault="009F708C" w:rsidP="00F25304">
      <w:pPr>
        <w:rPr>
          <w:b/>
          <w:bCs/>
        </w:rPr>
      </w:pPr>
      <w:r w:rsidRPr="00F25304">
        <w:rPr>
          <w:i/>
          <w:iCs/>
        </w:rPr>
        <w:t>EU Racial Equality Directive</w:t>
      </w:r>
    </w:p>
    <w:p w14:paraId="3962969D" w14:textId="77777777" w:rsidR="00F25304" w:rsidRPr="00F25304" w:rsidRDefault="00F25304" w:rsidP="00F25304">
      <w:pPr>
        <w:pStyle w:val="ListParagraph"/>
        <w:ind w:left="720"/>
        <w:rPr>
          <w:b/>
          <w:bCs/>
        </w:rPr>
      </w:pPr>
    </w:p>
    <w:p w14:paraId="015FD6D5" w14:textId="77777777" w:rsidR="00F25304" w:rsidRPr="00F25304" w:rsidRDefault="009F708C" w:rsidP="005B3BC6">
      <w:pPr>
        <w:pStyle w:val="ListParagraph"/>
        <w:numPr>
          <w:ilvl w:val="1"/>
          <w:numId w:val="8"/>
        </w:numPr>
        <w:rPr>
          <w:b/>
          <w:bCs/>
        </w:rPr>
      </w:pPr>
      <w:r w:rsidRPr="007C11B4">
        <w:t>The EU Racial Equality Directive protects against discrimination on the grounds of race and ethnicity across a range of areas, including employment and vocational training, access to goods and services, education and social security.</w:t>
      </w:r>
      <w:r w:rsidRPr="003A7942">
        <w:rPr>
          <w:vertAlign w:val="superscript"/>
        </w:rPr>
        <w:footnoteReference w:id="119"/>
      </w:r>
    </w:p>
    <w:p w14:paraId="1A953DE8" w14:textId="77777777" w:rsidR="00F25304" w:rsidRPr="00F25304" w:rsidRDefault="00F25304" w:rsidP="00F25304">
      <w:pPr>
        <w:pStyle w:val="ListParagraph"/>
        <w:ind w:left="720"/>
        <w:rPr>
          <w:b/>
          <w:bCs/>
        </w:rPr>
      </w:pPr>
    </w:p>
    <w:p w14:paraId="7B4140BC" w14:textId="7C7ED0C1" w:rsidR="00F25304" w:rsidRPr="00F25304" w:rsidRDefault="009F708C" w:rsidP="005B3BC6">
      <w:pPr>
        <w:pStyle w:val="ListParagraph"/>
        <w:numPr>
          <w:ilvl w:val="1"/>
          <w:numId w:val="8"/>
        </w:numPr>
        <w:rPr>
          <w:b/>
          <w:bCs/>
        </w:rPr>
      </w:pPr>
      <w:r w:rsidRPr="007C11B4">
        <w:t>In 2022, in a response to a consultation by the EU Commission on gaps in the EU Racial Equality Directive,</w:t>
      </w:r>
      <w:r w:rsidRPr="003A7942">
        <w:rPr>
          <w:vertAlign w:val="superscript"/>
        </w:rPr>
        <w:footnoteReference w:id="120"/>
      </w:r>
      <w:r w:rsidRPr="007C11B4">
        <w:t xml:space="preserve"> </w:t>
      </w:r>
      <w:r>
        <w:t xml:space="preserve">the </w:t>
      </w:r>
      <w:r w:rsidR="00D33364">
        <w:t xml:space="preserve">NIHRC </w:t>
      </w:r>
      <w:r w:rsidRPr="007C11B4">
        <w:t>highlighted the importance of the requirement that the law in NI ‘keep pace’ with any changes to the EU Racial Equality Directive that strengthen rights.</w:t>
      </w:r>
      <w:r w:rsidRPr="003A7942">
        <w:rPr>
          <w:vertAlign w:val="superscript"/>
        </w:rPr>
        <w:footnoteReference w:id="121"/>
      </w:r>
    </w:p>
    <w:p w14:paraId="4515DEE8" w14:textId="77777777" w:rsidR="00F25304" w:rsidRPr="00F25304" w:rsidRDefault="00F25304" w:rsidP="00F25304">
      <w:pPr>
        <w:pStyle w:val="ListParagraph"/>
        <w:ind w:left="720"/>
        <w:rPr>
          <w:b/>
          <w:bCs/>
        </w:rPr>
      </w:pPr>
    </w:p>
    <w:p w14:paraId="50BCB66D" w14:textId="1E6F9652" w:rsidR="00F25304" w:rsidRPr="00F25304" w:rsidRDefault="009F708C" w:rsidP="005B3BC6">
      <w:pPr>
        <w:pStyle w:val="ListParagraph"/>
        <w:numPr>
          <w:ilvl w:val="1"/>
          <w:numId w:val="8"/>
        </w:numPr>
        <w:rPr>
          <w:b/>
          <w:bCs/>
        </w:rPr>
      </w:pPr>
      <w:r w:rsidRPr="007C11B4">
        <w:t xml:space="preserve">The </w:t>
      </w:r>
      <w:r w:rsidR="00D33364">
        <w:t>NIHRC</w:t>
      </w:r>
      <w:r w:rsidRPr="007C11B4">
        <w:t xml:space="preserve"> also outlined the need to enhance the scope of discrimination and compliance under the EU Directive and highlighted the need to identify discrimination arising from algorithms and data-driven technology.</w:t>
      </w:r>
      <w:r w:rsidRPr="003A7942">
        <w:rPr>
          <w:vertAlign w:val="superscript"/>
        </w:rPr>
        <w:footnoteReference w:id="122"/>
      </w:r>
      <w:r w:rsidRPr="007C11B4">
        <w:t xml:space="preserve">  Furthermore, the NIHRC noted that the review of the EU Directive provided a welcome opportunity to address local gaps, including protections against intersectional and multiple discrimination in NI and providing for a duty on all public authorities to collect, analyse and monitor equality data.</w:t>
      </w:r>
      <w:r w:rsidRPr="003A7942">
        <w:rPr>
          <w:vertAlign w:val="superscript"/>
        </w:rPr>
        <w:footnoteReference w:id="123"/>
      </w:r>
    </w:p>
    <w:p w14:paraId="4AC1AD48" w14:textId="77777777" w:rsidR="00F25304" w:rsidRPr="00F25304" w:rsidRDefault="00F25304" w:rsidP="00F25304">
      <w:pPr>
        <w:pStyle w:val="ListParagraph"/>
        <w:ind w:left="720"/>
        <w:rPr>
          <w:b/>
          <w:bCs/>
        </w:rPr>
      </w:pPr>
    </w:p>
    <w:p w14:paraId="17C804AE" w14:textId="72E60F83" w:rsidR="00F25304" w:rsidRPr="00F3220E" w:rsidRDefault="009F708C" w:rsidP="00F3220E">
      <w:pPr>
        <w:pStyle w:val="ListParagraph"/>
        <w:numPr>
          <w:ilvl w:val="1"/>
          <w:numId w:val="8"/>
        </w:numPr>
        <w:rPr>
          <w:b/>
          <w:bCs/>
        </w:rPr>
      </w:pPr>
      <w:r w:rsidRPr="007C11B4">
        <w:lastRenderedPageBreak/>
        <w:t xml:space="preserve">In </w:t>
      </w:r>
      <w:r>
        <w:t>May 2024</w:t>
      </w:r>
      <w:r w:rsidRPr="007C11B4">
        <w:t xml:space="preserve">, the </w:t>
      </w:r>
      <w:r w:rsidR="00D762D2">
        <w:t xml:space="preserve">newly adopted </w:t>
      </w:r>
      <w:r w:rsidRPr="007C11B4">
        <w:t xml:space="preserve">EU </w:t>
      </w:r>
      <w:r w:rsidR="00D762D2">
        <w:t>Directives on equality bodies</w:t>
      </w:r>
      <w:bookmarkStart w:id="31" w:name="_Hlk143847746"/>
      <w:r w:rsidRPr="003A7942">
        <w:rPr>
          <w:vertAlign w:val="superscript"/>
        </w:rPr>
        <w:footnoteReference w:id="124"/>
      </w:r>
      <w:r w:rsidRPr="007C11B4">
        <w:t xml:space="preserve"> </w:t>
      </w:r>
      <w:bookmarkEnd w:id="31"/>
      <w:r w:rsidR="00D762D2">
        <w:t xml:space="preserve">also </w:t>
      </w:r>
      <w:r w:rsidRPr="007C11B4">
        <w:t>amend provisions of the EU Race Equality Directive.</w:t>
      </w:r>
      <w:r w:rsidRPr="003A7942">
        <w:rPr>
          <w:vertAlign w:val="superscript"/>
        </w:rPr>
        <w:footnoteReference w:id="125"/>
      </w:r>
      <w:r w:rsidRPr="007C11B4">
        <w:t xml:space="preserve"> </w:t>
      </w:r>
      <w:bookmarkStart w:id="32" w:name="_Hlk102575482"/>
      <w:r w:rsidR="00B5114E">
        <w:t xml:space="preserve">In </w:t>
      </w:r>
      <w:r w:rsidR="001577F7">
        <w:t>M</w:t>
      </w:r>
      <w:r w:rsidR="00B5114E">
        <w:t xml:space="preserve">arch 2023, the </w:t>
      </w:r>
      <w:r w:rsidRPr="003402A2">
        <w:t xml:space="preserve">TEO </w:t>
      </w:r>
      <w:r w:rsidR="00B5114E">
        <w:t xml:space="preserve">launched a </w:t>
      </w:r>
      <w:r w:rsidRPr="003402A2">
        <w:t>consultation on legislative reform of the Race Relations (NI) Order 1997</w:t>
      </w:r>
      <w:r w:rsidR="0069384F">
        <w:t>.</w:t>
      </w:r>
      <w:r w:rsidRPr="003A7942">
        <w:rPr>
          <w:vertAlign w:val="superscript"/>
        </w:rPr>
        <w:footnoteReference w:id="126"/>
      </w:r>
      <w:r w:rsidRPr="003402A2">
        <w:t xml:space="preserve"> </w:t>
      </w:r>
      <w:r w:rsidR="0069384F">
        <w:t>In its response, t</w:t>
      </w:r>
      <w:r>
        <w:t>he Commission</w:t>
      </w:r>
      <w:r w:rsidRPr="003402A2">
        <w:t xml:space="preserve"> highlighted the importance of compliance with Windsor Framework Article 2, including the dynamic alignment obligations in relation to the EU Racial Equality Directive, the EU directives on binding standards for equality bodies and CJEU case law.</w:t>
      </w:r>
      <w:r w:rsidRPr="003A7942">
        <w:rPr>
          <w:vertAlign w:val="superscript"/>
        </w:rPr>
        <w:footnoteReference w:id="127"/>
      </w:r>
      <w:r w:rsidRPr="003402A2">
        <w:t xml:space="preserve"> </w:t>
      </w:r>
      <w:bookmarkStart w:id="33" w:name="_Hlk165127853"/>
      <w:bookmarkEnd w:id="32"/>
    </w:p>
    <w:p w14:paraId="03BFBD7C" w14:textId="77777777" w:rsidR="00F25304" w:rsidRPr="00F25304" w:rsidRDefault="00F25304" w:rsidP="00F25304">
      <w:pPr>
        <w:pStyle w:val="ListParagraph"/>
        <w:ind w:left="720"/>
        <w:rPr>
          <w:b/>
          <w:bCs/>
        </w:rPr>
      </w:pPr>
    </w:p>
    <w:p w14:paraId="25EBEAEC" w14:textId="1537E0E7" w:rsidR="00DF19DA" w:rsidRDefault="00DF19DA" w:rsidP="005B3BC6">
      <w:pPr>
        <w:pStyle w:val="ListParagraph"/>
        <w:numPr>
          <w:ilvl w:val="1"/>
          <w:numId w:val="8"/>
        </w:numPr>
        <w:rPr>
          <w:b/>
          <w:bCs/>
        </w:rPr>
      </w:pPr>
      <w:r w:rsidRPr="00F25304">
        <w:rPr>
          <w:b/>
          <w:bCs/>
        </w:rPr>
        <w:t xml:space="preserve">The </w:t>
      </w:r>
      <w:r>
        <w:rPr>
          <w:b/>
          <w:bCs/>
        </w:rPr>
        <w:t>NIHRC</w:t>
      </w:r>
      <w:r w:rsidRPr="00F25304">
        <w:rPr>
          <w:b/>
          <w:bCs/>
        </w:rPr>
        <w:t xml:space="preserve"> </w:t>
      </w:r>
      <w:r w:rsidR="0035266C">
        <w:rPr>
          <w:b/>
          <w:bCs/>
        </w:rPr>
        <w:t>recommend</w:t>
      </w:r>
      <w:r w:rsidR="00534076">
        <w:rPr>
          <w:b/>
          <w:bCs/>
        </w:rPr>
        <w:t>s</w:t>
      </w:r>
      <w:r w:rsidR="0035266C">
        <w:rPr>
          <w:b/>
          <w:bCs/>
        </w:rPr>
        <w:t xml:space="preserve"> that</w:t>
      </w:r>
      <w:r w:rsidR="0035266C" w:rsidRPr="00F25304">
        <w:rPr>
          <w:b/>
          <w:bCs/>
        </w:rPr>
        <w:t xml:space="preserve"> </w:t>
      </w:r>
      <w:r w:rsidRPr="00F25304">
        <w:rPr>
          <w:b/>
          <w:bCs/>
        </w:rPr>
        <w:t xml:space="preserve">the </w:t>
      </w:r>
      <w:r>
        <w:rPr>
          <w:b/>
          <w:bCs/>
        </w:rPr>
        <w:t xml:space="preserve">Executive Office </w:t>
      </w:r>
      <w:r w:rsidR="009F70F7">
        <w:rPr>
          <w:b/>
          <w:bCs/>
        </w:rPr>
        <w:t xml:space="preserve">provide an annual report that </w:t>
      </w:r>
      <w:r w:rsidRPr="00F25304">
        <w:rPr>
          <w:b/>
          <w:bCs/>
        </w:rPr>
        <w:t>monitor</w:t>
      </w:r>
      <w:r w:rsidR="009F70F7">
        <w:rPr>
          <w:b/>
          <w:bCs/>
        </w:rPr>
        <w:t>s</w:t>
      </w:r>
      <w:r w:rsidR="009F70F7" w:rsidRPr="009F70F7">
        <w:rPr>
          <w:b/>
          <w:bCs/>
        </w:rPr>
        <w:t xml:space="preserve"> </w:t>
      </w:r>
      <w:r w:rsidR="009F70F7" w:rsidRPr="00F25304">
        <w:rPr>
          <w:b/>
          <w:bCs/>
        </w:rPr>
        <w:t>any proposed changes by the EU to the six Annex 1 equality directives, including relevant case law of the CJEU</w:t>
      </w:r>
      <w:r w:rsidR="009F70F7">
        <w:rPr>
          <w:b/>
          <w:bCs/>
        </w:rPr>
        <w:t>, which would facilitate compliance with the</w:t>
      </w:r>
      <w:r w:rsidR="00B27497">
        <w:rPr>
          <w:b/>
          <w:bCs/>
        </w:rPr>
        <w:t xml:space="preserve">se changes. </w:t>
      </w:r>
    </w:p>
    <w:p w14:paraId="1C892849" w14:textId="77777777" w:rsidR="007B7772" w:rsidRDefault="007B7772" w:rsidP="007B7772">
      <w:pPr>
        <w:pStyle w:val="ListParagraph"/>
        <w:ind w:left="720"/>
        <w:rPr>
          <w:b/>
          <w:bCs/>
        </w:rPr>
      </w:pPr>
    </w:p>
    <w:bookmarkEnd w:id="33"/>
    <w:p w14:paraId="3368D36D" w14:textId="09B4FDA8" w:rsidR="007B7772" w:rsidRDefault="00F25304" w:rsidP="00DF19DA">
      <w:pPr>
        <w:pStyle w:val="ListParagraph"/>
        <w:numPr>
          <w:ilvl w:val="1"/>
          <w:numId w:val="8"/>
        </w:numPr>
        <w:rPr>
          <w:b/>
          <w:bCs/>
        </w:rPr>
      </w:pPr>
      <w:r w:rsidRPr="00F25304">
        <w:rPr>
          <w:b/>
          <w:bCs/>
        </w:rPr>
        <w:t>T</w:t>
      </w:r>
      <w:r w:rsidR="009F708C" w:rsidRPr="00F25304">
        <w:rPr>
          <w:b/>
          <w:bCs/>
        </w:rPr>
        <w:t xml:space="preserve">he </w:t>
      </w:r>
      <w:r w:rsidR="00D33364" w:rsidRPr="00DF19DA">
        <w:rPr>
          <w:b/>
          <w:bCs/>
        </w:rPr>
        <w:t>NIHRC</w:t>
      </w:r>
      <w:r w:rsidR="009F708C" w:rsidRPr="00F25304">
        <w:rPr>
          <w:b/>
          <w:bCs/>
        </w:rPr>
        <w:t xml:space="preserve"> recommends </w:t>
      </w:r>
      <w:r w:rsidR="00AB10C0">
        <w:rPr>
          <w:b/>
          <w:bCs/>
        </w:rPr>
        <w:t xml:space="preserve">that </w:t>
      </w:r>
      <w:r w:rsidR="009205EB">
        <w:rPr>
          <w:b/>
          <w:bCs/>
        </w:rPr>
        <w:t>the</w:t>
      </w:r>
      <w:r w:rsidR="009F708C" w:rsidRPr="00F25304">
        <w:rPr>
          <w:b/>
          <w:bCs/>
        </w:rPr>
        <w:t xml:space="preserve"> </w:t>
      </w:r>
      <w:r w:rsidR="00690972">
        <w:rPr>
          <w:rFonts w:eastAsia="Times New Roman"/>
          <w:b/>
          <w:bCs/>
        </w:rPr>
        <w:t xml:space="preserve">Executive Office </w:t>
      </w:r>
      <w:r w:rsidR="009F708C" w:rsidRPr="00F25304">
        <w:rPr>
          <w:b/>
          <w:bCs/>
        </w:rPr>
        <w:t>strengthen racial equality legislation in NI and</w:t>
      </w:r>
      <w:r w:rsidR="00E55D55">
        <w:rPr>
          <w:b/>
          <w:bCs/>
        </w:rPr>
        <w:t xml:space="preserve"> ensure</w:t>
      </w:r>
      <w:r w:rsidR="009F708C" w:rsidRPr="00F25304">
        <w:rPr>
          <w:b/>
          <w:bCs/>
        </w:rPr>
        <w:t xml:space="preserve"> that developments on race law reform in NI are in compliance with Windsor Framework Article 2, including the keeping pace obligations relating to the EU Racial Equality Directive. </w:t>
      </w:r>
    </w:p>
    <w:p w14:paraId="74D81A1C" w14:textId="77777777" w:rsidR="007B7772" w:rsidRDefault="007B7772" w:rsidP="007B7772">
      <w:pPr>
        <w:pStyle w:val="ListParagraph"/>
        <w:ind w:left="720"/>
        <w:rPr>
          <w:b/>
          <w:bCs/>
        </w:rPr>
      </w:pPr>
    </w:p>
    <w:p w14:paraId="7F7BEB1F" w14:textId="2BED5D71" w:rsidR="00121F75" w:rsidRPr="005C665F" w:rsidRDefault="009F708C" w:rsidP="00121F75">
      <w:pPr>
        <w:pStyle w:val="ListParagraph"/>
        <w:numPr>
          <w:ilvl w:val="1"/>
          <w:numId w:val="8"/>
        </w:numPr>
        <w:rPr>
          <w:b/>
          <w:bCs/>
        </w:rPr>
      </w:pPr>
      <w:r w:rsidRPr="007B7772">
        <w:rPr>
          <w:b/>
          <w:bCs/>
        </w:rPr>
        <w:t xml:space="preserve">The </w:t>
      </w:r>
      <w:r w:rsidR="00B97662" w:rsidRPr="007B7772">
        <w:rPr>
          <w:b/>
          <w:bCs/>
        </w:rPr>
        <w:t xml:space="preserve">NIHRC </w:t>
      </w:r>
      <w:r w:rsidR="00A85ACC">
        <w:rPr>
          <w:b/>
          <w:bCs/>
        </w:rPr>
        <w:t>recommends</w:t>
      </w:r>
      <w:r w:rsidRPr="007B7772">
        <w:rPr>
          <w:b/>
          <w:bCs/>
        </w:rPr>
        <w:t xml:space="preserve"> that </w:t>
      </w:r>
      <w:r w:rsidR="00690972">
        <w:rPr>
          <w:rFonts w:eastAsia="Times New Roman"/>
          <w:b/>
          <w:bCs/>
        </w:rPr>
        <w:t xml:space="preserve">the Executive Office </w:t>
      </w:r>
      <w:r w:rsidRPr="007B7772" w:rsidDel="007760CF">
        <w:rPr>
          <w:b/>
          <w:bCs/>
        </w:rPr>
        <w:t xml:space="preserve">keep pace </w:t>
      </w:r>
      <w:r w:rsidRPr="007B7772">
        <w:rPr>
          <w:b/>
          <w:bCs/>
        </w:rPr>
        <w:t xml:space="preserve">with those provisions of the newly adopted EU </w:t>
      </w:r>
      <w:r w:rsidR="00E30B92">
        <w:rPr>
          <w:b/>
          <w:bCs/>
        </w:rPr>
        <w:t>D</w:t>
      </w:r>
      <w:r w:rsidRPr="007B7772">
        <w:rPr>
          <w:b/>
          <w:bCs/>
        </w:rPr>
        <w:t>irectives on standards for equality bodies which amend or replace the EU Racial Equality Directive.</w:t>
      </w:r>
    </w:p>
    <w:p w14:paraId="6108E973" w14:textId="0C394DC3" w:rsidR="00BB460C" w:rsidRDefault="00B27493" w:rsidP="00BB460C">
      <w:pPr>
        <w:pStyle w:val="Heading1"/>
      </w:pPr>
      <w:bookmarkStart w:id="34" w:name="_Toc172560363"/>
      <w:bookmarkStart w:id="35" w:name="_Toc176503698"/>
      <w:bookmarkEnd w:id="8"/>
      <w:r w:rsidRPr="00612FEA">
        <w:lastRenderedPageBreak/>
        <w:t>4</w:t>
      </w:r>
      <w:r w:rsidR="0079415F" w:rsidRPr="00612FEA">
        <w:t xml:space="preserve">.0. </w:t>
      </w:r>
      <w:r w:rsidR="0054459D" w:rsidRPr="00612FEA">
        <w:t xml:space="preserve">Divergence of Rights on the </w:t>
      </w:r>
      <w:r w:rsidR="005B7B9A" w:rsidRPr="00612FEA">
        <w:t xml:space="preserve">island of </w:t>
      </w:r>
      <w:r w:rsidR="00067F87" w:rsidRPr="00612FEA">
        <w:t>Ireland</w:t>
      </w:r>
      <w:bookmarkEnd w:id="34"/>
      <w:bookmarkEnd w:id="35"/>
      <w:r w:rsidR="00067F87" w:rsidRPr="00612FEA">
        <w:t xml:space="preserve"> </w:t>
      </w:r>
    </w:p>
    <w:p w14:paraId="50A537E5" w14:textId="7263F9A5" w:rsidR="00355835" w:rsidRPr="00BB460C" w:rsidRDefault="00BB460C" w:rsidP="00355835">
      <w:pPr>
        <w:pStyle w:val="Heading2"/>
      </w:pPr>
      <w:bookmarkStart w:id="36" w:name="_Toc176503699"/>
      <w:r>
        <w:t>Ireland’s</w:t>
      </w:r>
      <w:r w:rsidR="00355835">
        <w:t xml:space="preserve"> Equality Legislation</w:t>
      </w:r>
      <w:bookmarkEnd w:id="36"/>
      <w:r w:rsidR="00355835">
        <w:t xml:space="preserve"> </w:t>
      </w:r>
    </w:p>
    <w:p w14:paraId="2E90CDCD" w14:textId="26C4BA7C" w:rsidR="00BA2267" w:rsidRDefault="00067F87" w:rsidP="005B3BC6">
      <w:pPr>
        <w:pStyle w:val="ListParagraph"/>
        <w:numPr>
          <w:ilvl w:val="1"/>
          <w:numId w:val="10"/>
        </w:numPr>
      </w:pPr>
      <w:r w:rsidRPr="00612FEA">
        <w:rPr>
          <w:rFonts w:eastAsia="Verdana" w:cs="Verdana"/>
        </w:rPr>
        <w:t>Ireland's two primary pieces of equality legislation, the Equal Status Act 2000 and the Employment Equality Act 1998 are currently under review. Separate to these Acts the Irish Human Rights and Equality Act 2014 at section 42 provides for the Public Sector Equality and Human Rights Duty. Section 42 provides that,</w:t>
      </w:r>
      <w:r w:rsidR="00612FEA">
        <w:t xml:space="preserve"> </w:t>
      </w:r>
    </w:p>
    <w:p w14:paraId="5B695052" w14:textId="77777777" w:rsidR="00BA2267" w:rsidRDefault="00BA2267" w:rsidP="00BA2267">
      <w:pPr>
        <w:pStyle w:val="ListParagraph"/>
        <w:ind w:left="1440"/>
      </w:pPr>
    </w:p>
    <w:p w14:paraId="12F2C691" w14:textId="615AB940" w:rsidR="00BA2267" w:rsidRDefault="00BA2267" w:rsidP="00BA2267">
      <w:pPr>
        <w:pStyle w:val="ListParagraph"/>
        <w:ind w:left="1440"/>
      </w:pPr>
      <w:r>
        <w:t xml:space="preserve"> (1) A public body shall, in the performance of its functions, have regard to the need to— </w:t>
      </w:r>
    </w:p>
    <w:p w14:paraId="06B86380" w14:textId="77777777" w:rsidR="00BA2267" w:rsidRDefault="00BA2267" w:rsidP="00BA2267">
      <w:pPr>
        <w:pStyle w:val="ListParagraph"/>
        <w:ind w:left="1440"/>
      </w:pPr>
      <w:r>
        <w:t xml:space="preserve">(a) eliminate discrimination, </w:t>
      </w:r>
    </w:p>
    <w:p w14:paraId="6ACDC92A" w14:textId="77777777" w:rsidR="00BA2267" w:rsidRDefault="00BA2267" w:rsidP="00BA2267">
      <w:pPr>
        <w:pStyle w:val="ListParagraph"/>
        <w:ind w:left="1440"/>
      </w:pPr>
      <w:r>
        <w:t xml:space="preserve">(b) promote equality of opportunity and treatment of its staff and the persons to whom it provides services, and </w:t>
      </w:r>
    </w:p>
    <w:p w14:paraId="6D1E9993" w14:textId="73AB3BC7" w:rsidR="00BA2267" w:rsidRPr="00BA2267" w:rsidRDefault="00BA2267" w:rsidP="00BA2267">
      <w:pPr>
        <w:pStyle w:val="ListParagraph"/>
        <w:ind w:left="1440"/>
        <w:rPr>
          <w:rFonts w:eastAsia="Verdana" w:cs="Verdana"/>
        </w:rPr>
      </w:pPr>
      <w:r>
        <w:t>(c) protect the human rights of its members, staff and the persons to whom it provides services.</w:t>
      </w:r>
    </w:p>
    <w:p w14:paraId="1136C246" w14:textId="77777777" w:rsidR="00BA2267" w:rsidRPr="00BA2267" w:rsidRDefault="00BA2267" w:rsidP="00BA2267">
      <w:pPr>
        <w:pStyle w:val="ListParagraph"/>
        <w:ind w:left="1440"/>
        <w:rPr>
          <w:rFonts w:eastAsia="Verdana" w:cs="Verdana"/>
        </w:rPr>
      </w:pPr>
    </w:p>
    <w:p w14:paraId="0E6C8D10" w14:textId="748E966C" w:rsidR="00FE7507" w:rsidRDefault="00067F87" w:rsidP="005B3BC6">
      <w:pPr>
        <w:pStyle w:val="ListParagraph"/>
        <w:numPr>
          <w:ilvl w:val="1"/>
          <w:numId w:val="10"/>
        </w:numPr>
        <w:rPr>
          <w:rFonts w:eastAsia="Verdana" w:cs="Verdana"/>
        </w:rPr>
      </w:pPr>
      <w:r w:rsidRPr="206F246B">
        <w:rPr>
          <w:rFonts w:eastAsia="Verdana" w:cs="Verdana"/>
        </w:rPr>
        <w:t xml:space="preserve">In contrast to this, equality duties and human rights duties are largely self-contained in the law relating to NI. This often means that the </w:t>
      </w:r>
      <w:r w:rsidR="005A69E5" w:rsidRPr="206F246B">
        <w:rPr>
          <w:rFonts w:eastAsia="Verdana" w:cs="Verdana"/>
        </w:rPr>
        <w:t>inter-relationship of</w:t>
      </w:r>
      <w:r w:rsidRPr="206F246B">
        <w:rPr>
          <w:rFonts w:eastAsia="Verdana" w:cs="Verdana"/>
        </w:rPr>
        <w:t xml:space="preserve"> human rights and equality duties </w:t>
      </w:r>
      <w:r w:rsidR="005A69E5" w:rsidRPr="206F246B">
        <w:rPr>
          <w:rFonts w:eastAsia="Verdana" w:cs="Verdana"/>
        </w:rPr>
        <w:t>is not recogn</w:t>
      </w:r>
      <w:r w:rsidR="002D6A9B">
        <w:rPr>
          <w:rFonts w:eastAsia="Verdana" w:cs="Verdana"/>
        </w:rPr>
        <w:t>i</w:t>
      </w:r>
      <w:r w:rsidR="005A69E5" w:rsidRPr="206F246B">
        <w:rPr>
          <w:rFonts w:eastAsia="Verdana" w:cs="Verdana"/>
        </w:rPr>
        <w:t>sed.</w:t>
      </w:r>
      <w:r w:rsidRPr="206F246B">
        <w:rPr>
          <w:rFonts w:eastAsia="Verdana" w:cs="Verdana"/>
        </w:rPr>
        <w:t xml:space="preserve"> The imposition of a duty similar to that contained within the 2014 Act on public authorities in NI would </w:t>
      </w:r>
      <w:r w:rsidR="00224D89" w:rsidRPr="206F246B">
        <w:rPr>
          <w:rFonts w:eastAsia="Verdana" w:cs="Verdana"/>
        </w:rPr>
        <w:t>be helpful.</w:t>
      </w:r>
      <w:r w:rsidR="00FE7507" w:rsidRPr="206F246B">
        <w:rPr>
          <w:rFonts w:eastAsia="Verdana" w:cs="Verdana"/>
        </w:rPr>
        <w:t xml:space="preserve"> </w:t>
      </w:r>
    </w:p>
    <w:p w14:paraId="5D5293CF" w14:textId="77777777" w:rsidR="00FE7507" w:rsidRDefault="00FE7507" w:rsidP="00FE7507">
      <w:pPr>
        <w:pStyle w:val="ListParagraph"/>
        <w:ind w:left="1440"/>
        <w:rPr>
          <w:rFonts w:eastAsia="Verdana" w:cs="Verdana"/>
        </w:rPr>
      </w:pPr>
    </w:p>
    <w:p w14:paraId="6526CD5F" w14:textId="59C59D5A" w:rsidR="00FE7507" w:rsidRPr="00FE7507" w:rsidRDefault="00C31322" w:rsidP="005B3BC6">
      <w:pPr>
        <w:pStyle w:val="ListParagraph"/>
        <w:numPr>
          <w:ilvl w:val="1"/>
          <w:numId w:val="10"/>
        </w:numPr>
        <w:rPr>
          <w:rFonts w:eastAsia="Verdana" w:cs="Verdana"/>
        </w:rPr>
      </w:pPr>
      <w:r w:rsidRPr="206F246B">
        <w:rPr>
          <w:b/>
          <w:bCs/>
        </w:rPr>
        <w:t xml:space="preserve">The </w:t>
      </w:r>
      <w:r w:rsidR="00D33364" w:rsidRPr="206F246B">
        <w:rPr>
          <w:b/>
          <w:bCs/>
        </w:rPr>
        <w:t>NIHRC</w:t>
      </w:r>
      <w:r w:rsidRPr="206F246B">
        <w:rPr>
          <w:b/>
          <w:bCs/>
        </w:rPr>
        <w:t xml:space="preserve"> recommends </w:t>
      </w:r>
      <w:r w:rsidR="003B275B" w:rsidRPr="206F246B">
        <w:rPr>
          <w:b/>
          <w:bCs/>
        </w:rPr>
        <w:t>the integration of</w:t>
      </w:r>
      <w:r w:rsidRPr="206F246B">
        <w:rPr>
          <w:b/>
          <w:bCs/>
        </w:rPr>
        <w:t xml:space="preserve"> </w:t>
      </w:r>
      <w:r w:rsidR="00D32E56" w:rsidRPr="206F246B">
        <w:rPr>
          <w:b/>
          <w:bCs/>
        </w:rPr>
        <w:t xml:space="preserve">international human rights duties </w:t>
      </w:r>
      <w:r w:rsidR="001E561E">
        <w:rPr>
          <w:b/>
          <w:bCs/>
        </w:rPr>
        <w:t>in</w:t>
      </w:r>
      <w:r w:rsidR="00916B00" w:rsidRPr="206F246B">
        <w:rPr>
          <w:b/>
          <w:bCs/>
        </w:rPr>
        <w:t xml:space="preserve"> </w:t>
      </w:r>
      <w:r w:rsidR="00110576" w:rsidRPr="206F246B">
        <w:rPr>
          <w:b/>
          <w:bCs/>
        </w:rPr>
        <w:t>the design and delivery of policy measures</w:t>
      </w:r>
      <w:r w:rsidR="00224D89" w:rsidRPr="206F246B">
        <w:rPr>
          <w:b/>
          <w:bCs/>
        </w:rPr>
        <w:t>.</w:t>
      </w:r>
      <w:r w:rsidR="00A01D01" w:rsidRPr="206F246B">
        <w:rPr>
          <w:b/>
          <w:bCs/>
        </w:rPr>
        <w:t xml:space="preserve"> </w:t>
      </w:r>
    </w:p>
    <w:p w14:paraId="7D419EA6" w14:textId="77777777" w:rsidR="00FE7507" w:rsidRPr="00FE7507" w:rsidRDefault="00FE7507" w:rsidP="00FE7507">
      <w:pPr>
        <w:pStyle w:val="ListParagraph"/>
        <w:ind w:left="1440"/>
        <w:rPr>
          <w:rFonts w:eastAsia="Verdana" w:cs="Verdana"/>
        </w:rPr>
      </w:pPr>
    </w:p>
    <w:p w14:paraId="5BC8A18B" w14:textId="77777777" w:rsidR="00FE7507" w:rsidRPr="00FE7507" w:rsidRDefault="008C1C18" w:rsidP="00FE7507">
      <w:pPr>
        <w:pStyle w:val="Heading2"/>
        <w:rPr>
          <w:rFonts w:eastAsia="Verdana" w:cs="Verdana"/>
        </w:rPr>
      </w:pPr>
      <w:bookmarkStart w:id="37" w:name="_Toc176503700"/>
      <w:r>
        <w:t>Ensuring North-South Equivalence</w:t>
      </w:r>
      <w:bookmarkEnd w:id="37"/>
    </w:p>
    <w:p w14:paraId="55B41164" w14:textId="541F46FB" w:rsidR="002C1FE4" w:rsidRPr="00FE7507" w:rsidRDefault="002C1FE4" w:rsidP="005B3BC6">
      <w:pPr>
        <w:pStyle w:val="ListParagraph"/>
        <w:numPr>
          <w:ilvl w:val="1"/>
          <w:numId w:val="10"/>
        </w:numPr>
        <w:rPr>
          <w:rFonts w:eastAsia="Verdana" w:cs="Verdana"/>
        </w:rPr>
      </w:pPr>
      <w:r w:rsidRPr="003C7675">
        <w:t>Whilst the Windsor Framework requires that NI equality law keeps pace with any EU changes to the Annex 1 equality directives which enhance protections,</w:t>
      </w:r>
      <w:r w:rsidRPr="2D61A484">
        <w:rPr>
          <w:rStyle w:val="FootnoteReference"/>
        </w:rPr>
        <w:footnoteReference w:id="128"/>
      </w:r>
      <w:r w:rsidRPr="003C7675">
        <w:t xml:space="preserve"> there is the potential for equality and human rights on the island of Ireland </w:t>
      </w:r>
      <w:r w:rsidR="00243902">
        <w:t xml:space="preserve">to diverge </w:t>
      </w:r>
      <w:r w:rsidR="00FF2888">
        <w:t>following UK withdrawal from the EU</w:t>
      </w:r>
      <w:r w:rsidRPr="003C7675">
        <w:t xml:space="preserve">. </w:t>
      </w:r>
    </w:p>
    <w:p w14:paraId="48560855" w14:textId="77777777" w:rsidR="00FE7507" w:rsidRPr="00FE7507" w:rsidRDefault="00FE7507" w:rsidP="00FE7507">
      <w:pPr>
        <w:pStyle w:val="ListParagraph"/>
        <w:ind w:left="1440"/>
        <w:rPr>
          <w:rFonts w:eastAsia="Verdana" w:cs="Verdana"/>
        </w:rPr>
      </w:pPr>
    </w:p>
    <w:p w14:paraId="3F335131" w14:textId="14C9D608" w:rsidR="00FE7507" w:rsidRPr="00FE7507" w:rsidRDefault="00224D89" w:rsidP="005B3BC6">
      <w:pPr>
        <w:pStyle w:val="ListParagraph"/>
        <w:numPr>
          <w:ilvl w:val="1"/>
          <w:numId w:val="10"/>
        </w:numPr>
        <w:rPr>
          <w:rFonts w:eastAsia="Verdana" w:cs="Verdana"/>
        </w:rPr>
      </w:pPr>
      <w:r>
        <w:t xml:space="preserve">Over the longer term, </w:t>
      </w:r>
      <w:r w:rsidR="008E16EC" w:rsidRPr="003C7675">
        <w:t xml:space="preserve">North-South equivalence of protection for equality and human rights </w:t>
      </w:r>
      <w:r>
        <w:t xml:space="preserve">will be critically </w:t>
      </w:r>
      <w:r w:rsidR="00FE3814">
        <w:t>important</w:t>
      </w:r>
      <w:r>
        <w:t xml:space="preserve">. That is not least because </w:t>
      </w:r>
      <w:r w:rsidR="008E16EC" w:rsidRPr="003C7675">
        <w:t xml:space="preserve">it can help facilitate the enjoyment of certain rights on a cross-border basis, in keeping with the North-South rights dimension of the </w:t>
      </w:r>
      <w:r w:rsidR="008E16EC" w:rsidRPr="003C7675">
        <w:lastRenderedPageBreak/>
        <w:t xml:space="preserve">Belfast (Good Friday) Agreement. </w:t>
      </w:r>
      <w:r w:rsidR="00FE3814">
        <w:t xml:space="preserve">Further, it would </w:t>
      </w:r>
      <w:r>
        <w:t xml:space="preserve">likely enhance </w:t>
      </w:r>
      <w:r w:rsidR="008E16EC" w:rsidRPr="003C7675">
        <w:t>North-South co-operation across a range of policy areas from all-island healthcare to North-South justice co-operation, many of which have a strong equality and rights dimension.</w:t>
      </w:r>
      <w:r w:rsidR="008E16EC" w:rsidRPr="003C7675">
        <w:rPr>
          <w:rStyle w:val="FootnoteReference"/>
        </w:rPr>
        <w:footnoteReference w:id="129"/>
      </w:r>
      <w:r w:rsidR="008E16EC" w:rsidRPr="003C7675">
        <w:t xml:space="preserve"> </w:t>
      </w:r>
      <w:r w:rsidR="00355258" w:rsidRPr="003C7675">
        <w:t>Prior to 31 December 2020, EU law had facilitated the alignment of many laws on rights and equality between Ireland and NI.</w:t>
      </w:r>
    </w:p>
    <w:p w14:paraId="19CC2A1A" w14:textId="77777777" w:rsidR="00FE7507" w:rsidRPr="002C1FE4" w:rsidRDefault="00FE7507" w:rsidP="002C1FE4">
      <w:pPr>
        <w:rPr>
          <w:rFonts w:eastAsia="Verdana" w:cs="Verdana"/>
        </w:rPr>
      </w:pPr>
    </w:p>
    <w:p w14:paraId="47808D49" w14:textId="1B5C702D" w:rsidR="007B7772" w:rsidRPr="007B7772" w:rsidRDefault="003A1BF4" w:rsidP="007B7772">
      <w:pPr>
        <w:pStyle w:val="ListParagraph"/>
        <w:numPr>
          <w:ilvl w:val="1"/>
          <w:numId w:val="10"/>
        </w:numPr>
        <w:rPr>
          <w:rFonts w:eastAsia="Verdana" w:cs="Verdana"/>
        </w:rPr>
      </w:pPr>
      <w:r w:rsidRPr="003C7675">
        <w:t xml:space="preserve">The </w:t>
      </w:r>
      <w:r w:rsidR="00D33364">
        <w:t>NIHRC</w:t>
      </w:r>
      <w:r w:rsidRPr="003C7675">
        <w:t xml:space="preserve"> urged the UK Government and NI Executive to ensure North-South equivalence of rights, by aligning with changes to EU equality and human rights law, even where not required to under the Windsor Framework, that enhance protections and reflect international human rights standards.</w:t>
      </w:r>
      <w:r w:rsidRPr="2D61A484">
        <w:rPr>
          <w:rStyle w:val="FootnoteReference"/>
        </w:rPr>
        <w:footnoteReference w:id="130"/>
      </w:r>
      <w:r w:rsidRPr="003C7675">
        <w:t xml:space="preserve"> </w:t>
      </w:r>
    </w:p>
    <w:p w14:paraId="39107A1D" w14:textId="77777777" w:rsidR="007B7772" w:rsidRPr="007B7772" w:rsidRDefault="007B7772" w:rsidP="007B7772">
      <w:pPr>
        <w:pStyle w:val="ListParagraph"/>
        <w:ind w:left="720"/>
        <w:rPr>
          <w:rFonts w:eastAsia="Verdana" w:cs="Verdana"/>
        </w:rPr>
      </w:pPr>
    </w:p>
    <w:p w14:paraId="6F47A2CE" w14:textId="3AC03F7F" w:rsidR="007B7772" w:rsidRPr="007B7772" w:rsidRDefault="000723E2" w:rsidP="007B7772">
      <w:pPr>
        <w:pStyle w:val="ListParagraph"/>
        <w:numPr>
          <w:ilvl w:val="1"/>
          <w:numId w:val="10"/>
        </w:numPr>
        <w:rPr>
          <w:rFonts w:eastAsia="Verdana" w:cs="Verdana"/>
        </w:rPr>
      </w:pPr>
      <w:r w:rsidRPr="007B7772">
        <w:rPr>
          <w:b/>
          <w:bCs/>
        </w:rPr>
        <w:t xml:space="preserve">The </w:t>
      </w:r>
      <w:r w:rsidR="00D33364" w:rsidRPr="007B7772">
        <w:rPr>
          <w:b/>
          <w:bCs/>
        </w:rPr>
        <w:t>NIHRC</w:t>
      </w:r>
      <w:r w:rsidRPr="007B7772">
        <w:rPr>
          <w:b/>
          <w:bCs/>
        </w:rPr>
        <w:t xml:space="preserve"> </w:t>
      </w:r>
      <w:r w:rsidR="00CE1668">
        <w:rPr>
          <w:b/>
          <w:bCs/>
        </w:rPr>
        <w:t xml:space="preserve">recommends </w:t>
      </w:r>
      <w:r w:rsidR="00DC65D3">
        <w:rPr>
          <w:b/>
          <w:bCs/>
        </w:rPr>
        <w:t>that</w:t>
      </w:r>
      <w:r w:rsidRPr="007B7772">
        <w:rPr>
          <w:b/>
          <w:bCs/>
        </w:rPr>
        <w:t xml:space="preserve"> NI </w:t>
      </w:r>
      <w:r w:rsidR="001A1A7D">
        <w:rPr>
          <w:b/>
          <w:bCs/>
        </w:rPr>
        <w:t xml:space="preserve">equality and human rights </w:t>
      </w:r>
      <w:r w:rsidR="00DC65D3">
        <w:rPr>
          <w:b/>
          <w:bCs/>
        </w:rPr>
        <w:t xml:space="preserve">policy and legislation </w:t>
      </w:r>
      <w:r w:rsidRPr="007B7772">
        <w:rPr>
          <w:b/>
          <w:bCs/>
        </w:rPr>
        <w:t>keep pace with changes</w:t>
      </w:r>
      <w:r w:rsidR="0054139E">
        <w:rPr>
          <w:b/>
          <w:bCs/>
        </w:rPr>
        <w:t xml:space="preserve"> to </w:t>
      </w:r>
      <w:r w:rsidRPr="007B7772">
        <w:rPr>
          <w:b/>
          <w:bCs/>
        </w:rPr>
        <w:t xml:space="preserve">EU law </w:t>
      </w:r>
      <w:r w:rsidR="00CB2377">
        <w:rPr>
          <w:b/>
          <w:bCs/>
        </w:rPr>
        <w:t>which strengthen</w:t>
      </w:r>
      <w:r w:rsidRPr="007B7772">
        <w:rPr>
          <w:b/>
          <w:bCs/>
        </w:rPr>
        <w:t xml:space="preserve"> protections</w:t>
      </w:r>
      <w:r w:rsidR="00DC65D3">
        <w:rPr>
          <w:b/>
          <w:bCs/>
        </w:rPr>
        <w:t xml:space="preserve"> and </w:t>
      </w:r>
      <w:r w:rsidR="00B31C80">
        <w:rPr>
          <w:b/>
          <w:bCs/>
        </w:rPr>
        <w:t>align</w:t>
      </w:r>
      <w:r w:rsidR="00266193">
        <w:rPr>
          <w:b/>
          <w:bCs/>
        </w:rPr>
        <w:t xml:space="preserve"> with </w:t>
      </w:r>
      <w:r w:rsidR="008F654A">
        <w:rPr>
          <w:b/>
          <w:bCs/>
        </w:rPr>
        <w:t>international human rights standards</w:t>
      </w:r>
      <w:r w:rsidRPr="007B7772">
        <w:rPr>
          <w:b/>
          <w:bCs/>
        </w:rPr>
        <w:t xml:space="preserve">. </w:t>
      </w:r>
      <w:r w:rsidR="00CE1668">
        <w:rPr>
          <w:b/>
          <w:bCs/>
        </w:rPr>
        <w:t>This include</w:t>
      </w:r>
      <w:r w:rsidR="00FB483F">
        <w:rPr>
          <w:b/>
          <w:bCs/>
        </w:rPr>
        <w:t>s</w:t>
      </w:r>
      <w:r w:rsidR="00224D89">
        <w:rPr>
          <w:b/>
          <w:bCs/>
        </w:rPr>
        <w:t xml:space="preserve"> </w:t>
      </w:r>
      <w:r w:rsidRPr="007B7772">
        <w:rPr>
          <w:b/>
          <w:bCs/>
        </w:rPr>
        <w:t>aligning on a voluntary basis with rights introduced as a result of EU laws that do not amend or replace the Annex 1 directives.</w:t>
      </w:r>
    </w:p>
    <w:p w14:paraId="19BD4B51" w14:textId="77777777" w:rsidR="007B7772" w:rsidRPr="007B7772" w:rsidRDefault="007B7772" w:rsidP="007B7772">
      <w:pPr>
        <w:pStyle w:val="ListParagraph"/>
        <w:ind w:left="720"/>
        <w:rPr>
          <w:rFonts w:eastAsia="Verdana" w:cs="Verdana"/>
        </w:rPr>
      </w:pPr>
    </w:p>
    <w:p w14:paraId="63F36D47" w14:textId="77777777" w:rsidR="007B7772" w:rsidRPr="007B7772" w:rsidRDefault="000723E2" w:rsidP="007B7772">
      <w:pPr>
        <w:pStyle w:val="ListParagraph"/>
        <w:numPr>
          <w:ilvl w:val="1"/>
          <w:numId w:val="10"/>
        </w:numPr>
        <w:rPr>
          <w:rFonts w:eastAsia="Verdana" w:cs="Verdana"/>
        </w:rPr>
      </w:pPr>
      <w:r w:rsidRPr="007B7772">
        <w:rPr>
          <w:b/>
          <w:bCs/>
        </w:rPr>
        <w:t xml:space="preserve">The </w:t>
      </w:r>
      <w:r w:rsidR="00D33364" w:rsidRPr="007B7772">
        <w:rPr>
          <w:b/>
          <w:bCs/>
        </w:rPr>
        <w:t>NIHRC</w:t>
      </w:r>
      <w:r w:rsidRPr="007B7772">
        <w:rPr>
          <w:b/>
          <w:bCs/>
        </w:rPr>
        <w:t xml:space="preserve"> recommends that the Committee </w:t>
      </w:r>
      <w:r w:rsidR="00817FC6" w:rsidRPr="007B7772">
        <w:rPr>
          <w:b/>
          <w:bCs/>
        </w:rPr>
        <w:t xml:space="preserve">considers </w:t>
      </w:r>
      <w:r w:rsidRPr="007B7772">
        <w:rPr>
          <w:b/>
          <w:bCs/>
        </w:rPr>
        <w:t xml:space="preserve">the enhancement and harmonisation of equality and human rights protections on the island of Ireland and to working towards ensuring North-South equivalence of rights on the island of Ireland. </w:t>
      </w:r>
    </w:p>
    <w:p w14:paraId="775E8DC8" w14:textId="77777777" w:rsidR="007B7772" w:rsidRPr="007B7772" w:rsidRDefault="007B7772" w:rsidP="007B7772">
      <w:pPr>
        <w:pStyle w:val="ListParagraph"/>
        <w:ind w:left="720"/>
        <w:rPr>
          <w:rFonts w:eastAsia="Verdana" w:cs="Verdana"/>
        </w:rPr>
      </w:pPr>
    </w:p>
    <w:p w14:paraId="5F1560F2" w14:textId="77777777" w:rsidR="00FE7507" w:rsidRPr="000723E2" w:rsidRDefault="00FE7507" w:rsidP="000723E2">
      <w:pPr>
        <w:rPr>
          <w:rFonts w:eastAsia="Verdana" w:cs="Verdana"/>
        </w:rPr>
      </w:pPr>
    </w:p>
    <w:p w14:paraId="314C9AB8" w14:textId="05F6529C" w:rsidR="00FE7507" w:rsidRDefault="008C1C18" w:rsidP="00FE7507">
      <w:pPr>
        <w:rPr>
          <w:b/>
          <w:bCs/>
        </w:rPr>
      </w:pPr>
      <w:r w:rsidRPr="00FE7507">
        <w:rPr>
          <w:b/>
          <w:bCs/>
        </w:rPr>
        <w:t>EU Law Developments</w:t>
      </w:r>
    </w:p>
    <w:p w14:paraId="0AC55615" w14:textId="77777777" w:rsidR="00FE7507" w:rsidRPr="00FE7507" w:rsidRDefault="00FE7507" w:rsidP="00FE7507">
      <w:pPr>
        <w:rPr>
          <w:b/>
          <w:bCs/>
        </w:rPr>
      </w:pPr>
    </w:p>
    <w:p w14:paraId="120432CA" w14:textId="165B19D9" w:rsidR="00FE7507" w:rsidRPr="00FE7507" w:rsidRDefault="003A0AFF" w:rsidP="005B3BC6">
      <w:pPr>
        <w:pStyle w:val="ListParagraph"/>
        <w:numPr>
          <w:ilvl w:val="1"/>
          <w:numId w:val="10"/>
        </w:numPr>
        <w:rPr>
          <w:rFonts w:eastAsia="Verdana" w:cs="Verdana"/>
        </w:rPr>
      </w:pPr>
      <w:r>
        <w:t xml:space="preserve">The </w:t>
      </w:r>
      <w:r w:rsidR="00817FC6" w:rsidRPr="003A0AFF">
        <w:t>NIHRC</w:t>
      </w:r>
      <w:r w:rsidR="00817FC6">
        <w:t>, together with the Equality Commission for NI and Irish Human Rights and Equality Commission, (the ‘</w:t>
      </w:r>
      <w:r>
        <w:t xml:space="preserve">three </w:t>
      </w:r>
      <w:r w:rsidR="00FB0FC0">
        <w:t>C</w:t>
      </w:r>
      <w:r>
        <w:t>ommissions</w:t>
      </w:r>
      <w:r w:rsidR="00817FC6">
        <w:t>’)</w:t>
      </w:r>
      <w:r>
        <w:t xml:space="preserve">, have </w:t>
      </w:r>
      <w:r w:rsidR="00FB0FC0">
        <w:t>identified a</w:t>
      </w:r>
      <w:r w:rsidR="00957DD4">
        <w:t xml:space="preserve"> </w:t>
      </w:r>
      <w:r w:rsidR="00957DD4" w:rsidRPr="003C7675">
        <w:t>number of developments in areas of EU law which have the potential to result in divergence of rights on the island of Ireland</w:t>
      </w:r>
      <w:r w:rsidR="0098563E">
        <w:t>.</w:t>
      </w:r>
      <w:r w:rsidR="00957DD4">
        <w:rPr>
          <w:rStyle w:val="FootnoteReference"/>
        </w:rPr>
        <w:footnoteReference w:id="131"/>
      </w:r>
      <w:r w:rsidR="0098563E">
        <w:t xml:space="preserve"> Th</w:t>
      </w:r>
      <w:r w:rsidR="00817FC6">
        <w:t>is</w:t>
      </w:r>
      <w:r w:rsidR="0098563E">
        <w:t xml:space="preserve"> </w:t>
      </w:r>
      <w:r w:rsidR="0036352A">
        <w:t>i</w:t>
      </w:r>
      <w:r w:rsidR="00957DD4" w:rsidRPr="003C7675">
        <w:t>nclude</w:t>
      </w:r>
      <w:r w:rsidR="0098563E">
        <w:t>s</w:t>
      </w:r>
      <w:r w:rsidR="00957DD4" w:rsidRPr="003C7675">
        <w:t xml:space="preserve">, for example, the EU Work-life Balance </w:t>
      </w:r>
      <w:r w:rsidR="00957DD4" w:rsidRPr="003C7675">
        <w:lastRenderedPageBreak/>
        <w:t>Directive,</w:t>
      </w:r>
      <w:r w:rsidR="00957DD4" w:rsidRPr="003C7675">
        <w:rPr>
          <w:rStyle w:val="FootnoteReference"/>
        </w:rPr>
        <w:footnoteReference w:id="132"/>
      </w:r>
      <w:r w:rsidR="00957DD4" w:rsidRPr="003C7675">
        <w:t xml:space="preserve"> and the E</w:t>
      </w:r>
      <w:r w:rsidR="00957DD4">
        <w:t>U</w:t>
      </w:r>
      <w:r w:rsidR="00957DD4" w:rsidRPr="003C7675">
        <w:t xml:space="preserve"> Accessibility Act.</w:t>
      </w:r>
      <w:r w:rsidR="00957DD4" w:rsidRPr="003C7675">
        <w:rPr>
          <w:rStyle w:val="FootnoteReference"/>
        </w:rPr>
        <w:footnoteReference w:id="133"/>
      </w:r>
      <w:r w:rsidR="00957DD4" w:rsidRPr="003C7675" w:rsidDel="005813ED">
        <w:rPr>
          <w:rStyle w:val="FootnoteReference"/>
        </w:rPr>
        <w:t xml:space="preserve"> </w:t>
      </w:r>
      <w:r w:rsidR="00957DD4" w:rsidRPr="003C7675">
        <w:t xml:space="preserve">Such EU laws will need to be implemented in law in Ireland, but NI law will not be required to align with them pursuant to the Windsor Framework. </w:t>
      </w:r>
      <w:r w:rsidR="00FB0FC0">
        <w:t xml:space="preserve">The Commissions </w:t>
      </w:r>
      <w:r w:rsidR="0036352A" w:rsidRPr="003C7675">
        <w:t>also highlighted a number of significant CJEU case law developments since 31 December 2020 relating to the interpretation of the Annex 1 equality directives, which continue to have implications for how particular legal rules operate in NI.</w:t>
      </w:r>
      <w:r w:rsidR="0036352A" w:rsidRPr="003C7675">
        <w:rPr>
          <w:rStyle w:val="FootnoteReference"/>
        </w:rPr>
        <w:footnoteReference w:id="134"/>
      </w:r>
      <w:r w:rsidR="0036352A" w:rsidRPr="003C7675">
        <w:t xml:space="preserve">  </w:t>
      </w:r>
    </w:p>
    <w:p w14:paraId="68813010" w14:textId="77777777" w:rsidR="00FE7507" w:rsidRPr="00FE7507" w:rsidRDefault="00FE7507" w:rsidP="00FE7507">
      <w:pPr>
        <w:pStyle w:val="ListParagraph"/>
        <w:ind w:left="1440"/>
        <w:rPr>
          <w:rFonts w:eastAsia="Verdana" w:cs="Verdana"/>
        </w:rPr>
      </w:pPr>
    </w:p>
    <w:p w14:paraId="0627F085" w14:textId="37EC9CDA" w:rsidR="00FE7507" w:rsidRPr="00FE7507" w:rsidRDefault="008C1C18" w:rsidP="005B3BC6">
      <w:pPr>
        <w:pStyle w:val="ListParagraph"/>
        <w:numPr>
          <w:ilvl w:val="1"/>
          <w:numId w:val="10"/>
        </w:numPr>
        <w:rPr>
          <w:rFonts w:eastAsia="Verdana" w:cs="Verdana"/>
        </w:rPr>
      </w:pPr>
      <w:r w:rsidRPr="003C7675">
        <w:t>Prior to the withdrawal of the UK from the EU, in some areas that were not underpinned by EU law, there was already stronger protection against discrimination in both Ireland and Great Britain than in NI.</w:t>
      </w:r>
      <w:r w:rsidRPr="003C7675">
        <w:rPr>
          <w:rStyle w:val="FootnoteReference"/>
        </w:rPr>
        <w:footnoteReference w:id="135"/>
      </w:r>
      <w:r w:rsidRPr="003C7675">
        <w:t xml:space="preserve"> This includes in the areas of gender pay gap reporting</w:t>
      </w:r>
      <w:r w:rsidR="0057008F">
        <w:t xml:space="preserve">, </w:t>
      </w:r>
      <w:r w:rsidRPr="003C7675">
        <w:t>single equality legislation and age discrimination in access to goods, facilities and services.</w:t>
      </w:r>
      <w:r w:rsidRPr="003C7675">
        <w:rPr>
          <w:rStyle w:val="FootnoteReference"/>
        </w:rPr>
        <w:footnoteReference w:id="136"/>
      </w:r>
    </w:p>
    <w:p w14:paraId="2F9C88BD" w14:textId="77777777" w:rsidR="00FE7507" w:rsidRPr="00FE7507" w:rsidRDefault="00FE7507" w:rsidP="00FE7507">
      <w:pPr>
        <w:pStyle w:val="ListParagraph"/>
        <w:ind w:left="1440"/>
        <w:rPr>
          <w:rFonts w:eastAsia="Verdana" w:cs="Verdana"/>
        </w:rPr>
      </w:pPr>
    </w:p>
    <w:p w14:paraId="37F5768E" w14:textId="35A637B9" w:rsidR="007B7772" w:rsidRPr="007B7772" w:rsidRDefault="008C1C18" w:rsidP="007B7772">
      <w:pPr>
        <w:pStyle w:val="ListParagraph"/>
        <w:numPr>
          <w:ilvl w:val="1"/>
          <w:numId w:val="10"/>
        </w:numPr>
        <w:rPr>
          <w:rFonts w:eastAsia="Verdana" w:cs="Verdana"/>
        </w:rPr>
      </w:pPr>
      <w:r w:rsidRPr="003C7675">
        <w:t>The Commission</w:t>
      </w:r>
      <w:r w:rsidR="00817FC6">
        <w:t>s</w:t>
      </w:r>
      <w:r w:rsidRPr="003C7675">
        <w:t xml:space="preserve"> have highlighted the need for the UK Government, together with the EU, to consider measures to limit divergence of rights on the island of Ireland. Specifically, such measures should include the consideration of new EU laws, on a case-by-case basis, for addition to the list of equality directives within Annex 1, as provided for under the mechanisms of Windsor Framework Article 13(4).</w:t>
      </w:r>
    </w:p>
    <w:p w14:paraId="37F35946" w14:textId="77777777" w:rsidR="007B7772" w:rsidRPr="007B7772" w:rsidRDefault="007B7772" w:rsidP="007B7772">
      <w:pPr>
        <w:pStyle w:val="ListParagraph"/>
        <w:ind w:left="720"/>
        <w:rPr>
          <w:rFonts w:eastAsia="Verdana" w:cs="Verdana"/>
        </w:rPr>
      </w:pPr>
    </w:p>
    <w:p w14:paraId="42B272E6" w14:textId="57EC02EB" w:rsidR="00FE7507" w:rsidRPr="007B7772" w:rsidRDefault="008C1C18" w:rsidP="007B7772">
      <w:pPr>
        <w:pStyle w:val="ListParagraph"/>
        <w:numPr>
          <w:ilvl w:val="1"/>
          <w:numId w:val="10"/>
        </w:numPr>
        <w:rPr>
          <w:rFonts w:eastAsia="Verdana" w:cs="Verdana"/>
        </w:rPr>
      </w:pPr>
      <w:r w:rsidRPr="007B7772">
        <w:rPr>
          <w:b/>
          <w:bCs/>
        </w:rPr>
        <w:t xml:space="preserve">The </w:t>
      </w:r>
      <w:r w:rsidR="00D33364" w:rsidRPr="007B7772">
        <w:rPr>
          <w:b/>
          <w:bCs/>
        </w:rPr>
        <w:t>NIHRC</w:t>
      </w:r>
      <w:r w:rsidRPr="007B7772">
        <w:rPr>
          <w:b/>
          <w:bCs/>
        </w:rPr>
        <w:t xml:space="preserve"> recommend</w:t>
      </w:r>
      <w:r w:rsidR="004205FC" w:rsidRPr="007B7772">
        <w:rPr>
          <w:b/>
          <w:bCs/>
        </w:rPr>
        <w:t>s</w:t>
      </w:r>
      <w:r w:rsidRPr="007B7772">
        <w:rPr>
          <w:b/>
          <w:bCs/>
        </w:rPr>
        <w:t xml:space="preserve"> that regular reviews of new EU laws relating to equality and human rights </w:t>
      </w:r>
      <w:r w:rsidR="00224D89">
        <w:rPr>
          <w:b/>
          <w:bCs/>
        </w:rPr>
        <w:t>should be</w:t>
      </w:r>
      <w:r w:rsidR="00224D89" w:rsidRPr="007B7772">
        <w:rPr>
          <w:b/>
          <w:bCs/>
        </w:rPr>
        <w:t xml:space="preserve"> </w:t>
      </w:r>
      <w:r w:rsidR="00817FC6" w:rsidRPr="007B7772">
        <w:rPr>
          <w:b/>
          <w:bCs/>
        </w:rPr>
        <w:t xml:space="preserve">undertaken </w:t>
      </w:r>
      <w:r w:rsidRPr="007B7772">
        <w:rPr>
          <w:b/>
          <w:bCs/>
        </w:rPr>
        <w:t>to identify new measures to be considered for addition to the Annex 1 equality directives</w:t>
      </w:r>
      <w:r w:rsidR="006A0AB5">
        <w:rPr>
          <w:b/>
          <w:bCs/>
        </w:rPr>
        <w:t xml:space="preserve"> </w:t>
      </w:r>
      <w:r w:rsidRPr="007B7772">
        <w:rPr>
          <w:b/>
          <w:bCs/>
        </w:rPr>
        <w:t xml:space="preserve">with particular consideration given to alignment of standards across the two jurisdictions on the island of Ireland. </w:t>
      </w:r>
    </w:p>
    <w:p w14:paraId="2DF047A8" w14:textId="77777777" w:rsidR="008C0666" w:rsidRDefault="008C0666" w:rsidP="000F2444">
      <w:pPr>
        <w:rPr>
          <w:b/>
          <w:bCs/>
        </w:rPr>
      </w:pPr>
    </w:p>
    <w:p w14:paraId="24F8A9B3" w14:textId="58D95511" w:rsidR="00FE7507" w:rsidRPr="000F2444" w:rsidRDefault="000F2444" w:rsidP="000F2444">
      <w:pPr>
        <w:pStyle w:val="Heading2"/>
      </w:pPr>
      <w:bookmarkStart w:id="38" w:name="_Toc176503701"/>
      <w:r>
        <w:t xml:space="preserve">Voluntary Alignment </w:t>
      </w:r>
      <w:r w:rsidR="00460F3A">
        <w:t>in Specific Areas</w:t>
      </w:r>
      <w:bookmarkEnd w:id="38"/>
      <w:r w:rsidR="00460F3A">
        <w:t xml:space="preserve"> </w:t>
      </w:r>
    </w:p>
    <w:p w14:paraId="0280F2CF" w14:textId="05079EFE" w:rsidR="008C0666" w:rsidRDefault="00A51C76" w:rsidP="00AA13C8">
      <w:pPr>
        <w:pStyle w:val="Heading3"/>
      </w:pPr>
      <w:bookmarkStart w:id="39" w:name="_Toc176503702"/>
      <w:r w:rsidRPr="000F2444">
        <w:t>Participation of Women in Public Life</w:t>
      </w:r>
      <w:bookmarkEnd w:id="39"/>
      <w:r w:rsidRPr="000F2444">
        <w:t xml:space="preserve"> </w:t>
      </w:r>
    </w:p>
    <w:p w14:paraId="3F309704" w14:textId="77777777" w:rsidR="00E02430" w:rsidRPr="00E02430" w:rsidRDefault="00E02430" w:rsidP="00973CC6"/>
    <w:p w14:paraId="5A029B9F" w14:textId="551DCA81" w:rsidR="00FE7507" w:rsidRPr="00FE7507" w:rsidRDefault="00A51C76" w:rsidP="005B3BC6">
      <w:pPr>
        <w:pStyle w:val="ListParagraph"/>
        <w:numPr>
          <w:ilvl w:val="1"/>
          <w:numId w:val="10"/>
        </w:numPr>
        <w:rPr>
          <w:rFonts w:eastAsia="Verdana" w:cs="Verdana"/>
        </w:rPr>
      </w:pPr>
      <w:r w:rsidRPr="00FF4DA7">
        <w:t>In</w:t>
      </w:r>
      <w:r w:rsidRPr="00FE7507">
        <w:rPr>
          <w:lang w:val="en-US"/>
        </w:rPr>
        <w:t xml:space="preserve"> addition to the keeping pace obligation, the NI Executive as a matter of best practice can voluntarily align with EU developments, even where it is not required to do so under the Windsor Framework. Voluntary alignment that strengthens rights and is aligned to international human rights standards could</w:t>
      </w:r>
      <w:r w:rsidRPr="00FF4DA7">
        <w:t xml:space="preserve"> help ensure equivalence of rights on the island of Ireland</w:t>
      </w:r>
      <w:r w:rsidRPr="00FE7507">
        <w:rPr>
          <w:lang w:val="en-US"/>
        </w:rPr>
        <w:t>.</w:t>
      </w:r>
      <w:r w:rsidRPr="00FF4DA7">
        <w:rPr>
          <w:vertAlign w:val="superscript"/>
          <w:lang w:val="en-US"/>
        </w:rPr>
        <w:footnoteReference w:id="137"/>
      </w:r>
    </w:p>
    <w:p w14:paraId="0BFF4768" w14:textId="77777777" w:rsidR="00FE7507" w:rsidRPr="00FE7507" w:rsidRDefault="00FE7507" w:rsidP="00FE7507">
      <w:pPr>
        <w:pStyle w:val="ListParagraph"/>
        <w:ind w:left="720"/>
        <w:rPr>
          <w:rFonts w:eastAsia="Verdana" w:cs="Verdana"/>
        </w:rPr>
      </w:pPr>
    </w:p>
    <w:p w14:paraId="4A0668C9" w14:textId="5703988E" w:rsidR="00FE7507" w:rsidRPr="005A6C40" w:rsidRDefault="00A51C76" w:rsidP="005B3BC6">
      <w:pPr>
        <w:pStyle w:val="ListParagraph"/>
        <w:numPr>
          <w:ilvl w:val="1"/>
          <w:numId w:val="10"/>
        </w:numPr>
        <w:rPr>
          <w:rFonts w:eastAsia="Verdana" w:cs="Verdana"/>
        </w:rPr>
      </w:pPr>
      <w:r w:rsidRPr="00FF4DA7">
        <w:t>In 2022, the EU adopted a directive on gender balance in non-executive director roles (‘EU Gender Balance Directive’), whereby Member States are required to ensure that listed companies have at least 40% of non-executive director roles or 33% of all director positions to be of the underrepresented sex by June 2026.</w:t>
      </w:r>
      <w:r w:rsidRPr="00FF4DA7">
        <w:rPr>
          <w:vertAlign w:val="superscript"/>
        </w:rPr>
        <w:footnoteReference w:id="138"/>
      </w:r>
      <w:r w:rsidRPr="00FF4DA7">
        <w:t xml:space="preserve">  Ireland is obliged under EU law to </w:t>
      </w:r>
      <w:r w:rsidR="006A0AB5">
        <w:t xml:space="preserve">transpose </w:t>
      </w:r>
      <w:r w:rsidRPr="00FF4DA7">
        <w:t>these measures by that date. Such provisions may not be reflected in NI law and could potentially lead to a divergence of rights on the island of Ireland.</w:t>
      </w:r>
      <w:r w:rsidR="0093401A" w:rsidRPr="00FF4DA7">
        <w:rPr>
          <w:vertAlign w:val="superscript"/>
        </w:rPr>
        <w:footnoteReference w:id="139"/>
      </w:r>
    </w:p>
    <w:p w14:paraId="318F1230" w14:textId="77777777" w:rsidR="0093401A" w:rsidRPr="0093401A" w:rsidRDefault="0093401A" w:rsidP="0093401A">
      <w:pPr>
        <w:pStyle w:val="ListParagraph"/>
        <w:rPr>
          <w:rFonts w:eastAsia="Verdana" w:cs="Verdana"/>
        </w:rPr>
      </w:pPr>
    </w:p>
    <w:p w14:paraId="2A25C9E3" w14:textId="4074E680" w:rsidR="005A6C40" w:rsidRPr="007B7772" w:rsidRDefault="005A6C40" w:rsidP="0093401A">
      <w:pPr>
        <w:pStyle w:val="ListParagraph"/>
        <w:numPr>
          <w:ilvl w:val="1"/>
          <w:numId w:val="10"/>
        </w:numPr>
        <w:rPr>
          <w:rFonts w:eastAsia="Verdana" w:cs="Verdana"/>
        </w:rPr>
      </w:pPr>
      <w:r w:rsidRPr="007B7772">
        <w:rPr>
          <w:b/>
          <w:bCs/>
        </w:rPr>
        <w:t xml:space="preserve">The </w:t>
      </w:r>
      <w:r w:rsidR="00D33364" w:rsidRPr="007B7772">
        <w:rPr>
          <w:b/>
          <w:bCs/>
        </w:rPr>
        <w:t>NIHRC</w:t>
      </w:r>
      <w:r w:rsidRPr="007B7772">
        <w:rPr>
          <w:b/>
          <w:bCs/>
        </w:rPr>
        <w:t xml:space="preserve"> recommends </w:t>
      </w:r>
      <w:r w:rsidR="00224D89">
        <w:rPr>
          <w:b/>
          <w:bCs/>
        </w:rPr>
        <w:t>the</w:t>
      </w:r>
      <w:r w:rsidR="0093401A" w:rsidRPr="007B7772">
        <w:rPr>
          <w:b/>
          <w:bCs/>
        </w:rPr>
        <w:t xml:space="preserve"> </w:t>
      </w:r>
      <w:r w:rsidRPr="007B7772">
        <w:rPr>
          <w:b/>
          <w:bCs/>
        </w:rPr>
        <w:t>voluntary alignment of NI law with the EU Gender Balance Directive where this strengthens protections and aligns with international human rights standards.</w:t>
      </w:r>
    </w:p>
    <w:p w14:paraId="5A5C834B" w14:textId="77777777" w:rsidR="005A6C40" w:rsidRPr="005A6C40" w:rsidRDefault="005A6C40" w:rsidP="005A6C40">
      <w:pPr>
        <w:rPr>
          <w:rFonts w:eastAsia="Verdana" w:cs="Verdana"/>
        </w:rPr>
      </w:pPr>
    </w:p>
    <w:p w14:paraId="1D372C4E" w14:textId="3015210D" w:rsidR="007B7772" w:rsidRDefault="005A6C40" w:rsidP="007B7772">
      <w:pPr>
        <w:pStyle w:val="Heading3"/>
      </w:pPr>
      <w:bookmarkStart w:id="40" w:name="_Toc176503703"/>
      <w:r w:rsidRPr="00D258FC">
        <w:t>Wor</w:t>
      </w:r>
      <w:r w:rsidR="00CD3BC8">
        <w:t>k</w:t>
      </w:r>
      <w:r w:rsidR="00224D89">
        <w:t>-</w:t>
      </w:r>
      <w:r w:rsidRPr="00D258FC">
        <w:t>life Balance</w:t>
      </w:r>
      <w:bookmarkEnd w:id="40"/>
    </w:p>
    <w:p w14:paraId="31143FFC" w14:textId="77777777" w:rsidR="007B7772" w:rsidRPr="007B7772" w:rsidRDefault="007B7772" w:rsidP="007B7772"/>
    <w:p w14:paraId="2FCB92F6" w14:textId="31659349" w:rsidR="00D258FC" w:rsidRPr="00D258FC" w:rsidRDefault="00D258FC" w:rsidP="005B3BC6">
      <w:pPr>
        <w:pStyle w:val="ListParagraph"/>
        <w:numPr>
          <w:ilvl w:val="1"/>
          <w:numId w:val="10"/>
        </w:numPr>
        <w:rPr>
          <w:rFonts w:eastAsia="Calibri"/>
        </w:rPr>
      </w:pPr>
      <w:r w:rsidRPr="00A82978">
        <w:t>In 2019</w:t>
      </w:r>
      <w:r>
        <w:t>,</w:t>
      </w:r>
      <w:r w:rsidRPr="00A82978">
        <w:t xml:space="preserve"> the </w:t>
      </w:r>
      <w:r>
        <w:t>EU</w:t>
      </w:r>
      <w:r w:rsidRPr="00A82978">
        <w:t xml:space="preserve"> Parliament adopted </w:t>
      </w:r>
      <w:r>
        <w:t xml:space="preserve">the EU </w:t>
      </w:r>
      <w:r w:rsidRPr="00A82978">
        <w:t>Work-</w:t>
      </w:r>
      <w:r>
        <w:t>Li</w:t>
      </w:r>
      <w:r w:rsidRPr="00A82978">
        <w:t xml:space="preserve">fe Balance Directive </w:t>
      </w:r>
      <w:r>
        <w:t xml:space="preserve">aimed at </w:t>
      </w:r>
      <w:r w:rsidRPr="00A82978">
        <w:t>parents and carers</w:t>
      </w:r>
      <w:r>
        <w:t>.</w:t>
      </w:r>
      <w:r w:rsidRPr="00A82978">
        <w:rPr>
          <w:vertAlign w:val="superscript"/>
        </w:rPr>
        <w:footnoteReference w:id="140"/>
      </w:r>
      <w:r w:rsidRPr="00A82978">
        <w:t xml:space="preserve"> </w:t>
      </w:r>
      <w:r>
        <w:t>The Directive</w:t>
      </w:r>
      <w:r w:rsidRPr="00A82978" w:rsidDel="00B94FC3">
        <w:t xml:space="preserve"> </w:t>
      </w:r>
      <w:r w:rsidRPr="00A82978">
        <w:t xml:space="preserve">aims to improve families’ access to family leave and flexible work arrangements, encourage a more equal sharing of parental leave between men and women, and to address women’s underrepresentation in the labour market. </w:t>
      </w:r>
    </w:p>
    <w:p w14:paraId="18C0900A" w14:textId="77777777" w:rsidR="00D258FC" w:rsidRPr="00D258FC" w:rsidRDefault="00D258FC" w:rsidP="00D258FC">
      <w:pPr>
        <w:pStyle w:val="ListParagraph"/>
        <w:ind w:left="720"/>
        <w:rPr>
          <w:rFonts w:eastAsia="Calibri"/>
        </w:rPr>
      </w:pPr>
    </w:p>
    <w:p w14:paraId="7E1A7A16" w14:textId="60E8322A" w:rsidR="00D258FC" w:rsidRPr="00D258FC" w:rsidRDefault="00D258FC" w:rsidP="005B3BC6">
      <w:pPr>
        <w:pStyle w:val="ListParagraph"/>
        <w:numPr>
          <w:ilvl w:val="1"/>
          <w:numId w:val="10"/>
        </w:numPr>
        <w:rPr>
          <w:rFonts w:eastAsia="Calibri"/>
        </w:rPr>
      </w:pPr>
      <w:r>
        <w:t xml:space="preserve">The </w:t>
      </w:r>
      <w:r w:rsidR="00D33364">
        <w:t>NIHRC</w:t>
      </w:r>
      <w:r>
        <w:t xml:space="preserve"> had noted that</w:t>
      </w:r>
      <w:r>
        <w:rPr>
          <w:rStyle w:val="FootnoteReference"/>
        </w:rPr>
        <w:footnoteReference w:id="141"/>
      </w:r>
      <w:r>
        <w:t xml:space="preserve"> the EU </w:t>
      </w:r>
      <w:r w:rsidRPr="00A82978">
        <w:t>Work-</w:t>
      </w:r>
      <w:r>
        <w:t>L</w:t>
      </w:r>
      <w:r w:rsidRPr="00A82978">
        <w:t>ife Balance Directive</w:t>
      </w:r>
      <w:r w:rsidRPr="00A82978">
        <w:rPr>
          <w:vertAlign w:val="superscript"/>
        </w:rPr>
        <w:footnoteReference w:id="142"/>
      </w:r>
      <w:r>
        <w:t xml:space="preserve"> </w:t>
      </w:r>
      <w:r w:rsidRPr="00A82978">
        <w:t xml:space="preserve">repeals and replaces the </w:t>
      </w:r>
      <w:r>
        <w:t xml:space="preserve">EU </w:t>
      </w:r>
      <w:r w:rsidRPr="00A82978">
        <w:t>Parental Leave Directive.</w:t>
      </w:r>
      <w:r w:rsidRPr="00A82978">
        <w:rPr>
          <w:vertAlign w:val="superscript"/>
        </w:rPr>
        <w:footnoteReference w:id="143"/>
      </w:r>
      <w:r w:rsidRPr="00A82978">
        <w:t xml:space="preserve"> Although this is not a directive listed under Annex 1 Windsor Framework, the </w:t>
      </w:r>
      <w:r w:rsidR="00D33364">
        <w:t>NIHRC</w:t>
      </w:r>
      <w:r>
        <w:rPr>
          <w:rStyle w:val="FootnoteReference"/>
        </w:rPr>
        <w:footnoteReference w:id="144"/>
      </w:r>
      <w:r>
        <w:t xml:space="preserve"> and the UK Government</w:t>
      </w:r>
      <w:r>
        <w:rPr>
          <w:rStyle w:val="FootnoteReference"/>
        </w:rPr>
        <w:footnoteReference w:id="145"/>
      </w:r>
      <w:r w:rsidRPr="00A82978">
        <w:t xml:space="preserve"> have identified the </w:t>
      </w:r>
      <w:r>
        <w:t xml:space="preserve">EU </w:t>
      </w:r>
      <w:r w:rsidRPr="00A82978">
        <w:t xml:space="preserve">Parental </w:t>
      </w:r>
      <w:r>
        <w:t>L</w:t>
      </w:r>
      <w:r w:rsidRPr="00A82978">
        <w:t xml:space="preserve">eave Directive </w:t>
      </w:r>
      <w:r>
        <w:t xml:space="preserve">as </w:t>
      </w:r>
      <w:r w:rsidRPr="00A82978">
        <w:t>fall</w:t>
      </w:r>
      <w:r>
        <w:t>ing</w:t>
      </w:r>
      <w:r w:rsidRPr="00A82978">
        <w:t xml:space="preserve"> within the scope of </w:t>
      </w:r>
      <w:r>
        <w:t xml:space="preserve">Windsor Framework </w:t>
      </w:r>
      <w:r w:rsidRPr="00A82978">
        <w:t xml:space="preserve">Article 2. </w:t>
      </w:r>
      <w:r w:rsidRPr="00D258FC">
        <w:rPr>
          <w:rFonts w:eastAsia="Calibri"/>
        </w:rPr>
        <w:t xml:space="preserve">The </w:t>
      </w:r>
      <w:r w:rsidRPr="00A82978">
        <w:t>legislative developments within the EU</w:t>
      </w:r>
      <w:r>
        <w:t>,</w:t>
      </w:r>
      <w:r w:rsidRPr="00A82978">
        <w:t xml:space="preserve"> including Ireland</w:t>
      </w:r>
      <w:r>
        <w:t>,</w:t>
      </w:r>
      <w:r w:rsidRPr="00A82978">
        <w:t xml:space="preserve"> in relation to work-life balance for parents and carers could lead to a divergence of rights</w:t>
      </w:r>
      <w:r>
        <w:t>.</w:t>
      </w:r>
      <w:r w:rsidRPr="00A82978">
        <w:rPr>
          <w:vertAlign w:val="superscript"/>
        </w:rPr>
        <w:footnoteReference w:id="146"/>
      </w:r>
    </w:p>
    <w:p w14:paraId="6D40F738" w14:textId="77777777" w:rsidR="00D258FC" w:rsidRPr="00D258FC" w:rsidRDefault="00D258FC" w:rsidP="00D258FC">
      <w:pPr>
        <w:pStyle w:val="ListParagraph"/>
        <w:ind w:left="720"/>
        <w:rPr>
          <w:rFonts w:eastAsia="Calibri"/>
        </w:rPr>
      </w:pPr>
    </w:p>
    <w:p w14:paraId="58D2BBEC" w14:textId="3F9F292A" w:rsidR="00D258FC" w:rsidRPr="00D258FC" w:rsidRDefault="005D5C99" w:rsidP="005B3BC6">
      <w:pPr>
        <w:pStyle w:val="ListParagraph"/>
        <w:numPr>
          <w:ilvl w:val="1"/>
          <w:numId w:val="10"/>
        </w:numPr>
        <w:rPr>
          <w:rFonts w:eastAsia="Calibri"/>
        </w:rPr>
      </w:pPr>
      <w:r>
        <w:t>If</w:t>
      </w:r>
      <w:r w:rsidR="00D258FC">
        <w:t xml:space="preserve"> the provisions of the EU </w:t>
      </w:r>
      <w:r w:rsidR="00D258FC" w:rsidRPr="00A82978">
        <w:t>Work-Life Balance Directive</w:t>
      </w:r>
      <w:r w:rsidR="00D258FC">
        <w:rPr>
          <w:rStyle w:val="FootnoteReference"/>
        </w:rPr>
        <w:footnoteReference w:id="147"/>
      </w:r>
      <w:r w:rsidR="00D258FC">
        <w:t xml:space="preserve"> </w:t>
      </w:r>
      <w:r>
        <w:t xml:space="preserve">are </w:t>
      </w:r>
      <w:r w:rsidR="00D258FC">
        <w:t xml:space="preserve">not implemented in NI law, </w:t>
      </w:r>
      <w:r w:rsidR="00224D89">
        <w:t xml:space="preserve">NI would only benefit from the </w:t>
      </w:r>
      <w:r w:rsidR="00D258FC">
        <w:t xml:space="preserve">more limited obligations </w:t>
      </w:r>
      <w:r w:rsidR="00224D89">
        <w:t>in</w:t>
      </w:r>
      <w:r w:rsidR="00224D89" w:rsidRPr="00A82978">
        <w:t xml:space="preserve"> </w:t>
      </w:r>
      <w:r w:rsidR="00D258FC" w:rsidRPr="00A82978">
        <w:t xml:space="preserve">the </w:t>
      </w:r>
      <w:r w:rsidR="00D258FC">
        <w:t xml:space="preserve">EU </w:t>
      </w:r>
      <w:r w:rsidR="00D258FC" w:rsidRPr="00A82978">
        <w:t>Parental Leave Directive,</w:t>
      </w:r>
      <w:r w:rsidR="00D258FC">
        <w:rPr>
          <w:rStyle w:val="FootnoteReference"/>
        </w:rPr>
        <w:footnoteReference w:id="148"/>
      </w:r>
      <w:r w:rsidR="00D258FC" w:rsidRPr="00A82978">
        <w:t xml:space="preserve"> even though it has been replaced.</w:t>
      </w:r>
    </w:p>
    <w:p w14:paraId="7A8864BE" w14:textId="77777777" w:rsidR="00D258FC" w:rsidRPr="00D258FC" w:rsidRDefault="00D258FC" w:rsidP="00D258FC">
      <w:pPr>
        <w:pStyle w:val="ListParagraph"/>
        <w:ind w:left="720"/>
        <w:rPr>
          <w:rFonts w:eastAsia="Calibri"/>
        </w:rPr>
      </w:pPr>
    </w:p>
    <w:p w14:paraId="3A4C5B31" w14:textId="77777777" w:rsidR="007B7772" w:rsidRPr="007B7772" w:rsidRDefault="00D258FC" w:rsidP="007B7772">
      <w:pPr>
        <w:pStyle w:val="ListParagraph"/>
        <w:numPr>
          <w:ilvl w:val="1"/>
          <w:numId w:val="10"/>
        </w:numPr>
        <w:rPr>
          <w:rFonts w:eastAsia="Calibri"/>
        </w:rPr>
      </w:pPr>
      <w:r>
        <w:t xml:space="preserve">Implementing </w:t>
      </w:r>
      <w:r w:rsidRPr="00A82978">
        <w:t xml:space="preserve">provisions </w:t>
      </w:r>
      <w:r>
        <w:t xml:space="preserve">of the Directive, such as those on </w:t>
      </w:r>
      <w:r w:rsidRPr="00A82978">
        <w:t>non-transferable parental leave</w:t>
      </w:r>
      <w:r>
        <w:t>,</w:t>
      </w:r>
      <w:r w:rsidRPr="00A82978">
        <w:t xml:space="preserve"> would avoid a potential divergence of rights on the island of Ireland and could positively contribute to addressing some of the key barriers to the full and equal participation of women in employment by encouraging an equal sharing of parental leave.</w:t>
      </w:r>
      <w:r w:rsidRPr="00A82978">
        <w:rPr>
          <w:vertAlign w:val="superscript"/>
        </w:rPr>
        <w:footnoteReference w:id="149"/>
      </w:r>
    </w:p>
    <w:p w14:paraId="7800E67C" w14:textId="77777777" w:rsidR="007B7772" w:rsidRPr="007B7772" w:rsidRDefault="007B7772" w:rsidP="007B7772">
      <w:pPr>
        <w:pStyle w:val="ListParagraph"/>
        <w:ind w:left="720"/>
        <w:rPr>
          <w:rFonts w:eastAsia="Calibri"/>
        </w:rPr>
      </w:pPr>
    </w:p>
    <w:p w14:paraId="7341C6D4" w14:textId="1611A7A2" w:rsidR="00FE7507" w:rsidRPr="007B7772" w:rsidRDefault="00D258FC" w:rsidP="007B7772">
      <w:pPr>
        <w:pStyle w:val="ListParagraph"/>
        <w:numPr>
          <w:ilvl w:val="1"/>
          <w:numId w:val="10"/>
        </w:numPr>
        <w:rPr>
          <w:rFonts w:eastAsia="Calibri"/>
        </w:rPr>
      </w:pPr>
      <w:r w:rsidRPr="007B7772">
        <w:rPr>
          <w:b/>
          <w:bCs/>
        </w:rPr>
        <w:t xml:space="preserve">The </w:t>
      </w:r>
      <w:r w:rsidR="00D33364" w:rsidRPr="007B7772">
        <w:rPr>
          <w:b/>
          <w:bCs/>
        </w:rPr>
        <w:t>NIHRC</w:t>
      </w:r>
      <w:r w:rsidRPr="007B7772">
        <w:rPr>
          <w:b/>
          <w:bCs/>
        </w:rPr>
        <w:t xml:space="preserve"> recommends </w:t>
      </w:r>
      <w:r w:rsidR="001904D5">
        <w:rPr>
          <w:b/>
          <w:bCs/>
        </w:rPr>
        <w:t xml:space="preserve">the </w:t>
      </w:r>
      <w:r w:rsidRPr="007B7772">
        <w:rPr>
          <w:b/>
          <w:bCs/>
        </w:rPr>
        <w:t xml:space="preserve">voluntary alignment of NI law with those provisions of the EU Work-Life Balance Directive that enhance equality and human rights protections and align with international human rights standards. </w:t>
      </w:r>
    </w:p>
    <w:p w14:paraId="33AC6BD6" w14:textId="77777777" w:rsidR="0093401A" w:rsidRPr="00D258FC" w:rsidRDefault="0093401A" w:rsidP="00D258FC">
      <w:pPr>
        <w:pStyle w:val="ListParagraph"/>
        <w:ind w:left="720"/>
        <w:rPr>
          <w:b/>
          <w:bCs/>
        </w:rPr>
      </w:pPr>
    </w:p>
    <w:p w14:paraId="1FDD1AB2" w14:textId="7BD8B090" w:rsidR="007B7772" w:rsidRDefault="00DA662B" w:rsidP="007B7772">
      <w:pPr>
        <w:pStyle w:val="Heading3"/>
      </w:pPr>
      <w:bookmarkStart w:id="41" w:name="_Toc176503704"/>
      <w:r w:rsidRPr="000F2444">
        <w:lastRenderedPageBreak/>
        <w:t>EU Accessibility Act</w:t>
      </w:r>
      <w:bookmarkEnd w:id="41"/>
    </w:p>
    <w:p w14:paraId="20DA00C5" w14:textId="77777777" w:rsidR="007B7772" w:rsidRPr="007B7772" w:rsidRDefault="007B7772" w:rsidP="007B7772"/>
    <w:p w14:paraId="25E1219A" w14:textId="5D4AF96B" w:rsidR="00FE7507" w:rsidRPr="000F2444" w:rsidRDefault="00DA662B" w:rsidP="005B3BC6">
      <w:pPr>
        <w:pStyle w:val="ListParagraph"/>
        <w:numPr>
          <w:ilvl w:val="1"/>
          <w:numId w:val="10"/>
        </w:numPr>
        <w:rPr>
          <w:rFonts w:eastAsia="Verdana" w:cs="Verdana"/>
        </w:rPr>
      </w:pPr>
      <w:r w:rsidRPr="00FF4DA7">
        <w:t xml:space="preserve">In 2022, </w:t>
      </w:r>
      <w:r w:rsidR="0093401A">
        <w:t>research commissioned by Equality Commission for NI on behalf of the NIHRC and Irish Human Rights and Equality Commission</w:t>
      </w:r>
      <w:r>
        <w:t>,</w:t>
      </w:r>
      <w:r w:rsidRPr="00FF4DA7">
        <w:t xml:space="preserve"> highlighted that the implementation of the E</w:t>
      </w:r>
      <w:r w:rsidR="00460F3A">
        <w:t>U</w:t>
      </w:r>
      <w:r w:rsidRPr="00FF4DA7">
        <w:t xml:space="preserve"> Accessibility Act</w:t>
      </w:r>
      <w:r w:rsidRPr="00FF4DA7">
        <w:rPr>
          <w:vertAlign w:val="superscript"/>
        </w:rPr>
        <w:footnoteReference w:id="150"/>
      </w:r>
      <w:r w:rsidRPr="00FF4DA7">
        <w:t xml:space="preserve"> in Ireland will create a potential divergence of rights between Ireland and NI for people with disabilities and older people.</w:t>
      </w:r>
      <w:r w:rsidRPr="00FF4DA7">
        <w:rPr>
          <w:vertAlign w:val="superscript"/>
        </w:rPr>
        <w:footnoteReference w:id="151"/>
      </w:r>
      <w:r w:rsidRPr="00FF4DA7">
        <w:t xml:space="preserve"> The Act provides for more accessible products and services, at more competitive prices and fewer barriers to accessing transport and education.</w:t>
      </w:r>
      <w:r w:rsidRPr="00FF4DA7">
        <w:rPr>
          <w:vertAlign w:val="superscript"/>
        </w:rPr>
        <w:footnoteReference w:id="152"/>
      </w:r>
      <w:r w:rsidRPr="00FE7507">
        <w:rPr>
          <w:vertAlign w:val="superscript"/>
        </w:rPr>
        <w:t xml:space="preserve"> </w:t>
      </w:r>
      <w:r w:rsidR="0093401A">
        <w:t xml:space="preserve">It will also </w:t>
      </w:r>
      <w:r w:rsidR="0093401A" w:rsidRPr="00FF4DA7">
        <w:t>address key inequalities that exist for disabled people and older people in accessing goods and services</w:t>
      </w:r>
      <w:r w:rsidR="0093401A">
        <w:t>.</w:t>
      </w:r>
    </w:p>
    <w:p w14:paraId="00188A3F" w14:textId="77777777" w:rsidR="000F2444" w:rsidRPr="00FE7507" w:rsidRDefault="000F2444" w:rsidP="000F2444">
      <w:pPr>
        <w:pStyle w:val="ListParagraph"/>
        <w:ind w:left="720"/>
        <w:rPr>
          <w:rFonts w:eastAsia="Verdana" w:cs="Verdana"/>
        </w:rPr>
      </w:pPr>
    </w:p>
    <w:p w14:paraId="71627940" w14:textId="3A8AC412" w:rsidR="00012683" w:rsidRPr="0028497D" w:rsidRDefault="00DA662B" w:rsidP="007B7772">
      <w:pPr>
        <w:pStyle w:val="ListParagraph"/>
        <w:numPr>
          <w:ilvl w:val="1"/>
          <w:numId w:val="10"/>
        </w:numPr>
        <w:rPr>
          <w:rFonts w:eastAsia="Verdana" w:cs="Verdana"/>
        </w:rPr>
      </w:pPr>
      <w:r w:rsidRPr="00FF4DA7">
        <w:t xml:space="preserve">There is no obligation on the UK Government or NI Executive to </w:t>
      </w:r>
      <w:r w:rsidR="007B6032">
        <w:t>transpose</w:t>
      </w:r>
      <w:r w:rsidR="007B6032" w:rsidRPr="00FF4DA7">
        <w:t xml:space="preserve"> </w:t>
      </w:r>
      <w:r w:rsidRPr="00FF4DA7">
        <w:t>the EU Directive into UK law. The deadline for EU member states to transpose the Accessibility Act into national law was June 2022. As of June 2025, companies must ensure that the products and services covered by the Act are accessible. Ireland has implemented the Act via the European Union (Accessibility Requirements of Products and Services) Regulations 2023.</w:t>
      </w:r>
      <w:r w:rsidRPr="00FF4DA7">
        <w:rPr>
          <w:vertAlign w:val="superscript"/>
        </w:rPr>
        <w:footnoteReference w:id="153"/>
      </w:r>
    </w:p>
    <w:p w14:paraId="7801C243" w14:textId="77777777" w:rsidR="00FE7507" w:rsidRPr="00FE7507" w:rsidRDefault="00FE7507" w:rsidP="00FE7507">
      <w:pPr>
        <w:pStyle w:val="ListParagraph"/>
        <w:ind w:left="720"/>
        <w:rPr>
          <w:rFonts w:eastAsia="Verdana" w:cs="Verdana"/>
        </w:rPr>
      </w:pPr>
    </w:p>
    <w:p w14:paraId="4029374F" w14:textId="24E164FA" w:rsidR="003B575B" w:rsidRPr="00FE7507" w:rsidRDefault="003B575B" w:rsidP="00012683">
      <w:pPr>
        <w:pStyle w:val="ListParagraph"/>
        <w:numPr>
          <w:ilvl w:val="1"/>
          <w:numId w:val="10"/>
        </w:numPr>
        <w:rPr>
          <w:rFonts w:eastAsia="Verdana" w:cs="Verdana"/>
        </w:rPr>
      </w:pPr>
      <w:r w:rsidRPr="00FE7507">
        <w:rPr>
          <w:b/>
          <w:bCs/>
        </w:rPr>
        <w:t xml:space="preserve">The </w:t>
      </w:r>
      <w:r w:rsidR="00D33364" w:rsidRPr="00012683">
        <w:rPr>
          <w:b/>
          <w:bCs/>
        </w:rPr>
        <w:t>NIHRC</w:t>
      </w:r>
      <w:r w:rsidRPr="00012683">
        <w:rPr>
          <w:b/>
          <w:bCs/>
        </w:rPr>
        <w:t xml:space="preserve"> recommends that </w:t>
      </w:r>
      <w:r w:rsidRPr="00FE7507">
        <w:rPr>
          <w:b/>
          <w:bCs/>
        </w:rPr>
        <w:t xml:space="preserve">NI law aligns, on a voluntary basis, with the EU Accessibility Act where this enhances protections for people with disabilities and older people and aligns with international human rights standards.  </w:t>
      </w:r>
    </w:p>
    <w:p w14:paraId="47591937" w14:textId="580580A6" w:rsidR="001904D5" w:rsidRDefault="001904D5">
      <w:pPr>
        <w:spacing w:line="240" w:lineRule="auto"/>
        <w:rPr>
          <w:b/>
          <w:bCs/>
        </w:rPr>
      </w:pPr>
      <w:r>
        <w:rPr>
          <w:b/>
          <w:bCs/>
        </w:rPr>
        <w:br w:type="page"/>
      </w:r>
    </w:p>
    <w:p w14:paraId="66254CA6" w14:textId="77777777" w:rsidR="003B575B" w:rsidRPr="00DA662B" w:rsidRDefault="003B575B" w:rsidP="00DA662B">
      <w:pPr>
        <w:rPr>
          <w:b/>
          <w:bCs/>
        </w:rPr>
      </w:pPr>
    </w:p>
    <w:p w14:paraId="55EA29A5" w14:textId="77777777" w:rsidR="00EE4B9E" w:rsidRDefault="00EE4B9E" w:rsidP="00313BF0">
      <w:pPr>
        <w:pStyle w:val="BasicParagraph"/>
        <w:suppressAutoHyphens/>
        <w:jc w:val="center"/>
        <w:rPr>
          <w:rFonts w:ascii="Verdana" w:hAnsi="Verdana" w:cs="Arial"/>
          <w:b/>
          <w:bCs/>
          <w:color w:val="77328A"/>
          <w:sz w:val="36"/>
          <w:szCs w:val="36"/>
        </w:rPr>
      </w:pPr>
    </w:p>
    <w:p w14:paraId="0587AFEC" w14:textId="77777777" w:rsidR="001904D5" w:rsidRDefault="001904D5" w:rsidP="00313BF0">
      <w:pPr>
        <w:pStyle w:val="BasicParagraph"/>
        <w:suppressAutoHyphens/>
        <w:jc w:val="center"/>
        <w:rPr>
          <w:rFonts w:ascii="Verdana" w:hAnsi="Verdana" w:cs="Arial"/>
          <w:b/>
          <w:bCs/>
          <w:color w:val="77328A"/>
          <w:sz w:val="36"/>
          <w:szCs w:val="36"/>
        </w:rPr>
      </w:pPr>
    </w:p>
    <w:p w14:paraId="5C87A6FD" w14:textId="77777777" w:rsidR="00EE4B9E" w:rsidRDefault="00EE4B9E" w:rsidP="00313BF0">
      <w:pPr>
        <w:pStyle w:val="BasicParagraph"/>
        <w:suppressAutoHyphens/>
        <w:jc w:val="center"/>
        <w:rPr>
          <w:rFonts w:ascii="Verdana" w:hAnsi="Verdana" w:cs="Arial"/>
          <w:b/>
          <w:bCs/>
          <w:color w:val="77328A"/>
          <w:sz w:val="36"/>
          <w:szCs w:val="36"/>
        </w:rPr>
      </w:pPr>
    </w:p>
    <w:p w14:paraId="6D5C68BD" w14:textId="77777777" w:rsidR="00CC71FE" w:rsidRDefault="00CC71FE" w:rsidP="00313BF0">
      <w:pPr>
        <w:pStyle w:val="BasicParagraph"/>
        <w:suppressAutoHyphens/>
        <w:jc w:val="center"/>
        <w:rPr>
          <w:rFonts w:ascii="Verdana" w:hAnsi="Verdana" w:cs="Arial"/>
          <w:b/>
          <w:bCs/>
          <w:color w:val="77328A"/>
          <w:sz w:val="36"/>
          <w:szCs w:val="36"/>
        </w:rPr>
      </w:pPr>
    </w:p>
    <w:p w14:paraId="4531B5F7" w14:textId="77777777" w:rsidR="00CC71FE" w:rsidRDefault="00CC71FE" w:rsidP="00313BF0">
      <w:pPr>
        <w:pStyle w:val="BasicParagraph"/>
        <w:suppressAutoHyphens/>
        <w:jc w:val="center"/>
        <w:rPr>
          <w:rFonts w:ascii="Verdana" w:hAnsi="Verdana" w:cs="Arial"/>
          <w:b/>
          <w:bCs/>
          <w:color w:val="77328A"/>
          <w:sz w:val="36"/>
          <w:szCs w:val="36"/>
        </w:rPr>
      </w:pPr>
    </w:p>
    <w:p w14:paraId="772B9C63" w14:textId="77777777" w:rsidR="00CC71FE" w:rsidRDefault="00CC71FE" w:rsidP="00313BF0">
      <w:pPr>
        <w:pStyle w:val="BasicParagraph"/>
        <w:suppressAutoHyphens/>
        <w:jc w:val="center"/>
        <w:rPr>
          <w:rFonts w:ascii="Verdana" w:hAnsi="Verdana" w:cs="Arial"/>
          <w:b/>
          <w:bCs/>
          <w:color w:val="77328A"/>
          <w:sz w:val="36"/>
          <w:szCs w:val="36"/>
        </w:rPr>
      </w:pPr>
    </w:p>
    <w:p w14:paraId="50309C5A" w14:textId="77777777" w:rsidR="00313BF0" w:rsidRDefault="00313BF0" w:rsidP="00313BF0">
      <w:pPr>
        <w:pStyle w:val="BasicParagraph"/>
        <w:suppressAutoHyphens/>
        <w:jc w:val="center"/>
        <w:rPr>
          <w:rFonts w:ascii="Verdana" w:hAnsi="Verdana" w:cs="Arial"/>
          <w:b/>
          <w:bCs/>
          <w:color w:val="77328A"/>
          <w:sz w:val="36"/>
          <w:szCs w:val="36"/>
        </w:rPr>
      </w:pPr>
    </w:p>
    <w:p w14:paraId="00ECAD87" w14:textId="73EB1304" w:rsidR="00705833" w:rsidRDefault="00705833" w:rsidP="00313BF0">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6EEEBE4B" w14:textId="77777777" w:rsidR="00ED6C60" w:rsidRPr="00331C61" w:rsidRDefault="00ED6C60" w:rsidP="00331C61">
      <w:pPr>
        <w:pStyle w:val="BasicParagraph"/>
        <w:suppressAutoHyphens/>
        <w:jc w:val="center"/>
        <w:rPr>
          <w:rFonts w:ascii="Verdana" w:hAnsi="Verdana" w:cs="Arial"/>
          <w:b/>
          <w:bCs/>
          <w:color w:val="77328A"/>
          <w:sz w:val="36"/>
          <w:szCs w:val="36"/>
        </w:rPr>
      </w:pPr>
    </w:p>
    <w:p w14:paraId="0024D7B3" w14:textId="77777777" w:rsidR="00A5285B" w:rsidRPr="00331C61" w:rsidRDefault="00A5285B" w:rsidP="00A5285B">
      <w:pPr>
        <w:pStyle w:val="BasicParagraph"/>
        <w:suppressAutoHyphens/>
        <w:rPr>
          <w:rFonts w:ascii="Verdana" w:hAnsi="Verdana" w:cs="Arial"/>
          <w:b/>
          <w:color w:val="77328A"/>
          <w:sz w:val="36"/>
          <w:szCs w:val="36"/>
        </w:rPr>
      </w:pPr>
    </w:p>
    <w:p w14:paraId="2073AB52" w14:textId="77777777" w:rsidR="00A5285B" w:rsidRDefault="00A5285B" w:rsidP="00A5285B">
      <w:pPr>
        <w:jc w:val="center"/>
        <w:rPr>
          <w:rStyle w:val="Hyperlink"/>
          <w:rFonts w:cs="Arial"/>
          <w:b/>
          <w:sz w:val="30"/>
          <w:szCs w:val="30"/>
        </w:rPr>
      </w:pPr>
      <w:r>
        <w:rPr>
          <w:rFonts w:cs="Arial"/>
          <w:b/>
          <w:color w:val="232120"/>
          <w:sz w:val="30"/>
          <w:szCs w:val="30"/>
        </w:rPr>
        <w:t xml:space="preserve">Please send any queries to </w:t>
      </w:r>
      <w:hyperlink r:id="rId12" w:history="1">
        <w:r w:rsidRPr="00F213CA">
          <w:rPr>
            <w:rStyle w:val="Hyperlink"/>
            <w:rFonts w:cs="Arial"/>
            <w:b/>
            <w:sz w:val="30"/>
            <w:szCs w:val="30"/>
          </w:rPr>
          <w:t>Colin.Caughey@nihrc.org</w:t>
        </w:r>
      </w:hyperlink>
    </w:p>
    <w:p w14:paraId="10803299" w14:textId="2B93CC66" w:rsidR="00A5285B" w:rsidRDefault="00CB7D6A" w:rsidP="00A5285B">
      <w:pPr>
        <w:jc w:val="center"/>
        <w:rPr>
          <w:rFonts w:cs="Arial"/>
          <w:b/>
          <w:color w:val="232120"/>
          <w:sz w:val="30"/>
          <w:szCs w:val="30"/>
        </w:rPr>
      </w:pPr>
      <w:r>
        <w:rPr>
          <w:rFonts w:cs="Arial"/>
          <w:b/>
          <w:color w:val="232120"/>
          <w:sz w:val="30"/>
          <w:szCs w:val="30"/>
        </w:rPr>
        <w:t>and</w:t>
      </w:r>
      <w:r>
        <w:rPr>
          <w:rStyle w:val="Hyperlink"/>
          <w:rFonts w:cs="Arial"/>
          <w:b/>
          <w:sz w:val="30"/>
          <w:szCs w:val="30"/>
        </w:rPr>
        <w:t xml:space="preserve"> </w:t>
      </w:r>
      <w:r w:rsidR="00A5285B">
        <w:rPr>
          <w:rStyle w:val="Hyperlink"/>
          <w:rFonts w:cs="Arial"/>
          <w:b/>
          <w:sz w:val="30"/>
          <w:szCs w:val="30"/>
        </w:rPr>
        <w:t>Eilis.Haughey@nihrc.org</w:t>
      </w:r>
    </w:p>
    <w:p w14:paraId="2121D639" w14:textId="77777777" w:rsidR="00A5285B" w:rsidRPr="00331C61" w:rsidRDefault="00A5285B" w:rsidP="00A5285B">
      <w:pPr>
        <w:rPr>
          <w:rFonts w:cs="Arial"/>
          <w:b/>
          <w:color w:val="232120"/>
          <w:sz w:val="30"/>
          <w:szCs w:val="30"/>
        </w:rPr>
      </w:pPr>
    </w:p>
    <w:p w14:paraId="59379608" w14:textId="1B78FF5A" w:rsidR="00AE6245" w:rsidRDefault="00AE6245" w:rsidP="00D52BCD">
      <w:pPr>
        <w:jc w:val="center"/>
        <w:rPr>
          <w:rStyle w:val="Hyperlink"/>
          <w:rFonts w:cs="Arial"/>
          <w:b/>
          <w:sz w:val="30"/>
          <w:szCs w:val="30"/>
        </w:rPr>
      </w:pPr>
    </w:p>
    <w:p w14:paraId="09343088" w14:textId="646CE44B" w:rsidR="000965E8" w:rsidRDefault="000965E8" w:rsidP="003B7D0E">
      <w:pPr>
        <w:jc w:val="center"/>
        <w:rPr>
          <w:rStyle w:val="Hyperlink"/>
          <w:rFonts w:cs="Arial"/>
          <w:b/>
          <w:sz w:val="30"/>
          <w:szCs w:val="30"/>
        </w:rPr>
      </w:pPr>
    </w:p>
    <w:p w14:paraId="69F8D602" w14:textId="77777777" w:rsidR="00331C61" w:rsidRPr="00331C61" w:rsidRDefault="00331C61" w:rsidP="003B7D0E">
      <w:pPr>
        <w:jc w:val="center"/>
        <w:rPr>
          <w:rFonts w:cs="Arial"/>
          <w:b/>
          <w:color w:val="232120"/>
          <w:sz w:val="30"/>
          <w:szCs w:val="30"/>
        </w:rPr>
      </w:pPr>
    </w:p>
    <w:p w14:paraId="0A36ED09" w14:textId="77777777" w:rsidR="00331C61" w:rsidRPr="00331C61" w:rsidRDefault="00331C61" w:rsidP="003B7D0E">
      <w:pPr>
        <w:jc w:val="center"/>
        <w:rPr>
          <w:rFonts w:cs="Arial"/>
          <w:b/>
          <w:color w:val="232120"/>
          <w:sz w:val="30"/>
          <w:szCs w:val="30"/>
        </w:rPr>
      </w:pPr>
    </w:p>
    <w:p w14:paraId="783031BB" w14:textId="77777777" w:rsidR="00331C61" w:rsidRPr="00331C61" w:rsidRDefault="00000000" w:rsidP="00331C61">
      <w:pPr>
        <w:jc w:val="center"/>
        <w:rPr>
          <w:rFonts w:cs="Arial"/>
          <w:color w:val="232120"/>
          <w:sz w:val="28"/>
          <w:szCs w:val="28"/>
        </w:rPr>
      </w:pPr>
      <w:hyperlink r:id="rId13" w:history="1">
        <w:r w:rsidR="00331C61" w:rsidRPr="00331C61">
          <w:rPr>
            <w:rStyle w:val="Hyperlink"/>
            <w:rFonts w:cs="Arial"/>
            <w:color w:val="232120"/>
            <w:sz w:val="28"/>
            <w:szCs w:val="28"/>
            <w:u w:val="none"/>
            <w:lang w:val="en-US"/>
          </w:rPr>
          <w:t>www.nihrc.org</w:t>
        </w:r>
      </w:hyperlink>
      <w:r w:rsidR="00331C61" w:rsidRPr="00331C61">
        <w:rPr>
          <w:rFonts w:cs="Arial"/>
          <w:color w:val="232120"/>
          <w:sz w:val="28"/>
          <w:szCs w:val="28"/>
          <w:lang w:val="en-US"/>
        </w:rPr>
        <w:t xml:space="preserve">  |  </w:t>
      </w:r>
      <w:hyperlink r:id="rId14" w:history="1">
        <w:r w:rsidR="00331C61" w:rsidRPr="00331C61">
          <w:rPr>
            <w:rStyle w:val="Hyperlink"/>
            <w:rFonts w:cs="Arial"/>
            <w:color w:val="232120"/>
            <w:sz w:val="28"/>
            <w:szCs w:val="28"/>
            <w:u w:val="none"/>
            <w:lang w:val="en-US"/>
          </w:rPr>
          <w:t>info@nihrc.org</w:t>
        </w:r>
      </w:hyperlink>
      <w:r w:rsidR="00331C61" w:rsidRPr="00331C61">
        <w:rPr>
          <w:rFonts w:cs="Arial"/>
          <w:color w:val="232120"/>
          <w:sz w:val="28"/>
          <w:szCs w:val="28"/>
          <w:lang w:val="en-US"/>
        </w:rPr>
        <w:t xml:space="preserve">  |  +44 (0)28 9024 3987</w:t>
      </w:r>
    </w:p>
    <w:p w14:paraId="6BF0CD5D" w14:textId="77777777" w:rsidR="00F56C78" w:rsidRPr="00331C61" w:rsidRDefault="00D16532" w:rsidP="00331C61">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1003617F" w14:textId="77777777" w:rsidR="00F56C78" w:rsidRPr="00331C61" w:rsidRDefault="00F56C78" w:rsidP="003B7D0E">
      <w:pPr>
        <w:jc w:val="center"/>
        <w:rPr>
          <w:rFonts w:cs="Arial"/>
          <w:b/>
          <w:color w:val="232120"/>
          <w:sz w:val="28"/>
          <w:szCs w:val="28"/>
        </w:rPr>
      </w:pPr>
    </w:p>
    <w:p w14:paraId="6CC01096" w14:textId="77777777" w:rsidR="00F56C78" w:rsidRPr="00331C61" w:rsidRDefault="00F56C78" w:rsidP="003B7D0E">
      <w:pPr>
        <w:jc w:val="center"/>
        <w:rPr>
          <w:rFonts w:cs="Arial"/>
          <w:color w:val="232120"/>
          <w:sz w:val="20"/>
          <w:szCs w:val="20"/>
        </w:rPr>
      </w:pPr>
    </w:p>
    <w:p w14:paraId="1F494753"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6DAB86ED" wp14:editId="1829EE4E">
            <wp:extent cx="1515406" cy="274540"/>
            <wp:effectExtent l="0" t="0" r="889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1904D5">
      <w:footerReference w:type="default" r:id="rId16"/>
      <w:footerReference w:type="first" r:id="rId17"/>
      <w:pgSz w:w="11900" w:h="16820"/>
      <w:pgMar w:top="1021" w:right="1127" w:bottom="1021" w:left="1276"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A5BA97" w14:textId="77777777" w:rsidR="008A7097" w:rsidRDefault="008A7097" w:rsidP="00962B2B">
      <w:r>
        <w:separator/>
      </w:r>
    </w:p>
  </w:endnote>
  <w:endnote w:type="continuationSeparator" w:id="0">
    <w:p w14:paraId="77C04408" w14:textId="77777777" w:rsidR="008A7097" w:rsidRDefault="008A7097" w:rsidP="00962B2B">
      <w:r>
        <w:continuationSeparator/>
      </w:r>
    </w:p>
  </w:endnote>
  <w:endnote w:type="continuationNotice" w:id="1">
    <w:p w14:paraId="3F370C05" w14:textId="77777777" w:rsidR="008A7097" w:rsidRDefault="008A70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8B5D15" w14:textId="77777777" w:rsidR="00D2770F" w:rsidRDefault="00D2770F" w:rsidP="00656ECD">
    <w:pPr>
      <w:pStyle w:val="Footer"/>
      <w:jc w:val="right"/>
      <w:rPr>
        <w:rStyle w:val="PageNumber"/>
        <w:rFonts w:ascii="Arial" w:hAnsi="Arial" w:cs="Arial"/>
        <w:b/>
        <w:sz w:val="16"/>
        <w:szCs w:val="16"/>
      </w:rPr>
    </w:pPr>
  </w:p>
  <w:p w14:paraId="5B7EE6BD" w14:textId="77777777" w:rsidR="00D2770F" w:rsidRPr="00ED6C60" w:rsidRDefault="00D2770F" w:rsidP="00656ECD">
    <w:pPr>
      <w:pStyle w:val="Footer"/>
      <w:jc w:val="right"/>
      <w:rPr>
        <w:rFonts w:cs="Arial"/>
        <w:bCs/>
        <w:color w:val="77328A"/>
      </w:rPr>
    </w:pPr>
    <w:r w:rsidRPr="00ED6C60">
      <w:rPr>
        <w:rStyle w:val="PageNumber"/>
        <w:rFonts w:cs="Arial"/>
        <w:bCs/>
        <w:color w:val="77328A"/>
      </w:rPr>
      <w:fldChar w:fldCharType="begin"/>
    </w:r>
    <w:r w:rsidRPr="00ED6C60">
      <w:rPr>
        <w:rStyle w:val="PageNumber"/>
        <w:rFonts w:cs="Arial"/>
        <w:bCs/>
        <w:color w:val="77328A"/>
      </w:rPr>
      <w:instrText xml:space="preserve"> PAGE </w:instrText>
    </w:r>
    <w:r w:rsidRPr="00ED6C60">
      <w:rPr>
        <w:rStyle w:val="PageNumber"/>
        <w:rFonts w:cs="Arial"/>
        <w:bCs/>
        <w:color w:val="77328A"/>
      </w:rPr>
      <w:fldChar w:fldCharType="separate"/>
    </w:r>
    <w:r w:rsidR="00801600" w:rsidRPr="00ED6C60">
      <w:rPr>
        <w:rStyle w:val="PageNumber"/>
        <w:rFonts w:cs="Arial"/>
        <w:bCs/>
        <w:noProof/>
        <w:color w:val="77328A"/>
      </w:rPr>
      <w:t>2</w:t>
    </w:r>
    <w:r w:rsidRPr="00ED6C60">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A86CB" w14:textId="77777777" w:rsidR="00D2770F" w:rsidRDefault="00D2770F" w:rsidP="00046705">
    <w:pPr>
      <w:pStyle w:val="Footer"/>
      <w:jc w:val="right"/>
      <w:rPr>
        <w:rStyle w:val="PageNumber"/>
        <w:rFonts w:ascii="Arial" w:hAnsi="Arial" w:cs="Arial"/>
        <w:b/>
        <w:sz w:val="16"/>
        <w:szCs w:val="16"/>
      </w:rPr>
    </w:pPr>
  </w:p>
  <w:p w14:paraId="29E1E1C1"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AA425" w14:textId="77777777" w:rsidR="008A7097" w:rsidRDefault="008A7097" w:rsidP="00B96D34">
      <w:r>
        <w:continuationSeparator/>
      </w:r>
    </w:p>
    <w:p w14:paraId="14E7E700" w14:textId="77777777" w:rsidR="008A7097" w:rsidRPr="00B96D34" w:rsidRDefault="008A7097" w:rsidP="00B96D34">
      <w:pPr>
        <w:pStyle w:val="Footer"/>
      </w:pPr>
    </w:p>
  </w:footnote>
  <w:footnote w:type="continuationSeparator" w:id="0">
    <w:p w14:paraId="4C9C8115" w14:textId="77777777" w:rsidR="008A7097" w:rsidRDefault="008A7097" w:rsidP="00962B2B">
      <w:r>
        <w:continuationSeparator/>
      </w:r>
    </w:p>
  </w:footnote>
  <w:footnote w:type="continuationNotice" w:id="1">
    <w:p w14:paraId="42B58472" w14:textId="77777777" w:rsidR="008A7097" w:rsidRDefault="008A7097"/>
  </w:footnote>
  <w:footnote w:id="2">
    <w:p w14:paraId="43A76CFF" w14:textId="5384BDDB" w:rsidR="005C30ED" w:rsidRPr="00180820" w:rsidRDefault="005C30ED" w:rsidP="00180820">
      <w:pPr>
        <w:pStyle w:val="NIHRCFootnotes"/>
        <w:spacing w:line="240" w:lineRule="auto"/>
      </w:pPr>
      <w:r w:rsidRPr="00180820">
        <w:rPr>
          <w:rStyle w:val="FootnoteReference"/>
        </w:rPr>
        <w:footnoteRef/>
      </w:r>
      <w:r w:rsidRPr="00180820">
        <w:t xml:space="preserve"> The Windsor Framework was formerly known as the Protocol on Ireland/Northern Ireland to the UK-EU Withdrawal Agreement and all references to the Protocol in this document have been updated to reflect this change. </w:t>
      </w:r>
      <w:r w:rsidR="00513FA0" w:rsidRPr="00180820">
        <w:rPr>
          <w:i/>
          <w:iCs/>
        </w:rPr>
        <w:t xml:space="preserve">See </w:t>
      </w:r>
      <w:r w:rsidRPr="00180820">
        <w:t>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5E105A73" w14:textId="61A352CD" w:rsidR="009D1921" w:rsidRPr="00180820" w:rsidRDefault="009D1921" w:rsidP="00180820">
      <w:pPr>
        <w:pStyle w:val="NIHRCFootnotes"/>
        <w:spacing w:line="240" w:lineRule="auto"/>
      </w:pPr>
      <w:r w:rsidRPr="00180820">
        <w:rPr>
          <w:rStyle w:val="FootnoteReference"/>
        </w:rPr>
        <w:footnoteRef/>
      </w:r>
      <w:r w:rsidRPr="00180820">
        <w:t xml:space="preserve"> </w:t>
      </w:r>
      <w:r w:rsidR="0079001F" w:rsidRPr="00180820">
        <w:t>Ratified by the UK 1951.</w:t>
      </w:r>
    </w:p>
  </w:footnote>
  <w:footnote w:id="4">
    <w:p w14:paraId="33789745" w14:textId="77777777" w:rsidR="001E4A4A" w:rsidRPr="00180820" w:rsidRDefault="001E4A4A" w:rsidP="00180820">
      <w:pPr>
        <w:pStyle w:val="NIHRCFootnotes"/>
        <w:spacing w:line="240" w:lineRule="auto"/>
      </w:pPr>
      <w:r w:rsidRPr="00180820">
        <w:rPr>
          <w:rStyle w:val="FootnoteReference"/>
        </w:rPr>
        <w:footnoteRef/>
      </w:r>
      <w:r w:rsidRPr="00180820">
        <w:t xml:space="preserve"> Ratified by the UK 1969.</w:t>
      </w:r>
    </w:p>
  </w:footnote>
  <w:footnote w:id="5">
    <w:p w14:paraId="10648D1D" w14:textId="77777777" w:rsidR="001E4A4A" w:rsidRPr="00180820" w:rsidRDefault="001E4A4A" w:rsidP="00180820">
      <w:pPr>
        <w:pStyle w:val="NIHRCFootnotes"/>
        <w:spacing w:line="240" w:lineRule="auto"/>
      </w:pPr>
      <w:r w:rsidRPr="00180820">
        <w:rPr>
          <w:rStyle w:val="FootnoteReference"/>
        </w:rPr>
        <w:footnoteRef/>
      </w:r>
      <w:r w:rsidRPr="00180820">
        <w:t xml:space="preserve"> Ratified by the UK 1976.</w:t>
      </w:r>
    </w:p>
  </w:footnote>
  <w:footnote w:id="6">
    <w:p w14:paraId="6E74D5D9" w14:textId="77777777" w:rsidR="001D31D8" w:rsidRPr="00180820" w:rsidRDefault="001D31D8" w:rsidP="00180820">
      <w:pPr>
        <w:pStyle w:val="NIHRCFootnotes"/>
        <w:spacing w:line="240" w:lineRule="auto"/>
      </w:pPr>
      <w:r w:rsidRPr="00180820">
        <w:rPr>
          <w:rStyle w:val="FootnoteReference"/>
        </w:rPr>
        <w:footnoteRef/>
      </w:r>
      <w:r w:rsidRPr="00180820">
        <w:t xml:space="preserve"> Ratified by the UK 1986.</w:t>
      </w:r>
    </w:p>
  </w:footnote>
  <w:footnote w:id="7">
    <w:p w14:paraId="200D1324" w14:textId="77777777" w:rsidR="001D31D8" w:rsidRPr="00180820" w:rsidRDefault="001D31D8" w:rsidP="00180820">
      <w:pPr>
        <w:pStyle w:val="NIHRCFootnotes"/>
        <w:spacing w:line="240" w:lineRule="auto"/>
      </w:pPr>
      <w:r w:rsidRPr="00180820">
        <w:rPr>
          <w:rStyle w:val="FootnoteReference"/>
        </w:rPr>
        <w:footnoteRef/>
      </w:r>
      <w:r w:rsidRPr="00180820">
        <w:t xml:space="preserve"> Ratified by the UK 1989.</w:t>
      </w:r>
    </w:p>
  </w:footnote>
  <w:footnote w:id="8">
    <w:p w14:paraId="73673272" w14:textId="77777777" w:rsidR="0038387A" w:rsidRPr="00180820" w:rsidRDefault="0038387A" w:rsidP="00180820">
      <w:pPr>
        <w:pStyle w:val="NIHRCFootnotes"/>
        <w:spacing w:line="240" w:lineRule="auto"/>
      </w:pPr>
      <w:r w:rsidRPr="00180820">
        <w:rPr>
          <w:rStyle w:val="FootnoteReference"/>
        </w:rPr>
        <w:footnoteRef/>
      </w:r>
      <w:r w:rsidRPr="00180820">
        <w:t xml:space="preserve"> Ratified by the UK 2009.</w:t>
      </w:r>
    </w:p>
  </w:footnote>
  <w:footnote w:id="9">
    <w:p w14:paraId="0902EEA2" w14:textId="5F050BFC" w:rsidR="2D61A484" w:rsidRPr="00180820" w:rsidRDefault="2D61A484" w:rsidP="00180820">
      <w:pPr>
        <w:spacing w:line="240" w:lineRule="auto"/>
        <w:rPr>
          <w:color w:val="77328A"/>
          <w:sz w:val="16"/>
          <w:szCs w:val="16"/>
        </w:rPr>
      </w:pPr>
      <w:r w:rsidRPr="00180820">
        <w:rPr>
          <w:color w:val="77328A"/>
          <w:sz w:val="16"/>
          <w:szCs w:val="16"/>
          <w:vertAlign w:val="superscript"/>
        </w:rPr>
        <w:footnoteRef/>
      </w:r>
      <w:r w:rsidRPr="00180820">
        <w:rPr>
          <w:color w:val="77328A"/>
          <w:sz w:val="16"/>
          <w:szCs w:val="16"/>
        </w:rPr>
        <w:t xml:space="preserve"> United Nations, ‘Beijing Declaration and Platform of Action, Adopted at the Fourth World Conference on Women’, 27 October 1995</w:t>
      </w:r>
      <w:r w:rsidR="00C337AE" w:rsidRPr="00180820">
        <w:rPr>
          <w:color w:val="77328A"/>
          <w:sz w:val="16"/>
          <w:szCs w:val="16"/>
        </w:rPr>
        <w:t xml:space="preserve">. </w:t>
      </w:r>
    </w:p>
  </w:footnote>
  <w:footnote w:id="10">
    <w:p w14:paraId="3519B80C" w14:textId="1778142C" w:rsidR="2D61A484" w:rsidRPr="00180820" w:rsidRDefault="2D61A484" w:rsidP="00180820">
      <w:pPr>
        <w:spacing w:line="240" w:lineRule="auto"/>
        <w:rPr>
          <w:rFonts w:eastAsia="Verdana" w:cs="Verdana"/>
          <w:color w:val="77328A"/>
          <w:sz w:val="16"/>
          <w:szCs w:val="16"/>
        </w:rPr>
      </w:pPr>
      <w:r w:rsidRPr="00180820">
        <w:rPr>
          <w:color w:val="77328A"/>
          <w:sz w:val="16"/>
          <w:szCs w:val="16"/>
          <w:vertAlign w:val="superscript"/>
        </w:rPr>
        <w:footnoteRef/>
      </w:r>
      <w:r w:rsidRPr="00180820">
        <w:rPr>
          <w:color w:val="77328A"/>
          <w:sz w:val="16"/>
          <w:szCs w:val="16"/>
        </w:rPr>
        <w:t xml:space="preserve"> </w:t>
      </w:r>
      <w:r w:rsidRPr="007C669F">
        <w:rPr>
          <w:rFonts w:eastAsia="Verdana" w:cs="Verdana"/>
          <w:color w:val="77328A"/>
          <w:sz w:val="16"/>
          <w:szCs w:val="16"/>
        </w:rPr>
        <w:t>Report of the World Conference against Racism, Racial Discrimination, Xenophobia and Related Intolerance, A/CONF.189/12. Chapter 1, Programme of Action</w:t>
      </w:r>
      <w:r w:rsidR="007C669F" w:rsidRPr="007C669F">
        <w:rPr>
          <w:rFonts w:eastAsia="Verdana" w:cs="Verdana"/>
          <w:color w:val="77328A"/>
          <w:sz w:val="16"/>
          <w:szCs w:val="16"/>
        </w:rPr>
        <w:t>.</w:t>
      </w:r>
      <w:r w:rsidR="007C669F">
        <w:rPr>
          <w:rFonts w:eastAsia="Verdana" w:cs="Verdana"/>
          <w:color w:val="77328A"/>
          <w:sz w:val="16"/>
          <w:szCs w:val="16"/>
          <w:u w:val="single"/>
        </w:rPr>
        <w:t xml:space="preserve"> </w:t>
      </w:r>
    </w:p>
  </w:footnote>
  <w:footnote w:id="11">
    <w:p w14:paraId="0E88E781" w14:textId="77777777" w:rsidR="00550E59" w:rsidRPr="00180820" w:rsidRDefault="00550E5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Directive 2000/43/EC, ‘Council Directive on Implementing the Principle of Equal Treatment between Persons Irrespective of Racial or Ethnic Origin’, 29 June 2000.</w:t>
      </w:r>
    </w:p>
  </w:footnote>
  <w:footnote w:id="12">
    <w:p w14:paraId="35260027" w14:textId="77777777" w:rsidR="00550E59" w:rsidRPr="00180820" w:rsidRDefault="00550E5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Directive 2000/78/EC, ‘Council Directive on Establishing a General Framework for Equal Treatment in Employment and Occupation’, 27 November 2000.</w:t>
      </w:r>
    </w:p>
  </w:footnote>
  <w:footnote w:id="13">
    <w:p w14:paraId="0DE0AC2A" w14:textId="77777777" w:rsidR="00550E59" w:rsidRPr="00180820" w:rsidRDefault="00550E5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Directive 2004/113/EC, ‘Council Directive on Implementing the Principle of Equal Treatment between Men and Women in the access to and supply of goods and services’, 13 December 2004.</w:t>
      </w:r>
    </w:p>
  </w:footnote>
  <w:footnote w:id="14">
    <w:p w14:paraId="7F39927B" w14:textId="77777777" w:rsidR="00550E59" w:rsidRPr="00180820" w:rsidRDefault="00550E5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15">
    <w:p w14:paraId="5EB586F9" w14:textId="77777777" w:rsidR="00550E59" w:rsidRPr="00180820" w:rsidRDefault="00550E5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 xml:space="preserve">Directive 2010/41/EU, ‘EU Parliament and Council Directive on the Application of the Principle of Equal Treatment between Men and Women Engaged in an Activity in a Self-employed Capacity’, 7 July 2010. </w:t>
      </w:r>
    </w:p>
  </w:footnote>
  <w:footnote w:id="16">
    <w:p w14:paraId="7507D5E5" w14:textId="77777777" w:rsidR="00550E59" w:rsidRPr="00180820" w:rsidRDefault="00550E5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 xml:space="preserve">Directive 79/7/EEC, ‘Council Directive on the Progressive Implementation of the Principle of Equal Treatment for Men and Women in Matters of Social Security’, 19 December 1978. </w:t>
      </w:r>
    </w:p>
  </w:footnote>
  <w:footnote w:id="17">
    <w:p w14:paraId="3BD4F826" w14:textId="3A4EA73C" w:rsidR="004C279B" w:rsidRPr="00180820" w:rsidRDefault="004C279B"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986FB2" w:rsidRPr="00180820">
        <w:rPr>
          <w:color w:val="77328A"/>
          <w:sz w:val="16"/>
          <w:szCs w:val="16"/>
        </w:rPr>
        <w:t>Directive 2024/1385/EU, ‘EU Parliament and Council Directive on combating violence against women and domestic violence’, 14 May 2024.</w:t>
      </w:r>
    </w:p>
  </w:footnote>
  <w:footnote w:id="18">
    <w:p w14:paraId="585D2130" w14:textId="117A2446" w:rsidR="00AD0B19" w:rsidRPr="00180820" w:rsidRDefault="00AD0B1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w:t>
      </w:r>
      <w:r w:rsidR="004A6047" w:rsidRPr="000A0B3F">
        <w:rPr>
          <w:rFonts w:cs="Aptos"/>
          <w:color w:val="77328A"/>
          <w:sz w:val="16"/>
          <w:szCs w:val="16"/>
        </w:rPr>
        <w:t>Directive 2023/970/EU, ‘EU Parliament and Council Directive to strengthen the application of the principle of equal pay for equal work or work of equal value, between men and women through pay transparency and enforcement mechanisms’, 10 May 2023.</w:t>
      </w:r>
    </w:p>
  </w:footnote>
  <w:footnote w:id="19">
    <w:p w14:paraId="101CBE4B" w14:textId="77777777" w:rsidR="00D470A7" w:rsidRPr="00180820" w:rsidRDefault="00D470A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2010/18/EU, ‘Council Directive implementing the revised Framework Agreement on parental leave’, 8 March 2010.</w:t>
      </w:r>
    </w:p>
  </w:footnote>
  <w:footnote w:id="20">
    <w:p w14:paraId="39BCFE84" w14:textId="77777777" w:rsidR="00D470A7" w:rsidRPr="00180820" w:rsidRDefault="00D470A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92/85/EEC, ‘Council Directive on the Introduction of Measures to Encourage Improvements in the Safety and Health at Work of Pregnant Workers and Workers who have Recently Given Birth or are Breastfeeding’, 19 October 1992.</w:t>
      </w:r>
    </w:p>
  </w:footnote>
  <w:footnote w:id="21">
    <w:p w14:paraId="03E0FA53" w14:textId="6F83A7E4" w:rsidR="00C321B5" w:rsidRPr="00180820" w:rsidRDefault="00C321B5"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Aptos"/>
          <w:color w:val="77328A"/>
          <w:sz w:val="16"/>
          <w:szCs w:val="16"/>
        </w:rPr>
        <w:t>Directive 2024/1499/EU,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‘European Parliament and of the Council of on standards for equality bodies in the field of equal treatment and equal opportunities between women and men in matters of employment and occupation, and amending Directives 2006/54/EC and 2010/41/EU’, 14 May 2024.</w:t>
      </w:r>
      <w:r w:rsidRPr="00180820">
        <w:rPr>
          <w:rFonts w:cs="Aptos"/>
          <w:b/>
          <w:bCs/>
          <w:color w:val="77328A"/>
          <w:sz w:val="16"/>
          <w:szCs w:val="16"/>
        </w:rPr>
        <w:t xml:space="preserve"> </w:t>
      </w:r>
    </w:p>
  </w:footnote>
  <w:footnote w:id="22">
    <w:p w14:paraId="4585545C" w14:textId="77777777" w:rsidR="00FA77D4" w:rsidRPr="00180820" w:rsidRDefault="00FA77D4" w:rsidP="00180820">
      <w:pPr>
        <w:pStyle w:val="NIHRCFootnotes"/>
        <w:spacing w:line="240" w:lineRule="auto"/>
      </w:pPr>
      <w:r w:rsidRPr="00180820">
        <w:rPr>
          <w:rStyle w:val="FootnoteReference"/>
          <w:rFonts w:eastAsiaTheme="majorEastAsia"/>
        </w:rPr>
        <w:footnoteRef/>
      </w:r>
      <w:r w:rsidRPr="00180820">
        <w:t xml:space="preserve"> E/C.12/GBR/CO/6, 'UN ICESCR Committee Concluding Observations on the Sixth Periodic Report of the UK of Great Britain and NI', 14 July 2016, at para 22.</w:t>
      </w:r>
    </w:p>
  </w:footnote>
  <w:footnote w:id="23">
    <w:p w14:paraId="2702392C" w14:textId="77777777" w:rsidR="00FA77D4" w:rsidRPr="00180820" w:rsidRDefault="00FA77D4" w:rsidP="00180820">
      <w:pPr>
        <w:pStyle w:val="Footnote"/>
      </w:pPr>
      <w:r w:rsidRPr="00180820">
        <w:rPr>
          <w:rStyle w:val="FootnoteReference"/>
        </w:rPr>
        <w:footnoteRef/>
      </w:r>
      <w:r w:rsidRPr="00180820">
        <w:t xml:space="preserve"> ACFC/OP/V(2022)003, ‘</w:t>
      </w:r>
      <w:r w:rsidRPr="00180820">
        <w:t>CoE Advisory Committee on the Framework Convention for the Protection of National Minorities Fifth Opinion on the UK’, 8 December 2022, at para 65.</w:t>
      </w:r>
    </w:p>
  </w:footnote>
  <w:footnote w:id="24">
    <w:p w14:paraId="1B58081B" w14:textId="77777777" w:rsidR="00FA77D4" w:rsidRPr="00180820" w:rsidRDefault="00FA77D4" w:rsidP="00180820">
      <w:pPr>
        <w:pStyle w:val="NIHRCFootnotes"/>
        <w:spacing w:line="240" w:lineRule="auto"/>
      </w:pPr>
      <w:r w:rsidRPr="00180820">
        <w:rPr>
          <w:rStyle w:val="FootnoteReference"/>
          <w:rFonts w:eastAsiaTheme="majorEastAsia"/>
        </w:rPr>
        <w:footnoteRef/>
      </w:r>
      <w:r w:rsidRPr="00180820">
        <w:t xml:space="preserve"> E/C.12/GBR/CO/6, 'UN ICESCR Committee Concluding Observations on the Sixth Periodic Report of the UK of Great Britain and NI', 14 July 2016, at para 23.</w:t>
      </w:r>
    </w:p>
  </w:footnote>
  <w:footnote w:id="25">
    <w:p w14:paraId="1B3BB35A" w14:textId="77777777" w:rsidR="00FA77D4" w:rsidRPr="00180820" w:rsidRDefault="00FA77D4" w:rsidP="00180820">
      <w:pPr>
        <w:pStyle w:val="NIHRCFootnotes"/>
        <w:spacing w:line="240" w:lineRule="auto"/>
      </w:pPr>
      <w:r w:rsidRPr="00180820">
        <w:rPr>
          <w:rStyle w:val="FootnoteReference"/>
          <w:rFonts w:eastAsiaTheme="majorEastAsia"/>
        </w:rPr>
        <w:footnoteRef/>
      </w:r>
      <w:r w:rsidRPr="00180820">
        <w:t xml:space="preserve"> CRI(2016)38, ‘European Commission on Racial Intolerance Report on the UK (Fifth Monitoring Cycle)’ (ECRI, 2016), at para 22.</w:t>
      </w:r>
    </w:p>
  </w:footnote>
  <w:footnote w:id="26">
    <w:p w14:paraId="5957357D" w14:textId="2BDE2C9D" w:rsidR="00C53CC4" w:rsidRPr="00180820" w:rsidRDefault="00C53CC4" w:rsidP="00180820">
      <w:pPr>
        <w:pStyle w:val="Footnote"/>
      </w:pPr>
      <w:r w:rsidRPr="00180820">
        <w:rPr>
          <w:rStyle w:val="FootnoteReference"/>
        </w:rPr>
        <w:footnoteRef/>
      </w:r>
      <w:r w:rsidRPr="00180820">
        <w:t xml:space="preserve"> </w:t>
      </w:r>
      <w:r w:rsidR="00D97429" w:rsidRPr="00180820">
        <w:t xml:space="preserve">See </w:t>
      </w:r>
      <w:r w:rsidR="00EC7430" w:rsidRPr="00180820">
        <w:t>obligations</w:t>
      </w:r>
      <w:r w:rsidR="00951709" w:rsidRPr="00180820">
        <w:t xml:space="preserve"> on intersectionality</w:t>
      </w:r>
      <w:r w:rsidR="00587A46" w:rsidRPr="00180820">
        <w:t xml:space="preserve"> arising</w:t>
      </w:r>
      <w:r w:rsidR="00EC7430" w:rsidRPr="00180820">
        <w:t xml:space="preserve"> under Windsor Framework Article 2</w:t>
      </w:r>
      <w:r w:rsidR="00587A46" w:rsidRPr="00180820">
        <w:t>,</w:t>
      </w:r>
      <w:r w:rsidR="00EC7430" w:rsidRPr="00180820">
        <w:t xml:space="preserve"> </w:t>
      </w:r>
      <w:r w:rsidR="00587A46" w:rsidRPr="00180820">
        <w:t>at paragraphs 3.23-3.26 below.</w:t>
      </w:r>
    </w:p>
  </w:footnote>
  <w:footnote w:id="27">
    <w:p w14:paraId="32E12096" w14:textId="77777777" w:rsidR="00D61ACF" w:rsidRPr="00180820" w:rsidRDefault="00D61ACF" w:rsidP="00180820">
      <w:pPr>
        <w:pStyle w:val="FootnoteText"/>
        <w:spacing w:line="240" w:lineRule="auto"/>
        <w:rPr>
          <w:color w:val="77328A"/>
          <w:sz w:val="16"/>
          <w:szCs w:val="16"/>
        </w:rPr>
      </w:pPr>
      <w:r w:rsidRPr="00180820">
        <w:rPr>
          <w:rStyle w:val="FootnoteReference"/>
          <w:rFonts w:eastAsiaTheme="majorEastAsia"/>
          <w:color w:val="77328A"/>
          <w:sz w:val="16"/>
          <w:szCs w:val="16"/>
        </w:rPr>
        <w:footnoteRef/>
      </w:r>
      <w:r w:rsidRPr="00180820">
        <w:rPr>
          <w:rFonts w:eastAsia="Verdana" w:cs="Verdana"/>
          <w:color w:val="77328A"/>
          <w:sz w:val="16"/>
          <w:szCs w:val="16"/>
        </w:rPr>
        <w:t xml:space="preserve"> CRPD/C/GBR/CO/1, 'UN CRPD Committee Concluding Observations on the Initial Report of the United Kingdom of Great Britain and NI', 3 October 2017, at para 19.</w:t>
      </w:r>
    </w:p>
  </w:footnote>
  <w:footnote w:id="28">
    <w:p w14:paraId="58EB6296" w14:textId="77777777" w:rsidR="00FA77D4" w:rsidRPr="00180820" w:rsidRDefault="00FA77D4" w:rsidP="00180820">
      <w:pPr>
        <w:pStyle w:val="Footnote"/>
      </w:pPr>
      <w:r w:rsidRPr="00180820">
        <w:rPr>
          <w:rStyle w:val="FootnoteReference"/>
          <w:rFonts w:eastAsiaTheme="majorEastAsia"/>
        </w:rPr>
        <w:footnoteRef/>
      </w:r>
      <w:r w:rsidRPr="00180820">
        <w:t xml:space="preserve"> Office of the First Minister and Deputy First Minster, 'Proposals to Extend Age Discrimination Legislation (Age Goods, Facilities and Services) Consultation Document' (OFMDFM, 2015).</w:t>
      </w:r>
    </w:p>
  </w:footnote>
  <w:footnote w:id="29">
    <w:p w14:paraId="5931F8AC" w14:textId="77777777" w:rsidR="00FA77D4" w:rsidRPr="00180820" w:rsidRDefault="00FA77D4" w:rsidP="00180820">
      <w:pPr>
        <w:pStyle w:val="Footnote"/>
      </w:pPr>
      <w:r w:rsidRPr="00180820">
        <w:rPr>
          <w:rStyle w:val="FootnoteReference"/>
          <w:rFonts w:eastAsiaTheme="majorEastAsia"/>
        </w:rPr>
        <w:footnoteRef/>
      </w:r>
      <w:r w:rsidRPr="00180820">
        <w:t xml:space="preserve"> NI Commissioner for Children and Young People, ‘Don’t Exclude Us! Strengthening Protection for Children and Young people when Accessing Goods, Facilities and Services’ (NICCY, 2013); Children’s Law Centre and Save the Children NI, ‘NI NGO Alternative Report Submission to the UN CRC Committee for Consideration During the Committee’s Examination of the UK of Great Britain and NI Government Report’ (CLC and </w:t>
      </w:r>
      <w:r w:rsidRPr="00180820">
        <w:t>StC NI, 2015), at 14; NI Human Rights Commission, ‘Response to Consultation on Proposals to Extend Age Discrimination Legislation (Age, Goods, Facilities and Services)’ (NIHRC, 2015).</w:t>
      </w:r>
    </w:p>
  </w:footnote>
  <w:footnote w:id="30">
    <w:p w14:paraId="6D1DB2B4" w14:textId="77777777" w:rsidR="00FA77D4" w:rsidRPr="00180820" w:rsidRDefault="00FA77D4" w:rsidP="00180820">
      <w:pPr>
        <w:pStyle w:val="Footnote"/>
      </w:pPr>
      <w:r w:rsidRPr="00180820">
        <w:rPr>
          <w:rStyle w:val="FootnoteReference"/>
          <w:rFonts w:eastAsiaTheme="majorEastAsia"/>
        </w:rPr>
        <w:footnoteRef/>
      </w:r>
      <w:r w:rsidRPr="00180820">
        <w:t xml:space="preserve"> CRC/C/GBR/CO/6-7, ‘UN CRC Committee Concluding Observations on the Combined Sixth and Seventh Reports of the UK of Great Britain and NI’, 2 June 2023, at para 19.</w:t>
      </w:r>
    </w:p>
  </w:footnote>
  <w:footnote w:id="31">
    <w:p w14:paraId="275D8387" w14:textId="77777777" w:rsidR="00FA77D4" w:rsidRPr="00180820" w:rsidRDefault="00FA77D4" w:rsidP="00180820">
      <w:pPr>
        <w:pStyle w:val="Footnote"/>
      </w:pPr>
      <w:r w:rsidRPr="00180820">
        <w:rPr>
          <w:rStyle w:val="FootnoteReference"/>
          <w:rFonts w:eastAsiaTheme="majorEastAsia"/>
        </w:rPr>
        <w:footnoteRef/>
      </w:r>
      <w:r w:rsidRPr="00180820">
        <w:t xml:space="preserve"> CRC/C/GBR/CO/6-7, ‘UN CRC Committee Concluding Observations on the Combined Sixth and Seventh Reports of the UK of Great Britain and NI’, 2 June 2023, at para 20(e).</w:t>
      </w:r>
    </w:p>
  </w:footnote>
  <w:footnote w:id="32">
    <w:p w14:paraId="498B8751" w14:textId="77777777" w:rsidR="00FA77D4" w:rsidRPr="00180820" w:rsidRDefault="00FA77D4" w:rsidP="00180820">
      <w:pPr>
        <w:pStyle w:val="FootnoteText"/>
        <w:spacing w:line="240" w:lineRule="auto"/>
        <w:rPr>
          <w:color w:val="77328A"/>
          <w:sz w:val="16"/>
          <w:szCs w:val="16"/>
        </w:rPr>
      </w:pPr>
      <w:r w:rsidRPr="00180820">
        <w:rPr>
          <w:rStyle w:val="FootnoteReference"/>
          <w:rFonts w:eastAsiaTheme="majorEastAsia"/>
          <w:color w:val="77328A"/>
          <w:sz w:val="16"/>
          <w:szCs w:val="16"/>
        </w:rPr>
        <w:footnoteRef/>
      </w:r>
      <w:r w:rsidRPr="00180820">
        <w:rPr>
          <w:rFonts w:eastAsia="Verdana" w:cs="Verdana"/>
          <w:color w:val="77328A"/>
          <w:sz w:val="16"/>
          <w:szCs w:val="16"/>
        </w:rPr>
        <w:t xml:space="preserve"> CEDAW/C/GBR/CO/8, 'UN CEDAW Committee Concluding Observations on the Eighth Periodic Report of the United Kingdom of Great Britain and Northern Ireland', 14 March 2019, at para 15(a) and (c).</w:t>
      </w:r>
    </w:p>
  </w:footnote>
  <w:footnote w:id="33">
    <w:p w14:paraId="1FF301CC" w14:textId="77777777" w:rsidR="00C16BFE" w:rsidRPr="00180820" w:rsidRDefault="00C16BFE" w:rsidP="00180820">
      <w:pPr>
        <w:pStyle w:val="Footnote"/>
      </w:pPr>
      <w:r w:rsidRPr="00180820">
        <w:rPr>
          <w:vertAlign w:val="superscript"/>
        </w:rPr>
        <w:footnoteRef/>
      </w:r>
      <w:r w:rsidRPr="00180820">
        <w:t xml:space="preserve"> United Nations, ‘Beijing Declaration and Platform of Action, Adopted at the Fourth World Conference on Women’, 27 October 1995</w:t>
      </w:r>
    </w:p>
  </w:footnote>
  <w:footnote w:id="34">
    <w:p w14:paraId="575BA8E4" w14:textId="484EFFA6" w:rsidR="00D400D7" w:rsidRPr="00180820" w:rsidRDefault="00D400D7" w:rsidP="00180820">
      <w:pPr>
        <w:pStyle w:val="Footnote"/>
      </w:pPr>
      <w:r w:rsidRPr="00180820">
        <w:rPr>
          <w:rStyle w:val="FootnoteReference"/>
        </w:rPr>
        <w:footnoteRef/>
      </w:r>
      <w:r w:rsidRPr="00180820">
        <w:t xml:space="preserve"> See </w:t>
      </w:r>
      <w:r w:rsidR="00F5617E" w:rsidRPr="00180820">
        <w:t xml:space="preserve">also </w:t>
      </w:r>
      <w:r w:rsidRPr="00180820">
        <w:t>obligations arising</w:t>
      </w:r>
      <w:r w:rsidR="00F5617E" w:rsidRPr="00180820">
        <w:t xml:space="preserve"> in relation to gender equality</w:t>
      </w:r>
      <w:r w:rsidRPr="00180820">
        <w:t xml:space="preserve"> under Windsor Framework Article 2, at paragraphs </w:t>
      </w:r>
      <w:r w:rsidR="00341328" w:rsidRPr="00180820">
        <w:t xml:space="preserve">3.27-3.32 </w:t>
      </w:r>
      <w:r w:rsidRPr="00180820">
        <w:t>below.</w:t>
      </w:r>
    </w:p>
  </w:footnote>
  <w:footnote w:id="35">
    <w:p w14:paraId="08D30DE3" w14:textId="77777777" w:rsidR="00FA77D4" w:rsidRPr="00180820" w:rsidRDefault="00FA77D4" w:rsidP="00180820">
      <w:pPr>
        <w:pStyle w:val="Footnote"/>
      </w:pPr>
      <w:r w:rsidRPr="00180820">
        <w:rPr>
          <w:rStyle w:val="FootnoteReference"/>
          <w:rFonts w:eastAsiaTheme="majorEastAsia"/>
        </w:rPr>
        <w:footnoteRef/>
      </w:r>
      <w:r w:rsidRPr="00180820">
        <w:t xml:space="preserve"> CRPD/C/GBR/CO/1, ‘UN CRPD Committee Concluding Observations on the Initial Report of the UK of Great Britain and NI’, 3 October 2017, para 17(b)</w:t>
      </w:r>
    </w:p>
  </w:footnote>
  <w:footnote w:id="36">
    <w:p w14:paraId="23C880AD" w14:textId="77777777" w:rsidR="00FA77D4" w:rsidRPr="00180820" w:rsidRDefault="00FA77D4" w:rsidP="00180820">
      <w:pPr>
        <w:pStyle w:val="Footnote"/>
      </w:pPr>
      <w:r w:rsidRPr="00180820">
        <w:rPr>
          <w:rStyle w:val="FootnoteReference"/>
          <w:rFonts w:eastAsiaTheme="majorEastAsia"/>
        </w:rPr>
        <w:footnoteRef/>
      </w:r>
      <w:r w:rsidRPr="00180820">
        <w:t xml:space="preserve"> CRPD/C/GBR/CO/1, ‘UN CRPD Committee Concluding Observations on the Initial Report of the UK of Great Britain and NI’, 3 October 2017.</w:t>
      </w:r>
    </w:p>
  </w:footnote>
  <w:footnote w:id="37">
    <w:p w14:paraId="3A0D1CE5" w14:textId="77777777" w:rsidR="009A7EF7" w:rsidRPr="00180820" w:rsidRDefault="009A7EF7" w:rsidP="00180820">
      <w:pPr>
        <w:pStyle w:val="Footnote"/>
      </w:pPr>
      <w:r w:rsidRPr="00180820">
        <w:rPr>
          <w:rStyle w:val="FootnoteReference"/>
        </w:rPr>
        <w:footnoteRef/>
      </w:r>
      <w:r w:rsidRPr="00180820">
        <w:t xml:space="preserve"> CRPD/C/15/4, ‘UN CRPD Committee Inquiry Concerning the UK of Great Britain and NI Carried Out By the UN CRPD Committee Under Article 6 of the Optional Protocol to the UN CRPD: Report of the UN CRPD Committee’, 24 October 2017.</w:t>
      </w:r>
    </w:p>
  </w:footnote>
  <w:footnote w:id="38">
    <w:p w14:paraId="2F1D703A" w14:textId="526AD97C" w:rsidR="008A6FD3" w:rsidRPr="006910C9" w:rsidRDefault="008A6FD3" w:rsidP="006910C9">
      <w:pPr>
        <w:pStyle w:val="FootnoteText"/>
        <w:spacing w:line="240" w:lineRule="auto"/>
        <w:rPr>
          <w:color w:val="77328A"/>
          <w:sz w:val="16"/>
          <w:szCs w:val="16"/>
        </w:rPr>
      </w:pPr>
      <w:r w:rsidRPr="006910C9">
        <w:rPr>
          <w:rStyle w:val="FootnoteReference"/>
          <w:color w:val="77328A"/>
          <w:sz w:val="16"/>
          <w:szCs w:val="16"/>
        </w:rPr>
        <w:footnoteRef/>
      </w:r>
      <w:r w:rsidRPr="006910C9">
        <w:rPr>
          <w:color w:val="77328A"/>
          <w:sz w:val="16"/>
          <w:szCs w:val="16"/>
        </w:rPr>
        <w:t xml:space="preserve"> </w:t>
      </w:r>
      <w:r w:rsidR="006910C9" w:rsidRPr="006910C9">
        <w:rPr>
          <w:color w:val="77328A"/>
          <w:sz w:val="16"/>
          <w:szCs w:val="16"/>
        </w:rPr>
        <w:t>CRPD/C/15/4, ‘UN CRPD Committee Inquiry Concerning the UK of Great Britain and NI Carried Out By the UN CRPD Committee Under Article 6 of the Optional Protocol to the UN CRPD: Report of the UN CRPD Committee’, 24 October 2017, at p</w:t>
      </w:r>
      <w:r w:rsidRPr="006910C9">
        <w:rPr>
          <w:color w:val="77328A"/>
          <w:sz w:val="16"/>
          <w:szCs w:val="16"/>
        </w:rPr>
        <w:t>ara 89</w:t>
      </w:r>
      <w:r w:rsidR="006A44CF" w:rsidRPr="006910C9">
        <w:rPr>
          <w:color w:val="77328A"/>
          <w:sz w:val="16"/>
          <w:szCs w:val="16"/>
        </w:rPr>
        <w:t xml:space="preserve">. </w:t>
      </w:r>
    </w:p>
  </w:footnote>
  <w:footnote w:id="39">
    <w:p w14:paraId="223602AF" w14:textId="77777777" w:rsidR="00BB1C50" w:rsidRPr="00180820" w:rsidRDefault="00BB1C50"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UN Convention on the Elimination of All Forms of Racial Discrimination 1965.</w:t>
      </w:r>
    </w:p>
  </w:footnote>
  <w:footnote w:id="40">
    <w:p w14:paraId="13FE66A2" w14:textId="77777777" w:rsidR="00BB1C50" w:rsidRPr="00180820" w:rsidRDefault="00BB1C50" w:rsidP="00180820">
      <w:pPr>
        <w:pStyle w:val="FootnoteText"/>
        <w:spacing w:line="240" w:lineRule="auto"/>
        <w:rPr>
          <w:color w:val="77328A"/>
          <w:sz w:val="16"/>
          <w:szCs w:val="16"/>
        </w:rPr>
      </w:pPr>
      <w:r w:rsidRPr="00180820">
        <w:rPr>
          <w:rStyle w:val="FootnoteReference"/>
          <w:rFonts w:eastAsiaTheme="majorEastAsia"/>
          <w:color w:val="77328A"/>
          <w:sz w:val="16"/>
          <w:szCs w:val="16"/>
        </w:rPr>
        <w:footnoteRef/>
      </w:r>
      <w:r w:rsidRPr="00180820">
        <w:rPr>
          <w:rFonts w:eastAsia="Verdana" w:cs="Verdana"/>
          <w:color w:val="77328A"/>
          <w:sz w:val="16"/>
          <w:szCs w:val="16"/>
        </w:rPr>
        <w:t xml:space="preserve"> CERD/C/GBR/CO/21-23, ‘UN CERD Committee Concluding Observations on the Combined Twenty-first to Twenty-third Periodic Reports of the UK of Great Britain and NI’, 3 October 2016, at para 8(c).</w:t>
      </w:r>
    </w:p>
  </w:footnote>
  <w:footnote w:id="41">
    <w:p w14:paraId="04AE2EA7" w14:textId="4185D60F" w:rsidR="4150A299" w:rsidRPr="00180820" w:rsidRDefault="4150A299" w:rsidP="00180820">
      <w:pPr>
        <w:spacing w:line="240" w:lineRule="auto"/>
        <w:rPr>
          <w:rFonts w:eastAsia="Verdana" w:cs="Verdana"/>
          <w:color w:val="77328A"/>
          <w:sz w:val="16"/>
          <w:szCs w:val="16"/>
        </w:rPr>
      </w:pPr>
      <w:r w:rsidRPr="00180820">
        <w:rPr>
          <w:color w:val="77328A"/>
          <w:sz w:val="16"/>
          <w:szCs w:val="16"/>
          <w:vertAlign w:val="superscript"/>
        </w:rPr>
        <w:footnoteRef/>
      </w:r>
      <w:r w:rsidR="1C98CA2B" w:rsidRPr="00180820">
        <w:rPr>
          <w:color w:val="77328A"/>
          <w:sz w:val="16"/>
          <w:szCs w:val="16"/>
        </w:rPr>
        <w:t xml:space="preserve"> </w:t>
      </w:r>
      <w:r w:rsidR="1C98CA2B" w:rsidRPr="00180820">
        <w:rPr>
          <w:rFonts w:eastAsia="Verdana" w:cs="Verdana"/>
          <w:color w:val="77328A"/>
          <w:sz w:val="16"/>
          <w:szCs w:val="16"/>
        </w:rPr>
        <w:t>Report of the World Conference against Racism, Racial Discrimination, Xenophobia and Related Intolerance, A/CONF.189/12. Chapter 1, Programme of Action</w:t>
      </w:r>
      <w:r w:rsidR="009B49E9" w:rsidRPr="00180820">
        <w:rPr>
          <w:rFonts w:eastAsia="Verdana" w:cs="Verdana"/>
          <w:color w:val="77328A"/>
          <w:sz w:val="16"/>
          <w:szCs w:val="16"/>
        </w:rPr>
        <w:t xml:space="preserve">. </w:t>
      </w:r>
    </w:p>
  </w:footnote>
  <w:footnote w:id="42">
    <w:p w14:paraId="49D29170" w14:textId="77777777" w:rsidR="00EF1C3A" w:rsidRPr="00180820" w:rsidRDefault="00EF1C3A" w:rsidP="00180820">
      <w:pPr>
        <w:pStyle w:val="NIHRCFootnotes"/>
        <w:spacing w:line="240" w:lineRule="auto"/>
        <w:rPr>
          <w:rFonts w:cstheme="minorHAnsi"/>
        </w:rPr>
      </w:pPr>
      <w:r w:rsidRPr="00180820">
        <w:rPr>
          <w:rStyle w:val="FootnoteReference"/>
          <w:rFonts w:cstheme="minorHAnsi"/>
        </w:rPr>
        <w:footnoteRef/>
      </w:r>
      <w:r w:rsidRPr="00180820">
        <w:rPr>
          <w:rFonts w:cstheme="minorHAnsi"/>
        </w:rPr>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43">
    <w:p w14:paraId="2E224749" w14:textId="77777777" w:rsidR="00EF1C3A" w:rsidRPr="00180820" w:rsidRDefault="00EF1C3A" w:rsidP="00180820">
      <w:pPr>
        <w:pStyle w:val="NIHRCFootnotes"/>
        <w:spacing w:line="240" w:lineRule="auto"/>
        <w:rPr>
          <w:rFonts w:cstheme="minorHAnsi"/>
        </w:rPr>
      </w:pPr>
      <w:r w:rsidRPr="00180820">
        <w:rPr>
          <w:rStyle w:val="FootnoteReference"/>
          <w:rFonts w:cstheme="minorHAnsi"/>
        </w:rPr>
        <w:footnoteRef/>
      </w:r>
      <w:r w:rsidRPr="00180820">
        <w:rPr>
          <w:rFonts w:cstheme="minorHAnsi"/>
        </w:rPr>
        <w:t xml:space="preserve"> Article 13, Windsor Framework to the UK-EU Withdrawal Agreement.</w:t>
      </w:r>
    </w:p>
  </w:footnote>
  <w:footnote w:id="44">
    <w:p w14:paraId="4F206945" w14:textId="77777777" w:rsidR="00EF1C3A" w:rsidRPr="00180820" w:rsidRDefault="00EF1C3A" w:rsidP="00180820">
      <w:pPr>
        <w:pStyle w:val="NIHRCFootnotes"/>
        <w:spacing w:line="240" w:lineRule="auto"/>
        <w:rPr>
          <w:rFonts w:cstheme="minorHAnsi"/>
        </w:rPr>
      </w:pPr>
      <w:r w:rsidRPr="00180820">
        <w:rPr>
          <w:rStyle w:val="FootnoteReference"/>
          <w:rFonts w:cstheme="minorHAnsi"/>
        </w:rPr>
        <w:footnoteRef/>
      </w:r>
      <w:r w:rsidRPr="00180820">
        <w:rPr>
          <w:rFonts w:cstheme="minorHAnsi"/>
        </w:rPr>
        <w:t xml:space="preserve"> UK Government, ‘UK Government Commitment to No-diminution of Rights, Safeguards and Equality of Opportunity in Northern Ireland’ (NIO, 2020), at para 13.</w:t>
      </w:r>
    </w:p>
  </w:footnote>
  <w:footnote w:id="45">
    <w:p w14:paraId="488F427B" w14:textId="71B4B873" w:rsidR="0054459D" w:rsidRPr="00180820" w:rsidRDefault="0054459D" w:rsidP="00180820">
      <w:pPr>
        <w:pStyle w:val="NIHRCFootnotes"/>
        <w:spacing w:line="240" w:lineRule="auto"/>
      </w:pPr>
      <w:r w:rsidRPr="00180820">
        <w:rPr>
          <w:rStyle w:val="FootnoteReference"/>
        </w:rPr>
        <w:footnoteRef/>
      </w:r>
      <w:r w:rsidRPr="00180820">
        <w:t xml:space="preserve"> Belfast (Good Friday) Agreement, 10 April 1998, Part 6 on Rights, Safeguards and Equality of Opportunity. See also UK Government, ‘UK Government commitment to no-diminution of rights, safeguards and equality of opportunity in Northern Ireland’, (NIO, 2020); </w:t>
      </w:r>
      <w:r w:rsidRPr="00180820">
        <w:rPr>
          <w:i/>
          <w:iCs/>
        </w:rPr>
        <w:t>In the matter of an application by Martina Dillon and others for Judicial Review</w:t>
      </w:r>
      <w:r w:rsidRPr="00180820">
        <w:t xml:space="preserve"> [2024] NIKB 11, at para 540</w:t>
      </w:r>
      <w:r w:rsidR="00FF04D7" w:rsidRPr="00180820">
        <w:rPr>
          <w:rStyle w:val="Hyperlink"/>
          <w:color w:val="77328A"/>
          <w:u w:val="none"/>
        </w:rPr>
        <w:t xml:space="preserve">. </w:t>
      </w:r>
    </w:p>
  </w:footnote>
  <w:footnote w:id="46">
    <w:p w14:paraId="17739D0C" w14:textId="77777777" w:rsidR="0054459D" w:rsidRPr="00180820" w:rsidRDefault="0054459D" w:rsidP="00180820">
      <w:pPr>
        <w:pStyle w:val="NIHRCFootnotes"/>
        <w:spacing w:line="240" w:lineRule="auto"/>
      </w:pPr>
      <w:r w:rsidRPr="00180820">
        <w:rPr>
          <w:rStyle w:val="FootnoteReference"/>
        </w:rPr>
        <w:footnoteRef/>
      </w:r>
      <w:r w:rsidRPr="00180820">
        <w:t xml:space="preserve"> </w:t>
      </w:r>
      <w:r w:rsidRPr="006910C9">
        <w:rPr>
          <w:i/>
          <w:iCs/>
        </w:rPr>
        <w:t>In the Matter of an Application by Martina Dillon and Others for Judicial Review</w:t>
      </w:r>
      <w:r w:rsidRPr="00180820">
        <w:t xml:space="preserve"> [2024] NIKB 11, at para 547</w:t>
      </w:r>
      <w:r w:rsidRPr="00180820">
        <w:rPr>
          <w:rStyle w:val="Hyperlink"/>
          <w:color w:val="77328A"/>
          <w:u w:val="none"/>
        </w:rPr>
        <w:t xml:space="preserve">. </w:t>
      </w:r>
    </w:p>
  </w:footnote>
  <w:footnote w:id="47">
    <w:p w14:paraId="2C876627" w14:textId="2B8754FD" w:rsidR="009A66AF" w:rsidRPr="00180820" w:rsidRDefault="009A66AF" w:rsidP="00180820">
      <w:pPr>
        <w:pStyle w:val="FootnoteText"/>
        <w:spacing w:line="240" w:lineRule="auto"/>
        <w:rPr>
          <w:color w:val="77328A"/>
          <w:sz w:val="16"/>
          <w:szCs w:val="16"/>
        </w:rPr>
      </w:pPr>
      <w:r w:rsidRPr="006910C9">
        <w:rPr>
          <w:rStyle w:val="FootnoteReference"/>
          <w:color w:val="77328A"/>
          <w:sz w:val="16"/>
          <w:szCs w:val="16"/>
        </w:rPr>
        <w:footnoteRef/>
      </w:r>
      <w:r w:rsidRPr="006910C9">
        <w:rPr>
          <w:color w:val="77328A"/>
          <w:sz w:val="16"/>
          <w:szCs w:val="16"/>
        </w:rPr>
        <w:t xml:space="preserve"> </w:t>
      </w:r>
      <w:r w:rsidR="006910C9" w:rsidRPr="006910C9">
        <w:rPr>
          <w:i/>
          <w:iCs/>
          <w:color w:val="77328A"/>
          <w:sz w:val="16"/>
          <w:szCs w:val="16"/>
        </w:rPr>
        <w:t xml:space="preserve">In the Matter of an Application by the NI Human </w:t>
      </w:r>
      <w:r w:rsidR="006910C9">
        <w:rPr>
          <w:i/>
          <w:iCs/>
          <w:color w:val="77328A"/>
          <w:sz w:val="16"/>
          <w:szCs w:val="16"/>
        </w:rPr>
        <w:t>Ri</w:t>
      </w:r>
      <w:r w:rsidR="006910C9" w:rsidRPr="006910C9">
        <w:rPr>
          <w:i/>
          <w:iCs/>
          <w:color w:val="77328A"/>
          <w:sz w:val="16"/>
          <w:szCs w:val="16"/>
        </w:rPr>
        <w:t>ghts Commission</w:t>
      </w:r>
      <w:r w:rsidR="006910C9">
        <w:rPr>
          <w:i/>
          <w:iCs/>
          <w:color w:val="77328A"/>
          <w:sz w:val="16"/>
          <w:szCs w:val="16"/>
        </w:rPr>
        <w:t xml:space="preserve"> for Judicial Review</w:t>
      </w:r>
      <w:r w:rsidR="006910C9">
        <w:rPr>
          <w:i/>
          <w:iCs/>
          <w:color w:val="77328A"/>
        </w:rPr>
        <w:t xml:space="preserve"> </w:t>
      </w:r>
      <w:r w:rsidR="00246C0E" w:rsidRPr="00180820">
        <w:rPr>
          <w:rStyle w:val="ui-provider"/>
          <w:color w:val="77328A"/>
          <w:sz w:val="16"/>
          <w:szCs w:val="16"/>
        </w:rPr>
        <w:t>[2024] NIKB 35</w:t>
      </w:r>
      <w:r w:rsidR="00246C0E" w:rsidRPr="00180820">
        <w:rPr>
          <w:color w:val="77328A"/>
          <w:sz w:val="16"/>
          <w:szCs w:val="16"/>
        </w:rPr>
        <w:t xml:space="preserve">, at para </w:t>
      </w:r>
      <w:r w:rsidRPr="00180820">
        <w:rPr>
          <w:color w:val="77328A"/>
          <w:sz w:val="16"/>
          <w:szCs w:val="16"/>
        </w:rPr>
        <w:t xml:space="preserve">70. </w:t>
      </w:r>
    </w:p>
  </w:footnote>
  <w:footnote w:id="48">
    <w:p w14:paraId="495CA23C" w14:textId="1914335E" w:rsidR="0054459D" w:rsidRPr="00180820" w:rsidRDefault="0054459D" w:rsidP="00180820">
      <w:pPr>
        <w:pStyle w:val="NIHRCFootnotes"/>
        <w:spacing w:line="240" w:lineRule="auto"/>
      </w:pPr>
      <w:r w:rsidRPr="00180820">
        <w:rPr>
          <w:rStyle w:val="FootnoteReference"/>
        </w:rPr>
        <w:footnoteRef/>
      </w:r>
      <w:r w:rsidRPr="00180820">
        <w:t xml:space="preserve"> </w:t>
      </w:r>
      <w:r w:rsidR="002E7C6F" w:rsidRPr="006910C9">
        <w:rPr>
          <w:i/>
          <w:iCs/>
        </w:rPr>
        <w:t>In the Matter of an Application by Martina Dillon and Others for Judicial Review</w:t>
      </w:r>
      <w:r w:rsidR="002E7C6F" w:rsidRPr="00180820">
        <w:t xml:space="preserve"> [2024] NIKB 11, </w:t>
      </w:r>
      <w:r w:rsidRPr="00180820">
        <w:t xml:space="preserve">at para 554. </w:t>
      </w:r>
    </w:p>
  </w:footnote>
  <w:footnote w:id="49">
    <w:p w14:paraId="01C8BF94" w14:textId="77777777" w:rsidR="0054459D" w:rsidRPr="00180820" w:rsidRDefault="0054459D" w:rsidP="00180820">
      <w:pPr>
        <w:pStyle w:val="NIHRCFootnotes"/>
        <w:spacing w:line="240" w:lineRule="auto"/>
      </w:pPr>
      <w:r w:rsidRPr="00180820">
        <w:rPr>
          <w:rStyle w:val="FootnoteReference"/>
        </w:rPr>
        <w:footnoteRef/>
      </w:r>
      <w:r w:rsidRPr="00180820">
        <w:t xml:space="preserve"> NI Human Rights Commission and Equality Commission for NI, ‘Working Paper: The Scope of Article 2(1) of the Ireland/ Northern Ireland Protocol’, (NIHRC and ECNI, 2022).</w:t>
      </w:r>
    </w:p>
  </w:footnote>
  <w:footnote w:id="50">
    <w:p w14:paraId="0D6A33D6" w14:textId="1CD01636" w:rsidR="0054459D" w:rsidRPr="00180820" w:rsidRDefault="0054459D" w:rsidP="00180820">
      <w:pPr>
        <w:pStyle w:val="Footnote"/>
        <w:rPr>
          <w:rFonts w:cstheme="minorHAnsi"/>
        </w:rPr>
      </w:pPr>
      <w:r w:rsidRPr="00180820">
        <w:rPr>
          <w:rStyle w:val="FootnoteReference"/>
          <w:rFonts w:cstheme="minorHAnsi"/>
        </w:rPr>
        <w:footnoteRef/>
      </w:r>
      <w:r w:rsidRPr="00180820">
        <w:rPr>
          <w:rFonts w:cstheme="minorHAnsi"/>
        </w:rPr>
        <w:t xml:space="preserve"> </w:t>
      </w:r>
      <w:r w:rsidR="00727808" w:rsidRPr="006910C9">
        <w:rPr>
          <w:rFonts w:cstheme="minorHAnsi"/>
          <w:i/>
          <w:iCs/>
        </w:rPr>
        <w:t xml:space="preserve">In the Matter of an Application by Aman </w:t>
      </w:r>
      <w:r w:rsidR="00727808" w:rsidRPr="006910C9">
        <w:rPr>
          <w:rFonts w:cstheme="minorHAnsi"/>
          <w:i/>
          <w:iCs/>
        </w:rPr>
        <w:t>Angesom for Judicial Review</w:t>
      </w:r>
      <w:r w:rsidR="00727808" w:rsidRPr="00180820">
        <w:rPr>
          <w:rFonts w:cstheme="minorHAnsi"/>
        </w:rPr>
        <w:t xml:space="preserve"> [2023] NIKB 102, </w:t>
      </w:r>
      <w:r w:rsidRPr="00180820">
        <w:rPr>
          <w:rFonts w:cstheme="minorHAnsi"/>
        </w:rPr>
        <w:t>at para 91.</w:t>
      </w:r>
    </w:p>
  </w:footnote>
  <w:footnote w:id="51">
    <w:p w14:paraId="3E534C85" w14:textId="4C862EC5" w:rsidR="0054459D" w:rsidRPr="00180820" w:rsidRDefault="0054459D" w:rsidP="00180820">
      <w:pPr>
        <w:pStyle w:val="Footnote"/>
        <w:rPr>
          <w:rFonts w:cstheme="minorHAnsi"/>
        </w:rPr>
      </w:pPr>
      <w:r w:rsidRPr="00180820">
        <w:rPr>
          <w:rStyle w:val="FootnoteReference"/>
          <w:rFonts w:cstheme="minorHAnsi"/>
        </w:rPr>
        <w:footnoteRef/>
      </w:r>
      <w:r w:rsidRPr="00180820">
        <w:rPr>
          <w:rFonts w:cstheme="minorHAnsi"/>
        </w:rPr>
        <w:t xml:space="preserve"> </w:t>
      </w:r>
      <w:r w:rsidR="00727808" w:rsidRPr="006910C9">
        <w:rPr>
          <w:rFonts w:cstheme="minorHAnsi"/>
          <w:i/>
          <w:iCs/>
        </w:rPr>
        <w:t xml:space="preserve">In the Matter of an Application by Aman </w:t>
      </w:r>
      <w:r w:rsidR="00727808" w:rsidRPr="006910C9">
        <w:rPr>
          <w:rFonts w:cstheme="minorHAnsi"/>
          <w:i/>
          <w:iCs/>
        </w:rPr>
        <w:t>Angesom for Judicial Review</w:t>
      </w:r>
      <w:r w:rsidR="00727808" w:rsidRPr="00180820">
        <w:rPr>
          <w:rFonts w:cstheme="minorHAnsi"/>
        </w:rPr>
        <w:t xml:space="preserve"> [2023] NIKB 102,</w:t>
      </w:r>
      <w:r w:rsidRPr="00180820">
        <w:rPr>
          <w:rFonts w:cstheme="minorHAnsi"/>
        </w:rPr>
        <w:t xml:space="preserve"> at para 93.</w:t>
      </w:r>
    </w:p>
  </w:footnote>
  <w:footnote w:id="52">
    <w:p w14:paraId="724304FD" w14:textId="13E7ADA8" w:rsidR="003161F7" w:rsidRPr="00180820" w:rsidRDefault="003161F7"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6910C9" w:rsidRPr="006910C9">
        <w:rPr>
          <w:i/>
          <w:iCs/>
          <w:color w:val="77328A"/>
          <w:sz w:val="16"/>
          <w:szCs w:val="16"/>
        </w:rPr>
        <w:t xml:space="preserve">In the Matter of an Application by the NI Human </w:t>
      </w:r>
      <w:r w:rsidR="006910C9">
        <w:rPr>
          <w:i/>
          <w:iCs/>
          <w:color w:val="77328A"/>
          <w:sz w:val="16"/>
          <w:szCs w:val="16"/>
        </w:rPr>
        <w:t>Ri</w:t>
      </w:r>
      <w:r w:rsidR="006910C9" w:rsidRPr="006910C9">
        <w:rPr>
          <w:i/>
          <w:iCs/>
          <w:color w:val="77328A"/>
          <w:sz w:val="16"/>
          <w:szCs w:val="16"/>
        </w:rPr>
        <w:t>ghts Commission</w:t>
      </w:r>
      <w:r w:rsidR="006910C9">
        <w:rPr>
          <w:i/>
          <w:iCs/>
          <w:color w:val="77328A"/>
          <w:sz w:val="16"/>
          <w:szCs w:val="16"/>
        </w:rPr>
        <w:t xml:space="preserve"> for Judicial Review</w:t>
      </w:r>
      <w:r w:rsidR="006910C9">
        <w:rPr>
          <w:i/>
          <w:iCs/>
          <w:color w:val="77328A"/>
        </w:rPr>
        <w:t xml:space="preserve"> </w:t>
      </w:r>
      <w:r w:rsidR="006910C9" w:rsidRPr="00180820">
        <w:rPr>
          <w:rStyle w:val="ui-provider"/>
          <w:color w:val="77328A"/>
          <w:sz w:val="16"/>
          <w:szCs w:val="16"/>
        </w:rPr>
        <w:t>[2024] NIKB 35</w:t>
      </w:r>
      <w:r w:rsidR="006910C9" w:rsidRPr="00180820">
        <w:rPr>
          <w:color w:val="77328A"/>
          <w:sz w:val="16"/>
          <w:szCs w:val="16"/>
        </w:rPr>
        <w:t xml:space="preserve">, at para </w:t>
      </w:r>
      <w:r w:rsidRPr="00180820">
        <w:rPr>
          <w:color w:val="77328A"/>
          <w:sz w:val="16"/>
          <w:szCs w:val="16"/>
        </w:rPr>
        <w:t xml:space="preserve">65. </w:t>
      </w:r>
    </w:p>
  </w:footnote>
  <w:footnote w:id="53">
    <w:p w14:paraId="1CAB6881" w14:textId="7F54CE11" w:rsidR="0054459D" w:rsidRPr="00180820" w:rsidRDefault="0054459D" w:rsidP="00180820">
      <w:pPr>
        <w:pStyle w:val="Footnote"/>
        <w:rPr>
          <w:rFonts w:cstheme="minorHAnsi"/>
        </w:rPr>
      </w:pPr>
      <w:r w:rsidRPr="00180820">
        <w:rPr>
          <w:rStyle w:val="FootnoteReference"/>
          <w:rFonts w:cstheme="minorHAnsi"/>
        </w:rPr>
        <w:footnoteRef/>
      </w:r>
      <w:r w:rsidRPr="00180820">
        <w:rPr>
          <w:rFonts w:cstheme="minorHAnsi"/>
        </w:rPr>
        <w:t xml:space="preserve"> </w:t>
      </w:r>
      <w:r w:rsidR="00727808" w:rsidRPr="006910C9">
        <w:rPr>
          <w:rFonts w:cstheme="minorHAnsi"/>
          <w:i/>
        </w:rPr>
        <w:t xml:space="preserve">In the Matter of an Application by Aman </w:t>
      </w:r>
      <w:r w:rsidR="00727808" w:rsidRPr="006910C9">
        <w:rPr>
          <w:rFonts w:cstheme="minorHAnsi"/>
          <w:i/>
        </w:rPr>
        <w:t>Angesom for Judicial Review</w:t>
      </w:r>
      <w:r w:rsidR="00727808" w:rsidRPr="00180820">
        <w:rPr>
          <w:rFonts w:cstheme="minorHAnsi"/>
        </w:rPr>
        <w:t xml:space="preserve"> [2023] NIKB 102, </w:t>
      </w:r>
      <w:r w:rsidRPr="00180820">
        <w:rPr>
          <w:rFonts w:cstheme="minorHAnsi"/>
        </w:rPr>
        <w:t>at para 107.</w:t>
      </w:r>
    </w:p>
  </w:footnote>
  <w:footnote w:id="54">
    <w:p w14:paraId="738AB2B8" w14:textId="5721321F" w:rsidR="00A74216" w:rsidRPr="00180820" w:rsidRDefault="00A74216" w:rsidP="00180820">
      <w:pPr>
        <w:pStyle w:val="Footnote"/>
        <w:rPr>
          <w:rFonts w:cstheme="minorHAnsi"/>
        </w:rPr>
      </w:pPr>
      <w:r w:rsidRPr="00180820">
        <w:rPr>
          <w:rStyle w:val="FootnoteReference"/>
          <w:rFonts w:cstheme="minorHAnsi"/>
        </w:rPr>
        <w:footnoteRef/>
      </w:r>
      <w:r w:rsidRPr="00180820">
        <w:rPr>
          <w:rFonts w:cstheme="minorHAnsi"/>
        </w:rPr>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the Gender Equality (Employment) Directive (Directive 2006/54/EC, ‘EU Parliament and Council Directive on the Implementation of the Principle of Equal Opportunities and Equal Treatment of Men and Women in Matters of Employment and Occupation (Recast)’, 5 July 2006); the Self-Employment Equality Directive (Directive 2010/41/EU, ‘EU Parliament and Council Directive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55">
    <w:p w14:paraId="2AF73DF2" w14:textId="77777777" w:rsidR="00A74216" w:rsidRPr="00180820" w:rsidRDefault="00A74216"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NI Office, ‘UK Government Commitment to “No Diminution of Rights, Safeguards and Equality of Opportunity” in Northern Ireland: What does it Mean and How will it be Implemented?’ (NIO, 2020), at 3.</w:t>
      </w:r>
    </w:p>
  </w:footnote>
  <w:footnote w:id="56">
    <w:p w14:paraId="1289AFE0" w14:textId="77777777" w:rsidR="00293721" w:rsidRPr="00180820" w:rsidRDefault="00293721"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Directive 2000/43/EC, ‘Council Directive on Implementing the Principle of Equal Treatment between Persons Irrespective of Racial or Ethnic Origin’, 29 June 2000.</w:t>
      </w:r>
    </w:p>
  </w:footnote>
  <w:footnote w:id="57">
    <w:p w14:paraId="472CD0A8" w14:textId="77777777" w:rsidR="00293721" w:rsidRPr="00180820" w:rsidRDefault="00293721"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Directive 2000/78/EC, ‘Council Directive on Establishing a General Framework for Equal Treatment in Employment and Occupation’, 27 November 2000.</w:t>
      </w:r>
    </w:p>
  </w:footnote>
  <w:footnote w:id="58">
    <w:p w14:paraId="1D4DA449" w14:textId="77777777" w:rsidR="00293721" w:rsidRPr="00180820" w:rsidRDefault="00293721"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Directive 2004/113/EC, ‘Council Directive on Implementing the Principle of Equal Treatment between Men and Women in the access to and supply of goods and services’, 13 December 2004.</w:t>
      </w:r>
    </w:p>
  </w:footnote>
  <w:footnote w:id="59">
    <w:p w14:paraId="46A44389" w14:textId="77777777" w:rsidR="00293721" w:rsidRPr="00180820" w:rsidRDefault="00293721"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60">
    <w:p w14:paraId="26BFAF65" w14:textId="77777777" w:rsidR="00293721" w:rsidRPr="00180820" w:rsidRDefault="00293721"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 xml:space="preserve">Directive 2010/41/EU, ‘EU Parliament and Council Directive on the Application of the Principle of Equal Treatment between Men and Women Engaged in an Activity in a Self-employed Capacity’, 7 July 2010. </w:t>
      </w:r>
    </w:p>
  </w:footnote>
  <w:footnote w:id="61">
    <w:p w14:paraId="22B87A41" w14:textId="77777777" w:rsidR="00293721" w:rsidRPr="00180820" w:rsidRDefault="00293721"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 xml:space="preserve">Directive 79/7/EEC, ‘Council Directive on the Progressive Implementation of the Principle of Equal Treatment for Men and Women in Matters of Social Security’, 19 December 1978. </w:t>
      </w:r>
    </w:p>
  </w:footnote>
  <w:footnote w:id="62">
    <w:p w14:paraId="3EBAD488" w14:textId="77777777" w:rsidR="00293721" w:rsidRPr="00180820" w:rsidRDefault="00293721"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Article 13(3), Windsor Framework. </w:t>
      </w:r>
    </w:p>
  </w:footnote>
  <w:footnote w:id="63">
    <w:p w14:paraId="2EB8D263" w14:textId="33C306D6" w:rsidR="00DC6B92" w:rsidRPr="00180820" w:rsidRDefault="00DC6B92"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0A0B3F" w:rsidRPr="000A0B3F">
        <w:rPr>
          <w:rFonts w:cs="Aptos"/>
          <w:color w:val="77328A"/>
          <w:sz w:val="16"/>
          <w:szCs w:val="16"/>
        </w:rPr>
        <w:t>Directive 2023/970/EU, ‘EU Parliament and Council Directive to strengthen the application of the principle of equal pay for equal work or work of equal value, between men and women through pay transparency and enforcement mechanisms’, 10 May 2023.</w:t>
      </w:r>
    </w:p>
  </w:footnote>
  <w:footnote w:id="64">
    <w:p w14:paraId="0B1DEF03" w14:textId="7F845AE0" w:rsidR="00DC6B92" w:rsidRPr="00180820" w:rsidRDefault="00DC6B92"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3C449D" w:rsidRPr="00180820">
        <w:rPr>
          <w:rFonts w:cs="Aptos"/>
          <w:color w:val="77328A"/>
          <w:sz w:val="16"/>
          <w:szCs w:val="16"/>
        </w:rPr>
        <w:t>Directive 2024/1499/EU,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‘European Parliament and of the Council of on standards for equality bodies in the field of equal treatment and equal opportunities between women and men in matters of employment and occupation, and amending Directives 2006/54/EC and 2010/41/EU’, 14 May 2024.</w:t>
      </w:r>
    </w:p>
  </w:footnote>
  <w:footnote w:id="65">
    <w:p w14:paraId="1550189A" w14:textId="5ADA045E" w:rsidR="00DC6B92" w:rsidRPr="00180820" w:rsidRDefault="00DC6B92"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986FB2" w:rsidRPr="00180820">
        <w:rPr>
          <w:color w:val="77328A"/>
          <w:sz w:val="16"/>
          <w:szCs w:val="16"/>
        </w:rPr>
        <w:t>Directive 2024/1385/EU, ‘EU Parliament and Council Directive on combating violence against women and domestic violence’, 14 May 2024.</w:t>
      </w:r>
    </w:p>
  </w:footnote>
  <w:footnote w:id="66">
    <w:p w14:paraId="490DD546" w14:textId="2110006A" w:rsidR="00DC6B92" w:rsidRPr="00180820" w:rsidRDefault="00DC6B92"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3C449D" w:rsidRPr="00180820">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67">
    <w:p w14:paraId="7D4C185E" w14:textId="77777777" w:rsidR="00737A87" w:rsidRPr="00180820" w:rsidRDefault="00737A8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NI Statistics and Research Agency, ‘Annual Survey of Hours and Earnings - Employee earnings in Northern Ireland 2023’</w:t>
      </w:r>
      <w:r w:rsidRPr="00180820">
        <w:rPr>
          <w:rStyle w:val="Hyperlink"/>
          <w:rFonts w:cstheme="minorHAnsi"/>
          <w:color w:val="77328A"/>
          <w:sz w:val="16"/>
          <w:szCs w:val="16"/>
          <w:u w:val="none"/>
        </w:rPr>
        <w:t xml:space="preserve"> (NISRA, 2023).</w:t>
      </w:r>
    </w:p>
  </w:footnote>
  <w:footnote w:id="68">
    <w:p w14:paraId="6B4FBAF1" w14:textId="7A940CF0" w:rsidR="00737A87" w:rsidRPr="00180820" w:rsidRDefault="00737A87" w:rsidP="00180820">
      <w:pPr>
        <w:pStyle w:val="FootnoteText"/>
        <w:spacing w:line="240" w:lineRule="auto"/>
        <w:rPr>
          <w:rFonts w:cstheme="minorHAnsi"/>
          <w:color w:val="77328A"/>
          <w:sz w:val="16"/>
          <w:szCs w:val="16"/>
        </w:rPr>
      </w:pPr>
      <w:r w:rsidRPr="00180820">
        <w:rPr>
          <w:rStyle w:val="FootnoteReference"/>
          <w:rFonts w:eastAsiaTheme="majorEastAsia" w:cstheme="minorHAnsi"/>
          <w:color w:val="77328A"/>
          <w:sz w:val="16"/>
          <w:szCs w:val="16"/>
        </w:rPr>
        <w:footnoteRef/>
      </w:r>
      <w:r w:rsidRPr="00180820">
        <w:rPr>
          <w:rFonts w:cstheme="minorHAnsi"/>
          <w:color w:val="77328A"/>
          <w:sz w:val="16"/>
          <w:szCs w:val="16"/>
        </w:rPr>
        <w:t xml:space="preserve"> </w:t>
      </w:r>
      <w:r w:rsidR="006910C9" w:rsidRPr="00180820">
        <w:rPr>
          <w:rFonts w:cstheme="minorHAnsi"/>
          <w:color w:val="77328A"/>
          <w:sz w:val="16"/>
          <w:szCs w:val="16"/>
        </w:rPr>
        <w:t>NI Statistics and Research Agency, ‘Annual Survey of Hours and Earnings - Employee earnings in Northern Ireland 2023’</w:t>
      </w:r>
      <w:r w:rsidR="006910C9" w:rsidRPr="00180820">
        <w:rPr>
          <w:rStyle w:val="Hyperlink"/>
          <w:rFonts w:cstheme="minorHAnsi"/>
          <w:color w:val="77328A"/>
          <w:sz w:val="16"/>
          <w:szCs w:val="16"/>
          <w:u w:val="none"/>
        </w:rPr>
        <w:t xml:space="preserve"> (NISRA, 2023)</w:t>
      </w:r>
      <w:r w:rsidRPr="00180820">
        <w:rPr>
          <w:rFonts w:cstheme="minorHAnsi"/>
          <w:color w:val="77328A"/>
          <w:sz w:val="16"/>
          <w:szCs w:val="16"/>
        </w:rPr>
        <w:t>.</w:t>
      </w:r>
    </w:p>
  </w:footnote>
  <w:footnote w:id="69">
    <w:p w14:paraId="46F90020" w14:textId="77777777" w:rsidR="00597B5F" w:rsidRPr="00180820" w:rsidRDefault="00597B5F"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In considering whether the specific provisions of the EU Pay Transparency amend or replace the EU Gender Equality (Employment) Directive, the NIHRC alongside the Equality Commission for NI considered</w:t>
      </w:r>
      <w:r w:rsidRPr="00180820">
        <w:rPr>
          <w:rStyle w:val="cf01"/>
          <w:rFonts w:ascii="Verdana" w:hAnsi="Verdana"/>
          <w:color w:val="77328A"/>
          <w:sz w:val="16"/>
          <w:szCs w:val="16"/>
        </w:rPr>
        <w:t xml:space="preserve"> </w:t>
      </w:r>
      <w:r w:rsidRPr="00180820">
        <w:rPr>
          <w:color w:val="77328A"/>
          <w:sz w:val="16"/>
          <w:szCs w:val="16"/>
        </w:rPr>
        <w:t xml:space="preserve">the legal basis for this new measure; the purpose of the new measure; the degree of overlap on the substance of the rights and safeguards between the new measure and the Annex 1 equality directive, any relevant CJEU case law; and the extent to which the new measure facilitates the implementation and/or enforcement of the Annex 1 equality directive. </w:t>
      </w:r>
    </w:p>
  </w:footnote>
  <w:footnote w:id="70">
    <w:p w14:paraId="5B57FD27" w14:textId="77777777" w:rsidR="00240071" w:rsidRPr="00180820" w:rsidRDefault="00240071"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2006/54/EC, 'EU Council Directive on the Implementation of the Principle of Equal Opportunities and Equal Treatment of Men and Women in Matters of Employment and Occupation', 5 July 2006.</w:t>
      </w:r>
    </w:p>
  </w:footnote>
  <w:footnote w:id="71">
    <w:p w14:paraId="5997A426" w14:textId="77777777" w:rsidR="00240071" w:rsidRPr="00180820" w:rsidRDefault="00240071"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Article 13, Windsor Framework.</w:t>
      </w:r>
    </w:p>
  </w:footnote>
  <w:footnote w:id="72">
    <w:p w14:paraId="2D661DE5" w14:textId="77777777" w:rsidR="00B0774A" w:rsidRPr="00180820" w:rsidRDefault="00B0774A"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w:t>
      </w:r>
      <w:bookmarkStart w:id="19" w:name="_Hlk165648812"/>
      <w:r w:rsidRPr="00180820">
        <w:rPr>
          <w:rFonts w:cstheme="minorHAnsi"/>
          <w:color w:val="77328A"/>
          <w:sz w:val="16"/>
          <w:szCs w:val="16"/>
        </w:rPr>
        <w:t>Directive 2023/970/EU, ‘EU Parliament and Council Directive to strengthen the application of the principle of equal pay for equal work or work of equal value between men and women through pay transparency and enforcement mechanisms’, 10 May 2023</w:t>
      </w:r>
      <w:bookmarkEnd w:id="19"/>
      <w:r w:rsidRPr="00180820">
        <w:rPr>
          <w:rFonts w:cstheme="minorHAnsi"/>
          <w:color w:val="77328A"/>
          <w:sz w:val="16"/>
          <w:szCs w:val="16"/>
        </w:rPr>
        <w:t>.</w:t>
      </w:r>
    </w:p>
  </w:footnote>
  <w:footnote w:id="73">
    <w:p w14:paraId="4195A711" w14:textId="77777777" w:rsidR="00B0774A" w:rsidRPr="00180820" w:rsidRDefault="00B0774A"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w:t>
      </w:r>
      <w:r w:rsidRPr="00180820">
        <w:rPr>
          <w:rFonts w:cstheme="minorHAnsi"/>
          <w:color w:val="77328A"/>
          <w:sz w:val="16"/>
          <w:szCs w:val="16"/>
          <w:shd w:val="clear" w:color="auto" w:fill="FFFFFF"/>
        </w:rPr>
        <w:t>Directive 2006/54/EC ‘EU Parliament and Council Directive on the implementation of the principle of equal opportunities and equal treatment of men and women in matters of employment and occupation (recast)’, 5 July 2006.</w:t>
      </w:r>
    </w:p>
  </w:footnote>
  <w:footnote w:id="74">
    <w:p w14:paraId="5B871F29" w14:textId="77777777" w:rsidR="004145CE" w:rsidRPr="00180820" w:rsidRDefault="004145CE"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Apart from a small number of provisions of the EU Pay Transparency Directive that are no longer relevant now that the UK has left the EU.</w:t>
      </w:r>
    </w:p>
  </w:footnote>
  <w:footnote w:id="75">
    <w:p w14:paraId="69C34DB8" w14:textId="77777777" w:rsidR="004145CE" w:rsidRPr="00180820" w:rsidRDefault="004145CE"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Directive 2006/54/EC, ‘EU Parliament and Council Directive on the Implementation of the Principle of Equal Opportunities and Equal Treatment of Men and Women in Matters of Employment and Occupation (Recast)’, 5 July 2006.</w:t>
      </w:r>
    </w:p>
  </w:footnote>
  <w:footnote w:id="76">
    <w:p w14:paraId="04898648" w14:textId="09722389" w:rsidR="004145CE" w:rsidRPr="00180820" w:rsidRDefault="004145CE"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Equality Commission for NI and NI Human Rights Commission, ‘Briefing Paper: The EU Pay Transparency Directive: The UK Government</w:t>
      </w:r>
      <w:r w:rsidR="00D92A8B" w:rsidRPr="00180820">
        <w:rPr>
          <w:rFonts w:cs="Aptos"/>
          <w:color w:val="77328A"/>
          <w:sz w:val="16"/>
          <w:szCs w:val="16"/>
        </w:rPr>
        <w:t>’</w:t>
      </w:r>
      <w:r w:rsidRPr="00180820">
        <w:rPr>
          <w:rFonts w:cs="Aptos"/>
          <w:color w:val="77328A"/>
          <w:sz w:val="16"/>
          <w:szCs w:val="16"/>
        </w:rPr>
        <w:t>s dynamic alignment obligations relating to Windsor Framework Article 2’ (ECNI and NIHRC, 2024)</w:t>
      </w:r>
      <w:r w:rsidR="005D27F4">
        <w:rPr>
          <w:rFonts w:cs="Aptos"/>
          <w:color w:val="77328A"/>
          <w:sz w:val="16"/>
          <w:szCs w:val="16"/>
        </w:rPr>
        <w:t>.</w:t>
      </w:r>
    </w:p>
  </w:footnote>
  <w:footnote w:id="77">
    <w:p w14:paraId="2AF123FE" w14:textId="77777777" w:rsidR="004145CE" w:rsidRPr="00180820" w:rsidRDefault="004145CE"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Article 13(3), Windsor Framework. </w:t>
      </w:r>
    </w:p>
  </w:footnote>
  <w:footnote w:id="78">
    <w:p w14:paraId="3D0035C1" w14:textId="593A2D0C" w:rsidR="00F7271F" w:rsidRPr="00180820" w:rsidRDefault="00F7271F"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Directive 2024/1499</w:t>
      </w:r>
      <w:r w:rsidR="00C23D4C" w:rsidRPr="00180820">
        <w:rPr>
          <w:rFonts w:cs="Aptos"/>
          <w:color w:val="77328A"/>
          <w:sz w:val="16"/>
          <w:szCs w:val="16"/>
        </w:rPr>
        <w:t>/EU</w:t>
      </w:r>
      <w:r w:rsidRPr="00180820">
        <w:rPr>
          <w:rFonts w:cs="Aptos"/>
          <w:color w:val="77328A"/>
          <w:sz w:val="16"/>
          <w:szCs w:val="16"/>
        </w:rPr>
        <w:t>,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‘European Parliament and of the Council of on standards for equality bodies in the field of equal treatment and equal opportunities between women and men in matters of employment and occupation, and amending Directives 2006/54/EC and 2010/41/EU’, 14 May 2024.</w:t>
      </w:r>
      <w:r w:rsidRPr="00180820">
        <w:rPr>
          <w:rFonts w:cs="Aptos"/>
          <w:b/>
          <w:bCs/>
          <w:color w:val="77328A"/>
          <w:sz w:val="16"/>
          <w:szCs w:val="16"/>
        </w:rPr>
        <w:t xml:space="preserve"> </w:t>
      </w:r>
    </w:p>
  </w:footnote>
  <w:footnote w:id="79">
    <w:p w14:paraId="71293894" w14:textId="77777777" w:rsidR="00A74216" w:rsidRPr="00180820" w:rsidRDefault="00A74216"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Directive 2000/43/EC</w:t>
      </w:r>
      <w:r w:rsidRPr="00180820">
        <w:rPr>
          <w:rStyle w:val="Hyperlink"/>
          <w:rFonts w:cs="Aptos"/>
          <w:color w:val="77328A"/>
          <w:sz w:val="16"/>
          <w:szCs w:val="16"/>
        </w:rPr>
        <w:t>,</w:t>
      </w:r>
      <w:r w:rsidRPr="00180820">
        <w:rPr>
          <w:rFonts w:cs="Aptos"/>
          <w:color w:val="77328A"/>
          <w:sz w:val="16"/>
          <w:szCs w:val="16"/>
        </w:rPr>
        <w:t xml:space="preserve"> ‘Council Directive implementing the principle of equal treatment between persons irrespective of racial or ethnic origin’, 29 June 2000.</w:t>
      </w:r>
    </w:p>
  </w:footnote>
  <w:footnote w:id="80">
    <w:p w14:paraId="556C7E40" w14:textId="77777777" w:rsidR="00A74216" w:rsidRPr="00180820" w:rsidRDefault="00A74216"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Directive 2004/113/EC, ‘Council Directive on Implementing the Principle of Equal Treatment between Men and Women in the access to and supply of goods and services’, 13 December 2004.</w:t>
      </w:r>
    </w:p>
  </w:footnote>
  <w:footnote w:id="81">
    <w:p w14:paraId="3E343A16" w14:textId="77777777" w:rsidR="00A74216" w:rsidRPr="00180820" w:rsidRDefault="00A74216"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Directive 2006/54/EC, ‘EU Parliament and Council Directive on the Implementation of the Principle of Equal Opportunities and Equal Treatment of Men and Women in Matters of Employment and Occupation (Recast)’, 5 July 2006.</w:t>
      </w:r>
    </w:p>
  </w:footnote>
  <w:footnote w:id="82">
    <w:p w14:paraId="74A539DA" w14:textId="77777777" w:rsidR="00A74216" w:rsidRPr="00180820" w:rsidRDefault="00A74216"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Directive 2010/41/EU, ‘EU Parliament and Council Directive on the Application of the Principle of Equal Treatment between Men and Women Engaged in an Activity in a Self-employed Capacity’, 7 July 2010.</w:t>
      </w:r>
    </w:p>
  </w:footnote>
  <w:footnote w:id="83">
    <w:p w14:paraId="55ACAF4C" w14:textId="77777777" w:rsidR="00523D23" w:rsidRPr="00180820" w:rsidRDefault="00523D23"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Directive 2000/78/EC, ‘Council Directive on Establishing a General Framework for Equal Treatment in Employment and Occupation’, 27 November 2000.</w:t>
      </w:r>
    </w:p>
  </w:footnote>
  <w:footnote w:id="84">
    <w:p w14:paraId="5CCDC954" w14:textId="77777777" w:rsidR="00523D23" w:rsidRPr="00180820" w:rsidRDefault="00523D23"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 xml:space="preserve">Directive 79/7/EEC, ‘Council Directive on the Progressive Implementation of the Principle of Equal Treatment for Men and Women in Matters of Social Security’, 19 December 1978. </w:t>
      </w:r>
    </w:p>
  </w:footnote>
  <w:footnote w:id="85">
    <w:p w14:paraId="5DB189BC" w14:textId="77777777" w:rsidR="00523D23" w:rsidRPr="00180820" w:rsidRDefault="00523D23" w:rsidP="00180820">
      <w:pPr>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2000/78/EC, ‘Council of the EU Directive on Establishing a General Framework for Equal Treatment in Employment and Occupation’, 27 November 2000.  See also Letter from the Minister of State for NI, Steve Baker MP, to the Chair of the House of Lords Sub Committee on the Protocol on Ireland/Northern Ireland, 18 September 2022.</w:t>
      </w:r>
    </w:p>
  </w:footnote>
  <w:footnote w:id="86">
    <w:p w14:paraId="4E983B37" w14:textId="321331E1" w:rsidR="009308AB" w:rsidRPr="00180820" w:rsidRDefault="009308AB"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Style w:val="FootnoteChar"/>
          <w:rFonts w:cs="Aptos"/>
        </w:rPr>
        <w:t xml:space="preserve"> </w:t>
      </w:r>
      <w:r w:rsidR="005D27F4" w:rsidRPr="00180820">
        <w:rPr>
          <w:rFonts w:cs="Aptos"/>
          <w:color w:val="77328A"/>
          <w:sz w:val="16"/>
          <w:szCs w:val="16"/>
        </w:rPr>
        <w:t>Directive 2024/1499/EU,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‘European Parliament and of the Council of on standards for equality bodies in the field of equal treatment and equal opportunities between women and men in matters of employment and occupation, and amending Directives 2006/54/EC and 2010/41/EU’, 14 May 2024</w:t>
      </w:r>
      <w:r w:rsidRPr="00180820">
        <w:rPr>
          <w:rFonts w:cs="Aptos"/>
          <w:color w:val="77328A"/>
          <w:sz w:val="16"/>
          <w:szCs w:val="16"/>
        </w:rPr>
        <w:t xml:space="preserve">. </w:t>
      </w:r>
    </w:p>
  </w:footnote>
  <w:footnote w:id="87">
    <w:p w14:paraId="581DCF3C" w14:textId="77777777" w:rsidR="00A74216" w:rsidRPr="00180820" w:rsidRDefault="00A74216"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Letter from the Minister of State for NI, Steve Baker MP, to the House of Lords Sub Committee on the Protocol on Ireland/Northern Ireland, 18 September 2022.</w:t>
      </w:r>
    </w:p>
  </w:footnote>
  <w:footnote w:id="88">
    <w:p w14:paraId="659B74A0" w14:textId="2E5638C5" w:rsidR="007D353A" w:rsidRPr="00180820" w:rsidRDefault="007D353A"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Equality Commission for NI, NI Human Rights Commission and Irish Human Rights and Equality Commission, ‘</w:t>
      </w:r>
      <w:r w:rsidR="00D33364" w:rsidRPr="00180820">
        <w:rPr>
          <w:rFonts w:cstheme="minorHAnsi"/>
          <w:color w:val="77328A"/>
          <w:sz w:val="16"/>
          <w:szCs w:val="16"/>
        </w:rPr>
        <w:t xml:space="preserve">Policy Recommendations: European Union developments in Equality and Human Rights: The Impact of Brexit on the divergence of rights and best practice on the island of </w:t>
      </w:r>
      <w:r w:rsidR="00D33364" w:rsidRPr="006910C9">
        <w:rPr>
          <w:rFonts w:cstheme="minorHAnsi"/>
          <w:color w:val="77328A"/>
          <w:sz w:val="16"/>
          <w:szCs w:val="16"/>
        </w:rPr>
        <w:t>Ireland</w:t>
      </w:r>
      <w:r w:rsidRPr="006910C9">
        <w:rPr>
          <w:rStyle w:val="Hyperlink"/>
          <w:rFonts w:cstheme="minorHAnsi"/>
          <w:color w:val="77328A"/>
          <w:sz w:val="16"/>
          <w:szCs w:val="16"/>
          <w:u w:val="none"/>
        </w:rPr>
        <w:t>’</w:t>
      </w:r>
      <w:r w:rsidRPr="006910C9">
        <w:rPr>
          <w:rFonts w:cstheme="minorHAnsi"/>
          <w:color w:val="77328A"/>
          <w:sz w:val="16"/>
          <w:szCs w:val="16"/>
        </w:rPr>
        <w:t xml:space="preserve"> (ECNI</w:t>
      </w:r>
      <w:r w:rsidRPr="00180820">
        <w:rPr>
          <w:rFonts w:cstheme="minorHAnsi"/>
          <w:color w:val="77328A"/>
          <w:sz w:val="16"/>
          <w:szCs w:val="16"/>
        </w:rPr>
        <w:t>, NIHRC and IHREC, 2023).</w:t>
      </w:r>
    </w:p>
  </w:footnote>
  <w:footnote w:id="89">
    <w:p w14:paraId="33064C58" w14:textId="327BE58D" w:rsidR="005C665F" w:rsidRPr="00180820" w:rsidRDefault="005C665F"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AC3678" w:rsidRPr="000A0B3F">
        <w:rPr>
          <w:rFonts w:cs="Aptos"/>
          <w:color w:val="77328A"/>
          <w:sz w:val="16"/>
          <w:szCs w:val="16"/>
        </w:rPr>
        <w:t>Directive 2023/970/EU, ‘EU Parliament and Council Directive to strengthen the application of the principle of equal pay for equal work or work of equal value, between men and women through pay transparency and enforcement mechanisms’, 10 May 2023.</w:t>
      </w:r>
    </w:p>
  </w:footnote>
  <w:footnote w:id="90">
    <w:p w14:paraId="13AB8E6F" w14:textId="77777777" w:rsidR="005C665F" w:rsidRPr="00180820" w:rsidRDefault="005C665F"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Apart from a small number of provisions of the EU Pay Transparency Directive that are no longer relevant now that the UK has left the EU.</w:t>
      </w:r>
    </w:p>
  </w:footnote>
  <w:footnote w:id="91">
    <w:p w14:paraId="3783F039" w14:textId="77777777" w:rsidR="005C665F" w:rsidRPr="00180820" w:rsidRDefault="005C665F"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Directive 2006/54/EC, ‘EU Parliament and Council Directive on the Implementation of the Principle of Equal Opportunities and Equal Treatment of Men and Women in Matters of Employment and Occupation (Recast)’, 5 July 2006.</w:t>
      </w:r>
    </w:p>
  </w:footnote>
  <w:footnote w:id="92">
    <w:p w14:paraId="5BA38183" w14:textId="77777777" w:rsidR="005C665F" w:rsidRPr="00180820" w:rsidRDefault="005C665F"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Equality Commission for NI and NI Human Rights Commission, ‘Briefing Paper: The EU Pay Transparency Directive: The UK Governments dynamic alignment obligations relating to Windsor Framework Article 2’ (ECNI and NIHRC, 2024)</w:t>
      </w:r>
    </w:p>
  </w:footnote>
  <w:footnote w:id="93">
    <w:p w14:paraId="2AAC7162" w14:textId="77777777" w:rsidR="005C665F" w:rsidRPr="00180820" w:rsidRDefault="005C665F" w:rsidP="00180820">
      <w:pPr>
        <w:pStyle w:val="FootnoteText"/>
        <w:spacing w:line="240" w:lineRule="auto"/>
        <w:rPr>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Article 13(3), Windsor Framework. </w:t>
      </w:r>
    </w:p>
  </w:footnote>
  <w:footnote w:id="94">
    <w:p w14:paraId="565B15AA" w14:textId="77777777" w:rsidR="00B537A5" w:rsidRPr="00180820" w:rsidRDefault="00B537A5"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2010/18/EU, ‘Council Directive implementing the revised Framework Agreement on parental leave’, 8 March 2010.</w:t>
      </w:r>
    </w:p>
  </w:footnote>
  <w:footnote w:id="95">
    <w:p w14:paraId="7F5AFC50" w14:textId="77777777" w:rsidR="00B537A5" w:rsidRPr="00180820" w:rsidRDefault="00B537A5"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92/85/EEC, ‘Council Directive on the Introduction of Measures to Encourage Improvements in the Safety and Health at Work of Pregnant Workers and Workers who have Recently Given Birth or are Breastfeeding’, 19 October 1992.</w:t>
      </w:r>
    </w:p>
  </w:footnote>
  <w:footnote w:id="96">
    <w:p w14:paraId="7A5054A9" w14:textId="3C61266D" w:rsidR="00B40164" w:rsidRPr="00180820" w:rsidRDefault="00B40164"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715ACF" w:rsidRPr="00180820">
        <w:rPr>
          <w:color w:val="77328A"/>
          <w:sz w:val="16"/>
          <w:szCs w:val="16"/>
        </w:rPr>
        <w:t xml:space="preserve">Directive 2024/1385/EU, </w:t>
      </w:r>
      <w:r w:rsidR="00E35815" w:rsidRPr="00180820">
        <w:rPr>
          <w:color w:val="77328A"/>
          <w:sz w:val="16"/>
          <w:szCs w:val="16"/>
        </w:rPr>
        <w:t>‘EU Parliament and Council Directive</w:t>
      </w:r>
      <w:r w:rsidR="00715ACF" w:rsidRPr="00180820">
        <w:rPr>
          <w:color w:val="77328A"/>
          <w:sz w:val="16"/>
          <w:szCs w:val="16"/>
        </w:rPr>
        <w:t xml:space="preserve"> on combating violence against women and domestic violence</w:t>
      </w:r>
      <w:r w:rsidR="00E35815" w:rsidRPr="00180820">
        <w:rPr>
          <w:color w:val="77328A"/>
          <w:sz w:val="16"/>
          <w:szCs w:val="16"/>
        </w:rPr>
        <w:t xml:space="preserve">’, 14 May 2024. </w:t>
      </w:r>
    </w:p>
  </w:footnote>
  <w:footnote w:id="97">
    <w:p w14:paraId="76CCCBD5" w14:textId="79638B0D" w:rsidR="00B40164" w:rsidRPr="00180820" w:rsidRDefault="00B40164"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EE77A4" w:rsidRPr="00180820">
        <w:rPr>
          <w:color w:val="77328A"/>
          <w:sz w:val="16"/>
          <w:szCs w:val="16"/>
        </w:rPr>
        <w:t>Amnesty International EU</w:t>
      </w:r>
      <w:r w:rsidR="00EE77A4">
        <w:rPr>
          <w:color w:val="77328A"/>
          <w:sz w:val="16"/>
          <w:szCs w:val="16"/>
        </w:rPr>
        <w:t>, ‘</w:t>
      </w:r>
      <w:r w:rsidRPr="00180820">
        <w:rPr>
          <w:color w:val="77328A"/>
          <w:sz w:val="16"/>
          <w:szCs w:val="16"/>
        </w:rPr>
        <w:t>Press Release: EU: Joint civil society reaction to the adoption of the EU Directive on combating violence against women and domestic violence</w:t>
      </w:r>
      <w:r w:rsidR="00A0678C" w:rsidRPr="00180820">
        <w:rPr>
          <w:color w:val="77328A"/>
          <w:sz w:val="16"/>
          <w:szCs w:val="16"/>
        </w:rPr>
        <w:t>’</w:t>
      </w:r>
      <w:r w:rsidRPr="00180820">
        <w:rPr>
          <w:color w:val="77328A"/>
          <w:sz w:val="16"/>
          <w:szCs w:val="16"/>
        </w:rPr>
        <w:t xml:space="preserve">, 7 May 2024. </w:t>
      </w:r>
    </w:p>
  </w:footnote>
  <w:footnote w:id="98">
    <w:p w14:paraId="1CDBF53A" w14:textId="2CFE147F" w:rsidR="00AE67B9" w:rsidRPr="00180820" w:rsidRDefault="00AE67B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1577F7" w:rsidRPr="00180820">
        <w:rPr>
          <w:color w:val="77328A"/>
          <w:sz w:val="16"/>
          <w:szCs w:val="16"/>
        </w:rPr>
        <w:t xml:space="preserve">Article 28 and </w:t>
      </w:r>
      <w:r w:rsidRPr="00180820">
        <w:rPr>
          <w:color w:val="77328A"/>
          <w:sz w:val="16"/>
          <w:szCs w:val="16"/>
        </w:rPr>
        <w:t>Recital 65, Directive 2024/1385/EU, ‘EU Parliament and Council Directive on combating violence against women and domestic violence’, 14 May 2024.</w:t>
      </w:r>
    </w:p>
  </w:footnote>
  <w:footnote w:id="99">
    <w:p w14:paraId="27D5B461" w14:textId="02CD8B0F" w:rsidR="00AE67B9" w:rsidRPr="00180820" w:rsidRDefault="00AE67B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Article </w:t>
      </w:r>
      <w:r w:rsidR="001577F7" w:rsidRPr="00180820">
        <w:rPr>
          <w:color w:val="77328A"/>
          <w:sz w:val="16"/>
          <w:szCs w:val="16"/>
        </w:rPr>
        <w:t>36</w:t>
      </w:r>
      <w:r w:rsidRPr="00180820">
        <w:rPr>
          <w:color w:val="77328A"/>
          <w:sz w:val="16"/>
          <w:szCs w:val="16"/>
        </w:rPr>
        <w:t>, Directive 2024/1385/EU, ‘EU Parliament and Council Directive on combating violence against women and domestic violence’, 14 May 2024.</w:t>
      </w:r>
    </w:p>
  </w:footnote>
  <w:footnote w:id="100">
    <w:p w14:paraId="1562F375" w14:textId="77777777" w:rsidR="00937A05" w:rsidRPr="00180820" w:rsidRDefault="00937A05" w:rsidP="00180820">
      <w:pPr>
        <w:pStyle w:val="NIHRCFootnotes"/>
        <w:spacing w:line="240" w:lineRule="auto"/>
      </w:pPr>
      <w:r w:rsidRPr="00180820">
        <w:rPr>
          <w:rStyle w:val="FootnoteReference"/>
        </w:rPr>
        <w:footnoteRef/>
      </w:r>
      <w:r w:rsidRPr="00180820">
        <w:t xml:space="preserve"> Directive 2004/113/EC, ‘Council Directive on Implementing the Principle of Equal Treatment between Men and Women in the access to and supply of goods and Services’, 13 December 2004; Directive 2006/54/EC, ‘Directive of European Parliament and of the Council on the Implementation of the Principle of Equal Opportunities and Equal Treatment of Men and Women in Matters of Employment and Occupation (Recast)’, 5 July 2006; Directive 2010/41/EU, ‘Directive of the European Parliament and of the Council on the Application of the Principle of Equal Treatment between Men and Women Engaged in an Activity in a Self-employed Capacity’, 7 July 2010.</w:t>
      </w:r>
    </w:p>
  </w:footnote>
  <w:footnote w:id="101">
    <w:p w14:paraId="0DCB1E9A" w14:textId="620FE388" w:rsidR="000E1509" w:rsidRPr="00180820" w:rsidRDefault="000E1509"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Directive 2006/54/EC, ‘EU Parliament and Council Directive on the Implementation of the Principle of Equal Opportunities and Equal Treatment of Men and Women in Matters of Employment and Occupation (Recast)’, 5 July 2006.</w:t>
      </w:r>
    </w:p>
  </w:footnote>
  <w:footnote w:id="102">
    <w:p w14:paraId="5A53ADF9" w14:textId="77777777" w:rsidR="00D70B8D" w:rsidRPr="00180820" w:rsidRDefault="00D70B8D" w:rsidP="00180820">
      <w:pPr>
        <w:pStyle w:val="FootnoteText"/>
        <w:spacing w:line="240" w:lineRule="auto"/>
        <w:rPr>
          <w:rFonts w:cstheme="majorHAnsi"/>
          <w:color w:val="77328A"/>
          <w:sz w:val="16"/>
          <w:szCs w:val="16"/>
        </w:rPr>
      </w:pPr>
      <w:r w:rsidRPr="00180820">
        <w:rPr>
          <w:rStyle w:val="FootnoteReference"/>
          <w:rFonts w:cstheme="majorHAnsi"/>
          <w:color w:val="77328A"/>
          <w:sz w:val="16"/>
          <w:szCs w:val="16"/>
        </w:rPr>
        <w:footnoteRef/>
      </w:r>
      <w:r w:rsidRPr="00180820">
        <w:rPr>
          <w:rFonts w:cstheme="majorHAnsi"/>
          <w:color w:val="77328A"/>
          <w:sz w:val="16"/>
          <w:szCs w:val="16"/>
        </w:rPr>
        <w:t xml:space="preserve">  NI Office, ‘UK Government Commitment to “No Diminution of Rights, Safeguards and Equality of Opportunity” in Northern Ireland: What does it Mean and How will it be Implemented?’ (NIO, 2020), at para 13.</w:t>
      </w:r>
    </w:p>
  </w:footnote>
  <w:footnote w:id="103">
    <w:p w14:paraId="56FDE5EF" w14:textId="77777777" w:rsidR="00F25304" w:rsidRPr="00180820" w:rsidRDefault="00F25304" w:rsidP="00180820">
      <w:pPr>
        <w:pStyle w:val="FootnoteText"/>
        <w:spacing w:line="240" w:lineRule="auto"/>
        <w:rPr>
          <w:rFonts w:cstheme="majorHAnsi"/>
          <w:color w:val="77328A"/>
          <w:sz w:val="16"/>
          <w:szCs w:val="16"/>
        </w:rPr>
      </w:pPr>
      <w:r w:rsidRPr="00180820">
        <w:rPr>
          <w:rStyle w:val="FootnoteReference"/>
          <w:rFonts w:cstheme="majorHAnsi"/>
          <w:color w:val="77328A"/>
          <w:sz w:val="16"/>
          <w:szCs w:val="16"/>
        </w:rPr>
        <w:footnoteRef/>
      </w:r>
      <w:r w:rsidRPr="00180820">
        <w:rPr>
          <w:rFonts w:cstheme="majorHAnsi"/>
          <w:color w:val="77328A"/>
          <w:sz w:val="16"/>
          <w:szCs w:val="16"/>
        </w:rPr>
        <w:t xml:space="preserve"> For example, Directive 2016/2102/EU ‘EU Parliament and Council Directive on the accessibility of the websites and mobile applications of public sector bodies’, 26 October 2016; and Regulation (EC) 1107/2006, ‘EU Parliament and Council Regulation concerning the rights of disabled persons and persons with reduced mobility when travelling by air’, 5 July 2006. (See table of EU law in Appendix to NI Human Rights Commission and Equality Commission for NI, ‘</w:t>
      </w:r>
      <w:hyperlink r:id="rId1" w:history="1">
        <w:r w:rsidRPr="00180820">
          <w:rPr>
            <w:rFonts w:cstheme="majorHAnsi"/>
            <w:color w:val="77328A"/>
            <w:sz w:val="16"/>
            <w:szCs w:val="16"/>
          </w:rPr>
          <w:t>Working Paper: The Scope of Article 2(1) of the Ireland/ Northern Ireland Protocol</w:t>
        </w:r>
      </w:hyperlink>
      <w:r w:rsidRPr="00180820">
        <w:rPr>
          <w:rFonts w:cstheme="majorHAnsi"/>
          <w:color w:val="77328A"/>
          <w:sz w:val="16"/>
          <w:szCs w:val="16"/>
        </w:rPr>
        <w:t>’ (NIHRC and ECNI, 2022)).</w:t>
      </w:r>
    </w:p>
  </w:footnote>
  <w:footnote w:id="104">
    <w:p w14:paraId="3BE0D173" w14:textId="22234EF3" w:rsidR="00D33364" w:rsidRPr="00180820" w:rsidRDefault="00D33364"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Council Decision 2010/48/EC concerning the conclusion, by the European Community, of the United Nations Convention on the Rights of Persons with Disabilities, 26 November 2009. </w:t>
      </w:r>
    </w:p>
  </w:footnote>
  <w:footnote w:id="105">
    <w:p w14:paraId="3ACFFE59" w14:textId="77777777" w:rsidR="00D33364" w:rsidRPr="00180820" w:rsidRDefault="00D33364"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Article 4, UK-EU Withdrawal Agreement.</w:t>
      </w:r>
    </w:p>
  </w:footnote>
  <w:footnote w:id="106">
    <w:p w14:paraId="7C2ABA40" w14:textId="77777777" w:rsidR="00D33364" w:rsidRPr="00180820" w:rsidRDefault="00D33364"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w:t>
      </w:r>
      <w:r w:rsidRPr="00180820">
        <w:rPr>
          <w:rFonts w:cstheme="minorHAnsi"/>
          <w:i/>
          <w:iCs/>
          <w:color w:val="77328A"/>
          <w:sz w:val="16"/>
          <w:szCs w:val="16"/>
        </w:rPr>
        <w:t>Re SPUC Pro-Life Limited</w:t>
      </w:r>
      <w:r w:rsidRPr="00180820">
        <w:rPr>
          <w:rFonts w:cstheme="minorHAnsi"/>
          <w:color w:val="77328A"/>
          <w:sz w:val="16"/>
          <w:szCs w:val="16"/>
        </w:rPr>
        <w:t xml:space="preserve"> [2022] NIQB 9, at paras 105-106.</w:t>
      </w:r>
    </w:p>
  </w:footnote>
  <w:footnote w:id="107">
    <w:p w14:paraId="0E3811A1" w14:textId="77777777" w:rsidR="00D33364" w:rsidRPr="00180820" w:rsidRDefault="00D33364"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w:t>
      </w:r>
      <w:r w:rsidRPr="00180820">
        <w:rPr>
          <w:rFonts w:cstheme="minorHAnsi"/>
          <w:i/>
          <w:iCs/>
          <w:color w:val="77328A"/>
          <w:sz w:val="16"/>
          <w:szCs w:val="16"/>
        </w:rPr>
        <w:t>Society for the Protection of the Unborn Child Pro-Life Ltd v Secretary of State for NI</w:t>
      </w:r>
      <w:r w:rsidRPr="00180820">
        <w:rPr>
          <w:rFonts w:cstheme="minorHAnsi"/>
          <w:color w:val="77328A"/>
          <w:sz w:val="16"/>
          <w:szCs w:val="16"/>
        </w:rPr>
        <w:t xml:space="preserve"> [2023] NICA 35, at paras 57 and 68.</w:t>
      </w:r>
    </w:p>
  </w:footnote>
  <w:footnote w:id="108">
    <w:p w14:paraId="764029D9" w14:textId="77777777" w:rsidR="0035266C" w:rsidRPr="00180820" w:rsidRDefault="0035266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EU Parliament, ‘Resolution on the implementation of Council Directive 2000/78/EC establishing a general framework for equal treatment in employment and occupation in light of the UN CRPD’, 10 March 2021 (2021) OJ C 474/</w:t>
      </w:r>
      <w:r w:rsidRPr="00EE77A4">
        <w:rPr>
          <w:rFonts w:cstheme="minorHAnsi"/>
          <w:color w:val="77328A"/>
          <w:sz w:val="16"/>
          <w:szCs w:val="16"/>
        </w:rPr>
        <w:t>04</w:t>
      </w:r>
      <w:r w:rsidRPr="00EE77A4">
        <w:rPr>
          <w:rStyle w:val="Hyperlink"/>
          <w:rFonts w:cstheme="minorHAnsi"/>
          <w:color w:val="77328A"/>
          <w:sz w:val="16"/>
          <w:szCs w:val="16"/>
          <w:u w:val="none"/>
        </w:rPr>
        <w:t xml:space="preserve">; </w:t>
      </w:r>
      <w:r w:rsidRPr="00EE77A4">
        <w:rPr>
          <w:rFonts w:cstheme="minorHAnsi"/>
          <w:color w:val="77328A"/>
          <w:sz w:val="16"/>
          <w:szCs w:val="16"/>
        </w:rPr>
        <w:t>Directive</w:t>
      </w:r>
      <w:r w:rsidRPr="00180820">
        <w:rPr>
          <w:rFonts w:cstheme="minorHAnsi"/>
          <w:color w:val="77328A"/>
          <w:sz w:val="16"/>
          <w:szCs w:val="16"/>
        </w:rPr>
        <w:t xml:space="preserve"> 2000/78/EC, ‘EU Council Directive on Establishing a General Framework for Equal Treatment in Employment and Occupation’, 27 November 2000. See Sarah Craig, Anurag Deb, Eleni Frantziou, Alexander Horne, Colin Murray, Clare Rice and Jane Rooney, ‘European Union developments in Equality and Human Rights: The Impact of Brexit on the divergence of rights and best practice on the island of Ireland</w:t>
      </w:r>
      <w:r w:rsidRPr="00180820">
        <w:rPr>
          <w:rStyle w:val="Hyperlink"/>
          <w:rFonts w:cstheme="minorHAnsi"/>
          <w:color w:val="77328A"/>
          <w:sz w:val="16"/>
          <w:szCs w:val="16"/>
        </w:rPr>
        <w:t>’</w:t>
      </w:r>
      <w:r w:rsidRPr="00180820">
        <w:rPr>
          <w:rFonts w:cstheme="minorHAnsi"/>
          <w:color w:val="77328A"/>
          <w:sz w:val="16"/>
          <w:szCs w:val="16"/>
        </w:rPr>
        <w:t xml:space="preserve"> (ECNI, NIHRC and IHREC, 2022).</w:t>
      </w:r>
    </w:p>
  </w:footnote>
  <w:footnote w:id="109">
    <w:p w14:paraId="697D6AFB" w14:textId="77777777" w:rsidR="00FF4DA7" w:rsidRPr="00180820" w:rsidRDefault="00FF4DA7" w:rsidP="00180820">
      <w:pPr>
        <w:pStyle w:val="FootnoteText"/>
        <w:spacing w:line="240" w:lineRule="auto"/>
        <w:rPr>
          <w:rFonts w:cstheme="minorHAnsi"/>
          <w:color w:val="77328A"/>
          <w:sz w:val="16"/>
          <w:szCs w:val="16"/>
        </w:rPr>
      </w:pPr>
      <w:r w:rsidRPr="00180820">
        <w:rPr>
          <w:rStyle w:val="FootnoteReference"/>
          <w:rFonts w:cstheme="majorHAnsi"/>
          <w:color w:val="77328A"/>
          <w:sz w:val="16"/>
          <w:szCs w:val="16"/>
        </w:rPr>
        <w:footnoteRef/>
      </w:r>
      <w:r w:rsidRPr="00180820">
        <w:rPr>
          <w:rFonts w:cstheme="majorHAnsi"/>
          <w:color w:val="77328A"/>
          <w:sz w:val="16"/>
          <w:szCs w:val="16"/>
        </w:rPr>
        <w:t xml:space="preserve"> See table of EU law in Appendix to NI Human Rights Commission and Equality Commission for NI, ‘</w:t>
      </w:r>
      <w:hyperlink r:id="rId2" w:history="1">
        <w:r w:rsidRPr="00180820">
          <w:rPr>
            <w:rFonts w:cstheme="majorHAnsi"/>
            <w:color w:val="77328A"/>
            <w:sz w:val="16"/>
            <w:szCs w:val="16"/>
          </w:rPr>
          <w:t>Working Paper: The Scope of Article 2(1) of the Ireland/ Northern Ireland Protocol</w:t>
        </w:r>
      </w:hyperlink>
      <w:r w:rsidRPr="00180820">
        <w:rPr>
          <w:rFonts w:cstheme="majorHAnsi"/>
          <w:color w:val="77328A"/>
          <w:sz w:val="16"/>
          <w:szCs w:val="16"/>
        </w:rPr>
        <w:t>’ (NIHRC and ECNI, 2022).</w:t>
      </w:r>
    </w:p>
  </w:footnote>
  <w:footnote w:id="110">
    <w:p w14:paraId="7BDE004E" w14:textId="77777777" w:rsidR="00FF4DA7" w:rsidRPr="00180820" w:rsidRDefault="00FF4DA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2006/42/EC, ‘EU Parliament and Council Directive on machinery, and amending Directive 95/16/EC (recast)’, 17 May 2006.</w:t>
      </w:r>
    </w:p>
  </w:footnote>
  <w:footnote w:id="111">
    <w:p w14:paraId="0EBE9FFC" w14:textId="7E13B7F3" w:rsidR="00FF4DA7" w:rsidRPr="00180820" w:rsidRDefault="00FF4DA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Equality Commission for NI and NI Human Rights Commission, ‘Submission of the NIHRC and ECNI to the House of Lords Sub-Committee on the Protocol’s call for evidence for its inquiry on the Windsor Framework’ (ECNI and NIHRC, 2023).</w:t>
      </w:r>
    </w:p>
  </w:footnote>
  <w:footnote w:id="112">
    <w:p w14:paraId="431FB91B" w14:textId="77777777" w:rsidR="00FF4DA7" w:rsidRPr="00180820" w:rsidRDefault="00FF4DA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w:t>
      </w:r>
      <w:r w:rsidRPr="00180820">
        <w:rPr>
          <w:rFonts w:cstheme="minorHAnsi"/>
          <w:i/>
          <w:color w:val="77328A"/>
          <w:sz w:val="16"/>
          <w:szCs w:val="16"/>
        </w:rPr>
        <w:t>Szpital Kliniczny im. dra J. Babińskiego Samodzielny Publiczny Zakład Opieki Zdrowotnej w Krakowi</w:t>
      </w:r>
      <w:r w:rsidRPr="00180820">
        <w:rPr>
          <w:rFonts w:cstheme="minorHAnsi"/>
          <w:color w:val="77328A"/>
          <w:sz w:val="16"/>
          <w:szCs w:val="16"/>
        </w:rPr>
        <w:t xml:space="preserve">e, Case C-16/19, 29 January 2021.  </w:t>
      </w:r>
      <w:r w:rsidRPr="00180820">
        <w:rPr>
          <w:rStyle w:val="Hyperlink"/>
          <w:rFonts w:cstheme="minorHAnsi"/>
          <w:color w:val="77328A"/>
          <w:sz w:val="16"/>
          <w:szCs w:val="16"/>
          <w:u w:val="none"/>
        </w:rPr>
        <w:t>The CJEU ruled that under Article 1 of the Framework Equality Directive the definition of ‘disability discrimination’ should include discrimination between persons with disabilities. It also ruled that under Article 2 of this Directive any form of discrimination which is inextricably linked to a protected characteristic amounts to direct discrimination, rather than indirect discrimination.</w:t>
      </w:r>
    </w:p>
  </w:footnote>
  <w:footnote w:id="113">
    <w:p w14:paraId="330D0704" w14:textId="77777777" w:rsidR="00FF4DA7" w:rsidRPr="00180820" w:rsidRDefault="00FF4DA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Sarah Craig, Anurag Deb, Eleni Frantziou, Alexander Horne, Colin Murray, Clare Rice and Jane Rooney, ‘European Union developments in Equality and Human Rights: The Impact of Brexit on the divergence of rights and best practice on the island of Ireland</w:t>
      </w:r>
      <w:r w:rsidRPr="00180820">
        <w:rPr>
          <w:rStyle w:val="Hyperlink"/>
          <w:rFonts w:cstheme="minorHAnsi"/>
          <w:color w:val="77328A"/>
          <w:sz w:val="16"/>
          <w:szCs w:val="16"/>
        </w:rPr>
        <w:t>’</w:t>
      </w:r>
      <w:r w:rsidRPr="00180820">
        <w:rPr>
          <w:rFonts w:cstheme="minorHAnsi"/>
          <w:color w:val="77328A"/>
          <w:sz w:val="16"/>
          <w:szCs w:val="16"/>
        </w:rPr>
        <w:t xml:space="preserve"> (ECNI, NIHRC and IHREC, 2022), at 69.</w:t>
      </w:r>
    </w:p>
  </w:footnote>
  <w:footnote w:id="114">
    <w:p w14:paraId="15D305DD" w14:textId="77777777" w:rsidR="00FF4DA7" w:rsidRPr="00180820" w:rsidRDefault="00FF4DA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w:t>
      </w:r>
      <w:r w:rsidRPr="00180820">
        <w:rPr>
          <w:rFonts w:cstheme="minorHAnsi"/>
          <w:i/>
          <w:color w:val="77328A"/>
          <w:sz w:val="16"/>
          <w:szCs w:val="16"/>
        </w:rPr>
        <w:t xml:space="preserve">TC and UB v </w:t>
      </w:r>
      <w:r w:rsidRPr="00180820">
        <w:rPr>
          <w:rFonts w:cstheme="minorHAnsi"/>
          <w:i/>
          <w:color w:val="77328A"/>
          <w:sz w:val="16"/>
          <w:szCs w:val="16"/>
        </w:rPr>
        <w:t>Komisia za zashtita ot diskriminatsia and VA</w:t>
      </w:r>
      <w:r w:rsidRPr="00180820">
        <w:rPr>
          <w:rFonts w:cstheme="minorHAnsi"/>
          <w:color w:val="77328A"/>
          <w:sz w:val="16"/>
          <w:szCs w:val="16"/>
        </w:rPr>
        <w:t xml:space="preserve"> (‘Jurors’), Case C-824/19, 21 October 2021.</w:t>
      </w:r>
    </w:p>
  </w:footnote>
  <w:footnote w:id="115">
    <w:p w14:paraId="5B94A7DB" w14:textId="77777777" w:rsidR="00FF4DA7" w:rsidRPr="00180820" w:rsidRDefault="00FF4DA7"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w:t>
      </w:r>
      <w:r w:rsidRPr="00180820">
        <w:rPr>
          <w:rFonts w:cstheme="minorHAnsi"/>
          <w:i/>
          <w:iCs/>
          <w:color w:val="77328A"/>
          <w:sz w:val="16"/>
          <w:szCs w:val="16"/>
        </w:rPr>
        <w:t xml:space="preserve">XX v Tartu </w:t>
      </w:r>
      <w:r w:rsidRPr="00180820">
        <w:rPr>
          <w:rFonts w:cstheme="minorHAnsi"/>
          <w:i/>
          <w:iCs/>
          <w:color w:val="77328A"/>
          <w:sz w:val="16"/>
          <w:szCs w:val="16"/>
        </w:rPr>
        <w:t>Vangla</w:t>
      </w:r>
      <w:r w:rsidRPr="00180820">
        <w:rPr>
          <w:rFonts w:cstheme="minorHAnsi"/>
          <w:color w:val="77328A"/>
          <w:sz w:val="16"/>
          <w:szCs w:val="16"/>
        </w:rPr>
        <w:t>, Case C-795/19, 15 July 2021.</w:t>
      </w:r>
    </w:p>
  </w:footnote>
  <w:footnote w:id="116">
    <w:p w14:paraId="06BB126B" w14:textId="77777777" w:rsidR="009F708C" w:rsidRPr="00180820" w:rsidRDefault="009F708C"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Directive 2000/43/EC, ‘EU Council Directive on Implementing the Principle of Equal Treatment between Persons Irrespective of Racial or Ethnic Origin’, 29 June 2000.  Pursuant to Article 13, Windsor Framework, NI equality law must keep pace with any enhancements made by the EU to the six Annex 1 directives, on or after 1 January 2021, including monitoring current and future CJEU case law.</w:t>
      </w:r>
    </w:p>
  </w:footnote>
  <w:footnote w:id="117">
    <w:p w14:paraId="51BE45AC" w14:textId="77777777" w:rsidR="009F708C" w:rsidRPr="00180820" w:rsidRDefault="009F708C"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Alison Harvey, ‘Article 2 of the Windsor Framework and the rights of refugees and persons seeking asylum’ (NIHRC, 2023).</w:t>
      </w:r>
    </w:p>
  </w:footnote>
  <w:footnote w:id="118">
    <w:p w14:paraId="18BF9E88" w14:textId="649F73CC" w:rsidR="00FA2AA3" w:rsidRPr="00180820" w:rsidRDefault="00FA2AA3"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w:t>
      </w:r>
      <w:r w:rsidR="00EE77A4" w:rsidRPr="006910C9">
        <w:rPr>
          <w:i/>
          <w:iCs/>
          <w:color w:val="77328A"/>
          <w:sz w:val="16"/>
          <w:szCs w:val="16"/>
        </w:rPr>
        <w:t xml:space="preserve">In the Matter of an Application by the NI Human </w:t>
      </w:r>
      <w:r w:rsidR="00EE77A4">
        <w:rPr>
          <w:i/>
          <w:iCs/>
          <w:color w:val="77328A"/>
          <w:sz w:val="16"/>
          <w:szCs w:val="16"/>
        </w:rPr>
        <w:t>Ri</w:t>
      </w:r>
      <w:r w:rsidR="00EE77A4" w:rsidRPr="006910C9">
        <w:rPr>
          <w:i/>
          <w:iCs/>
          <w:color w:val="77328A"/>
          <w:sz w:val="16"/>
          <w:szCs w:val="16"/>
        </w:rPr>
        <w:t>ghts Commission</w:t>
      </w:r>
      <w:r w:rsidR="00EE77A4">
        <w:rPr>
          <w:i/>
          <w:iCs/>
          <w:color w:val="77328A"/>
          <w:sz w:val="16"/>
          <w:szCs w:val="16"/>
        </w:rPr>
        <w:t xml:space="preserve"> for Judicial Review</w:t>
      </w:r>
      <w:r w:rsidR="00EE77A4">
        <w:rPr>
          <w:i/>
          <w:iCs/>
          <w:color w:val="77328A"/>
        </w:rPr>
        <w:t xml:space="preserve"> </w:t>
      </w:r>
      <w:r w:rsidR="003B4321" w:rsidRPr="00180820">
        <w:rPr>
          <w:rStyle w:val="ui-provider"/>
          <w:color w:val="77328A"/>
          <w:sz w:val="16"/>
          <w:szCs w:val="16"/>
        </w:rPr>
        <w:t xml:space="preserve">[2024] NIKB 35, </w:t>
      </w:r>
      <w:r w:rsidR="003B4321" w:rsidRPr="00180820">
        <w:rPr>
          <w:color w:val="77328A"/>
          <w:sz w:val="16"/>
          <w:szCs w:val="16"/>
        </w:rPr>
        <w:t>a</w:t>
      </w:r>
      <w:r w:rsidRPr="00180820">
        <w:rPr>
          <w:color w:val="77328A"/>
          <w:sz w:val="16"/>
          <w:szCs w:val="16"/>
        </w:rPr>
        <w:t>t par</w:t>
      </w:r>
      <w:r w:rsidR="003B4321" w:rsidRPr="00180820">
        <w:rPr>
          <w:color w:val="77328A"/>
          <w:sz w:val="16"/>
          <w:szCs w:val="16"/>
        </w:rPr>
        <w:t>a</w:t>
      </w:r>
      <w:r w:rsidRPr="00180820">
        <w:rPr>
          <w:color w:val="77328A"/>
          <w:sz w:val="16"/>
          <w:szCs w:val="16"/>
        </w:rPr>
        <w:t xml:space="preserve"> 69. </w:t>
      </w:r>
    </w:p>
  </w:footnote>
  <w:footnote w:id="119">
    <w:p w14:paraId="5716C4BC" w14:textId="77777777" w:rsidR="009F708C" w:rsidRPr="00180820" w:rsidRDefault="009F708C"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Directive 2000/43/EC, ‘EU Council Directive on Implementing the Principle of Equal Treatment between Persons Irrespective of Racial or Ethnic Origin’, 29 June 2000.</w:t>
      </w:r>
    </w:p>
  </w:footnote>
  <w:footnote w:id="120">
    <w:p w14:paraId="1F865184" w14:textId="77777777" w:rsidR="009F708C" w:rsidRPr="00180820" w:rsidRDefault="009F708C"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EU Commission, ‘Addressing possible gaps in the Racial Equality Directive – Public Consultation’ (EU, 2022).</w:t>
      </w:r>
    </w:p>
  </w:footnote>
  <w:footnote w:id="121">
    <w:p w14:paraId="7EF1FA09" w14:textId="77777777" w:rsidR="009F708C" w:rsidRPr="00180820" w:rsidRDefault="009F708C"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NI Human Rights Commission, ‘Response to the European Commission Consultation on the Racial Equality Directive (Directive 2000/43/EC)’ (NIHRC, 2022). </w:t>
      </w:r>
    </w:p>
  </w:footnote>
  <w:footnote w:id="122">
    <w:p w14:paraId="2412173E" w14:textId="77777777" w:rsidR="009F708C" w:rsidRPr="00180820" w:rsidRDefault="009F708C"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NI Human Rights Commission, ‘Response to the European Commission Consultation on the Racial Equality Directive (Directive 2000/43/EC)’ (NIHRC, 2022).</w:t>
      </w:r>
    </w:p>
  </w:footnote>
  <w:footnote w:id="123">
    <w:p w14:paraId="6512759F" w14:textId="77777777" w:rsidR="009F708C" w:rsidRPr="00180820" w:rsidRDefault="009F708C"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NI Human Rights Commission, ‘Response to the European Commission Consultation on the Racial Equality Directive (Directive 2000/43/EC)’ (NIHRC, 2022).</w:t>
      </w:r>
    </w:p>
  </w:footnote>
  <w:footnote w:id="124">
    <w:p w14:paraId="10373546" w14:textId="1A34168E" w:rsidR="009F708C" w:rsidRPr="00180820" w:rsidRDefault="009F708C" w:rsidP="00180820">
      <w:pPr>
        <w:spacing w:line="240" w:lineRule="auto"/>
        <w:rPr>
          <w:rFonts w:cstheme="minorHAnsi"/>
          <w:color w:val="77328A"/>
          <w:sz w:val="16"/>
          <w:szCs w:val="16"/>
        </w:rPr>
      </w:pPr>
      <w:r w:rsidRPr="00180820">
        <w:rPr>
          <w:rStyle w:val="FootnoteReference"/>
          <w:color w:val="77328A"/>
          <w:sz w:val="16"/>
          <w:szCs w:val="16"/>
        </w:rPr>
        <w:footnoteRef/>
      </w:r>
      <w:r w:rsidRPr="00180820">
        <w:rPr>
          <w:rFonts w:cs="Aptos"/>
          <w:color w:val="77328A"/>
          <w:sz w:val="16"/>
          <w:szCs w:val="16"/>
        </w:rPr>
        <w:t xml:space="preserve"> </w:t>
      </w:r>
      <w:r w:rsidR="00E15B50" w:rsidRPr="00180820">
        <w:rPr>
          <w:rFonts w:cs="Aptos"/>
          <w:color w:val="77328A"/>
          <w:sz w:val="16"/>
          <w:szCs w:val="16"/>
        </w:rPr>
        <w:t>Directive (EU) 2024/1499, ‘Council Directive on standards for equality bodies in the field of equal treatment between persons irrespective of their racial or ethnic origin, equal treatment in matters of employment and occupation between persons irrespective of their religion or belief, disability, age or sexual orientation, equal treatment between women and men in matters of social security and in the access to and supply of goods and services, and amending Directives 2000/43/EC and 2004/113/EC’, 7 May 2024; Directive (EU) 2024/1500, ‘European Parliament and of the Council of on standards for equality bodies in the field of equal treatment and equal opportunities between women and men in matters of employment and occupation, and amending Directives 2006/54/EC and 2010/41/EU’, 14 May 2024</w:t>
      </w:r>
      <w:r w:rsidR="00E15B50" w:rsidRPr="00180820">
        <w:rPr>
          <w:rFonts w:cstheme="minorHAnsi"/>
          <w:color w:val="77328A"/>
          <w:sz w:val="16"/>
          <w:szCs w:val="16"/>
        </w:rPr>
        <w:t>.</w:t>
      </w:r>
    </w:p>
  </w:footnote>
  <w:footnote w:id="125">
    <w:p w14:paraId="3103701C" w14:textId="77777777" w:rsidR="009F708C" w:rsidRPr="00180820" w:rsidRDefault="009F708C" w:rsidP="00180820">
      <w:pPr>
        <w:pStyle w:val="Footnote"/>
      </w:pPr>
      <w:r w:rsidRPr="00180820">
        <w:rPr>
          <w:rStyle w:val="FootnoteReference"/>
        </w:rPr>
        <w:footnoteRef/>
      </w:r>
      <w:r w:rsidRPr="00180820">
        <w:rPr>
          <w:rFonts w:cs="Aptos"/>
        </w:rPr>
        <w:t xml:space="preserve"> Article 13(3), Windsor Framework; Directive 2000/43/EC, ‘Council of the EU Directive on Implementing the Principle of Equal Treatment Between Persons Irrespective of Racial or Ethnic Origin’, 29 June 2000.</w:t>
      </w:r>
    </w:p>
  </w:footnote>
  <w:footnote w:id="126">
    <w:p w14:paraId="6BF0A60E" w14:textId="77777777" w:rsidR="009F708C" w:rsidRPr="00180820" w:rsidRDefault="009F708C" w:rsidP="00180820">
      <w:pPr>
        <w:pStyle w:val="NIHRCFootnotes"/>
        <w:spacing w:line="240" w:lineRule="auto"/>
      </w:pPr>
      <w:r w:rsidRPr="00180820">
        <w:rPr>
          <w:rStyle w:val="FootnoteReference"/>
        </w:rPr>
        <w:footnoteRef/>
      </w:r>
      <w:r w:rsidRPr="00180820">
        <w:rPr>
          <w:rFonts w:cs="Aptos"/>
        </w:rPr>
        <w:t xml:space="preserve"> The Executive Office, 'Racial Equality Strategy 2015-2025' (TEO, 2015).</w:t>
      </w:r>
    </w:p>
  </w:footnote>
  <w:footnote w:id="127">
    <w:p w14:paraId="58E7541E" w14:textId="0B52645B" w:rsidR="009F708C" w:rsidRPr="00180820" w:rsidRDefault="009F708C" w:rsidP="00180820">
      <w:pPr>
        <w:pStyle w:val="FootnoteText"/>
        <w:spacing w:line="240" w:lineRule="auto"/>
        <w:rPr>
          <w:color w:val="77328A"/>
          <w:sz w:val="16"/>
          <w:szCs w:val="16"/>
        </w:rPr>
      </w:pPr>
      <w:r w:rsidRPr="00180820">
        <w:rPr>
          <w:rStyle w:val="FootnoteReference"/>
          <w:color w:val="77328A"/>
          <w:sz w:val="16"/>
          <w:szCs w:val="16"/>
        </w:rPr>
        <w:footnoteRef/>
      </w:r>
      <w:r w:rsidRPr="00180820">
        <w:rPr>
          <w:color w:val="77328A"/>
          <w:sz w:val="16"/>
          <w:szCs w:val="16"/>
        </w:rPr>
        <w:t xml:space="preserve"> NI Human Rights Commission, ‘Response to The Executive Office’s Consultation on the Review of the Race Relations (NI) Order 1997’ (NIHRC, 2023)</w:t>
      </w:r>
      <w:r w:rsidR="007A7D6E" w:rsidRPr="00180820">
        <w:rPr>
          <w:color w:val="77328A"/>
          <w:sz w:val="16"/>
          <w:szCs w:val="16"/>
        </w:rPr>
        <w:t>.</w:t>
      </w:r>
    </w:p>
  </w:footnote>
  <w:footnote w:id="128">
    <w:p w14:paraId="780BFA19" w14:textId="77777777" w:rsidR="002C1FE4" w:rsidRPr="00180820" w:rsidRDefault="002C1FE4"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Article 13, Windsor Framework.</w:t>
      </w:r>
    </w:p>
  </w:footnote>
  <w:footnote w:id="129">
    <w:p w14:paraId="3B856345" w14:textId="77777777" w:rsidR="008E16EC" w:rsidRPr="00180820" w:rsidRDefault="008E16E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NI Human Rights Commission and Equality Commission for NI, ‘Working Paper: The Scope of Article 2(1) of the Ireland/ Northern Ireland Protocol</w:t>
      </w:r>
      <w:r w:rsidRPr="00180820">
        <w:rPr>
          <w:rStyle w:val="Hyperlink"/>
          <w:rFonts w:cstheme="minorHAnsi"/>
          <w:color w:val="77328A"/>
          <w:sz w:val="16"/>
          <w:szCs w:val="16"/>
          <w:u w:val="none"/>
        </w:rPr>
        <w:t>’</w:t>
      </w:r>
      <w:r w:rsidRPr="00180820">
        <w:rPr>
          <w:rFonts w:cstheme="minorHAnsi"/>
          <w:color w:val="77328A"/>
          <w:sz w:val="16"/>
          <w:szCs w:val="16"/>
        </w:rPr>
        <w:t xml:space="preserve"> (NIHRC and ECNI, 2022).</w:t>
      </w:r>
    </w:p>
  </w:footnote>
  <w:footnote w:id="130">
    <w:p w14:paraId="0E37D4B0" w14:textId="77777777" w:rsidR="003A1BF4" w:rsidRPr="00180820" w:rsidRDefault="003A1BF4"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NI Human Rights Commission and Equality Commission for NI, ‘Annual Report of the NIHRC and the ECNI on the implementation of Protocol Article 2 2021 – 2022’ (NIHRC and ECNI, 2022).</w:t>
      </w:r>
    </w:p>
  </w:footnote>
  <w:footnote w:id="131">
    <w:p w14:paraId="032E9BAC" w14:textId="77777777" w:rsidR="00957DD4" w:rsidRPr="00180820" w:rsidRDefault="00957DD4" w:rsidP="00180820">
      <w:pPr>
        <w:pStyle w:val="FootnoteText"/>
        <w:spacing w:line="240" w:lineRule="auto"/>
        <w:rPr>
          <w:rFonts w:cstheme="minorHAnsi"/>
          <w:color w:val="77328A"/>
          <w:sz w:val="16"/>
          <w:szCs w:val="16"/>
        </w:rPr>
      </w:pPr>
      <w:r w:rsidRPr="00180820">
        <w:rPr>
          <w:rStyle w:val="FootnoteReference"/>
          <w:color w:val="77328A"/>
          <w:sz w:val="16"/>
          <w:szCs w:val="16"/>
        </w:rPr>
        <w:footnoteRef/>
      </w:r>
      <w:r w:rsidRPr="00180820">
        <w:rPr>
          <w:color w:val="77328A"/>
          <w:sz w:val="16"/>
          <w:szCs w:val="16"/>
        </w:rPr>
        <w:t xml:space="preserve"> </w:t>
      </w:r>
      <w:r w:rsidRPr="00180820">
        <w:rPr>
          <w:rFonts w:cstheme="minorHAnsi"/>
          <w:color w:val="77328A"/>
          <w:sz w:val="16"/>
          <w:szCs w:val="16"/>
        </w:rPr>
        <w:t>Sarah Craig, Anurag Deb, Eleni Frantziou, Alexander Horne, Colin Murray, Clare Rice and Jane Rooney, ‘European Union developments in Equality and Human Rights: The Impact of Brexit on the divergence of rights and best practice on the island of Ireland</w:t>
      </w:r>
      <w:r w:rsidRPr="00180820">
        <w:rPr>
          <w:rStyle w:val="Hyperlink"/>
          <w:rFonts w:cstheme="minorHAnsi"/>
          <w:color w:val="77328A"/>
          <w:sz w:val="16"/>
          <w:szCs w:val="16"/>
        </w:rPr>
        <w:t>’</w:t>
      </w:r>
      <w:r w:rsidRPr="00180820">
        <w:rPr>
          <w:rFonts w:cstheme="minorHAnsi"/>
          <w:color w:val="77328A"/>
          <w:sz w:val="16"/>
          <w:szCs w:val="16"/>
        </w:rPr>
        <w:t xml:space="preserve"> (ECNI, NIHRC, IHREC 2022); Equality Commission for NI, NI Human Rights Commission and Irish Human Rights and Equality Commission, ‘Policy Recommendations: European Union developments in Equality and Human Rights: The Impact of Brexit on the divergence of rights and best practice on the island of Ireland</w:t>
      </w:r>
      <w:r w:rsidRPr="00180820">
        <w:rPr>
          <w:rStyle w:val="Hyperlink"/>
          <w:rFonts w:cstheme="minorHAnsi"/>
          <w:color w:val="77328A"/>
          <w:sz w:val="16"/>
          <w:szCs w:val="16"/>
        </w:rPr>
        <w:t>’</w:t>
      </w:r>
      <w:r w:rsidRPr="00180820">
        <w:rPr>
          <w:rFonts w:cstheme="minorHAnsi"/>
          <w:color w:val="77328A"/>
          <w:sz w:val="16"/>
          <w:szCs w:val="16"/>
        </w:rPr>
        <w:t xml:space="preserve"> (ECNI, NIHRC and IHREC, 2023).</w:t>
      </w:r>
    </w:p>
  </w:footnote>
  <w:footnote w:id="132">
    <w:p w14:paraId="2E16BA6D" w14:textId="77777777" w:rsidR="00957DD4" w:rsidRPr="00180820" w:rsidRDefault="00957DD4"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b/>
          <w:color w:val="77328A"/>
          <w:sz w:val="16"/>
          <w:szCs w:val="16"/>
          <w:lang w:val="en-US"/>
        </w:rPr>
        <w:t xml:space="preserve"> </w:t>
      </w:r>
      <w:r w:rsidRPr="00180820">
        <w:rPr>
          <w:rFonts w:cstheme="minorHAnsi"/>
          <w:color w:val="77328A"/>
          <w:sz w:val="16"/>
          <w:szCs w:val="16"/>
        </w:rPr>
        <w:t>Directive 2019/1158/EU, ‘EU Parliament and Council Directive on work-life balance for parents and carers’, 20 June 2019.</w:t>
      </w:r>
    </w:p>
  </w:footnote>
  <w:footnote w:id="133">
    <w:p w14:paraId="38FAB022" w14:textId="77777777" w:rsidR="00957DD4" w:rsidRPr="00180820" w:rsidRDefault="00957DD4"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w:t>
      </w:r>
      <w:r w:rsidRPr="00180820">
        <w:rPr>
          <w:rFonts w:cstheme="minorHAnsi"/>
          <w:color w:val="77328A"/>
          <w:sz w:val="16"/>
          <w:szCs w:val="16"/>
          <w:lang w:val="en-US"/>
        </w:rPr>
        <w:t>Directive 2019/882/EU, ‘</w:t>
      </w:r>
      <w:r w:rsidRPr="00180820">
        <w:rPr>
          <w:rFonts w:cstheme="minorHAnsi"/>
          <w:color w:val="77328A"/>
          <w:sz w:val="16"/>
          <w:szCs w:val="16"/>
        </w:rPr>
        <w:t xml:space="preserve">EU Parliament and Council Directive </w:t>
      </w:r>
      <w:r w:rsidRPr="00180820">
        <w:rPr>
          <w:rFonts w:cstheme="minorHAnsi"/>
          <w:color w:val="77328A"/>
          <w:sz w:val="16"/>
          <w:szCs w:val="16"/>
          <w:lang w:val="en-US"/>
        </w:rPr>
        <w:t>on the accessibility requirements for products and services’, 17 April 2019.</w:t>
      </w:r>
    </w:p>
  </w:footnote>
  <w:footnote w:id="134">
    <w:p w14:paraId="71F1F2DC" w14:textId="77777777" w:rsidR="0036352A" w:rsidRPr="00180820" w:rsidRDefault="0036352A"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Article 13(2), Windsor Framework. See Equality Commission for NI, NI Human Rights Commission and Irish Human Rights and Equality Commission, ‘Policy Recommendations: European Union developments in Equality and Human Rights: The Impact of Brexit on the divergence of rights and best practice on the island of </w:t>
      </w:r>
      <w:r w:rsidRPr="00EE77A4">
        <w:rPr>
          <w:rFonts w:cstheme="minorHAnsi"/>
          <w:color w:val="77328A"/>
          <w:sz w:val="16"/>
          <w:szCs w:val="16"/>
        </w:rPr>
        <w:t>Ireland</w:t>
      </w:r>
      <w:r w:rsidRPr="00EE77A4">
        <w:rPr>
          <w:rStyle w:val="Hyperlink"/>
          <w:rFonts w:cstheme="minorHAnsi"/>
          <w:color w:val="77328A"/>
          <w:sz w:val="16"/>
          <w:szCs w:val="16"/>
          <w:u w:val="none"/>
        </w:rPr>
        <w:t>’</w:t>
      </w:r>
      <w:r w:rsidRPr="00EE77A4">
        <w:rPr>
          <w:rFonts w:cstheme="minorHAnsi"/>
          <w:color w:val="77328A"/>
          <w:sz w:val="16"/>
          <w:szCs w:val="16"/>
        </w:rPr>
        <w:t xml:space="preserve"> (ECNI</w:t>
      </w:r>
      <w:r w:rsidRPr="00180820">
        <w:rPr>
          <w:rFonts w:cstheme="minorHAnsi"/>
          <w:color w:val="77328A"/>
          <w:sz w:val="16"/>
          <w:szCs w:val="16"/>
        </w:rPr>
        <w:t>, NIHRC and IHREC, 2023).</w:t>
      </w:r>
    </w:p>
  </w:footnote>
  <w:footnote w:id="135">
    <w:p w14:paraId="71ACBA5C" w14:textId="77777777" w:rsidR="008C1C18" w:rsidRPr="00180820" w:rsidRDefault="008C1C18"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Sarah Craig, Anurag Deb, Eleni Frantziou, Alexander Horne, Colin Murray, Clare Rice and Jane Rooney, ‘European Union developments in Equality and Human Rights: The Impact of Brexit on the divergence of rights and best practice on the island of Ireland</w:t>
      </w:r>
      <w:r w:rsidRPr="00180820">
        <w:rPr>
          <w:rStyle w:val="Hyperlink"/>
          <w:rFonts w:cstheme="minorHAnsi"/>
          <w:color w:val="77328A"/>
          <w:sz w:val="16"/>
          <w:szCs w:val="16"/>
        </w:rPr>
        <w:t>’</w:t>
      </w:r>
      <w:r w:rsidRPr="00180820">
        <w:rPr>
          <w:rFonts w:cstheme="minorHAnsi"/>
          <w:color w:val="77328A"/>
          <w:sz w:val="16"/>
          <w:szCs w:val="16"/>
        </w:rPr>
        <w:t xml:space="preserve"> (ECNI, NIHRC and IHREC, 2022).</w:t>
      </w:r>
    </w:p>
  </w:footnote>
  <w:footnote w:id="136">
    <w:p w14:paraId="0A765D6D" w14:textId="77777777" w:rsidR="008C1C18" w:rsidRPr="00180820" w:rsidRDefault="008C1C18"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w:t>
      </w:r>
      <w:r w:rsidRPr="00EE77A4">
        <w:rPr>
          <w:rFonts w:cstheme="minorHAnsi"/>
          <w:color w:val="77328A"/>
          <w:sz w:val="16"/>
          <w:szCs w:val="16"/>
        </w:rPr>
        <w:t>nd</w:t>
      </w:r>
      <w:r w:rsidRPr="00EE77A4">
        <w:rPr>
          <w:rStyle w:val="Hyperlink"/>
          <w:rFonts w:cstheme="minorHAnsi"/>
          <w:color w:val="77328A"/>
          <w:sz w:val="16"/>
          <w:szCs w:val="16"/>
          <w:u w:val="none"/>
        </w:rPr>
        <w:t>’</w:t>
      </w:r>
      <w:r w:rsidRPr="00EE77A4">
        <w:rPr>
          <w:rFonts w:cstheme="minorHAnsi"/>
          <w:color w:val="77328A"/>
          <w:sz w:val="16"/>
          <w:szCs w:val="16"/>
        </w:rPr>
        <w:t xml:space="preserve"> (ECNI</w:t>
      </w:r>
      <w:r w:rsidRPr="00180820">
        <w:rPr>
          <w:rFonts w:cstheme="minorHAnsi"/>
          <w:color w:val="77328A"/>
          <w:sz w:val="16"/>
          <w:szCs w:val="16"/>
        </w:rPr>
        <w:t>, NIHRC and IHREC, 2023), at 37-41 and 58-61.</w:t>
      </w:r>
    </w:p>
  </w:footnote>
  <w:footnote w:id="137">
    <w:p w14:paraId="310568B0" w14:textId="542A37BE" w:rsidR="00A51C76" w:rsidRPr="00180820" w:rsidRDefault="00A51C76"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w:t>
      </w:r>
      <w:r w:rsidRPr="00180820">
        <w:rPr>
          <w:rStyle w:val="Hyperlink"/>
          <w:rFonts w:cstheme="minorHAnsi"/>
          <w:color w:val="77328A"/>
          <w:sz w:val="16"/>
          <w:szCs w:val="16"/>
        </w:rPr>
        <w:t>’</w:t>
      </w:r>
      <w:r w:rsidRPr="00180820">
        <w:rPr>
          <w:rFonts w:cstheme="minorHAnsi"/>
          <w:color w:val="77328A"/>
          <w:sz w:val="16"/>
          <w:szCs w:val="16"/>
        </w:rPr>
        <w:t xml:space="preserve"> (ECNI, NIHRC and IHREC, 2023)</w:t>
      </w:r>
      <w:r w:rsidR="00EE77A4">
        <w:rPr>
          <w:rFonts w:cstheme="minorHAnsi"/>
          <w:color w:val="77328A"/>
          <w:sz w:val="16"/>
          <w:szCs w:val="16"/>
        </w:rPr>
        <w:t>.</w:t>
      </w:r>
    </w:p>
  </w:footnote>
  <w:footnote w:id="138">
    <w:p w14:paraId="378DF62A" w14:textId="77777777" w:rsidR="00A51C76" w:rsidRPr="00180820" w:rsidRDefault="00A51C76" w:rsidP="00180820">
      <w:pPr>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2022/2381</w:t>
      </w:r>
      <w:r w:rsidRPr="00180820">
        <w:rPr>
          <w:rStyle w:val="Hyperlink"/>
          <w:rFonts w:cstheme="minorHAnsi"/>
          <w:color w:val="77328A"/>
          <w:sz w:val="16"/>
          <w:szCs w:val="16"/>
          <w:u w:val="none"/>
        </w:rPr>
        <w:t>/EU, ‘</w:t>
      </w:r>
      <w:r w:rsidRPr="00180820">
        <w:rPr>
          <w:rFonts w:cstheme="minorHAnsi"/>
          <w:color w:val="77328A"/>
          <w:sz w:val="16"/>
          <w:szCs w:val="16"/>
        </w:rPr>
        <w:t>EU Parliament and Council Directive on improving the gender balance among directors of listed companies and related measures’, 23 November 2022.</w:t>
      </w:r>
    </w:p>
  </w:footnote>
  <w:footnote w:id="139">
    <w:p w14:paraId="28BD6C2F" w14:textId="77777777" w:rsidR="0093401A" w:rsidRPr="00180820" w:rsidRDefault="0093401A"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 (ECNI, NIHRC and IHREC, 2023).</w:t>
      </w:r>
    </w:p>
  </w:footnote>
  <w:footnote w:id="140">
    <w:p w14:paraId="3E96434A"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2019/1158/EU ‘EU Parliament and Council Directive on work-life balance for parents and carers’, 20 June 2019.</w:t>
      </w:r>
    </w:p>
  </w:footnote>
  <w:footnote w:id="141">
    <w:p w14:paraId="25A04626"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 (ECNI, NIHRC and IHREC, 2023), at para 4.69.</w:t>
      </w:r>
    </w:p>
  </w:footnote>
  <w:footnote w:id="142">
    <w:p w14:paraId="10AFF899"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2019/1158/EU ‘EU Parliament and Council Directive on work-life balance for parents and carers’, 20 June 2019.</w:t>
      </w:r>
    </w:p>
  </w:footnote>
  <w:footnote w:id="143">
    <w:p w14:paraId="49E0C26C"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2010/18/EU, ‘Council Directive implementing the revised Framework Agreement on parental leave concluded by BUSINESSEUROPE, UEAPME, CEEP and ETUC and repealing Directive 96/34/EC’, 8 March 2010.</w:t>
      </w:r>
    </w:p>
  </w:footnote>
  <w:footnote w:id="144">
    <w:p w14:paraId="4E8F95F4"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NI Human Rights Commission and Equality Commission for NI, ‘Working Paper: The Scope of Article 2(1) of the Ireland/ Northern Ireland Protocol’ (NIHRC and ECNI, 2022).</w:t>
      </w:r>
    </w:p>
  </w:footnote>
  <w:footnote w:id="145">
    <w:p w14:paraId="7578A0FB"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NI Office, ‘UK Government commitment to no diminution of rights, safeguards and equality of opportunity in Northern Ireland’ (NIO, 2020).</w:t>
      </w:r>
    </w:p>
  </w:footnote>
  <w:footnote w:id="146">
    <w:p w14:paraId="2FC4BA3D"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 (ECNI, NIHRC and IHREC, 2023), at 40-42.</w:t>
      </w:r>
    </w:p>
  </w:footnote>
  <w:footnote w:id="147">
    <w:p w14:paraId="29299625"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2019/1158/EU ‘EU Parliament and Council Directive on work-life balance for parents and carers’, 20 June 2019.</w:t>
      </w:r>
    </w:p>
  </w:footnote>
  <w:footnote w:id="148">
    <w:p w14:paraId="3B71D711"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2010/18/EU, ‘Council Directive implementing the revised Framework Agreement on parental leave concluded by BUSINESSEUROPE, UEAPME, CEEP and ETUC and repealing Directive 96/34/EC’, 8 March 2010.</w:t>
      </w:r>
    </w:p>
  </w:footnote>
  <w:footnote w:id="149">
    <w:p w14:paraId="195487E9" w14:textId="77777777" w:rsidR="00D258FC" w:rsidRPr="00180820" w:rsidRDefault="00D258FC"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Equality Commission for NI, NI Human Rights Commission and Irish Human Rights and Equality Commission, ‘Policy Recommendations: European Union developments in Equality and Human Rights: The Impact of Brexit on the divergence of rights and best practice on the island of Ireland’ (ECNI, NIHRC and IHREC, 2023), at 40-42.</w:t>
      </w:r>
    </w:p>
  </w:footnote>
  <w:footnote w:id="150">
    <w:p w14:paraId="1D92FC26" w14:textId="77777777" w:rsidR="00DA662B" w:rsidRPr="00180820" w:rsidRDefault="00DA662B"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Directive 2019/882/EU, ‘Directive of the EU Parliament and Council on the accessibility requirements for products and services (European Accessibility Act)’, 17 April 2019. </w:t>
      </w:r>
    </w:p>
  </w:footnote>
  <w:footnote w:id="151">
    <w:p w14:paraId="2ADFFAA6" w14:textId="77777777" w:rsidR="00DA662B" w:rsidRPr="00180820" w:rsidRDefault="00DA662B"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The European Accessibility Act does not fall directly under the Windsor Framework Article 2 commitment.  See Sarah Craig, Anurag Deb, Eleni Frantziou, Alexander Horne, Colin Murray, Clare Rice and Jane Rooney, ‘European Union developments in Equality and Human Rights: The Impact of Brexit on the divergence of rights and best practice on the island of Ireland</w:t>
      </w:r>
      <w:r w:rsidRPr="00180820">
        <w:rPr>
          <w:rStyle w:val="Hyperlink"/>
          <w:rFonts w:cstheme="minorHAnsi"/>
          <w:color w:val="77328A"/>
          <w:sz w:val="16"/>
          <w:szCs w:val="16"/>
        </w:rPr>
        <w:t>’</w:t>
      </w:r>
      <w:r w:rsidRPr="00180820">
        <w:rPr>
          <w:rFonts w:cstheme="minorHAnsi"/>
          <w:color w:val="77328A"/>
          <w:sz w:val="16"/>
          <w:szCs w:val="16"/>
        </w:rPr>
        <w:t xml:space="preserve"> (ECNI, NIHRC and IHREC, 2022), at 104.</w:t>
      </w:r>
    </w:p>
  </w:footnote>
  <w:footnote w:id="152">
    <w:p w14:paraId="6D9F78A9" w14:textId="72A95DAB" w:rsidR="00DA662B" w:rsidRPr="00180820" w:rsidRDefault="00DA662B"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EU Commission, ‘Employment, Social Affairs &amp; Inclusion: European accessibility act’. Available at </w:t>
      </w:r>
      <w:hyperlink r:id="rId3">
        <w:r w:rsidRPr="00180820">
          <w:rPr>
            <w:rStyle w:val="Hyperlink"/>
            <w:rFonts w:cstheme="minorHAnsi"/>
            <w:color w:val="77328A"/>
            <w:sz w:val="16"/>
            <w:szCs w:val="16"/>
          </w:rPr>
          <w:t>https://ec.europa.eu/social/main.jsp?catId=1202</w:t>
        </w:r>
      </w:hyperlink>
      <w:r w:rsidRPr="00180820">
        <w:rPr>
          <w:rFonts w:cstheme="minorHAnsi"/>
          <w:color w:val="77328A"/>
          <w:sz w:val="16"/>
          <w:szCs w:val="16"/>
        </w:rPr>
        <w:t>.</w:t>
      </w:r>
    </w:p>
  </w:footnote>
  <w:footnote w:id="153">
    <w:p w14:paraId="7BA85B80" w14:textId="77777777" w:rsidR="00DA662B" w:rsidRPr="00180820" w:rsidRDefault="00DA662B" w:rsidP="00180820">
      <w:pPr>
        <w:pStyle w:val="FootnoteText"/>
        <w:spacing w:line="240" w:lineRule="auto"/>
        <w:rPr>
          <w:rFonts w:cstheme="minorHAnsi"/>
          <w:color w:val="77328A"/>
          <w:sz w:val="16"/>
          <w:szCs w:val="16"/>
        </w:rPr>
      </w:pPr>
      <w:r w:rsidRPr="00180820">
        <w:rPr>
          <w:rStyle w:val="FootnoteReference"/>
          <w:rFonts w:cstheme="minorHAnsi"/>
          <w:color w:val="77328A"/>
          <w:sz w:val="16"/>
          <w:szCs w:val="16"/>
        </w:rPr>
        <w:footnoteRef/>
      </w:r>
      <w:r w:rsidRPr="00180820">
        <w:rPr>
          <w:rFonts w:cstheme="minorHAnsi"/>
          <w:color w:val="77328A"/>
          <w:sz w:val="16"/>
          <w:szCs w:val="16"/>
        </w:rPr>
        <w:t xml:space="preserve"> European Union (Accessibility Requirements of Products and Services) Regulations 2023</w:t>
      </w:r>
      <w:r w:rsidRPr="00180820">
        <w:rPr>
          <w:rStyle w:val="Hyperlink"/>
          <w:rFonts w:cstheme="minorHAnsi"/>
          <w:color w:val="77328A"/>
          <w:sz w:val="16"/>
          <w:szCs w:val="16"/>
          <w:u w:val="none"/>
        </w:rPr>
        <w:t xml:space="preserve"> (SI 636/2023)</w:t>
      </w:r>
      <w:r w:rsidRPr="00180820">
        <w:rPr>
          <w:rFonts w:cstheme="minorHAnsi"/>
          <w:color w:val="77328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B0F60"/>
    <w:multiLevelType w:val="hybridMultilevel"/>
    <w:tmpl w:val="CD5A9BA8"/>
    <w:lvl w:ilvl="0" w:tplc="08090001">
      <w:start w:val="1"/>
      <w:numFmt w:val="bullet"/>
      <w:lvlText w:val=""/>
      <w:lvlJc w:val="left"/>
      <w:pPr>
        <w:ind w:left="1946" w:hanging="360"/>
      </w:pPr>
      <w:rPr>
        <w:rFonts w:ascii="Symbol" w:hAnsi="Symbol" w:hint="default"/>
      </w:rPr>
    </w:lvl>
    <w:lvl w:ilvl="1" w:tplc="08090003" w:tentative="1">
      <w:start w:val="1"/>
      <w:numFmt w:val="bullet"/>
      <w:lvlText w:val="o"/>
      <w:lvlJc w:val="left"/>
      <w:pPr>
        <w:ind w:left="2666" w:hanging="360"/>
      </w:pPr>
      <w:rPr>
        <w:rFonts w:ascii="Courier New" w:hAnsi="Courier New" w:cs="Courier New" w:hint="default"/>
      </w:rPr>
    </w:lvl>
    <w:lvl w:ilvl="2" w:tplc="08090005" w:tentative="1">
      <w:start w:val="1"/>
      <w:numFmt w:val="bullet"/>
      <w:lvlText w:val=""/>
      <w:lvlJc w:val="left"/>
      <w:pPr>
        <w:ind w:left="3386" w:hanging="360"/>
      </w:pPr>
      <w:rPr>
        <w:rFonts w:ascii="Wingdings" w:hAnsi="Wingdings" w:hint="default"/>
      </w:rPr>
    </w:lvl>
    <w:lvl w:ilvl="3" w:tplc="08090001" w:tentative="1">
      <w:start w:val="1"/>
      <w:numFmt w:val="bullet"/>
      <w:lvlText w:val=""/>
      <w:lvlJc w:val="left"/>
      <w:pPr>
        <w:ind w:left="4106" w:hanging="360"/>
      </w:pPr>
      <w:rPr>
        <w:rFonts w:ascii="Symbol" w:hAnsi="Symbol" w:hint="default"/>
      </w:rPr>
    </w:lvl>
    <w:lvl w:ilvl="4" w:tplc="08090003" w:tentative="1">
      <w:start w:val="1"/>
      <w:numFmt w:val="bullet"/>
      <w:lvlText w:val="o"/>
      <w:lvlJc w:val="left"/>
      <w:pPr>
        <w:ind w:left="4826" w:hanging="360"/>
      </w:pPr>
      <w:rPr>
        <w:rFonts w:ascii="Courier New" w:hAnsi="Courier New" w:cs="Courier New" w:hint="default"/>
      </w:rPr>
    </w:lvl>
    <w:lvl w:ilvl="5" w:tplc="08090005" w:tentative="1">
      <w:start w:val="1"/>
      <w:numFmt w:val="bullet"/>
      <w:lvlText w:val=""/>
      <w:lvlJc w:val="left"/>
      <w:pPr>
        <w:ind w:left="5546" w:hanging="360"/>
      </w:pPr>
      <w:rPr>
        <w:rFonts w:ascii="Wingdings" w:hAnsi="Wingdings" w:hint="default"/>
      </w:rPr>
    </w:lvl>
    <w:lvl w:ilvl="6" w:tplc="08090001" w:tentative="1">
      <w:start w:val="1"/>
      <w:numFmt w:val="bullet"/>
      <w:lvlText w:val=""/>
      <w:lvlJc w:val="left"/>
      <w:pPr>
        <w:ind w:left="6266" w:hanging="360"/>
      </w:pPr>
      <w:rPr>
        <w:rFonts w:ascii="Symbol" w:hAnsi="Symbol" w:hint="default"/>
      </w:rPr>
    </w:lvl>
    <w:lvl w:ilvl="7" w:tplc="08090003" w:tentative="1">
      <w:start w:val="1"/>
      <w:numFmt w:val="bullet"/>
      <w:lvlText w:val="o"/>
      <w:lvlJc w:val="left"/>
      <w:pPr>
        <w:ind w:left="6986" w:hanging="360"/>
      </w:pPr>
      <w:rPr>
        <w:rFonts w:ascii="Courier New" w:hAnsi="Courier New" w:cs="Courier New" w:hint="default"/>
      </w:rPr>
    </w:lvl>
    <w:lvl w:ilvl="8" w:tplc="08090005" w:tentative="1">
      <w:start w:val="1"/>
      <w:numFmt w:val="bullet"/>
      <w:lvlText w:val=""/>
      <w:lvlJc w:val="left"/>
      <w:pPr>
        <w:ind w:left="7706" w:hanging="360"/>
      </w:pPr>
      <w:rPr>
        <w:rFonts w:ascii="Wingdings" w:hAnsi="Wingdings" w:hint="default"/>
      </w:rPr>
    </w:lvl>
  </w:abstractNum>
  <w:abstractNum w:abstractNumId="1" w15:restartNumberingAfterBreak="0">
    <w:nsid w:val="11620F8D"/>
    <w:multiLevelType w:val="multilevel"/>
    <w:tmpl w:val="5424454E"/>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146B77CF"/>
    <w:multiLevelType w:val="multilevel"/>
    <w:tmpl w:val="64C43A0E"/>
    <w:lvl w:ilvl="0">
      <w:start w:val="4"/>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D876FCF"/>
    <w:multiLevelType w:val="multilevel"/>
    <w:tmpl w:val="0862DAF6"/>
    <w:lvl w:ilvl="0">
      <w:numFmt w:val="none"/>
      <w:lvlText w:val=""/>
      <w:lvlJc w:val="left"/>
      <w:pPr>
        <w:tabs>
          <w:tab w:val="num" w:pos="360"/>
        </w:tabs>
      </w:pPr>
      <w:rPr>
        <w:rFonts w:hint="default"/>
      </w:rPr>
    </w:lvl>
    <w:lvl w:ilvl="1">
      <w:numFmt w:val="decimal"/>
      <w:pStyle w:val="CommissionJuneHeading"/>
      <w:lvlText w:val=""/>
      <w:lvlJc w:val="left"/>
      <w:rPr>
        <w:rFonts w:hint="default"/>
        <w:b w:val="0"/>
        <w:bCs/>
        <w:sz w:val="28"/>
        <w:szCs w:val="28"/>
      </w:rPr>
    </w:lvl>
    <w:lvl w:ilvl="2">
      <w:numFmt w:val="decimal"/>
      <w:lvlText w:val=""/>
      <w:lvlJc w:val="left"/>
      <w:rPr>
        <w:rFonts w:hint="default"/>
      </w:rPr>
    </w:lvl>
    <w:lvl w:ilvl="3">
      <w:numFmt w:val="decimal"/>
      <w:lvlText w:val=""/>
      <w:lvlJc w:val="left"/>
      <w:rPr>
        <w:rFonts w:hint="default"/>
      </w:rPr>
    </w:lvl>
    <w:lvl w:ilvl="4">
      <w:numFmt w:val="decimal"/>
      <w:lvlText w:val=""/>
      <w:lvlJc w:val="left"/>
      <w:rPr>
        <w:rFonts w:hint="default"/>
      </w:rPr>
    </w:lvl>
    <w:lvl w:ilvl="5">
      <w:numFmt w:val="decimal"/>
      <w:lvlText w:val=""/>
      <w:lvlJc w:val="left"/>
      <w:rPr>
        <w:rFonts w:hint="default"/>
      </w:rPr>
    </w:lvl>
    <w:lvl w:ilvl="6">
      <w:numFmt w:val="decimal"/>
      <w:lvlText w:val=""/>
      <w:lvlJc w:val="left"/>
      <w:rPr>
        <w:rFonts w:hint="default"/>
      </w:rPr>
    </w:lvl>
    <w:lvl w:ilvl="7">
      <w:numFmt w:val="decimal"/>
      <w:lvlText w:val=""/>
      <w:lvlJc w:val="left"/>
      <w:rPr>
        <w:rFonts w:ascii="Arial" w:hAnsi="Arial" w:cs="Times New Roman" w:hint="default"/>
        <w:sz w:val="24"/>
        <w:szCs w:val="28"/>
        <w14:glow w14:rad="0">
          <w14:srgbClr w14:val="000000"/>
        </w14:glow>
        <w14:scene3d>
          <w14:camera w14:prst="orthographicFront"/>
          <w14:lightRig w14:rig="threePt" w14:dir="t">
            <w14:rot w14:lat="0" w14:lon="0" w14:rev="0"/>
          </w14:lightRig>
        </w14:scene3d>
      </w:rPr>
    </w:lvl>
    <w:lvl w:ilvl="8">
      <w:numFmt w:val="decimal"/>
      <w:lvlText w:val=""/>
      <w:lvlJc w:val="left"/>
      <w:rPr>
        <w:rFonts w:hint="default"/>
      </w:rPr>
    </w:lvl>
  </w:abstractNum>
  <w:abstractNum w:abstractNumId="4" w15:restartNumberingAfterBreak="0">
    <w:nsid w:val="284816A5"/>
    <w:multiLevelType w:val="hybridMultilevel"/>
    <w:tmpl w:val="3244A8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1EA097C"/>
    <w:multiLevelType w:val="multilevel"/>
    <w:tmpl w:val="D5F23868"/>
    <w:lvl w:ilvl="0">
      <w:start w:val="1"/>
      <w:numFmt w:val="decimal"/>
      <w:pStyle w:val="ListNumber2"/>
      <w:lvlText w:val="%1."/>
      <w:lvlJc w:val="left"/>
      <w:pPr>
        <w:ind w:left="4046" w:hanging="360"/>
      </w:pPr>
    </w:lvl>
    <w:lvl w:ilvl="1">
      <w:start w:val="1"/>
      <w:numFmt w:val="decimal"/>
      <w:pStyle w:val="11NumPara"/>
      <w:lvlText w:val="%1.%2."/>
      <w:lvlJc w:val="left"/>
      <w:pPr>
        <w:ind w:left="857" w:hanging="432"/>
      </w:pPr>
      <w:rPr>
        <w:b w:val="0"/>
        <w:bCs w:val="0"/>
        <w:i w:val="0"/>
        <w:iCs w:val="0"/>
      </w:rPr>
    </w:lvl>
    <w:lvl w:ilvl="2">
      <w:start w:val="1"/>
      <w:numFmt w:val="decimal"/>
      <w:lvlText w:val="%1.%2.%3."/>
      <w:lvlJc w:val="left"/>
      <w:pPr>
        <w:ind w:left="4910" w:hanging="504"/>
      </w:pPr>
    </w:lvl>
    <w:lvl w:ilvl="3">
      <w:start w:val="1"/>
      <w:numFmt w:val="decimal"/>
      <w:lvlText w:val="%1.%2.%3.%4."/>
      <w:lvlJc w:val="left"/>
      <w:pPr>
        <w:ind w:left="5414" w:hanging="648"/>
      </w:pPr>
    </w:lvl>
    <w:lvl w:ilvl="4">
      <w:start w:val="1"/>
      <w:numFmt w:val="decimal"/>
      <w:lvlText w:val="%1.%2.%3.%4.%5."/>
      <w:lvlJc w:val="left"/>
      <w:pPr>
        <w:ind w:left="5918" w:hanging="792"/>
      </w:pPr>
    </w:lvl>
    <w:lvl w:ilvl="5">
      <w:start w:val="1"/>
      <w:numFmt w:val="decimal"/>
      <w:lvlText w:val="%1.%2.%3.%4.%5.%6."/>
      <w:lvlJc w:val="left"/>
      <w:pPr>
        <w:ind w:left="6422" w:hanging="936"/>
      </w:pPr>
    </w:lvl>
    <w:lvl w:ilvl="6">
      <w:start w:val="1"/>
      <w:numFmt w:val="decimal"/>
      <w:lvlText w:val="%1.%2.%3.%4.%5.%6.%7."/>
      <w:lvlJc w:val="left"/>
      <w:pPr>
        <w:ind w:left="6926" w:hanging="1080"/>
      </w:pPr>
    </w:lvl>
    <w:lvl w:ilvl="7">
      <w:start w:val="1"/>
      <w:numFmt w:val="decimal"/>
      <w:lvlText w:val="%1.%2.%3.%4.%5.%6.%7.%8."/>
      <w:lvlJc w:val="left"/>
      <w:pPr>
        <w:ind w:left="7430" w:hanging="1224"/>
      </w:pPr>
    </w:lvl>
    <w:lvl w:ilvl="8">
      <w:start w:val="1"/>
      <w:numFmt w:val="decimal"/>
      <w:lvlText w:val="%1.%2.%3.%4.%5.%6.%7.%8.%9."/>
      <w:lvlJc w:val="left"/>
      <w:pPr>
        <w:ind w:left="8006" w:hanging="1440"/>
      </w:pPr>
    </w:lvl>
  </w:abstractNum>
  <w:abstractNum w:abstractNumId="6" w15:restartNumberingAfterBreak="0">
    <w:nsid w:val="3A660A9C"/>
    <w:multiLevelType w:val="multilevel"/>
    <w:tmpl w:val="64C43A0E"/>
    <w:styleLink w:val="Style2"/>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7" w15:restartNumberingAfterBreak="0">
    <w:nsid w:val="46A5790C"/>
    <w:multiLevelType w:val="multilevel"/>
    <w:tmpl w:val="13CE335C"/>
    <w:styleLink w:val="Style1"/>
    <w:lvl w:ilvl="0">
      <w:start w:val="1"/>
      <w:numFmt w:val="decimal"/>
      <w:lvlText w:val="%1"/>
      <w:lvlJc w:val="left"/>
      <w:pPr>
        <w:ind w:left="720" w:hanging="720"/>
      </w:pPr>
      <w:rPr>
        <w:rFonts w:ascii="Times New Roman" w:hAnsi="Times New Roman" w:hint="default"/>
        <w:color w:val="auto"/>
      </w:rPr>
    </w:lvl>
    <w:lvl w:ilvl="1">
      <w:start w:val="1"/>
      <w:numFmt w:val="decimal"/>
      <w:lvlText w:val="%1.%2"/>
      <w:lvlJc w:val="left"/>
      <w:pPr>
        <w:ind w:left="1287" w:hanging="720"/>
      </w:pPr>
      <w:rPr>
        <w:rFonts w:hint="default"/>
        <w:sz w:val="28"/>
        <w:szCs w:val="28"/>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8" w15:restartNumberingAfterBreak="0">
    <w:nsid w:val="4A044FE6"/>
    <w:multiLevelType w:val="multilevel"/>
    <w:tmpl w:val="BC7671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C2673CF"/>
    <w:multiLevelType w:val="hybridMultilevel"/>
    <w:tmpl w:val="4604737A"/>
    <w:lvl w:ilvl="0" w:tplc="A53CA28A">
      <w:start w:val="1"/>
      <w:numFmt w:val="bullet"/>
      <w:lvlText w:val=""/>
      <w:lvlJc w:val="left"/>
      <w:pPr>
        <w:ind w:left="1080" w:hanging="360"/>
      </w:pPr>
      <w:rPr>
        <w:rFonts w:ascii="Symbol" w:hAnsi="Symbol"/>
      </w:rPr>
    </w:lvl>
    <w:lvl w:ilvl="1" w:tplc="FBFA5050">
      <w:start w:val="1"/>
      <w:numFmt w:val="bullet"/>
      <w:lvlText w:val=""/>
      <w:lvlJc w:val="left"/>
      <w:pPr>
        <w:ind w:left="1080" w:hanging="360"/>
      </w:pPr>
      <w:rPr>
        <w:rFonts w:ascii="Symbol" w:hAnsi="Symbol"/>
      </w:rPr>
    </w:lvl>
    <w:lvl w:ilvl="2" w:tplc="82BA8D6C">
      <w:start w:val="1"/>
      <w:numFmt w:val="bullet"/>
      <w:lvlText w:val=""/>
      <w:lvlJc w:val="left"/>
      <w:pPr>
        <w:ind w:left="1080" w:hanging="360"/>
      </w:pPr>
      <w:rPr>
        <w:rFonts w:ascii="Symbol" w:hAnsi="Symbol"/>
      </w:rPr>
    </w:lvl>
    <w:lvl w:ilvl="3" w:tplc="13643354">
      <w:start w:val="1"/>
      <w:numFmt w:val="bullet"/>
      <w:lvlText w:val=""/>
      <w:lvlJc w:val="left"/>
      <w:pPr>
        <w:ind w:left="1080" w:hanging="360"/>
      </w:pPr>
      <w:rPr>
        <w:rFonts w:ascii="Symbol" w:hAnsi="Symbol"/>
      </w:rPr>
    </w:lvl>
    <w:lvl w:ilvl="4" w:tplc="AF16756C">
      <w:start w:val="1"/>
      <w:numFmt w:val="bullet"/>
      <w:lvlText w:val=""/>
      <w:lvlJc w:val="left"/>
      <w:pPr>
        <w:ind w:left="1080" w:hanging="360"/>
      </w:pPr>
      <w:rPr>
        <w:rFonts w:ascii="Symbol" w:hAnsi="Symbol"/>
      </w:rPr>
    </w:lvl>
    <w:lvl w:ilvl="5" w:tplc="327E686A">
      <w:start w:val="1"/>
      <w:numFmt w:val="bullet"/>
      <w:lvlText w:val=""/>
      <w:lvlJc w:val="left"/>
      <w:pPr>
        <w:ind w:left="1080" w:hanging="360"/>
      </w:pPr>
      <w:rPr>
        <w:rFonts w:ascii="Symbol" w:hAnsi="Symbol"/>
      </w:rPr>
    </w:lvl>
    <w:lvl w:ilvl="6" w:tplc="2CD418BE">
      <w:start w:val="1"/>
      <w:numFmt w:val="bullet"/>
      <w:lvlText w:val=""/>
      <w:lvlJc w:val="left"/>
      <w:pPr>
        <w:ind w:left="1080" w:hanging="360"/>
      </w:pPr>
      <w:rPr>
        <w:rFonts w:ascii="Symbol" w:hAnsi="Symbol"/>
      </w:rPr>
    </w:lvl>
    <w:lvl w:ilvl="7" w:tplc="B7604D6A">
      <w:start w:val="1"/>
      <w:numFmt w:val="bullet"/>
      <w:lvlText w:val=""/>
      <w:lvlJc w:val="left"/>
      <w:pPr>
        <w:ind w:left="1080" w:hanging="360"/>
      </w:pPr>
      <w:rPr>
        <w:rFonts w:ascii="Symbol" w:hAnsi="Symbol"/>
      </w:rPr>
    </w:lvl>
    <w:lvl w:ilvl="8" w:tplc="433CA60C">
      <w:start w:val="1"/>
      <w:numFmt w:val="bullet"/>
      <w:lvlText w:val=""/>
      <w:lvlJc w:val="left"/>
      <w:pPr>
        <w:ind w:left="1080" w:hanging="360"/>
      </w:pPr>
      <w:rPr>
        <w:rFonts w:ascii="Symbol" w:hAnsi="Symbol"/>
      </w:rPr>
    </w:lvl>
  </w:abstractNum>
  <w:abstractNum w:abstractNumId="10" w15:restartNumberingAfterBreak="0">
    <w:nsid w:val="638B0E35"/>
    <w:multiLevelType w:val="hybridMultilevel"/>
    <w:tmpl w:val="5DBE9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95B5928"/>
    <w:multiLevelType w:val="multilevel"/>
    <w:tmpl w:val="2BA00618"/>
    <w:lvl w:ilvl="0">
      <w:start w:val="3"/>
      <w:numFmt w:val="decimal"/>
      <w:lvlText w:val="%1"/>
      <w:lvlJc w:val="left"/>
      <w:pPr>
        <w:ind w:left="390" w:hanging="390"/>
      </w:pPr>
      <w:rPr>
        <w:rFonts w:hint="default"/>
        <w:color w:val="auto"/>
      </w:rPr>
    </w:lvl>
    <w:lvl w:ilvl="1">
      <w:start w:val="1"/>
      <w:numFmt w:val="decimal"/>
      <w:lvlText w:val="%1.%2"/>
      <w:lvlJc w:val="left"/>
      <w:pPr>
        <w:ind w:left="720"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12" w15:restartNumberingAfterBreak="0">
    <w:nsid w:val="799D3FD0"/>
    <w:multiLevelType w:val="multilevel"/>
    <w:tmpl w:val="48765FC0"/>
    <w:lvl w:ilvl="0">
      <w:start w:val="1"/>
      <w:numFmt w:val="decimal"/>
      <w:lvlText w:val="%1"/>
      <w:lvlJc w:val="left"/>
      <w:pPr>
        <w:ind w:left="720" w:hanging="720"/>
      </w:pPr>
      <w:rPr>
        <w:rFonts w:hint="default"/>
      </w:rPr>
    </w:lvl>
    <w:lvl w:ilvl="1">
      <w:start w:val="1"/>
      <w:numFmt w:val="decimal"/>
      <w:lvlText w:val="%1.%2"/>
      <w:lvlJc w:val="left"/>
      <w:pPr>
        <w:ind w:left="720" w:hanging="720"/>
      </w:pPr>
      <w:rPr>
        <w:rFonts w:ascii="Verdana" w:hAnsi="Verdana" w:hint="default"/>
        <w:b w:val="0"/>
        <w:bCs w:val="0"/>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7F650B52"/>
    <w:multiLevelType w:val="hybridMultilevel"/>
    <w:tmpl w:val="0C6A98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5538907">
    <w:abstractNumId w:val="12"/>
  </w:num>
  <w:num w:numId="2" w16cid:durableId="779763428">
    <w:abstractNumId w:val="13"/>
  </w:num>
  <w:num w:numId="3" w16cid:durableId="978657598">
    <w:abstractNumId w:val="10"/>
  </w:num>
  <w:num w:numId="4" w16cid:durableId="588850778">
    <w:abstractNumId w:val="0"/>
  </w:num>
  <w:num w:numId="5" w16cid:durableId="1068042847">
    <w:abstractNumId w:val="1"/>
  </w:num>
  <w:num w:numId="6" w16cid:durableId="324867684">
    <w:abstractNumId w:val="5"/>
  </w:num>
  <w:num w:numId="7" w16cid:durableId="324281548">
    <w:abstractNumId w:val="7"/>
  </w:num>
  <w:num w:numId="8" w16cid:durableId="749735666">
    <w:abstractNumId w:val="11"/>
  </w:num>
  <w:num w:numId="9" w16cid:durableId="602491811">
    <w:abstractNumId w:val="3"/>
  </w:num>
  <w:num w:numId="10" w16cid:durableId="374426065">
    <w:abstractNumId w:val="2"/>
  </w:num>
  <w:num w:numId="11" w16cid:durableId="621154046">
    <w:abstractNumId w:val="6"/>
  </w:num>
  <w:num w:numId="12" w16cid:durableId="1305505318">
    <w:abstractNumId w:val="9"/>
  </w:num>
  <w:num w:numId="13" w16cid:durableId="1528448893">
    <w:abstractNumId w:val="8"/>
  </w:num>
  <w:num w:numId="14" w16cid:durableId="138814626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0149E"/>
    <w:rsid w:val="00001B96"/>
    <w:rsid w:val="00001CAD"/>
    <w:rsid w:val="00002AB3"/>
    <w:rsid w:val="00002BD0"/>
    <w:rsid w:val="00002E3B"/>
    <w:rsid w:val="00003730"/>
    <w:rsid w:val="00003C6A"/>
    <w:rsid w:val="00003CAA"/>
    <w:rsid w:val="00004552"/>
    <w:rsid w:val="0000483F"/>
    <w:rsid w:val="0000592E"/>
    <w:rsid w:val="00005DF9"/>
    <w:rsid w:val="000069C0"/>
    <w:rsid w:val="000074CC"/>
    <w:rsid w:val="0000799D"/>
    <w:rsid w:val="00007A86"/>
    <w:rsid w:val="00010C52"/>
    <w:rsid w:val="00010D0A"/>
    <w:rsid w:val="00010EAD"/>
    <w:rsid w:val="00011859"/>
    <w:rsid w:val="00012437"/>
    <w:rsid w:val="00012683"/>
    <w:rsid w:val="00012C57"/>
    <w:rsid w:val="00013014"/>
    <w:rsid w:val="000137FB"/>
    <w:rsid w:val="00014688"/>
    <w:rsid w:val="0001489D"/>
    <w:rsid w:val="00014AB3"/>
    <w:rsid w:val="00014B28"/>
    <w:rsid w:val="00015949"/>
    <w:rsid w:val="00015A88"/>
    <w:rsid w:val="00015EA6"/>
    <w:rsid w:val="000175F2"/>
    <w:rsid w:val="000178CC"/>
    <w:rsid w:val="00020D3F"/>
    <w:rsid w:val="00021499"/>
    <w:rsid w:val="00021D7D"/>
    <w:rsid w:val="00021E8E"/>
    <w:rsid w:val="00021F77"/>
    <w:rsid w:val="000223B2"/>
    <w:rsid w:val="00023298"/>
    <w:rsid w:val="000235ED"/>
    <w:rsid w:val="00023B19"/>
    <w:rsid w:val="000240EF"/>
    <w:rsid w:val="000250B2"/>
    <w:rsid w:val="00025C47"/>
    <w:rsid w:val="00025FAC"/>
    <w:rsid w:val="0002698B"/>
    <w:rsid w:val="00026FE0"/>
    <w:rsid w:val="000270BB"/>
    <w:rsid w:val="000275C9"/>
    <w:rsid w:val="00027BF2"/>
    <w:rsid w:val="00030026"/>
    <w:rsid w:val="000310B7"/>
    <w:rsid w:val="000315F3"/>
    <w:rsid w:val="000318A3"/>
    <w:rsid w:val="000321A0"/>
    <w:rsid w:val="000329EF"/>
    <w:rsid w:val="00032B61"/>
    <w:rsid w:val="00032B65"/>
    <w:rsid w:val="00032C95"/>
    <w:rsid w:val="00032FB8"/>
    <w:rsid w:val="000335D5"/>
    <w:rsid w:val="00033751"/>
    <w:rsid w:val="000338BB"/>
    <w:rsid w:val="00033DFD"/>
    <w:rsid w:val="000341A8"/>
    <w:rsid w:val="00034454"/>
    <w:rsid w:val="000349C6"/>
    <w:rsid w:val="00034AAC"/>
    <w:rsid w:val="00035488"/>
    <w:rsid w:val="000354DE"/>
    <w:rsid w:val="00035C3F"/>
    <w:rsid w:val="00035EE0"/>
    <w:rsid w:val="000360AD"/>
    <w:rsid w:val="00036269"/>
    <w:rsid w:val="00037428"/>
    <w:rsid w:val="0003763D"/>
    <w:rsid w:val="00037A5F"/>
    <w:rsid w:val="00037B77"/>
    <w:rsid w:val="00037C9D"/>
    <w:rsid w:val="00037F7D"/>
    <w:rsid w:val="0004022B"/>
    <w:rsid w:val="000405B1"/>
    <w:rsid w:val="00040633"/>
    <w:rsid w:val="00040AF0"/>
    <w:rsid w:val="00040BE8"/>
    <w:rsid w:val="00040DE1"/>
    <w:rsid w:val="00041050"/>
    <w:rsid w:val="0004116F"/>
    <w:rsid w:val="00042A8F"/>
    <w:rsid w:val="0004329D"/>
    <w:rsid w:val="0004337A"/>
    <w:rsid w:val="00043602"/>
    <w:rsid w:val="00043B45"/>
    <w:rsid w:val="00044F0D"/>
    <w:rsid w:val="00045409"/>
    <w:rsid w:val="00045428"/>
    <w:rsid w:val="00045B96"/>
    <w:rsid w:val="00046558"/>
    <w:rsid w:val="00046705"/>
    <w:rsid w:val="000473C0"/>
    <w:rsid w:val="00050EA5"/>
    <w:rsid w:val="000511B2"/>
    <w:rsid w:val="000515AE"/>
    <w:rsid w:val="00051CA9"/>
    <w:rsid w:val="00051E52"/>
    <w:rsid w:val="00051EDB"/>
    <w:rsid w:val="000520F8"/>
    <w:rsid w:val="000522FC"/>
    <w:rsid w:val="0005242E"/>
    <w:rsid w:val="00053136"/>
    <w:rsid w:val="0005341F"/>
    <w:rsid w:val="0005379E"/>
    <w:rsid w:val="00053BB8"/>
    <w:rsid w:val="000540B6"/>
    <w:rsid w:val="000541DE"/>
    <w:rsid w:val="00054A25"/>
    <w:rsid w:val="00054A8B"/>
    <w:rsid w:val="000551CB"/>
    <w:rsid w:val="000552A5"/>
    <w:rsid w:val="000553E9"/>
    <w:rsid w:val="00055946"/>
    <w:rsid w:val="00055993"/>
    <w:rsid w:val="00055A8E"/>
    <w:rsid w:val="00055EBA"/>
    <w:rsid w:val="00055F14"/>
    <w:rsid w:val="00055F57"/>
    <w:rsid w:val="00057A83"/>
    <w:rsid w:val="000602D4"/>
    <w:rsid w:val="00060304"/>
    <w:rsid w:val="000604F5"/>
    <w:rsid w:val="00061493"/>
    <w:rsid w:val="000619B8"/>
    <w:rsid w:val="00061AE2"/>
    <w:rsid w:val="00062006"/>
    <w:rsid w:val="0006237C"/>
    <w:rsid w:val="00063C61"/>
    <w:rsid w:val="000645FE"/>
    <w:rsid w:val="000646D1"/>
    <w:rsid w:val="00064730"/>
    <w:rsid w:val="00064BD8"/>
    <w:rsid w:val="00065589"/>
    <w:rsid w:val="000657A4"/>
    <w:rsid w:val="00065811"/>
    <w:rsid w:val="00065894"/>
    <w:rsid w:val="00065FE8"/>
    <w:rsid w:val="00066116"/>
    <w:rsid w:val="000667EC"/>
    <w:rsid w:val="00066BDC"/>
    <w:rsid w:val="00066F38"/>
    <w:rsid w:val="000670C2"/>
    <w:rsid w:val="00067E69"/>
    <w:rsid w:val="00067F87"/>
    <w:rsid w:val="00070705"/>
    <w:rsid w:val="00070ED1"/>
    <w:rsid w:val="000711C4"/>
    <w:rsid w:val="000711F1"/>
    <w:rsid w:val="000713DE"/>
    <w:rsid w:val="00071935"/>
    <w:rsid w:val="00071B3C"/>
    <w:rsid w:val="00071B76"/>
    <w:rsid w:val="000723E2"/>
    <w:rsid w:val="0007242A"/>
    <w:rsid w:val="000736A5"/>
    <w:rsid w:val="000737AE"/>
    <w:rsid w:val="00073FB7"/>
    <w:rsid w:val="00074048"/>
    <w:rsid w:val="00074374"/>
    <w:rsid w:val="0007444C"/>
    <w:rsid w:val="0007458A"/>
    <w:rsid w:val="0007468A"/>
    <w:rsid w:val="00074B79"/>
    <w:rsid w:val="00074F36"/>
    <w:rsid w:val="000750F7"/>
    <w:rsid w:val="000751D1"/>
    <w:rsid w:val="0007569A"/>
    <w:rsid w:val="00075CC8"/>
    <w:rsid w:val="00075D0A"/>
    <w:rsid w:val="00075FAE"/>
    <w:rsid w:val="000760EB"/>
    <w:rsid w:val="00076471"/>
    <w:rsid w:val="0007655E"/>
    <w:rsid w:val="00076A15"/>
    <w:rsid w:val="00076A9A"/>
    <w:rsid w:val="000770C0"/>
    <w:rsid w:val="0007724D"/>
    <w:rsid w:val="00077995"/>
    <w:rsid w:val="0008048E"/>
    <w:rsid w:val="00080532"/>
    <w:rsid w:val="000807C1"/>
    <w:rsid w:val="00081402"/>
    <w:rsid w:val="00081BD7"/>
    <w:rsid w:val="00081D7B"/>
    <w:rsid w:val="00082AF8"/>
    <w:rsid w:val="0008369C"/>
    <w:rsid w:val="00084259"/>
    <w:rsid w:val="0008433B"/>
    <w:rsid w:val="0008598E"/>
    <w:rsid w:val="00085CB5"/>
    <w:rsid w:val="00086336"/>
    <w:rsid w:val="00086A75"/>
    <w:rsid w:val="0008769D"/>
    <w:rsid w:val="00087E1B"/>
    <w:rsid w:val="0009007C"/>
    <w:rsid w:val="000900CF"/>
    <w:rsid w:val="00090800"/>
    <w:rsid w:val="00090B8E"/>
    <w:rsid w:val="00090C6F"/>
    <w:rsid w:val="00090FBE"/>
    <w:rsid w:val="00091114"/>
    <w:rsid w:val="00091160"/>
    <w:rsid w:val="00091A85"/>
    <w:rsid w:val="00091D4E"/>
    <w:rsid w:val="000921DD"/>
    <w:rsid w:val="000923F5"/>
    <w:rsid w:val="00092863"/>
    <w:rsid w:val="00092955"/>
    <w:rsid w:val="000934B2"/>
    <w:rsid w:val="00093FD8"/>
    <w:rsid w:val="0009498D"/>
    <w:rsid w:val="0009501A"/>
    <w:rsid w:val="000965E8"/>
    <w:rsid w:val="000968A7"/>
    <w:rsid w:val="00097855"/>
    <w:rsid w:val="000A04A4"/>
    <w:rsid w:val="000A0AAD"/>
    <w:rsid w:val="000A0B3F"/>
    <w:rsid w:val="000A0C98"/>
    <w:rsid w:val="000A0D45"/>
    <w:rsid w:val="000A0E5C"/>
    <w:rsid w:val="000A135A"/>
    <w:rsid w:val="000A16C9"/>
    <w:rsid w:val="000A181E"/>
    <w:rsid w:val="000A197E"/>
    <w:rsid w:val="000A1EC0"/>
    <w:rsid w:val="000A1F22"/>
    <w:rsid w:val="000A2536"/>
    <w:rsid w:val="000A2643"/>
    <w:rsid w:val="000A288F"/>
    <w:rsid w:val="000A3147"/>
    <w:rsid w:val="000A33C0"/>
    <w:rsid w:val="000A3822"/>
    <w:rsid w:val="000A3BC1"/>
    <w:rsid w:val="000A48B7"/>
    <w:rsid w:val="000A49C9"/>
    <w:rsid w:val="000A52C6"/>
    <w:rsid w:val="000A543F"/>
    <w:rsid w:val="000A5810"/>
    <w:rsid w:val="000A5CA9"/>
    <w:rsid w:val="000A66A3"/>
    <w:rsid w:val="000A6721"/>
    <w:rsid w:val="000A68FC"/>
    <w:rsid w:val="000A6E1F"/>
    <w:rsid w:val="000A7589"/>
    <w:rsid w:val="000A7C68"/>
    <w:rsid w:val="000A7CAC"/>
    <w:rsid w:val="000B0518"/>
    <w:rsid w:val="000B0B38"/>
    <w:rsid w:val="000B1D3A"/>
    <w:rsid w:val="000B1D85"/>
    <w:rsid w:val="000B2BA7"/>
    <w:rsid w:val="000B33B6"/>
    <w:rsid w:val="000B37B8"/>
    <w:rsid w:val="000B38EA"/>
    <w:rsid w:val="000B3BD2"/>
    <w:rsid w:val="000B494C"/>
    <w:rsid w:val="000B5349"/>
    <w:rsid w:val="000B5429"/>
    <w:rsid w:val="000B6263"/>
    <w:rsid w:val="000B65A7"/>
    <w:rsid w:val="000B67A8"/>
    <w:rsid w:val="000B68BE"/>
    <w:rsid w:val="000B68E8"/>
    <w:rsid w:val="000B7225"/>
    <w:rsid w:val="000B7C0D"/>
    <w:rsid w:val="000B7D82"/>
    <w:rsid w:val="000B7E0F"/>
    <w:rsid w:val="000B7EBE"/>
    <w:rsid w:val="000B7FAB"/>
    <w:rsid w:val="000C0381"/>
    <w:rsid w:val="000C0566"/>
    <w:rsid w:val="000C08A2"/>
    <w:rsid w:val="000C0FCB"/>
    <w:rsid w:val="000C1158"/>
    <w:rsid w:val="000C2EF3"/>
    <w:rsid w:val="000C36AF"/>
    <w:rsid w:val="000C3810"/>
    <w:rsid w:val="000C3F63"/>
    <w:rsid w:val="000C4310"/>
    <w:rsid w:val="000C47DD"/>
    <w:rsid w:val="000C49CE"/>
    <w:rsid w:val="000C5339"/>
    <w:rsid w:val="000C58E3"/>
    <w:rsid w:val="000C6276"/>
    <w:rsid w:val="000C711A"/>
    <w:rsid w:val="000C783D"/>
    <w:rsid w:val="000C7BD6"/>
    <w:rsid w:val="000C7E5A"/>
    <w:rsid w:val="000C7E5D"/>
    <w:rsid w:val="000D02F8"/>
    <w:rsid w:val="000D03A7"/>
    <w:rsid w:val="000D03FA"/>
    <w:rsid w:val="000D07AA"/>
    <w:rsid w:val="000D1465"/>
    <w:rsid w:val="000D2211"/>
    <w:rsid w:val="000D25BD"/>
    <w:rsid w:val="000D25FA"/>
    <w:rsid w:val="000D2918"/>
    <w:rsid w:val="000D3219"/>
    <w:rsid w:val="000D39D3"/>
    <w:rsid w:val="000D4274"/>
    <w:rsid w:val="000D45B5"/>
    <w:rsid w:val="000D4FD0"/>
    <w:rsid w:val="000D53DA"/>
    <w:rsid w:val="000D5932"/>
    <w:rsid w:val="000D5EEA"/>
    <w:rsid w:val="000D60BD"/>
    <w:rsid w:val="000D60FE"/>
    <w:rsid w:val="000D6684"/>
    <w:rsid w:val="000D78D5"/>
    <w:rsid w:val="000D7C95"/>
    <w:rsid w:val="000E0B7C"/>
    <w:rsid w:val="000E0D82"/>
    <w:rsid w:val="000E0E2B"/>
    <w:rsid w:val="000E0F5C"/>
    <w:rsid w:val="000E107E"/>
    <w:rsid w:val="000E109E"/>
    <w:rsid w:val="000E1494"/>
    <w:rsid w:val="000E1509"/>
    <w:rsid w:val="000E1F61"/>
    <w:rsid w:val="000E2077"/>
    <w:rsid w:val="000E25DD"/>
    <w:rsid w:val="000E2705"/>
    <w:rsid w:val="000E3350"/>
    <w:rsid w:val="000E4003"/>
    <w:rsid w:val="000E434B"/>
    <w:rsid w:val="000E43EE"/>
    <w:rsid w:val="000E4CFE"/>
    <w:rsid w:val="000E5095"/>
    <w:rsid w:val="000E5D68"/>
    <w:rsid w:val="000E5E51"/>
    <w:rsid w:val="000E77C7"/>
    <w:rsid w:val="000E7AAA"/>
    <w:rsid w:val="000E7CEB"/>
    <w:rsid w:val="000E7DB1"/>
    <w:rsid w:val="000E7F0C"/>
    <w:rsid w:val="000F043E"/>
    <w:rsid w:val="000F05CE"/>
    <w:rsid w:val="000F096A"/>
    <w:rsid w:val="000F0CAC"/>
    <w:rsid w:val="000F136C"/>
    <w:rsid w:val="000F1382"/>
    <w:rsid w:val="000F16C2"/>
    <w:rsid w:val="000F1FCB"/>
    <w:rsid w:val="000F2334"/>
    <w:rsid w:val="000F2444"/>
    <w:rsid w:val="000F2BE9"/>
    <w:rsid w:val="000F2DC0"/>
    <w:rsid w:val="000F47FF"/>
    <w:rsid w:val="000F55E6"/>
    <w:rsid w:val="000F5742"/>
    <w:rsid w:val="000F5C56"/>
    <w:rsid w:val="000F5D53"/>
    <w:rsid w:val="000F64BF"/>
    <w:rsid w:val="000F6822"/>
    <w:rsid w:val="000F6E28"/>
    <w:rsid w:val="000F6E31"/>
    <w:rsid w:val="001001D0"/>
    <w:rsid w:val="00100809"/>
    <w:rsid w:val="00100B6D"/>
    <w:rsid w:val="0010128B"/>
    <w:rsid w:val="001014D0"/>
    <w:rsid w:val="00101A11"/>
    <w:rsid w:val="00101EB3"/>
    <w:rsid w:val="00102183"/>
    <w:rsid w:val="00102665"/>
    <w:rsid w:val="0010294C"/>
    <w:rsid w:val="00103B7E"/>
    <w:rsid w:val="00103DF6"/>
    <w:rsid w:val="001045E7"/>
    <w:rsid w:val="00104CC0"/>
    <w:rsid w:val="00105CAB"/>
    <w:rsid w:val="00105E0D"/>
    <w:rsid w:val="001061F2"/>
    <w:rsid w:val="0010632F"/>
    <w:rsid w:val="00106353"/>
    <w:rsid w:val="00106AB8"/>
    <w:rsid w:val="00107154"/>
    <w:rsid w:val="0010734F"/>
    <w:rsid w:val="00107545"/>
    <w:rsid w:val="00107D41"/>
    <w:rsid w:val="00107F1C"/>
    <w:rsid w:val="00110576"/>
    <w:rsid w:val="0011067E"/>
    <w:rsid w:val="0011068A"/>
    <w:rsid w:val="00110877"/>
    <w:rsid w:val="00110DEF"/>
    <w:rsid w:val="00110FDA"/>
    <w:rsid w:val="00111762"/>
    <w:rsid w:val="00112069"/>
    <w:rsid w:val="001124B2"/>
    <w:rsid w:val="00112C84"/>
    <w:rsid w:val="00112CDB"/>
    <w:rsid w:val="00113495"/>
    <w:rsid w:val="001135E2"/>
    <w:rsid w:val="001135F5"/>
    <w:rsid w:val="00114266"/>
    <w:rsid w:val="00114493"/>
    <w:rsid w:val="0011561B"/>
    <w:rsid w:val="00115AD2"/>
    <w:rsid w:val="0011639E"/>
    <w:rsid w:val="00116432"/>
    <w:rsid w:val="00116492"/>
    <w:rsid w:val="0011697A"/>
    <w:rsid w:val="00116AB3"/>
    <w:rsid w:val="00116F99"/>
    <w:rsid w:val="0011723C"/>
    <w:rsid w:val="001176A2"/>
    <w:rsid w:val="00117C3E"/>
    <w:rsid w:val="00117DF4"/>
    <w:rsid w:val="00117E29"/>
    <w:rsid w:val="0012021A"/>
    <w:rsid w:val="00120387"/>
    <w:rsid w:val="00120452"/>
    <w:rsid w:val="001209F6"/>
    <w:rsid w:val="00120EB1"/>
    <w:rsid w:val="0012103F"/>
    <w:rsid w:val="0012117D"/>
    <w:rsid w:val="001213A8"/>
    <w:rsid w:val="001214C3"/>
    <w:rsid w:val="001215B0"/>
    <w:rsid w:val="00121F05"/>
    <w:rsid w:val="00121F75"/>
    <w:rsid w:val="00122BD4"/>
    <w:rsid w:val="00122EF7"/>
    <w:rsid w:val="001235AE"/>
    <w:rsid w:val="00123929"/>
    <w:rsid w:val="00123FAE"/>
    <w:rsid w:val="00124248"/>
    <w:rsid w:val="00124531"/>
    <w:rsid w:val="001253B6"/>
    <w:rsid w:val="00126474"/>
    <w:rsid w:val="001265AA"/>
    <w:rsid w:val="001265DC"/>
    <w:rsid w:val="00126CD3"/>
    <w:rsid w:val="001274EB"/>
    <w:rsid w:val="001301EA"/>
    <w:rsid w:val="0013027C"/>
    <w:rsid w:val="0013047F"/>
    <w:rsid w:val="00130ABE"/>
    <w:rsid w:val="00130DA8"/>
    <w:rsid w:val="00131822"/>
    <w:rsid w:val="0013182A"/>
    <w:rsid w:val="00131948"/>
    <w:rsid w:val="00131ABF"/>
    <w:rsid w:val="00131B9C"/>
    <w:rsid w:val="00131FE7"/>
    <w:rsid w:val="001327DE"/>
    <w:rsid w:val="001329A3"/>
    <w:rsid w:val="00132E81"/>
    <w:rsid w:val="00133979"/>
    <w:rsid w:val="00133FE4"/>
    <w:rsid w:val="001341FC"/>
    <w:rsid w:val="00134308"/>
    <w:rsid w:val="00134507"/>
    <w:rsid w:val="00134C18"/>
    <w:rsid w:val="001362D6"/>
    <w:rsid w:val="00136D93"/>
    <w:rsid w:val="001371DC"/>
    <w:rsid w:val="001372E5"/>
    <w:rsid w:val="0013732D"/>
    <w:rsid w:val="00140480"/>
    <w:rsid w:val="00140A0A"/>
    <w:rsid w:val="0014137A"/>
    <w:rsid w:val="001415EE"/>
    <w:rsid w:val="00141660"/>
    <w:rsid w:val="0014220A"/>
    <w:rsid w:val="001423A9"/>
    <w:rsid w:val="00142592"/>
    <w:rsid w:val="00142999"/>
    <w:rsid w:val="00143262"/>
    <w:rsid w:val="0014388C"/>
    <w:rsid w:val="001438EC"/>
    <w:rsid w:val="00143AAC"/>
    <w:rsid w:val="00143D7D"/>
    <w:rsid w:val="00144434"/>
    <w:rsid w:val="00144890"/>
    <w:rsid w:val="0014501C"/>
    <w:rsid w:val="00145FDA"/>
    <w:rsid w:val="001468DD"/>
    <w:rsid w:val="00147ADD"/>
    <w:rsid w:val="00150A20"/>
    <w:rsid w:val="00150AE0"/>
    <w:rsid w:val="00150C43"/>
    <w:rsid w:val="00150C50"/>
    <w:rsid w:val="00150D68"/>
    <w:rsid w:val="00151560"/>
    <w:rsid w:val="00151E3F"/>
    <w:rsid w:val="00151FA0"/>
    <w:rsid w:val="00153078"/>
    <w:rsid w:val="00153BEA"/>
    <w:rsid w:val="001546E5"/>
    <w:rsid w:val="00154BB0"/>
    <w:rsid w:val="0015524A"/>
    <w:rsid w:val="00155592"/>
    <w:rsid w:val="0015574A"/>
    <w:rsid w:val="00155A32"/>
    <w:rsid w:val="00155B7D"/>
    <w:rsid w:val="00155F37"/>
    <w:rsid w:val="0015627C"/>
    <w:rsid w:val="001566E8"/>
    <w:rsid w:val="00156B6C"/>
    <w:rsid w:val="00156EDB"/>
    <w:rsid w:val="001572CA"/>
    <w:rsid w:val="001575BF"/>
    <w:rsid w:val="001577F7"/>
    <w:rsid w:val="00157F37"/>
    <w:rsid w:val="00157F7D"/>
    <w:rsid w:val="001624D1"/>
    <w:rsid w:val="001624F7"/>
    <w:rsid w:val="00162B3F"/>
    <w:rsid w:val="00163337"/>
    <w:rsid w:val="00164605"/>
    <w:rsid w:val="001647D2"/>
    <w:rsid w:val="00164B15"/>
    <w:rsid w:val="00164B5B"/>
    <w:rsid w:val="00164C60"/>
    <w:rsid w:val="00164EA3"/>
    <w:rsid w:val="001650AF"/>
    <w:rsid w:val="00165BD6"/>
    <w:rsid w:val="001673AC"/>
    <w:rsid w:val="00167666"/>
    <w:rsid w:val="00167FD4"/>
    <w:rsid w:val="00170006"/>
    <w:rsid w:val="0017044F"/>
    <w:rsid w:val="00170494"/>
    <w:rsid w:val="001706AC"/>
    <w:rsid w:val="0017077B"/>
    <w:rsid w:val="001710BD"/>
    <w:rsid w:val="00171B4B"/>
    <w:rsid w:val="00171DC8"/>
    <w:rsid w:val="00172091"/>
    <w:rsid w:val="0017261A"/>
    <w:rsid w:val="00173465"/>
    <w:rsid w:val="001741C6"/>
    <w:rsid w:val="00174884"/>
    <w:rsid w:val="00174B1F"/>
    <w:rsid w:val="00174D5E"/>
    <w:rsid w:val="00174F86"/>
    <w:rsid w:val="00174FB2"/>
    <w:rsid w:val="0017511C"/>
    <w:rsid w:val="00175317"/>
    <w:rsid w:val="00175661"/>
    <w:rsid w:val="00175FA7"/>
    <w:rsid w:val="0017653A"/>
    <w:rsid w:val="00176E58"/>
    <w:rsid w:val="001773C3"/>
    <w:rsid w:val="00177406"/>
    <w:rsid w:val="00177458"/>
    <w:rsid w:val="00177AF3"/>
    <w:rsid w:val="00180560"/>
    <w:rsid w:val="00180820"/>
    <w:rsid w:val="00180A36"/>
    <w:rsid w:val="00181711"/>
    <w:rsid w:val="00181D30"/>
    <w:rsid w:val="00181E6F"/>
    <w:rsid w:val="00182102"/>
    <w:rsid w:val="00182459"/>
    <w:rsid w:val="001825D7"/>
    <w:rsid w:val="00182855"/>
    <w:rsid w:val="00182CAD"/>
    <w:rsid w:val="001835EF"/>
    <w:rsid w:val="00183F1C"/>
    <w:rsid w:val="001844DE"/>
    <w:rsid w:val="0018487F"/>
    <w:rsid w:val="00184DCD"/>
    <w:rsid w:val="00185202"/>
    <w:rsid w:val="00185564"/>
    <w:rsid w:val="00185B51"/>
    <w:rsid w:val="00185F66"/>
    <w:rsid w:val="00186EDC"/>
    <w:rsid w:val="00186F72"/>
    <w:rsid w:val="001874EB"/>
    <w:rsid w:val="00187D33"/>
    <w:rsid w:val="001904D5"/>
    <w:rsid w:val="00190533"/>
    <w:rsid w:val="00191001"/>
    <w:rsid w:val="0019170B"/>
    <w:rsid w:val="00191766"/>
    <w:rsid w:val="00191806"/>
    <w:rsid w:val="00191EF6"/>
    <w:rsid w:val="0019213F"/>
    <w:rsid w:val="001924AB"/>
    <w:rsid w:val="001926A7"/>
    <w:rsid w:val="001932A9"/>
    <w:rsid w:val="00193D76"/>
    <w:rsid w:val="00193FDE"/>
    <w:rsid w:val="00194020"/>
    <w:rsid w:val="00195911"/>
    <w:rsid w:val="00195DF8"/>
    <w:rsid w:val="00196069"/>
    <w:rsid w:val="001960A4"/>
    <w:rsid w:val="00196106"/>
    <w:rsid w:val="0019614F"/>
    <w:rsid w:val="001965E9"/>
    <w:rsid w:val="001968D4"/>
    <w:rsid w:val="001969F6"/>
    <w:rsid w:val="00196A57"/>
    <w:rsid w:val="00196CF0"/>
    <w:rsid w:val="00197562"/>
    <w:rsid w:val="001A086B"/>
    <w:rsid w:val="001A0A0F"/>
    <w:rsid w:val="001A15A2"/>
    <w:rsid w:val="001A1961"/>
    <w:rsid w:val="001A1A7D"/>
    <w:rsid w:val="001A2291"/>
    <w:rsid w:val="001A22DE"/>
    <w:rsid w:val="001A25B8"/>
    <w:rsid w:val="001A2793"/>
    <w:rsid w:val="001A2D32"/>
    <w:rsid w:val="001A31A3"/>
    <w:rsid w:val="001A3540"/>
    <w:rsid w:val="001A3A9A"/>
    <w:rsid w:val="001A3BEB"/>
    <w:rsid w:val="001A4281"/>
    <w:rsid w:val="001A4C7F"/>
    <w:rsid w:val="001A5213"/>
    <w:rsid w:val="001A5790"/>
    <w:rsid w:val="001A5EB6"/>
    <w:rsid w:val="001A60F5"/>
    <w:rsid w:val="001A64D3"/>
    <w:rsid w:val="001A7095"/>
    <w:rsid w:val="001A7191"/>
    <w:rsid w:val="001A764D"/>
    <w:rsid w:val="001B01B7"/>
    <w:rsid w:val="001B0A28"/>
    <w:rsid w:val="001B0B8A"/>
    <w:rsid w:val="001B1252"/>
    <w:rsid w:val="001B1828"/>
    <w:rsid w:val="001B1F5A"/>
    <w:rsid w:val="001B2247"/>
    <w:rsid w:val="001B2D1D"/>
    <w:rsid w:val="001B3412"/>
    <w:rsid w:val="001B3442"/>
    <w:rsid w:val="001B42E5"/>
    <w:rsid w:val="001B45F0"/>
    <w:rsid w:val="001B476D"/>
    <w:rsid w:val="001B48C0"/>
    <w:rsid w:val="001B4BD0"/>
    <w:rsid w:val="001B4F5C"/>
    <w:rsid w:val="001B502C"/>
    <w:rsid w:val="001B5362"/>
    <w:rsid w:val="001B55A0"/>
    <w:rsid w:val="001B5F3B"/>
    <w:rsid w:val="001B6093"/>
    <w:rsid w:val="001B6654"/>
    <w:rsid w:val="001B6C45"/>
    <w:rsid w:val="001B7098"/>
    <w:rsid w:val="001B7147"/>
    <w:rsid w:val="001B77C8"/>
    <w:rsid w:val="001B7AE6"/>
    <w:rsid w:val="001B7CED"/>
    <w:rsid w:val="001C009B"/>
    <w:rsid w:val="001C020B"/>
    <w:rsid w:val="001C08E8"/>
    <w:rsid w:val="001C0E20"/>
    <w:rsid w:val="001C1123"/>
    <w:rsid w:val="001C276E"/>
    <w:rsid w:val="001C5246"/>
    <w:rsid w:val="001C553C"/>
    <w:rsid w:val="001C5C4B"/>
    <w:rsid w:val="001C6355"/>
    <w:rsid w:val="001C69D5"/>
    <w:rsid w:val="001C6AD2"/>
    <w:rsid w:val="001C6BC7"/>
    <w:rsid w:val="001C7034"/>
    <w:rsid w:val="001C7F40"/>
    <w:rsid w:val="001D012B"/>
    <w:rsid w:val="001D0160"/>
    <w:rsid w:val="001D0CDA"/>
    <w:rsid w:val="001D120F"/>
    <w:rsid w:val="001D1641"/>
    <w:rsid w:val="001D1B87"/>
    <w:rsid w:val="001D1DED"/>
    <w:rsid w:val="001D23D4"/>
    <w:rsid w:val="001D31D8"/>
    <w:rsid w:val="001D3262"/>
    <w:rsid w:val="001D335C"/>
    <w:rsid w:val="001D3806"/>
    <w:rsid w:val="001D3B5A"/>
    <w:rsid w:val="001D3F9D"/>
    <w:rsid w:val="001D4427"/>
    <w:rsid w:val="001D44DD"/>
    <w:rsid w:val="001D4681"/>
    <w:rsid w:val="001D49DA"/>
    <w:rsid w:val="001D53CB"/>
    <w:rsid w:val="001D5A5E"/>
    <w:rsid w:val="001D68DB"/>
    <w:rsid w:val="001D7306"/>
    <w:rsid w:val="001D750C"/>
    <w:rsid w:val="001D77E5"/>
    <w:rsid w:val="001E05D9"/>
    <w:rsid w:val="001E095D"/>
    <w:rsid w:val="001E1426"/>
    <w:rsid w:val="001E1779"/>
    <w:rsid w:val="001E1AE2"/>
    <w:rsid w:val="001E2AB3"/>
    <w:rsid w:val="001E2D43"/>
    <w:rsid w:val="001E3DDF"/>
    <w:rsid w:val="001E4708"/>
    <w:rsid w:val="001E494F"/>
    <w:rsid w:val="001E4A4A"/>
    <w:rsid w:val="001E5124"/>
    <w:rsid w:val="001E5358"/>
    <w:rsid w:val="001E561E"/>
    <w:rsid w:val="001E632A"/>
    <w:rsid w:val="001E65E6"/>
    <w:rsid w:val="001E67C0"/>
    <w:rsid w:val="001E6ABC"/>
    <w:rsid w:val="001E6BE8"/>
    <w:rsid w:val="001E7870"/>
    <w:rsid w:val="001E79A9"/>
    <w:rsid w:val="001F01A0"/>
    <w:rsid w:val="001F08C5"/>
    <w:rsid w:val="001F1472"/>
    <w:rsid w:val="001F1A70"/>
    <w:rsid w:val="001F1AB2"/>
    <w:rsid w:val="001F264A"/>
    <w:rsid w:val="001F3CC5"/>
    <w:rsid w:val="001F3FDD"/>
    <w:rsid w:val="001F552E"/>
    <w:rsid w:val="001F5725"/>
    <w:rsid w:val="001F586B"/>
    <w:rsid w:val="001F5CBC"/>
    <w:rsid w:val="001F5D58"/>
    <w:rsid w:val="001F607C"/>
    <w:rsid w:val="001F6A9D"/>
    <w:rsid w:val="001F7075"/>
    <w:rsid w:val="001F74BB"/>
    <w:rsid w:val="001F78D9"/>
    <w:rsid w:val="001F7A2C"/>
    <w:rsid w:val="001F7A33"/>
    <w:rsid w:val="002002BB"/>
    <w:rsid w:val="00200E11"/>
    <w:rsid w:val="00200E2B"/>
    <w:rsid w:val="002013B1"/>
    <w:rsid w:val="002017DC"/>
    <w:rsid w:val="00201936"/>
    <w:rsid w:val="002019CE"/>
    <w:rsid w:val="00202927"/>
    <w:rsid w:val="00202C87"/>
    <w:rsid w:val="00203158"/>
    <w:rsid w:val="00203B5B"/>
    <w:rsid w:val="002040B5"/>
    <w:rsid w:val="002041CC"/>
    <w:rsid w:val="002044C1"/>
    <w:rsid w:val="00204670"/>
    <w:rsid w:val="002046DB"/>
    <w:rsid w:val="00204785"/>
    <w:rsid w:val="002054EF"/>
    <w:rsid w:val="00205824"/>
    <w:rsid w:val="00205D76"/>
    <w:rsid w:val="00206D2F"/>
    <w:rsid w:val="00206E36"/>
    <w:rsid w:val="00207279"/>
    <w:rsid w:val="00207E0D"/>
    <w:rsid w:val="0021067F"/>
    <w:rsid w:val="00210B57"/>
    <w:rsid w:val="00210BEF"/>
    <w:rsid w:val="002112F5"/>
    <w:rsid w:val="00211CC9"/>
    <w:rsid w:val="00212A35"/>
    <w:rsid w:val="00212D9F"/>
    <w:rsid w:val="00213387"/>
    <w:rsid w:val="002133FA"/>
    <w:rsid w:val="0021359E"/>
    <w:rsid w:val="0021394A"/>
    <w:rsid w:val="00213A42"/>
    <w:rsid w:val="00213B8A"/>
    <w:rsid w:val="0021418C"/>
    <w:rsid w:val="002146E9"/>
    <w:rsid w:val="00214A75"/>
    <w:rsid w:val="00215066"/>
    <w:rsid w:val="00216178"/>
    <w:rsid w:val="00216D50"/>
    <w:rsid w:val="00217824"/>
    <w:rsid w:val="0022035B"/>
    <w:rsid w:val="0022051A"/>
    <w:rsid w:val="002205FF"/>
    <w:rsid w:val="00220766"/>
    <w:rsid w:val="0022103C"/>
    <w:rsid w:val="0022107C"/>
    <w:rsid w:val="00221097"/>
    <w:rsid w:val="00221370"/>
    <w:rsid w:val="00221603"/>
    <w:rsid w:val="0022164E"/>
    <w:rsid w:val="0022175E"/>
    <w:rsid w:val="00221F92"/>
    <w:rsid w:val="002221E6"/>
    <w:rsid w:val="0022229C"/>
    <w:rsid w:val="002224A9"/>
    <w:rsid w:val="00222A8E"/>
    <w:rsid w:val="00224140"/>
    <w:rsid w:val="0022457B"/>
    <w:rsid w:val="00224BB2"/>
    <w:rsid w:val="00224D89"/>
    <w:rsid w:val="00224E1C"/>
    <w:rsid w:val="00225300"/>
    <w:rsid w:val="00225574"/>
    <w:rsid w:val="002263BE"/>
    <w:rsid w:val="00226727"/>
    <w:rsid w:val="002278D9"/>
    <w:rsid w:val="00227966"/>
    <w:rsid w:val="00227CB6"/>
    <w:rsid w:val="0023024B"/>
    <w:rsid w:val="0023084F"/>
    <w:rsid w:val="00230BD3"/>
    <w:rsid w:val="002314B5"/>
    <w:rsid w:val="00231F14"/>
    <w:rsid w:val="00233487"/>
    <w:rsid w:val="0023353C"/>
    <w:rsid w:val="00233594"/>
    <w:rsid w:val="00233F55"/>
    <w:rsid w:val="0023407A"/>
    <w:rsid w:val="00234272"/>
    <w:rsid w:val="0023436D"/>
    <w:rsid w:val="0023450E"/>
    <w:rsid w:val="002348DE"/>
    <w:rsid w:val="002351CB"/>
    <w:rsid w:val="00235559"/>
    <w:rsid w:val="00235B87"/>
    <w:rsid w:val="0023645F"/>
    <w:rsid w:val="002366F7"/>
    <w:rsid w:val="00236F8F"/>
    <w:rsid w:val="00237506"/>
    <w:rsid w:val="00237929"/>
    <w:rsid w:val="00237F32"/>
    <w:rsid w:val="00240000"/>
    <w:rsid w:val="0024003D"/>
    <w:rsid w:val="00240071"/>
    <w:rsid w:val="00240790"/>
    <w:rsid w:val="002408D9"/>
    <w:rsid w:val="00241C08"/>
    <w:rsid w:val="00241D4C"/>
    <w:rsid w:val="00241D7E"/>
    <w:rsid w:val="002421E7"/>
    <w:rsid w:val="002428D8"/>
    <w:rsid w:val="002428EC"/>
    <w:rsid w:val="00242F5A"/>
    <w:rsid w:val="0024357E"/>
    <w:rsid w:val="00243902"/>
    <w:rsid w:val="00244509"/>
    <w:rsid w:val="00244897"/>
    <w:rsid w:val="002448D8"/>
    <w:rsid w:val="00245151"/>
    <w:rsid w:val="002453E5"/>
    <w:rsid w:val="0024581A"/>
    <w:rsid w:val="00246C0E"/>
    <w:rsid w:val="00246C9E"/>
    <w:rsid w:val="002470B4"/>
    <w:rsid w:val="00247259"/>
    <w:rsid w:val="00247CCD"/>
    <w:rsid w:val="00247EEB"/>
    <w:rsid w:val="00247FD8"/>
    <w:rsid w:val="002519BF"/>
    <w:rsid w:val="00251D42"/>
    <w:rsid w:val="00251ED6"/>
    <w:rsid w:val="002520C0"/>
    <w:rsid w:val="00252172"/>
    <w:rsid w:val="002521C8"/>
    <w:rsid w:val="00252369"/>
    <w:rsid w:val="002527EA"/>
    <w:rsid w:val="00252B33"/>
    <w:rsid w:val="00252C39"/>
    <w:rsid w:val="00252FA1"/>
    <w:rsid w:val="0025357E"/>
    <w:rsid w:val="0025397B"/>
    <w:rsid w:val="00253991"/>
    <w:rsid w:val="00253B71"/>
    <w:rsid w:val="00253CC2"/>
    <w:rsid w:val="00254685"/>
    <w:rsid w:val="00255D0C"/>
    <w:rsid w:val="00255D5B"/>
    <w:rsid w:val="0025623E"/>
    <w:rsid w:val="00256405"/>
    <w:rsid w:val="002565B2"/>
    <w:rsid w:val="0025756C"/>
    <w:rsid w:val="002577C0"/>
    <w:rsid w:val="00257EAC"/>
    <w:rsid w:val="0026060D"/>
    <w:rsid w:val="00260E8C"/>
    <w:rsid w:val="00260F5C"/>
    <w:rsid w:val="00260F96"/>
    <w:rsid w:val="002611C9"/>
    <w:rsid w:val="00261474"/>
    <w:rsid w:val="002619C5"/>
    <w:rsid w:val="00261A9A"/>
    <w:rsid w:val="00261FD5"/>
    <w:rsid w:val="0026246F"/>
    <w:rsid w:val="00262763"/>
    <w:rsid w:val="0026296F"/>
    <w:rsid w:val="00262A8E"/>
    <w:rsid w:val="00263461"/>
    <w:rsid w:val="00263A7D"/>
    <w:rsid w:val="00264089"/>
    <w:rsid w:val="00264B11"/>
    <w:rsid w:val="002656D5"/>
    <w:rsid w:val="00265FC4"/>
    <w:rsid w:val="00266193"/>
    <w:rsid w:val="00266C45"/>
    <w:rsid w:val="00267C94"/>
    <w:rsid w:val="00267F45"/>
    <w:rsid w:val="00270255"/>
    <w:rsid w:val="00270608"/>
    <w:rsid w:val="002708ED"/>
    <w:rsid w:val="002709CD"/>
    <w:rsid w:val="002710FE"/>
    <w:rsid w:val="00272510"/>
    <w:rsid w:val="00272ADE"/>
    <w:rsid w:val="00272CD9"/>
    <w:rsid w:val="00273281"/>
    <w:rsid w:val="0027362C"/>
    <w:rsid w:val="00273864"/>
    <w:rsid w:val="002738D8"/>
    <w:rsid w:val="00273AEA"/>
    <w:rsid w:val="002740E9"/>
    <w:rsid w:val="0027446D"/>
    <w:rsid w:val="00274525"/>
    <w:rsid w:val="00275311"/>
    <w:rsid w:val="002757D1"/>
    <w:rsid w:val="00275A34"/>
    <w:rsid w:val="00275ADE"/>
    <w:rsid w:val="00275D0B"/>
    <w:rsid w:val="00276378"/>
    <w:rsid w:val="00276CF8"/>
    <w:rsid w:val="00276FFC"/>
    <w:rsid w:val="0027706E"/>
    <w:rsid w:val="002775EB"/>
    <w:rsid w:val="002776DD"/>
    <w:rsid w:val="00277F25"/>
    <w:rsid w:val="0028011A"/>
    <w:rsid w:val="0028027E"/>
    <w:rsid w:val="002810D5"/>
    <w:rsid w:val="0028165D"/>
    <w:rsid w:val="002816BD"/>
    <w:rsid w:val="0028170A"/>
    <w:rsid w:val="00282AAE"/>
    <w:rsid w:val="00283272"/>
    <w:rsid w:val="0028497D"/>
    <w:rsid w:val="00284BE9"/>
    <w:rsid w:val="002857B7"/>
    <w:rsid w:val="00285804"/>
    <w:rsid w:val="002858F9"/>
    <w:rsid w:val="00285CF1"/>
    <w:rsid w:val="00285DD0"/>
    <w:rsid w:val="00286660"/>
    <w:rsid w:val="00287302"/>
    <w:rsid w:val="00287C85"/>
    <w:rsid w:val="0029028E"/>
    <w:rsid w:val="00290868"/>
    <w:rsid w:val="00290A06"/>
    <w:rsid w:val="00290C96"/>
    <w:rsid w:val="00290F20"/>
    <w:rsid w:val="002920B3"/>
    <w:rsid w:val="00292C58"/>
    <w:rsid w:val="00293090"/>
    <w:rsid w:val="00293524"/>
    <w:rsid w:val="00293721"/>
    <w:rsid w:val="00293C39"/>
    <w:rsid w:val="00294187"/>
    <w:rsid w:val="002942F5"/>
    <w:rsid w:val="002949B5"/>
    <w:rsid w:val="00294B1A"/>
    <w:rsid w:val="00294C6E"/>
    <w:rsid w:val="00294DAD"/>
    <w:rsid w:val="00295CC2"/>
    <w:rsid w:val="00295D3C"/>
    <w:rsid w:val="002960EA"/>
    <w:rsid w:val="00296356"/>
    <w:rsid w:val="002A03F5"/>
    <w:rsid w:val="002A0828"/>
    <w:rsid w:val="002A09F7"/>
    <w:rsid w:val="002A0D6C"/>
    <w:rsid w:val="002A0E26"/>
    <w:rsid w:val="002A1E06"/>
    <w:rsid w:val="002A27A0"/>
    <w:rsid w:val="002A2E6B"/>
    <w:rsid w:val="002A2FEF"/>
    <w:rsid w:val="002A309A"/>
    <w:rsid w:val="002A31B0"/>
    <w:rsid w:val="002A31FB"/>
    <w:rsid w:val="002A36CC"/>
    <w:rsid w:val="002A3AA9"/>
    <w:rsid w:val="002A3E43"/>
    <w:rsid w:val="002A4A33"/>
    <w:rsid w:val="002A4C49"/>
    <w:rsid w:val="002A4CCB"/>
    <w:rsid w:val="002A561B"/>
    <w:rsid w:val="002A57BF"/>
    <w:rsid w:val="002A5BD2"/>
    <w:rsid w:val="002A5C5C"/>
    <w:rsid w:val="002A6079"/>
    <w:rsid w:val="002A6356"/>
    <w:rsid w:val="002A6AE6"/>
    <w:rsid w:val="002A6B65"/>
    <w:rsid w:val="002A6CC3"/>
    <w:rsid w:val="002A76C0"/>
    <w:rsid w:val="002B0199"/>
    <w:rsid w:val="002B036E"/>
    <w:rsid w:val="002B08C9"/>
    <w:rsid w:val="002B0B80"/>
    <w:rsid w:val="002B0BB7"/>
    <w:rsid w:val="002B0C06"/>
    <w:rsid w:val="002B0CB3"/>
    <w:rsid w:val="002B1272"/>
    <w:rsid w:val="002B2988"/>
    <w:rsid w:val="002B2A52"/>
    <w:rsid w:val="002B2B52"/>
    <w:rsid w:val="002B2B80"/>
    <w:rsid w:val="002B2C48"/>
    <w:rsid w:val="002B2C53"/>
    <w:rsid w:val="002B324D"/>
    <w:rsid w:val="002B3326"/>
    <w:rsid w:val="002B3B3F"/>
    <w:rsid w:val="002B3D0D"/>
    <w:rsid w:val="002B424C"/>
    <w:rsid w:val="002B4543"/>
    <w:rsid w:val="002B4F0B"/>
    <w:rsid w:val="002B528C"/>
    <w:rsid w:val="002B562F"/>
    <w:rsid w:val="002B5BE6"/>
    <w:rsid w:val="002B76B5"/>
    <w:rsid w:val="002C093F"/>
    <w:rsid w:val="002C1680"/>
    <w:rsid w:val="002C1899"/>
    <w:rsid w:val="002C19A1"/>
    <w:rsid w:val="002C1FE4"/>
    <w:rsid w:val="002C294D"/>
    <w:rsid w:val="002C4DF0"/>
    <w:rsid w:val="002C5A43"/>
    <w:rsid w:val="002C5F15"/>
    <w:rsid w:val="002C5F42"/>
    <w:rsid w:val="002C62B6"/>
    <w:rsid w:val="002C6FFB"/>
    <w:rsid w:val="002C7D00"/>
    <w:rsid w:val="002C7D63"/>
    <w:rsid w:val="002C7FE2"/>
    <w:rsid w:val="002D0F1F"/>
    <w:rsid w:val="002D1262"/>
    <w:rsid w:val="002D1AE6"/>
    <w:rsid w:val="002D1AF9"/>
    <w:rsid w:val="002D1BF7"/>
    <w:rsid w:val="002D2319"/>
    <w:rsid w:val="002D394E"/>
    <w:rsid w:val="002D39F9"/>
    <w:rsid w:val="002D3BC1"/>
    <w:rsid w:val="002D3F12"/>
    <w:rsid w:val="002D4525"/>
    <w:rsid w:val="002D549E"/>
    <w:rsid w:val="002D6539"/>
    <w:rsid w:val="002D6A9B"/>
    <w:rsid w:val="002D7197"/>
    <w:rsid w:val="002D73D9"/>
    <w:rsid w:val="002D73E5"/>
    <w:rsid w:val="002E0303"/>
    <w:rsid w:val="002E08B5"/>
    <w:rsid w:val="002E0A1E"/>
    <w:rsid w:val="002E139B"/>
    <w:rsid w:val="002E147F"/>
    <w:rsid w:val="002E17F1"/>
    <w:rsid w:val="002E2BEF"/>
    <w:rsid w:val="002E2E15"/>
    <w:rsid w:val="002E2F32"/>
    <w:rsid w:val="002E392E"/>
    <w:rsid w:val="002E3D45"/>
    <w:rsid w:val="002E3E80"/>
    <w:rsid w:val="002E41F9"/>
    <w:rsid w:val="002E479F"/>
    <w:rsid w:val="002E4D11"/>
    <w:rsid w:val="002E502D"/>
    <w:rsid w:val="002E5B14"/>
    <w:rsid w:val="002E5E3A"/>
    <w:rsid w:val="002E64B4"/>
    <w:rsid w:val="002E674E"/>
    <w:rsid w:val="002E6754"/>
    <w:rsid w:val="002E68A9"/>
    <w:rsid w:val="002E6EE3"/>
    <w:rsid w:val="002E738E"/>
    <w:rsid w:val="002E7C6F"/>
    <w:rsid w:val="002E7F48"/>
    <w:rsid w:val="002F1244"/>
    <w:rsid w:val="002F314C"/>
    <w:rsid w:val="002F38EC"/>
    <w:rsid w:val="002F45FD"/>
    <w:rsid w:val="002F4AFB"/>
    <w:rsid w:val="002F4B10"/>
    <w:rsid w:val="002F50A0"/>
    <w:rsid w:val="002F52E3"/>
    <w:rsid w:val="002F53EF"/>
    <w:rsid w:val="002F57C5"/>
    <w:rsid w:val="002F5901"/>
    <w:rsid w:val="002F5DFB"/>
    <w:rsid w:val="002F6E6C"/>
    <w:rsid w:val="002F7593"/>
    <w:rsid w:val="002F761D"/>
    <w:rsid w:val="002F785E"/>
    <w:rsid w:val="002F7995"/>
    <w:rsid w:val="003000EE"/>
    <w:rsid w:val="00300265"/>
    <w:rsid w:val="00300A28"/>
    <w:rsid w:val="00301184"/>
    <w:rsid w:val="003019E9"/>
    <w:rsid w:val="00301C7B"/>
    <w:rsid w:val="00302559"/>
    <w:rsid w:val="00303244"/>
    <w:rsid w:val="003033E3"/>
    <w:rsid w:val="00303491"/>
    <w:rsid w:val="0030384F"/>
    <w:rsid w:val="00303943"/>
    <w:rsid w:val="00304273"/>
    <w:rsid w:val="003050E6"/>
    <w:rsid w:val="003053BD"/>
    <w:rsid w:val="00305CA1"/>
    <w:rsid w:val="00306011"/>
    <w:rsid w:val="00306194"/>
    <w:rsid w:val="003062AF"/>
    <w:rsid w:val="00306317"/>
    <w:rsid w:val="00306AAC"/>
    <w:rsid w:val="0030758B"/>
    <w:rsid w:val="00307B63"/>
    <w:rsid w:val="00307D4A"/>
    <w:rsid w:val="00310528"/>
    <w:rsid w:val="0031096E"/>
    <w:rsid w:val="00311804"/>
    <w:rsid w:val="00311B69"/>
    <w:rsid w:val="00311B8E"/>
    <w:rsid w:val="00311E9E"/>
    <w:rsid w:val="00312F28"/>
    <w:rsid w:val="00313143"/>
    <w:rsid w:val="0031327A"/>
    <w:rsid w:val="003133F6"/>
    <w:rsid w:val="00313B9F"/>
    <w:rsid w:val="00313BF0"/>
    <w:rsid w:val="00313F08"/>
    <w:rsid w:val="003148D5"/>
    <w:rsid w:val="00314A38"/>
    <w:rsid w:val="00314DE6"/>
    <w:rsid w:val="00315AF8"/>
    <w:rsid w:val="003161F7"/>
    <w:rsid w:val="0031648D"/>
    <w:rsid w:val="00317116"/>
    <w:rsid w:val="00317289"/>
    <w:rsid w:val="0031744A"/>
    <w:rsid w:val="00320008"/>
    <w:rsid w:val="003208AC"/>
    <w:rsid w:val="00320960"/>
    <w:rsid w:val="0032124B"/>
    <w:rsid w:val="0032141E"/>
    <w:rsid w:val="00321F6E"/>
    <w:rsid w:val="0032224B"/>
    <w:rsid w:val="00322779"/>
    <w:rsid w:val="00322915"/>
    <w:rsid w:val="003232F9"/>
    <w:rsid w:val="00323662"/>
    <w:rsid w:val="003241C7"/>
    <w:rsid w:val="003244CF"/>
    <w:rsid w:val="003248D2"/>
    <w:rsid w:val="00324C14"/>
    <w:rsid w:val="00324FE2"/>
    <w:rsid w:val="00325A87"/>
    <w:rsid w:val="00325A92"/>
    <w:rsid w:val="00326A0D"/>
    <w:rsid w:val="00326B0F"/>
    <w:rsid w:val="00326C8F"/>
    <w:rsid w:val="00327191"/>
    <w:rsid w:val="003272A4"/>
    <w:rsid w:val="00327545"/>
    <w:rsid w:val="00327DD4"/>
    <w:rsid w:val="00330073"/>
    <w:rsid w:val="00330085"/>
    <w:rsid w:val="003306CA"/>
    <w:rsid w:val="003308C7"/>
    <w:rsid w:val="0033094C"/>
    <w:rsid w:val="003313EF"/>
    <w:rsid w:val="0033176F"/>
    <w:rsid w:val="0033178E"/>
    <w:rsid w:val="00331B05"/>
    <w:rsid w:val="00331C61"/>
    <w:rsid w:val="00332132"/>
    <w:rsid w:val="00332772"/>
    <w:rsid w:val="003333B9"/>
    <w:rsid w:val="00333961"/>
    <w:rsid w:val="00333CBA"/>
    <w:rsid w:val="00333E91"/>
    <w:rsid w:val="0033407A"/>
    <w:rsid w:val="003345E5"/>
    <w:rsid w:val="003349C1"/>
    <w:rsid w:val="00334F27"/>
    <w:rsid w:val="003350EB"/>
    <w:rsid w:val="00335939"/>
    <w:rsid w:val="0033596D"/>
    <w:rsid w:val="00335A20"/>
    <w:rsid w:val="00335B51"/>
    <w:rsid w:val="00335B63"/>
    <w:rsid w:val="00335EC8"/>
    <w:rsid w:val="0033640D"/>
    <w:rsid w:val="003375B4"/>
    <w:rsid w:val="0033766C"/>
    <w:rsid w:val="00337704"/>
    <w:rsid w:val="0033784F"/>
    <w:rsid w:val="00337923"/>
    <w:rsid w:val="00337D3C"/>
    <w:rsid w:val="00337D91"/>
    <w:rsid w:val="00337F08"/>
    <w:rsid w:val="00340383"/>
    <w:rsid w:val="00341161"/>
    <w:rsid w:val="00341211"/>
    <w:rsid w:val="00341328"/>
    <w:rsid w:val="0034139F"/>
    <w:rsid w:val="00341BFE"/>
    <w:rsid w:val="00343026"/>
    <w:rsid w:val="00343A2E"/>
    <w:rsid w:val="00344841"/>
    <w:rsid w:val="00344C2F"/>
    <w:rsid w:val="003457D0"/>
    <w:rsid w:val="003457E9"/>
    <w:rsid w:val="00345EDE"/>
    <w:rsid w:val="00346E99"/>
    <w:rsid w:val="003471DC"/>
    <w:rsid w:val="00347918"/>
    <w:rsid w:val="00347A42"/>
    <w:rsid w:val="00350048"/>
    <w:rsid w:val="003500C6"/>
    <w:rsid w:val="00350175"/>
    <w:rsid w:val="0035148E"/>
    <w:rsid w:val="00351DF0"/>
    <w:rsid w:val="00352252"/>
    <w:rsid w:val="003522AD"/>
    <w:rsid w:val="0035266C"/>
    <w:rsid w:val="00352717"/>
    <w:rsid w:val="00352860"/>
    <w:rsid w:val="00353BD9"/>
    <w:rsid w:val="00354811"/>
    <w:rsid w:val="003550A1"/>
    <w:rsid w:val="0035522B"/>
    <w:rsid w:val="00355258"/>
    <w:rsid w:val="003553C9"/>
    <w:rsid w:val="00355761"/>
    <w:rsid w:val="00355835"/>
    <w:rsid w:val="003559C2"/>
    <w:rsid w:val="00356402"/>
    <w:rsid w:val="0035672B"/>
    <w:rsid w:val="003569CD"/>
    <w:rsid w:val="00356A62"/>
    <w:rsid w:val="0035759A"/>
    <w:rsid w:val="00357C2C"/>
    <w:rsid w:val="00360C25"/>
    <w:rsid w:val="00360C57"/>
    <w:rsid w:val="00360EF9"/>
    <w:rsid w:val="003612F6"/>
    <w:rsid w:val="0036144E"/>
    <w:rsid w:val="00361B3A"/>
    <w:rsid w:val="00361C7F"/>
    <w:rsid w:val="00361C8F"/>
    <w:rsid w:val="00362218"/>
    <w:rsid w:val="00362FCD"/>
    <w:rsid w:val="003631FC"/>
    <w:rsid w:val="0036352A"/>
    <w:rsid w:val="00363755"/>
    <w:rsid w:val="00363BB5"/>
    <w:rsid w:val="00363C72"/>
    <w:rsid w:val="00363EFE"/>
    <w:rsid w:val="0036540A"/>
    <w:rsid w:val="003663B8"/>
    <w:rsid w:val="003677E5"/>
    <w:rsid w:val="00367A60"/>
    <w:rsid w:val="00367CCA"/>
    <w:rsid w:val="00367F94"/>
    <w:rsid w:val="0037065C"/>
    <w:rsid w:val="0037069D"/>
    <w:rsid w:val="00370D77"/>
    <w:rsid w:val="00370D97"/>
    <w:rsid w:val="003713D1"/>
    <w:rsid w:val="0037148F"/>
    <w:rsid w:val="003717EB"/>
    <w:rsid w:val="003718F8"/>
    <w:rsid w:val="00371F73"/>
    <w:rsid w:val="00372180"/>
    <w:rsid w:val="003723B0"/>
    <w:rsid w:val="0037245C"/>
    <w:rsid w:val="00372A0A"/>
    <w:rsid w:val="00372B9E"/>
    <w:rsid w:val="003731DA"/>
    <w:rsid w:val="00373567"/>
    <w:rsid w:val="00373ACE"/>
    <w:rsid w:val="00373C8B"/>
    <w:rsid w:val="00373DA9"/>
    <w:rsid w:val="00374A89"/>
    <w:rsid w:val="00374AAB"/>
    <w:rsid w:val="00374DB5"/>
    <w:rsid w:val="003754F3"/>
    <w:rsid w:val="00375516"/>
    <w:rsid w:val="003757F7"/>
    <w:rsid w:val="00375FFE"/>
    <w:rsid w:val="0037638A"/>
    <w:rsid w:val="00376C81"/>
    <w:rsid w:val="00377B48"/>
    <w:rsid w:val="003802EE"/>
    <w:rsid w:val="00380D16"/>
    <w:rsid w:val="00381115"/>
    <w:rsid w:val="003812CE"/>
    <w:rsid w:val="00381DA0"/>
    <w:rsid w:val="00382760"/>
    <w:rsid w:val="00382B3D"/>
    <w:rsid w:val="0038387A"/>
    <w:rsid w:val="00383D99"/>
    <w:rsid w:val="00384421"/>
    <w:rsid w:val="003846DE"/>
    <w:rsid w:val="0038478F"/>
    <w:rsid w:val="00384E56"/>
    <w:rsid w:val="00384FE9"/>
    <w:rsid w:val="0038529F"/>
    <w:rsid w:val="003853C1"/>
    <w:rsid w:val="00385411"/>
    <w:rsid w:val="00385C05"/>
    <w:rsid w:val="00385F73"/>
    <w:rsid w:val="00386443"/>
    <w:rsid w:val="00386E8E"/>
    <w:rsid w:val="0038769C"/>
    <w:rsid w:val="003876F9"/>
    <w:rsid w:val="00390612"/>
    <w:rsid w:val="00390AA8"/>
    <w:rsid w:val="00390BCC"/>
    <w:rsid w:val="00390ED7"/>
    <w:rsid w:val="00391131"/>
    <w:rsid w:val="003916B4"/>
    <w:rsid w:val="00391A46"/>
    <w:rsid w:val="00391F0B"/>
    <w:rsid w:val="00392157"/>
    <w:rsid w:val="003921AF"/>
    <w:rsid w:val="003923E2"/>
    <w:rsid w:val="003929C3"/>
    <w:rsid w:val="00392D9A"/>
    <w:rsid w:val="003939F9"/>
    <w:rsid w:val="00393DF6"/>
    <w:rsid w:val="003945E3"/>
    <w:rsid w:val="003947D5"/>
    <w:rsid w:val="00394B15"/>
    <w:rsid w:val="00394D68"/>
    <w:rsid w:val="00395746"/>
    <w:rsid w:val="00395867"/>
    <w:rsid w:val="00396DB6"/>
    <w:rsid w:val="00397292"/>
    <w:rsid w:val="00397C12"/>
    <w:rsid w:val="003A09F1"/>
    <w:rsid w:val="003A0AFF"/>
    <w:rsid w:val="003A1BF4"/>
    <w:rsid w:val="003A1BF9"/>
    <w:rsid w:val="003A1EDF"/>
    <w:rsid w:val="003A1EEA"/>
    <w:rsid w:val="003A1FE0"/>
    <w:rsid w:val="003A2BC9"/>
    <w:rsid w:val="003A36F8"/>
    <w:rsid w:val="003A3913"/>
    <w:rsid w:val="003A3A1F"/>
    <w:rsid w:val="003A3C10"/>
    <w:rsid w:val="003A3C82"/>
    <w:rsid w:val="003A3FC0"/>
    <w:rsid w:val="003A4F5E"/>
    <w:rsid w:val="003A5514"/>
    <w:rsid w:val="003A5768"/>
    <w:rsid w:val="003A5BB3"/>
    <w:rsid w:val="003A5D39"/>
    <w:rsid w:val="003A7A5A"/>
    <w:rsid w:val="003B0B86"/>
    <w:rsid w:val="003B14C4"/>
    <w:rsid w:val="003B275B"/>
    <w:rsid w:val="003B2E5B"/>
    <w:rsid w:val="003B3757"/>
    <w:rsid w:val="003B4321"/>
    <w:rsid w:val="003B43AB"/>
    <w:rsid w:val="003B44C6"/>
    <w:rsid w:val="003B5502"/>
    <w:rsid w:val="003B5742"/>
    <w:rsid w:val="003B575B"/>
    <w:rsid w:val="003B677B"/>
    <w:rsid w:val="003B697A"/>
    <w:rsid w:val="003B7207"/>
    <w:rsid w:val="003B79F6"/>
    <w:rsid w:val="003B7C97"/>
    <w:rsid w:val="003B7D0E"/>
    <w:rsid w:val="003B7D5F"/>
    <w:rsid w:val="003C0B7F"/>
    <w:rsid w:val="003C0E17"/>
    <w:rsid w:val="003C0F5F"/>
    <w:rsid w:val="003C1BAA"/>
    <w:rsid w:val="003C202E"/>
    <w:rsid w:val="003C2C6C"/>
    <w:rsid w:val="003C313C"/>
    <w:rsid w:val="003C37E1"/>
    <w:rsid w:val="003C37EF"/>
    <w:rsid w:val="003C3A8F"/>
    <w:rsid w:val="003C3BCC"/>
    <w:rsid w:val="003C3E65"/>
    <w:rsid w:val="003C449D"/>
    <w:rsid w:val="003C59CC"/>
    <w:rsid w:val="003C5A8D"/>
    <w:rsid w:val="003C5A9B"/>
    <w:rsid w:val="003C5AE6"/>
    <w:rsid w:val="003C5FAB"/>
    <w:rsid w:val="003C616E"/>
    <w:rsid w:val="003C6391"/>
    <w:rsid w:val="003C6AF4"/>
    <w:rsid w:val="003C6B26"/>
    <w:rsid w:val="003C74F1"/>
    <w:rsid w:val="003D09D2"/>
    <w:rsid w:val="003D0CC0"/>
    <w:rsid w:val="003D0DC9"/>
    <w:rsid w:val="003D0F53"/>
    <w:rsid w:val="003D1B86"/>
    <w:rsid w:val="003D1DAB"/>
    <w:rsid w:val="003D244F"/>
    <w:rsid w:val="003D2675"/>
    <w:rsid w:val="003D315A"/>
    <w:rsid w:val="003D33E1"/>
    <w:rsid w:val="003D34D4"/>
    <w:rsid w:val="003D3796"/>
    <w:rsid w:val="003D4046"/>
    <w:rsid w:val="003D453E"/>
    <w:rsid w:val="003D460E"/>
    <w:rsid w:val="003D4E15"/>
    <w:rsid w:val="003D5C03"/>
    <w:rsid w:val="003D5D3D"/>
    <w:rsid w:val="003D6D4F"/>
    <w:rsid w:val="003D7311"/>
    <w:rsid w:val="003D7D86"/>
    <w:rsid w:val="003E151C"/>
    <w:rsid w:val="003E1E5F"/>
    <w:rsid w:val="003E232F"/>
    <w:rsid w:val="003E2510"/>
    <w:rsid w:val="003E2FDF"/>
    <w:rsid w:val="003E3575"/>
    <w:rsid w:val="003E3F16"/>
    <w:rsid w:val="003E43E4"/>
    <w:rsid w:val="003E46C9"/>
    <w:rsid w:val="003E4BD6"/>
    <w:rsid w:val="003E4C65"/>
    <w:rsid w:val="003E4F6E"/>
    <w:rsid w:val="003E5133"/>
    <w:rsid w:val="003E54DD"/>
    <w:rsid w:val="003E619E"/>
    <w:rsid w:val="003E642F"/>
    <w:rsid w:val="003E6667"/>
    <w:rsid w:val="003E6C12"/>
    <w:rsid w:val="003F0806"/>
    <w:rsid w:val="003F09B1"/>
    <w:rsid w:val="003F1006"/>
    <w:rsid w:val="003F1983"/>
    <w:rsid w:val="003F2BB4"/>
    <w:rsid w:val="003F30B1"/>
    <w:rsid w:val="003F330E"/>
    <w:rsid w:val="003F358F"/>
    <w:rsid w:val="003F3802"/>
    <w:rsid w:val="003F3997"/>
    <w:rsid w:val="003F3DB5"/>
    <w:rsid w:val="003F4D23"/>
    <w:rsid w:val="003F530B"/>
    <w:rsid w:val="003F5D1A"/>
    <w:rsid w:val="003F67C4"/>
    <w:rsid w:val="003F6A34"/>
    <w:rsid w:val="003F6EFB"/>
    <w:rsid w:val="003F74B6"/>
    <w:rsid w:val="003F7C65"/>
    <w:rsid w:val="003F7FB5"/>
    <w:rsid w:val="00400263"/>
    <w:rsid w:val="004008AB"/>
    <w:rsid w:val="004017A2"/>
    <w:rsid w:val="00402467"/>
    <w:rsid w:val="004026BB"/>
    <w:rsid w:val="00402746"/>
    <w:rsid w:val="00402809"/>
    <w:rsid w:val="00402B0F"/>
    <w:rsid w:val="00403AB9"/>
    <w:rsid w:val="00403E28"/>
    <w:rsid w:val="00404E4B"/>
    <w:rsid w:val="00406306"/>
    <w:rsid w:val="004066B4"/>
    <w:rsid w:val="00406BD9"/>
    <w:rsid w:val="00406F03"/>
    <w:rsid w:val="00407B38"/>
    <w:rsid w:val="00407FBD"/>
    <w:rsid w:val="00410CEE"/>
    <w:rsid w:val="00411B0D"/>
    <w:rsid w:val="00411D98"/>
    <w:rsid w:val="00411DB1"/>
    <w:rsid w:val="00412160"/>
    <w:rsid w:val="00412ACB"/>
    <w:rsid w:val="004132B0"/>
    <w:rsid w:val="004145CE"/>
    <w:rsid w:val="0041495E"/>
    <w:rsid w:val="0041608C"/>
    <w:rsid w:val="004161FD"/>
    <w:rsid w:val="004173B1"/>
    <w:rsid w:val="0041746E"/>
    <w:rsid w:val="0041751C"/>
    <w:rsid w:val="0041766C"/>
    <w:rsid w:val="00420170"/>
    <w:rsid w:val="004205FC"/>
    <w:rsid w:val="00421417"/>
    <w:rsid w:val="0042156A"/>
    <w:rsid w:val="0042171D"/>
    <w:rsid w:val="00421B7B"/>
    <w:rsid w:val="00422220"/>
    <w:rsid w:val="0042227E"/>
    <w:rsid w:val="00422310"/>
    <w:rsid w:val="00422FFB"/>
    <w:rsid w:val="004239B6"/>
    <w:rsid w:val="00424644"/>
    <w:rsid w:val="0042493B"/>
    <w:rsid w:val="00424ADD"/>
    <w:rsid w:val="00424E5B"/>
    <w:rsid w:val="00426041"/>
    <w:rsid w:val="004263D0"/>
    <w:rsid w:val="004279AA"/>
    <w:rsid w:val="00427BCA"/>
    <w:rsid w:val="0043040D"/>
    <w:rsid w:val="004305C5"/>
    <w:rsid w:val="00430DE5"/>
    <w:rsid w:val="00430ECD"/>
    <w:rsid w:val="0043119C"/>
    <w:rsid w:val="00431479"/>
    <w:rsid w:val="00431F62"/>
    <w:rsid w:val="00432765"/>
    <w:rsid w:val="00432A44"/>
    <w:rsid w:val="00432B22"/>
    <w:rsid w:val="00432B64"/>
    <w:rsid w:val="00432BED"/>
    <w:rsid w:val="00432E4E"/>
    <w:rsid w:val="00432F8D"/>
    <w:rsid w:val="004335A3"/>
    <w:rsid w:val="00433798"/>
    <w:rsid w:val="00433822"/>
    <w:rsid w:val="00433861"/>
    <w:rsid w:val="00433CA0"/>
    <w:rsid w:val="00433D71"/>
    <w:rsid w:val="00433DAB"/>
    <w:rsid w:val="004342FB"/>
    <w:rsid w:val="0043433E"/>
    <w:rsid w:val="00434C86"/>
    <w:rsid w:val="0043519D"/>
    <w:rsid w:val="00435D04"/>
    <w:rsid w:val="00435F48"/>
    <w:rsid w:val="0043633B"/>
    <w:rsid w:val="00436528"/>
    <w:rsid w:val="0043662C"/>
    <w:rsid w:val="0043667B"/>
    <w:rsid w:val="004373D0"/>
    <w:rsid w:val="0043772E"/>
    <w:rsid w:val="00440500"/>
    <w:rsid w:val="00440672"/>
    <w:rsid w:val="00440696"/>
    <w:rsid w:val="00440946"/>
    <w:rsid w:val="00440C4D"/>
    <w:rsid w:val="00441439"/>
    <w:rsid w:val="00441BC9"/>
    <w:rsid w:val="00441EBF"/>
    <w:rsid w:val="00443474"/>
    <w:rsid w:val="00443843"/>
    <w:rsid w:val="004438A0"/>
    <w:rsid w:val="004438D9"/>
    <w:rsid w:val="00443D33"/>
    <w:rsid w:val="004446B5"/>
    <w:rsid w:val="00444721"/>
    <w:rsid w:val="00444C87"/>
    <w:rsid w:val="004450DA"/>
    <w:rsid w:val="00445C2D"/>
    <w:rsid w:val="00446154"/>
    <w:rsid w:val="004464F6"/>
    <w:rsid w:val="00446585"/>
    <w:rsid w:val="0044737C"/>
    <w:rsid w:val="00447B70"/>
    <w:rsid w:val="00447FF0"/>
    <w:rsid w:val="00450639"/>
    <w:rsid w:val="004509CD"/>
    <w:rsid w:val="00451B78"/>
    <w:rsid w:val="00451DC3"/>
    <w:rsid w:val="004520ED"/>
    <w:rsid w:val="004521E0"/>
    <w:rsid w:val="0045224D"/>
    <w:rsid w:val="004522DF"/>
    <w:rsid w:val="004527C3"/>
    <w:rsid w:val="00453585"/>
    <w:rsid w:val="00453719"/>
    <w:rsid w:val="0045406A"/>
    <w:rsid w:val="0045446D"/>
    <w:rsid w:val="004547FC"/>
    <w:rsid w:val="0045518E"/>
    <w:rsid w:val="0045537E"/>
    <w:rsid w:val="004568FB"/>
    <w:rsid w:val="00456F30"/>
    <w:rsid w:val="00457379"/>
    <w:rsid w:val="004600A2"/>
    <w:rsid w:val="00460F3A"/>
    <w:rsid w:val="00460F78"/>
    <w:rsid w:val="004612F8"/>
    <w:rsid w:val="0046171D"/>
    <w:rsid w:val="004627B6"/>
    <w:rsid w:val="004627EC"/>
    <w:rsid w:val="00463521"/>
    <w:rsid w:val="00463D6B"/>
    <w:rsid w:val="00464D4F"/>
    <w:rsid w:val="004659FE"/>
    <w:rsid w:val="00465C36"/>
    <w:rsid w:val="00466058"/>
    <w:rsid w:val="00466A2E"/>
    <w:rsid w:val="0046714B"/>
    <w:rsid w:val="004672AC"/>
    <w:rsid w:val="004672CE"/>
    <w:rsid w:val="00467D3B"/>
    <w:rsid w:val="00467E09"/>
    <w:rsid w:val="0047169A"/>
    <w:rsid w:val="00472185"/>
    <w:rsid w:val="0047286B"/>
    <w:rsid w:val="0047290F"/>
    <w:rsid w:val="00472D37"/>
    <w:rsid w:val="00473837"/>
    <w:rsid w:val="00473F0F"/>
    <w:rsid w:val="00474CC3"/>
    <w:rsid w:val="00475A68"/>
    <w:rsid w:val="004766EB"/>
    <w:rsid w:val="00476ED9"/>
    <w:rsid w:val="00476F59"/>
    <w:rsid w:val="004771AF"/>
    <w:rsid w:val="004779F7"/>
    <w:rsid w:val="00477F03"/>
    <w:rsid w:val="004801FC"/>
    <w:rsid w:val="004819D3"/>
    <w:rsid w:val="00482056"/>
    <w:rsid w:val="00482234"/>
    <w:rsid w:val="00482DAA"/>
    <w:rsid w:val="00482E2F"/>
    <w:rsid w:val="00482F2C"/>
    <w:rsid w:val="0048304C"/>
    <w:rsid w:val="004835BA"/>
    <w:rsid w:val="00483643"/>
    <w:rsid w:val="004836AA"/>
    <w:rsid w:val="00483B13"/>
    <w:rsid w:val="00483F9F"/>
    <w:rsid w:val="00484210"/>
    <w:rsid w:val="004845AC"/>
    <w:rsid w:val="0048549A"/>
    <w:rsid w:val="004856DA"/>
    <w:rsid w:val="00486474"/>
    <w:rsid w:val="004864CD"/>
    <w:rsid w:val="004867E2"/>
    <w:rsid w:val="00486E2A"/>
    <w:rsid w:val="004871C0"/>
    <w:rsid w:val="0048758F"/>
    <w:rsid w:val="00487B01"/>
    <w:rsid w:val="00487F51"/>
    <w:rsid w:val="00487F98"/>
    <w:rsid w:val="00490231"/>
    <w:rsid w:val="004904DC"/>
    <w:rsid w:val="00490627"/>
    <w:rsid w:val="004908A0"/>
    <w:rsid w:val="00490AF7"/>
    <w:rsid w:val="00490B7F"/>
    <w:rsid w:val="004916DE"/>
    <w:rsid w:val="00492353"/>
    <w:rsid w:val="00492E20"/>
    <w:rsid w:val="004934C2"/>
    <w:rsid w:val="00493539"/>
    <w:rsid w:val="0049375E"/>
    <w:rsid w:val="00493806"/>
    <w:rsid w:val="00493A36"/>
    <w:rsid w:val="00493EF2"/>
    <w:rsid w:val="004940DA"/>
    <w:rsid w:val="00494CDF"/>
    <w:rsid w:val="004954ED"/>
    <w:rsid w:val="00495D04"/>
    <w:rsid w:val="004960B3"/>
    <w:rsid w:val="00496865"/>
    <w:rsid w:val="00496F78"/>
    <w:rsid w:val="004975D7"/>
    <w:rsid w:val="0049771A"/>
    <w:rsid w:val="004A1F06"/>
    <w:rsid w:val="004A209D"/>
    <w:rsid w:val="004A315B"/>
    <w:rsid w:val="004A3F45"/>
    <w:rsid w:val="004A417B"/>
    <w:rsid w:val="004A42A3"/>
    <w:rsid w:val="004A494A"/>
    <w:rsid w:val="004A4DE8"/>
    <w:rsid w:val="004A5046"/>
    <w:rsid w:val="004A53A0"/>
    <w:rsid w:val="004A5823"/>
    <w:rsid w:val="004A58B5"/>
    <w:rsid w:val="004A6047"/>
    <w:rsid w:val="004A6227"/>
    <w:rsid w:val="004A65AA"/>
    <w:rsid w:val="004A73B1"/>
    <w:rsid w:val="004B040A"/>
    <w:rsid w:val="004B0C59"/>
    <w:rsid w:val="004B103A"/>
    <w:rsid w:val="004B13D5"/>
    <w:rsid w:val="004B1AD8"/>
    <w:rsid w:val="004B220C"/>
    <w:rsid w:val="004B2280"/>
    <w:rsid w:val="004B2744"/>
    <w:rsid w:val="004B28A8"/>
    <w:rsid w:val="004B30F5"/>
    <w:rsid w:val="004B3676"/>
    <w:rsid w:val="004B377F"/>
    <w:rsid w:val="004B3E0D"/>
    <w:rsid w:val="004B463F"/>
    <w:rsid w:val="004B4AA5"/>
    <w:rsid w:val="004B50AD"/>
    <w:rsid w:val="004B525C"/>
    <w:rsid w:val="004B5607"/>
    <w:rsid w:val="004B560B"/>
    <w:rsid w:val="004B61DA"/>
    <w:rsid w:val="004B6752"/>
    <w:rsid w:val="004C02C7"/>
    <w:rsid w:val="004C0370"/>
    <w:rsid w:val="004C076C"/>
    <w:rsid w:val="004C1ABB"/>
    <w:rsid w:val="004C203C"/>
    <w:rsid w:val="004C23AA"/>
    <w:rsid w:val="004C2768"/>
    <w:rsid w:val="004C279B"/>
    <w:rsid w:val="004C294B"/>
    <w:rsid w:val="004C2AE3"/>
    <w:rsid w:val="004C2D9D"/>
    <w:rsid w:val="004C2FA4"/>
    <w:rsid w:val="004C344C"/>
    <w:rsid w:val="004C3E67"/>
    <w:rsid w:val="004C4602"/>
    <w:rsid w:val="004C5968"/>
    <w:rsid w:val="004C5BAE"/>
    <w:rsid w:val="004C608E"/>
    <w:rsid w:val="004C60EE"/>
    <w:rsid w:val="004C6145"/>
    <w:rsid w:val="004C619F"/>
    <w:rsid w:val="004C6C27"/>
    <w:rsid w:val="004C6F14"/>
    <w:rsid w:val="004C75C9"/>
    <w:rsid w:val="004C79F1"/>
    <w:rsid w:val="004C7AC8"/>
    <w:rsid w:val="004D03DF"/>
    <w:rsid w:val="004D08DF"/>
    <w:rsid w:val="004D0B9B"/>
    <w:rsid w:val="004D0CE5"/>
    <w:rsid w:val="004D1E52"/>
    <w:rsid w:val="004D2C9A"/>
    <w:rsid w:val="004D3675"/>
    <w:rsid w:val="004D3D8C"/>
    <w:rsid w:val="004D4D60"/>
    <w:rsid w:val="004D4FB7"/>
    <w:rsid w:val="004D552C"/>
    <w:rsid w:val="004D57D3"/>
    <w:rsid w:val="004D59D1"/>
    <w:rsid w:val="004D6431"/>
    <w:rsid w:val="004D65BC"/>
    <w:rsid w:val="004D6A49"/>
    <w:rsid w:val="004D6AD0"/>
    <w:rsid w:val="004D72A7"/>
    <w:rsid w:val="004D7D63"/>
    <w:rsid w:val="004E07AD"/>
    <w:rsid w:val="004E0829"/>
    <w:rsid w:val="004E09FB"/>
    <w:rsid w:val="004E0AB6"/>
    <w:rsid w:val="004E16F4"/>
    <w:rsid w:val="004E23DB"/>
    <w:rsid w:val="004E24D6"/>
    <w:rsid w:val="004E2A91"/>
    <w:rsid w:val="004E2DED"/>
    <w:rsid w:val="004E2EE3"/>
    <w:rsid w:val="004E32E0"/>
    <w:rsid w:val="004E3AAD"/>
    <w:rsid w:val="004E4386"/>
    <w:rsid w:val="004E452E"/>
    <w:rsid w:val="004E4690"/>
    <w:rsid w:val="004E518B"/>
    <w:rsid w:val="004E5343"/>
    <w:rsid w:val="004E54FD"/>
    <w:rsid w:val="004E5FBD"/>
    <w:rsid w:val="004E61E0"/>
    <w:rsid w:val="004E64AB"/>
    <w:rsid w:val="004E67AD"/>
    <w:rsid w:val="004E6DFD"/>
    <w:rsid w:val="004E6E8F"/>
    <w:rsid w:val="004E7277"/>
    <w:rsid w:val="004F0649"/>
    <w:rsid w:val="004F0734"/>
    <w:rsid w:val="004F0BEC"/>
    <w:rsid w:val="004F1406"/>
    <w:rsid w:val="004F1E05"/>
    <w:rsid w:val="004F2A3F"/>
    <w:rsid w:val="004F2CC0"/>
    <w:rsid w:val="004F2CEA"/>
    <w:rsid w:val="004F2FD6"/>
    <w:rsid w:val="004F3329"/>
    <w:rsid w:val="004F33AB"/>
    <w:rsid w:val="004F3914"/>
    <w:rsid w:val="004F3B78"/>
    <w:rsid w:val="004F4254"/>
    <w:rsid w:val="004F5E8E"/>
    <w:rsid w:val="004F6612"/>
    <w:rsid w:val="004F67A1"/>
    <w:rsid w:val="004F68F5"/>
    <w:rsid w:val="004F6D3A"/>
    <w:rsid w:val="004F6E52"/>
    <w:rsid w:val="004F7948"/>
    <w:rsid w:val="005013E2"/>
    <w:rsid w:val="00501417"/>
    <w:rsid w:val="005019E0"/>
    <w:rsid w:val="00501A9A"/>
    <w:rsid w:val="00501BDA"/>
    <w:rsid w:val="00501DB4"/>
    <w:rsid w:val="00501F62"/>
    <w:rsid w:val="00502289"/>
    <w:rsid w:val="005032E5"/>
    <w:rsid w:val="00504BCE"/>
    <w:rsid w:val="00504CB8"/>
    <w:rsid w:val="00504FBE"/>
    <w:rsid w:val="00505311"/>
    <w:rsid w:val="00506208"/>
    <w:rsid w:val="00506D06"/>
    <w:rsid w:val="0050714E"/>
    <w:rsid w:val="00507D9E"/>
    <w:rsid w:val="0051124B"/>
    <w:rsid w:val="005116C4"/>
    <w:rsid w:val="0051293F"/>
    <w:rsid w:val="00512BDF"/>
    <w:rsid w:val="00512F6C"/>
    <w:rsid w:val="005134EF"/>
    <w:rsid w:val="00513CD5"/>
    <w:rsid w:val="00513E0D"/>
    <w:rsid w:val="00513FA0"/>
    <w:rsid w:val="005144EE"/>
    <w:rsid w:val="00514701"/>
    <w:rsid w:val="00514DDE"/>
    <w:rsid w:val="00515BBA"/>
    <w:rsid w:val="00515C7C"/>
    <w:rsid w:val="005167C0"/>
    <w:rsid w:val="00516F2B"/>
    <w:rsid w:val="005177FB"/>
    <w:rsid w:val="0051792F"/>
    <w:rsid w:val="0052180A"/>
    <w:rsid w:val="00521B17"/>
    <w:rsid w:val="00521CCE"/>
    <w:rsid w:val="00522159"/>
    <w:rsid w:val="00522362"/>
    <w:rsid w:val="00522500"/>
    <w:rsid w:val="00522837"/>
    <w:rsid w:val="00522A17"/>
    <w:rsid w:val="00522B43"/>
    <w:rsid w:val="00522EF3"/>
    <w:rsid w:val="0052370A"/>
    <w:rsid w:val="00523804"/>
    <w:rsid w:val="00523D23"/>
    <w:rsid w:val="00524D2D"/>
    <w:rsid w:val="00524D69"/>
    <w:rsid w:val="00525134"/>
    <w:rsid w:val="0052558D"/>
    <w:rsid w:val="005255F3"/>
    <w:rsid w:val="00525909"/>
    <w:rsid w:val="00525C21"/>
    <w:rsid w:val="00525CAD"/>
    <w:rsid w:val="00525FDE"/>
    <w:rsid w:val="00526097"/>
    <w:rsid w:val="005263C1"/>
    <w:rsid w:val="005263CA"/>
    <w:rsid w:val="005271C2"/>
    <w:rsid w:val="005274CD"/>
    <w:rsid w:val="005274E5"/>
    <w:rsid w:val="005300A2"/>
    <w:rsid w:val="005304CB"/>
    <w:rsid w:val="00531013"/>
    <w:rsid w:val="00531057"/>
    <w:rsid w:val="00531151"/>
    <w:rsid w:val="005314FC"/>
    <w:rsid w:val="005315EE"/>
    <w:rsid w:val="00531703"/>
    <w:rsid w:val="005317E8"/>
    <w:rsid w:val="00531870"/>
    <w:rsid w:val="00531D73"/>
    <w:rsid w:val="00532B2F"/>
    <w:rsid w:val="00532BA7"/>
    <w:rsid w:val="00532BB1"/>
    <w:rsid w:val="0053309E"/>
    <w:rsid w:val="00533974"/>
    <w:rsid w:val="00533977"/>
    <w:rsid w:val="00534076"/>
    <w:rsid w:val="00534370"/>
    <w:rsid w:val="00534579"/>
    <w:rsid w:val="005350CA"/>
    <w:rsid w:val="00535DC0"/>
    <w:rsid w:val="00536023"/>
    <w:rsid w:val="005367EA"/>
    <w:rsid w:val="00536D47"/>
    <w:rsid w:val="005372AC"/>
    <w:rsid w:val="00537854"/>
    <w:rsid w:val="0054027E"/>
    <w:rsid w:val="00540841"/>
    <w:rsid w:val="00540CC7"/>
    <w:rsid w:val="0054139E"/>
    <w:rsid w:val="00541653"/>
    <w:rsid w:val="00541698"/>
    <w:rsid w:val="00541723"/>
    <w:rsid w:val="00541AAA"/>
    <w:rsid w:val="005427B9"/>
    <w:rsid w:val="0054284F"/>
    <w:rsid w:val="0054288B"/>
    <w:rsid w:val="005429BF"/>
    <w:rsid w:val="005434ED"/>
    <w:rsid w:val="0054386C"/>
    <w:rsid w:val="0054459D"/>
    <w:rsid w:val="005448A0"/>
    <w:rsid w:val="005448C0"/>
    <w:rsid w:val="00545977"/>
    <w:rsid w:val="00546059"/>
    <w:rsid w:val="0054666D"/>
    <w:rsid w:val="005475EE"/>
    <w:rsid w:val="00547CAD"/>
    <w:rsid w:val="005501EA"/>
    <w:rsid w:val="00550703"/>
    <w:rsid w:val="00550720"/>
    <w:rsid w:val="005508CA"/>
    <w:rsid w:val="005508E6"/>
    <w:rsid w:val="00550920"/>
    <w:rsid w:val="00550E59"/>
    <w:rsid w:val="00552171"/>
    <w:rsid w:val="00552293"/>
    <w:rsid w:val="00552478"/>
    <w:rsid w:val="00552F96"/>
    <w:rsid w:val="00552FA0"/>
    <w:rsid w:val="005531B1"/>
    <w:rsid w:val="0055336E"/>
    <w:rsid w:val="00553818"/>
    <w:rsid w:val="00554006"/>
    <w:rsid w:val="00554867"/>
    <w:rsid w:val="00554A85"/>
    <w:rsid w:val="00554C66"/>
    <w:rsid w:val="00555332"/>
    <w:rsid w:val="00556063"/>
    <w:rsid w:val="0055657F"/>
    <w:rsid w:val="00556D68"/>
    <w:rsid w:val="00557207"/>
    <w:rsid w:val="00557428"/>
    <w:rsid w:val="00557517"/>
    <w:rsid w:val="00557771"/>
    <w:rsid w:val="005577D1"/>
    <w:rsid w:val="005600CA"/>
    <w:rsid w:val="0056078F"/>
    <w:rsid w:val="005608ED"/>
    <w:rsid w:val="00560D5A"/>
    <w:rsid w:val="00561F08"/>
    <w:rsid w:val="00562C1E"/>
    <w:rsid w:val="00562D9E"/>
    <w:rsid w:val="0056372D"/>
    <w:rsid w:val="00563CE6"/>
    <w:rsid w:val="00564095"/>
    <w:rsid w:val="0056510B"/>
    <w:rsid w:val="005651FC"/>
    <w:rsid w:val="00565AE5"/>
    <w:rsid w:val="005661C8"/>
    <w:rsid w:val="00566242"/>
    <w:rsid w:val="00566574"/>
    <w:rsid w:val="005677DC"/>
    <w:rsid w:val="00567C00"/>
    <w:rsid w:val="0057008F"/>
    <w:rsid w:val="005703B1"/>
    <w:rsid w:val="005706F6"/>
    <w:rsid w:val="00570EB8"/>
    <w:rsid w:val="00571009"/>
    <w:rsid w:val="005715FD"/>
    <w:rsid w:val="00571FAF"/>
    <w:rsid w:val="00573228"/>
    <w:rsid w:val="00573D48"/>
    <w:rsid w:val="00573F48"/>
    <w:rsid w:val="00574139"/>
    <w:rsid w:val="00574247"/>
    <w:rsid w:val="005745EC"/>
    <w:rsid w:val="00574C19"/>
    <w:rsid w:val="005753F0"/>
    <w:rsid w:val="00575D4D"/>
    <w:rsid w:val="00575DE3"/>
    <w:rsid w:val="005763B5"/>
    <w:rsid w:val="00577466"/>
    <w:rsid w:val="00577779"/>
    <w:rsid w:val="00577AB9"/>
    <w:rsid w:val="00580687"/>
    <w:rsid w:val="005806E1"/>
    <w:rsid w:val="005811C2"/>
    <w:rsid w:val="00581BBC"/>
    <w:rsid w:val="00581CC3"/>
    <w:rsid w:val="0058221E"/>
    <w:rsid w:val="005822D9"/>
    <w:rsid w:val="005822EE"/>
    <w:rsid w:val="00582851"/>
    <w:rsid w:val="00582AD3"/>
    <w:rsid w:val="00582B64"/>
    <w:rsid w:val="005836DF"/>
    <w:rsid w:val="005837BC"/>
    <w:rsid w:val="00583FBC"/>
    <w:rsid w:val="00584E75"/>
    <w:rsid w:val="00585285"/>
    <w:rsid w:val="00585853"/>
    <w:rsid w:val="00585882"/>
    <w:rsid w:val="005858BC"/>
    <w:rsid w:val="00585AA8"/>
    <w:rsid w:val="00585DD7"/>
    <w:rsid w:val="00586475"/>
    <w:rsid w:val="00586B1F"/>
    <w:rsid w:val="00586FB6"/>
    <w:rsid w:val="00587455"/>
    <w:rsid w:val="005874AE"/>
    <w:rsid w:val="00587A46"/>
    <w:rsid w:val="00590087"/>
    <w:rsid w:val="00590573"/>
    <w:rsid w:val="00590834"/>
    <w:rsid w:val="00590D80"/>
    <w:rsid w:val="005915D0"/>
    <w:rsid w:val="00591743"/>
    <w:rsid w:val="00591849"/>
    <w:rsid w:val="00592934"/>
    <w:rsid w:val="00592AAF"/>
    <w:rsid w:val="00593306"/>
    <w:rsid w:val="0059354B"/>
    <w:rsid w:val="00593A10"/>
    <w:rsid w:val="00593A7C"/>
    <w:rsid w:val="00593E01"/>
    <w:rsid w:val="00593FBD"/>
    <w:rsid w:val="00594516"/>
    <w:rsid w:val="00595BE2"/>
    <w:rsid w:val="00595D9D"/>
    <w:rsid w:val="00597546"/>
    <w:rsid w:val="00597B5F"/>
    <w:rsid w:val="00597D1C"/>
    <w:rsid w:val="00597F40"/>
    <w:rsid w:val="005A015A"/>
    <w:rsid w:val="005A02F9"/>
    <w:rsid w:val="005A0C4D"/>
    <w:rsid w:val="005A106B"/>
    <w:rsid w:val="005A13AF"/>
    <w:rsid w:val="005A1D92"/>
    <w:rsid w:val="005A2B71"/>
    <w:rsid w:val="005A361D"/>
    <w:rsid w:val="005A3865"/>
    <w:rsid w:val="005A3914"/>
    <w:rsid w:val="005A3D47"/>
    <w:rsid w:val="005A3DC4"/>
    <w:rsid w:val="005A4702"/>
    <w:rsid w:val="005A479F"/>
    <w:rsid w:val="005A55AD"/>
    <w:rsid w:val="005A5BF2"/>
    <w:rsid w:val="005A62DA"/>
    <w:rsid w:val="005A69AF"/>
    <w:rsid w:val="005A69E5"/>
    <w:rsid w:val="005A6C40"/>
    <w:rsid w:val="005A6CBD"/>
    <w:rsid w:val="005A76BB"/>
    <w:rsid w:val="005A7943"/>
    <w:rsid w:val="005A7F51"/>
    <w:rsid w:val="005A7FEE"/>
    <w:rsid w:val="005B0356"/>
    <w:rsid w:val="005B18D3"/>
    <w:rsid w:val="005B1D94"/>
    <w:rsid w:val="005B1F06"/>
    <w:rsid w:val="005B21DE"/>
    <w:rsid w:val="005B278F"/>
    <w:rsid w:val="005B2D63"/>
    <w:rsid w:val="005B3681"/>
    <w:rsid w:val="005B3911"/>
    <w:rsid w:val="005B39F9"/>
    <w:rsid w:val="005B3BC6"/>
    <w:rsid w:val="005B40C2"/>
    <w:rsid w:val="005B425F"/>
    <w:rsid w:val="005B4285"/>
    <w:rsid w:val="005B432B"/>
    <w:rsid w:val="005B4AF7"/>
    <w:rsid w:val="005B56F1"/>
    <w:rsid w:val="005B5939"/>
    <w:rsid w:val="005B5956"/>
    <w:rsid w:val="005B5D3F"/>
    <w:rsid w:val="005B5D98"/>
    <w:rsid w:val="005B5EC7"/>
    <w:rsid w:val="005B5EE1"/>
    <w:rsid w:val="005B6400"/>
    <w:rsid w:val="005B6468"/>
    <w:rsid w:val="005B651B"/>
    <w:rsid w:val="005B6AE5"/>
    <w:rsid w:val="005B6DE3"/>
    <w:rsid w:val="005B6E59"/>
    <w:rsid w:val="005B723E"/>
    <w:rsid w:val="005B7B9A"/>
    <w:rsid w:val="005C0223"/>
    <w:rsid w:val="005C1038"/>
    <w:rsid w:val="005C1726"/>
    <w:rsid w:val="005C2280"/>
    <w:rsid w:val="005C23DF"/>
    <w:rsid w:val="005C269C"/>
    <w:rsid w:val="005C30ED"/>
    <w:rsid w:val="005C35A6"/>
    <w:rsid w:val="005C3973"/>
    <w:rsid w:val="005C3EC1"/>
    <w:rsid w:val="005C40EF"/>
    <w:rsid w:val="005C4A95"/>
    <w:rsid w:val="005C4AFA"/>
    <w:rsid w:val="005C52E4"/>
    <w:rsid w:val="005C54F0"/>
    <w:rsid w:val="005C5650"/>
    <w:rsid w:val="005C5775"/>
    <w:rsid w:val="005C5C3E"/>
    <w:rsid w:val="005C65CC"/>
    <w:rsid w:val="005C665F"/>
    <w:rsid w:val="005C6B72"/>
    <w:rsid w:val="005C6CF4"/>
    <w:rsid w:val="005C6E2B"/>
    <w:rsid w:val="005C72B6"/>
    <w:rsid w:val="005C7610"/>
    <w:rsid w:val="005C7700"/>
    <w:rsid w:val="005D018C"/>
    <w:rsid w:val="005D03CC"/>
    <w:rsid w:val="005D063C"/>
    <w:rsid w:val="005D0892"/>
    <w:rsid w:val="005D0895"/>
    <w:rsid w:val="005D0D1E"/>
    <w:rsid w:val="005D0D78"/>
    <w:rsid w:val="005D15A5"/>
    <w:rsid w:val="005D27F4"/>
    <w:rsid w:val="005D2E75"/>
    <w:rsid w:val="005D3003"/>
    <w:rsid w:val="005D3698"/>
    <w:rsid w:val="005D3892"/>
    <w:rsid w:val="005D435E"/>
    <w:rsid w:val="005D487E"/>
    <w:rsid w:val="005D48FA"/>
    <w:rsid w:val="005D4903"/>
    <w:rsid w:val="005D522F"/>
    <w:rsid w:val="005D55C5"/>
    <w:rsid w:val="005D59FC"/>
    <w:rsid w:val="005D5C99"/>
    <w:rsid w:val="005D5D59"/>
    <w:rsid w:val="005D61B6"/>
    <w:rsid w:val="005D640E"/>
    <w:rsid w:val="005D6A6F"/>
    <w:rsid w:val="005D6AF1"/>
    <w:rsid w:val="005D7635"/>
    <w:rsid w:val="005D7DC6"/>
    <w:rsid w:val="005E0748"/>
    <w:rsid w:val="005E0CEC"/>
    <w:rsid w:val="005E0E38"/>
    <w:rsid w:val="005E1096"/>
    <w:rsid w:val="005E10E8"/>
    <w:rsid w:val="005E17C6"/>
    <w:rsid w:val="005E1D3C"/>
    <w:rsid w:val="005E26C2"/>
    <w:rsid w:val="005E3196"/>
    <w:rsid w:val="005E35D5"/>
    <w:rsid w:val="005E3668"/>
    <w:rsid w:val="005E3942"/>
    <w:rsid w:val="005E4490"/>
    <w:rsid w:val="005E454A"/>
    <w:rsid w:val="005E49C2"/>
    <w:rsid w:val="005E50BC"/>
    <w:rsid w:val="005E5354"/>
    <w:rsid w:val="005E5E3F"/>
    <w:rsid w:val="005E5E78"/>
    <w:rsid w:val="005E64B8"/>
    <w:rsid w:val="005E78CE"/>
    <w:rsid w:val="005E7D4E"/>
    <w:rsid w:val="005F0890"/>
    <w:rsid w:val="005F1379"/>
    <w:rsid w:val="005F1BF6"/>
    <w:rsid w:val="005F1DC4"/>
    <w:rsid w:val="005F237E"/>
    <w:rsid w:val="005F2669"/>
    <w:rsid w:val="005F267C"/>
    <w:rsid w:val="005F31C1"/>
    <w:rsid w:val="005F38A1"/>
    <w:rsid w:val="005F44C9"/>
    <w:rsid w:val="005F559A"/>
    <w:rsid w:val="005F59D5"/>
    <w:rsid w:val="005F699C"/>
    <w:rsid w:val="005F7318"/>
    <w:rsid w:val="005F7374"/>
    <w:rsid w:val="00600D6B"/>
    <w:rsid w:val="00600F89"/>
    <w:rsid w:val="006017C7"/>
    <w:rsid w:val="0060186C"/>
    <w:rsid w:val="00601F86"/>
    <w:rsid w:val="0060220A"/>
    <w:rsid w:val="006032F6"/>
    <w:rsid w:val="00603D0B"/>
    <w:rsid w:val="00604DB2"/>
    <w:rsid w:val="00605098"/>
    <w:rsid w:val="0060558B"/>
    <w:rsid w:val="00605A43"/>
    <w:rsid w:val="006062C3"/>
    <w:rsid w:val="006068BE"/>
    <w:rsid w:val="00606970"/>
    <w:rsid w:val="00606BD2"/>
    <w:rsid w:val="00606D2F"/>
    <w:rsid w:val="00607587"/>
    <w:rsid w:val="006078AC"/>
    <w:rsid w:val="00607A32"/>
    <w:rsid w:val="00610894"/>
    <w:rsid w:val="00610FDE"/>
    <w:rsid w:val="0061137D"/>
    <w:rsid w:val="006118E9"/>
    <w:rsid w:val="00611953"/>
    <w:rsid w:val="00612AF6"/>
    <w:rsid w:val="00612E1E"/>
    <w:rsid w:val="00612FEA"/>
    <w:rsid w:val="00613E2D"/>
    <w:rsid w:val="0061428D"/>
    <w:rsid w:val="0061451F"/>
    <w:rsid w:val="00614B1D"/>
    <w:rsid w:val="00615598"/>
    <w:rsid w:val="006155E1"/>
    <w:rsid w:val="00615D17"/>
    <w:rsid w:val="00616576"/>
    <w:rsid w:val="006167AB"/>
    <w:rsid w:val="00616C66"/>
    <w:rsid w:val="00616C6E"/>
    <w:rsid w:val="006176E1"/>
    <w:rsid w:val="00617765"/>
    <w:rsid w:val="00620A0D"/>
    <w:rsid w:val="006211BF"/>
    <w:rsid w:val="00621307"/>
    <w:rsid w:val="00622775"/>
    <w:rsid w:val="0062357B"/>
    <w:rsid w:val="006235B4"/>
    <w:rsid w:val="00624B1A"/>
    <w:rsid w:val="00624DA6"/>
    <w:rsid w:val="00624DE7"/>
    <w:rsid w:val="006250FC"/>
    <w:rsid w:val="006253F2"/>
    <w:rsid w:val="0062541D"/>
    <w:rsid w:val="0062556B"/>
    <w:rsid w:val="00625A22"/>
    <w:rsid w:val="00626330"/>
    <w:rsid w:val="006279F2"/>
    <w:rsid w:val="00630BA4"/>
    <w:rsid w:val="00630C7A"/>
    <w:rsid w:val="00630E9D"/>
    <w:rsid w:val="00630FCE"/>
    <w:rsid w:val="006318C5"/>
    <w:rsid w:val="00631924"/>
    <w:rsid w:val="00631CF4"/>
    <w:rsid w:val="0063224D"/>
    <w:rsid w:val="00632974"/>
    <w:rsid w:val="006330CA"/>
    <w:rsid w:val="00633A7A"/>
    <w:rsid w:val="00634240"/>
    <w:rsid w:val="00634938"/>
    <w:rsid w:val="006349A1"/>
    <w:rsid w:val="00634DD1"/>
    <w:rsid w:val="00635241"/>
    <w:rsid w:val="006352EE"/>
    <w:rsid w:val="00635644"/>
    <w:rsid w:val="006357E1"/>
    <w:rsid w:val="00635BDF"/>
    <w:rsid w:val="0063618E"/>
    <w:rsid w:val="006361CC"/>
    <w:rsid w:val="00636505"/>
    <w:rsid w:val="00640105"/>
    <w:rsid w:val="00640225"/>
    <w:rsid w:val="006406A4"/>
    <w:rsid w:val="00640746"/>
    <w:rsid w:val="006412D5"/>
    <w:rsid w:val="00641628"/>
    <w:rsid w:val="00641CEE"/>
    <w:rsid w:val="00642029"/>
    <w:rsid w:val="00642072"/>
    <w:rsid w:val="0064224D"/>
    <w:rsid w:val="00642383"/>
    <w:rsid w:val="00642694"/>
    <w:rsid w:val="0064282A"/>
    <w:rsid w:val="0064311A"/>
    <w:rsid w:val="006431F5"/>
    <w:rsid w:val="00644FAD"/>
    <w:rsid w:val="00645374"/>
    <w:rsid w:val="006458C5"/>
    <w:rsid w:val="00645B5D"/>
    <w:rsid w:val="00646683"/>
    <w:rsid w:val="006469A2"/>
    <w:rsid w:val="006469E3"/>
    <w:rsid w:val="00646C4E"/>
    <w:rsid w:val="006470D1"/>
    <w:rsid w:val="00647360"/>
    <w:rsid w:val="006500C1"/>
    <w:rsid w:val="00650387"/>
    <w:rsid w:val="00650614"/>
    <w:rsid w:val="0065119D"/>
    <w:rsid w:val="00651B95"/>
    <w:rsid w:val="00651EC2"/>
    <w:rsid w:val="00652C65"/>
    <w:rsid w:val="00653CB4"/>
    <w:rsid w:val="00654351"/>
    <w:rsid w:val="00654F3D"/>
    <w:rsid w:val="006557AF"/>
    <w:rsid w:val="00656E4E"/>
    <w:rsid w:val="00656ECD"/>
    <w:rsid w:val="00657619"/>
    <w:rsid w:val="006577D8"/>
    <w:rsid w:val="00657890"/>
    <w:rsid w:val="00657CD9"/>
    <w:rsid w:val="00660AEB"/>
    <w:rsid w:val="00660EA3"/>
    <w:rsid w:val="00661E9B"/>
    <w:rsid w:val="006621E5"/>
    <w:rsid w:val="0066261D"/>
    <w:rsid w:val="006628C1"/>
    <w:rsid w:val="00662B82"/>
    <w:rsid w:val="00662C95"/>
    <w:rsid w:val="00662E3B"/>
    <w:rsid w:val="006630CC"/>
    <w:rsid w:val="006640A5"/>
    <w:rsid w:val="00665110"/>
    <w:rsid w:val="00665A3B"/>
    <w:rsid w:val="00665B3E"/>
    <w:rsid w:val="00665C25"/>
    <w:rsid w:val="00665EF2"/>
    <w:rsid w:val="00666A7C"/>
    <w:rsid w:val="0066707D"/>
    <w:rsid w:val="00667863"/>
    <w:rsid w:val="00667ECF"/>
    <w:rsid w:val="0067016D"/>
    <w:rsid w:val="0067048F"/>
    <w:rsid w:val="00670588"/>
    <w:rsid w:val="00670ED3"/>
    <w:rsid w:val="00670EFB"/>
    <w:rsid w:val="006714C4"/>
    <w:rsid w:val="00671814"/>
    <w:rsid w:val="00671F83"/>
    <w:rsid w:val="00672365"/>
    <w:rsid w:val="00672475"/>
    <w:rsid w:val="00673015"/>
    <w:rsid w:val="00673967"/>
    <w:rsid w:val="00673BBE"/>
    <w:rsid w:val="00674226"/>
    <w:rsid w:val="00674358"/>
    <w:rsid w:val="00674752"/>
    <w:rsid w:val="006750F8"/>
    <w:rsid w:val="006756EA"/>
    <w:rsid w:val="0067584D"/>
    <w:rsid w:val="00675A82"/>
    <w:rsid w:val="00675D15"/>
    <w:rsid w:val="00676363"/>
    <w:rsid w:val="0067671D"/>
    <w:rsid w:val="0067699F"/>
    <w:rsid w:val="006769F0"/>
    <w:rsid w:val="0067728E"/>
    <w:rsid w:val="006775F5"/>
    <w:rsid w:val="0067791A"/>
    <w:rsid w:val="00680651"/>
    <w:rsid w:val="00680EED"/>
    <w:rsid w:val="006811DB"/>
    <w:rsid w:val="00682FB9"/>
    <w:rsid w:val="00683150"/>
    <w:rsid w:val="006835B3"/>
    <w:rsid w:val="00683FB4"/>
    <w:rsid w:val="006849A7"/>
    <w:rsid w:val="00684C5B"/>
    <w:rsid w:val="00685054"/>
    <w:rsid w:val="006854E7"/>
    <w:rsid w:val="006855F6"/>
    <w:rsid w:val="00685913"/>
    <w:rsid w:val="00686756"/>
    <w:rsid w:val="00686AB0"/>
    <w:rsid w:val="00686AE5"/>
    <w:rsid w:val="00686FBA"/>
    <w:rsid w:val="0068701A"/>
    <w:rsid w:val="006871C8"/>
    <w:rsid w:val="00687EE2"/>
    <w:rsid w:val="006905EC"/>
    <w:rsid w:val="00690764"/>
    <w:rsid w:val="00690916"/>
    <w:rsid w:val="00690972"/>
    <w:rsid w:val="00690BD3"/>
    <w:rsid w:val="00690E79"/>
    <w:rsid w:val="006910C9"/>
    <w:rsid w:val="0069117A"/>
    <w:rsid w:val="006915C6"/>
    <w:rsid w:val="006915CD"/>
    <w:rsid w:val="00692809"/>
    <w:rsid w:val="00693142"/>
    <w:rsid w:val="00693388"/>
    <w:rsid w:val="00693697"/>
    <w:rsid w:val="0069384F"/>
    <w:rsid w:val="00693AE6"/>
    <w:rsid w:val="00693F63"/>
    <w:rsid w:val="006942C7"/>
    <w:rsid w:val="006947A6"/>
    <w:rsid w:val="006956FB"/>
    <w:rsid w:val="00696E44"/>
    <w:rsid w:val="00697948"/>
    <w:rsid w:val="00697AA6"/>
    <w:rsid w:val="00697E6D"/>
    <w:rsid w:val="00697EC7"/>
    <w:rsid w:val="006A0AB5"/>
    <w:rsid w:val="006A0BF9"/>
    <w:rsid w:val="006A1C8F"/>
    <w:rsid w:val="006A22D3"/>
    <w:rsid w:val="006A3241"/>
    <w:rsid w:val="006A334B"/>
    <w:rsid w:val="006A338F"/>
    <w:rsid w:val="006A33F1"/>
    <w:rsid w:val="006A39EB"/>
    <w:rsid w:val="006A3C5C"/>
    <w:rsid w:val="006A3D02"/>
    <w:rsid w:val="006A402D"/>
    <w:rsid w:val="006A4201"/>
    <w:rsid w:val="006A44CF"/>
    <w:rsid w:val="006A47DE"/>
    <w:rsid w:val="006A4EFF"/>
    <w:rsid w:val="006A5000"/>
    <w:rsid w:val="006A534D"/>
    <w:rsid w:val="006A55E0"/>
    <w:rsid w:val="006A5917"/>
    <w:rsid w:val="006A5A73"/>
    <w:rsid w:val="006A5D2B"/>
    <w:rsid w:val="006A5D31"/>
    <w:rsid w:val="006A5D39"/>
    <w:rsid w:val="006A61FD"/>
    <w:rsid w:val="006A62B9"/>
    <w:rsid w:val="006A69EF"/>
    <w:rsid w:val="006A6E85"/>
    <w:rsid w:val="006A7053"/>
    <w:rsid w:val="006A70B1"/>
    <w:rsid w:val="006B0051"/>
    <w:rsid w:val="006B0FE5"/>
    <w:rsid w:val="006B11CA"/>
    <w:rsid w:val="006B1466"/>
    <w:rsid w:val="006B2FFB"/>
    <w:rsid w:val="006B3C0C"/>
    <w:rsid w:val="006B3C19"/>
    <w:rsid w:val="006B3C24"/>
    <w:rsid w:val="006B3C8B"/>
    <w:rsid w:val="006B3D3B"/>
    <w:rsid w:val="006B48E8"/>
    <w:rsid w:val="006B4E52"/>
    <w:rsid w:val="006B6C8B"/>
    <w:rsid w:val="006B72F7"/>
    <w:rsid w:val="006B7474"/>
    <w:rsid w:val="006B74CB"/>
    <w:rsid w:val="006B74E5"/>
    <w:rsid w:val="006B76C3"/>
    <w:rsid w:val="006C05BA"/>
    <w:rsid w:val="006C0A8B"/>
    <w:rsid w:val="006C0C31"/>
    <w:rsid w:val="006C1398"/>
    <w:rsid w:val="006C1A8A"/>
    <w:rsid w:val="006C1B55"/>
    <w:rsid w:val="006C1F2A"/>
    <w:rsid w:val="006C4051"/>
    <w:rsid w:val="006C5157"/>
    <w:rsid w:val="006C57ED"/>
    <w:rsid w:val="006C5845"/>
    <w:rsid w:val="006C5C76"/>
    <w:rsid w:val="006C701F"/>
    <w:rsid w:val="006C708D"/>
    <w:rsid w:val="006C71C3"/>
    <w:rsid w:val="006C74A8"/>
    <w:rsid w:val="006D0473"/>
    <w:rsid w:val="006D0C3A"/>
    <w:rsid w:val="006D215B"/>
    <w:rsid w:val="006D236B"/>
    <w:rsid w:val="006D240D"/>
    <w:rsid w:val="006D39FC"/>
    <w:rsid w:val="006D3FE5"/>
    <w:rsid w:val="006D46DD"/>
    <w:rsid w:val="006D480E"/>
    <w:rsid w:val="006D5D40"/>
    <w:rsid w:val="006D5DC8"/>
    <w:rsid w:val="006D6E19"/>
    <w:rsid w:val="006D7EB4"/>
    <w:rsid w:val="006E053A"/>
    <w:rsid w:val="006E05A0"/>
    <w:rsid w:val="006E17BF"/>
    <w:rsid w:val="006E1DBD"/>
    <w:rsid w:val="006E1DF4"/>
    <w:rsid w:val="006E1E4A"/>
    <w:rsid w:val="006E2010"/>
    <w:rsid w:val="006E20AF"/>
    <w:rsid w:val="006E24B6"/>
    <w:rsid w:val="006E2C0A"/>
    <w:rsid w:val="006E3850"/>
    <w:rsid w:val="006E392B"/>
    <w:rsid w:val="006E4199"/>
    <w:rsid w:val="006E4303"/>
    <w:rsid w:val="006E4F55"/>
    <w:rsid w:val="006E547A"/>
    <w:rsid w:val="006E58BA"/>
    <w:rsid w:val="006E5FDD"/>
    <w:rsid w:val="006E61F7"/>
    <w:rsid w:val="006E62D3"/>
    <w:rsid w:val="006E63CA"/>
    <w:rsid w:val="006E6440"/>
    <w:rsid w:val="006E66D5"/>
    <w:rsid w:val="006E69EB"/>
    <w:rsid w:val="006E6B0E"/>
    <w:rsid w:val="006E6E62"/>
    <w:rsid w:val="006E7F73"/>
    <w:rsid w:val="006F0C5C"/>
    <w:rsid w:val="006F2AD2"/>
    <w:rsid w:val="006F2BFD"/>
    <w:rsid w:val="006F40F7"/>
    <w:rsid w:val="006F47BF"/>
    <w:rsid w:val="006F4D28"/>
    <w:rsid w:val="006F5536"/>
    <w:rsid w:val="006F6039"/>
    <w:rsid w:val="006F6110"/>
    <w:rsid w:val="006F668A"/>
    <w:rsid w:val="006F6FEF"/>
    <w:rsid w:val="0070054E"/>
    <w:rsid w:val="00700997"/>
    <w:rsid w:val="00700EF6"/>
    <w:rsid w:val="00701E87"/>
    <w:rsid w:val="00702165"/>
    <w:rsid w:val="00702371"/>
    <w:rsid w:val="00702826"/>
    <w:rsid w:val="00702B5C"/>
    <w:rsid w:val="00702BB5"/>
    <w:rsid w:val="00702FAA"/>
    <w:rsid w:val="007030BB"/>
    <w:rsid w:val="007031AC"/>
    <w:rsid w:val="007032CF"/>
    <w:rsid w:val="007035EE"/>
    <w:rsid w:val="00703758"/>
    <w:rsid w:val="00703785"/>
    <w:rsid w:val="00703A3D"/>
    <w:rsid w:val="00704104"/>
    <w:rsid w:val="0070438F"/>
    <w:rsid w:val="007050ED"/>
    <w:rsid w:val="00705819"/>
    <w:rsid w:val="00705833"/>
    <w:rsid w:val="0070667D"/>
    <w:rsid w:val="00706E36"/>
    <w:rsid w:val="0070783D"/>
    <w:rsid w:val="007102CE"/>
    <w:rsid w:val="00710C12"/>
    <w:rsid w:val="00711B22"/>
    <w:rsid w:val="00712A81"/>
    <w:rsid w:val="0071345A"/>
    <w:rsid w:val="0071368E"/>
    <w:rsid w:val="00713A94"/>
    <w:rsid w:val="00713FE9"/>
    <w:rsid w:val="00714901"/>
    <w:rsid w:val="007151C2"/>
    <w:rsid w:val="00715462"/>
    <w:rsid w:val="007158F7"/>
    <w:rsid w:val="00715ACF"/>
    <w:rsid w:val="00715B3E"/>
    <w:rsid w:val="007161B9"/>
    <w:rsid w:val="00716505"/>
    <w:rsid w:val="00716972"/>
    <w:rsid w:val="00716DD6"/>
    <w:rsid w:val="00717EBA"/>
    <w:rsid w:val="007207D9"/>
    <w:rsid w:val="00720969"/>
    <w:rsid w:val="007209B0"/>
    <w:rsid w:val="00720A55"/>
    <w:rsid w:val="00720E88"/>
    <w:rsid w:val="00721C90"/>
    <w:rsid w:val="00721D14"/>
    <w:rsid w:val="00722C75"/>
    <w:rsid w:val="0072355A"/>
    <w:rsid w:val="0072357E"/>
    <w:rsid w:val="0072369D"/>
    <w:rsid w:val="00723781"/>
    <w:rsid w:val="00723A1E"/>
    <w:rsid w:val="0072422D"/>
    <w:rsid w:val="00724A45"/>
    <w:rsid w:val="00724BB6"/>
    <w:rsid w:val="007251EF"/>
    <w:rsid w:val="00725240"/>
    <w:rsid w:val="00725741"/>
    <w:rsid w:val="007257FF"/>
    <w:rsid w:val="00725E26"/>
    <w:rsid w:val="00726296"/>
    <w:rsid w:val="00726298"/>
    <w:rsid w:val="0072700D"/>
    <w:rsid w:val="00727196"/>
    <w:rsid w:val="00727550"/>
    <w:rsid w:val="00727808"/>
    <w:rsid w:val="00727DC3"/>
    <w:rsid w:val="00727E46"/>
    <w:rsid w:val="00730EB7"/>
    <w:rsid w:val="007319A4"/>
    <w:rsid w:val="00731B53"/>
    <w:rsid w:val="00732421"/>
    <w:rsid w:val="00732484"/>
    <w:rsid w:val="00732AD0"/>
    <w:rsid w:val="00732B29"/>
    <w:rsid w:val="00732D4F"/>
    <w:rsid w:val="00732EEA"/>
    <w:rsid w:val="00732F26"/>
    <w:rsid w:val="00732F98"/>
    <w:rsid w:val="007330BF"/>
    <w:rsid w:val="00733903"/>
    <w:rsid w:val="00734586"/>
    <w:rsid w:val="0073476B"/>
    <w:rsid w:val="007350C3"/>
    <w:rsid w:val="007350F4"/>
    <w:rsid w:val="007353A1"/>
    <w:rsid w:val="00735F24"/>
    <w:rsid w:val="007368BB"/>
    <w:rsid w:val="00736E21"/>
    <w:rsid w:val="00736F4C"/>
    <w:rsid w:val="00737739"/>
    <w:rsid w:val="00737A87"/>
    <w:rsid w:val="00737FD6"/>
    <w:rsid w:val="0074067F"/>
    <w:rsid w:val="007412DD"/>
    <w:rsid w:val="0074209F"/>
    <w:rsid w:val="007421D9"/>
    <w:rsid w:val="00742396"/>
    <w:rsid w:val="00742CD2"/>
    <w:rsid w:val="007438DE"/>
    <w:rsid w:val="00743EAD"/>
    <w:rsid w:val="0074432A"/>
    <w:rsid w:val="00744EE6"/>
    <w:rsid w:val="00745531"/>
    <w:rsid w:val="007455B5"/>
    <w:rsid w:val="00745C03"/>
    <w:rsid w:val="00747148"/>
    <w:rsid w:val="007476E4"/>
    <w:rsid w:val="00747845"/>
    <w:rsid w:val="00747C36"/>
    <w:rsid w:val="00747F5C"/>
    <w:rsid w:val="00750AC2"/>
    <w:rsid w:val="007519B8"/>
    <w:rsid w:val="0075283A"/>
    <w:rsid w:val="00752853"/>
    <w:rsid w:val="00754340"/>
    <w:rsid w:val="007546C1"/>
    <w:rsid w:val="00754BCF"/>
    <w:rsid w:val="0075522C"/>
    <w:rsid w:val="0075527B"/>
    <w:rsid w:val="007552C5"/>
    <w:rsid w:val="007558FF"/>
    <w:rsid w:val="00755A25"/>
    <w:rsid w:val="00755FE3"/>
    <w:rsid w:val="0075609E"/>
    <w:rsid w:val="007569C1"/>
    <w:rsid w:val="00757351"/>
    <w:rsid w:val="00757747"/>
    <w:rsid w:val="00757959"/>
    <w:rsid w:val="00757B09"/>
    <w:rsid w:val="00757F07"/>
    <w:rsid w:val="00757FA5"/>
    <w:rsid w:val="00760100"/>
    <w:rsid w:val="00760202"/>
    <w:rsid w:val="00760244"/>
    <w:rsid w:val="00760360"/>
    <w:rsid w:val="00760554"/>
    <w:rsid w:val="00760FDC"/>
    <w:rsid w:val="00761F2C"/>
    <w:rsid w:val="007621FC"/>
    <w:rsid w:val="00762A62"/>
    <w:rsid w:val="00763394"/>
    <w:rsid w:val="007637FC"/>
    <w:rsid w:val="0076409D"/>
    <w:rsid w:val="00764146"/>
    <w:rsid w:val="0076470A"/>
    <w:rsid w:val="00764F8C"/>
    <w:rsid w:val="007651E1"/>
    <w:rsid w:val="00765886"/>
    <w:rsid w:val="007659D7"/>
    <w:rsid w:val="007664FB"/>
    <w:rsid w:val="00766DA5"/>
    <w:rsid w:val="00767114"/>
    <w:rsid w:val="007672A7"/>
    <w:rsid w:val="0077046D"/>
    <w:rsid w:val="00770565"/>
    <w:rsid w:val="00770626"/>
    <w:rsid w:val="00770B49"/>
    <w:rsid w:val="00770CAA"/>
    <w:rsid w:val="00770E87"/>
    <w:rsid w:val="00771278"/>
    <w:rsid w:val="00771A19"/>
    <w:rsid w:val="00771A35"/>
    <w:rsid w:val="00772A18"/>
    <w:rsid w:val="007734D9"/>
    <w:rsid w:val="00774601"/>
    <w:rsid w:val="00774DDC"/>
    <w:rsid w:val="007750C2"/>
    <w:rsid w:val="00775279"/>
    <w:rsid w:val="00775DD2"/>
    <w:rsid w:val="007760CF"/>
    <w:rsid w:val="007765DF"/>
    <w:rsid w:val="007765E1"/>
    <w:rsid w:val="00776C85"/>
    <w:rsid w:val="007771B9"/>
    <w:rsid w:val="00777250"/>
    <w:rsid w:val="00777A41"/>
    <w:rsid w:val="00777BFE"/>
    <w:rsid w:val="00777D69"/>
    <w:rsid w:val="0078052E"/>
    <w:rsid w:val="00780908"/>
    <w:rsid w:val="00780FAD"/>
    <w:rsid w:val="00781225"/>
    <w:rsid w:val="00781682"/>
    <w:rsid w:val="00781904"/>
    <w:rsid w:val="0078218B"/>
    <w:rsid w:val="0078241A"/>
    <w:rsid w:val="00783156"/>
    <w:rsid w:val="0078323F"/>
    <w:rsid w:val="0078344A"/>
    <w:rsid w:val="007839C0"/>
    <w:rsid w:val="00783BAD"/>
    <w:rsid w:val="00786443"/>
    <w:rsid w:val="00786F82"/>
    <w:rsid w:val="00787601"/>
    <w:rsid w:val="0078767E"/>
    <w:rsid w:val="0078771F"/>
    <w:rsid w:val="007878DD"/>
    <w:rsid w:val="00787C99"/>
    <w:rsid w:val="00787EB3"/>
    <w:rsid w:val="0079001F"/>
    <w:rsid w:val="00790AC8"/>
    <w:rsid w:val="0079151B"/>
    <w:rsid w:val="007915B3"/>
    <w:rsid w:val="0079183B"/>
    <w:rsid w:val="0079187C"/>
    <w:rsid w:val="00791928"/>
    <w:rsid w:val="00791E3B"/>
    <w:rsid w:val="0079228E"/>
    <w:rsid w:val="00792685"/>
    <w:rsid w:val="00792909"/>
    <w:rsid w:val="007933C7"/>
    <w:rsid w:val="0079347C"/>
    <w:rsid w:val="00793BBC"/>
    <w:rsid w:val="0079415F"/>
    <w:rsid w:val="007942E3"/>
    <w:rsid w:val="007943A1"/>
    <w:rsid w:val="00794802"/>
    <w:rsid w:val="00794C53"/>
    <w:rsid w:val="00794D6E"/>
    <w:rsid w:val="00794DCA"/>
    <w:rsid w:val="00795207"/>
    <w:rsid w:val="007953F0"/>
    <w:rsid w:val="00795BB6"/>
    <w:rsid w:val="00795D4F"/>
    <w:rsid w:val="00795F76"/>
    <w:rsid w:val="00796204"/>
    <w:rsid w:val="007962DA"/>
    <w:rsid w:val="00796A72"/>
    <w:rsid w:val="00796C3A"/>
    <w:rsid w:val="007976D4"/>
    <w:rsid w:val="00797DC4"/>
    <w:rsid w:val="007A014B"/>
    <w:rsid w:val="007A05FC"/>
    <w:rsid w:val="007A1015"/>
    <w:rsid w:val="007A1082"/>
    <w:rsid w:val="007A1C22"/>
    <w:rsid w:val="007A27A6"/>
    <w:rsid w:val="007A287E"/>
    <w:rsid w:val="007A2A96"/>
    <w:rsid w:val="007A364B"/>
    <w:rsid w:val="007A377F"/>
    <w:rsid w:val="007A4507"/>
    <w:rsid w:val="007A48B5"/>
    <w:rsid w:val="007A530D"/>
    <w:rsid w:val="007A5B0B"/>
    <w:rsid w:val="007A5ECF"/>
    <w:rsid w:val="007A5F5D"/>
    <w:rsid w:val="007A5FD1"/>
    <w:rsid w:val="007A65FD"/>
    <w:rsid w:val="007A6606"/>
    <w:rsid w:val="007A67B1"/>
    <w:rsid w:val="007A69D9"/>
    <w:rsid w:val="007A6DCB"/>
    <w:rsid w:val="007A6FB0"/>
    <w:rsid w:val="007A7042"/>
    <w:rsid w:val="007A714B"/>
    <w:rsid w:val="007A72D2"/>
    <w:rsid w:val="007A79D3"/>
    <w:rsid w:val="007A7D6E"/>
    <w:rsid w:val="007A7F41"/>
    <w:rsid w:val="007B1033"/>
    <w:rsid w:val="007B1591"/>
    <w:rsid w:val="007B1D61"/>
    <w:rsid w:val="007B2529"/>
    <w:rsid w:val="007B30C7"/>
    <w:rsid w:val="007B511E"/>
    <w:rsid w:val="007B5592"/>
    <w:rsid w:val="007B5625"/>
    <w:rsid w:val="007B5CEA"/>
    <w:rsid w:val="007B6032"/>
    <w:rsid w:val="007B604E"/>
    <w:rsid w:val="007B639D"/>
    <w:rsid w:val="007B6CAD"/>
    <w:rsid w:val="007B720B"/>
    <w:rsid w:val="007B7340"/>
    <w:rsid w:val="007B737F"/>
    <w:rsid w:val="007B73C0"/>
    <w:rsid w:val="007B7460"/>
    <w:rsid w:val="007B75EB"/>
    <w:rsid w:val="007B7772"/>
    <w:rsid w:val="007B78A4"/>
    <w:rsid w:val="007B7D98"/>
    <w:rsid w:val="007B7EF7"/>
    <w:rsid w:val="007C03DB"/>
    <w:rsid w:val="007C06BC"/>
    <w:rsid w:val="007C073E"/>
    <w:rsid w:val="007C232C"/>
    <w:rsid w:val="007C2A5A"/>
    <w:rsid w:val="007C30DB"/>
    <w:rsid w:val="007C36B5"/>
    <w:rsid w:val="007C3B69"/>
    <w:rsid w:val="007C3FD0"/>
    <w:rsid w:val="007C4558"/>
    <w:rsid w:val="007C47F7"/>
    <w:rsid w:val="007C52CB"/>
    <w:rsid w:val="007C5FDA"/>
    <w:rsid w:val="007C669F"/>
    <w:rsid w:val="007C743C"/>
    <w:rsid w:val="007C77D5"/>
    <w:rsid w:val="007C7D4A"/>
    <w:rsid w:val="007D0B4A"/>
    <w:rsid w:val="007D1279"/>
    <w:rsid w:val="007D2455"/>
    <w:rsid w:val="007D2A16"/>
    <w:rsid w:val="007D353A"/>
    <w:rsid w:val="007D360F"/>
    <w:rsid w:val="007D36A3"/>
    <w:rsid w:val="007D449D"/>
    <w:rsid w:val="007D4599"/>
    <w:rsid w:val="007D498E"/>
    <w:rsid w:val="007D49EB"/>
    <w:rsid w:val="007D4EFF"/>
    <w:rsid w:val="007D5332"/>
    <w:rsid w:val="007D5C47"/>
    <w:rsid w:val="007D679D"/>
    <w:rsid w:val="007D6A6A"/>
    <w:rsid w:val="007D6D2B"/>
    <w:rsid w:val="007E0CDF"/>
    <w:rsid w:val="007E0D00"/>
    <w:rsid w:val="007E1590"/>
    <w:rsid w:val="007E2097"/>
    <w:rsid w:val="007E2A5E"/>
    <w:rsid w:val="007E2CFA"/>
    <w:rsid w:val="007E3642"/>
    <w:rsid w:val="007E36D9"/>
    <w:rsid w:val="007E3D96"/>
    <w:rsid w:val="007E475A"/>
    <w:rsid w:val="007E4AD1"/>
    <w:rsid w:val="007E5C3A"/>
    <w:rsid w:val="007E69FB"/>
    <w:rsid w:val="007E6C01"/>
    <w:rsid w:val="007E6E3A"/>
    <w:rsid w:val="007E713A"/>
    <w:rsid w:val="007E7ABE"/>
    <w:rsid w:val="007E7EF7"/>
    <w:rsid w:val="007F05A5"/>
    <w:rsid w:val="007F0FC5"/>
    <w:rsid w:val="007F1403"/>
    <w:rsid w:val="007F1874"/>
    <w:rsid w:val="007F266D"/>
    <w:rsid w:val="007F2C5F"/>
    <w:rsid w:val="007F2E14"/>
    <w:rsid w:val="007F4850"/>
    <w:rsid w:val="007F4854"/>
    <w:rsid w:val="007F4AF3"/>
    <w:rsid w:val="007F5299"/>
    <w:rsid w:val="007F54E3"/>
    <w:rsid w:val="007F581B"/>
    <w:rsid w:val="007F5AEC"/>
    <w:rsid w:val="007F60A4"/>
    <w:rsid w:val="007F72C1"/>
    <w:rsid w:val="007F72F4"/>
    <w:rsid w:val="007F7961"/>
    <w:rsid w:val="007F7ADA"/>
    <w:rsid w:val="007F7C46"/>
    <w:rsid w:val="0080099F"/>
    <w:rsid w:val="00801600"/>
    <w:rsid w:val="008018A2"/>
    <w:rsid w:val="00801BC1"/>
    <w:rsid w:val="00801C59"/>
    <w:rsid w:val="00801D36"/>
    <w:rsid w:val="00802251"/>
    <w:rsid w:val="00803A70"/>
    <w:rsid w:val="008041A3"/>
    <w:rsid w:val="00804AEC"/>
    <w:rsid w:val="00804F78"/>
    <w:rsid w:val="00805084"/>
    <w:rsid w:val="008053FC"/>
    <w:rsid w:val="00805CF5"/>
    <w:rsid w:val="00805F7A"/>
    <w:rsid w:val="00806796"/>
    <w:rsid w:val="00806A07"/>
    <w:rsid w:val="00807F20"/>
    <w:rsid w:val="0081116C"/>
    <w:rsid w:val="008115DC"/>
    <w:rsid w:val="00811D8B"/>
    <w:rsid w:val="00811D99"/>
    <w:rsid w:val="008120E5"/>
    <w:rsid w:val="00812911"/>
    <w:rsid w:val="00812A76"/>
    <w:rsid w:val="00812C76"/>
    <w:rsid w:val="00812D47"/>
    <w:rsid w:val="00814276"/>
    <w:rsid w:val="008143AF"/>
    <w:rsid w:val="008145B0"/>
    <w:rsid w:val="0081471A"/>
    <w:rsid w:val="00814918"/>
    <w:rsid w:val="00814B0F"/>
    <w:rsid w:val="00814E31"/>
    <w:rsid w:val="00815169"/>
    <w:rsid w:val="008159E8"/>
    <w:rsid w:val="00815B58"/>
    <w:rsid w:val="00816003"/>
    <w:rsid w:val="008160CA"/>
    <w:rsid w:val="008160CF"/>
    <w:rsid w:val="0081617D"/>
    <w:rsid w:val="00816322"/>
    <w:rsid w:val="00816323"/>
    <w:rsid w:val="008163A7"/>
    <w:rsid w:val="008164BA"/>
    <w:rsid w:val="008166FF"/>
    <w:rsid w:val="00816B68"/>
    <w:rsid w:val="00816DAE"/>
    <w:rsid w:val="00816E1A"/>
    <w:rsid w:val="00816F4E"/>
    <w:rsid w:val="00816FDA"/>
    <w:rsid w:val="00817250"/>
    <w:rsid w:val="00817DF1"/>
    <w:rsid w:val="00817FC6"/>
    <w:rsid w:val="00820444"/>
    <w:rsid w:val="008206A0"/>
    <w:rsid w:val="00820F28"/>
    <w:rsid w:val="00821329"/>
    <w:rsid w:val="008214D0"/>
    <w:rsid w:val="008220A0"/>
    <w:rsid w:val="00822114"/>
    <w:rsid w:val="0082251F"/>
    <w:rsid w:val="008226C4"/>
    <w:rsid w:val="00823125"/>
    <w:rsid w:val="00824159"/>
    <w:rsid w:val="00825016"/>
    <w:rsid w:val="0082502D"/>
    <w:rsid w:val="00825759"/>
    <w:rsid w:val="00825879"/>
    <w:rsid w:val="0082634D"/>
    <w:rsid w:val="00826A06"/>
    <w:rsid w:val="00826C85"/>
    <w:rsid w:val="0082709F"/>
    <w:rsid w:val="00827396"/>
    <w:rsid w:val="00830427"/>
    <w:rsid w:val="0083050E"/>
    <w:rsid w:val="00830A3D"/>
    <w:rsid w:val="0083107F"/>
    <w:rsid w:val="0083162A"/>
    <w:rsid w:val="008319D3"/>
    <w:rsid w:val="00831F84"/>
    <w:rsid w:val="00831FF0"/>
    <w:rsid w:val="00832093"/>
    <w:rsid w:val="008323F2"/>
    <w:rsid w:val="00832E5B"/>
    <w:rsid w:val="00833132"/>
    <w:rsid w:val="00833BEA"/>
    <w:rsid w:val="008342FE"/>
    <w:rsid w:val="00834394"/>
    <w:rsid w:val="00834DD4"/>
    <w:rsid w:val="00835BF1"/>
    <w:rsid w:val="008361DD"/>
    <w:rsid w:val="0083623C"/>
    <w:rsid w:val="00836EBD"/>
    <w:rsid w:val="00840065"/>
    <w:rsid w:val="008402E8"/>
    <w:rsid w:val="0084076E"/>
    <w:rsid w:val="00840997"/>
    <w:rsid w:val="00840A81"/>
    <w:rsid w:val="00840D47"/>
    <w:rsid w:val="00841323"/>
    <w:rsid w:val="00841324"/>
    <w:rsid w:val="008414C8"/>
    <w:rsid w:val="00841687"/>
    <w:rsid w:val="008428CA"/>
    <w:rsid w:val="00842A30"/>
    <w:rsid w:val="00842A83"/>
    <w:rsid w:val="0084313F"/>
    <w:rsid w:val="008445F6"/>
    <w:rsid w:val="008446C7"/>
    <w:rsid w:val="0084471B"/>
    <w:rsid w:val="00844EEC"/>
    <w:rsid w:val="00845FA9"/>
    <w:rsid w:val="008473D1"/>
    <w:rsid w:val="008479B4"/>
    <w:rsid w:val="0085015C"/>
    <w:rsid w:val="00850242"/>
    <w:rsid w:val="00850A05"/>
    <w:rsid w:val="0085166A"/>
    <w:rsid w:val="008518A9"/>
    <w:rsid w:val="00851BAB"/>
    <w:rsid w:val="00852077"/>
    <w:rsid w:val="0085276F"/>
    <w:rsid w:val="0085395A"/>
    <w:rsid w:val="00853C2B"/>
    <w:rsid w:val="00854087"/>
    <w:rsid w:val="00854262"/>
    <w:rsid w:val="008549D6"/>
    <w:rsid w:val="008551A6"/>
    <w:rsid w:val="00855902"/>
    <w:rsid w:val="00855D6F"/>
    <w:rsid w:val="0085699A"/>
    <w:rsid w:val="00856E5A"/>
    <w:rsid w:val="00857C08"/>
    <w:rsid w:val="00857DD6"/>
    <w:rsid w:val="00860583"/>
    <w:rsid w:val="00860605"/>
    <w:rsid w:val="00860F82"/>
    <w:rsid w:val="00861181"/>
    <w:rsid w:val="008614CC"/>
    <w:rsid w:val="00861607"/>
    <w:rsid w:val="0086166B"/>
    <w:rsid w:val="008618ED"/>
    <w:rsid w:val="00861D71"/>
    <w:rsid w:val="00862113"/>
    <w:rsid w:val="00862BCA"/>
    <w:rsid w:val="00862FEE"/>
    <w:rsid w:val="0086332C"/>
    <w:rsid w:val="008639A3"/>
    <w:rsid w:val="00863C8D"/>
    <w:rsid w:val="00864214"/>
    <w:rsid w:val="00864480"/>
    <w:rsid w:val="00864E8D"/>
    <w:rsid w:val="00865265"/>
    <w:rsid w:val="008653FF"/>
    <w:rsid w:val="00865682"/>
    <w:rsid w:val="0086592B"/>
    <w:rsid w:val="0086592F"/>
    <w:rsid w:val="00865ABD"/>
    <w:rsid w:val="00865E05"/>
    <w:rsid w:val="0086632F"/>
    <w:rsid w:val="0086654F"/>
    <w:rsid w:val="00866D3F"/>
    <w:rsid w:val="00866FCF"/>
    <w:rsid w:val="0086761B"/>
    <w:rsid w:val="008708A8"/>
    <w:rsid w:val="008713D8"/>
    <w:rsid w:val="0087161B"/>
    <w:rsid w:val="00871753"/>
    <w:rsid w:val="00871F8E"/>
    <w:rsid w:val="00872187"/>
    <w:rsid w:val="008725B4"/>
    <w:rsid w:val="00872B91"/>
    <w:rsid w:val="00872BFC"/>
    <w:rsid w:val="00872E08"/>
    <w:rsid w:val="0087343E"/>
    <w:rsid w:val="00873496"/>
    <w:rsid w:val="0087448E"/>
    <w:rsid w:val="00875651"/>
    <w:rsid w:val="00875699"/>
    <w:rsid w:val="00875E68"/>
    <w:rsid w:val="00875EA3"/>
    <w:rsid w:val="00876872"/>
    <w:rsid w:val="00877098"/>
    <w:rsid w:val="0087756C"/>
    <w:rsid w:val="0088016A"/>
    <w:rsid w:val="00880864"/>
    <w:rsid w:val="00880EBA"/>
    <w:rsid w:val="00880F0F"/>
    <w:rsid w:val="00881113"/>
    <w:rsid w:val="00881644"/>
    <w:rsid w:val="00881B55"/>
    <w:rsid w:val="00881C2B"/>
    <w:rsid w:val="00882DBE"/>
    <w:rsid w:val="00883034"/>
    <w:rsid w:val="008832B2"/>
    <w:rsid w:val="00883A63"/>
    <w:rsid w:val="00883ADC"/>
    <w:rsid w:val="008841A3"/>
    <w:rsid w:val="00884653"/>
    <w:rsid w:val="00884894"/>
    <w:rsid w:val="008852B1"/>
    <w:rsid w:val="0088533D"/>
    <w:rsid w:val="008856D7"/>
    <w:rsid w:val="008865EC"/>
    <w:rsid w:val="008870D0"/>
    <w:rsid w:val="00887640"/>
    <w:rsid w:val="00890B87"/>
    <w:rsid w:val="00891138"/>
    <w:rsid w:val="00891347"/>
    <w:rsid w:val="00891601"/>
    <w:rsid w:val="00891687"/>
    <w:rsid w:val="00891C3D"/>
    <w:rsid w:val="008933F6"/>
    <w:rsid w:val="0089341D"/>
    <w:rsid w:val="00894904"/>
    <w:rsid w:val="00895088"/>
    <w:rsid w:val="00895924"/>
    <w:rsid w:val="0089623E"/>
    <w:rsid w:val="008967A4"/>
    <w:rsid w:val="00896E95"/>
    <w:rsid w:val="008970F9"/>
    <w:rsid w:val="00897BDC"/>
    <w:rsid w:val="008A01B0"/>
    <w:rsid w:val="008A0785"/>
    <w:rsid w:val="008A13C4"/>
    <w:rsid w:val="008A1762"/>
    <w:rsid w:val="008A1E9F"/>
    <w:rsid w:val="008A1EBF"/>
    <w:rsid w:val="008A2095"/>
    <w:rsid w:val="008A27F3"/>
    <w:rsid w:val="008A294B"/>
    <w:rsid w:val="008A2F52"/>
    <w:rsid w:val="008A34D3"/>
    <w:rsid w:val="008A3EB0"/>
    <w:rsid w:val="008A3F4C"/>
    <w:rsid w:val="008A3FEA"/>
    <w:rsid w:val="008A475F"/>
    <w:rsid w:val="008A4C43"/>
    <w:rsid w:val="008A4CA1"/>
    <w:rsid w:val="008A59B9"/>
    <w:rsid w:val="008A5A79"/>
    <w:rsid w:val="008A6B4C"/>
    <w:rsid w:val="008A6F0E"/>
    <w:rsid w:val="008A6FD3"/>
    <w:rsid w:val="008A7097"/>
    <w:rsid w:val="008A78A9"/>
    <w:rsid w:val="008B00AC"/>
    <w:rsid w:val="008B041B"/>
    <w:rsid w:val="008B082F"/>
    <w:rsid w:val="008B0EB9"/>
    <w:rsid w:val="008B1E24"/>
    <w:rsid w:val="008B1E34"/>
    <w:rsid w:val="008B1F3F"/>
    <w:rsid w:val="008B1F99"/>
    <w:rsid w:val="008B21ED"/>
    <w:rsid w:val="008B22BD"/>
    <w:rsid w:val="008B238F"/>
    <w:rsid w:val="008B2A98"/>
    <w:rsid w:val="008B33E3"/>
    <w:rsid w:val="008B4BF8"/>
    <w:rsid w:val="008B6249"/>
    <w:rsid w:val="008B711D"/>
    <w:rsid w:val="008B7145"/>
    <w:rsid w:val="008B77EE"/>
    <w:rsid w:val="008B7B03"/>
    <w:rsid w:val="008B7D3D"/>
    <w:rsid w:val="008B7EDC"/>
    <w:rsid w:val="008B7F6D"/>
    <w:rsid w:val="008C0666"/>
    <w:rsid w:val="008C0DB1"/>
    <w:rsid w:val="008C0F38"/>
    <w:rsid w:val="008C1C18"/>
    <w:rsid w:val="008C1E05"/>
    <w:rsid w:val="008C2303"/>
    <w:rsid w:val="008C2C7D"/>
    <w:rsid w:val="008C3102"/>
    <w:rsid w:val="008C3681"/>
    <w:rsid w:val="008C3D6B"/>
    <w:rsid w:val="008C40C6"/>
    <w:rsid w:val="008C42A3"/>
    <w:rsid w:val="008C4C8B"/>
    <w:rsid w:val="008C5BA4"/>
    <w:rsid w:val="008C6651"/>
    <w:rsid w:val="008C6AC6"/>
    <w:rsid w:val="008C6B02"/>
    <w:rsid w:val="008C78D4"/>
    <w:rsid w:val="008C7A49"/>
    <w:rsid w:val="008C7C88"/>
    <w:rsid w:val="008C7F9E"/>
    <w:rsid w:val="008D0A77"/>
    <w:rsid w:val="008D0D75"/>
    <w:rsid w:val="008D0FF2"/>
    <w:rsid w:val="008D11FD"/>
    <w:rsid w:val="008D1712"/>
    <w:rsid w:val="008D210B"/>
    <w:rsid w:val="008D2563"/>
    <w:rsid w:val="008D27B7"/>
    <w:rsid w:val="008D291F"/>
    <w:rsid w:val="008D2BA1"/>
    <w:rsid w:val="008D3A0B"/>
    <w:rsid w:val="008D3C88"/>
    <w:rsid w:val="008D464F"/>
    <w:rsid w:val="008D4ABC"/>
    <w:rsid w:val="008D4B72"/>
    <w:rsid w:val="008D4DE7"/>
    <w:rsid w:val="008D53BB"/>
    <w:rsid w:val="008D5549"/>
    <w:rsid w:val="008D586A"/>
    <w:rsid w:val="008D58C7"/>
    <w:rsid w:val="008D5BC3"/>
    <w:rsid w:val="008D70EA"/>
    <w:rsid w:val="008D7662"/>
    <w:rsid w:val="008D7BBF"/>
    <w:rsid w:val="008D7C32"/>
    <w:rsid w:val="008E008E"/>
    <w:rsid w:val="008E092C"/>
    <w:rsid w:val="008E130B"/>
    <w:rsid w:val="008E13E4"/>
    <w:rsid w:val="008E1518"/>
    <w:rsid w:val="008E160F"/>
    <w:rsid w:val="008E16EC"/>
    <w:rsid w:val="008E1D41"/>
    <w:rsid w:val="008E22A9"/>
    <w:rsid w:val="008E2CEF"/>
    <w:rsid w:val="008E2FE0"/>
    <w:rsid w:val="008E322B"/>
    <w:rsid w:val="008E3644"/>
    <w:rsid w:val="008E3BA9"/>
    <w:rsid w:val="008E3F69"/>
    <w:rsid w:val="008E4873"/>
    <w:rsid w:val="008E4E1D"/>
    <w:rsid w:val="008E5377"/>
    <w:rsid w:val="008E5D1A"/>
    <w:rsid w:val="008E604A"/>
    <w:rsid w:val="008E61E2"/>
    <w:rsid w:val="008E6497"/>
    <w:rsid w:val="008E6B99"/>
    <w:rsid w:val="008E7037"/>
    <w:rsid w:val="008E708C"/>
    <w:rsid w:val="008E7BC4"/>
    <w:rsid w:val="008F01A9"/>
    <w:rsid w:val="008F025E"/>
    <w:rsid w:val="008F037B"/>
    <w:rsid w:val="008F082B"/>
    <w:rsid w:val="008F0C0C"/>
    <w:rsid w:val="008F170F"/>
    <w:rsid w:val="008F18D9"/>
    <w:rsid w:val="008F1F75"/>
    <w:rsid w:val="008F1FE2"/>
    <w:rsid w:val="008F2182"/>
    <w:rsid w:val="008F26BF"/>
    <w:rsid w:val="008F2A8C"/>
    <w:rsid w:val="008F2B30"/>
    <w:rsid w:val="008F2E0E"/>
    <w:rsid w:val="008F3138"/>
    <w:rsid w:val="008F3F3A"/>
    <w:rsid w:val="008F4354"/>
    <w:rsid w:val="008F48DC"/>
    <w:rsid w:val="008F554C"/>
    <w:rsid w:val="008F5653"/>
    <w:rsid w:val="008F63C4"/>
    <w:rsid w:val="008F654A"/>
    <w:rsid w:val="008F6620"/>
    <w:rsid w:val="008F6835"/>
    <w:rsid w:val="008F7EF2"/>
    <w:rsid w:val="0090049D"/>
    <w:rsid w:val="009009E9"/>
    <w:rsid w:val="00900B76"/>
    <w:rsid w:val="00900E67"/>
    <w:rsid w:val="009010DE"/>
    <w:rsid w:val="00901616"/>
    <w:rsid w:val="009016CE"/>
    <w:rsid w:val="00901F4F"/>
    <w:rsid w:val="009024B4"/>
    <w:rsid w:val="009029D9"/>
    <w:rsid w:val="009030C2"/>
    <w:rsid w:val="00903559"/>
    <w:rsid w:val="0090375A"/>
    <w:rsid w:val="009039A3"/>
    <w:rsid w:val="009039B4"/>
    <w:rsid w:val="00903CB0"/>
    <w:rsid w:val="00903D18"/>
    <w:rsid w:val="009043FC"/>
    <w:rsid w:val="00904D02"/>
    <w:rsid w:val="00905519"/>
    <w:rsid w:val="0090565A"/>
    <w:rsid w:val="00905977"/>
    <w:rsid w:val="009064D1"/>
    <w:rsid w:val="00906653"/>
    <w:rsid w:val="009072E5"/>
    <w:rsid w:val="009076BA"/>
    <w:rsid w:val="00907800"/>
    <w:rsid w:val="0090781A"/>
    <w:rsid w:val="00907CBB"/>
    <w:rsid w:val="0091019B"/>
    <w:rsid w:val="00910290"/>
    <w:rsid w:val="00910487"/>
    <w:rsid w:val="0091067E"/>
    <w:rsid w:val="0091081F"/>
    <w:rsid w:val="00910A9F"/>
    <w:rsid w:val="00910C01"/>
    <w:rsid w:val="00910F63"/>
    <w:rsid w:val="0091191E"/>
    <w:rsid w:val="00911976"/>
    <w:rsid w:val="00911ABF"/>
    <w:rsid w:val="009120A0"/>
    <w:rsid w:val="00912B04"/>
    <w:rsid w:val="0091304A"/>
    <w:rsid w:val="00913DB7"/>
    <w:rsid w:val="00913EBE"/>
    <w:rsid w:val="009142DD"/>
    <w:rsid w:val="00914DA7"/>
    <w:rsid w:val="0091530A"/>
    <w:rsid w:val="00915331"/>
    <w:rsid w:val="00915D37"/>
    <w:rsid w:val="00915E7F"/>
    <w:rsid w:val="0091686E"/>
    <w:rsid w:val="00916B00"/>
    <w:rsid w:val="00916EC2"/>
    <w:rsid w:val="00917CBA"/>
    <w:rsid w:val="00917F39"/>
    <w:rsid w:val="009205EB"/>
    <w:rsid w:val="00920657"/>
    <w:rsid w:val="00920CCE"/>
    <w:rsid w:val="00921505"/>
    <w:rsid w:val="00921994"/>
    <w:rsid w:val="00921EF1"/>
    <w:rsid w:val="00922096"/>
    <w:rsid w:val="00922145"/>
    <w:rsid w:val="009222D4"/>
    <w:rsid w:val="009223A1"/>
    <w:rsid w:val="009223E0"/>
    <w:rsid w:val="009228B3"/>
    <w:rsid w:val="00922926"/>
    <w:rsid w:val="0092433E"/>
    <w:rsid w:val="009245BD"/>
    <w:rsid w:val="0092462C"/>
    <w:rsid w:val="00924664"/>
    <w:rsid w:val="009246CF"/>
    <w:rsid w:val="00924D14"/>
    <w:rsid w:val="0092516C"/>
    <w:rsid w:val="009252E3"/>
    <w:rsid w:val="0092551E"/>
    <w:rsid w:val="0092558A"/>
    <w:rsid w:val="00926306"/>
    <w:rsid w:val="0092728D"/>
    <w:rsid w:val="0092752E"/>
    <w:rsid w:val="00927880"/>
    <w:rsid w:val="00927D87"/>
    <w:rsid w:val="00930014"/>
    <w:rsid w:val="009308AB"/>
    <w:rsid w:val="00930BCC"/>
    <w:rsid w:val="0093118B"/>
    <w:rsid w:val="00932A2A"/>
    <w:rsid w:val="009331C7"/>
    <w:rsid w:val="0093340B"/>
    <w:rsid w:val="009334B1"/>
    <w:rsid w:val="00933654"/>
    <w:rsid w:val="0093383D"/>
    <w:rsid w:val="0093401A"/>
    <w:rsid w:val="00934A8E"/>
    <w:rsid w:val="00934E0B"/>
    <w:rsid w:val="00935010"/>
    <w:rsid w:val="00935DB2"/>
    <w:rsid w:val="009369B6"/>
    <w:rsid w:val="00937831"/>
    <w:rsid w:val="00937A05"/>
    <w:rsid w:val="00937B0C"/>
    <w:rsid w:val="00937D00"/>
    <w:rsid w:val="0094010E"/>
    <w:rsid w:val="00940427"/>
    <w:rsid w:val="00940927"/>
    <w:rsid w:val="00940B8C"/>
    <w:rsid w:val="0094205E"/>
    <w:rsid w:val="00942235"/>
    <w:rsid w:val="009422DB"/>
    <w:rsid w:val="009430F4"/>
    <w:rsid w:val="00943F5A"/>
    <w:rsid w:val="00944256"/>
    <w:rsid w:val="00945291"/>
    <w:rsid w:val="0094546F"/>
    <w:rsid w:val="00945A25"/>
    <w:rsid w:val="00945C80"/>
    <w:rsid w:val="00945D53"/>
    <w:rsid w:val="00945F25"/>
    <w:rsid w:val="0094601A"/>
    <w:rsid w:val="00946437"/>
    <w:rsid w:val="00947E51"/>
    <w:rsid w:val="009507D3"/>
    <w:rsid w:val="00950807"/>
    <w:rsid w:val="00951507"/>
    <w:rsid w:val="00951709"/>
    <w:rsid w:val="00951B04"/>
    <w:rsid w:val="00951EC4"/>
    <w:rsid w:val="0095206C"/>
    <w:rsid w:val="009524CA"/>
    <w:rsid w:val="009527B3"/>
    <w:rsid w:val="009527CA"/>
    <w:rsid w:val="0095287A"/>
    <w:rsid w:val="00952A20"/>
    <w:rsid w:val="00952A8B"/>
    <w:rsid w:val="00952C68"/>
    <w:rsid w:val="009533D6"/>
    <w:rsid w:val="00953AFB"/>
    <w:rsid w:val="00953E91"/>
    <w:rsid w:val="009542E5"/>
    <w:rsid w:val="009545BD"/>
    <w:rsid w:val="0095460B"/>
    <w:rsid w:val="00954685"/>
    <w:rsid w:val="00954D25"/>
    <w:rsid w:val="009552A5"/>
    <w:rsid w:val="00956713"/>
    <w:rsid w:val="00956D22"/>
    <w:rsid w:val="00956D95"/>
    <w:rsid w:val="00956F1D"/>
    <w:rsid w:val="00956F4C"/>
    <w:rsid w:val="009574C2"/>
    <w:rsid w:val="00957DD4"/>
    <w:rsid w:val="00960288"/>
    <w:rsid w:val="0096056C"/>
    <w:rsid w:val="009614C7"/>
    <w:rsid w:val="00961A7F"/>
    <w:rsid w:val="00962246"/>
    <w:rsid w:val="00962549"/>
    <w:rsid w:val="009627C5"/>
    <w:rsid w:val="00962B2B"/>
    <w:rsid w:val="0096328C"/>
    <w:rsid w:val="00963842"/>
    <w:rsid w:val="00963961"/>
    <w:rsid w:val="00963B5D"/>
    <w:rsid w:val="0096421F"/>
    <w:rsid w:val="0096459E"/>
    <w:rsid w:val="00964EAA"/>
    <w:rsid w:val="009656C4"/>
    <w:rsid w:val="009659FE"/>
    <w:rsid w:val="00965D71"/>
    <w:rsid w:val="0096609C"/>
    <w:rsid w:val="0096669F"/>
    <w:rsid w:val="009666E4"/>
    <w:rsid w:val="009676FC"/>
    <w:rsid w:val="00967871"/>
    <w:rsid w:val="00967A9E"/>
    <w:rsid w:val="00967C08"/>
    <w:rsid w:val="00967E1A"/>
    <w:rsid w:val="00967FAF"/>
    <w:rsid w:val="00970824"/>
    <w:rsid w:val="00970A24"/>
    <w:rsid w:val="009710F2"/>
    <w:rsid w:val="00972448"/>
    <w:rsid w:val="00972500"/>
    <w:rsid w:val="00972BB7"/>
    <w:rsid w:val="00972FBB"/>
    <w:rsid w:val="0097365F"/>
    <w:rsid w:val="009738B8"/>
    <w:rsid w:val="00973CC6"/>
    <w:rsid w:val="00974752"/>
    <w:rsid w:val="00975610"/>
    <w:rsid w:val="00975648"/>
    <w:rsid w:val="00975B6D"/>
    <w:rsid w:val="00975BDC"/>
    <w:rsid w:val="009763D5"/>
    <w:rsid w:val="009769FC"/>
    <w:rsid w:val="00976B81"/>
    <w:rsid w:val="00977B67"/>
    <w:rsid w:val="00977DA4"/>
    <w:rsid w:val="00977DE1"/>
    <w:rsid w:val="009803BA"/>
    <w:rsid w:val="0098058B"/>
    <w:rsid w:val="0098062A"/>
    <w:rsid w:val="00980E82"/>
    <w:rsid w:val="0098119D"/>
    <w:rsid w:val="0098167D"/>
    <w:rsid w:val="009817EA"/>
    <w:rsid w:val="009819A7"/>
    <w:rsid w:val="00982157"/>
    <w:rsid w:val="009823C7"/>
    <w:rsid w:val="00983514"/>
    <w:rsid w:val="00983A3D"/>
    <w:rsid w:val="009844EE"/>
    <w:rsid w:val="00984544"/>
    <w:rsid w:val="00984D3C"/>
    <w:rsid w:val="00984E7A"/>
    <w:rsid w:val="0098563E"/>
    <w:rsid w:val="00986344"/>
    <w:rsid w:val="00986B47"/>
    <w:rsid w:val="00986EB3"/>
    <w:rsid w:val="00986F7C"/>
    <w:rsid w:val="00986FB2"/>
    <w:rsid w:val="0098727B"/>
    <w:rsid w:val="0098787B"/>
    <w:rsid w:val="00987A36"/>
    <w:rsid w:val="00987BCD"/>
    <w:rsid w:val="00987BEA"/>
    <w:rsid w:val="00990D2A"/>
    <w:rsid w:val="00991455"/>
    <w:rsid w:val="009916A6"/>
    <w:rsid w:val="00991A47"/>
    <w:rsid w:val="00991B8A"/>
    <w:rsid w:val="00991F97"/>
    <w:rsid w:val="0099229F"/>
    <w:rsid w:val="009924DC"/>
    <w:rsid w:val="00992876"/>
    <w:rsid w:val="00992D52"/>
    <w:rsid w:val="00993248"/>
    <w:rsid w:val="00993736"/>
    <w:rsid w:val="00993A11"/>
    <w:rsid w:val="00993D3F"/>
    <w:rsid w:val="00994532"/>
    <w:rsid w:val="0099485B"/>
    <w:rsid w:val="00994885"/>
    <w:rsid w:val="009948B3"/>
    <w:rsid w:val="00994980"/>
    <w:rsid w:val="00994F89"/>
    <w:rsid w:val="00995010"/>
    <w:rsid w:val="00995792"/>
    <w:rsid w:val="009959F9"/>
    <w:rsid w:val="00995DA8"/>
    <w:rsid w:val="009963D3"/>
    <w:rsid w:val="00996DA5"/>
    <w:rsid w:val="00996F08"/>
    <w:rsid w:val="00997336"/>
    <w:rsid w:val="00997851"/>
    <w:rsid w:val="00997CDD"/>
    <w:rsid w:val="00997E1F"/>
    <w:rsid w:val="009A070D"/>
    <w:rsid w:val="009A0C67"/>
    <w:rsid w:val="009A1064"/>
    <w:rsid w:val="009A1155"/>
    <w:rsid w:val="009A12B8"/>
    <w:rsid w:val="009A1C9D"/>
    <w:rsid w:val="009A237B"/>
    <w:rsid w:val="009A47E9"/>
    <w:rsid w:val="009A4888"/>
    <w:rsid w:val="009A4F30"/>
    <w:rsid w:val="009A53D2"/>
    <w:rsid w:val="009A5555"/>
    <w:rsid w:val="009A57AE"/>
    <w:rsid w:val="009A5A09"/>
    <w:rsid w:val="009A5B60"/>
    <w:rsid w:val="009A637B"/>
    <w:rsid w:val="009A66AF"/>
    <w:rsid w:val="009A6C8C"/>
    <w:rsid w:val="009A6CF1"/>
    <w:rsid w:val="009A6F9E"/>
    <w:rsid w:val="009A7EF7"/>
    <w:rsid w:val="009B07B1"/>
    <w:rsid w:val="009B14BE"/>
    <w:rsid w:val="009B1DD1"/>
    <w:rsid w:val="009B2987"/>
    <w:rsid w:val="009B2B7C"/>
    <w:rsid w:val="009B3391"/>
    <w:rsid w:val="009B36C8"/>
    <w:rsid w:val="009B49E9"/>
    <w:rsid w:val="009B4FFD"/>
    <w:rsid w:val="009B52D0"/>
    <w:rsid w:val="009B5444"/>
    <w:rsid w:val="009B5611"/>
    <w:rsid w:val="009B58B5"/>
    <w:rsid w:val="009B64CE"/>
    <w:rsid w:val="009B6780"/>
    <w:rsid w:val="009B6B4F"/>
    <w:rsid w:val="009B6F0B"/>
    <w:rsid w:val="009C0BAD"/>
    <w:rsid w:val="009C0F2E"/>
    <w:rsid w:val="009C0FDD"/>
    <w:rsid w:val="009C125C"/>
    <w:rsid w:val="009C22C9"/>
    <w:rsid w:val="009C2F7A"/>
    <w:rsid w:val="009C335D"/>
    <w:rsid w:val="009C34EA"/>
    <w:rsid w:val="009C4329"/>
    <w:rsid w:val="009C43DF"/>
    <w:rsid w:val="009C44E9"/>
    <w:rsid w:val="009C45EC"/>
    <w:rsid w:val="009C4FE0"/>
    <w:rsid w:val="009C56D9"/>
    <w:rsid w:val="009C6488"/>
    <w:rsid w:val="009C6A35"/>
    <w:rsid w:val="009C7812"/>
    <w:rsid w:val="009C78FD"/>
    <w:rsid w:val="009C7C1B"/>
    <w:rsid w:val="009C7C20"/>
    <w:rsid w:val="009C7DCC"/>
    <w:rsid w:val="009D08DF"/>
    <w:rsid w:val="009D105B"/>
    <w:rsid w:val="009D1921"/>
    <w:rsid w:val="009D1FB4"/>
    <w:rsid w:val="009D2118"/>
    <w:rsid w:val="009D22CC"/>
    <w:rsid w:val="009D2505"/>
    <w:rsid w:val="009D2672"/>
    <w:rsid w:val="009D29E0"/>
    <w:rsid w:val="009D2A0B"/>
    <w:rsid w:val="009D2B72"/>
    <w:rsid w:val="009D2F7F"/>
    <w:rsid w:val="009D39D0"/>
    <w:rsid w:val="009D42AC"/>
    <w:rsid w:val="009D43EB"/>
    <w:rsid w:val="009D45AC"/>
    <w:rsid w:val="009D4EB9"/>
    <w:rsid w:val="009D52ED"/>
    <w:rsid w:val="009D5A4F"/>
    <w:rsid w:val="009D5B0B"/>
    <w:rsid w:val="009D653E"/>
    <w:rsid w:val="009D70A1"/>
    <w:rsid w:val="009D70A7"/>
    <w:rsid w:val="009D73C5"/>
    <w:rsid w:val="009D76E8"/>
    <w:rsid w:val="009D7BB8"/>
    <w:rsid w:val="009D7FD9"/>
    <w:rsid w:val="009E040D"/>
    <w:rsid w:val="009E0596"/>
    <w:rsid w:val="009E0910"/>
    <w:rsid w:val="009E13F3"/>
    <w:rsid w:val="009E2ADF"/>
    <w:rsid w:val="009E2DA2"/>
    <w:rsid w:val="009E3B6B"/>
    <w:rsid w:val="009E3F2F"/>
    <w:rsid w:val="009E4CF2"/>
    <w:rsid w:val="009E4DF6"/>
    <w:rsid w:val="009E5655"/>
    <w:rsid w:val="009E6216"/>
    <w:rsid w:val="009E6531"/>
    <w:rsid w:val="009E65CD"/>
    <w:rsid w:val="009E69DA"/>
    <w:rsid w:val="009E7659"/>
    <w:rsid w:val="009E7C18"/>
    <w:rsid w:val="009E7F5E"/>
    <w:rsid w:val="009F00ED"/>
    <w:rsid w:val="009F08FF"/>
    <w:rsid w:val="009F0D6B"/>
    <w:rsid w:val="009F0E94"/>
    <w:rsid w:val="009F0EFF"/>
    <w:rsid w:val="009F1851"/>
    <w:rsid w:val="009F218A"/>
    <w:rsid w:val="009F23EB"/>
    <w:rsid w:val="009F2E8E"/>
    <w:rsid w:val="009F383B"/>
    <w:rsid w:val="009F38C3"/>
    <w:rsid w:val="009F41F0"/>
    <w:rsid w:val="009F42AE"/>
    <w:rsid w:val="009F47AB"/>
    <w:rsid w:val="009F4BFA"/>
    <w:rsid w:val="009F4CD5"/>
    <w:rsid w:val="009F4E16"/>
    <w:rsid w:val="009F509D"/>
    <w:rsid w:val="009F539A"/>
    <w:rsid w:val="009F5447"/>
    <w:rsid w:val="009F5A42"/>
    <w:rsid w:val="009F5ABA"/>
    <w:rsid w:val="009F5AFD"/>
    <w:rsid w:val="009F5D58"/>
    <w:rsid w:val="009F5EA8"/>
    <w:rsid w:val="009F6B62"/>
    <w:rsid w:val="009F6F75"/>
    <w:rsid w:val="009F708C"/>
    <w:rsid w:val="009F70F7"/>
    <w:rsid w:val="009F7145"/>
    <w:rsid w:val="009F73D0"/>
    <w:rsid w:val="009F751F"/>
    <w:rsid w:val="009F75B6"/>
    <w:rsid w:val="009F7733"/>
    <w:rsid w:val="009F78D2"/>
    <w:rsid w:val="00A00197"/>
    <w:rsid w:val="00A00288"/>
    <w:rsid w:val="00A00DA0"/>
    <w:rsid w:val="00A00FB6"/>
    <w:rsid w:val="00A0118E"/>
    <w:rsid w:val="00A01D01"/>
    <w:rsid w:val="00A03CE7"/>
    <w:rsid w:val="00A03F58"/>
    <w:rsid w:val="00A045AA"/>
    <w:rsid w:val="00A04930"/>
    <w:rsid w:val="00A04DCF"/>
    <w:rsid w:val="00A05010"/>
    <w:rsid w:val="00A05A62"/>
    <w:rsid w:val="00A05BCD"/>
    <w:rsid w:val="00A05E7D"/>
    <w:rsid w:val="00A0611B"/>
    <w:rsid w:val="00A0652D"/>
    <w:rsid w:val="00A0678C"/>
    <w:rsid w:val="00A07070"/>
    <w:rsid w:val="00A07B6D"/>
    <w:rsid w:val="00A07B92"/>
    <w:rsid w:val="00A07CE5"/>
    <w:rsid w:val="00A07D9C"/>
    <w:rsid w:val="00A07FDA"/>
    <w:rsid w:val="00A10254"/>
    <w:rsid w:val="00A1038C"/>
    <w:rsid w:val="00A10EBD"/>
    <w:rsid w:val="00A11029"/>
    <w:rsid w:val="00A113C8"/>
    <w:rsid w:val="00A11892"/>
    <w:rsid w:val="00A123DC"/>
    <w:rsid w:val="00A124C9"/>
    <w:rsid w:val="00A124F1"/>
    <w:rsid w:val="00A1278F"/>
    <w:rsid w:val="00A12EB2"/>
    <w:rsid w:val="00A14216"/>
    <w:rsid w:val="00A14348"/>
    <w:rsid w:val="00A14820"/>
    <w:rsid w:val="00A14B16"/>
    <w:rsid w:val="00A152A3"/>
    <w:rsid w:val="00A152F1"/>
    <w:rsid w:val="00A15415"/>
    <w:rsid w:val="00A15957"/>
    <w:rsid w:val="00A15A8E"/>
    <w:rsid w:val="00A15CCB"/>
    <w:rsid w:val="00A15D50"/>
    <w:rsid w:val="00A162EE"/>
    <w:rsid w:val="00A16A37"/>
    <w:rsid w:val="00A16D4B"/>
    <w:rsid w:val="00A1707E"/>
    <w:rsid w:val="00A17925"/>
    <w:rsid w:val="00A17B32"/>
    <w:rsid w:val="00A20943"/>
    <w:rsid w:val="00A20AA0"/>
    <w:rsid w:val="00A20BE9"/>
    <w:rsid w:val="00A21161"/>
    <w:rsid w:val="00A2134D"/>
    <w:rsid w:val="00A21491"/>
    <w:rsid w:val="00A2199A"/>
    <w:rsid w:val="00A21ADF"/>
    <w:rsid w:val="00A21E7A"/>
    <w:rsid w:val="00A22145"/>
    <w:rsid w:val="00A22263"/>
    <w:rsid w:val="00A22597"/>
    <w:rsid w:val="00A22852"/>
    <w:rsid w:val="00A22E1F"/>
    <w:rsid w:val="00A232F5"/>
    <w:rsid w:val="00A23487"/>
    <w:rsid w:val="00A24051"/>
    <w:rsid w:val="00A24238"/>
    <w:rsid w:val="00A24692"/>
    <w:rsid w:val="00A24AB3"/>
    <w:rsid w:val="00A253DE"/>
    <w:rsid w:val="00A2557B"/>
    <w:rsid w:val="00A25776"/>
    <w:rsid w:val="00A25FA8"/>
    <w:rsid w:val="00A261DF"/>
    <w:rsid w:val="00A262EE"/>
    <w:rsid w:val="00A269FA"/>
    <w:rsid w:val="00A27591"/>
    <w:rsid w:val="00A277C6"/>
    <w:rsid w:val="00A2797E"/>
    <w:rsid w:val="00A30CFC"/>
    <w:rsid w:val="00A30D2D"/>
    <w:rsid w:val="00A31692"/>
    <w:rsid w:val="00A3196D"/>
    <w:rsid w:val="00A31CCE"/>
    <w:rsid w:val="00A32534"/>
    <w:rsid w:val="00A3265D"/>
    <w:rsid w:val="00A327BE"/>
    <w:rsid w:val="00A3286C"/>
    <w:rsid w:val="00A331ED"/>
    <w:rsid w:val="00A33337"/>
    <w:rsid w:val="00A33828"/>
    <w:rsid w:val="00A33CD1"/>
    <w:rsid w:val="00A33CE6"/>
    <w:rsid w:val="00A340DB"/>
    <w:rsid w:val="00A346BE"/>
    <w:rsid w:val="00A349F7"/>
    <w:rsid w:val="00A34AAC"/>
    <w:rsid w:val="00A34CAE"/>
    <w:rsid w:val="00A3577F"/>
    <w:rsid w:val="00A359D8"/>
    <w:rsid w:val="00A35A79"/>
    <w:rsid w:val="00A35BCE"/>
    <w:rsid w:val="00A35DB8"/>
    <w:rsid w:val="00A37230"/>
    <w:rsid w:val="00A3752B"/>
    <w:rsid w:val="00A37632"/>
    <w:rsid w:val="00A40647"/>
    <w:rsid w:val="00A40792"/>
    <w:rsid w:val="00A408F4"/>
    <w:rsid w:val="00A418C9"/>
    <w:rsid w:val="00A41A18"/>
    <w:rsid w:val="00A42645"/>
    <w:rsid w:val="00A42717"/>
    <w:rsid w:val="00A42947"/>
    <w:rsid w:val="00A42A19"/>
    <w:rsid w:val="00A42DF1"/>
    <w:rsid w:val="00A4341A"/>
    <w:rsid w:val="00A4345A"/>
    <w:rsid w:val="00A43BA1"/>
    <w:rsid w:val="00A43EEA"/>
    <w:rsid w:val="00A43F55"/>
    <w:rsid w:val="00A44605"/>
    <w:rsid w:val="00A44AEA"/>
    <w:rsid w:val="00A4519C"/>
    <w:rsid w:val="00A453F4"/>
    <w:rsid w:val="00A458A8"/>
    <w:rsid w:val="00A45E25"/>
    <w:rsid w:val="00A4617F"/>
    <w:rsid w:val="00A461C6"/>
    <w:rsid w:val="00A462F2"/>
    <w:rsid w:val="00A466F0"/>
    <w:rsid w:val="00A479E3"/>
    <w:rsid w:val="00A47E91"/>
    <w:rsid w:val="00A5003C"/>
    <w:rsid w:val="00A50248"/>
    <w:rsid w:val="00A50550"/>
    <w:rsid w:val="00A5060D"/>
    <w:rsid w:val="00A506D5"/>
    <w:rsid w:val="00A50E13"/>
    <w:rsid w:val="00A50F2D"/>
    <w:rsid w:val="00A510D5"/>
    <w:rsid w:val="00A5157A"/>
    <w:rsid w:val="00A51C76"/>
    <w:rsid w:val="00A52506"/>
    <w:rsid w:val="00A52663"/>
    <w:rsid w:val="00A5285B"/>
    <w:rsid w:val="00A52AA5"/>
    <w:rsid w:val="00A53D1A"/>
    <w:rsid w:val="00A53FD1"/>
    <w:rsid w:val="00A549F7"/>
    <w:rsid w:val="00A54BEB"/>
    <w:rsid w:val="00A55661"/>
    <w:rsid w:val="00A55E26"/>
    <w:rsid w:val="00A560AD"/>
    <w:rsid w:val="00A56109"/>
    <w:rsid w:val="00A561AF"/>
    <w:rsid w:val="00A5712B"/>
    <w:rsid w:val="00A578CE"/>
    <w:rsid w:val="00A57FF3"/>
    <w:rsid w:val="00A60066"/>
    <w:rsid w:val="00A600A8"/>
    <w:rsid w:val="00A60832"/>
    <w:rsid w:val="00A60A05"/>
    <w:rsid w:val="00A60F1D"/>
    <w:rsid w:val="00A613C1"/>
    <w:rsid w:val="00A61EC3"/>
    <w:rsid w:val="00A6245E"/>
    <w:rsid w:val="00A6283D"/>
    <w:rsid w:val="00A62AB6"/>
    <w:rsid w:val="00A63376"/>
    <w:rsid w:val="00A63916"/>
    <w:rsid w:val="00A63D57"/>
    <w:rsid w:val="00A63EC5"/>
    <w:rsid w:val="00A6454B"/>
    <w:rsid w:val="00A647E8"/>
    <w:rsid w:val="00A64BB8"/>
    <w:rsid w:val="00A6592C"/>
    <w:rsid w:val="00A65BAB"/>
    <w:rsid w:val="00A66018"/>
    <w:rsid w:val="00A662CF"/>
    <w:rsid w:val="00A66463"/>
    <w:rsid w:val="00A66868"/>
    <w:rsid w:val="00A66AA7"/>
    <w:rsid w:val="00A66DEE"/>
    <w:rsid w:val="00A670FB"/>
    <w:rsid w:val="00A671BB"/>
    <w:rsid w:val="00A67392"/>
    <w:rsid w:val="00A708D8"/>
    <w:rsid w:val="00A71468"/>
    <w:rsid w:val="00A728A6"/>
    <w:rsid w:val="00A72E1E"/>
    <w:rsid w:val="00A73D79"/>
    <w:rsid w:val="00A73E4B"/>
    <w:rsid w:val="00A73E72"/>
    <w:rsid w:val="00A73F6F"/>
    <w:rsid w:val="00A7401C"/>
    <w:rsid w:val="00A74216"/>
    <w:rsid w:val="00A74292"/>
    <w:rsid w:val="00A74567"/>
    <w:rsid w:val="00A75056"/>
    <w:rsid w:val="00A751EF"/>
    <w:rsid w:val="00A759B4"/>
    <w:rsid w:val="00A76218"/>
    <w:rsid w:val="00A7678A"/>
    <w:rsid w:val="00A7688B"/>
    <w:rsid w:val="00A7696A"/>
    <w:rsid w:val="00A775E3"/>
    <w:rsid w:val="00A77890"/>
    <w:rsid w:val="00A80222"/>
    <w:rsid w:val="00A8031C"/>
    <w:rsid w:val="00A803A1"/>
    <w:rsid w:val="00A805C9"/>
    <w:rsid w:val="00A8079F"/>
    <w:rsid w:val="00A80A20"/>
    <w:rsid w:val="00A80B5B"/>
    <w:rsid w:val="00A80CF6"/>
    <w:rsid w:val="00A80D2D"/>
    <w:rsid w:val="00A80F62"/>
    <w:rsid w:val="00A820B9"/>
    <w:rsid w:val="00A821E4"/>
    <w:rsid w:val="00A825F9"/>
    <w:rsid w:val="00A82A3E"/>
    <w:rsid w:val="00A82B41"/>
    <w:rsid w:val="00A82B64"/>
    <w:rsid w:val="00A82D2E"/>
    <w:rsid w:val="00A83617"/>
    <w:rsid w:val="00A8372C"/>
    <w:rsid w:val="00A84251"/>
    <w:rsid w:val="00A847AD"/>
    <w:rsid w:val="00A84A3A"/>
    <w:rsid w:val="00A84C1E"/>
    <w:rsid w:val="00A84C4C"/>
    <w:rsid w:val="00A84E34"/>
    <w:rsid w:val="00A8550D"/>
    <w:rsid w:val="00A85A9E"/>
    <w:rsid w:val="00A85ACC"/>
    <w:rsid w:val="00A85C0A"/>
    <w:rsid w:val="00A86036"/>
    <w:rsid w:val="00A8608B"/>
    <w:rsid w:val="00A86483"/>
    <w:rsid w:val="00A865BA"/>
    <w:rsid w:val="00A874C7"/>
    <w:rsid w:val="00A87CCD"/>
    <w:rsid w:val="00A909FC"/>
    <w:rsid w:val="00A90ABF"/>
    <w:rsid w:val="00A90B49"/>
    <w:rsid w:val="00A91135"/>
    <w:rsid w:val="00A921B3"/>
    <w:rsid w:val="00A92A26"/>
    <w:rsid w:val="00A93465"/>
    <w:rsid w:val="00A93FB9"/>
    <w:rsid w:val="00A95117"/>
    <w:rsid w:val="00A9511B"/>
    <w:rsid w:val="00A954E5"/>
    <w:rsid w:val="00A95657"/>
    <w:rsid w:val="00A957B0"/>
    <w:rsid w:val="00A95EAA"/>
    <w:rsid w:val="00A96CD3"/>
    <w:rsid w:val="00A96D86"/>
    <w:rsid w:val="00A96FE8"/>
    <w:rsid w:val="00A972DD"/>
    <w:rsid w:val="00A97608"/>
    <w:rsid w:val="00A978DF"/>
    <w:rsid w:val="00A97DF0"/>
    <w:rsid w:val="00AA074B"/>
    <w:rsid w:val="00AA0CF9"/>
    <w:rsid w:val="00AA0F92"/>
    <w:rsid w:val="00AA1005"/>
    <w:rsid w:val="00AA1397"/>
    <w:rsid w:val="00AA13C8"/>
    <w:rsid w:val="00AA18BA"/>
    <w:rsid w:val="00AA37B5"/>
    <w:rsid w:val="00AA3BD8"/>
    <w:rsid w:val="00AA3D24"/>
    <w:rsid w:val="00AA4203"/>
    <w:rsid w:val="00AA4CCA"/>
    <w:rsid w:val="00AA4F0E"/>
    <w:rsid w:val="00AA51E5"/>
    <w:rsid w:val="00AA52DA"/>
    <w:rsid w:val="00AA5FEC"/>
    <w:rsid w:val="00AA6115"/>
    <w:rsid w:val="00AA64EF"/>
    <w:rsid w:val="00AA65C9"/>
    <w:rsid w:val="00AA6A63"/>
    <w:rsid w:val="00AA6F41"/>
    <w:rsid w:val="00AA702E"/>
    <w:rsid w:val="00AA79EB"/>
    <w:rsid w:val="00AA7D7C"/>
    <w:rsid w:val="00AB019C"/>
    <w:rsid w:val="00AB0BA8"/>
    <w:rsid w:val="00AB0BE1"/>
    <w:rsid w:val="00AB0F42"/>
    <w:rsid w:val="00AB10C0"/>
    <w:rsid w:val="00AB142A"/>
    <w:rsid w:val="00AB1496"/>
    <w:rsid w:val="00AB14D2"/>
    <w:rsid w:val="00AB17DC"/>
    <w:rsid w:val="00AB1962"/>
    <w:rsid w:val="00AB1A64"/>
    <w:rsid w:val="00AB1A76"/>
    <w:rsid w:val="00AB1F61"/>
    <w:rsid w:val="00AB2B35"/>
    <w:rsid w:val="00AB35C0"/>
    <w:rsid w:val="00AB3ADC"/>
    <w:rsid w:val="00AB3ADF"/>
    <w:rsid w:val="00AB41F4"/>
    <w:rsid w:val="00AB4346"/>
    <w:rsid w:val="00AB4B3E"/>
    <w:rsid w:val="00AB571F"/>
    <w:rsid w:val="00AB5BD4"/>
    <w:rsid w:val="00AB62D1"/>
    <w:rsid w:val="00AB66A4"/>
    <w:rsid w:val="00AB6745"/>
    <w:rsid w:val="00AB6A6B"/>
    <w:rsid w:val="00AB788D"/>
    <w:rsid w:val="00AB7CE9"/>
    <w:rsid w:val="00AC02FF"/>
    <w:rsid w:val="00AC0458"/>
    <w:rsid w:val="00AC14F2"/>
    <w:rsid w:val="00AC1B24"/>
    <w:rsid w:val="00AC1FCF"/>
    <w:rsid w:val="00AC26B1"/>
    <w:rsid w:val="00AC33B7"/>
    <w:rsid w:val="00AC3678"/>
    <w:rsid w:val="00AC373E"/>
    <w:rsid w:val="00AC3758"/>
    <w:rsid w:val="00AC3C2C"/>
    <w:rsid w:val="00AC3C5C"/>
    <w:rsid w:val="00AC4C49"/>
    <w:rsid w:val="00AC5B95"/>
    <w:rsid w:val="00AC6B32"/>
    <w:rsid w:val="00AC6C67"/>
    <w:rsid w:val="00AC6FFF"/>
    <w:rsid w:val="00AC717C"/>
    <w:rsid w:val="00AC7569"/>
    <w:rsid w:val="00AC7652"/>
    <w:rsid w:val="00AC7B02"/>
    <w:rsid w:val="00AC7EE4"/>
    <w:rsid w:val="00AD014C"/>
    <w:rsid w:val="00AD0697"/>
    <w:rsid w:val="00AD0B19"/>
    <w:rsid w:val="00AD1F25"/>
    <w:rsid w:val="00AD2996"/>
    <w:rsid w:val="00AD2CCA"/>
    <w:rsid w:val="00AD2D22"/>
    <w:rsid w:val="00AD4236"/>
    <w:rsid w:val="00AD44AA"/>
    <w:rsid w:val="00AD5009"/>
    <w:rsid w:val="00AD524C"/>
    <w:rsid w:val="00AD5303"/>
    <w:rsid w:val="00AD5614"/>
    <w:rsid w:val="00AD6186"/>
    <w:rsid w:val="00AD644C"/>
    <w:rsid w:val="00AD676A"/>
    <w:rsid w:val="00AD6F3D"/>
    <w:rsid w:val="00AD6F93"/>
    <w:rsid w:val="00AD7260"/>
    <w:rsid w:val="00AD73D8"/>
    <w:rsid w:val="00AE04FF"/>
    <w:rsid w:val="00AE0B35"/>
    <w:rsid w:val="00AE0F78"/>
    <w:rsid w:val="00AE18EB"/>
    <w:rsid w:val="00AE1951"/>
    <w:rsid w:val="00AE1A2D"/>
    <w:rsid w:val="00AE1BC2"/>
    <w:rsid w:val="00AE248A"/>
    <w:rsid w:val="00AE26E4"/>
    <w:rsid w:val="00AE3561"/>
    <w:rsid w:val="00AE3780"/>
    <w:rsid w:val="00AE3A11"/>
    <w:rsid w:val="00AE40BD"/>
    <w:rsid w:val="00AE411E"/>
    <w:rsid w:val="00AE4386"/>
    <w:rsid w:val="00AE4A94"/>
    <w:rsid w:val="00AE4E66"/>
    <w:rsid w:val="00AE59CE"/>
    <w:rsid w:val="00AE6245"/>
    <w:rsid w:val="00AE6428"/>
    <w:rsid w:val="00AE67B9"/>
    <w:rsid w:val="00AE6CCD"/>
    <w:rsid w:val="00AE70F8"/>
    <w:rsid w:val="00AE727E"/>
    <w:rsid w:val="00AE796F"/>
    <w:rsid w:val="00AE7A95"/>
    <w:rsid w:val="00AE7FA3"/>
    <w:rsid w:val="00AE7FD8"/>
    <w:rsid w:val="00AF01BA"/>
    <w:rsid w:val="00AF064A"/>
    <w:rsid w:val="00AF083D"/>
    <w:rsid w:val="00AF0D41"/>
    <w:rsid w:val="00AF12BB"/>
    <w:rsid w:val="00AF13F1"/>
    <w:rsid w:val="00AF227F"/>
    <w:rsid w:val="00AF22DF"/>
    <w:rsid w:val="00AF250B"/>
    <w:rsid w:val="00AF2B75"/>
    <w:rsid w:val="00AF3162"/>
    <w:rsid w:val="00AF3B9D"/>
    <w:rsid w:val="00AF41A6"/>
    <w:rsid w:val="00AF43A0"/>
    <w:rsid w:val="00AF4A43"/>
    <w:rsid w:val="00AF5B6C"/>
    <w:rsid w:val="00AF6329"/>
    <w:rsid w:val="00AF636F"/>
    <w:rsid w:val="00AF6507"/>
    <w:rsid w:val="00AF66B1"/>
    <w:rsid w:val="00AF6C85"/>
    <w:rsid w:val="00AF71A0"/>
    <w:rsid w:val="00B00305"/>
    <w:rsid w:val="00B004E1"/>
    <w:rsid w:val="00B004F9"/>
    <w:rsid w:val="00B00A7B"/>
    <w:rsid w:val="00B00EA5"/>
    <w:rsid w:val="00B0104A"/>
    <w:rsid w:val="00B011DC"/>
    <w:rsid w:val="00B02089"/>
    <w:rsid w:val="00B020AE"/>
    <w:rsid w:val="00B0226F"/>
    <w:rsid w:val="00B0261E"/>
    <w:rsid w:val="00B03A4B"/>
    <w:rsid w:val="00B043B1"/>
    <w:rsid w:val="00B04A24"/>
    <w:rsid w:val="00B056F4"/>
    <w:rsid w:val="00B05B7C"/>
    <w:rsid w:val="00B05D5B"/>
    <w:rsid w:val="00B05DA7"/>
    <w:rsid w:val="00B06DFF"/>
    <w:rsid w:val="00B06F8F"/>
    <w:rsid w:val="00B075C9"/>
    <w:rsid w:val="00B075E0"/>
    <w:rsid w:val="00B07654"/>
    <w:rsid w:val="00B0774A"/>
    <w:rsid w:val="00B077C6"/>
    <w:rsid w:val="00B07BE8"/>
    <w:rsid w:val="00B07E10"/>
    <w:rsid w:val="00B10278"/>
    <w:rsid w:val="00B10A4B"/>
    <w:rsid w:val="00B10FC9"/>
    <w:rsid w:val="00B116F2"/>
    <w:rsid w:val="00B1232B"/>
    <w:rsid w:val="00B1239E"/>
    <w:rsid w:val="00B125A4"/>
    <w:rsid w:val="00B13B26"/>
    <w:rsid w:val="00B13CC2"/>
    <w:rsid w:val="00B149EB"/>
    <w:rsid w:val="00B14CC5"/>
    <w:rsid w:val="00B15683"/>
    <w:rsid w:val="00B157C5"/>
    <w:rsid w:val="00B15C27"/>
    <w:rsid w:val="00B16142"/>
    <w:rsid w:val="00B16ACA"/>
    <w:rsid w:val="00B1747D"/>
    <w:rsid w:val="00B174F4"/>
    <w:rsid w:val="00B17B41"/>
    <w:rsid w:val="00B17D82"/>
    <w:rsid w:val="00B17E71"/>
    <w:rsid w:val="00B20212"/>
    <w:rsid w:val="00B20A68"/>
    <w:rsid w:val="00B20C32"/>
    <w:rsid w:val="00B21622"/>
    <w:rsid w:val="00B22496"/>
    <w:rsid w:val="00B2250E"/>
    <w:rsid w:val="00B22E0E"/>
    <w:rsid w:val="00B2358D"/>
    <w:rsid w:val="00B23ED8"/>
    <w:rsid w:val="00B24416"/>
    <w:rsid w:val="00B24891"/>
    <w:rsid w:val="00B24B1C"/>
    <w:rsid w:val="00B256EB"/>
    <w:rsid w:val="00B256F0"/>
    <w:rsid w:val="00B25FDC"/>
    <w:rsid w:val="00B2643A"/>
    <w:rsid w:val="00B267E1"/>
    <w:rsid w:val="00B26C2E"/>
    <w:rsid w:val="00B271A9"/>
    <w:rsid w:val="00B27493"/>
    <w:rsid w:val="00B27497"/>
    <w:rsid w:val="00B277C7"/>
    <w:rsid w:val="00B27A5C"/>
    <w:rsid w:val="00B27BE2"/>
    <w:rsid w:val="00B27DF6"/>
    <w:rsid w:val="00B27EB0"/>
    <w:rsid w:val="00B27F50"/>
    <w:rsid w:val="00B30255"/>
    <w:rsid w:val="00B30706"/>
    <w:rsid w:val="00B30FBC"/>
    <w:rsid w:val="00B31C80"/>
    <w:rsid w:val="00B31CD1"/>
    <w:rsid w:val="00B31F98"/>
    <w:rsid w:val="00B330C5"/>
    <w:rsid w:val="00B3405C"/>
    <w:rsid w:val="00B34329"/>
    <w:rsid w:val="00B3454F"/>
    <w:rsid w:val="00B34E64"/>
    <w:rsid w:val="00B35A61"/>
    <w:rsid w:val="00B3662B"/>
    <w:rsid w:val="00B3662F"/>
    <w:rsid w:val="00B36A7C"/>
    <w:rsid w:val="00B40164"/>
    <w:rsid w:val="00B40B1B"/>
    <w:rsid w:val="00B4135C"/>
    <w:rsid w:val="00B4167B"/>
    <w:rsid w:val="00B423DD"/>
    <w:rsid w:val="00B42432"/>
    <w:rsid w:val="00B42C6C"/>
    <w:rsid w:val="00B4360D"/>
    <w:rsid w:val="00B436EA"/>
    <w:rsid w:val="00B43936"/>
    <w:rsid w:val="00B43B4F"/>
    <w:rsid w:val="00B4466A"/>
    <w:rsid w:val="00B448D0"/>
    <w:rsid w:val="00B44D28"/>
    <w:rsid w:val="00B4525B"/>
    <w:rsid w:val="00B45DB2"/>
    <w:rsid w:val="00B45E6B"/>
    <w:rsid w:val="00B46556"/>
    <w:rsid w:val="00B46595"/>
    <w:rsid w:val="00B476B9"/>
    <w:rsid w:val="00B476F1"/>
    <w:rsid w:val="00B47B35"/>
    <w:rsid w:val="00B50125"/>
    <w:rsid w:val="00B502E3"/>
    <w:rsid w:val="00B50F7E"/>
    <w:rsid w:val="00B5114E"/>
    <w:rsid w:val="00B5130F"/>
    <w:rsid w:val="00B537A5"/>
    <w:rsid w:val="00B538EF"/>
    <w:rsid w:val="00B53B50"/>
    <w:rsid w:val="00B53C42"/>
    <w:rsid w:val="00B53D47"/>
    <w:rsid w:val="00B53E12"/>
    <w:rsid w:val="00B545EF"/>
    <w:rsid w:val="00B54C63"/>
    <w:rsid w:val="00B55315"/>
    <w:rsid w:val="00B555BD"/>
    <w:rsid w:val="00B5567F"/>
    <w:rsid w:val="00B557E4"/>
    <w:rsid w:val="00B558AF"/>
    <w:rsid w:val="00B558C7"/>
    <w:rsid w:val="00B55900"/>
    <w:rsid w:val="00B56627"/>
    <w:rsid w:val="00B56D4A"/>
    <w:rsid w:val="00B56D99"/>
    <w:rsid w:val="00B56E6C"/>
    <w:rsid w:val="00B57606"/>
    <w:rsid w:val="00B578F0"/>
    <w:rsid w:val="00B57A2C"/>
    <w:rsid w:val="00B57DC6"/>
    <w:rsid w:val="00B6088D"/>
    <w:rsid w:val="00B60AFB"/>
    <w:rsid w:val="00B60E73"/>
    <w:rsid w:val="00B610A2"/>
    <w:rsid w:val="00B619C5"/>
    <w:rsid w:val="00B6264B"/>
    <w:rsid w:val="00B63138"/>
    <w:rsid w:val="00B64371"/>
    <w:rsid w:val="00B64404"/>
    <w:rsid w:val="00B64895"/>
    <w:rsid w:val="00B65124"/>
    <w:rsid w:val="00B6608A"/>
    <w:rsid w:val="00B66E33"/>
    <w:rsid w:val="00B67A95"/>
    <w:rsid w:val="00B67C6C"/>
    <w:rsid w:val="00B7132E"/>
    <w:rsid w:val="00B71D17"/>
    <w:rsid w:val="00B71E07"/>
    <w:rsid w:val="00B71E1B"/>
    <w:rsid w:val="00B71E3E"/>
    <w:rsid w:val="00B71F56"/>
    <w:rsid w:val="00B73331"/>
    <w:rsid w:val="00B735C8"/>
    <w:rsid w:val="00B73BF0"/>
    <w:rsid w:val="00B749CD"/>
    <w:rsid w:val="00B7602C"/>
    <w:rsid w:val="00B76701"/>
    <w:rsid w:val="00B76761"/>
    <w:rsid w:val="00B77DD2"/>
    <w:rsid w:val="00B77ECD"/>
    <w:rsid w:val="00B800AD"/>
    <w:rsid w:val="00B81122"/>
    <w:rsid w:val="00B81969"/>
    <w:rsid w:val="00B81D9D"/>
    <w:rsid w:val="00B81DA1"/>
    <w:rsid w:val="00B82217"/>
    <w:rsid w:val="00B82C22"/>
    <w:rsid w:val="00B83259"/>
    <w:rsid w:val="00B83510"/>
    <w:rsid w:val="00B83625"/>
    <w:rsid w:val="00B842F0"/>
    <w:rsid w:val="00B84EE0"/>
    <w:rsid w:val="00B8500E"/>
    <w:rsid w:val="00B85960"/>
    <w:rsid w:val="00B85A42"/>
    <w:rsid w:val="00B86500"/>
    <w:rsid w:val="00B8660D"/>
    <w:rsid w:val="00B86BFE"/>
    <w:rsid w:val="00B9014D"/>
    <w:rsid w:val="00B90242"/>
    <w:rsid w:val="00B90A6F"/>
    <w:rsid w:val="00B90D17"/>
    <w:rsid w:val="00B90E7D"/>
    <w:rsid w:val="00B90EB8"/>
    <w:rsid w:val="00B91C1A"/>
    <w:rsid w:val="00B923F1"/>
    <w:rsid w:val="00B9253D"/>
    <w:rsid w:val="00B93119"/>
    <w:rsid w:val="00B935CC"/>
    <w:rsid w:val="00B93B61"/>
    <w:rsid w:val="00B93B96"/>
    <w:rsid w:val="00B93EC1"/>
    <w:rsid w:val="00B94095"/>
    <w:rsid w:val="00B942CB"/>
    <w:rsid w:val="00B94779"/>
    <w:rsid w:val="00B9489B"/>
    <w:rsid w:val="00B94BB9"/>
    <w:rsid w:val="00B94CEE"/>
    <w:rsid w:val="00B95589"/>
    <w:rsid w:val="00B957CA"/>
    <w:rsid w:val="00B95B91"/>
    <w:rsid w:val="00B95C82"/>
    <w:rsid w:val="00B95F33"/>
    <w:rsid w:val="00B9673B"/>
    <w:rsid w:val="00B96ACA"/>
    <w:rsid w:val="00B96D34"/>
    <w:rsid w:val="00B96E99"/>
    <w:rsid w:val="00B97662"/>
    <w:rsid w:val="00B97BED"/>
    <w:rsid w:val="00B97EDE"/>
    <w:rsid w:val="00B97EF0"/>
    <w:rsid w:val="00B97F20"/>
    <w:rsid w:val="00BA0298"/>
    <w:rsid w:val="00BA072E"/>
    <w:rsid w:val="00BA098E"/>
    <w:rsid w:val="00BA0A00"/>
    <w:rsid w:val="00BA0B0C"/>
    <w:rsid w:val="00BA1648"/>
    <w:rsid w:val="00BA1786"/>
    <w:rsid w:val="00BA1C11"/>
    <w:rsid w:val="00BA1C87"/>
    <w:rsid w:val="00BA2267"/>
    <w:rsid w:val="00BA27A3"/>
    <w:rsid w:val="00BA2BB6"/>
    <w:rsid w:val="00BA35F1"/>
    <w:rsid w:val="00BA380A"/>
    <w:rsid w:val="00BA3D0C"/>
    <w:rsid w:val="00BA3D83"/>
    <w:rsid w:val="00BA45C3"/>
    <w:rsid w:val="00BA465E"/>
    <w:rsid w:val="00BA4914"/>
    <w:rsid w:val="00BA533F"/>
    <w:rsid w:val="00BA5A3A"/>
    <w:rsid w:val="00BA5F22"/>
    <w:rsid w:val="00BA65B3"/>
    <w:rsid w:val="00BA6A98"/>
    <w:rsid w:val="00BA77A1"/>
    <w:rsid w:val="00BA7945"/>
    <w:rsid w:val="00BA7C3D"/>
    <w:rsid w:val="00BA7F30"/>
    <w:rsid w:val="00BB0449"/>
    <w:rsid w:val="00BB1978"/>
    <w:rsid w:val="00BB1C50"/>
    <w:rsid w:val="00BB2632"/>
    <w:rsid w:val="00BB2FCA"/>
    <w:rsid w:val="00BB31A4"/>
    <w:rsid w:val="00BB370F"/>
    <w:rsid w:val="00BB4484"/>
    <w:rsid w:val="00BB4581"/>
    <w:rsid w:val="00BB460C"/>
    <w:rsid w:val="00BB486B"/>
    <w:rsid w:val="00BB4C4F"/>
    <w:rsid w:val="00BB53D0"/>
    <w:rsid w:val="00BB56D7"/>
    <w:rsid w:val="00BB5FC0"/>
    <w:rsid w:val="00BB6021"/>
    <w:rsid w:val="00BB6639"/>
    <w:rsid w:val="00BB66ED"/>
    <w:rsid w:val="00BB67A4"/>
    <w:rsid w:val="00BB6E88"/>
    <w:rsid w:val="00BB6FC1"/>
    <w:rsid w:val="00BB7466"/>
    <w:rsid w:val="00BB7B4A"/>
    <w:rsid w:val="00BB7B5A"/>
    <w:rsid w:val="00BC04A1"/>
    <w:rsid w:val="00BC07DC"/>
    <w:rsid w:val="00BC0982"/>
    <w:rsid w:val="00BC0A8F"/>
    <w:rsid w:val="00BC0CFF"/>
    <w:rsid w:val="00BC1488"/>
    <w:rsid w:val="00BC1589"/>
    <w:rsid w:val="00BC16C6"/>
    <w:rsid w:val="00BC173C"/>
    <w:rsid w:val="00BC198C"/>
    <w:rsid w:val="00BC1B16"/>
    <w:rsid w:val="00BC1B6F"/>
    <w:rsid w:val="00BC1EFA"/>
    <w:rsid w:val="00BC1F6B"/>
    <w:rsid w:val="00BC214E"/>
    <w:rsid w:val="00BC2AF8"/>
    <w:rsid w:val="00BC2DFF"/>
    <w:rsid w:val="00BC324B"/>
    <w:rsid w:val="00BC33A0"/>
    <w:rsid w:val="00BC34FE"/>
    <w:rsid w:val="00BC3A5A"/>
    <w:rsid w:val="00BC3E4D"/>
    <w:rsid w:val="00BC4AC0"/>
    <w:rsid w:val="00BC4F02"/>
    <w:rsid w:val="00BC4F1A"/>
    <w:rsid w:val="00BC59F0"/>
    <w:rsid w:val="00BC5AC4"/>
    <w:rsid w:val="00BC5C4E"/>
    <w:rsid w:val="00BC6C40"/>
    <w:rsid w:val="00BC725A"/>
    <w:rsid w:val="00BD0548"/>
    <w:rsid w:val="00BD0B05"/>
    <w:rsid w:val="00BD1020"/>
    <w:rsid w:val="00BD10C1"/>
    <w:rsid w:val="00BD174E"/>
    <w:rsid w:val="00BD1855"/>
    <w:rsid w:val="00BD2300"/>
    <w:rsid w:val="00BD23C7"/>
    <w:rsid w:val="00BD23F9"/>
    <w:rsid w:val="00BD27E4"/>
    <w:rsid w:val="00BD2A20"/>
    <w:rsid w:val="00BD2E10"/>
    <w:rsid w:val="00BD33E3"/>
    <w:rsid w:val="00BD397E"/>
    <w:rsid w:val="00BD3A44"/>
    <w:rsid w:val="00BD3B06"/>
    <w:rsid w:val="00BD3D1E"/>
    <w:rsid w:val="00BD44DD"/>
    <w:rsid w:val="00BD45CC"/>
    <w:rsid w:val="00BD46FB"/>
    <w:rsid w:val="00BD523D"/>
    <w:rsid w:val="00BD52BE"/>
    <w:rsid w:val="00BD61C9"/>
    <w:rsid w:val="00BD61FF"/>
    <w:rsid w:val="00BD69AB"/>
    <w:rsid w:val="00BD7292"/>
    <w:rsid w:val="00BD75A2"/>
    <w:rsid w:val="00BD7745"/>
    <w:rsid w:val="00BD7791"/>
    <w:rsid w:val="00BD7D86"/>
    <w:rsid w:val="00BD7F41"/>
    <w:rsid w:val="00BE0428"/>
    <w:rsid w:val="00BE1041"/>
    <w:rsid w:val="00BE23B6"/>
    <w:rsid w:val="00BE24C2"/>
    <w:rsid w:val="00BE2936"/>
    <w:rsid w:val="00BE3B25"/>
    <w:rsid w:val="00BE3C69"/>
    <w:rsid w:val="00BE4445"/>
    <w:rsid w:val="00BE499C"/>
    <w:rsid w:val="00BE56CC"/>
    <w:rsid w:val="00BE5849"/>
    <w:rsid w:val="00BE5939"/>
    <w:rsid w:val="00BE7359"/>
    <w:rsid w:val="00BE7E68"/>
    <w:rsid w:val="00BF0853"/>
    <w:rsid w:val="00BF10FF"/>
    <w:rsid w:val="00BF1698"/>
    <w:rsid w:val="00BF1EE0"/>
    <w:rsid w:val="00BF33E1"/>
    <w:rsid w:val="00BF3516"/>
    <w:rsid w:val="00BF392C"/>
    <w:rsid w:val="00BF3E8F"/>
    <w:rsid w:val="00BF4696"/>
    <w:rsid w:val="00BF5D9C"/>
    <w:rsid w:val="00BF5DF9"/>
    <w:rsid w:val="00BF608C"/>
    <w:rsid w:val="00BF6576"/>
    <w:rsid w:val="00BF6C00"/>
    <w:rsid w:val="00BF7008"/>
    <w:rsid w:val="00BF7BF1"/>
    <w:rsid w:val="00BF7C7D"/>
    <w:rsid w:val="00C0018B"/>
    <w:rsid w:val="00C00AFA"/>
    <w:rsid w:val="00C01AD3"/>
    <w:rsid w:val="00C02234"/>
    <w:rsid w:val="00C03277"/>
    <w:rsid w:val="00C033AE"/>
    <w:rsid w:val="00C03E59"/>
    <w:rsid w:val="00C03FA3"/>
    <w:rsid w:val="00C043F5"/>
    <w:rsid w:val="00C04665"/>
    <w:rsid w:val="00C04956"/>
    <w:rsid w:val="00C04AF2"/>
    <w:rsid w:val="00C05785"/>
    <w:rsid w:val="00C0594C"/>
    <w:rsid w:val="00C05A71"/>
    <w:rsid w:val="00C06579"/>
    <w:rsid w:val="00C06653"/>
    <w:rsid w:val="00C06745"/>
    <w:rsid w:val="00C069F4"/>
    <w:rsid w:val="00C06E3E"/>
    <w:rsid w:val="00C0736C"/>
    <w:rsid w:val="00C07AAF"/>
    <w:rsid w:val="00C07CF6"/>
    <w:rsid w:val="00C07F58"/>
    <w:rsid w:val="00C109CB"/>
    <w:rsid w:val="00C11181"/>
    <w:rsid w:val="00C119FB"/>
    <w:rsid w:val="00C12370"/>
    <w:rsid w:val="00C13773"/>
    <w:rsid w:val="00C1393B"/>
    <w:rsid w:val="00C1395A"/>
    <w:rsid w:val="00C13DA8"/>
    <w:rsid w:val="00C15241"/>
    <w:rsid w:val="00C155A3"/>
    <w:rsid w:val="00C1565A"/>
    <w:rsid w:val="00C15773"/>
    <w:rsid w:val="00C159B9"/>
    <w:rsid w:val="00C15B40"/>
    <w:rsid w:val="00C15C29"/>
    <w:rsid w:val="00C165CE"/>
    <w:rsid w:val="00C16BFE"/>
    <w:rsid w:val="00C172BB"/>
    <w:rsid w:val="00C173F2"/>
    <w:rsid w:val="00C17658"/>
    <w:rsid w:val="00C20218"/>
    <w:rsid w:val="00C20DA4"/>
    <w:rsid w:val="00C21321"/>
    <w:rsid w:val="00C219AB"/>
    <w:rsid w:val="00C22066"/>
    <w:rsid w:val="00C22231"/>
    <w:rsid w:val="00C22619"/>
    <w:rsid w:val="00C22B7E"/>
    <w:rsid w:val="00C22D30"/>
    <w:rsid w:val="00C22E34"/>
    <w:rsid w:val="00C22EBD"/>
    <w:rsid w:val="00C22F11"/>
    <w:rsid w:val="00C237BB"/>
    <w:rsid w:val="00C23830"/>
    <w:rsid w:val="00C23A65"/>
    <w:rsid w:val="00C23BF5"/>
    <w:rsid w:val="00C23D4C"/>
    <w:rsid w:val="00C24124"/>
    <w:rsid w:val="00C242A8"/>
    <w:rsid w:val="00C244F0"/>
    <w:rsid w:val="00C24CDF"/>
    <w:rsid w:val="00C250D3"/>
    <w:rsid w:val="00C25110"/>
    <w:rsid w:val="00C25901"/>
    <w:rsid w:val="00C26132"/>
    <w:rsid w:val="00C26B1C"/>
    <w:rsid w:val="00C2725D"/>
    <w:rsid w:val="00C279E9"/>
    <w:rsid w:val="00C301F9"/>
    <w:rsid w:val="00C30F96"/>
    <w:rsid w:val="00C31322"/>
    <w:rsid w:val="00C316AF"/>
    <w:rsid w:val="00C3184A"/>
    <w:rsid w:val="00C31A6D"/>
    <w:rsid w:val="00C321B5"/>
    <w:rsid w:val="00C324B6"/>
    <w:rsid w:val="00C32B73"/>
    <w:rsid w:val="00C337AE"/>
    <w:rsid w:val="00C34285"/>
    <w:rsid w:val="00C3431B"/>
    <w:rsid w:val="00C34F96"/>
    <w:rsid w:val="00C35279"/>
    <w:rsid w:val="00C3534A"/>
    <w:rsid w:val="00C35536"/>
    <w:rsid w:val="00C3564A"/>
    <w:rsid w:val="00C35C7D"/>
    <w:rsid w:val="00C3618B"/>
    <w:rsid w:val="00C36FF2"/>
    <w:rsid w:val="00C37C2B"/>
    <w:rsid w:val="00C37D76"/>
    <w:rsid w:val="00C40EAA"/>
    <w:rsid w:val="00C40F34"/>
    <w:rsid w:val="00C414F9"/>
    <w:rsid w:val="00C419D9"/>
    <w:rsid w:val="00C41C8D"/>
    <w:rsid w:val="00C41D35"/>
    <w:rsid w:val="00C42066"/>
    <w:rsid w:val="00C43922"/>
    <w:rsid w:val="00C44969"/>
    <w:rsid w:val="00C45A62"/>
    <w:rsid w:val="00C45D29"/>
    <w:rsid w:val="00C45FA7"/>
    <w:rsid w:val="00C463D7"/>
    <w:rsid w:val="00C46986"/>
    <w:rsid w:val="00C46A2A"/>
    <w:rsid w:val="00C46D05"/>
    <w:rsid w:val="00C476A9"/>
    <w:rsid w:val="00C47E21"/>
    <w:rsid w:val="00C50074"/>
    <w:rsid w:val="00C501FC"/>
    <w:rsid w:val="00C50558"/>
    <w:rsid w:val="00C50763"/>
    <w:rsid w:val="00C507D4"/>
    <w:rsid w:val="00C50EFE"/>
    <w:rsid w:val="00C51AB2"/>
    <w:rsid w:val="00C51F86"/>
    <w:rsid w:val="00C520A4"/>
    <w:rsid w:val="00C52279"/>
    <w:rsid w:val="00C526C8"/>
    <w:rsid w:val="00C5272F"/>
    <w:rsid w:val="00C528C3"/>
    <w:rsid w:val="00C52BBE"/>
    <w:rsid w:val="00C53021"/>
    <w:rsid w:val="00C5358E"/>
    <w:rsid w:val="00C5359C"/>
    <w:rsid w:val="00C53CC4"/>
    <w:rsid w:val="00C54F02"/>
    <w:rsid w:val="00C55374"/>
    <w:rsid w:val="00C55A43"/>
    <w:rsid w:val="00C55AB7"/>
    <w:rsid w:val="00C56512"/>
    <w:rsid w:val="00C56D74"/>
    <w:rsid w:val="00C576AE"/>
    <w:rsid w:val="00C6052E"/>
    <w:rsid w:val="00C61464"/>
    <w:rsid w:val="00C619FB"/>
    <w:rsid w:val="00C61C75"/>
    <w:rsid w:val="00C61F2C"/>
    <w:rsid w:val="00C62A1F"/>
    <w:rsid w:val="00C62A8A"/>
    <w:rsid w:val="00C63129"/>
    <w:rsid w:val="00C63D92"/>
    <w:rsid w:val="00C63E12"/>
    <w:rsid w:val="00C63ED7"/>
    <w:rsid w:val="00C64596"/>
    <w:rsid w:val="00C64884"/>
    <w:rsid w:val="00C649DB"/>
    <w:rsid w:val="00C649FB"/>
    <w:rsid w:val="00C64D0B"/>
    <w:rsid w:val="00C655E5"/>
    <w:rsid w:val="00C659E4"/>
    <w:rsid w:val="00C67724"/>
    <w:rsid w:val="00C679EF"/>
    <w:rsid w:val="00C67C81"/>
    <w:rsid w:val="00C67D9E"/>
    <w:rsid w:val="00C7112D"/>
    <w:rsid w:val="00C71654"/>
    <w:rsid w:val="00C71AA0"/>
    <w:rsid w:val="00C724D4"/>
    <w:rsid w:val="00C72796"/>
    <w:rsid w:val="00C7347D"/>
    <w:rsid w:val="00C73C66"/>
    <w:rsid w:val="00C7426B"/>
    <w:rsid w:val="00C74A1B"/>
    <w:rsid w:val="00C74C33"/>
    <w:rsid w:val="00C74D12"/>
    <w:rsid w:val="00C74DE3"/>
    <w:rsid w:val="00C7545C"/>
    <w:rsid w:val="00C75715"/>
    <w:rsid w:val="00C75F6F"/>
    <w:rsid w:val="00C76E49"/>
    <w:rsid w:val="00C76F55"/>
    <w:rsid w:val="00C7771A"/>
    <w:rsid w:val="00C80CB0"/>
    <w:rsid w:val="00C81253"/>
    <w:rsid w:val="00C82381"/>
    <w:rsid w:val="00C82568"/>
    <w:rsid w:val="00C8280D"/>
    <w:rsid w:val="00C833D7"/>
    <w:rsid w:val="00C8384D"/>
    <w:rsid w:val="00C8387B"/>
    <w:rsid w:val="00C83B54"/>
    <w:rsid w:val="00C83BA5"/>
    <w:rsid w:val="00C83C4E"/>
    <w:rsid w:val="00C84084"/>
    <w:rsid w:val="00C84642"/>
    <w:rsid w:val="00C84945"/>
    <w:rsid w:val="00C84A4C"/>
    <w:rsid w:val="00C850C7"/>
    <w:rsid w:val="00C859D9"/>
    <w:rsid w:val="00C86807"/>
    <w:rsid w:val="00C869A1"/>
    <w:rsid w:val="00C869AA"/>
    <w:rsid w:val="00C86B45"/>
    <w:rsid w:val="00C86B91"/>
    <w:rsid w:val="00C8704E"/>
    <w:rsid w:val="00C870B3"/>
    <w:rsid w:val="00C87589"/>
    <w:rsid w:val="00C9041B"/>
    <w:rsid w:val="00C908CB"/>
    <w:rsid w:val="00C90B48"/>
    <w:rsid w:val="00C9101E"/>
    <w:rsid w:val="00C916ED"/>
    <w:rsid w:val="00C91F8A"/>
    <w:rsid w:val="00C92019"/>
    <w:rsid w:val="00C92647"/>
    <w:rsid w:val="00C92849"/>
    <w:rsid w:val="00C9284B"/>
    <w:rsid w:val="00C93206"/>
    <w:rsid w:val="00C943DA"/>
    <w:rsid w:val="00C9441D"/>
    <w:rsid w:val="00C9451F"/>
    <w:rsid w:val="00C949BA"/>
    <w:rsid w:val="00C94EDF"/>
    <w:rsid w:val="00C954B2"/>
    <w:rsid w:val="00C968FC"/>
    <w:rsid w:val="00C96ACA"/>
    <w:rsid w:val="00C96C9C"/>
    <w:rsid w:val="00C9708A"/>
    <w:rsid w:val="00C97093"/>
    <w:rsid w:val="00C978FB"/>
    <w:rsid w:val="00C97D03"/>
    <w:rsid w:val="00CA0419"/>
    <w:rsid w:val="00CA046E"/>
    <w:rsid w:val="00CA0A74"/>
    <w:rsid w:val="00CA1336"/>
    <w:rsid w:val="00CA1CE5"/>
    <w:rsid w:val="00CA1D98"/>
    <w:rsid w:val="00CA1F28"/>
    <w:rsid w:val="00CA1FF5"/>
    <w:rsid w:val="00CA2009"/>
    <w:rsid w:val="00CA25B4"/>
    <w:rsid w:val="00CA289D"/>
    <w:rsid w:val="00CA3137"/>
    <w:rsid w:val="00CA37B0"/>
    <w:rsid w:val="00CA37B6"/>
    <w:rsid w:val="00CA3A0C"/>
    <w:rsid w:val="00CA4B24"/>
    <w:rsid w:val="00CA5213"/>
    <w:rsid w:val="00CA69E5"/>
    <w:rsid w:val="00CA6C16"/>
    <w:rsid w:val="00CA6CBD"/>
    <w:rsid w:val="00CA6F6B"/>
    <w:rsid w:val="00CA6F9D"/>
    <w:rsid w:val="00CB0460"/>
    <w:rsid w:val="00CB04F6"/>
    <w:rsid w:val="00CB0815"/>
    <w:rsid w:val="00CB0866"/>
    <w:rsid w:val="00CB0FC6"/>
    <w:rsid w:val="00CB17D5"/>
    <w:rsid w:val="00CB216E"/>
    <w:rsid w:val="00CB22B1"/>
    <w:rsid w:val="00CB2377"/>
    <w:rsid w:val="00CB2E59"/>
    <w:rsid w:val="00CB3CE8"/>
    <w:rsid w:val="00CB4BEE"/>
    <w:rsid w:val="00CB5952"/>
    <w:rsid w:val="00CB5BF9"/>
    <w:rsid w:val="00CB631E"/>
    <w:rsid w:val="00CB6D88"/>
    <w:rsid w:val="00CB73CB"/>
    <w:rsid w:val="00CB75FE"/>
    <w:rsid w:val="00CB7D6A"/>
    <w:rsid w:val="00CC0853"/>
    <w:rsid w:val="00CC0BB7"/>
    <w:rsid w:val="00CC18C5"/>
    <w:rsid w:val="00CC21AB"/>
    <w:rsid w:val="00CC2D6C"/>
    <w:rsid w:val="00CC305D"/>
    <w:rsid w:val="00CC3611"/>
    <w:rsid w:val="00CC3771"/>
    <w:rsid w:val="00CC42CD"/>
    <w:rsid w:val="00CC4660"/>
    <w:rsid w:val="00CC4717"/>
    <w:rsid w:val="00CC48D8"/>
    <w:rsid w:val="00CC4FD1"/>
    <w:rsid w:val="00CC5AB1"/>
    <w:rsid w:val="00CC7077"/>
    <w:rsid w:val="00CC71FE"/>
    <w:rsid w:val="00CC784E"/>
    <w:rsid w:val="00CC7F9A"/>
    <w:rsid w:val="00CD0015"/>
    <w:rsid w:val="00CD04E7"/>
    <w:rsid w:val="00CD06AA"/>
    <w:rsid w:val="00CD09BD"/>
    <w:rsid w:val="00CD0F7A"/>
    <w:rsid w:val="00CD11EF"/>
    <w:rsid w:val="00CD1218"/>
    <w:rsid w:val="00CD1ED6"/>
    <w:rsid w:val="00CD1FC5"/>
    <w:rsid w:val="00CD2559"/>
    <w:rsid w:val="00CD26A4"/>
    <w:rsid w:val="00CD280F"/>
    <w:rsid w:val="00CD2AAE"/>
    <w:rsid w:val="00CD3304"/>
    <w:rsid w:val="00CD35EB"/>
    <w:rsid w:val="00CD3686"/>
    <w:rsid w:val="00CD3770"/>
    <w:rsid w:val="00CD38E5"/>
    <w:rsid w:val="00CD3BC8"/>
    <w:rsid w:val="00CD437F"/>
    <w:rsid w:val="00CD48F7"/>
    <w:rsid w:val="00CD4F74"/>
    <w:rsid w:val="00CD5313"/>
    <w:rsid w:val="00CD6310"/>
    <w:rsid w:val="00CD6692"/>
    <w:rsid w:val="00CD6B81"/>
    <w:rsid w:val="00CD71E4"/>
    <w:rsid w:val="00CD7254"/>
    <w:rsid w:val="00CD7585"/>
    <w:rsid w:val="00CD75A4"/>
    <w:rsid w:val="00CE0A42"/>
    <w:rsid w:val="00CE1668"/>
    <w:rsid w:val="00CE2457"/>
    <w:rsid w:val="00CE2474"/>
    <w:rsid w:val="00CE2C43"/>
    <w:rsid w:val="00CE3039"/>
    <w:rsid w:val="00CE3349"/>
    <w:rsid w:val="00CE35DB"/>
    <w:rsid w:val="00CE3944"/>
    <w:rsid w:val="00CE3F01"/>
    <w:rsid w:val="00CE4CB3"/>
    <w:rsid w:val="00CE536F"/>
    <w:rsid w:val="00CE53DF"/>
    <w:rsid w:val="00CE619A"/>
    <w:rsid w:val="00CE7732"/>
    <w:rsid w:val="00CE7E3B"/>
    <w:rsid w:val="00CF0261"/>
    <w:rsid w:val="00CF119D"/>
    <w:rsid w:val="00CF29FF"/>
    <w:rsid w:val="00CF2D7B"/>
    <w:rsid w:val="00CF3219"/>
    <w:rsid w:val="00CF3258"/>
    <w:rsid w:val="00CF372F"/>
    <w:rsid w:val="00CF39C8"/>
    <w:rsid w:val="00CF3B77"/>
    <w:rsid w:val="00CF3C77"/>
    <w:rsid w:val="00CF4270"/>
    <w:rsid w:val="00CF4630"/>
    <w:rsid w:val="00CF4F89"/>
    <w:rsid w:val="00CF53CE"/>
    <w:rsid w:val="00CF5D12"/>
    <w:rsid w:val="00CF5D26"/>
    <w:rsid w:val="00CF5E4A"/>
    <w:rsid w:val="00CF5E56"/>
    <w:rsid w:val="00CF6ABB"/>
    <w:rsid w:val="00CF6BF8"/>
    <w:rsid w:val="00CF6DD0"/>
    <w:rsid w:val="00CF72F3"/>
    <w:rsid w:val="00CF75D6"/>
    <w:rsid w:val="00CF7F51"/>
    <w:rsid w:val="00D0063E"/>
    <w:rsid w:val="00D007F0"/>
    <w:rsid w:val="00D00BC7"/>
    <w:rsid w:val="00D0115D"/>
    <w:rsid w:val="00D013AF"/>
    <w:rsid w:val="00D01406"/>
    <w:rsid w:val="00D017C5"/>
    <w:rsid w:val="00D01B7A"/>
    <w:rsid w:val="00D022F2"/>
    <w:rsid w:val="00D02476"/>
    <w:rsid w:val="00D02C98"/>
    <w:rsid w:val="00D02E84"/>
    <w:rsid w:val="00D02F9A"/>
    <w:rsid w:val="00D03002"/>
    <w:rsid w:val="00D032C1"/>
    <w:rsid w:val="00D03522"/>
    <w:rsid w:val="00D03AE4"/>
    <w:rsid w:val="00D03F84"/>
    <w:rsid w:val="00D046A6"/>
    <w:rsid w:val="00D04E5A"/>
    <w:rsid w:val="00D05395"/>
    <w:rsid w:val="00D0560A"/>
    <w:rsid w:val="00D0666F"/>
    <w:rsid w:val="00D06AE1"/>
    <w:rsid w:val="00D06B72"/>
    <w:rsid w:val="00D07577"/>
    <w:rsid w:val="00D075AF"/>
    <w:rsid w:val="00D10E51"/>
    <w:rsid w:val="00D111A9"/>
    <w:rsid w:val="00D11281"/>
    <w:rsid w:val="00D1254A"/>
    <w:rsid w:val="00D12720"/>
    <w:rsid w:val="00D12E96"/>
    <w:rsid w:val="00D12EF8"/>
    <w:rsid w:val="00D13374"/>
    <w:rsid w:val="00D13BCF"/>
    <w:rsid w:val="00D13BDE"/>
    <w:rsid w:val="00D150CF"/>
    <w:rsid w:val="00D15E8E"/>
    <w:rsid w:val="00D16532"/>
    <w:rsid w:val="00D16AD4"/>
    <w:rsid w:val="00D16C96"/>
    <w:rsid w:val="00D17453"/>
    <w:rsid w:val="00D17928"/>
    <w:rsid w:val="00D17B66"/>
    <w:rsid w:val="00D17C45"/>
    <w:rsid w:val="00D17D39"/>
    <w:rsid w:val="00D17FA5"/>
    <w:rsid w:val="00D200A5"/>
    <w:rsid w:val="00D20703"/>
    <w:rsid w:val="00D21193"/>
    <w:rsid w:val="00D2154D"/>
    <w:rsid w:val="00D215BD"/>
    <w:rsid w:val="00D216C4"/>
    <w:rsid w:val="00D21D5F"/>
    <w:rsid w:val="00D21E26"/>
    <w:rsid w:val="00D2210B"/>
    <w:rsid w:val="00D2251D"/>
    <w:rsid w:val="00D22CE1"/>
    <w:rsid w:val="00D2305F"/>
    <w:rsid w:val="00D23F97"/>
    <w:rsid w:val="00D24F61"/>
    <w:rsid w:val="00D250B2"/>
    <w:rsid w:val="00D2546C"/>
    <w:rsid w:val="00D256C0"/>
    <w:rsid w:val="00D258FC"/>
    <w:rsid w:val="00D25B62"/>
    <w:rsid w:val="00D25F41"/>
    <w:rsid w:val="00D25F85"/>
    <w:rsid w:val="00D26248"/>
    <w:rsid w:val="00D26CA2"/>
    <w:rsid w:val="00D2728A"/>
    <w:rsid w:val="00D27349"/>
    <w:rsid w:val="00D275A4"/>
    <w:rsid w:val="00D2770F"/>
    <w:rsid w:val="00D27A8D"/>
    <w:rsid w:val="00D27B1F"/>
    <w:rsid w:val="00D27F1E"/>
    <w:rsid w:val="00D304E2"/>
    <w:rsid w:val="00D312DC"/>
    <w:rsid w:val="00D31F36"/>
    <w:rsid w:val="00D31FDF"/>
    <w:rsid w:val="00D32520"/>
    <w:rsid w:val="00D32CC1"/>
    <w:rsid w:val="00D32CFE"/>
    <w:rsid w:val="00D32E56"/>
    <w:rsid w:val="00D32E67"/>
    <w:rsid w:val="00D33364"/>
    <w:rsid w:val="00D3350F"/>
    <w:rsid w:val="00D343AA"/>
    <w:rsid w:val="00D34AF1"/>
    <w:rsid w:val="00D34D44"/>
    <w:rsid w:val="00D34E36"/>
    <w:rsid w:val="00D352EF"/>
    <w:rsid w:val="00D3588F"/>
    <w:rsid w:val="00D35A96"/>
    <w:rsid w:val="00D35FC8"/>
    <w:rsid w:val="00D35FEE"/>
    <w:rsid w:val="00D36277"/>
    <w:rsid w:val="00D3775C"/>
    <w:rsid w:val="00D377B2"/>
    <w:rsid w:val="00D37BD5"/>
    <w:rsid w:val="00D37F4A"/>
    <w:rsid w:val="00D37FC1"/>
    <w:rsid w:val="00D400D7"/>
    <w:rsid w:val="00D40764"/>
    <w:rsid w:val="00D4086E"/>
    <w:rsid w:val="00D411F5"/>
    <w:rsid w:val="00D4125D"/>
    <w:rsid w:val="00D428C9"/>
    <w:rsid w:val="00D43BD8"/>
    <w:rsid w:val="00D445C6"/>
    <w:rsid w:val="00D4524E"/>
    <w:rsid w:val="00D4533D"/>
    <w:rsid w:val="00D46CD2"/>
    <w:rsid w:val="00D46DB0"/>
    <w:rsid w:val="00D470A7"/>
    <w:rsid w:val="00D472A7"/>
    <w:rsid w:val="00D47F51"/>
    <w:rsid w:val="00D508EA"/>
    <w:rsid w:val="00D5163F"/>
    <w:rsid w:val="00D51CE7"/>
    <w:rsid w:val="00D52027"/>
    <w:rsid w:val="00D521C4"/>
    <w:rsid w:val="00D5241E"/>
    <w:rsid w:val="00D52489"/>
    <w:rsid w:val="00D527AD"/>
    <w:rsid w:val="00D52BCD"/>
    <w:rsid w:val="00D52CCA"/>
    <w:rsid w:val="00D53089"/>
    <w:rsid w:val="00D533B9"/>
    <w:rsid w:val="00D53E40"/>
    <w:rsid w:val="00D54052"/>
    <w:rsid w:val="00D54345"/>
    <w:rsid w:val="00D54513"/>
    <w:rsid w:val="00D551F3"/>
    <w:rsid w:val="00D55893"/>
    <w:rsid w:val="00D55963"/>
    <w:rsid w:val="00D5728A"/>
    <w:rsid w:val="00D57B63"/>
    <w:rsid w:val="00D57B6C"/>
    <w:rsid w:val="00D57F3C"/>
    <w:rsid w:val="00D57F58"/>
    <w:rsid w:val="00D60703"/>
    <w:rsid w:val="00D60794"/>
    <w:rsid w:val="00D609CF"/>
    <w:rsid w:val="00D60E12"/>
    <w:rsid w:val="00D61A46"/>
    <w:rsid w:val="00D61ACF"/>
    <w:rsid w:val="00D61D6E"/>
    <w:rsid w:val="00D61F36"/>
    <w:rsid w:val="00D623FD"/>
    <w:rsid w:val="00D62557"/>
    <w:rsid w:val="00D625B4"/>
    <w:rsid w:val="00D626D9"/>
    <w:rsid w:val="00D62C98"/>
    <w:rsid w:val="00D631E5"/>
    <w:rsid w:val="00D636B0"/>
    <w:rsid w:val="00D63B86"/>
    <w:rsid w:val="00D640E1"/>
    <w:rsid w:val="00D644F6"/>
    <w:rsid w:val="00D6586D"/>
    <w:rsid w:val="00D658A0"/>
    <w:rsid w:val="00D65DE7"/>
    <w:rsid w:val="00D67830"/>
    <w:rsid w:val="00D701FA"/>
    <w:rsid w:val="00D70851"/>
    <w:rsid w:val="00D70AFF"/>
    <w:rsid w:val="00D70B8D"/>
    <w:rsid w:val="00D70F20"/>
    <w:rsid w:val="00D71575"/>
    <w:rsid w:val="00D718EB"/>
    <w:rsid w:val="00D71E25"/>
    <w:rsid w:val="00D7210C"/>
    <w:rsid w:val="00D72358"/>
    <w:rsid w:val="00D729F7"/>
    <w:rsid w:val="00D73ABA"/>
    <w:rsid w:val="00D74082"/>
    <w:rsid w:val="00D7430F"/>
    <w:rsid w:val="00D74735"/>
    <w:rsid w:val="00D74A21"/>
    <w:rsid w:val="00D74F7E"/>
    <w:rsid w:val="00D760A2"/>
    <w:rsid w:val="00D762D2"/>
    <w:rsid w:val="00D766C7"/>
    <w:rsid w:val="00D772D3"/>
    <w:rsid w:val="00D80640"/>
    <w:rsid w:val="00D80F9F"/>
    <w:rsid w:val="00D813A0"/>
    <w:rsid w:val="00D8234A"/>
    <w:rsid w:val="00D82506"/>
    <w:rsid w:val="00D82FFB"/>
    <w:rsid w:val="00D83364"/>
    <w:rsid w:val="00D834CD"/>
    <w:rsid w:val="00D83805"/>
    <w:rsid w:val="00D83AF5"/>
    <w:rsid w:val="00D8417D"/>
    <w:rsid w:val="00D844E6"/>
    <w:rsid w:val="00D84515"/>
    <w:rsid w:val="00D854C9"/>
    <w:rsid w:val="00D858F2"/>
    <w:rsid w:val="00D85A1E"/>
    <w:rsid w:val="00D91297"/>
    <w:rsid w:val="00D91C36"/>
    <w:rsid w:val="00D92193"/>
    <w:rsid w:val="00D9242F"/>
    <w:rsid w:val="00D92568"/>
    <w:rsid w:val="00D927D2"/>
    <w:rsid w:val="00D92A8B"/>
    <w:rsid w:val="00D92A8F"/>
    <w:rsid w:val="00D92B43"/>
    <w:rsid w:val="00D93160"/>
    <w:rsid w:val="00D9321A"/>
    <w:rsid w:val="00D936EA"/>
    <w:rsid w:val="00D937D6"/>
    <w:rsid w:val="00D941BA"/>
    <w:rsid w:val="00D94296"/>
    <w:rsid w:val="00D958B0"/>
    <w:rsid w:val="00D9637E"/>
    <w:rsid w:val="00D96CF0"/>
    <w:rsid w:val="00D96D93"/>
    <w:rsid w:val="00D97001"/>
    <w:rsid w:val="00D97429"/>
    <w:rsid w:val="00D97737"/>
    <w:rsid w:val="00DA00C7"/>
    <w:rsid w:val="00DA02BB"/>
    <w:rsid w:val="00DA034C"/>
    <w:rsid w:val="00DA05B0"/>
    <w:rsid w:val="00DA0C8E"/>
    <w:rsid w:val="00DA1245"/>
    <w:rsid w:val="00DA159C"/>
    <w:rsid w:val="00DA1EFE"/>
    <w:rsid w:val="00DA21C7"/>
    <w:rsid w:val="00DA2CBC"/>
    <w:rsid w:val="00DA2D64"/>
    <w:rsid w:val="00DA3211"/>
    <w:rsid w:val="00DA323B"/>
    <w:rsid w:val="00DA3679"/>
    <w:rsid w:val="00DA3BBD"/>
    <w:rsid w:val="00DA3FA7"/>
    <w:rsid w:val="00DA4C9A"/>
    <w:rsid w:val="00DA52F1"/>
    <w:rsid w:val="00DA53A2"/>
    <w:rsid w:val="00DA5CAC"/>
    <w:rsid w:val="00DA5CF3"/>
    <w:rsid w:val="00DA5E1D"/>
    <w:rsid w:val="00DA644E"/>
    <w:rsid w:val="00DA662B"/>
    <w:rsid w:val="00DA686C"/>
    <w:rsid w:val="00DA74ED"/>
    <w:rsid w:val="00DB03BF"/>
    <w:rsid w:val="00DB05A5"/>
    <w:rsid w:val="00DB129F"/>
    <w:rsid w:val="00DB2938"/>
    <w:rsid w:val="00DB338E"/>
    <w:rsid w:val="00DB34A8"/>
    <w:rsid w:val="00DB356C"/>
    <w:rsid w:val="00DB37C3"/>
    <w:rsid w:val="00DB38FE"/>
    <w:rsid w:val="00DB3CF5"/>
    <w:rsid w:val="00DB3DA5"/>
    <w:rsid w:val="00DB4395"/>
    <w:rsid w:val="00DB48F4"/>
    <w:rsid w:val="00DB5318"/>
    <w:rsid w:val="00DB574C"/>
    <w:rsid w:val="00DB58CD"/>
    <w:rsid w:val="00DB5A8A"/>
    <w:rsid w:val="00DB6118"/>
    <w:rsid w:val="00DB6195"/>
    <w:rsid w:val="00DB6595"/>
    <w:rsid w:val="00DB664E"/>
    <w:rsid w:val="00DB6C2C"/>
    <w:rsid w:val="00DB721A"/>
    <w:rsid w:val="00DB737C"/>
    <w:rsid w:val="00DB73EA"/>
    <w:rsid w:val="00DB7AE4"/>
    <w:rsid w:val="00DC1752"/>
    <w:rsid w:val="00DC17BF"/>
    <w:rsid w:val="00DC1B9C"/>
    <w:rsid w:val="00DC257A"/>
    <w:rsid w:val="00DC27A9"/>
    <w:rsid w:val="00DC2A54"/>
    <w:rsid w:val="00DC3898"/>
    <w:rsid w:val="00DC38B2"/>
    <w:rsid w:val="00DC39D8"/>
    <w:rsid w:val="00DC3A28"/>
    <w:rsid w:val="00DC3F0C"/>
    <w:rsid w:val="00DC3FA3"/>
    <w:rsid w:val="00DC4488"/>
    <w:rsid w:val="00DC4803"/>
    <w:rsid w:val="00DC48AD"/>
    <w:rsid w:val="00DC4B32"/>
    <w:rsid w:val="00DC516D"/>
    <w:rsid w:val="00DC5772"/>
    <w:rsid w:val="00DC5988"/>
    <w:rsid w:val="00DC65A1"/>
    <w:rsid w:val="00DC65D3"/>
    <w:rsid w:val="00DC6B92"/>
    <w:rsid w:val="00DC7E36"/>
    <w:rsid w:val="00DD0E28"/>
    <w:rsid w:val="00DD0FC4"/>
    <w:rsid w:val="00DD2021"/>
    <w:rsid w:val="00DD20E2"/>
    <w:rsid w:val="00DD2440"/>
    <w:rsid w:val="00DD25C3"/>
    <w:rsid w:val="00DD25CB"/>
    <w:rsid w:val="00DD2EED"/>
    <w:rsid w:val="00DD32AE"/>
    <w:rsid w:val="00DD3338"/>
    <w:rsid w:val="00DD34CD"/>
    <w:rsid w:val="00DD351C"/>
    <w:rsid w:val="00DD3927"/>
    <w:rsid w:val="00DD39A9"/>
    <w:rsid w:val="00DD3BEE"/>
    <w:rsid w:val="00DD55CD"/>
    <w:rsid w:val="00DD564C"/>
    <w:rsid w:val="00DD5BAC"/>
    <w:rsid w:val="00DD609F"/>
    <w:rsid w:val="00DD6DAE"/>
    <w:rsid w:val="00DD700B"/>
    <w:rsid w:val="00DD7641"/>
    <w:rsid w:val="00DD776C"/>
    <w:rsid w:val="00DD78EA"/>
    <w:rsid w:val="00DD7C48"/>
    <w:rsid w:val="00DE0161"/>
    <w:rsid w:val="00DE01B2"/>
    <w:rsid w:val="00DE025C"/>
    <w:rsid w:val="00DE0309"/>
    <w:rsid w:val="00DE06AA"/>
    <w:rsid w:val="00DE25BE"/>
    <w:rsid w:val="00DE29E2"/>
    <w:rsid w:val="00DE2A2B"/>
    <w:rsid w:val="00DE347F"/>
    <w:rsid w:val="00DE3522"/>
    <w:rsid w:val="00DE4143"/>
    <w:rsid w:val="00DE41C1"/>
    <w:rsid w:val="00DE48AD"/>
    <w:rsid w:val="00DE4C3D"/>
    <w:rsid w:val="00DE4E16"/>
    <w:rsid w:val="00DE4FCC"/>
    <w:rsid w:val="00DE5FAA"/>
    <w:rsid w:val="00DE5FB1"/>
    <w:rsid w:val="00DE6019"/>
    <w:rsid w:val="00DE61C0"/>
    <w:rsid w:val="00DE6391"/>
    <w:rsid w:val="00DE64BE"/>
    <w:rsid w:val="00DE6740"/>
    <w:rsid w:val="00DE6E4D"/>
    <w:rsid w:val="00DE74FE"/>
    <w:rsid w:val="00DE7631"/>
    <w:rsid w:val="00DE7DCC"/>
    <w:rsid w:val="00DF13B7"/>
    <w:rsid w:val="00DF14C8"/>
    <w:rsid w:val="00DF1545"/>
    <w:rsid w:val="00DF19DA"/>
    <w:rsid w:val="00DF1BDC"/>
    <w:rsid w:val="00DF1F98"/>
    <w:rsid w:val="00DF2101"/>
    <w:rsid w:val="00DF218F"/>
    <w:rsid w:val="00DF2EE1"/>
    <w:rsid w:val="00DF3326"/>
    <w:rsid w:val="00DF35C3"/>
    <w:rsid w:val="00DF3CFB"/>
    <w:rsid w:val="00DF4498"/>
    <w:rsid w:val="00DF4A08"/>
    <w:rsid w:val="00DF4DF2"/>
    <w:rsid w:val="00DF4E16"/>
    <w:rsid w:val="00DF5783"/>
    <w:rsid w:val="00DF5B4E"/>
    <w:rsid w:val="00DF5D3F"/>
    <w:rsid w:val="00DF6F52"/>
    <w:rsid w:val="00DF7155"/>
    <w:rsid w:val="00DF75B7"/>
    <w:rsid w:val="00DF7FA2"/>
    <w:rsid w:val="00E009CD"/>
    <w:rsid w:val="00E01103"/>
    <w:rsid w:val="00E01680"/>
    <w:rsid w:val="00E01C6E"/>
    <w:rsid w:val="00E01F45"/>
    <w:rsid w:val="00E02359"/>
    <w:rsid w:val="00E02430"/>
    <w:rsid w:val="00E02515"/>
    <w:rsid w:val="00E02CB0"/>
    <w:rsid w:val="00E03800"/>
    <w:rsid w:val="00E03E6D"/>
    <w:rsid w:val="00E046B3"/>
    <w:rsid w:val="00E04A68"/>
    <w:rsid w:val="00E04A6F"/>
    <w:rsid w:val="00E05286"/>
    <w:rsid w:val="00E05400"/>
    <w:rsid w:val="00E05F37"/>
    <w:rsid w:val="00E06235"/>
    <w:rsid w:val="00E069D4"/>
    <w:rsid w:val="00E11862"/>
    <w:rsid w:val="00E12133"/>
    <w:rsid w:val="00E122A7"/>
    <w:rsid w:val="00E1233A"/>
    <w:rsid w:val="00E12970"/>
    <w:rsid w:val="00E13122"/>
    <w:rsid w:val="00E13EAB"/>
    <w:rsid w:val="00E148DB"/>
    <w:rsid w:val="00E14AD1"/>
    <w:rsid w:val="00E15558"/>
    <w:rsid w:val="00E15832"/>
    <w:rsid w:val="00E15B50"/>
    <w:rsid w:val="00E15D35"/>
    <w:rsid w:val="00E172EB"/>
    <w:rsid w:val="00E17738"/>
    <w:rsid w:val="00E17C3D"/>
    <w:rsid w:val="00E20228"/>
    <w:rsid w:val="00E2035E"/>
    <w:rsid w:val="00E205E7"/>
    <w:rsid w:val="00E2076F"/>
    <w:rsid w:val="00E21676"/>
    <w:rsid w:val="00E21CCC"/>
    <w:rsid w:val="00E22004"/>
    <w:rsid w:val="00E22AE1"/>
    <w:rsid w:val="00E22BBF"/>
    <w:rsid w:val="00E22FF2"/>
    <w:rsid w:val="00E23070"/>
    <w:rsid w:val="00E24F71"/>
    <w:rsid w:val="00E25694"/>
    <w:rsid w:val="00E25918"/>
    <w:rsid w:val="00E25DB4"/>
    <w:rsid w:val="00E2649B"/>
    <w:rsid w:val="00E26B74"/>
    <w:rsid w:val="00E27677"/>
    <w:rsid w:val="00E27773"/>
    <w:rsid w:val="00E27879"/>
    <w:rsid w:val="00E278A7"/>
    <w:rsid w:val="00E27F7D"/>
    <w:rsid w:val="00E30732"/>
    <w:rsid w:val="00E30948"/>
    <w:rsid w:val="00E30A47"/>
    <w:rsid w:val="00E30B6A"/>
    <w:rsid w:val="00E30B92"/>
    <w:rsid w:val="00E30C04"/>
    <w:rsid w:val="00E317F1"/>
    <w:rsid w:val="00E31BEC"/>
    <w:rsid w:val="00E322AB"/>
    <w:rsid w:val="00E32372"/>
    <w:rsid w:val="00E32419"/>
    <w:rsid w:val="00E32D57"/>
    <w:rsid w:val="00E33057"/>
    <w:rsid w:val="00E3363C"/>
    <w:rsid w:val="00E33779"/>
    <w:rsid w:val="00E33C48"/>
    <w:rsid w:val="00E33D22"/>
    <w:rsid w:val="00E34218"/>
    <w:rsid w:val="00E342EC"/>
    <w:rsid w:val="00E34395"/>
    <w:rsid w:val="00E344DC"/>
    <w:rsid w:val="00E35075"/>
    <w:rsid w:val="00E35815"/>
    <w:rsid w:val="00E35853"/>
    <w:rsid w:val="00E36157"/>
    <w:rsid w:val="00E361B7"/>
    <w:rsid w:val="00E36F60"/>
    <w:rsid w:val="00E374D3"/>
    <w:rsid w:val="00E37909"/>
    <w:rsid w:val="00E40556"/>
    <w:rsid w:val="00E40904"/>
    <w:rsid w:val="00E40EF5"/>
    <w:rsid w:val="00E411B7"/>
    <w:rsid w:val="00E41533"/>
    <w:rsid w:val="00E41856"/>
    <w:rsid w:val="00E42332"/>
    <w:rsid w:val="00E423C5"/>
    <w:rsid w:val="00E429F3"/>
    <w:rsid w:val="00E42D2A"/>
    <w:rsid w:val="00E437AE"/>
    <w:rsid w:val="00E444C9"/>
    <w:rsid w:val="00E44567"/>
    <w:rsid w:val="00E4461C"/>
    <w:rsid w:val="00E44B40"/>
    <w:rsid w:val="00E44DB1"/>
    <w:rsid w:val="00E45433"/>
    <w:rsid w:val="00E4552B"/>
    <w:rsid w:val="00E45CF4"/>
    <w:rsid w:val="00E45DA4"/>
    <w:rsid w:val="00E46296"/>
    <w:rsid w:val="00E50067"/>
    <w:rsid w:val="00E50797"/>
    <w:rsid w:val="00E50B94"/>
    <w:rsid w:val="00E50FA8"/>
    <w:rsid w:val="00E51767"/>
    <w:rsid w:val="00E51BB9"/>
    <w:rsid w:val="00E5207F"/>
    <w:rsid w:val="00E52303"/>
    <w:rsid w:val="00E52FAC"/>
    <w:rsid w:val="00E535F4"/>
    <w:rsid w:val="00E53999"/>
    <w:rsid w:val="00E53A9C"/>
    <w:rsid w:val="00E53E52"/>
    <w:rsid w:val="00E53F77"/>
    <w:rsid w:val="00E548E2"/>
    <w:rsid w:val="00E5540D"/>
    <w:rsid w:val="00E55742"/>
    <w:rsid w:val="00E55D55"/>
    <w:rsid w:val="00E55D79"/>
    <w:rsid w:val="00E5633E"/>
    <w:rsid w:val="00E56444"/>
    <w:rsid w:val="00E56883"/>
    <w:rsid w:val="00E56E8B"/>
    <w:rsid w:val="00E574ED"/>
    <w:rsid w:val="00E5770C"/>
    <w:rsid w:val="00E57C96"/>
    <w:rsid w:val="00E57DF1"/>
    <w:rsid w:val="00E605BE"/>
    <w:rsid w:val="00E60758"/>
    <w:rsid w:val="00E60A46"/>
    <w:rsid w:val="00E60D9B"/>
    <w:rsid w:val="00E615B5"/>
    <w:rsid w:val="00E6264F"/>
    <w:rsid w:val="00E62732"/>
    <w:rsid w:val="00E627FA"/>
    <w:rsid w:val="00E62A1B"/>
    <w:rsid w:val="00E62BA6"/>
    <w:rsid w:val="00E636D8"/>
    <w:rsid w:val="00E638FE"/>
    <w:rsid w:val="00E63C21"/>
    <w:rsid w:val="00E63D71"/>
    <w:rsid w:val="00E63E2A"/>
    <w:rsid w:val="00E64568"/>
    <w:rsid w:val="00E64D9B"/>
    <w:rsid w:val="00E65318"/>
    <w:rsid w:val="00E65344"/>
    <w:rsid w:val="00E659BD"/>
    <w:rsid w:val="00E65FF8"/>
    <w:rsid w:val="00E660D1"/>
    <w:rsid w:val="00E6695E"/>
    <w:rsid w:val="00E67600"/>
    <w:rsid w:val="00E67E78"/>
    <w:rsid w:val="00E67EDA"/>
    <w:rsid w:val="00E7056D"/>
    <w:rsid w:val="00E70E4D"/>
    <w:rsid w:val="00E7163A"/>
    <w:rsid w:val="00E71947"/>
    <w:rsid w:val="00E73B07"/>
    <w:rsid w:val="00E73B6A"/>
    <w:rsid w:val="00E74151"/>
    <w:rsid w:val="00E745B7"/>
    <w:rsid w:val="00E75166"/>
    <w:rsid w:val="00E75190"/>
    <w:rsid w:val="00E7550D"/>
    <w:rsid w:val="00E75B07"/>
    <w:rsid w:val="00E77B10"/>
    <w:rsid w:val="00E77C25"/>
    <w:rsid w:val="00E826F4"/>
    <w:rsid w:val="00E82812"/>
    <w:rsid w:val="00E829EC"/>
    <w:rsid w:val="00E8384E"/>
    <w:rsid w:val="00E83AB1"/>
    <w:rsid w:val="00E84353"/>
    <w:rsid w:val="00E843B1"/>
    <w:rsid w:val="00E85430"/>
    <w:rsid w:val="00E85F5C"/>
    <w:rsid w:val="00E86511"/>
    <w:rsid w:val="00E86630"/>
    <w:rsid w:val="00E866D3"/>
    <w:rsid w:val="00E86960"/>
    <w:rsid w:val="00E86982"/>
    <w:rsid w:val="00E869BD"/>
    <w:rsid w:val="00E86A2A"/>
    <w:rsid w:val="00E87D80"/>
    <w:rsid w:val="00E9039E"/>
    <w:rsid w:val="00E906B9"/>
    <w:rsid w:val="00E908DA"/>
    <w:rsid w:val="00E90FF2"/>
    <w:rsid w:val="00E914EE"/>
    <w:rsid w:val="00E91572"/>
    <w:rsid w:val="00E91A9F"/>
    <w:rsid w:val="00E92A0F"/>
    <w:rsid w:val="00E92B67"/>
    <w:rsid w:val="00E92CBC"/>
    <w:rsid w:val="00E92FB7"/>
    <w:rsid w:val="00E93481"/>
    <w:rsid w:val="00E9387E"/>
    <w:rsid w:val="00E9565C"/>
    <w:rsid w:val="00E9599E"/>
    <w:rsid w:val="00E95C6E"/>
    <w:rsid w:val="00E96C21"/>
    <w:rsid w:val="00E96D52"/>
    <w:rsid w:val="00E97FBD"/>
    <w:rsid w:val="00EA026F"/>
    <w:rsid w:val="00EA02DD"/>
    <w:rsid w:val="00EA0CD9"/>
    <w:rsid w:val="00EA12B6"/>
    <w:rsid w:val="00EA12CE"/>
    <w:rsid w:val="00EA2757"/>
    <w:rsid w:val="00EA285F"/>
    <w:rsid w:val="00EA2EB7"/>
    <w:rsid w:val="00EA3D1B"/>
    <w:rsid w:val="00EA3E12"/>
    <w:rsid w:val="00EA4222"/>
    <w:rsid w:val="00EA444B"/>
    <w:rsid w:val="00EA4A6B"/>
    <w:rsid w:val="00EA584D"/>
    <w:rsid w:val="00EA5EB2"/>
    <w:rsid w:val="00EA5F24"/>
    <w:rsid w:val="00EA60D8"/>
    <w:rsid w:val="00EA65A5"/>
    <w:rsid w:val="00EA66C4"/>
    <w:rsid w:val="00EA6BE6"/>
    <w:rsid w:val="00EA7377"/>
    <w:rsid w:val="00EA7499"/>
    <w:rsid w:val="00EA76E5"/>
    <w:rsid w:val="00EA79AB"/>
    <w:rsid w:val="00EA79AE"/>
    <w:rsid w:val="00EA7C67"/>
    <w:rsid w:val="00EA7E9A"/>
    <w:rsid w:val="00EB10A0"/>
    <w:rsid w:val="00EB1503"/>
    <w:rsid w:val="00EB174F"/>
    <w:rsid w:val="00EB1998"/>
    <w:rsid w:val="00EB1B15"/>
    <w:rsid w:val="00EB1D14"/>
    <w:rsid w:val="00EB1DF5"/>
    <w:rsid w:val="00EB23DE"/>
    <w:rsid w:val="00EB27ED"/>
    <w:rsid w:val="00EB2836"/>
    <w:rsid w:val="00EB2D3E"/>
    <w:rsid w:val="00EB4C08"/>
    <w:rsid w:val="00EB5135"/>
    <w:rsid w:val="00EB601B"/>
    <w:rsid w:val="00EB6A46"/>
    <w:rsid w:val="00EC0D8F"/>
    <w:rsid w:val="00EC10BE"/>
    <w:rsid w:val="00EC10FC"/>
    <w:rsid w:val="00EC110C"/>
    <w:rsid w:val="00EC245E"/>
    <w:rsid w:val="00EC2A60"/>
    <w:rsid w:val="00EC2C4D"/>
    <w:rsid w:val="00EC2F2A"/>
    <w:rsid w:val="00EC31D3"/>
    <w:rsid w:val="00EC35C5"/>
    <w:rsid w:val="00EC444C"/>
    <w:rsid w:val="00EC460C"/>
    <w:rsid w:val="00EC503C"/>
    <w:rsid w:val="00EC54F9"/>
    <w:rsid w:val="00EC5B04"/>
    <w:rsid w:val="00EC5C30"/>
    <w:rsid w:val="00EC603D"/>
    <w:rsid w:val="00EC60C1"/>
    <w:rsid w:val="00EC616A"/>
    <w:rsid w:val="00EC62C9"/>
    <w:rsid w:val="00EC645D"/>
    <w:rsid w:val="00EC649B"/>
    <w:rsid w:val="00EC66B8"/>
    <w:rsid w:val="00EC686D"/>
    <w:rsid w:val="00EC71F9"/>
    <w:rsid w:val="00EC73D0"/>
    <w:rsid w:val="00EC7430"/>
    <w:rsid w:val="00ED0048"/>
    <w:rsid w:val="00ED06A7"/>
    <w:rsid w:val="00ED0E80"/>
    <w:rsid w:val="00ED0EA5"/>
    <w:rsid w:val="00ED18FB"/>
    <w:rsid w:val="00ED19FC"/>
    <w:rsid w:val="00ED1A2C"/>
    <w:rsid w:val="00ED1FCD"/>
    <w:rsid w:val="00ED2417"/>
    <w:rsid w:val="00ED2D6C"/>
    <w:rsid w:val="00ED3319"/>
    <w:rsid w:val="00ED373E"/>
    <w:rsid w:val="00ED3A47"/>
    <w:rsid w:val="00ED3AC7"/>
    <w:rsid w:val="00ED3B4A"/>
    <w:rsid w:val="00ED3B52"/>
    <w:rsid w:val="00ED3E55"/>
    <w:rsid w:val="00ED3F68"/>
    <w:rsid w:val="00ED40E9"/>
    <w:rsid w:val="00ED4694"/>
    <w:rsid w:val="00ED4C13"/>
    <w:rsid w:val="00ED62D2"/>
    <w:rsid w:val="00ED6458"/>
    <w:rsid w:val="00ED6501"/>
    <w:rsid w:val="00ED66BE"/>
    <w:rsid w:val="00ED68A3"/>
    <w:rsid w:val="00ED6C60"/>
    <w:rsid w:val="00ED6EBD"/>
    <w:rsid w:val="00ED742C"/>
    <w:rsid w:val="00ED7F30"/>
    <w:rsid w:val="00EE1331"/>
    <w:rsid w:val="00EE1395"/>
    <w:rsid w:val="00EE1686"/>
    <w:rsid w:val="00EE1D54"/>
    <w:rsid w:val="00EE219E"/>
    <w:rsid w:val="00EE2632"/>
    <w:rsid w:val="00EE2908"/>
    <w:rsid w:val="00EE2B41"/>
    <w:rsid w:val="00EE2D6E"/>
    <w:rsid w:val="00EE4054"/>
    <w:rsid w:val="00EE48DD"/>
    <w:rsid w:val="00EE49EC"/>
    <w:rsid w:val="00EE4B9E"/>
    <w:rsid w:val="00EE4BE7"/>
    <w:rsid w:val="00EE5E88"/>
    <w:rsid w:val="00EE6079"/>
    <w:rsid w:val="00EE6FBC"/>
    <w:rsid w:val="00EE70C2"/>
    <w:rsid w:val="00EE72D8"/>
    <w:rsid w:val="00EE75FA"/>
    <w:rsid w:val="00EE76E6"/>
    <w:rsid w:val="00EE77A4"/>
    <w:rsid w:val="00EE7811"/>
    <w:rsid w:val="00EE7B4E"/>
    <w:rsid w:val="00EF01D6"/>
    <w:rsid w:val="00EF0547"/>
    <w:rsid w:val="00EF0A0A"/>
    <w:rsid w:val="00EF0CA0"/>
    <w:rsid w:val="00EF124B"/>
    <w:rsid w:val="00EF1347"/>
    <w:rsid w:val="00EF135F"/>
    <w:rsid w:val="00EF16F8"/>
    <w:rsid w:val="00EF1932"/>
    <w:rsid w:val="00EF1942"/>
    <w:rsid w:val="00EF1C3A"/>
    <w:rsid w:val="00EF1DFE"/>
    <w:rsid w:val="00EF2254"/>
    <w:rsid w:val="00EF269D"/>
    <w:rsid w:val="00EF2929"/>
    <w:rsid w:val="00EF2C46"/>
    <w:rsid w:val="00EF2E4B"/>
    <w:rsid w:val="00EF3663"/>
    <w:rsid w:val="00EF3C3D"/>
    <w:rsid w:val="00EF413C"/>
    <w:rsid w:val="00EF447A"/>
    <w:rsid w:val="00EF4703"/>
    <w:rsid w:val="00EF5A02"/>
    <w:rsid w:val="00EF66E0"/>
    <w:rsid w:val="00EF6A92"/>
    <w:rsid w:val="00EF6FF5"/>
    <w:rsid w:val="00EF744D"/>
    <w:rsid w:val="00EF7C89"/>
    <w:rsid w:val="00EF7F7A"/>
    <w:rsid w:val="00F004BA"/>
    <w:rsid w:val="00F00998"/>
    <w:rsid w:val="00F00A5A"/>
    <w:rsid w:val="00F00D12"/>
    <w:rsid w:val="00F00E15"/>
    <w:rsid w:val="00F010D3"/>
    <w:rsid w:val="00F02182"/>
    <w:rsid w:val="00F0225A"/>
    <w:rsid w:val="00F024F4"/>
    <w:rsid w:val="00F02A64"/>
    <w:rsid w:val="00F035D7"/>
    <w:rsid w:val="00F03C5F"/>
    <w:rsid w:val="00F04C70"/>
    <w:rsid w:val="00F05020"/>
    <w:rsid w:val="00F05C02"/>
    <w:rsid w:val="00F064FE"/>
    <w:rsid w:val="00F06500"/>
    <w:rsid w:val="00F068B9"/>
    <w:rsid w:val="00F07418"/>
    <w:rsid w:val="00F07C5C"/>
    <w:rsid w:val="00F07EA6"/>
    <w:rsid w:val="00F07F5A"/>
    <w:rsid w:val="00F107DC"/>
    <w:rsid w:val="00F10F02"/>
    <w:rsid w:val="00F11101"/>
    <w:rsid w:val="00F1192B"/>
    <w:rsid w:val="00F119A0"/>
    <w:rsid w:val="00F12674"/>
    <w:rsid w:val="00F1280E"/>
    <w:rsid w:val="00F12C4F"/>
    <w:rsid w:val="00F142DB"/>
    <w:rsid w:val="00F14A79"/>
    <w:rsid w:val="00F14E33"/>
    <w:rsid w:val="00F15520"/>
    <w:rsid w:val="00F17B62"/>
    <w:rsid w:val="00F17F75"/>
    <w:rsid w:val="00F17FB4"/>
    <w:rsid w:val="00F2033B"/>
    <w:rsid w:val="00F2071A"/>
    <w:rsid w:val="00F2111C"/>
    <w:rsid w:val="00F21257"/>
    <w:rsid w:val="00F21336"/>
    <w:rsid w:val="00F217BA"/>
    <w:rsid w:val="00F2180B"/>
    <w:rsid w:val="00F21BA6"/>
    <w:rsid w:val="00F22158"/>
    <w:rsid w:val="00F22254"/>
    <w:rsid w:val="00F227B2"/>
    <w:rsid w:val="00F22D2B"/>
    <w:rsid w:val="00F22DD8"/>
    <w:rsid w:val="00F22E9D"/>
    <w:rsid w:val="00F234A3"/>
    <w:rsid w:val="00F23B06"/>
    <w:rsid w:val="00F23BB2"/>
    <w:rsid w:val="00F23E78"/>
    <w:rsid w:val="00F23FEB"/>
    <w:rsid w:val="00F25304"/>
    <w:rsid w:val="00F26556"/>
    <w:rsid w:val="00F26ABA"/>
    <w:rsid w:val="00F26C17"/>
    <w:rsid w:val="00F26CF8"/>
    <w:rsid w:val="00F274E5"/>
    <w:rsid w:val="00F27535"/>
    <w:rsid w:val="00F27A93"/>
    <w:rsid w:val="00F27E40"/>
    <w:rsid w:val="00F300B3"/>
    <w:rsid w:val="00F3040D"/>
    <w:rsid w:val="00F30750"/>
    <w:rsid w:val="00F31353"/>
    <w:rsid w:val="00F31387"/>
    <w:rsid w:val="00F31552"/>
    <w:rsid w:val="00F31DDB"/>
    <w:rsid w:val="00F3220E"/>
    <w:rsid w:val="00F32953"/>
    <w:rsid w:val="00F33164"/>
    <w:rsid w:val="00F33660"/>
    <w:rsid w:val="00F339A1"/>
    <w:rsid w:val="00F34D76"/>
    <w:rsid w:val="00F34EB1"/>
    <w:rsid w:val="00F35122"/>
    <w:rsid w:val="00F351E9"/>
    <w:rsid w:val="00F35891"/>
    <w:rsid w:val="00F35A10"/>
    <w:rsid w:val="00F3631C"/>
    <w:rsid w:val="00F3639F"/>
    <w:rsid w:val="00F36E98"/>
    <w:rsid w:val="00F370D2"/>
    <w:rsid w:val="00F37239"/>
    <w:rsid w:val="00F3766E"/>
    <w:rsid w:val="00F37942"/>
    <w:rsid w:val="00F37AA7"/>
    <w:rsid w:val="00F4054F"/>
    <w:rsid w:val="00F4080D"/>
    <w:rsid w:val="00F408E4"/>
    <w:rsid w:val="00F40912"/>
    <w:rsid w:val="00F41A2B"/>
    <w:rsid w:val="00F41BF5"/>
    <w:rsid w:val="00F42690"/>
    <w:rsid w:val="00F4286C"/>
    <w:rsid w:val="00F42A9C"/>
    <w:rsid w:val="00F4306C"/>
    <w:rsid w:val="00F43407"/>
    <w:rsid w:val="00F43604"/>
    <w:rsid w:val="00F43C6F"/>
    <w:rsid w:val="00F43CE4"/>
    <w:rsid w:val="00F43FB9"/>
    <w:rsid w:val="00F4454C"/>
    <w:rsid w:val="00F44E53"/>
    <w:rsid w:val="00F44E9A"/>
    <w:rsid w:val="00F44F91"/>
    <w:rsid w:val="00F44FD3"/>
    <w:rsid w:val="00F45533"/>
    <w:rsid w:val="00F45CAA"/>
    <w:rsid w:val="00F462F0"/>
    <w:rsid w:val="00F46450"/>
    <w:rsid w:val="00F46FAD"/>
    <w:rsid w:val="00F4724F"/>
    <w:rsid w:val="00F47818"/>
    <w:rsid w:val="00F47F24"/>
    <w:rsid w:val="00F50034"/>
    <w:rsid w:val="00F507A8"/>
    <w:rsid w:val="00F508A6"/>
    <w:rsid w:val="00F508D7"/>
    <w:rsid w:val="00F50C2C"/>
    <w:rsid w:val="00F51222"/>
    <w:rsid w:val="00F51464"/>
    <w:rsid w:val="00F515ED"/>
    <w:rsid w:val="00F517A1"/>
    <w:rsid w:val="00F5185D"/>
    <w:rsid w:val="00F519A9"/>
    <w:rsid w:val="00F51BBF"/>
    <w:rsid w:val="00F531B9"/>
    <w:rsid w:val="00F536B9"/>
    <w:rsid w:val="00F53E43"/>
    <w:rsid w:val="00F5496D"/>
    <w:rsid w:val="00F54B99"/>
    <w:rsid w:val="00F55DBC"/>
    <w:rsid w:val="00F5617E"/>
    <w:rsid w:val="00F567C7"/>
    <w:rsid w:val="00F56C78"/>
    <w:rsid w:val="00F56CEE"/>
    <w:rsid w:val="00F56D1F"/>
    <w:rsid w:val="00F56DA0"/>
    <w:rsid w:val="00F57B3D"/>
    <w:rsid w:val="00F6065B"/>
    <w:rsid w:val="00F6073A"/>
    <w:rsid w:val="00F6074C"/>
    <w:rsid w:val="00F607F6"/>
    <w:rsid w:val="00F609BD"/>
    <w:rsid w:val="00F61443"/>
    <w:rsid w:val="00F61BAF"/>
    <w:rsid w:val="00F624D0"/>
    <w:rsid w:val="00F62E83"/>
    <w:rsid w:val="00F64337"/>
    <w:rsid w:val="00F643DA"/>
    <w:rsid w:val="00F6447E"/>
    <w:rsid w:val="00F64A42"/>
    <w:rsid w:val="00F65604"/>
    <w:rsid w:val="00F6578F"/>
    <w:rsid w:val="00F6590F"/>
    <w:rsid w:val="00F65DD9"/>
    <w:rsid w:val="00F6603A"/>
    <w:rsid w:val="00F668EB"/>
    <w:rsid w:val="00F66D82"/>
    <w:rsid w:val="00F672E4"/>
    <w:rsid w:val="00F70328"/>
    <w:rsid w:val="00F70564"/>
    <w:rsid w:val="00F707CA"/>
    <w:rsid w:val="00F70B7F"/>
    <w:rsid w:val="00F7104A"/>
    <w:rsid w:val="00F71A55"/>
    <w:rsid w:val="00F71F92"/>
    <w:rsid w:val="00F7271F"/>
    <w:rsid w:val="00F7308E"/>
    <w:rsid w:val="00F743F3"/>
    <w:rsid w:val="00F75849"/>
    <w:rsid w:val="00F758E1"/>
    <w:rsid w:val="00F76058"/>
    <w:rsid w:val="00F772AE"/>
    <w:rsid w:val="00F77C27"/>
    <w:rsid w:val="00F77FE2"/>
    <w:rsid w:val="00F80159"/>
    <w:rsid w:val="00F8089E"/>
    <w:rsid w:val="00F8158C"/>
    <w:rsid w:val="00F82B16"/>
    <w:rsid w:val="00F82C94"/>
    <w:rsid w:val="00F83098"/>
    <w:rsid w:val="00F830F2"/>
    <w:rsid w:val="00F8326B"/>
    <w:rsid w:val="00F832F4"/>
    <w:rsid w:val="00F83507"/>
    <w:rsid w:val="00F83659"/>
    <w:rsid w:val="00F83C5A"/>
    <w:rsid w:val="00F83FCF"/>
    <w:rsid w:val="00F84344"/>
    <w:rsid w:val="00F8451A"/>
    <w:rsid w:val="00F8452A"/>
    <w:rsid w:val="00F84629"/>
    <w:rsid w:val="00F84646"/>
    <w:rsid w:val="00F84A27"/>
    <w:rsid w:val="00F84F1C"/>
    <w:rsid w:val="00F8635A"/>
    <w:rsid w:val="00F86BF2"/>
    <w:rsid w:val="00F8712D"/>
    <w:rsid w:val="00F87B9C"/>
    <w:rsid w:val="00F87D1D"/>
    <w:rsid w:val="00F90032"/>
    <w:rsid w:val="00F90518"/>
    <w:rsid w:val="00F9092F"/>
    <w:rsid w:val="00F9096E"/>
    <w:rsid w:val="00F90A89"/>
    <w:rsid w:val="00F90B86"/>
    <w:rsid w:val="00F90C7E"/>
    <w:rsid w:val="00F91442"/>
    <w:rsid w:val="00F92B37"/>
    <w:rsid w:val="00F934D1"/>
    <w:rsid w:val="00F93661"/>
    <w:rsid w:val="00F938E1"/>
    <w:rsid w:val="00F94A9D"/>
    <w:rsid w:val="00F94C0F"/>
    <w:rsid w:val="00F953A1"/>
    <w:rsid w:val="00F9627E"/>
    <w:rsid w:val="00F9629B"/>
    <w:rsid w:val="00F9630B"/>
    <w:rsid w:val="00F965A8"/>
    <w:rsid w:val="00F9693C"/>
    <w:rsid w:val="00F96BED"/>
    <w:rsid w:val="00F97AFA"/>
    <w:rsid w:val="00F97C72"/>
    <w:rsid w:val="00FA076C"/>
    <w:rsid w:val="00FA0F3B"/>
    <w:rsid w:val="00FA1CA8"/>
    <w:rsid w:val="00FA1D35"/>
    <w:rsid w:val="00FA1D6E"/>
    <w:rsid w:val="00FA1E5C"/>
    <w:rsid w:val="00FA25C0"/>
    <w:rsid w:val="00FA2AA3"/>
    <w:rsid w:val="00FA37D7"/>
    <w:rsid w:val="00FA3905"/>
    <w:rsid w:val="00FA3CFE"/>
    <w:rsid w:val="00FA3FEE"/>
    <w:rsid w:val="00FA4A08"/>
    <w:rsid w:val="00FA54B4"/>
    <w:rsid w:val="00FA5604"/>
    <w:rsid w:val="00FA5FC0"/>
    <w:rsid w:val="00FA6271"/>
    <w:rsid w:val="00FA65C5"/>
    <w:rsid w:val="00FA66A9"/>
    <w:rsid w:val="00FA6919"/>
    <w:rsid w:val="00FA73C4"/>
    <w:rsid w:val="00FA775F"/>
    <w:rsid w:val="00FA77D4"/>
    <w:rsid w:val="00FA7DA8"/>
    <w:rsid w:val="00FA7E13"/>
    <w:rsid w:val="00FB0CA2"/>
    <w:rsid w:val="00FB0D9C"/>
    <w:rsid w:val="00FB0FC0"/>
    <w:rsid w:val="00FB117C"/>
    <w:rsid w:val="00FB2125"/>
    <w:rsid w:val="00FB21E6"/>
    <w:rsid w:val="00FB2722"/>
    <w:rsid w:val="00FB2AF1"/>
    <w:rsid w:val="00FB3C6F"/>
    <w:rsid w:val="00FB3D87"/>
    <w:rsid w:val="00FB3FCC"/>
    <w:rsid w:val="00FB4453"/>
    <w:rsid w:val="00FB483F"/>
    <w:rsid w:val="00FB4E27"/>
    <w:rsid w:val="00FB557B"/>
    <w:rsid w:val="00FB55B4"/>
    <w:rsid w:val="00FB57C2"/>
    <w:rsid w:val="00FB5C2D"/>
    <w:rsid w:val="00FB5D60"/>
    <w:rsid w:val="00FB5EE6"/>
    <w:rsid w:val="00FB6584"/>
    <w:rsid w:val="00FB7287"/>
    <w:rsid w:val="00FB7F86"/>
    <w:rsid w:val="00FC0282"/>
    <w:rsid w:val="00FC07C5"/>
    <w:rsid w:val="00FC1B1F"/>
    <w:rsid w:val="00FC2253"/>
    <w:rsid w:val="00FC25B0"/>
    <w:rsid w:val="00FC3056"/>
    <w:rsid w:val="00FC3204"/>
    <w:rsid w:val="00FC3880"/>
    <w:rsid w:val="00FC3BCA"/>
    <w:rsid w:val="00FC3DB4"/>
    <w:rsid w:val="00FC41CD"/>
    <w:rsid w:val="00FC470D"/>
    <w:rsid w:val="00FC481F"/>
    <w:rsid w:val="00FC5DBA"/>
    <w:rsid w:val="00FC6D32"/>
    <w:rsid w:val="00FC6EBB"/>
    <w:rsid w:val="00FC78CD"/>
    <w:rsid w:val="00FD0540"/>
    <w:rsid w:val="00FD0776"/>
    <w:rsid w:val="00FD1BAD"/>
    <w:rsid w:val="00FD1E1E"/>
    <w:rsid w:val="00FD21A8"/>
    <w:rsid w:val="00FD2811"/>
    <w:rsid w:val="00FD2CBE"/>
    <w:rsid w:val="00FD32BD"/>
    <w:rsid w:val="00FD35CC"/>
    <w:rsid w:val="00FD3934"/>
    <w:rsid w:val="00FD3E44"/>
    <w:rsid w:val="00FD4484"/>
    <w:rsid w:val="00FD44EB"/>
    <w:rsid w:val="00FD44FD"/>
    <w:rsid w:val="00FD4836"/>
    <w:rsid w:val="00FD5553"/>
    <w:rsid w:val="00FD5E1D"/>
    <w:rsid w:val="00FD5E20"/>
    <w:rsid w:val="00FD6311"/>
    <w:rsid w:val="00FD68C6"/>
    <w:rsid w:val="00FD6943"/>
    <w:rsid w:val="00FD699A"/>
    <w:rsid w:val="00FD6A59"/>
    <w:rsid w:val="00FD6AAE"/>
    <w:rsid w:val="00FD73C5"/>
    <w:rsid w:val="00FD7430"/>
    <w:rsid w:val="00FD7B01"/>
    <w:rsid w:val="00FD7D25"/>
    <w:rsid w:val="00FE036D"/>
    <w:rsid w:val="00FE079A"/>
    <w:rsid w:val="00FE23F3"/>
    <w:rsid w:val="00FE2505"/>
    <w:rsid w:val="00FE29E2"/>
    <w:rsid w:val="00FE2A06"/>
    <w:rsid w:val="00FE3814"/>
    <w:rsid w:val="00FE3853"/>
    <w:rsid w:val="00FE3E9B"/>
    <w:rsid w:val="00FE4377"/>
    <w:rsid w:val="00FE4469"/>
    <w:rsid w:val="00FE4B53"/>
    <w:rsid w:val="00FE4BA1"/>
    <w:rsid w:val="00FE4CE1"/>
    <w:rsid w:val="00FE509F"/>
    <w:rsid w:val="00FE54A6"/>
    <w:rsid w:val="00FE54B9"/>
    <w:rsid w:val="00FE5CC5"/>
    <w:rsid w:val="00FE6884"/>
    <w:rsid w:val="00FE6C05"/>
    <w:rsid w:val="00FE7047"/>
    <w:rsid w:val="00FE7124"/>
    <w:rsid w:val="00FE7507"/>
    <w:rsid w:val="00FE7A7C"/>
    <w:rsid w:val="00FE7AD6"/>
    <w:rsid w:val="00FF0148"/>
    <w:rsid w:val="00FF0233"/>
    <w:rsid w:val="00FF04D7"/>
    <w:rsid w:val="00FF0E89"/>
    <w:rsid w:val="00FF0FCD"/>
    <w:rsid w:val="00FF1608"/>
    <w:rsid w:val="00FF22C8"/>
    <w:rsid w:val="00FF2888"/>
    <w:rsid w:val="00FF29AE"/>
    <w:rsid w:val="00FF2A43"/>
    <w:rsid w:val="00FF2DE7"/>
    <w:rsid w:val="00FF3142"/>
    <w:rsid w:val="00FF3CBA"/>
    <w:rsid w:val="00FF40C2"/>
    <w:rsid w:val="00FF4253"/>
    <w:rsid w:val="00FF46BC"/>
    <w:rsid w:val="00FF4DA7"/>
    <w:rsid w:val="00FF4E3D"/>
    <w:rsid w:val="00FF5017"/>
    <w:rsid w:val="00FF5C32"/>
    <w:rsid w:val="00FF5EF3"/>
    <w:rsid w:val="00FF60E1"/>
    <w:rsid w:val="00FF6513"/>
    <w:rsid w:val="00FF7375"/>
    <w:rsid w:val="01567035"/>
    <w:rsid w:val="0200F6F9"/>
    <w:rsid w:val="02692983"/>
    <w:rsid w:val="02C9D706"/>
    <w:rsid w:val="036483FD"/>
    <w:rsid w:val="03F6710A"/>
    <w:rsid w:val="04D57ACB"/>
    <w:rsid w:val="05654524"/>
    <w:rsid w:val="05678E19"/>
    <w:rsid w:val="057CB44F"/>
    <w:rsid w:val="06DBAB03"/>
    <w:rsid w:val="06DE5622"/>
    <w:rsid w:val="0862B2D8"/>
    <w:rsid w:val="08D51233"/>
    <w:rsid w:val="0911AF71"/>
    <w:rsid w:val="0939CD2F"/>
    <w:rsid w:val="0A384FC7"/>
    <w:rsid w:val="0A92DA73"/>
    <w:rsid w:val="0A9AF306"/>
    <w:rsid w:val="0AF491C4"/>
    <w:rsid w:val="0D51CCF1"/>
    <w:rsid w:val="0DB9CED6"/>
    <w:rsid w:val="0ED2AA9E"/>
    <w:rsid w:val="106B3DEA"/>
    <w:rsid w:val="10CDEB40"/>
    <w:rsid w:val="1106F972"/>
    <w:rsid w:val="1285AEFA"/>
    <w:rsid w:val="137D95C9"/>
    <w:rsid w:val="153B8CC8"/>
    <w:rsid w:val="1575C9FD"/>
    <w:rsid w:val="16A44E9F"/>
    <w:rsid w:val="16AC22AA"/>
    <w:rsid w:val="16F2DF92"/>
    <w:rsid w:val="17DDC99A"/>
    <w:rsid w:val="18CDA383"/>
    <w:rsid w:val="19780A71"/>
    <w:rsid w:val="1A02A0A2"/>
    <w:rsid w:val="1AE68BC2"/>
    <w:rsid w:val="1B1B572E"/>
    <w:rsid w:val="1C98CA2B"/>
    <w:rsid w:val="1DAA2311"/>
    <w:rsid w:val="1F9AF888"/>
    <w:rsid w:val="206F246B"/>
    <w:rsid w:val="22939F10"/>
    <w:rsid w:val="24068A4D"/>
    <w:rsid w:val="252C50CC"/>
    <w:rsid w:val="257306B9"/>
    <w:rsid w:val="259ABAC6"/>
    <w:rsid w:val="26096BA6"/>
    <w:rsid w:val="26C8EA6F"/>
    <w:rsid w:val="274F3ED1"/>
    <w:rsid w:val="28311332"/>
    <w:rsid w:val="287320BA"/>
    <w:rsid w:val="2A65C954"/>
    <w:rsid w:val="2A904668"/>
    <w:rsid w:val="2AB9E9BA"/>
    <w:rsid w:val="2B5EB183"/>
    <w:rsid w:val="2B989D36"/>
    <w:rsid w:val="2BD16E22"/>
    <w:rsid w:val="2C0C89E5"/>
    <w:rsid w:val="2C2948EF"/>
    <w:rsid w:val="2CE5DA4D"/>
    <w:rsid w:val="2D2770BF"/>
    <w:rsid w:val="2D61A484"/>
    <w:rsid w:val="2D6F175A"/>
    <w:rsid w:val="2E4FDCB0"/>
    <w:rsid w:val="2F7AD084"/>
    <w:rsid w:val="310E7B98"/>
    <w:rsid w:val="3116A0E5"/>
    <w:rsid w:val="3158958A"/>
    <w:rsid w:val="3160819B"/>
    <w:rsid w:val="32313769"/>
    <w:rsid w:val="32A59764"/>
    <w:rsid w:val="3312039B"/>
    <w:rsid w:val="34E59163"/>
    <w:rsid w:val="35CA0449"/>
    <w:rsid w:val="3767E92B"/>
    <w:rsid w:val="3A5CC733"/>
    <w:rsid w:val="3C0721AF"/>
    <w:rsid w:val="3C740259"/>
    <w:rsid w:val="3D378738"/>
    <w:rsid w:val="3D493D9E"/>
    <w:rsid w:val="3D4DB469"/>
    <w:rsid w:val="3D86BD66"/>
    <w:rsid w:val="3F449B15"/>
    <w:rsid w:val="40F6290A"/>
    <w:rsid w:val="4150A299"/>
    <w:rsid w:val="4179FE4C"/>
    <w:rsid w:val="429F1450"/>
    <w:rsid w:val="42D6C7BA"/>
    <w:rsid w:val="443895F1"/>
    <w:rsid w:val="460088B6"/>
    <w:rsid w:val="464F734F"/>
    <w:rsid w:val="467EFA00"/>
    <w:rsid w:val="4792B2E2"/>
    <w:rsid w:val="4A47F4A1"/>
    <w:rsid w:val="4A55D065"/>
    <w:rsid w:val="4AD5F239"/>
    <w:rsid w:val="4AEC1D4F"/>
    <w:rsid w:val="4AFD233A"/>
    <w:rsid w:val="4BE5DD37"/>
    <w:rsid w:val="4C2B61FB"/>
    <w:rsid w:val="4C743CB3"/>
    <w:rsid w:val="4D2DB42C"/>
    <w:rsid w:val="4DD57A52"/>
    <w:rsid w:val="4E009772"/>
    <w:rsid w:val="4E1331F5"/>
    <w:rsid w:val="4ECD48E7"/>
    <w:rsid w:val="4EE1EB27"/>
    <w:rsid w:val="4F2B44EE"/>
    <w:rsid w:val="50459AFC"/>
    <w:rsid w:val="51570A8B"/>
    <w:rsid w:val="524D4665"/>
    <w:rsid w:val="5329D4D6"/>
    <w:rsid w:val="538ED1E1"/>
    <w:rsid w:val="558FB113"/>
    <w:rsid w:val="55C1321A"/>
    <w:rsid w:val="568837EF"/>
    <w:rsid w:val="56A6213C"/>
    <w:rsid w:val="5CF62D33"/>
    <w:rsid w:val="6033DB25"/>
    <w:rsid w:val="60AA142B"/>
    <w:rsid w:val="619F427D"/>
    <w:rsid w:val="6282CBAD"/>
    <w:rsid w:val="629F66CF"/>
    <w:rsid w:val="63018F87"/>
    <w:rsid w:val="65366E3A"/>
    <w:rsid w:val="657C269A"/>
    <w:rsid w:val="668A303A"/>
    <w:rsid w:val="6727CEB8"/>
    <w:rsid w:val="6784729A"/>
    <w:rsid w:val="68360071"/>
    <w:rsid w:val="684BC60B"/>
    <w:rsid w:val="687087C7"/>
    <w:rsid w:val="68DEDF81"/>
    <w:rsid w:val="68E37E1E"/>
    <w:rsid w:val="6911B4DA"/>
    <w:rsid w:val="6990FFC7"/>
    <w:rsid w:val="6A0CE974"/>
    <w:rsid w:val="6A4C5984"/>
    <w:rsid w:val="6A9033D8"/>
    <w:rsid w:val="6B4D370F"/>
    <w:rsid w:val="6C977D54"/>
    <w:rsid w:val="6CA0E60C"/>
    <w:rsid w:val="6D4083B0"/>
    <w:rsid w:val="6D6B5D50"/>
    <w:rsid w:val="6D8FC166"/>
    <w:rsid w:val="6DCFD2F1"/>
    <w:rsid w:val="6E0AA947"/>
    <w:rsid w:val="6F4ADD1E"/>
    <w:rsid w:val="6FF13CC3"/>
    <w:rsid w:val="6FFB8521"/>
    <w:rsid w:val="70C4D42C"/>
    <w:rsid w:val="711798EB"/>
    <w:rsid w:val="712B97F2"/>
    <w:rsid w:val="72239078"/>
    <w:rsid w:val="72F56C04"/>
    <w:rsid w:val="73151FD8"/>
    <w:rsid w:val="73D714E8"/>
    <w:rsid w:val="73F692AF"/>
    <w:rsid w:val="74163731"/>
    <w:rsid w:val="746BBAE8"/>
    <w:rsid w:val="75894162"/>
    <w:rsid w:val="75CB37E8"/>
    <w:rsid w:val="75EF9750"/>
    <w:rsid w:val="7642B75B"/>
    <w:rsid w:val="766B64F8"/>
    <w:rsid w:val="7679F3B5"/>
    <w:rsid w:val="778B6BC4"/>
    <w:rsid w:val="77A84058"/>
    <w:rsid w:val="789283E3"/>
    <w:rsid w:val="79712419"/>
    <w:rsid w:val="7A03F6DE"/>
    <w:rsid w:val="7A3122EB"/>
    <w:rsid w:val="7A74EC34"/>
    <w:rsid w:val="7A84A067"/>
    <w:rsid w:val="7B635963"/>
    <w:rsid w:val="7BE75F98"/>
    <w:rsid w:val="7C5B32C6"/>
    <w:rsid w:val="7CA82D63"/>
    <w:rsid w:val="7D154890"/>
    <w:rsid w:val="7EAF2963"/>
    <w:rsid w:val="7FE7E7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54181CE3-CB6A-4614-BEC2-EB6DFE73B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33F"/>
    <w:pPr>
      <w:spacing w:line="288" w:lineRule="auto"/>
    </w:pPr>
    <w:rPr>
      <w:rFonts w:ascii="Verdana" w:hAnsi="Verdana"/>
    </w:rPr>
  </w:style>
  <w:style w:type="paragraph" w:styleId="Heading1">
    <w:name w:val="heading 1"/>
    <w:basedOn w:val="Normal"/>
    <w:next w:val="Normal"/>
    <w:link w:val="Heading1Char"/>
    <w:uiPriority w:val="9"/>
    <w:qFormat/>
    <w:rsid w:val="009A6C8C"/>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780FAD"/>
    <w:pPr>
      <w:keepNext/>
      <w:keepLines/>
      <w:spacing w:before="40" w:line="480" w:lineRule="auto"/>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33164"/>
    <w:pPr>
      <w:outlineLvl w:val="2"/>
    </w:pPr>
    <w:rPr>
      <w:i/>
      <w:iCs/>
    </w:rPr>
  </w:style>
  <w:style w:type="paragraph" w:styleId="Heading4">
    <w:name w:val="heading 4"/>
    <w:basedOn w:val="Normal"/>
    <w:next w:val="Normal"/>
    <w:link w:val="Heading4Char"/>
    <w:uiPriority w:val="9"/>
    <w:semiHidden/>
    <w:unhideWhenUsed/>
    <w:qFormat/>
    <w:rsid w:val="008C1C1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A77D4"/>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link w:val="BasicParagraphChar"/>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8A4C43"/>
    <w:pPr>
      <w:contextualSpacing/>
    </w:pPr>
  </w:style>
  <w:style w:type="character" w:customStyle="1" w:styleId="Heading1Char">
    <w:name w:val="Heading 1 Char"/>
    <w:basedOn w:val="DefaultParagraphFont"/>
    <w:link w:val="Heading1"/>
    <w:uiPriority w:val="9"/>
    <w:rsid w:val="009A6C8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780FAD"/>
    <w:rPr>
      <w:rFonts w:ascii="Verdana" w:eastAsiaTheme="majorEastAsia" w:hAnsi="Verdana" w:cstheme="majorBidi"/>
      <w:b/>
      <w:szCs w:val="26"/>
    </w:rPr>
  </w:style>
  <w:style w:type="character" w:customStyle="1" w:styleId="Heading3Char">
    <w:name w:val="Heading 3 Char"/>
    <w:basedOn w:val="DefaultParagraphFont"/>
    <w:link w:val="Heading3"/>
    <w:uiPriority w:val="9"/>
    <w:rsid w:val="00BA533F"/>
    <w:rPr>
      <w:rFonts w:ascii="Verdana" w:hAnsi="Verdana"/>
      <w:i/>
      <w:iCs/>
    </w:rPr>
  </w:style>
  <w:style w:type="paragraph" w:styleId="TOCHeading">
    <w:name w:val="TOC Heading"/>
    <w:basedOn w:val="Heading1"/>
    <w:next w:val="Normal"/>
    <w:uiPriority w:val="39"/>
    <w:unhideWhenUsed/>
    <w:qFormat/>
    <w:rsid w:val="0096056C"/>
    <w:pPr>
      <w:spacing w:line="259" w:lineRule="auto"/>
      <w:outlineLvl w:val="9"/>
    </w:pPr>
    <w:rPr>
      <w:rFonts w:asciiTheme="majorHAnsi" w:hAnsiTheme="majorHAnsi"/>
      <w:b w:val="0"/>
      <w:color w:val="365F91" w:themeColor="accent1" w:themeShade="BF"/>
      <w:sz w:val="32"/>
      <w:lang w:val="en-US"/>
    </w:rPr>
  </w:style>
  <w:style w:type="paragraph" w:styleId="TOC2">
    <w:name w:val="toc 2"/>
    <w:basedOn w:val="Normal"/>
    <w:next w:val="Normal"/>
    <w:autoRedefine/>
    <w:uiPriority w:val="39"/>
    <w:unhideWhenUsed/>
    <w:rsid w:val="00BF1EE0"/>
    <w:pPr>
      <w:tabs>
        <w:tab w:val="left" w:pos="880"/>
        <w:tab w:val="right" w:leader="dot" w:pos="9848"/>
      </w:tabs>
      <w:spacing w:after="100"/>
      <w:ind w:left="240"/>
    </w:pPr>
    <w:rPr>
      <w:noProof/>
    </w:rPr>
  </w:style>
  <w:style w:type="paragraph" w:styleId="TOC3">
    <w:name w:val="toc 3"/>
    <w:basedOn w:val="Normal"/>
    <w:next w:val="Normal"/>
    <w:autoRedefine/>
    <w:uiPriority w:val="39"/>
    <w:unhideWhenUsed/>
    <w:rsid w:val="00780FAD"/>
    <w:pPr>
      <w:tabs>
        <w:tab w:val="right" w:leader="dot" w:pos="9848"/>
      </w:tabs>
      <w:spacing w:after="100"/>
      <w:ind w:left="284"/>
    </w:pPr>
  </w:style>
  <w:style w:type="character" w:styleId="CommentReference">
    <w:name w:val="annotation reference"/>
    <w:basedOn w:val="DefaultParagraphFont"/>
    <w:uiPriority w:val="99"/>
    <w:unhideWhenUsed/>
    <w:rsid w:val="000A7CAC"/>
    <w:rPr>
      <w:sz w:val="16"/>
      <w:szCs w:val="16"/>
    </w:rPr>
  </w:style>
  <w:style w:type="paragraph" w:styleId="CommentText">
    <w:name w:val="annotation text"/>
    <w:basedOn w:val="Normal"/>
    <w:link w:val="CommentTextChar"/>
    <w:uiPriority w:val="99"/>
    <w:unhideWhenUsed/>
    <w:rsid w:val="000A7CAC"/>
    <w:pPr>
      <w:spacing w:line="240" w:lineRule="auto"/>
    </w:pPr>
    <w:rPr>
      <w:sz w:val="20"/>
      <w:szCs w:val="20"/>
    </w:rPr>
  </w:style>
  <w:style w:type="character" w:customStyle="1" w:styleId="CommentTextChar">
    <w:name w:val="Comment Text Char"/>
    <w:basedOn w:val="DefaultParagraphFont"/>
    <w:link w:val="CommentText"/>
    <w:uiPriority w:val="99"/>
    <w:rsid w:val="000A7CAC"/>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0A7CAC"/>
    <w:rPr>
      <w:b/>
      <w:bCs/>
    </w:rPr>
  </w:style>
  <w:style w:type="character" w:customStyle="1" w:styleId="CommentSubjectChar">
    <w:name w:val="Comment Subject Char"/>
    <w:basedOn w:val="CommentTextChar"/>
    <w:link w:val="CommentSubject"/>
    <w:uiPriority w:val="99"/>
    <w:semiHidden/>
    <w:rsid w:val="000A7CAC"/>
    <w:rPr>
      <w:rFonts w:ascii="Verdana" w:hAnsi="Verdana"/>
      <w:b/>
      <w:bCs/>
      <w:sz w:val="20"/>
      <w:szCs w:val="20"/>
    </w:rPr>
  </w:style>
  <w:style w:type="paragraph" w:styleId="Quote">
    <w:name w:val="Quote"/>
    <w:basedOn w:val="Normal"/>
    <w:next w:val="Normal"/>
    <w:link w:val="QuoteChar"/>
    <w:uiPriority w:val="29"/>
    <w:qFormat/>
    <w:rsid w:val="008A6FD3"/>
    <w:pPr>
      <w:ind w:left="862" w:right="862"/>
    </w:pPr>
    <w:rPr>
      <w:iCs/>
    </w:rPr>
  </w:style>
  <w:style w:type="character" w:customStyle="1" w:styleId="QuoteChar">
    <w:name w:val="Quote Char"/>
    <w:basedOn w:val="DefaultParagraphFont"/>
    <w:link w:val="Quote"/>
    <w:uiPriority w:val="29"/>
    <w:rsid w:val="008A6FD3"/>
    <w:rPr>
      <w:rFonts w:ascii="Verdana" w:hAnsi="Verdana"/>
      <w:iCs/>
    </w:rPr>
  </w:style>
  <w:style w:type="paragraph" w:styleId="Revision">
    <w:name w:val="Revision"/>
    <w:hidden/>
    <w:uiPriority w:val="99"/>
    <w:semiHidden/>
    <w:rsid w:val="00102665"/>
    <w:rPr>
      <w:rFonts w:ascii="Verdana" w:hAnsi="Verdana"/>
    </w:rPr>
  </w:style>
  <w:style w:type="character" w:styleId="UnresolvedMention">
    <w:name w:val="Unresolved Mention"/>
    <w:basedOn w:val="DefaultParagraphFont"/>
    <w:uiPriority w:val="99"/>
    <w:semiHidden/>
    <w:unhideWhenUsed/>
    <w:rsid w:val="00ED6C60"/>
    <w:rPr>
      <w:color w:val="605E5C"/>
      <w:shd w:val="clear" w:color="auto" w:fill="E1DFDD"/>
    </w:rPr>
  </w:style>
  <w:style w:type="character" w:styleId="FollowedHyperlink">
    <w:name w:val="FollowedHyperlink"/>
    <w:basedOn w:val="DefaultParagraphFont"/>
    <w:uiPriority w:val="99"/>
    <w:semiHidden/>
    <w:unhideWhenUsed/>
    <w:rsid w:val="00EF6A92"/>
    <w:rPr>
      <w:color w:val="800080" w:themeColor="followedHyperlink"/>
      <w:u w:val="single"/>
    </w:rPr>
  </w:style>
  <w:style w:type="character" w:customStyle="1" w:styleId="ui-provider">
    <w:name w:val="ui-provider"/>
    <w:basedOn w:val="DefaultParagraphFont"/>
    <w:rsid w:val="0033178E"/>
  </w:style>
  <w:style w:type="character" w:styleId="Strong">
    <w:name w:val="Strong"/>
    <w:basedOn w:val="DefaultParagraphFont"/>
    <w:uiPriority w:val="22"/>
    <w:qFormat/>
    <w:rsid w:val="00D3775C"/>
    <w:rPr>
      <w:b/>
      <w:bCs/>
    </w:rPr>
  </w:style>
  <w:style w:type="paragraph" w:styleId="TOC1">
    <w:name w:val="toc 1"/>
    <w:basedOn w:val="Normal"/>
    <w:next w:val="Normal"/>
    <w:autoRedefine/>
    <w:uiPriority w:val="39"/>
    <w:unhideWhenUsed/>
    <w:rsid w:val="00C324B6"/>
    <w:pPr>
      <w:tabs>
        <w:tab w:val="left" w:pos="660"/>
        <w:tab w:val="right" w:leader="dot" w:pos="9848"/>
      </w:tabs>
      <w:spacing w:after="100"/>
    </w:pPr>
    <w:rPr>
      <w:b/>
      <w:bCs/>
      <w:noProof/>
    </w:rPr>
  </w:style>
  <w:style w:type="character" w:customStyle="1" w:styleId="footnotereference0">
    <w:name w:val="footnotereference"/>
    <w:basedOn w:val="DefaultParagraphFont"/>
    <w:rsid w:val="005A02F9"/>
  </w:style>
  <w:style w:type="table" w:styleId="TableGrid">
    <w:name w:val="Table Grid"/>
    <w:basedOn w:val="TableNormal"/>
    <w:uiPriority w:val="59"/>
    <w:rsid w:val="00E535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21394A"/>
    <w:pPr>
      <w:spacing w:after="160" w:line="240" w:lineRule="exact"/>
      <w:jc w:val="both"/>
    </w:pPr>
    <w:rPr>
      <w:rFonts w:asciiTheme="minorHAnsi" w:hAnsiTheme="minorHAnsi"/>
      <w:vertAlign w:val="superscript"/>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6E24B6"/>
    <w:rPr>
      <w:rFonts w:ascii="Verdana" w:hAnsi="Verdana"/>
    </w:rPr>
  </w:style>
  <w:style w:type="paragraph" w:customStyle="1" w:styleId="Footnote">
    <w:name w:val="Footnote"/>
    <w:basedOn w:val="FootnoteText"/>
    <w:link w:val="FootnoteChar"/>
    <w:qFormat/>
    <w:rsid w:val="00CF29FF"/>
    <w:pPr>
      <w:spacing w:line="240" w:lineRule="auto"/>
    </w:pPr>
    <w:rPr>
      <w:rFonts w:eastAsia="Verdana" w:cs="Verdana"/>
      <w:color w:val="77328A"/>
      <w:sz w:val="16"/>
      <w:szCs w:val="16"/>
      <w:lang w:eastAsia="en-GB"/>
    </w:rPr>
  </w:style>
  <w:style w:type="character" w:customStyle="1" w:styleId="FootnoteChar">
    <w:name w:val="Footnote Char"/>
    <w:basedOn w:val="DefaultParagraphFont"/>
    <w:link w:val="Footnote"/>
    <w:rsid w:val="00CF29FF"/>
    <w:rPr>
      <w:rFonts w:ascii="Verdana" w:eastAsia="Verdana" w:hAnsi="Verdana" w:cs="Verdana"/>
      <w:color w:val="77328A"/>
      <w:sz w:val="16"/>
      <w:szCs w:val="16"/>
      <w:lang w:eastAsia="en-GB"/>
    </w:rPr>
  </w:style>
  <w:style w:type="character" w:styleId="Mention">
    <w:name w:val="Mention"/>
    <w:basedOn w:val="DefaultParagraphFont"/>
    <w:uiPriority w:val="99"/>
    <w:unhideWhenUsed/>
    <w:rsid w:val="00EA60D8"/>
    <w:rPr>
      <w:color w:val="2B579A"/>
      <w:shd w:val="clear" w:color="auto" w:fill="E1DFDD"/>
    </w:rPr>
  </w:style>
  <w:style w:type="character" w:customStyle="1" w:styleId="BasicParagraphChar">
    <w:name w:val="[Basic Paragraph] Char"/>
    <w:basedOn w:val="DefaultParagraphFont"/>
    <w:link w:val="BasicParagraph"/>
    <w:uiPriority w:val="99"/>
    <w:rsid w:val="009A237B"/>
    <w:rPr>
      <w:rFonts w:ascii="MinionPro-Regular" w:hAnsi="MinionPro-Regular" w:cs="MinionPro-Regular"/>
      <w:color w:val="000000"/>
    </w:rPr>
  </w:style>
  <w:style w:type="character" w:customStyle="1" w:styleId="Heading5Char">
    <w:name w:val="Heading 5 Char"/>
    <w:basedOn w:val="DefaultParagraphFont"/>
    <w:link w:val="Heading5"/>
    <w:uiPriority w:val="9"/>
    <w:semiHidden/>
    <w:rsid w:val="00FA77D4"/>
    <w:rPr>
      <w:rFonts w:asciiTheme="majorHAnsi" w:eastAsiaTheme="majorEastAsia" w:hAnsiTheme="majorHAnsi" w:cstheme="majorBidi"/>
      <w:color w:val="365F91" w:themeColor="accent1" w:themeShade="BF"/>
    </w:rPr>
  </w:style>
  <w:style w:type="character" w:customStyle="1" w:styleId="normaltextrun">
    <w:name w:val="normaltextrun"/>
    <w:basedOn w:val="DefaultParagraphFont"/>
    <w:rsid w:val="00FA77D4"/>
  </w:style>
  <w:style w:type="character" w:customStyle="1" w:styleId="superscript">
    <w:name w:val="superscript"/>
    <w:basedOn w:val="DefaultParagraphFont"/>
    <w:rsid w:val="00FA77D4"/>
  </w:style>
  <w:style w:type="character" w:customStyle="1" w:styleId="eop">
    <w:name w:val="eop"/>
    <w:basedOn w:val="DefaultParagraphFont"/>
    <w:rsid w:val="00FA77D4"/>
  </w:style>
  <w:style w:type="paragraph" w:customStyle="1" w:styleId="SingleTxtG">
    <w:name w:val="_ Single Txt_G"/>
    <w:basedOn w:val="Normal"/>
    <w:link w:val="SingleTxtGChar"/>
    <w:qFormat/>
    <w:rsid w:val="00FA77D4"/>
    <w:pPr>
      <w:tabs>
        <w:tab w:val="left" w:pos="1701"/>
        <w:tab w:val="left" w:pos="2268"/>
      </w:tabs>
      <w:suppressAutoHyphens/>
      <w:spacing w:after="120" w:line="240" w:lineRule="atLeast"/>
      <w:ind w:left="1134" w:right="1134"/>
      <w:jc w:val="both"/>
    </w:pPr>
    <w:rPr>
      <w:rFonts w:ascii="Times New Roman" w:eastAsia="SimSun" w:hAnsi="Times New Roman" w:cs="Times New Roman"/>
      <w:sz w:val="20"/>
      <w:szCs w:val="20"/>
      <w:lang w:eastAsia="zh-CN"/>
      <w14:ligatures w14:val="standardContextual"/>
    </w:rPr>
  </w:style>
  <w:style w:type="character" w:customStyle="1" w:styleId="SingleTxtGChar">
    <w:name w:val="_ Single Txt_G Char"/>
    <w:basedOn w:val="DefaultParagraphFont"/>
    <w:link w:val="SingleTxtG"/>
    <w:rsid w:val="00FA77D4"/>
    <w:rPr>
      <w:rFonts w:ascii="Times New Roman" w:eastAsia="SimSun" w:hAnsi="Times New Roman" w:cs="Times New Roman"/>
      <w:sz w:val="20"/>
      <w:szCs w:val="20"/>
      <w:lang w:eastAsia="zh-CN"/>
      <w14:ligatures w14:val="standardContextual"/>
    </w:rPr>
  </w:style>
  <w:style w:type="paragraph" w:customStyle="1" w:styleId="11NumPara">
    <w:name w:val="1.1 Num Para"/>
    <w:basedOn w:val="ListNumber2"/>
    <w:link w:val="11NumParaChar"/>
    <w:qFormat/>
    <w:rsid w:val="00A74216"/>
    <w:pPr>
      <w:numPr>
        <w:ilvl w:val="1"/>
      </w:numPr>
      <w:ind w:left="709" w:hanging="709"/>
    </w:pPr>
    <w:rPr>
      <w:rFonts w:ascii="Calibri" w:hAnsi="Calibri"/>
      <w:kern w:val="2"/>
      <w:sz w:val="28"/>
      <w14:ligatures w14:val="standardContextual"/>
    </w:rPr>
  </w:style>
  <w:style w:type="character" w:customStyle="1" w:styleId="11NumParaChar">
    <w:name w:val="1.1 Num Para Char"/>
    <w:basedOn w:val="DefaultParagraphFont"/>
    <w:link w:val="11NumPara"/>
    <w:rsid w:val="00A74216"/>
    <w:rPr>
      <w:rFonts w:ascii="Calibri" w:eastAsiaTheme="minorHAnsi" w:hAnsi="Calibri"/>
      <w:kern w:val="2"/>
      <w:sz w:val="28"/>
      <w:szCs w:val="22"/>
      <w14:ligatures w14:val="standardContextual"/>
    </w:rPr>
  </w:style>
  <w:style w:type="paragraph" w:styleId="ListNumber2">
    <w:name w:val="List Number 2"/>
    <w:basedOn w:val="Normal"/>
    <w:unhideWhenUsed/>
    <w:rsid w:val="00A74216"/>
    <w:pPr>
      <w:numPr>
        <w:numId w:val="6"/>
      </w:numPr>
      <w:spacing w:line="240" w:lineRule="auto"/>
      <w:contextualSpacing/>
    </w:pPr>
    <w:rPr>
      <w:rFonts w:asciiTheme="minorHAnsi" w:eastAsiaTheme="minorHAnsi" w:hAnsiTheme="minorHAnsi"/>
      <w:sz w:val="22"/>
      <w:szCs w:val="22"/>
    </w:rPr>
  </w:style>
  <w:style w:type="character" w:customStyle="1" w:styleId="Heading4Char">
    <w:name w:val="Heading 4 Char"/>
    <w:basedOn w:val="DefaultParagraphFont"/>
    <w:link w:val="Heading4"/>
    <w:uiPriority w:val="9"/>
    <w:semiHidden/>
    <w:rsid w:val="008C1C18"/>
    <w:rPr>
      <w:rFonts w:asciiTheme="majorHAnsi" w:eastAsiaTheme="majorEastAsia" w:hAnsiTheme="majorHAnsi" w:cstheme="majorBidi"/>
      <w:i/>
      <w:iCs/>
      <w:color w:val="365F91" w:themeColor="accent1" w:themeShade="BF"/>
    </w:rPr>
  </w:style>
  <w:style w:type="character" w:customStyle="1" w:styleId="cf01">
    <w:name w:val="cf01"/>
    <w:basedOn w:val="DefaultParagraphFont"/>
    <w:rsid w:val="008C1C18"/>
    <w:rPr>
      <w:rFonts w:ascii="Segoe UI" w:hAnsi="Segoe UI" w:cs="Segoe UI" w:hint="default"/>
      <w:sz w:val="18"/>
      <w:szCs w:val="18"/>
    </w:rPr>
  </w:style>
  <w:style w:type="numbering" w:customStyle="1" w:styleId="Style1">
    <w:name w:val="Style1"/>
    <w:uiPriority w:val="99"/>
    <w:rsid w:val="00F8452A"/>
    <w:pPr>
      <w:numPr>
        <w:numId w:val="7"/>
      </w:numPr>
    </w:pPr>
  </w:style>
  <w:style w:type="paragraph" w:styleId="NoSpacing">
    <w:name w:val="No Spacing"/>
    <w:uiPriority w:val="1"/>
    <w:qFormat/>
    <w:rsid w:val="00A728A6"/>
    <w:rPr>
      <w:rFonts w:ascii="Verdana" w:hAnsi="Verdana"/>
    </w:rPr>
  </w:style>
  <w:style w:type="paragraph" w:customStyle="1" w:styleId="CommissionJuneHeading">
    <w:name w:val="Commission June Heading"/>
    <w:basedOn w:val="Normal"/>
    <w:rsid w:val="00DA2CBC"/>
    <w:pPr>
      <w:numPr>
        <w:ilvl w:val="1"/>
        <w:numId w:val="9"/>
      </w:numPr>
    </w:pPr>
  </w:style>
  <w:style w:type="numbering" w:customStyle="1" w:styleId="Style2">
    <w:name w:val="Style2"/>
    <w:uiPriority w:val="99"/>
    <w:rsid w:val="00612FE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4580">
      <w:bodyDiv w:val="1"/>
      <w:marLeft w:val="0"/>
      <w:marRight w:val="0"/>
      <w:marTop w:val="0"/>
      <w:marBottom w:val="0"/>
      <w:divBdr>
        <w:top w:val="none" w:sz="0" w:space="0" w:color="auto"/>
        <w:left w:val="none" w:sz="0" w:space="0" w:color="auto"/>
        <w:bottom w:val="none" w:sz="0" w:space="0" w:color="auto"/>
        <w:right w:val="none" w:sz="0" w:space="0" w:color="auto"/>
      </w:divBdr>
    </w:div>
    <w:div w:id="189690698">
      <w:bodyDiv w:val="1"/>
      <w:marLeft w:val="0"/>
      <w:marRight w:val="0"/>
      <w:marTop w:val="0"/>
      <w:marBottom w:val="0"/>
      <w:divBdr>
        <w:top w:val="none" w:sz="0" w:space="0" w:color="auto"/>
        <w:left w:val="none" w:sz="0" w:space="0" w:color="auto"/>
        <w:bottom w:val="none" w:sz="0" w:space="0" w:color="auto"/>
        <w:right w:val="none" w:sz="0" w:space="0" w:color="auto"/>
      </w:divBdr>
    </w:div>
    <w:div w:id="223761693">
      <w:bodyDiv w:val="1"/>
      <w:marLeft w:val="0"/>
      <w:marRight w:val="0"/>
      <w:marTop w:val="0"/>
      <w:marBottom w:val="0"/>
      <w:divBdr>
        <w:top w:val="none" w:sz="0" w:space="0" w:color="auto"/>
        <w:left w:val="none" w:sz="0" w:space="0" w:color="auto"/>
        <w:bottom w:val="none" w:sz="0" w:space="0" w:color="auto"/>
        <w:right w:val="none" w:sz="0" w:space="0" w:color="auto"/>
      </w:divBdr>
    </w:div>
    <w:div w:id="246614691">
      <w:bodyDiv w:val="1"/>
      <w:marLeft w:val="0"/>
      <w:marRight w:val="0"/>
      <w:marTop w:val="0"/>
      <w:marBottom w:val="0"/>
      <w:divBdr>
        <w:top w:val="none" w:sz="0" w:space="0" w:color="auto"/>
        <w:left w:val="none" w:sz="0" w:space="0" w:color="auto"/>
        <w:bottom w:val="none" w:sz="0" w:space="0" w:color="auto"/>
        <w:right w:val="none" w:sz="0" w:space="0" w:color="auto"/>
      </w:divBdr>
    </w:div>
    <w:div w:id="305866581">
      <w:bodyDiv w:val="1"/>
      <w:marLeft w:val="0"/>
      <w:marRight w:val="0"/>
      <w:marTop w:val="0"/>
      <w:marBottom w:val="0"/>
      <w:divBdr>
        <w:top w:val="none" w:sz="0" w:space="0" w:color="auto"/>
        <w:left w:val="none" w:sz="0" w:space="0" w:color="auto"/>
        <w:bottom w:val="none" w:sz="0" w:space="0" w:color="auto"/>
        <w:right w:val="none" w:sz="0" w:space="0" w:color="auto"/>
      </w:divBdr>
    </w:div>
    <w:div w:id="307906229">
      <w:bodyDiv w:val="1"/>
      <w:marLeft w:val="0"/>
      <w:marRight w:val="0"/>
      <w:marTop w:val="0"/>
      <w:marBottom w:val="0"/>
      <w:divBdr>
        <w:top w:val="none" w:sz="0" w:space="0" w:color="auto"/>
        <w:left w:val="none" w:sz="0" w:space="0" w:color="auto"/>
        <w:bottom w:val="none" w:sz="0" w:space="0" w:color="auto"/>
        <w:right w:val="none" w:sz="0" w:space="0" w:color="auto"/>
      </w:divBdr>
    </w:div>
    <w:div w:id="363215639">
      <w:bodyDiv w:val="1"/>
      <w:marLeft w:val="0"/>
      <w:marRight w:val="0"/>
      <w:marTop w:val="0"/>
      <w:marBottom w:val="0"/>
      <w:divBdr>
        <w:top w:val="none" w:sz="0" w:space="0" w:color="auto"/>
        <w:left w:val="none" w:sz="0" w:space="0" w:color="auto"/>
        <w:bottom w:val="none" w:sz="0" w:space="0" w:color="auto"/>
        <w:right w:val="none" w:sz="0" w:space="0" w:color="auto"/>
      </w:divBdr>
    </w:div>
    <w:div w:id="379868561">
      <w:bodyDiv w:val="1"/>
      <w:marLeft w:val="0"/>
      <w:marRight w:val="0"/>
      <w:marTop w:val="0"/>
      <w:marBottom w:val="0"/>
      <w:divBdr>
        <w:top w:val="none" w:sz="0" w:space="0" w:color="auto"/>
        <w:left w:val="none" w:sz="0" w:space="0" w:color="auto"/>
        <w:bottom w:val="none" w:sz="0" w:space="0" w:color="auto"/>
        <w:right w:val="none" w:sz="0" w:space="0" w:color="auto"/>
      </w:divBdr>
    </w:div>
    <w:div w:id="396124529">
      <w:bodyDiv w:val="1"/>
      <w:marLeft w:val="0"/>
      <w:marRight w:val="0"/>
      <w:marTop w:val="0"/>
      <w:marBottom w:val="0"/>
      <w:divBdr>
        <w:top w:val="none" w:sz="0" w:space="0" w:color="auto"/>
        <w:left w:val="none" w:sz="0" w:space="0" w:color="auto"/>
        <w:bottom w:val="none" w:sz="0" w:space="0" w:color="auto"/>
        <w:right w:val="none" w:sz="0" w:space="0" w:color="auto"/>
      </w:divBdr>
    </w:div>
    <w:div w:id="489558663">
      <w:bodyDiv w:val="1"/>
      <w:marLeft w:val="0"/>
      <w:marRight w:val="0"/>
      <w:marTop w:val="0"/>
      <w:marBottom w:val="0"/>
      <w:divBdr>
        <w:top w:val="none" w:sz="0" w:space="0" w:color="auto"/>
        <w:left w:val="none" w:sz="0" w:space="0" w:color="auto"/>
        <w:bottom w:val="none" w:sz="0" w:space="0" w:color="auto"/>
        <w:right w:val="none" w:sz="0" w:space="0" w:color="auto"/>
      </w:divBdr>
    </w:div>
    <w:div w:id="565141035">
      <w:bodyDiv w:val="1"/>
      <w:marLeft w:val="0"/>
      <w:marRight w:val="0"/>
      <w:marTop w:val="0"/>
      <w:marBottom w:val="0"/>
      <w:divBdr>
        <w:top w:val="none" w:sz="0" w:space="0" w:color="auto"/>
        <w:left w:val="none" w:sz="0" w:space="0" w:color="auto"/>
        <w:bottom w:val="none" w:sz="0" w:space="0" w:color="auto"/>
        <w:right w:val="none" w:sz="0" w:space="0" w:color="auto"/>
      </w:divBdr>
    </w:div>
    <w:div w:id="594632797">
      <w:bodyDiv w:val="1"/>
      <w:marLeft w:val="0"/>
      <w:marRight w:val="0"/>
      <w:marTop w:val="0"/>
      <w:marBottom w:val="0"/>
      <w:divBdr>
        <w:top w:val="none" w:sz="0" w:space="0" w:color="auto"/>
        <w:left w:val="none" w:sz="0" w:space="0" w:color="auto"/>
        <w:bottom w:val="none" w:sz="0" w:space="0" w:color="auto"/>
        <w:right w:val="none" w:sz="0" w:space="0" w:color="auto"/>
      </w:divBdr>
      <w:divsChild>
        <w:div w:id="1073236951">
          <w:marLeft w:val="0"/>
          <w:marRight w:val="0"/>
          <w:marTop w:val="0"/>
          <w:marBottom w:val="0"/>
          <w:divBdr>
            <w:top w:val="none" w:sz="0" w:space="0" w:color="auto"/>
            <w:left w:val="none" w:sz="0" w:space="0" w:color="auto"/>
            <w:bottom w:val="none" w:sz="0" w:space="0" w:color="auto"/>
            <w:right w:val="none" w:sz="0" w:space="0" w:color="auto"/>
          </w:divBdr>
          <w:divsChild>
            <w:div w:id="1539581933">
              <w:marLeft w:val="0"/>
              <w:marRight w:val="0"/>
              <w:marTop w:val="0"/>
              <w:marBottom w:val="0"/>
              <w:divBdr>
                <w:top w:val="none" w:sz="0" w:space="0" w:color="auto"/>
                <w:left w:val="none" w:sz="0" w:space="0" w:color="auto"/>
                <w:bottom w:val="none" w:sz="0" w:space="0" w:color="auto"/>
                <w:right w:val="none" w:sz="0" w:space="0" w:color="auto"/>
              </w:divBdr>
            </w:div>
          </w:divsChild>
        </w:div>
        <w:div w:id="1395738688">
          <w:marLeft w:val="0"/>
          <w:marRight w:val="0"/>
          <w:marTop w:val="0"/>
          <w:marBottom w:val="0"/>
          <w:divBdr>
            <w:top w:val="none" w:sz="0" w:space="0" w:color="auto"/>
            <w:left w:val="none" w:sz="0" w:space="0" w:color="auto"/>
            <w:bottom w:val="none" w:sz="0" w:space="0" w:color="auto"/>
            <w:right w:val="none" w:sz="0" w:space="0" w:color="auto"/>
          </w:divBdr>
          <w:divsChild>
            <w:div w:id="1803572249">
              <w:marLeft w:val="0"/>
              <w:marRight w:val="0"/>
              <w:marTop w:val="0"/>
              <w:marBottom w:val="0"/>
              <w:divBdr>
                <w:top w:val="none" w:sz="0" w:space="0" w:color="auto"/>
                <w:left w:val="none" w:sz="0" w:space="0" w:color="auto"/>
                <w:bottom w:val="none" w:sz="0" w:space="0" w:color="auto"/>
                <w:right w:val="none" w:sz="0" w:space="0" w:color="auto"/>
              </w:divBdr>
            </w:div>
          </w:divsChild>
        </w:div>
        <w:div w:id="1484007122">
          <w:marLeft w:val="0"/>
          <w:marRight w:val="0"/>
          <w:marTop w:val="0"/>
          <w:marBottom w:val="0"/>
          <w:divBdr>
            <w:top w:val="none" w:sz="0" w:space="0" w:color="auto"/>
            <w:left w:val="none" w:sz="0" w:space="0" w:color="auto"/>
            <w:bottom w:val="none" w:sz="0" w:space="0" w:color="auto"/>
            <w:right w:val="none" w:sz="0" w:space="0" w:color="auto"/>
          </w:divBdr>
          <w:divsChild>
            <w:div w:id="734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4285">
      <w:bodyDiv w:val="1"/>
      <w:marLeft w:val="0"/>
      <w:marRight w:val="0"/>
      <w:marTop w:val="0"/>
      <w:marBottom w:val="0"/>
      <w:divBdr>
        <w:top w:val="none" w:sz="0" w:space="0" w:color="auto"/>
        <w:left w:val="none" w:sz="0" w:space="0" w:color="auto"/>
        <w:bottom w:val="none" w:sz="0" w:space="0" w:color="auto"/>
        <w:right w:val="none" w:sz="0" w:space="0" w:color="auto"/>
      </w:divBdr>
    </w:div>
    <w:div w:id="716779822">
      <w:bodyDiv w:val="1"/>
      <w:marLeft w:val="0"/>
      <w:marRight w:val="0"/>
      <w:marTop w:val="0"/>
      <w:marBottom w:val="0"/>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sChild>
            <w:div w:id="191917751">
              <w:marLeft w:val="0"/>
              <w:marRight w:val="0"/>
              <w:marTop w:val="0"/>
              <w:marBottom w:val="0"/>
              <w:divBdr>
                <w:top w:val="none" w:sz="0" w:space="0" w:color="auto"/>
                <w:left w:val="none" w:sz="0" w:space="0" w:color="auto"/>
                <w:bottom w:val="none" w:sz="0" w:space="0" w:color="auto"/>
                <w:right w:val="none" w:sz="0" w:space="0" w:color="auto"/>
              </w:divBdr>
            </w:div>
          </w:divsChild>
        </w:div>
        <w:div w:id="1919439041">
          <w:marLeft w:val="0"/>
          <w:marRight w:val="0"/>
          <w:marTop w:val="0"/>
          <w:marBottom w:val="0"/>
          <w:divBdr>
            <w:top w:val="none" w:sz="0" w:space="0" w:color="auto"/>
            <w:left w:val="none" w:sz="0" w:space="0" w:color="auto"/>
            <w:bottom w:val="none" w:sz="0" w:space="0" w:color="auto"/>
            <w:right w:val="none" w:sz="0" w:space="0" w:color="auto"/>
          </w:divBdr>
          <w:divsChild>
            <w:div w:id="1492914177">
              <w:marLeft w:val="0"/>
              <w:marRight w:val="0"/>
              <w:marTop w:val="0"/>
              <w:marBottom w:val="0"/>
              <w:divBdr>
                <w:top w:val="none" w:sz="0" w:space="0" w:color="auto"/>
                <w:left w:val="none" w:sz="0" w:space="0" w:color="auto"/>
                <w:bottom w:val="none" w:sz="0" w:space="0" w:color="auto"/>
                <w:right w:val="none" w:sz="0" w:space="0" w:color="auto"/>
              </w:divBdr>
            </w:div>
          </w:divsChild>
        </w:div>
        <w:div w:id="2057311284">
          <w:marLeft w:val="0"/>
          <w:marRight w:val="0"/>
          <w:marTop w:val="0"/>
          <w:marBottom w:val="0"/>
          <w:divBdr>
            <w:top w:val="none" w:sz="0" w:space="0" w:color="auto"/>
            <w:left w:val="none" w:sz="0" w:space="0" w:color="auto"/>
            <w:bottom w:val="none" w:sz="0" w:space="0" w:color="auto"/>
            <w:right w:val="none" w:sz="0" w:space="0" w:color="auto"/>
          </w:divBdr>
          <w:divsChild>
            <w:div w:id="3163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94754">
      <w:bodyDiv w:val="1"/>
      <w:marLeft w:val="0"/>
      <w:marRight w:val="0"/>
      <w:marTop w:val="0"/>
      <w:marBottom w:val="0"/>
      <w:divBdr>
        <w:top w:val="none" w:sz="0" w:space="0" w:color="auto"/>
        <w:left w:val="none" w:sz="0" w:space="0" w:color="auto"/>
        <w:bottom w:val="none" w:sz="0" w:space="0" w:color="auto"/>
        <w:right w:val="none" w:sz="0" w:space="0" w:color="auto"/>
      </w:divBdr>
    </w:div>
    <w:div w:id="811213941">
      <w:bodyDiv w:val="1"/>
      <w:marLeft w:val="0"/>
      <w:marRight w:val="0"/>
      <w:marTop w:val="0"/>
      <w:marBottom w:val="0"/>
      <w:divBdr>
        <w:top w:val="none" w:sz="0" w:space="0" w:color="auto"/>
        <w:left w:val="none" w:sz="0" w:space="0" w:color="auto"/>
        <w:bottom w:val="none" w:sz="0" w:space="0" w:color="auto"/>
        <w:right w:val="none" w:sz="0" w:space="0" w:color="auto"/>
      </w:divBdr>
    </w:div>
    <w:div w:id="889195156">
      <w:bodyDiv w:val="1"/>
      <w:marLeft w:val="0"/>
      <w:marRight w:val="0"/>
      <w:marTop w:val="0"/>
      <w:marBottom w:val="0"/>
      <w:divBdr>
        <w:top w:val="none" w:sz="0" w:space="0" w:color="auto"/>
        <w:left w:val="none" w:sz="0" w:space="0" w:color="auto"/>
        <w:bottom w:val="none" w:sz="0" w:space="0" w:color="auto"/>
        <w:right w:val="none" w:sz="0" w:space="0" w:color="auto"/>
      </w:divBdr>
    </w:div>
    <w:div w:id="926767701">
      <w:bodyDiv w:val="1"/>
      <w:marLeft w:val="0"/>
      <w:marRight w:val="0"/>
      <w:marTop w:val="0"/>
      <w:marBottom w:val="0"/>
      <w:divBdr>
        <w:top w:val="none" w:sz="0" w:space="0" w:color="auto"/>
        <w:left w:val="none" w:sz="0" w:space="0" w:color="auto"/>
        <w:bottom w:val="none" w:sz="0" w:space="0" w:color="auto"/>
        <w:right w:val="none" w:sz="0" w:space="0" w:color="auto"/>
      </w:divBdr>
    </w:div>
    <w:div w:id="1005085177">
      <w:bodyDiv w:val="1"/>
      <w:marLeft w:val="0"/>
      <w:marRight w:val="0"/>
      <w:marTop w:val="0"/>
      <w:marBottom w:val="0"/>
      <w:divBdr>
        <w:top w:val="none" w:sz="0" w:space="0" w:color="auto"/>
        <w:left w:val="none" w:sz="0" w:space="0" w:color="auto"/>
        <w:bottom w:val="none" w:sz="0" w:space="0" w:color="auto"/>
        <w:right w:val="none" w:sz="0" w:space="0" w:color="auto"/>
      </w:divBdr>
    </w:div>
    <w:div w:id="1014919028">
      <w:bodyDiv w:val="1"/>
      <w:marLeft w:val="0"/>
      <w:marRight w:val="0"/>
      <w:marTop w:val="0"/>
      <w:marBottom w:val="0"/>
      <w:divBdr>
        <w:top w:val="none" w:sz="0" w:space="0" w:color="auto"/>
        <w:left w:val="none" w:sz="0" w:space="0" w:color="auto"/>
        <w:bottom w:val="none" w:sz="0" w:space="0" w:color="auto"/>
        <w:right w:val="none" w:sz="0" w:space="0" w:color="auto"/>
      </w:divBdr>
    </w:div>
    <w:div w:id="1145703930">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590953">
      <w:bodyDiv w:val="1"/>
      <w:marLeft w:val="0"/>
      <w:marRight w:val="0"/>
      <w:marTop w:val="0"/>
      <w:marBottom w:val="0"/>
      <w:divBdr>
        <w:top w:val="none" w:sz="0" w:space="0" w:color="auto"/>
        <w:left w:val="none" w:sz="0" w:space="0" w:color="auto"/>
        <w:bottom w:val="none" w:sz="0" w:space="0" w:color="auto"/>
        <w:right w:val="none" w:sz="0" w:space="0" w:color="auto"/>
      </w:divBdr>
    </w:div>
    <w:div w:id="1269695827">
      <w:bodyDiv w:val="1"/>
      <w:marLeft w:val="0"/>
      <w:marRight w:val="0"/>
      <w:marTop w:val="0"/>
      <w:marBottom w:val="0"/>
      <w:divBdr>
        <w:top w:val="none" w:sz="0" w:space="0" w:color="auto"/>
        <w:left w:val="none" w:sz="0" w:space="0" w:color="auto"/>
        <w:bottom w:val="none" w:sz="0" w:space="0" w:color="auto"/>
        <w:right w:val="none" w:sz="0" w:space="0" w:color="auto"/>
      </w:divBdr>
    </w:div>
    <w:div w:id="1367295022">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65483243">
      <w:bodyDiv w:val="1"/>
      <w:marLeft w:val="0"/>
      <w:marRight w:val="0"/>
      <w:marTop w:val="0"/>
      <w:marBottom w:val="0"/>
      <w:divBdr>
        <w:top w:val="none" w:sz="0" w:space="0" w:color="auto"/>
        <w:left w:val="none" w:sz="0" w:space="0" w:color="auto"/>
        <w:bottom w:val="none" w:sz="0" w:space="0" w:color="auto"/>
        <w:right w:val="none" w:sz="0" w:space="0" w:color="auto"/>
      </w:divBdr>
    </w:div>
    <w:div w:id="1698189198">
      <w:bodyDiv w:val="1"/>
      <w:marLeft w:val="0"/>
      <w:marRight w:val="0"/>
      <w:marTop w:val="0"/>
      <w:marBottom w:val="0"/>
      <w:divBdr>
        <w:top w:val="none" w:sz="0" w:space="0" w:color="auto"/>
        <w:left w:val="none" w:sz="0" w:space="0" w:color="auto"/>
        <w:bottom w:val="none" w:sz="0" w:space="0" w:color="auto"/>
        <w:right w:val="none" w:sz="0" w:space="0" w:color="auto"/>
      </w:divBdr>
    </w:div>
    <w:div w:id="1746023932">
      <w:bodyDiv w:val="1"/>
      <w:marLeft w:val="0"/>
      <w:marRight w:val="0"/>
      <w:marTop w:val="0"/>
      <w:marBottom w:val="0"/>
      <w:divBdr>
        <w:top w:val="none" w:sz="0" w:space="0" w:color="auto"/>
        <w:left w:val="none" w:sz="0" w:space="0" w:color="auto"/>
        <w:bottom w:val="none" w:sz="0" w:space="0" w:color="auto"/>
        <w:right w:val="none" w:sz="0" w:space="0" w:color="auto"/>
      </w:divBdr>
    </w:div>
    <w:div w:id="1770466979">
      <w:bodyDiv w:val="1"/>
      <w:marLeft w:val="0"/>
      <w:marRight w:val="0"/>
      <w:marTop w:val="0"/>
      <w:marBottom w:val="0"/>
      <w:divBdr>
        <w:top w:val="none" w:sz="0" w:space="0" w:color="auto"/>
        <w:left w:val="none" w:sz="0" w:space="0" w:color="auto"/>
        <w:bottom w:val="none" w:sz="0" w:space="0" w:color="auto"/>
        <w:right w:val="none" w:sz="0" w:space="0" w:color="auto"/>
      </w:divBdr>
    </w:div>
    <w:div w:id="1888374378">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social/main.jsp?catId=1202" TargetMode="External"/><Relationship Id="rId2" Type="http://schemas.openxmlformats.org/officeDocument/2006/relationships/hyperlink" Target="https://www.equalityni.org/ECNI/media/ECNI/Publications/Delivering%20Equality/DMU/NIHRC-ECNI-Scope-of-Protocol-Working-Paper-December-2022.pdf" TargetMode="External"/><Relationship Id="rId1" Type="http://schemas.openxmlformats.org/officeDocument/2006/relationships/hyperlink" Target="https://www.equalityni.org/ECNI/media/ECNI/Publications/Delivering%20Equality/DMU/NIHRC-ECNI-Scope-of-Protocol-Working-Paper-December-202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6d6863-a85d-4a14-ba5d-ada9e5b222dd">
      <UserInfo>
        <DisplayName>Nada Ahmed</DisplayName>
        <AccountId>56</AccountId>
        <AccountType/>
      </UserInfo>
      <UserInfo>
        <DisplayName>Hannah Russell</DisplayName>
        <AccountId>19</AccountId>
        <AccountType/>
      </UserInfo>
      <UserInfo>
        <DisplayName>Colin Caughey</DisplayName>
        <AccountId>50</AccountId>
        <AccountType/>
      </UserInfo>
      <UserInfo>
        <DisplayName>Claire McCann</DisplayName>
        <AccountId>35</AccountId>
        <AccountType/>
      </UserInfo>
      <UserInfo>
        <DisplayName>Eilis Haughey</DisplayName>
        <AccountId>51</AccountId>
        <AccountType/>
      </UserInfo>
      <UserInfo>
        <DisplayName>Julia Buchanan</DisplayName>
        <AccountId>34</AccountId>
        <AccountType/>
      </UserInfo>
    </SharedWithUsers>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3E923A-625F-47CC-B84A-9F974B6721F6}">
  <ds:schemaRefs>
    <ds:schemaRef ds:uri="http://schemas.microsoft.com/office/2006/metadata/properties"/>
    <ds:schemaRef ds:uri="http://schemas.microsoft.com/office/infopath/2007/PartnerControls"/>
    <ds:schemaRef ds:uri="806d6863-a85d-4a14-ba5d-ada9e5b222dd"/>
    <ds:schemaRef ds:uri="12479bdc-b58c-44ab-9f0f-fa5baefb3da2"/>
  </ds:schemaRefs>
</ds:datastoreItem>
</file>

<file path=customXml/itemProps2.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customXml/itemProps3.xml><?xml version="1.0" encoding="utf-8"?>
<ds:datastoreItem xmlns:ds="http://schemas.openxmlformats.org/officeDocument/2006/customXml" ds:itemID="{4EF4B48E-B095-4555-8369-D8DE398DA7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454D1F-0489-4EC8-A988-5AFA3BE3D3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10</TotalTime>
  <Pages>35</Pages>
  <Words>7446</Words>
  <Characters>42443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Nada Ahmed</cp:lastModifiedBy>
  <cp:revision>9</cp:revision>
  <cp:lastPrinted>2024-09-06T08:26:00Z</cp:lastPrinted>
  <dcterms:created xsi:type="dcterms:W3CDTF">2024-09-06T08:18:00Z</dcterms:created>
  <dcterms:modified xsi:type="dcterms:W3CDTF">2024-09-06T08:26:00Z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