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D44C3" w14:textId="77777777" w:rsidR="002667DD" w:rsidRDefault="002667DD" w:rsidP="002667DD">
      <w:pPr>
        <w:pStyle w:val="BasicParagraph"/>
        <w:suppressAutoHyphens/>
        <w:jc w:val="center"/>
        <w:rPr>
          <w:rFonts w:cs="Arial"/>
          <w:b/>
          <w:bCs/>
          <w:color w:val="77328A"/>
          <w:sz w:val="36"/>
          <w:szCs w:val="36"/>
        </w:rPr>
      </w:pPr>
      <w:r>
        <w:rPr>
          <w:noProof/>
        </w:rPr>
        <w:drawing>
          <wp:inline distT="0" distB="0" distL="0" distR="0" wp14:anchorId="4ADD1D0A" wp14:editId="1FAFF894">
            <wp:extent cx="2908485" cy="3886623"/>
            <wp:effectExtent l="0" t="0" r="0" b="0"/>
            <wp:docPr id="9" name="Picture 9"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2908485" cy="3886623"/>
                    </a:xfrm>
                    <a:prstGeom prst="rect">
                      <a:avLst/>
                    </a:prstGeom>
                  </pic:spPr>
                </pic:pic>
              </a:graphicData>
            </a:graphic>
          </wp:inline>
        </w:drawing>
      </w:r>
      <w:r w:rsidRPr="3285EAFF">
        <w:rPr>
          <w:rFonts w:cs="Arial"/>
          <w:b/>
          <w:bCs/>
          <w:color w:val="77328A"/>
          <w:sz w:val="36"/>
          <w:szCs w:val="36"/>
        </w:rPr>
        <w:t xml:space="preserve"> </w:t>
      </w:r>
    </w:p>
    <w:p w14:paraId="0DE3D5E5" w14:textId="77777777" w:rsidR="002667DD" w:rsidRDefault="002667DD" w:rsidP="002667DD">
      <w:pPr>
        <w:pStyle w:val="BasicParagraph"/>
        <w:suppressAutoHyphens/>
        <w:jc w:val="center"/>
        <w:rPr>
          <w:rFonts w:cs="Arial"/>
          <w:b/>
          <w:bCs/>
          <w:color w:val="77328A"/>
          <w:sz w:val="36"/>
          <w:szCs w:val="36"/>
        </w:rPr>
      </w:pPr>
    </w:p>
    <w:p w14:paraId="789158A0" w14:textId="77777777" w:rsidR="002667DD" w:rsidRDefault="002667DD" w:rsidP="002667DD">
      <w:pPr>
        <w:pStyle w:val="BasicParagraph"/>
        <w:suppressAutoHyphens/>
        <w:jc w:val="center"/>
        <w:rPr>
          <w:rFonts w:ascii="Verdana" w:hAnsi="Verdana" w:cs="Arial"/>
          <w:b/>
          <w:bCs/>
          <w:color w:val="77328A"/>
          <w:sz w:val="36"/>
          <w:szCs w:val="36"/>
        </w:rPr>
      </w:pPr>
    </w:p>
    <w:p w14:paraId="7B01F94B" w14:textId="77777777" w:rsidR="002667DD" w:rsidRDefault="002667DD" w:rsidP="002667DD">
      <w:pPr>
        <w:pStyle w:val="BasicParagraph"/>
        <w:suppressAutoHyphens/>
        <w:jc w:val="center"/>
        <w:rPr>
          <w:rFonts w:ascii="Verdana" w:hAnsi="Verdana" w:cs="Arial"/>
          <w:b/>
          <w:bCs/>
          <w:color w:val="77328A"/>
          <w:sz w:val="36"/>
          <w:szCs w:val="36"/>
        </w:rPr>
      </w:pPr>
    </w:p>
    <w:p w14:paraId="15C5A62A" w14:textId="77777777" w:rsidR="002667DD" w:rsidRPr="005E31A9" w:rsidRDefault="002667DD" w:rsidP="002667DD">
      <w:pPr>
        <w:pStyle w:val="BasicParagraph"/>
        <w:suppressAutoHyphens/>
        <w:jc w:val="center"/>
        <w:rPr>
          <w:rFonts w:ascii="Verdana" w:hAnsi="Verdana" w:cs="Arial"/>
          <w:b/>
          <w:bCs/>
          <w:color w:val="77328A"/>
          <w:sz w:val="36"/>
          <w:szCs w:val="36"/>
        </w:rPr>
      </w:pPr>
      <w:r w:rsidRPr="005E31A9">
        <w:rPr>
          <w:rFonts w:ascii="Verdana" w:hAnsi="Verdana" w:cs="Arial"/>
          <w:b/>
          <w:bCs/>
          <w:color w:val="77328A"/>
          <w:sz w:val="36"/>
          <w:szCs w:val="36"/>
        </w:rPr>
        <w:t>Annual Report and Accounts</w:t>
      </w:r>
    </w:p>
    <w:p w14:paraId="5A844CBB" w14:textId="5119F95C" w:rsidR="002667DD" w:rsidRDefault="002667DD" w:rsidP="002667DD">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202</w:t>
      </w:r>
      <w:r w:rsidR="00AC33E9">
        <w:rPr>
          <w:rFonts w:ascii="Verdana" w:hAnsi="Verdana" w:cs="Arial"/>
          <w:b/>
          <w:bCs/>
          <w:color w:val="77328A"/>
          <w:sz w:val="36"/>
          <w:szCs w:val="36"/>
        </w:rPr>
        <w:t>3</w:t>
      </w:r>
      <w:r>
        <w:rPr>
          <w:rFonts w:ascii="Verdana" w:hAnsi="Verdana" w:cs="Arial"/>
          <w:b/>
          <w:bCs/>
          <w:color w:val="77328A"/>
          <w:sz w:val="36"/>
          <w:szCs w:val="36"/>
        </w:rPr>
        <w:t>-2</w:t>
      </w:r>
      <w:r w:rsidR="00AC33E9">
        <w:rPr>
          <w:rFonts w:ascii="Verdana" w:hAnsi="Verdana" w:cs="Arial"/>
          <w:b/>
          <w:bCs/>
          <w:color w:val="77328A"/>
          <w:sz w:val="36"/>
          <w:szCs w:val="36"/>
        </w:rPr>
        <w:t>4</w:t>
      </w:r>
    </w:p>
    <w:p w14:paraId="208099F9" w14:textId="77777777" w:rsidR="002667DD" w:rsidRDefault="002667DD" w:rsidP="002667DD">
      <w:pPr>
        <w:pStyle w:val="BasicParagraph"/>
        <w:suppressAutoHyphens/>
        <w:jc w:val="center"/>
        <w:rPr>
          <w:rFonts w:ascii="Verdana" w:hAnsi="Verdana" w:cs="Arial"/>
          <w:b/>
          <w:bCs/>
          <w:color w:val="77328A"/>
          <w:sz w:val="36"/>
          <w:szCs w:val="36"/>
        </w:rPr>
      </w:pPr>
    </w:p>
    <w:p w14:paraId="009F987D" w14:textId="77777777" w:rsidR="002667DD" w:rsidRDefault="002667DD" w:rsidP="002667DD">
      <w:pPr>
        <w:pStyle w:val="BasicParagraph"/>
        <w:suppressAutoHyphens/>
        <w:jc w:val="center"/>
        <w:rPr>
          <w:rFonts w:ascii="Verdana" w:hAnsi="Verdana" w:cs="Arial"/>
          <w:b/>
          <w:bCs/>
          <w:color w:val="77328A"/>
          <w:sz w:val="36"/>
          <w:szCs w:val="36"/>
        </w:rPr>
      </w:pPr>
    </w:p>
    <w:p w14:paraId="05A99B47" w14:textId="77777777" w:rsidR="002667DD" w:rsidRDefault="002667DD" w:rsidP="002667DD">
      <w:pPr>
        <w:pStyle w:val="BasicParagraph"/>
        <w:suppressAutoHyphens/>
        <w:jc w:val="center"/>
        <w:rPr>
          <w:rFonts w:ascii="Verdana" w:hAnsi="Verdana" w:cs="Arial"/>
          <w:b/>
          <w:bCs/>
          <w:color w:val="77328A"/>
          <w:sz w:val="36"/>
          <w:szCs w:val="36"/>
        </w:rPr>
      </w:pPr>
    </w:p>
    <w:p w14:paraId="56B6982F" w14:textId="77777777" w:rsidR="002667DD" w:rsidRDefault="002667DD" w:rsidP="002667DD">
      <w:pPr>
        <w:pStyle w:val="BasicParagraph"/>
        <w:suppressAutoHyphens/>
        <w:jc w:val="center"/>
        <w:rPr>
          <w:rFonts w:ascii="Verdana" w:hAnsi="Verdana" w:cs="Arial"/>
          <w:b/>
          <w:bCs/>
          <w:color w:val="77328A"/>
          <w:sz w:val="36"/>
          <w:szCs w:val="36"/>
        </w:rPr>
      </w:pPr>
    </w:p>
    <w:p w14:paraId="35F91A8D" w14:textId="77777777" w:rsidR="002667DD" w:rsidRDefault="002667DD" w:rsidP="002667DD">
      <w:pPr>
        <w:pStyle w:val="BasicParagraph"/>
        <w:suppressAutoHyphens/>
        <w:jc w:val="center"/>
        <w:rPr>
          <w:rFonts w:ascii="Verdana" w:hAnsi="Verdana" w:cs="Arial"/>
          <w:b/>
          <w:bCs/>
          <w:color w:val="77328A"/>
          <w:sz w:val="36"/>
          <w:szCs w:val="36"/>
        </w:rPr>
      </w:pPr>
    </w:p>
    <w:p w14:paraId="307C54C9" w14:textId="77777777" w:rsidR="002667DD" w:rsidRDefault="002667DD" w:rsidP="002667DD">
      <w:pPr>
        <w:pStyle w:val="BasicParagraph"/>
        <w:suppressAutoHyphens/>
        <w:jc w:val="center"/>
        <w:rPr>
          <w:rFonts w:ascii="Verdana" w:hAnsi="Verdana" w:cs="Arial"/>
          <w:b/>
          <w:bCs/>
          <w:color w:val="77328A"/>
          <w:sz w:val="36"/>
          <w:szCs w:val="36"/>
        </w:rPr>
      </w:pPr>
    </w:p>
    <w:p w14:paraId="2CCD7A63" w14:textId="77777777" w:rsidR="002667DD" w:rsidRPr="005E31A9" w:rsidRDefault="002667DD" w:rsidP="002667DD">
      <w:pPr>
        <w:pStyle w:val="BasicParagraph"/>
        <w:suppressAutoHyphens/>
        <w:jc w:val="center"/>
        <w:rPr>
          <w:rFonts w:ascii="Verdana" w:hAnsi="Verdana" w:cs="Arial"/>
          <w:b/>
          <w:bCs/>
          <w:color w:val="77328A"/>
          <w:sz w:val="72"/>
          <w:szCs w:val="72"/>
        </w:rPr>
      </w:pPr>
    </w:p>
    <w:p w14:paraId="61DCF9DC" w14:textId="6EB9ABCD" w:rsidR="002667DD" w:rsidRDefault="00080AB2" w:rsidP="002667DD">
      <w:r>
        <w:t>HC</w:t>
      </w:r>
      <w:r w:rsidR="002667DD">
        <w:t xml:space="preserve"> </w:t>
      </w:r>
      <w:r w:rsidR="0089003B">
        <w:t>29</w:t>
      </w:r>
    </w:p>
    <w:p w14:paraId="756A5B37" w14:textId="77777777" w:rsidR="002667DD" w:rsidRDefault="002667DD" w:rsidP="002667DD">
      <w:r>
        <w:br w:type="page"/>
      </w:r>
    </w:p>
    <w:p w14:paraId="0C3A3536" w14:textId="77777777" w:rsidR="002667DD" w:rsidRPr="005E31A9" w:rsidRDefault="002667DD" w:rsidP="002667DD">
      <w:pPr>
        <w:rPr>
          <w:rFonts w:cs="Arial"/>
          <w:b/>
          <w:bCs/>
          <w:color w:val="77328A"/>
          <w:sz w:val="36"/>
          <w:szCs w:val="36"/>
        </w:rPr>
      </w:pPr>
      <w:r>
        <w:rPr>
          <w:rFonts w:cs="Arial"/>
          <w:b/>
          <w:bCs/>
          <w:color w:val="77328A"/>
          <w:sz w:val="36"/>
          <w:szCs w:val="36"/>
        </w:rPr>
        <w:lastRenderedPageBreak/>
        <w:br w:type="page"/>
      </w:r>
    </w:p>
    <w:p w14:paraId="23A65CA3" w14:textId="68BF8B52" w:rsidR="002667DD" w:rsidRPr="00B80F07" w:rsidRDefault="00302923" w:rsidP="00302923">
      <w:pPr>
        <w:jc w:val="center"/>
        <w:rPr>
          <w:highlight w:val="yellow"/>
        </w:rPr>
      </w:pPr>
      <w:r>
        <w:rPr>
          <w:noProof/>
          <w:lang w:eastAsia="en-GB"/>
        </w:rPr>
        <w:lastRenderedPageBreak/>
        <w:drawing>
          <wp:inline distT="0" distB="0" distL="0" distR="0" wp14:anchorId="009ED320" wp14:editId="68161D7B">
            <wp:extent cx="2908485" cy="3886623"/>
            <wp:effectExtent l="0" t="0" r="0" b="0"/>
            <wp:docPr id="1547574103" name="Picture 1547574103"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2908485" cy="3886623"/>
                    </a:xfrm>
                    <a:prstGeom prst="rect">
                      <a:avLst/>
                    </a:prstGeom>
                  </pic:spPr>
                </pic:pic>
              </a:graphicData>
            </a:graphic>
          </wp:inline>
        </w:drawing>
      </w:r>
    </w:p>
    <w:p w14:paraId="403C9E86" w14:textId="77777777" w:rsidR="002667DD" w:rsidRPr="005A7FE6" w:rsidRDefault="002667DD" w:rsidP="002667DD">
      <w:pPr>
        <w:rPr>
          <w:b/>
          <w:sz w:val="36"/>
        </w:rPr>
      </w:pPr>
    </w:p>
    <w:p w14:paraId="709A5531" w14:textId="77777777" w:rsidR="002667DD" w:rsidRDefault="002667DD" w:rsidP="002667DD">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Annual Report and Accounts</w:t>
      </w:r>
    </w:p>
    <w:p w14:paraId="6BC322D2" w14:textId="515C4B07" w:rsidR="002667DD" w:rsidRDefault="002667DD" w:rsidP="002667DD">
      <w:pPr>
        <w:widowControl w:val="0"/>
        <w:autoSpaceDE w:val="0"/>
        <w:autoSpaceDN w:val="0"/>
        <w:adjustRightInd w:val="0"/>
        <w:jc w:val="center"/>
        <w:rPr>
          <w:rFonts w:cs="Arial"/>
          <w:b/>
          <w:bCs/>
          <w:color w:val="77328A"/>
          <w:sz w:val="36"/>
          <w:szCs w:val="36"/>
        </w:rPr>
      </w:pPr>
      <w:r>
        <w:rPr>
          <w:rFonts w:cs="Arial"/>
          <w:b/>
          <w:bCs/>
          <w:color w:val="77328A"/>
          <w:sz w:val="36"/>
          <w:szCs w:val="36"/>
        </w:rPr>
        <w:t>202</w:t>
      </w:r>
      <w:r w:rsidR="00AC33E9">
        <w:rPr>
          <w:rFonts w:cs="Arial"/>
          <w:b/>
          <w:bCs/>
          <w:color w:val="77328A"/>
          <w:sz w:val="36"/>
          <w:szCs w:val="36"/>
        </w:rPr>
        <w:t>3</w:t>
      </w:r>
      <w:r>
        <w:rPr>
          <w:rFonts w:cs="Arial"/>
          <w:b/>
          <w:bCs/>
          <w:color w:val="77328A"/>
          <w:sz w:val="36"/>
          <w:szCs w:val="36"/>
        </w:rPr>
        <w:t>-</w:t>
      </w:r>
      <w:r w:rsidR="00AB28E9">
        <w:rPr>
          <w:rFonts w:cs="Arial"/>
          <w:b/>
          <w:bCs/>
          <w:color w:val="77328A"/>
          <w:sz w:val="36"/>
          <w:szCs w:val="36"/>
        </w:rPr>
        <w:t>20</w:t>
      </w:r>
      <w:r>
        <w:rPr>
          <w:rFonts w:cs="Arial"/>
          <w:b/>
          <w:bCs/>
          <w:color w:val="77328A"/>
          <w:sz w:val="36"/>
          <w:szCs w:val="36"/>
        </w:rPr>
        <w:t>2</w:t>
      </w:r>
      <w:r w:rsidR="00AC33E9">
        <w:rPr>
          <w:rFonts w:cs="Arial"/>
          <w:b/>
          <w:bCs/>
          <w:color w:val="77328A"/>
          <w:sz w:val="36"/>
          <w:szCs w:val="36"/>
        </w:rPr>
        <w:t>4</w:t>
      </w:r>
    </w:p>
    <w:p w14:paraId="5D331014" w14:textId="77777777" w:rsidR="00BC0926" w:rsidRDefault="00BC0926" w:rsidP="002667DD">
      <w:pPr>
        <w:widowControl w:val="0"/>
        <w:autoSpaceDE w:val="0"/>
        <w:autoSpaceDN w:val="0"/>
        <w:adjustRightInd w:val="0"/>
        <w:jc w:val="center"/>
        <w:rPr>
          <w:rFonts w:cs="Arial"/>
          <w:b/>
          <w:bCs/>
          <w:color w:val="77328A"/>
          <w:sz w:val="36"/>
          <w:szCs w:val="36"/>
        </w:rPr>
      </w:pPr>
    </w:p>
    <w:p w14:paraId="70758B54" w14:textId="70903E69" w:rsidR="00BC0926" w:rsidRPr="005C6D9D" w:rsidRDefault="00BC0926" w:rsidP="002667DD">
      <w:pPr>
        <w:widowControl w:val="0"/>
        <w:autoSpaceDE w:val="0"/>
        <w:autoSpaceDN w:val="0"/>
        <w:adjustRightInd w:val="0"/>
        <w:jc w:val="center"/>
        <w:rPr>
          <w:b/>
          <w:sz w:val="36"/>
          <w:szCs w:val="36"/>
        </w:rPr>
      </w:pPr>
      <w:r>
        <w:rPr>
          <w:rFonts w:cs="Arial"/>
          <w:b/>
          <w:bCs/>
          <w:color w:val="77328A"/>
          <w:sz w:val="36"/>
          <w:szCs w:val="36"/>
        </w:rPr>
        <w:t xml:space="preserve">For the period </w:t>
      </w:r>
      <w:r w:rsidR="00804D02">
        <w:rPr>
          <w:rFonts w:cs="Arial"/>
          <w:b/>
          <w:bCs/>
          <w:color w:val="77328A"/>
          <w:sz w:val="36"/>
          <w:szCs w:val="36"/>
        </w:rPr>
        <w:t>1 April 2023 to 31 March 2024</w:t>
      </w:r>
    </w:p>
    <w:p w14:paraId="381BD364" w14:textId="77777777" w:rsidR="002667DD" w:rsidRDefault="002667DD" w:rsidP="002667DD">
      <w:pPr>
        <w:widowControl w:val="0"/>
        <w:autoSpaceDE w:val="0"/>
        <w:autoSpaceDN w:val="0"/>
        <w:adjustRightInd w:val="0"/>
        <w:jc w:val="center"/>
        <w:rPr>
          <w:b/>
          <w:sz w:val="32"/>
          <w:szCs w:val="32"/>
        </w:rPr>
      </w:pPr>
    </w:p>
    <w:p w14:paraId="1E897BF8" w14:textId="77777777" w:rsidR="002667DD" w:rsidRDefault="002667DD" w:rsidP="002667DD">
      <w:pPr>
        <w:widowControl w:val="0"/>
        <w:autoSpaceDE w:val="0"/>
        <w:autoSpaceDN w:val="0"/>
        <w:adjustRightInd w:val="0"/>
        <w:jc w:val="center"/>
        <w:rPr>
          <w:b/>
          <w:sz w:val="32"/>
          <w:szCs w:val="32"/>
        </w:rPr>
      </w:pPr>
    </w:p>
    <w:p w14:paraId="1B65AE5D" w14:textId="77777777" w:rsidR="002667DD" w:rsidRDefault="002667DD" w:rsidP="002667DD">
      <w:pPr>
        <w:widowControl w:val="0"/>
        <w:autoSpaceDE w:val="0"/>
        <w:autoSpaceDN w:val="0"/>
        <w:adjustRightInd w:val="0"/>
        <w:jc w:val="center"/>
        <w:rPr>
          <w:b/>
          <w:sz w:val="32"/>
          <w:szCs w:val="32"/>
        </w:rPr>
      </w:pPr>
    </w:p>
    <w:p w14:paraId="26DEF463" w14:textId="77777777" w:rsidR="002667DD" w:rsidRPr="005A7FE6" w:rsidRDefault="002667DD" w:rsidP="002667DD"/>
    <w:p w14:paraId="52524232" w14:textId="77777777" w:rsidR="002667DD" w:rsidRPr="00EB5423" w:rsidRDefault="002667DD" w:rsidP="002667DD">
      <w:pPr>
        <w:autoSpaceDE w:val="0"/>
        <w:autoSpaceDN w:val="0"/>
        <w:jc w:val="center"/>
        <w:rPr>
          <w:sz w:val="22"/>
          <w:szCs w:val="22"/>
          <w:lang w:val="en-US"/>
        </w:rPr>
      </w:pPr>
      <w:r w:rsidRPr="00EB5423">
        <w:rPr>
          <w:sz w:val="22"/>
          <w:szCs w:val="22"/>
          <w:lang w:val="en-US"/>
        </w:rPr>
        <w:t xml:space="preserve">Presented to Parliament </w:t>
      </w:r>
      <w:r>
        <w:rPr>
          <w:sz w:val="22"/>
          <w:szCs w:val="22"/>
          <w:lang w:val="en-US"/>
        </w:rPr>
        <w:t>pursuant</w:t>
      </w:r>
      <w:r w:rsidRPr="00EB5423">
        <w:rPr>
          <w:sz w:val="22"/>
          <w:szCs w:val="22"/>
          <w:lang w:val="en-US"/>
        </w:rPr>
        <w:t xml:space="preserve"> </w:t>
      </w:r>
      <w:r>
        <w:rPr>
          <w:sz w:val="22"/>
          <w:szCs w:val="22"/>
          <w:lang w:val="en-US"/>
        </w:rPr>
        <w:t>to</w:t>
      </w:r>
      <w:r w:rsidRPr="00EB5423">
        <w:rPr>
          <w:sz w:val="22"/>
          <w:szCs w:val="22"/>
          <w:lang w:val="en-US"/>
        </w:rPr>
        <w:t xml:space="preserve"> paragraph 5(2) </w:t>
      </w:r>
      <w:r>
        <w:rPr>
          <w:sz w:val="22"/>
          <w:szCs w:val="22"/>
          <w:lang w:val="en-US"/>
        </w:rPr>
        <w:t>and</w:t>
      </w:r>
      <w:r w:rsidRPr="00EB5423">
        <w:rPr>
          <w:sz w:val="22"/>
          <w:szCs w:val="22"/>
          <w:lang w:val="en-US"/>
        </w:rPr>
        <w:t xml:space="preserve"> paragraph 7(3)(b) of Schedule 7 to the Northern Ireland Act 1998.</w:t>
      </w:r>
    </w:p>
    <w:p w14:paraId="38C255E6" w14:textId="77777777" w:rsidR="002667DD" w:rsidRDefault="002667DD" w:rsidP="002667DD">
      <w:pPr>
        <w:rPr>
          <w:sz w:val="32"/>
          <w:szCs w:val="44"/>
        </w:rPr>
      </w:pPr>
    </w:p>
    <w:p w14:paraId="12663B50" w14:textId="77777777" w:rsidR="002667DD" w:rsidRDefault="002667DD" w:rsidP="002667DD">
      <w:pPr>
        <w:rPr>
          <w:sz w:val="32"/>
          <w:szCs w:val="44"/>
        </w:rPr>
      </w:pPr>
    </w:p>
    <w:p w14:paraId="76FE2EF8" w14:textId="77777777" w:rsidR="002667DD" w:rsidRDefault="002667DD" w:rsidP="002667DD">
      <w:pPr>
        <w:rPr>
          <w:sz w:val="32"/>
          <w:szCs w:val="44"/>
        </w:rPr>
      </w:pPr>
    </w:p>
    <w:p w14:paraId="105CE82B" w14:textId="77777777" w:rsidR="002667DD" w:rsidRDefault="002667DD" w:rsidP="002667DD">
      <w:pPr>
        <w:pStyle w:val="Pa7"/>
        <w:jc w:val="center"/>
        <w:outlineLvl w:val="0"/>
        <w:rPr>
          <w:rFonts w:ascii="Verdana" w:hAnsi="Verdana" w:cs="Arial"/>
          <w:color w:val="000000"/>
          <w:sz w:val="28"/>
          <w:szCs w:val="28"/>
        </w:rPr>
      </w:pPr>
      <w:r w:rsidRPr="0073049C">
        <w:rPr>
          <w:rFonts w:ascii="Verdana" w:hAnsi="Verdana" w:cs="Arial"/>
          <w:color w:val="000000"/>
          <w:sz w:val="28"/>
          <w:szCs w:val="28"/>
        </w:rPr>
        <w:t>Ordered by the House of Commons to be printed</w:t>
      </w:r>
    </w:p>
    <w:p w14:paraId="574367B3" w14:textId="667F933C" w:rsidR="002667DD" w:rsidRPr="00671DA5" w:rsidRDefault="002667DD" w:rsidP="002667DD">
      <w:pPr>
        <w:jc w:val="center"/>
        <w:rPr>
          <w:sz w:val="28"/>
          <w:szCs w:val="28"/>
        </w:rPr>
      </w:pPr>
      <w:r w:rsidRPr="00671DA5">
        <w:rPr>
          <w:sz w:val="28"/>
          <w:szCs w:val="28"/>
        </w:rPr>
        <w:t xml:space="preserve">on </w:t>
      </w:r>
      <w:r w:rsidR="006D75B5">
        <w:rPr>
          <w:sz w:val="28"/>
          <w:szCs w:val="28"/>
        </w:rPr>
        <w:t>29 July</w:t>
      </w:r>
      <w:r w:rsidRPr="00671DA5">
        <w:rPr>
          <w:sz w:val="28"/>
          <w:szCs w:val="28"/>
        </w:rPr>
        <w:t xml:space="preserve"> 20</w:t>
      </w:r>
      <w:r w:rsidR="005E6D62">
        <w:rPr>
          <w:sz w:val="28"/>
          <w:szCs w:val="28"/>
        </w:rPr>
        <w:t>2</w:t>
      </w:r>
      <w:r w:rsidR="00AC33E9">
        <w:rPr>
          <w:sz w:val="28"/>
          <w:szCs w:val="28"/>
        </w:rPr>
        <w:t>4</w:t>
      </w:r>
    </w:p>
    <w:p w14:paraId="4FEE3311" w14:textId="77777777" w:rsidR="002667DD" w:rsidRDefault="002667DD" w:rsidP="002667DD">
      <w:pPr>
        <w:pStyle w:val="Header"/>
        <w:jc w:val="center"/>
        <w:rPr>
          <w:rFonts w:cs="ZurichBT-LightCondensed"/>
          <w:sz w:val="28"/>
          <w:szCs w:val="28"/>
          <w:lang w:val="en-US"/>
        </w:rPr>
      </w:pPr>
      <w:r w:rsidRPr="0073049C">
        <w:rPr>
          <w:rFonts w:cs="ZurichBT-LightCondensed"/>
          <w:sz w:val="28"/>
          <w:szCs w:val="28"/>
          <w:lang w:val="en-US"/>
        </w:rPr>
        <w:t xml:space="preserve"> </w:t>
      </w:r>
    </w:p>
    <w:p w14:paraId="4E218E45" w14:textId="77777777" w:rsidR="002667DD" w:rsidRDefault="002667DD" w:rsidP="002667DD">
      <w:pPr>
        <w:pStyle w:val="Header"/>
        <w:rPr>
          <w:rFonts w:cs="ZurichBT-LightCondensed"/>
          <w:lang w:val="en-US"/>
        </w:rPr>
      </w:pPr>
    </w:p>
    <w:p w14:paraId="785BDBBB" w14:textId="77777777" w:rsidR="002667DD" w:rsidRDefault="002667DD" w:rsidP="002667DD">
      <w:pPr>
        <w:pStyle w:val="Header"/>
        <w:rPr>
          <w:rFonts w:cs="ZurichBT-LightCondensed"/>
          <w:lang w:val="en-US"/>
        </w:rPr>
      </w:pPr>
    </w:p>
    <w:p w14:paraId="77099FFF" w14:textId="77777777" w:rsidR="002667DD" w:rsidRDefault="002667DD" w:rsidP="002667DD">
      <w:pPr>
        <w:pStyle w:val="Header"/>
        <w:rPr>
          <w:rFonts w:cs="ZurichBT-LightCondensed"/>
          <w:lang w:val="en-US"/>
        </w:rPr>
      </w:pPr>
    </w:p>
    <w:p w14:paraId="474BFEA2" w14:textId="31BBCF85" w:rsidR="002667DD" w:rsidRPr="00684F41" w:rsidRDefault="00080AB2" w:rsidP="002667DD">
      <w:pPr>
        <w:pStyle w:val="Header"/>
      </w:pPr>
      <w:r>
        <w:rPr>
          <w:rFonts w:cs="ZurichBT-LightCondensed"/>
          <w:lang w:val="en-US"/>
        </w:rPr>
        <w:t>HC</w:t>
      </w:r>
      <w:r w:rsidR="002667DD">
        <w:rPr>
          <w:rFonts w:cs="ZurichBT-LightCondensed"/>
          <w:lang w:val="en-US"/>
        </w:rPr>
        <w:t xml:space="preserve"> </w:t>
      </w:r>
      <w:r w:rsidR="0089003B">
        <w:rPr>
          <w:rFonts w:cs="ZurichBT-LightCondensed"/>
          <w:lang w:val="en-US"/>
        </w:rPr>
        <w:t>29</w:t>
      </w:r>
    </w:p>
    <w:p w14:paraId="49747693" w14:textId="77777777" w:rsidR="002667DD" w:rsidRPr="005A7FE6" w:rsidRDefault="002667DD" w:rsidP="002667DD">
      <w:pPr>
        <w:pStyle w:val="Header"/>
        <w:jc w:val="center"/>
      </w:pPr>
    </w:p>
    <w:p w14:paraId="13F5CA8F" w14:textId="77777777" w:rsidR="002667DD" w:rsidRPr="005A7FE6" w:rsidRDefault="002667DD" w:rsidP="002667DD">
      <w:pPr>
        <w:pStyle w:val="Header"/>
        <w:jc w:val="center"/>
      </w:pPr>
    </w:p>
    <w:p w14:paraId="57688BAA" w14:textId="77777777" w:rsidR="002667DD" w:rsidRPr="005A7FE6" w:rsidRDefault="002667DD" w:rsidP="002667DD">
      <w:pPr>
        <w:jc w:val="center"/>
        <w:rPr>
          <w:b/>
          <w:caps/>
          <w:sz w:val="28"/>
          <w:szCs w:val="28"/>
        </w:rPr>
      </w:pPr>
    </w:p>
    <w:p w14:paraId="60C2F00B" w14:textId="77777777" w:rsidR="002667DD" w:rsidRPr="005A7FE6" w:rsidRDefault="002667DD" w:rsidP="002667DD">
      <w:pPr>
        <w:jc w:val="center"/>
        <w:rPr>
          <w:b/>
          <w:caps/>
          <w:sz w:val="28"/>
          <w:szCs w:val="28"/>
        </w:rPr>
      </w:pPr>
    </w:p>
    <w:p w14:paraId="317FB66E" w14:textId="77777777" w:rsidR="002667DD" w:rsidRPr="005A7FE6" w:rsidRDefault="002667DD" w:rsidP="002667DD">
      <w:pPr>
        <w:jc w:val="center"/>
        <w:rPr>
          <w:b/>
          <w:caps/>
          <w:sz w:val="28"/>
          <w:szCs w:val="28"/>
        </w:rPr>
      </w:pPr>
    </w:p>
    <w:p w14:paraId="0B866B09" w14:textId="77777777" w:rsidR="002667DD" w:rsidRPr="005A7FE6" w:rsidRDefault="002667DD" w:rsidP="002667DD">
      <w:pPr>
        <w:jc w:val="center"/>
        <w:rPr>
          <w:b/>
          <w:caps/>
          <w:sz w:val="28"/>
          <w:szCs w:val="28"/>
        </w:rPr>
      </w:pPr>
    </w:p>
    <w:p w14:paraId="3EC50047" w14:textId="77777777" w:rsidR="002667DD" w:rsidRPr="005A7FE6" w:rsidRDefault="002667DD" w:rsidP="002667DD">
      <w:pPr>
        <w:jc w:val="center"/>
        <w:rPr>
          <w:b/>
          <w:caps/>
          <w:sz w:val="28"/>
          <w:szCs w:val="28"/>
        </w:rPr>
      </w:pPr>
    </w:p>
    <w:p w14:paraId="26A86CA0" w14:textId="77777777" w:rsidR="002667DD" w:rsidRPr="005A7FE6" w:rsidRDefault="002667DD" w:rsidP="002667DD">
      <w:pPr>
        <w:jc w:val="center"/>
        <w:rPr>
          <w:b/>
          <w:caps/>
          <w:sz w:val="28"/>
          <w:szCs w:val="28"/>
        </w:rPr>
      </w:pPr>
    </w:p>
    <w:p w14:paraId="265BFEE2" w14:textId="77777777" w:rsidR="002667DD" w:rsidRPr="005A7FE6" w:rsidRDefault="002667DD" w:rsidP="002667DD">
      <w:pPr>
        <w:jc w:val="center"/>
        <w:rPr>
          <w:b/>
          <w:caps/>
          <w:sz w:val="28"/>
          <w:szCs w:val="28"/>
        </w:rPr>
      </w:pPr>
    </w:p>
    <w:p w14:paraId="324DE5E4" w14:textId="77777777" w:rsidR="002667DD" w:rsidRPr="005A7FE6" w:rsidRDefault="002667DD" w:rsidP="002667DD">
      <w:pPr>
        <w:jc w:val="center"/>
        <w:rPr>
          <w:b/>
          <w:caps/>
          <w:sz w:val="28"/>
          <w:szCs w:val="28"/>
        </w:rPr>
      </w:pPr>
    </w:p>
    <w:p w14:paraId="717921BC" w14:textId="77777777" w:rsidR="002667DD" w:rsidRPr="005A7FE6" w:rsidRDefault="002667DD" w:rsidP="002667DD">
      <w:pPr>
        <w:jc w:val="center"/>
        <w:rPr>
          <w:b/>
          <w:caps/>
          <w:sz w:val="28"/>
          <w:szCs w:val="28"/>
        </w:rPr>
      </w:pPr>
    </w:p>
    <w:p w14:paraId="4F101531" w14:textId="77777777" w:rsidR="002667DD" w:rsidRPr="005A7FE6" w:rsidRDefault="002667DD" w:rsidP="002667DD">
      <w:pPr>
        <w:jc w:val="center"/>
        <w:rPr>
          <w:b/>
          <w:caps/>
          <w:sz w:val="28"/>
          <w:szCs w:val="28"/>
        </w:rPr>
      </w:pPr>
    </w:p>
    <w:p w14:paraId="3709E838" w14:textId="77777777" w:rsidR="002667DD" w:rsidRDefault="002667DD" w:rsidP="002667DD">
      <w:pPr>
        <w:jc w:val="center"/>
        <w:rPr>
          <w:b/>
          <w:caps/>
          <w:sz w:val="28"/>
          <w:szCs w:val="28"/>
        </w:rPr>
      </w:pPr>
    </w:p>
    <w:p w14:paraId="121E8A02" w14:textId="77777777" w:rsidR="002667DD" w:rsidRDefault="002667DD" w:rsidP="002667DD">
      <w:pPr>
        <w:jc w:val="center"/>
        <w:rPr>
          <w:b/>
          <w:caps/>
          <w:sz w:val="28"/>
          <w:szCs w:val="28"/>
        </w:rPr>
      </w:pPr>
    </w:p>
    <w:p w14:paraId="38A12427" w14:textId="77777777" w:rsidR="002667DD" w:rsidRDefault="002667DD" w:rsidP="002667DD">
      <w:pPr>
        <w:jc w:val="center"/>
        <w:rPr>
          <w:b/>
          <w:caps/>
          <w:sz w:val="28"/>
          <w:szCs w:val="28"/>
        </w:rPr>
      </w:pPr>
    </w:p>
    <w:p w14:paraId="3EB90D37" w14:textId="77777777" w:rsidR="00A17D52" w:rsidRDefault="00A17D52" w:rsidP="00A17D52">
      <w:pPr>
        <w:shd w:val="clear" w:color="auto" w:fill="FFFFFF"/>
        <w:spacing w:after="320"/>
        <w:rPr>
          <w:rFonts w:ascii="Arial" w:hAnsi="Arial" w:cs="Arial"/>
          <w:lang w:eastAsia="en-GB"/>
        </w:rPr>
      </w:pPr>
      <w:r w:rsidRPr="00497B62">
        <w:rPr>
          <w:noProof/>
          <w:lang w:eastAsia="en-GB"/>
        </w:rPr>
        <w:drawing>
          <wp:inline distT="0" distB="0" distL="0" distR="0" wp14:anchorId="665803BD" wp14:editId="59944DD7">
            <wp:extent cx="715645" cy="335666"/>
            <wp:effectExtent l="0" t="0" r="0" b="0"/>
            <wp:docPr id="1351716189" name="Picture 1351716189"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 log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076" t="-1" b="11892"/>
                    <a:stretch/>
                  </pic:blipFill>
                  <pic:spPr bwMode="auto">
                    <a:xfrm>
                      <a:off x="0" y="0"/>
                      <a:ext cx="715701" cy="335692"/>
                    </a:xfrm>
                    <a:prstGeom prst="rect">
                      <a:avLst/>
                    </a:prstGeom>
                    <a:noFill/>
                    <a:ln>
                      <a:noFill/>
                    </a:ln>
                    <a:extLst>
                      <a:ext uri="{53640926-AAD7-44D8-BBD7-CCE9431645EC}">
                        <a14:shadowObscured xmlns:a14="http://schemas.microsoft.com/office/drawing/2010/main"/>
                      </a:ext>
                    </a:extLst>
                  </pic:spPr>
                </pic:pic>
              </a:graphicData>
            </a:graphic>
          </wp:inline>
        </w:drawing>
      </w:r>
    </w:p>
    <w:p w14:paraId="5C3CC308" w14:textId="23D3E7AC" w:rsidR="00A17D52" w:rsidRPr="002E15D9" w:rsidRDefault="00A17D52" w:rsidP="00A17D52">
      <w:pPr>
        <w:shd w:val="clear" w:color="auto" w:fill="FFFFFF"/>
        <w:spacing w:after="320"/>
        <w:rPr>
          <w:rFonts w:ascii="Arial" w:hAnsi="Arial" w:cs="Arial"/>
          <w:lang w:eastAsia="en-GB"/>
        </w:rPr>
      </w:pPr>
      <w:r w:rsidRPr="002E15D9">
        <w:rPr>
          <w:rFonts w:ascii="Arial" w:hAnsi="Arial" w:cs="Arial"/>
          <w:lang w:eastAsia="en-GB"/>
        </w:rPr>
        <w:t>© </w:t>
      </w:r>
      <w:r>
        <w:rPr>
          <w:rFonts w:ascii="Arial" w:hAnsi="Arial" w:cs="Arial"/>
          <w:lang w:eastAsia="en-GB"/>
        </w:rPr>
        <w:t>Northern Ireland Human Rights Commission</w:t>
      </w:r>
      <w:r w:rsidRPr="002E15D9">
        <w:rPr>
          <w:rFonts w:ascii="Arial" w:hAnsi="Arial" w:cs="Arial"/>
          <w:lang w:eastAsia="en-GB"/>
        </w:rPr>
        <w:t> copyright </w:t>
      </w:r>
      <w:r w:rsidR="00FD1894">
        <w:rPr>
          <w:rFonts w:ascii="Arial" w:hAnsi="Arial" w:cs="Arial"/>
          <w:b/>
          <w:bCs/>
          <w:lang w:eastAsia="en-GB"/>
        </w:rPr>
        <w:t>2024</w:t>
      </w:r>
    </w:p>
    <w:p w14:paraId="2212F1C2" w14:textId="77777777" w:rsidR="00A17D52" w:rsidRPr="00FD1894" w:rsidRDefault="00A17D52" w:rsidP="00A17D52">
      <w:pPr>
        <w:shd w:val="clear" w:color="auto" w:fill="FFFFFF"/>
        <w:spacing w:after="320"/>
        <w:rPr>
          <w:rFonts w:cs="Arial"/>
          <w:sz w:val="22"/>
          <w:szCs w:val="22"/>
          <w:lang w:eastAsia="en-GB"/>
        </w:rPr>
      </w:pPr>
      <w:r w:rsidRPr="00FD1894">
        <w:rPr>
          <w:rFonts w:cs="Arial"/>
          <w:sz w:val="22"/>
          <w:szCs w:val="22"/>
          <w:lang w:eastAsia="en-GB"/>
        </w:rPr>
        <w:t>This publication is licensed under the terms of the Open Government Licence v3.0 except where otherwise stated. To view this licence, visit </w:t>
      </w:r>
      <w:hyperlink r:id="rId13" w:history="1">
        <w:r w:rsidRPr="00FD1894">
          <w:rPr>
            <w:rFonts w:cs="Arial"/>
            <w:color w:val="2A5DB0"/>
            <w:sz w:val="22"/>
            <w:szCs w:val="22"/>
            <w:u w:val="single"/>
            <w:lang w:eastAsia="en-GB"/>
          </w:rPr>
          <w:t>nationalarchives.gov.uk/doc/open-government-licence/version/3</w:t>
        </w:r>
      </w:hyperlink>
      <w:r w:rsidRPr="00FD1894">
        <w:rPr>
          <w:rFonts w:cs="Arial"/>
          <w:sz w:val="22"/>
          <w:szCs w:val="22"/>
          <w:lang w:eastAsia="en-GB"/>
        </w:rPr>
        <w:t>.</w:t>
      </w:r>
    </w:p>
    <w:p w14:paraId="4BD16FE0" w14:textId="77777777" w:rsidR="00A17D52" w:rsidRPr="00FD1894" w:rsidRDefault="00A17D52" w:rsidP="00A17D52">
      <w:pPr>
        <w:shd w:val="clear" w:color="auto" w:fill="FFFFFF"/>
        <w:spacing w:after="320"/>
        <w:rPr>
          <w:rFonts w:cs="Arial"/>
          <w:sz w:val="22"/>
          <w:szCs w:val="22"/>
          <w:lang w:eastAsia="en-GB"/>
        </w:rPr>
      </w:pPr>
      <w:r w:rsidRPr="00FD1894">
        <w:rPr>
          <w:rFonts w:cs="Arial"/>
          <w:sz w:val="22"/>
          <w:szCs w:val="22"/>
          <w:lang w:eastAsia="en-GB"/>
        </w:rPr>
        <w:t xml:space="preserve">Where we have identified any </w:t>
      </w:r>
      <w:proofErr w:type="gramStart"/>
      <w:r w:rsidRPr="00FD1894">
        <w:rPr>
          <w:rFonts w:cs="Arial"/>
          <w:sz w:val="22"/>
          <w:szCs w:val="22"/>
          <w:lang w:eastAsia="en-GB"/>
        </w:rPr>
        <w:t>third party</w:t>
      </w:r>
      <w:proofErr w:type="gramEnd"/>
      <w:r w:rsidRPr="00FD1894">
        <w:rPr>
          <w:rFonts w:cs="Arial"/>
          <w:sz w:val="22"/>
          <w:szCs w:val="22"/>
          <w:lang w:eastAsia="en-GB"/>
        </w:rPr>
        <w:t xml:space="preserve"> copyright information you will need to obtain permission from the copyright holders concerned.</w:t>
      </w:r>
    </w:p>
    <w:p w14:paraId="3CBDBA65" w14:textId="77777777" w:rsidR="00A17D52" w:rsidRPr="00FD1894" w:rsidRDefault="00A17D52" w:rsidP="00A17D52">
      <w:pPr>
        <w:shd w:val="clear" w:color="auto" w:fill="FFFFFF"/>
        <w:spacing w:after="320"/>
        <w:rPr>
          <w:rFonts w:cs="Arial"/>
          <w:sz w:val="22"/>
          <w:szCs w:val="22"/>
          <w:lang w:eastAsia="en-GB"/>
        </w:rPr>
      </w:pPr>
      <w:r w:rsidRPr="00FD1894">
        <w:rPr>
          <w:rFonts w:cs="Arial"/>
          <w:sz w:val="22"/>
          <w:szCs w:val="22"/>
          <w:lang w:eastAsia="en-GB"/>
        </w:rPr>
        <w:t xml:space="preserve">This publication is available at </w:t>
      </w:r>
      <w:hyperlink r:id="rId14">
        <w:r w:rsidRPr="00FD1894">
          <w:rPr>
            <w:rStyle w:val="Hyperlink"/>
            <w:rFonts w:eastAsia="Arial"/>
            <w:color w:val="2A5DB0"/>
            <w:sz w:val="22"/>
            <w:szCs w:val="22"/>
            <w:lang w:eastAsia="en-GB"/>
          </w:rPr>
          <w:t>www.gov.uk/official-documents</w:t>
        </w:r>
      </w:hyperlink>
      <w:r w:rsidRPr="00FD1894">
        <w:rPr>
          <w:rFonts w:cs="Arial"/>
          <w:sz w:val="22"/>
          <w:szCs w:val="22"/>
          <w:lang w:eastAsia="en-GB"/>
        </w:rPr>
        <w:t>.</w:t>
      </w:r>
    </w:p>
    <w:p w14:paraId="381E244C" w14:textId="59D0A29C" w:rsidR="00874C45" w:rsidRDefault="00A17D52" w:rsidP="00874C45">
      <w:pPr>
        <w:shd w:val="clear" w:color="auto" w:fill="FFFFFF"/>
        <w:spacing w:after="320"/>
        <w:rPr>
          <w:rFonts w:cs="Arial"/>
          <w:sz w:val="22"/>
          <w:szCs w:val="22"/>
          <w:highlight w:val="yellow"/>
          <w:lang w:eastAsia="en-GB"/>
        </w:rPr>
      </w:pPr>
      <w:r w:rsidRPr="00FD1894">
        <w:rPr>
          <w:rFonts w:cs="Arial"/>
          <w:sz w:val="22"/>
          <w:szCs w:val="22"/>
          <w:lang w:eastAsia="en-GB"/>
        </w:rPr>
        <w:t>Any enquiries regarding this publication should be sent to us at </w:t>
      </w:r>
      <w:r w:rsidR="00874C45">
        <w:rPr>
          <w:rFonts w:cs="Arial"/>
          <w:sz w:val="22"/>
          <w:szCs w:val="22"/>
          <w:lang w:eastAsia="en-GB"/>
        </w:rPr>
        <w:t>info@nihrc.org</w:t>
      </w:r>
    </w:p>
    <w:p w14:paraId="223F68A3" w14:textId="67EACB26" w:rsidR="00A17D52" w:rsidRPr="000D48C3" w:rsidRDefault="00A17D52" w:rsidP="000F57DA">
      <w:pPr>
        <w:shd w:val="clear" w:color="auto" w:fill="FFFFFF"/>
        <w:spacing w:after="320"/>
        <w:jc w:val="center"/>
        <w:rPr>
          <w:rFonts w:cs="Arial"/>
          <w:sz w:val="22"/>
          <w:szCs w:val="22"/>
          <w:lang w:eastAsia="en-GB"/>
        </w:rPr>
      </w:pPr>
      <w:r w:rsidRPr="000D48C3">
        <w:rPr>
          <w:rFonts w:cs="Arial"/>
          <w:sz w:val="22"/>
          <w:szCs w:val="22"/>
          <w:lang w:eastAsia="en-GB"/>
        </w:rPr>
        <w:t>ISBN 978-</w:t>
      </w:r>
      <w:r w:rsidR="006E7AB4" w:rsidRPr="000D48C3">
        <w:rPr>
          <w:rFonts w:cs="Arial"/>
          <w:sz w:val="22"/>
          <w:szCs w:val="22"/>
          <w:lang w:eastAsia="en-GB"/>
        </w:rPr>
        <w:t>1</w:t>
      </w:r>
      <w:r w:rsidRPr="000D48C3">
        <w:rPr>
          <w:rFonts w:cs="Arial"/>
          <w:sz w:val="22"/>
          <w:szCs w:val="22"/>
          <w:lang w:eastAsia="en-GB"/>
        </w:rPr>
        <w:t>-</w:t>
      </w:r>
      <w:r w:rsidR="006E7AB4" w:rsidRPr="000D48C3">
        <w:rPr>
          <w:rFonts w:cs="Arial"/>
          <w:sz w:val="22"/>
          <w:szCs w:val="22"/>
          <w:lang w:eastAsia="en-GB"/>
        </w:rPr>
        <w:t>52</w:t>
      </w:r>
      <w:r w:rsidR="000D48C3" w:rsidRPr="000D48C3">
        <w:rPr>
          <w:rFonts w:cs="Arial"/>
          <w:sz w:val="22"/>
          <w:szCs w:val="22"/>
          <w:lang w:eastAsia="en-GB"/>
        </w:rPr>
        <w:t>86</w:t>
      </w:r>
      <w:r w:rsidRPr="000D48C3">
        <w:rPr>
          <w:rFonts w:cs="Arial"/>
          <w:sz w:val="22"/>
          <w:szCs w:val="22"/>
          <w:lang w:eastAsia="en-GB"/>
        </w:rPr>
        <w:t>-</w:t>
      </w:r>
      <w:r w:rsidR="000D48C3" w:rsidRPr="000D48C3">
        <w:rPr>
          <w:rFonts w:cs="Arial"/>
          <w:sz w:val="22"/>
          <w:szCs w:val="22"/>
          <w:lang w:eastAsia="en-GB"/>
        </w:rPr>
        <w:t>5027</w:t>
      </w:r>
      <w:r w:rsidRPr="000D48C3">
        <w:rPr>
          <w:rFonts w:cs="Arial"/>
          <w:sz w:val="22"/>
          <w:szCs w:val="22"/>
          <w:lang w:eastAsia="en-GB"/>
        </w:rPr>
        <w:t>-</w:t>
      </w:r>
      <w:r w:rsidR="000D48C3" w:rsidRPr="000D48C3">
        <w:rPr>
          <w:rFonts w:cs="Arial"/>
          <w:sz w:val="22"/>
          <w:szCs w:val="22"/>
          <w:lang w:eastAsia="en-GB"/>
        </w:rPr>
        <w:t>4</w:t>
      </w:r>
    </w:p>
    <w:p w14:paraId="759DF055" w14:textId="327F006F" w:rsidR="00A17D52" w:rsidRPr="002B495A" w:rsidRDefault="002B495A" w:rsidP="000F57DA">
      <w:pPr>
        <w:pStyle w:val="NoSpacing"/>
        <w:spacing w:after="320"/>
        <w:jc w:val="center"/>
        <w:rPr>
          <w:rFonts w:ascii="Verdana" w:eastAsia="Times New Roman" w:hAnsi="Verdana" w:cs="Arial"/>
          <w:color w:val="000000"/>
          <w:lang w:eastAsia="en-GB"/>
        </w:rPr>
      </w:pPr>
      <w:r>
        <w:rPr>
          <w:rFonts w:ascii="Verdana" w:hAnsi="Verdana"/>
        </w:rPr>
        <w:t xml:space="preserve">E-Number </w:t>
      </w:r>
      <w:r w:rsidR="00AA0244" w:rsidRPr="00AA0244">
        <w:rPr>
          <w:rFonts w:ascii="Verdana" w:hAnsi="Verdana"/>
        </w:rPr>
        <w:t xml:space="preserve">E03149682 </w:t>
      </w:r>
      <w:r w:rsidR="00A17D52" w:rsidRPr="002B495A">
        <w:rPr>
          <w:rFonts w:ascii="Verdana" w:eastAsia="Times New Roman" w:hAnsi="Verdana" w:cs="Arial"/>
          <w:color w:val="000000" w:themeColor="text1"/>
          <w:lang w:eastAsia="en-GB"/>
        </w:rPr>
        <w:t> </w:t>
      </w:r>
      <w:r w:rsidR="000F57DA" w:rsidRPr="002B495A">
        <w:rPr>
          <w:rFonts w:ascii="Verdana" w:eastAsia="Times New Roman" w:hAnsi="Verdana" w:cs="Arial"/>
          <w:color w:val="000000" w:themeColor="text1"/>
          <w:lang w:eastAsia="en-GB"/>
        </w:rPr>
        <w:t>07</w:t>
      </w:r>
      <w:r w:rsidR="00A17D52" w:rsidRPr="002B495A">
        <w:rPr>
          <w:rFonts w:ascii="Verdana" w:eastAsia="Times New Roman" w:hAnsi="Verdana" w:cs="Arial"/>
          <w:color w:val="000000" w:themeColor="text1"/>
          <w:lang w:eastAsia="en-GB"/>
        </w:rPr>
        <w:t>/</w:t>
      </w:r>
      <w:r w:rsidR="000F57DA" w:rsidRPr="002B495A">
        <w:rPr>
          <w:rFonts w:ascii="Verdana" w:eastAsia="Times New Roman" w:hAnsi="Verdana" w:cs="Arial"/>
          <w:color w:val="000000" w:themeColor="text1"/>
          <w:lang w:eastAsia="en-GB"/>
        </w:rPr>
        <w:t>24</w:t>
      </w:r>
    </w:p>
    <w:p w14:paraId="4719D2C8" w14:textId="77777777" w:rsidR="00A17D52" w:rsidRPr="00FD1894" w:rsidRDefault="00A17D52" w:rsidP="00A17D52">
      <w:pPr>
        <w:pStyle w:val="NoSpacing"/>
        <w:spacing w:after="320"/>
        <w:rPr>
          <w:rFonts w:ascii="Verdana" w:eastAsia="Times New Roman" w:hAnsi="Verdana" w:cs="Arial"/>
          <w:color w:val="000000" w:themeColor="text1"/>
          <w:lang w:eastAsia="en-GB"/>
        </w:rPr>
      </w:pPr>
      <w:r w:rsidRPr="00FD1894">
        <w:rPr>
          <w:rFonts w:ascii="Verdana" w:eastAsia="Times New Roman" w:hAnsi="Verdana" w:cs="Arial"/>
          <w:color w:val="000000" w:themeColor="text1"/>
          <w:lang w:eastAsia="en-GB"/>
        </w:rPr>
        <w:t xml:space="preserve">Printed on paper containing 40% recycled </w:t>
      </w:r>
      <w:proofErr w:type="spellStart"/>
      <w:r w:rsidRPr="00FD1894">
        <w:rPr>
          <w:rFonts w:ascii="Verdana" w:eastAsia="Times New Roman" w:hAnsi="Verdana" w:cs="Arial"/>
          <w:color w:val="000000" w:themeColor="text1"/>
          <w:lang w:eastAsia="en-GB"/>
        </w:rPr>
        <w:t>fibre</w:t>
      </w:r>
      <w:proofErr w:type="spellEnd"/>
      <w:r w:rsidRPr="00FD1894">
        <w:rPr>
          <w:rFonts w:ascii="Verdana" w:eastAsia="Times New Roman" w:hAnsi="Verdana" w:cs="Arial"/>
          <w:color w:val="000000" w:themeColor="text1"/>
          <w:lang w:eastAsia="en-GB"/>
        </w:rPr>
        <w:t xml:space="preserve"> content minimum</w:t>
      </w:r>
    </w:p>
    <w:p w14:paraId="18F4B334" w14:textId="44B81DB2" w:rsidR="002667DD" w:rsidRPr="00FD1894" w:rsidRDefault="00A17D52" w:rsidP="006E7AB4">
      <w:pPr>
        <w:rPr>
          <w:b/>
          <w:caps/>
          <w:sz w:val="22"/>
          <w:szCs w:val="22"/>
        </w:rPr>
      </w:pPr>
      <w:r w:rsidRPr="00FD1894">
        <w:rPr>
          <w:rFonts w:cs="Arial"/>
          <w:color w:val="000000" w:themeColor="text1"/>
          <w:sz w:val="22"/>
          <w:szCs w:val="22"/>
          <w:lang w:eastAsia="en-GB"/>
        </w:rPr>
        <w:t>Printed in the UK by HH Associates Ltd. on behalf of the Controller of His Majesty’s Stationery Office</w:t>
      </w:r>
    </w:p>
    <w:p w14:paraId="759D1DEC" w14:textId="77777777" w:rsidR="002667DD" w:rsidRDefault="002667DD" w:rsidP="002667DD">
      <w:pPr>
        <w:tabs>
          <w:tab w:val="left" w:pos="0"/>
        </w:tabs>
        <w:jc w:val="center"/>
        <w:rPr>
          <w:rFonts w:cs="ZurichBT-LightCondensed"/>
          <w:lang w:val="en-US"/>
        </w:rPr>
      </w:pPr>
    </w:p>
    <w:p w14:paraId="2791CF30" w14:textId="77777777" w:rsidR="002667DD" w:rsidRDefault="002667DD" w:rsidP="002667DD">
      <w:pPr>
        <w:tabs>
          <w:tab w:val="left" w:pos="0"/>
        </w:tabs>
        <w:rPr>
          <w:sz w:val="22"/>
          <w:szCs w:val="22"/>
        </w:rPr>
      </w:pPr>
    </w:p>
    <w:p w14:paraId="1FC62002" w14:textId="77777777" w:rsidR="002667DD" w:rsidRDefault="002667DD" w:rsidP="002667DD">
      <w:pPr>
        <w:tabs>
          <w:tab w:val="left" w:pos="0"/>
        </w:tabs>
        <w:rPr>
          <w:sz w:val="22"/>
          <w:szCs w:val="22"/>
        </w:rPr>
      </w:pPr>
    </w:p>
    <w:p w14:paraId="0EC6AFB7" w14:textId="77777777" w:rsidR="002667DD" w:rsidRDefault="002667DD" w:rsidP="002667DD">
      <w:pPr>
        <w:tabs>
          <w:tab w:val="left" w:pos="0"/>
        </w:tabs>
        <w:rPr>
          <w:sz w:val="22"/>
          <w:szCs w:val="22"/>
        </w:rPr>
      </w:pPr>
    </w:p>
    <w:p w14:paraId="774FC1CA" w14:textId="77777777" w:rsidR="002667DD" w:rsidRDefault="002667DD" w:rsidP="002667DD">
      <w:pPr>
        <w:tabs>
          <w:tab w:val="left" w:pos="0"/>
        </w:tabs>
        <w:rPr>
          <w:sz w:val="22"/>
          <w:szCs w:val="22"/>
        </w:rPr>
      </w:pPr>
    </w:p>
    <w:p w14:paraId="49CA5912" w14:textId="77777777" w:rsidR="002667DD" w:rsidRDefault="002667DD" w:rsidP="002667DD">
      <w:pPr>
        <w:tabs>
          <w:tab w:val="left" w:pos="0"/>
        </w:tabs>
        <w:rPr>
          <w:sz w:val="22"/>
          <w:szCs w:val="22"/>
        </w:rPr>
      </w:pPr>
    </w:p>
    <w:p w14:paraId="72C7D696" w14:textId="77777777" w:rsidR="002667DD" w:rsidRDefault="002667DD" w:rsidP="002667DD">
      <w:pPr>
        <w:tabs>
          <w:tab w:val="left" w:pos="0"/>
        </w:tabs>
        <w:rPr>
          <w:sz w:val="22"/>
          <w:szCs w:val="22"/>
        </w:rPr>
      </w:pPr>
    </w:p>
    <w:p w14:paraId="77802A88" w14:textId="77777777" w:rsidR="002667DD" w:rsidRDefault="002667DD" w:rsidP="002667DD">
      <w:pPr>
        <w:tabs>
          <w:tab w:val="left" w:pos="0"/>
        </w:tabs>
        <w:rPr>
          <w:sz w:val="22"/>
          <w:szCs w:val="22"/>
        </w:rPr>
      </w:pPr>
    </w:p>
    <w:p w14:paraId="0AEC8EEF" w14:textId="77777777" w:rsidR="002667DD" w:rsidRPr="007F2DCD" w:rsidRDefault="002667DD" w:rsidP="002667DD">
      <w:pPr>
        <w:tabs>
          <w:tab w:val="left" w:pos="0"/>
        </w:tabs>
        <w:rPr>
          <w:sz w:val="22"/>
          <w:szCs w:val="22"/>
        </w:rPr>
      </w:pPr>
    </w:p>
    <w:p w14:paraId="30340D1D" w14:textId="77777777" w:rsidR="002667DD" w:rsidRPr="007F2DCD" w:rsidRDefault="002667DD" w:rsidP="002667DD">
      <w:pPr>
        <w:tabs>
          <w:tab w:val="left" w:pos="0"/>
        </w:tabs>
        <w:rPr>
          <w:sz w:val="22"/>
          <w:szCs w:val="22"/>
        </w:rPr>
      </w:pPr>
    </w:p>
    <w:p w14:paraId="57E7E468" w14:textId="77777777" w:rsidR="002667DD" w:rsidRPr="007F2DCD" w:rsidRDefault="002667DD" w:rsidP="002667DD">
      <w:pPr>
        <w:tabs>
          <w:tab w:val="left" w:pos="0"/>
        </w:tabs>
        <w:rPr>
          <w:sz w:val="22"/>
          <w:szCs w:val="22"/>
        </w:rPr>
      </w:pPr>
    </w:p>
    <w:p w14:paraId="76323F92" w14:textId="6966560B" w:rsidR="002667DD" w:rsidRPr="007F2DCD" w:rsidRDefault="00486EF8" w:rsidP="002667DD">
      <w:pPr>
        <w:tabs>
          <w:tab w:val="left" w:pos="0"/>
        </w:tabs>
        <w:rPr>
          <w:sz w:val="22"/>
          <w:szCs w:val="22"/>
        </w:rPr>
      </w:pPr>
      <w:r>
        <w:rPr>
          <w:sz w:val="22"/>
          <w:szCs w:val="22"/>
        </w:rPr>
        <w:t>19 July</w:t>
      </w:r>
      <w:r w:rsidR="002667DD">
        <w:rPr>
          <w:sz w:val="22"/>
          <w:szCs w:val="22"/>
        </w:rPr>
        <w:t xml:space="preserve"> 20</w:t>
      </w:r>
      <w:r w:rsidR="005E6D62">
        <w:rPr>
          <w:sz w:val="22"/>
          <w:szCs w:val="22"/>
        </w:rPr>
        <w:t>2</w:t>
      </w:r>
      <w:r w:rsidR="00424A4A">
        <w:rPr>
          <w:sz w:val="22"/>
          <w:szCs w:val="22"/>
        </w:rPr>
        <w:t>4</w:t>
      </w:r>
    </w:p>
    <w:p w14:paraId="00BDC36C" w14:textId="77777777" w:rsidR="002667DD" w:rsidRPr="007F2DCD" w:rsidRDefault="002667DD" w:rsidP="002667DD">
      <w:pPr>
        <w:tabs>
          <w:tab w:val="left" w:pos="0"/>
        </w:tabs>
        <w:rPr>
          <w:sz w:val="22"/>
          <w:szCs w:val="22"/>
        </w:rPr>
      </w:pPr>
    </w:p>
    <w:p w14:paraId="05C6829B" w14:textId="4FCF4861" w:rsidR="00810EED" w:rsidRDefault="00810EED" w:rsidP="002667DD">
      <w:pPr>
        <w:tabs>
          <w:tab w:val="left" w:pos="0"/>
        </w:tabs>
        <w:rPr>
          <w:sz w:val="22"/>
          <w:szCs w:val="22"/>
        </w:rPr>
      </w:pPr>
      <w:r>
        <w:rPr>
          <w:sz w:val="22"/>
          <w:szCs w:val="22"/>
        </w:rPr>
        <w:t>Rt Hon</w:t>
      </w:r>
      <w:r w:rsidR="00315757">
        <w:rPr>
          <w:sz w:val="22"/>
          <w:szCs w:val="22"/>
        </w:rPr>
        <w:t xml:space="preserve"> Hilary Benn MP</w:t>
      </w:r>
    </w:p>
    <w:p w14:paraId="67F0DAC1" w14:textId="30108B8E" w:rsidR="002667DD" w:rsidRPr="007F2DCD" w:rsidRDefault="002667DD" w:rsidP="002667DD">
      <w:pPr>
        <w:tabs>
          <w:tab w:val="left" w:pos="0"/>
        </w:tabs>
        <w:rPr>
          <w:sz w:val="22"/>
          <w:szCs w:val="22"/>
        </w:rPr>
      </w:pPr>
      <w:r w:rsidRPr="007F2DCD">
        <w:rPr>
          <w:sz w:val="22"/>
          <w:szCs w:val="22"/>
        </w:rPr>
        <w:t>Secretary of State for Northern Ireland</w:t>
      </w:r>
    </w:p>
    <w:p w14:paraId="1E051A16" w14:textId="77777777" w:rsidR="002667DD" w:rsidRDefault="002667DD" w:rsidP="002667DD">
      <w:pPr>
        <w:tabs>
          <w:tab w:val="left" w:pos="0"/>
        </w:tabs>
        <w:rPr>
          <w:sz w:val="22"/>
          <w:szCs w:val="22"/>
        </w:rPr>
      </w:pPr>
      <w:r>
        <w:rPr>
          <w:sz w:val="22"/>
          <w:szCs w:val="22"/>
        </w:rPr>
        <w:t>Erskine House</w:t>
      </w:r>
    </w:p>
    <w:p w14:paraId="44C67271" w14:textId="77777777" w:rsidR="002667DD" w:rsidRDefault="002667DD" w:rsidP="002667DD">
      <w:pPr>
        <w:tabs>
          <w:tab w:val="left" w:pos="0"/>
        </w:tabs>
        <w:rPr>
          <w:sz w:val="22"/>
          <w:szCs w:val="22"/>
        </w:rPr>
      </w:pPr>
      <w:r>
        <w:rPr>
          <w:sz w:val="22"/>
          <w:szCs w:val="22"/>
        </w:rPr>
        <w:t>20-32 Chichester Street</w:t>
      </w:r>
    </w:p>
    <w:p w14:paraId="0C213896" w14:textId="77777777" w:rsidR="002667DD" w:rsidRDefault="002667DD" w:rsidP="002667DD">
      <w:pPr>
        <w:tabs>
          <w:tab w:val="left" w:pos="0"/>
        </w:tabs>
        <w:rPr>
          <w:sz w:val="22"/>
          <w:szCs w:val="22"/>
        </w:rPr>
      </w:pPr>
      <w:r>
        <w:rPr>
          <w:sz w:val="22"/>
          <w:szCs w:val="22"/>
        </w:rPr>
        <w:t>Belfast</w:t>
      </w:r>
    </w:p>
    <w:p w14:paraId="71849CAB" w14:textId="77777777" w:rsidR="002667DD" w:rsidRPr="007F2DCD" w:rsidRDefault="002667DD" w:rsidP="002667DD">
      <w:pPr>
        <w:tabs>
          <w:tab w:val="left" w:pos="0"/>
        </w:tabs>
        <w:rPr>
          <w:sz w:val="22"/>
          <w:szCs w:val="22"/>
        </w:rPr>
      </w:pPr>
      <w:r>
        <w:rPr>
          <w:sz w:val="22"/>
          <w:szCs w:val="22"/>
        </w:rPr>
        <w:t>BT1 4GF</w:t>
      </w:r>
    </w:p>
    <w:p w14:paraId="077B4595" w14:textId="77777777" w:rsidR="002667DD" w:rsidRPr="007F2DCD" w:rsidRDefault="002667DD" w:rsidP="002667DD">
      <w:pPr>
        <w:tabs>
          <w:tab w:val="left" w:pos="0"/>
        </w:tabs>
        <w:rPr>
          <w:sz w:val="22"/>
          <w:szCs w:val="22"/>
        </w:rPr>
      </w:pPr>
    </w:p>
    <w:p w14:paraId="1F29298A" w14:textId="77777777" w:rsidR="002667DD" w:rsidRPr="007F2DCD" w:rsidRDefault="002667DD" w:rsidP="002667DD">
      <w:pPr>
        <w:tabs>
          <w:tab w:val="left" w:pos="0"/>
        </w:tabs>
        <w:rPr>
          <w:sz w:val="22"/>
          <w:szCs w:val="22"/>
        </w:rPr>
      </w:pPr>
    </w:p>
    <w:p w14:paraId="092B66C2" w14:textId="77777777" w:rsidR="002667DD" w:rsidRPr="007F2DCD" w:rsidRDefault="002667DD" w:rsidP="002667DD">
      <w:pPr>
        <w:tabs>
          <w:tab w:val="left" w:pos="0"/>
        </w:tabs>
        <w:rPr>
          <w:sz w:val="22"/>
          <w:szCs w:val="22"/>
        </w:rPr>
      </w:pPr>
    </w:p>
    <w:p w14:paraId="6111C8DC" w14:textId="77777777" w:rsidR="002667DD" w:rsidRPr="007F2DCD" w:rsidRDefault="002667DD" w:rsidP="002667DD">
      <w:pPr>
        <w:tabs>
          <w:tab w:val="left" w:pos="0"/>
        </w:tabs>
        <w:rPr>
          <w:sz w:val="22"/>
          <w:szCs w:val="22"/>
        </w:rPr>
      </w:pPr>
      <w:r w:rsidRPr="007F2DCD">
        <w:rPr>
          <w:sz w:val="22"/>
          <w:szCs w:val="22"/>
        </w:rPr>
        <w:t>Dear Secretary of State</w:t>
      </w:r>
    </w:p>
    <w:p w14:paraId="02539C75" w14:textId="77777777" w:rsidR="002667DD" w:rsidRPr="007F2DCD" w:rsidRDefault="002667DD" w:rsidP="002667DD">
      <w:pPr>
        <w:tabs>
          <w:tab w:val="left" w:pos="0"/>
        </w:tabs>
        <w:rPr>
          <w:sz w:val="22"/>
          <w:szCs w:val="22"/>
        </w:rPr>
      </w:pPr>
    </w:p>
    <w:p w14:paraId="5CA5E3A2" w14:textId="3635049B" w:rsidR="002667DD" w:rsidRPr="007F2DCD" w:rsidRDefault="002667DD" w:rsidP="002667DD">
      <w:pPr>
        <w:tabs>
          <w:tab w:val="left" w:pos="0"/>
        </w:tabs>
        <w:rPr>
          <w:sz w:val="22"/>
          <w:szCs w:val="22"/>
        </w:rPr>
      </w:pPr>
      <w:r w:rsidRPr="007F2DCD">
        <w:rPr>
          <w:sz w:val="22"/>
          <w:szCs w:val="22"/>
        </w:rPr>
        <w:t xml:space="preserve">I have pleasure in submitting to you, as required by paragraph 5(1) of Schedule 7 of the Northern Ireland Act 1998, the </w:t>
      </w:r>
      <w:r>
        <w:rPr>
          <w:sz w:val="22"/>
          <w:szCs w:val="22"/>
        </w:rPr>
        <w:t xml:space="preserve">twenty </w:t>
      </w:r>
      <w:r w:rsidR="00BB0673">
        <w:rPr>
          <w:sz w:val="22"/>
          <w:szCs w:val="22"/>
        </w:rPr>
        <w:t>fourth</w:t>
      </w:r>
      <w:r w:rsidRPr="007F2DCD">
        <w:rPr>
          <w:sz w:val="22"/>
          <w:szCs w:val="22"/>
        </w:rPr>
        <w:t xml:space="preserve"> Annual Report of the Northern Ireland Human Rights Commission.  It shows how the Commission has performed its functions during the year 1 April 20</w:t>
      </w:r>
      <w:r>
        <w:rPr>
          <w:sz w:val="22"/>
          <w:szCs w:val="22"/>
        </w:rPr>
        <w:t>2</w:t>
      </w:r>
      <w:r w:rsidR="00424A4A">
        <w:rPr>
          <w:sz w:val="22"/>
          <w:szCs w:val="22"/>
        </w:rPr>
        <w:t>3</w:t>
      </w:r>
      <w:r>
        <w:rPr>
          <w:sz w:val="22"/>
          <w:szCs w:val="22"/>
        </w:rPr>
        <w:t xml:space="preserve"> to 31 March 202</w:t>
      </w:r>
      <w:r w:rsidR="00424A4A">
        <w:rPr>
          <w:sz w:val="22"/>
          <w:szCs w:val="22"/>
        </w:rPr>
        <w:t>4</w:t>
      </w:r>
      <w:r w:rsidRPr="007F2DCD">
        <w:rPr>
          <w:sz w:val="22"/>
          <w:szCs w:val="22"/>
        </w:rPr>
        <w:t>.</w:t>
      </w:r>
    </w:p>
    <w:p w14:paraId="631AA15B" w14:textId="77777777" w:rsidR="002667DD" w:rsidRPr="007F2DCD" w:rsidRDefault="002667DD" w:rsidP="002667DD">
      <w:pPr>
        <w:tabs>
          <w:tab w:val="left" w:pos="0"/>
        </w:tabs>
        <w:rPr>
          <w:sz w:val="22"/>
          <w:szCs w:val="22"/>
        </w:rPr>
      </w:pPr>
    </w:p>
    <w:p w14:paraId="0FAD194C" w14:textId="100B15F6" w:rsidR="002667DD" w:rsidRDefault="002667DD" w:rsidP="002667DD">
      <w:pPr>
        <w:tabs>
          <w:tab w:val="left" w:pos="0"/>
        </w:tabs>
        <w:rPr>
          <w:sz w:val="22"/>
          <w:szCs w:val="22"/>
        </w:rPr>
      </w:pPr>
      <w:r w:rsidRPr="007F2DCD">
        <w:rPr>
          <w:sz w:val="22"/>
          <w:szCs w:val="22"/>
        </w:rPr>
        <w:t xml:space="preserve">The Annual Report </w:t>
      </w:r>
      <w:r>
        <w:rPr>
          <w:sz w:val="22"/>
          <w:szCs w:val="22"/>
        </w:rPr>
        <w:t xml:space="preserve">and Accounts </w:t>
      </w:r>
      <w:r w:rsidRPr="007F2DCD">
        <w:rPr>
          <w:sz w:val="22"/>
          <w:szCs w:val="22"/>
        </w:rPr>
        <w:t xml:space="preserve">includes the Commission’s financial statements </w:t>
      </w:r>
      <w:r>
        <w:rPr>
          <w:sz w:val="22"/>
          <w:szCs w:val="22"/>
        </w:rPr>
        <w:t>for the year ending 31 March 202</w:t>
      </w:r>
      <w:r w:rsidR="00BB0673">
        <w:rPr>
          <w:sz w:val="22"/>
          <w:szCs w:val="22"/>
        </w:rPr>
        <w:t>4</w:t>
      </w:r>
      <w:r w:rsidRPr="007F2DCD">
        <w:rPr>
          <w:sz w:val="22"/>
          <w:szCs w:val="22"/>
        </w:rPr>
        <w:t>, which have been prepared in accordance with Paragraph 7 of Schedule 7 of the Northern Ireland Act 1998, and which were certified by the Comptroller and Auditor General</w:t>
      </w:r>
      <w:r>
        <w:rPr>
          <w:sz w:val="22"/>
          <w:szCs w:val="22"/>
        </w:rPr>
        <w:t xml:space="preserve"> on </w:t>
      </w:r>
      <w:r w:rsidR="00486EF8">
        <w:rPr>
          <w:sz w:val="22"/>
          <w:szCs w:val="22"/>
        </w:rPr>
        <w:t xml:space="preserve">19 July </w:t>
      </w:r>
      <w:r>
        <w:rPr>
          <w:sz w:val="22"/>
          <w:szCs w:val="22"/>
        </w:rPr>
        <w:t>20</w:t>
      </w:r>
      <w:r w:rsidR="00F7529E">
        <w:rPr>
          <w:sz w:val="22"/>
          <w:szCs w:val="22"/>
        </w:rPr>
        <w:t>2</w:t>
      </w:r>
      <w:r w:rsidR="00BB0673">
        <w:rPr>
          <w:sz w:val="22"/>
          <w:szCs w:val="22"/>
        </w:rPr>
        <w:t>4</w:t>
      </w:r>
      <w:r>
        <w:rPr>
          <w:sz w:val="22"/>
          <w:szCs w:val="22"/>
        </w:rPr>
        <w:t>.</w:t>
      </w:r>
    </w:p>
    <w:p w14:paraId="7EB02809" w14:textId="77777777" w:rsidR="002667DD" w:rsidRPr="007F2DCD" w:rsidRDefault="002667DD" w:rsidP="002667DD">
      <w:pPr>
        <w:tabs>
          <w:tab w:val="left" w:pos="0"/>
        </w:tabs>
        <w:rPr>
          <w:sz w:val="22"/>
          <w:szCs w:val="22"/>
        </w:rPr>
      </w:pPr>
    </w:p>
    <w:p w14:paraId="46FCE0A6" w14:textId="77777777" w:rsidR="002667DD" w:rsidRPr="007F2DCD" w:rsidRDefault="002667DD" w:rsidP="002667DD">
      <w:pPr>
        <w:tabs>
          <w:tab w:val="left" w:pos="0"/>
        </w:tabs>
        <w:rPr>
          <w:sz w:val="22"/>
          <w:szCs w:val="22"/>
        </w:rPr>
      </w:pPr>
      <w:r w:rsidRPr="007F2DCD">
        <w:rPr>
          <w:sz w:val="22"/>
          <w:szCs w:val="22"/>
        </w:rPr>
        <w:t>Yours sincerely</w:t>
      </w:r>
    </w:p>
    <w:p w14:paraId="6E43120D" w14:textId="77777777" w:rsidR="002667DD" w:rsidRPr="007F2DCD" w:rsidRDefault="002667DD" w:rsidP="002667DD">
      <w:pPr>
        <w:tabs>
          <w:tab w:val="left" w:pos="0"/>
        </w:tabs>
        <w:rPr>
          <w:sz w:val="22"/>
          <w:szCs w:val="22"/>
        </w:rPr>
      </w:pPr>
    </w:p>
    <w:p w14:paraId="1E185D15" w14:textId="77777777" w:rsidR="002667DD" w:rsidRDefault="002667DD" w:rsidP="002667DD">
      <w:pPr>
        <w:tabs>
          <w:tab w:val="left" w:pos="0"/>
        </w:tabs>
        <w:rPr>
          <w:noProof/>
          <w:lang w:eastAsia="en-GB"/>
        </w:rPr>
      </w:pPr>
    </w:p>
    <w:p w14:paraId="27B7B8E2" w14:textId="77777777" w:rsidR="002667DD" w:rsidRDefault="002667DD" w:rsidP="002667DD">
      <w:pPr>
        <w:tabs>
          <w:tab w:val="left" w:pos="0"/>
        </w:tabs>
        <w:rPr>
          <w:noProof/>
          <w:lang w:eastAsia="en-GB"/>
        </w:rPr>
      </w:pPr>
    </w:p>
    <w:p w14:paraId="4E3C902A" w14:textId="0E30A53F" w:rsidR="002667DD" w:rsidRDefault="009867A9" w:rsidP="002667DD">
      <w:pPr>
        <w:tabs>
          <w:tab w:val="left" w:pos="0"/>
        </w:tabs>
        <w:rPr>
          <w:noProof/>
          <w:lang w:eastAsia="en-GB"/>
        </w:rPr>
      </w:pPr>
      <w:r w:rsidRPr="00FC45DB">
        <w:rPr>
          <w:noProof/>
        </w:rPr>
        <w:drawing>
          <wp:inline distT="0" distB="0" distL="0" distR="0" wp14:anchorId="7B4019EE" wp14:editId="6EE5EF15">
            <wp:extent cx="1960813" cy="961072"/>
            <wp:effectExtent l="0" t="0" r="1905" b="0"/>
            <wp:docPr id="1157432847" name="Picture 1157432847"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32847" name="Picture 1157432847" descr="A signature on a white background&#10;&#10;Description automatically generated"/>
                    <pic:cNvPicPr/>
                  </pic:nvPicPr>
                  <pic:blipFill>
                    <a:blip r:embed="rId15"/>
                    <a:stretch>
                      <a:fillRect/>
                    </a:stretch>
                  </pic:blipFill>
                  <pic:spPr>
                    <a:xfrm>
                      <a:off x="0" y="0"/>
                      <a:ext cx="1969809" cy="965481"/>
                    </a:xfrm>
                    <a:prstGeom prst="rect">
                      <a:avLst/>
                    </a:prstGeom>
                  </pic:spPr>
                </pic:pic>
              </a:graphicData>
            </a:graphic>
          </wp:inline>
        </w:drawing>
      </w:r>
    </w:p>
    <w:p w14:paraId="047381D7" w14:textId="77777777" w:rsidR="002667DD" w:rsidRPr="007F2DCD" w:rsidRDefault="002667DD" w:rsidP="002667DD">
      <w:pPr>
        <w:tabs>
          <w:tab w:val="left" w:pos="0"/>
        </w:tabs>
        <w:rPr>
          <w:sz w:val="22"/>
          <w:szCs w:val="22"/>
        </w:rPr>
      </w:pPr>
    </w:p>
    <w:p w14:paraId="5E48BBC4" w14:textId="77777777" w:rsidR="002667DD" w:rsidRPr="007F2DCD" w:rsidRDefault="002667DD" w:rsidP="002667DD">
      <w:pPr>
        <w:tabs>
          <w:tab w:val="left" w:pos="0"/>
        </w:tabs>
        <w:rPr>
          <w:sz w:val="22"/>
          <w:szCs w:val="22"/>
        </w:rPr>
      </w:pPr>
    </w:p>
    <w:p w14:paraId="275843EB" w14:textId="77777777" w:rsidR="002667DD" w:rsidRPr="007F2DCD" w:rsidRDefault="002667DD" w:rsidP="002667DD">
      <w:pPr>
        <w:tabs>
          <w:tab w:val="left" w:pos="0"/>
        </w:tabs>
        <w:rPr>
          <w:b/>
          <w:sz w:val="22"/>
          <w:szCs w:val="22"/>
        </w:rPr>
      </w:pPr>
      <w:r>
        <w:rPr>
          <w:b/>
          <w:sz w:val="22"/>
          <w:szCs w:val="22"/>
        </w:rPr>
        <w:t>Alyson Kilpatrick</w:t>
      </w:r>
    </w:p>
    <w:p w14:paraId="00324F90" w14:textId="77777777" w:rsidR="002667DD" w:rsidRPr="007F2DCD" w:rsidRDefault="002667DD" w:rsidP="002667DD">
      <w:pPr>
        <w:rPr>
          <w:b/>
          <w:sz w:val="22"/>
          <w:szCs w:val="22"/>
        </w:rPr>
      </w:pPr>
      <w:r w:rsidRPr="007F2DCD">
        <w:rPr>
          <w:b/>
          <w:sz w:val="22"/>
          <w:szCs w:val="22"/>
        </w:rPr>
        <w:t>Chief Commissioner</w:t>
      </w:r>
    </w:p>
    <w:p w14:paraId="2522FBD7" w14:textId="77777777" w:rsidR="002667DD" w:rsidRPr="007F2DCD" w:rsidRDefault="002667DD" w:rsidP="002667DD">
      <w:pPr>
        <w:rPr>
          <w:b/>
          <w:sz w:val="22"/>
          <w:szCs w:val="22"/>
        </w:rPr>
      </w:pPr>
    </w:p>
    <w:p w14:paraId="68027054" w14:textId="77777777" w:rsidR="002667DD" w:rsidRPr="007F2DCD" w:rsidRDefault="002667DD" w:rsidP="002667DD">
      <w:pPr>
        <w:rPr>
          <w:b/>
          <w:sz w:val="22"/>
          <w:szCs w:val="22"/>
        </w:rPr>
      </w:pPr>
    </w:p>
    <w:p w14:paraId="409C3B8E" w14:textId="77777777" w:rsidR="002667DD" w:rsidRPr="007F2DCD" w:rsidRDefault="002667DD" w:rsidP="002667DD">
      <w:pPr>
        <w:rPr>
          <w:b/>
          <w:sz w:val="22"/>
          <w:szCs w:val="22"/>
        </w:rPr>
      </w:pPr>
    </w:p>
    <w:p w14:paraId="44A585C9" w14:textId="77777777" w:rsidR="002667DD" w:rsidRPr="007F2DCD" w:rsidRDefault="002667DD" w:rsidP="002667DD">
      <w:pPr>
        <w:rPr>
          <w:b/>
          <w:sz w:val="22"/>
          <w:szCs w:val="22"/>
        </w:rPr>
      </w:pPr>
    </w:p>
    <w:p w14:paraId="1D0A49A3" w14:textId="77777777" w:rsidR="002667DD" w:rsidRDefault="002667DD" w:rsidP="002667DD">
      <w:pPr>
        <w:rPr>
          <w:b/>
          <w:sz w:val="22"/>
          <w:szCs w:val="22"/>
        </w:rPr>
      </w:pPr>
    </w:p>
    <w:p w14:paraId="2EB7AEFC" w14:textId="77777777" w:rsidR="002667DD" w:rsidRPr="007F2DCD" w:rsidRDefault="002667DD" w:rsidP="002667DD">
      <w:pPr>
        <w:rPr>
          <w:b/>
          <w:sz w:val="22"/>
          <w:szCs w:val="22"/>
        </w:rPr>
      </w:pPr>
    </w:p>
    <w:p w14:paraId="57C0B8EF" w14:textId="77777777" w:rsidR="002667DD" w:rsidRPr="007F2DCD" w:rsidRDefault="002667DD" w:rsidP="002667DD">
      <w:pPr>
        <w:rPr>
          <w:b/>
          <w:sz w:val="22"/>
          <w:szCs w:val="22"/>
        </w:rPr>
      </w:pPr>
    </w:p>
    <w:p w14:paraId="17839C4B" w14:textId="77777777" w:rsidR="002667DD" w:rsidRPr="007F2DCD" w:rsidRDefault="002667DD" w:rsidP="002667DD">
      <w:pPr>
        <w:rPr>
          <w:b/>
          <w:sz w:val="22"/>
          <w:szCs w:val="22"/>
        </w:rPr>
      </w:pPr>
    </w:p>
    <w:p w14:paraId="2F0F9934" w14:textId="77777777" w:rsidR="002667DD" w:rsidRPr="007F2DCD" w:rsidRDefault="002667DD" w:rsidP="002667DD">
      <w:pPr>
        <w:rPr>
          <w:sz w:val="22"/>
          <w:szCs w:val="22"/>
        </w:rPr>
      </w:pPr>
    </w:p>
    <w:p w14:paraId="04751CF6" w14:textId="77777777" w:rsidR="002667DD" w:rsidRPr="007F2DCD" w:rsidRDefault="002667DD" w:rsidP="002667DD">
      <w:pPr>
        <w:rPr>
          <w:sz w:val="22"/>
          <w:szCs w:val="22"/>
        </w:rPr>
      </w:pPr>
    </w:p>
    <w:p w14:paraId="1BE4BE45" w14:textId="77777777" w:rsidR="002667DD" w:rsidRPr="007F2DCD" w:rsidRDefault="002667DD" w:rsidP="002667DD">
      <w:pPr>
        <w:rPr>
          <w:sz w:val="22"/>
          <w:szCs w:val="22"/>
        </w:rPr>
      </w:pPr>
    </w:p>
    <w:p w14:paraId="316419AF" w14:textId="77777777" w:rsidR="002667DD" w:rsidRPr="007F2DCD" w:rsidRDefault="002667DD" w:rsidP="002667DD">
      <w:pPr>
        <w:rPr>
          <w:sz w:val="22"/>
          <w:szCs w:val="22"/>
        </w:rPr>
      </w:pPr>
    </w:p>
    <w:p w14:paraId="683A2663" w14:textId="77777777" w:rsidR="002667DD" w:rsidRPr="007F2DCD" w:rsidRDefault="002667DD" w:rsidP="002667DD">
      <w:pPr>
        <w:rPr>
          <w:sz w:val="22"/>
          <w:szCs w:val="22"/>
        </w:rPr>
      </w:pPr>
    </w:p>
    <w:p w14:paraId="19DF9FAD" w14:textId="77777777" w:rsidR="002667DD" w:rsidRPr="007F2DCD" w:rsidRDefault="002667DD" w:rsidP="002667DD">
      <w:pPr>
        <w:rPr>
          <w:sz w:val="22"/>
          <w:szCs w:val="22"/>
        </w:rPr>
      </w:pPr>
    </w:p>
    <w:p w14:paraId="32FD5F0E" w14:textId="77777777" w:rsidR="002667DD" w:rsidRPr="007F2DCD" w:rsidRDefault="002667DD" w:rsidP="002667DD">
      <w:pPr>
        <w:rPr>
          <w:sz w:val="22"/>
          <w:szCs w:val="22"/>
        </w:rPr>
      </w:pPr>
    </w:p>
    <w:p w14:paraId="3D346032" w14:textId="77777777" w:rsidR="002667DD" w:rsidRPr="007F2DCD" w:rsidRDefault="002667DD" w:rsidP="002667DD">
      <w:pPr>
        <w:rPr>
          <w:sz w:val="22"/>
          <w:szCs w:val="22"/>
        </w:rPr>
        <w:sectPr w:rsidR="002667DD" w:rsidRPr="007F2DCD" w:rsidSect="001958BD">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851" w:left="1418" w:header="709" w:footer="709" w:gutter="0"/>
          <w:pgNumType w:start="0"/>
          <w:cols w:space="708"/>
          <w:titlePg/>
          <w:docGrid w:linePitch="360"/>
        </w:sectPr>
      </w:pPr>
      <w:bookmarkStart w:id="0" w:name="_Hlk104795679"/>
    </w:p>
    <w:p w14:paraId="1D5B3C47" w14:textId="77777777" w:rsidR="002667DD" w:rsidRPr="005049F6" w:rsidRDefault="002667DD" w:rsidP="002667DD">
      <w:pPr>
        <w:jc w:val="center"/>
        <w:rPr>
          <w:b/>
          <w:sz w:val="28"/>
          <w:szCs w:val="28"/>
        </w:rPr>
      </w:pPr>
      <w:r w:rsidRPr="0045027A">
        <w:rPr>
          <w:rFonts w:cs="Arial"/>
          <w:b/>
          <w:color w:val="77328A"/>
          <w:sz w:val="36"/>
          <w:szCs w:val="36"/>
        </w:rPr>
        <w:lastRenderedPageBreak/>
        <w:t xml:space="preserve"> </w:t>
      </w:r>
      <w:r w:rsidRPr="003B7D0E">
        <w:rPr>
          <w:rFonts w:cs="Arial"/>
          <w:b/>
          <w:color w:val="77328A"/>
          <w:sz w:val="36"/>
          <w:szCs w:val="36"/>
        </w:rPr>
        <w:t>Contents</w:t>
      </w:r>
      <w:r>
        <w:rPr>
          <w:rStyle w:val="CommentReference"/>
        </w:rPr>
        <w:t xml:space="preserve"> </w:t>
      </w:r>
    </w:p>
    <w:p w14:paraId="502428AA" w14:textId="77777777" w:rsidR="002667DD" w:rsidRPr="007F2DCD" w:rsidRDefault="002667DD" w:rsidP="002667DD">
      <w:pPr>
        <w:rPr>
          <w:sz w:val="22"/>
          <w:szCs w:val="22"/>
        </w:rPr>
      </w:pPr>
    </w:p>
    <w:p w14:paraId="1638D66E" w14:textId="77777777" w:rsidR="002667DD" w:rsidRPr="007F2DCD" w:rsidRDefault="002667DD" w:rsidP="002667DD">
      <w:pPr>
        <w:rPr>
          <w:b/>
          <w:sz w:val="22"/>
          <w:szCs w:val="22"/>
        </w:rPr>
      </w:pPr>
    </w:p>
    <w:p w14:paraId="1D86F72E" w14:textId="77777777" w:rsidR="002667DD" w:rsidRPr="007F2DCD" w:rsidRDefault="002667DD" w:rsidP="002667DD">
      <w:pPr>
        <w:tabs>
          <w:tab w:val="right" w:pos="8820"/>
        </w:tabs>
        <w:ind w:right="113"/>
        <w:jc w:val="right"/>
        <w:rPr>
          <w:b/>
          <w:sz w:val="22"/>
          <w:szCs w:val="22"/>
        </w:rPr>
      </w:pPr>
      <w:r w:rsidRPr="007F2DCD">
        <w:rPr>
          <w:b/>
          <w:sz w:val="22"/>
          <w:szCs w:val="22"/>
        </w:rPr>
        <w:t>Page</w:t>
      </w:r>
    </w:p>
    <w:p w14:paraId="5DC5628C" w14:textId="77777777" w:rsidR="002667DD" w:rsidRPr="009C7EA6" w:rsidRDefault="002667DD" w:rsidP="002667DD">
      <w:pPr>
        <w:tabs>
          <w:tab w:val="right" w:pos="8820"/>
        </w:tabs>
        <w:ind w:right="113"/>
        <w:jc w:val="right"/>
        <w:rPr>
          <w:b/>
          <w:color w:val="auto"/>
          <w:sz w:val="22"/>
          <w:szCs w:val="22"/>
        </w:rPr>
      </w:pPr>
    </w:p>
    <w:p w14:paraId="78626F98" w14:textId="57C6F4B4" w:rsidR="002667DD" w:rsidRPr="009C7EA6" w:rsidRDefault="00000000" w:rsidP="002667DD">
      <w:pPr>
        <w:tabs>
          <w:tab w:val="right" w:pos="8820"/>
        </w:tabs>
        <w:rPr>
          <w:color w:val="auto"/>
          <w:sz w:val="22"/>
          <w:szCs w:val="22"/>
        </w:rPr>
      </w:pPr>
      <w:hyperlink w:anchor="PerformanceReport" w:history="1">
        <w:r w:rsidR="002667DD" w:rsidRPr="009C7EA6">
          <w:rPr>
            <w:rStyle w:val="Hyperlink"/>
            <w:b/>
            <w:color w:val="auto"/>
            <w:sz w:val="22"/>
            <w:szCs w:val="22"/>
          </w:rPr>
          <w:t>Performance Report</w:t>
        </w:r>
      </w:hyperlink>
      <w:r w:rsidR="002667DD" w:rsidRPr="009C7EA6">
        <w:rPr>
          <w:color w:val="auto"/>
          <w:sz w:val="22"/>
          <w:szCs w:val="22"/>
        </w:rPr>
        <w:tab/>
      </w:r>
      <w:r w:rsidR="003F5682">
        <w:rPr>
          <w:color w:val="auto"/>
          <w:sz w:val="22"/>
          <w:szCs w:val="22"/>
        </w:rPr>
        <w:t>8</w:t>
      </w:r>
    </w:p>
    <w:p w14:paraId="73601925" w14:textId="77777777" w:rsidR="002667DD" w:rsidRPr="009C7EA6" w:rsidRDefault="002667DD" w:rsidP="002667DD">
      <w:pPr>
        <w:tabs>
          <w:tab w:val="right" w:pos="8820"/>
        </w:tabs>
        <w:rPr>
          <w:color w:val="auto"/>
          <w:sz w:val="22"/>
          <w:szCs w:val="22"/>
        </w:rPr>
      </w:pPr>
    </w:p>
    <w:p w14:paraId="48B19541" w14:textId="47F347C7" w:rsidR="002667DD" w:rsidRPr="009C7EA6" w:rsidRDefault="00000000" w:rsidP="002667DD">
      <w:pPr>
        <w:pStyle w:val="ListParagraph"/>
        <w:numPr>
          <w:ilvl w:val="0"/>
          <w:numId w:val="10"/>
        </w:numPr>
        <w:tabs>
          <w:tab w:val="right" w:pos="8820"/>
        </w:tabs>
        <w:rPr>
          <w:color w:val="auto"/>
          <w:sz w:val="22"/>
          <w:szCs w:val="22"/>
        </w:rPr>
      </w:pPr>
      <w:hyperlink w:anchor="Overview" w:history="1">
        <w:r w:rsidR="002667DD" w:rsidRPr="009C7EA6">
          <w:rPr>
            <w:rStyle w:val="Hyperlink"/>
            <w:b/>
            <w:color w:val="auto"/>
            <w:sz w:val="22"/>
            <w:szCs w:val="22"/>
          </w:rPr>
          <w:t>Overview</w:t>
        </w:r>
      </w:hyperlink>
      <w:r w:rsidR="002667DD" w:rsidRPr="009C7EA6">
        <w:rPr>
          <w:color w:val="auto"/>
          <w:sz w:val="22"/>
          <w:szCs w:val="22"/>
        </w:rPr>
        <w:tab/>
      </w:r>
      <w:r w:rsidR="003A1773">
        <w:rPr>
          <w:color w:val="auto"/>
          <w:sz w:val="22"/>
          <w:szCs w:val="22"/>
        </w:rPr>
        <w:t>8</w:t>
      </w:r>
    </w:p>
    <w:p w14:paraId="5FB7BF58" w14:textId="6F043A63" w:rsidR="002667DD" w:rsidRPr="0045027A" w:rsidRDefault="00000000" w:rsidP="002667DD">
      <w:pPr>
        <w:pStyle w:val="ListParagraph"/>
        <w:numPr>
          <w:ilvl w:val="1"/>
          <w:numId w:val="8"/>
        </w:numPr>
        <w:tabs>
          <w:tab w:val="right" w:pos="8820"/>
        </w:tabs>
        <w:rPr>
          <w:color w:val="auto"/>
          <w:sz w:val="20"/>
          <w:szCs w:val="20"/>
        </w:rPr>
      </w:pPr>
      <w:hyperlink w:anchor="ChiefCommissionersForeword" w:history="1">
        <w:r w:rsidR="002667DD" w:rsidRPr="0045027A">
          <w:rPr>
            <w:rStyle w:val="Hyperlink"/>
            <w:color w:val="auto"/>
            <w:sz w:val="20"/>
            <w:szCs w:val="20"/>
          </w:rPr>
          <w:t>Chief Commissioner’s Foreword</w:t>
        </w:r>
      </w:hyperlink>
      <w:r w:rsidR="002667DD" w:rsidRPr="0045027A">
        <w:rPr>
          <w:color w:val="auto"/>
          <w:sz w:val="20"/>
          <w:szCs w:val="20"/>
        </w:rPr>
        <w:tab/>
      </w:r>
      <w:r w:rsidR="003A1773">
        <w:rPr>
          <w:color w:val="auto"/>
          <w:sz w:val="20"/>
          <w:szCs w:val="20"/>
        </w:rPr>
        <w:t>8</w:t>
      </w:r>
    </w:p>
    <w:p w14:paraId="27347FEB" w14:textId="25178B5F" w:rsidR="002667DD" w:rsidRDefault="00000000" w:rsidP="002667DD">
      <w:pPr>
        <w:pStyle w:val="ListParagraph"/>
        <w:numPr>
          <w:ilvl w:val="1"/>
          <w:numId w:val="8"/>
        </w:numPr>
        <w:tabs>
          <w:tab w:val="right" w:pos="8820"/>
        </w:tabs>
        <w:rPr>
          <w:color w:val="auto"/>
          <w:sz w:val="20"/>
          <w:szCs w:val="20"/>
        </w:rPr>
      </w:pPr>
      <w:hyperlink w:anchor="StatementofPurposeandActivities" w:history="1">
        <w:r w:rsidR="002667DD" w:rsidRPr="0045027A">
          <w:rPr>
            <w:rStyle w:val="Hyperlink"/>
            <w:color w:val="auto"/>
            <w:sz w:val="20"/>
            <w:szCs w:val="20"/>
          </w:rPr>
          <w:t>Statement of Purpose and Activities of the Organisation</w:t>
        </w:r>
      </w:hyperlink>
      <w:r w:rsidR="002667DD" w:rsidRPr="0045027A">
        <w:rPr>
          <w:color w:val="auto"/>
          <w:sz w:val="20"/>
          <w:szCs w:val="20"/>
        </w:rPr>
        <w:tab/>
      </w:r>
      <w:r w:rsidR="003A1773">
        <w:rPr>
          <w:color w:val="auto"/>
          <w:sz w:val="20"/>
          <w:szCs w:val="20"/>
        </w:rPr>
        <w:t>9</w:t>
      </w:r>
    </w:p>
    <w:p w14:paraId="28E77702" w14:textId="2E9CF169" w:rsidR="003A1773" w:rsidRPr="0045027A" w:rsidRDefault="00000000" w:rsidP="002667DD">
      <w:pPr>
        <w:pStyle w:val="ListParagraph"/>
        <w:numPr>
          <w:ilvl w:val="1"/>
          <w:numId w:val="8"/>
        </w:numPr>
        <w:tabs>
          <w:tab w:val="right" w:pos="8820"/>
        </w:tabs>
        <w:rPr>
          <w:color w:val="auto"/>
          <w:sz w:val="20"/>
          <w:szCs w:val="20"/>
        </w:rPr>
      </w:pPr>
      <w:hyperlink w:anchor="KeyPerformanceIndicators" w:history="1">
        <w:r w:rsidR="003A1773" w:rsidRPr="00302DEA">
          <w:rPr>
            <w:rStyle w:val="Hyperlink"/>
            <w:color w:val="auto"/>
            <w:sz w:val="20"/>
            <w:szCs w:val="20"/>
          </w:rPr>
          <w:t>Key Performance Indicators</w:t>
        </w:r>
      </w:hyperlink>
      <w:r w:rsidR="003A1773">
        <w:rPr>
          <w:color w:val="auto"/>
          <w:sz w:val="20"/>
          <w:szCs w:val="20"/>
        </w:rPr>
        <w:tab/>
        <w:t>14</w:t>
      </w:r>
    </w:p>
    <w:p w14:paraId="7728B9B9" w14:textId="32BB0CAB" w:rsidR="00D853A2" w:rsidRPr="00D853A2" w:rsidRDefault="00000000" w:rsidP="002667DD">
      <w:pPr>
        <w:pStyle w:val="ListParagraph"/>
        <w:numPr>
          <w:ilvl w:val="1"/>
          <w:numId w:val="8"/>
        </w:numPr>
        <w:tabs>
          <w:tab w:val="right" w:pos="8820"/>
        </w:tabs>
        <w:rPr>
          <w:rStyle w:val="Hyperlink"/>
          <w:color w:val="auto"/>
          <w:sz w:val="22"/>
          <w:szCs w:val="22"/>
          <w:u w:val="none"/>
        </w:rPr>
      </w:pPr>
      <w:hyperlink w:anchor="KeyRisks" w:history="1">
        <w:r w:rsidR="002667DD" w:rsidRPr="0045027A">
          <w:rPr>
            <w:rStyle w:val="Hyperlink"/>
            <w:color w:val="auto"/>
            <w:sz w:val="20"/>
            <w:szCs w:val="20"/>
          </w:rPr>
          <w:t>Key Risks facing the Northern Ireland Human Rights</w:t>
        </w:r>
        <w:r w:rsidR="002667DD" w:rsidRPr="00FD3F1B">
          <w:rPr>
            <w:rStyle w:val="Hyperlink"/>
            <w:color w:val="auto"/>
            <w:sz w:val="20"/>
            <w:szCs w:val="20"/>
            <w:u w:val="none"/>
          </w:rPr>
          <w:t xml:space="preserve"> </w:t>
        </w:r>
        <w:r w:rsidR="002667DD" w:rsidRPr="00FD3F1B">
          <w:rPr>
            <w:rStyle w:val="Hyperlink"/>
            <w:color w:val="auto"/>
            <w:sz w:val="20"/>
            <w:szCs w:val="20"/>
            <w:u w:val="none"/>
          </w:rPr>
          <w:tab/>
        </w:r>
        <w:r w:rsidR="00DA33C2">
          <w:rPr>
            <w:rStyle w:val="Hyperlink"/>
            <w:color w:val="auto"/>
            <w:sz w:val="20"/>
            <w:szCs w:val="20"/>
            <w:u w:val="none"/>
          </w:rPr>
          <w:t>22</w:t>
        </w:r>
        <w:r w:rsidR="002667DD" w:rsidRPr="0045027A">
          <w:rPr>
            <w:rStyle w:val="Hyperlink"/>
            <w:color w:val="auto"/>
            <w:sz w:val="20"/>
            <w:szCs w:val="20"/>
          </w:rPr>
          <w:br/>
          <w:t>Commission</w:t>
        </w:r>
      </w:hyperlink>
    </w:p>
    <w:p w14:paraId="636313DC" w14:textId="6AC46B8D" w:rsidR="00D853A2" w:rsidRPr="00302DEA" w:rsidRDefault="00000000" w:rsidP="00D853A2">
      <w:pPr>
        <w:pStyle w:val="ListParagraph"/>
        <w:numPr>
          <w:ilvl w:val="1"/>
          <w:numId w:val="8"/>
        </w:numPr>
        <w:tabs>
          <w:tab w:val="right" w:pos="8820"/>
        </w:tabs>
        <w:rPr>
          <w:color w:val="auto"/>
          <w:sz w:val="20"/>
          <w:szCs w:val="20"/>
        </w:rPr>
      </w:pPr>
      <w:hyperlink w:anchor="SustainabilityReport" w:history="1">
        <w:r w:rsidR="00D853A2" w:rsidRPr="00302DEA">
          <w:rPr>
            <w:rStyle w:val="Hyperlink"/>
            <w:color w:val="auto"/>
            <w:sz w:val="20"/>
            <w:szCs w:val="20"/>
          </w:rPr>
          <w:t>Sustainability Report</w:t>
        </w:r>
      </w:hyperlink>
      <w:r w:rsidR="00D853A2" w:rsidRPr="00302DEA">
        <w:rPr>
          <w:color w:val="auto"/>
          <w:sz w:val="20"/>
          <w:szCs w:val="20"/>
        </w:rPr>
        <w:tab/>
      </w:r>
      <w:r w:rsidR="00DA33C2" w:rsidRPr="00302DEA">
        <w:rPr>
          <w:color w:val="auto"/>
          <w:sz w:val="20"/>
          <w:szCs w:val="20"/>
        </w:rPr>
        <w:t>23</w:t>
      </w:r>
    </w:p>
    <w:p w14:paraId="13A9846E" w14:textId="3E713306" w:rsidR="004E5A0C" w:rsidRPr="0045027A" w:rsidRDefault="00000000" w:rsidP="00D853A2">
      <w:pPr>
        <w:pStyle w:val="ListParagraph"/>
        <w:numPr>
          <w:ilvl w:val="1"/>
          <w:numId w:val="8"/>
        </w:numPr>
        <w:tabs>
          <w:tab w:val="right" w:pos="8820"/>
        </w:tabs>
        <w:rPr>
          <w:color w:val="auto"/>
          <w:sz w:val="20"/>
          <w:szCs w:val="20"/>
        </w:rPr>
      </w:pPr>
      <w:hyperlink w:anchor="TCFD" w:history="1">
        <w:r w:rsidR="004E5A0C" w:rsidRPr="00302DEA">
          <w:rPr>
            <w:rStyle w:val="Hyperlink"/>
            <w:color w:val="auto"/>
            <w:sz w:val="20"/>
            <w:szCs w:val="20"/>
          </w:rPr>
          <w:t>Task Force on Climate-related Financial Disclosures (TCFD)</w:t>
        </w:r>
      </w:hyperlink>
      <w:r w:rsidR="004E5A0C">
        <w:rPr>
          <w:color w:val="auto"/>
          <w:sz w:val="20"/>
          <w:szCs w:val="20"/>
        </w:rPr>
        <w:tab/>
      </w:r>
      <w:r w:rsidR="00DA33C2">
        <w:rPr>
          <w:color w:val="auto"/>
          <w:sz w:val="20"/>
          <w:szCs w:val="20"/>
        </w:rPr>
        <w:t>24</w:t>
      </w:r>
    </w:p>
    <w:p w14:paraId="63E74885" w14:textId="77777777" w:rsidR="002667DD" w:rsidRPr="009C7EA6" w:rsidRDefault="002667DD" w:rsidP="002667DD">
      <w:pPr>
        <w:tabs>
          <w:tab w:val="right" w:pos="8820"/>
        </w:tabs>
        <w:rPr>
          <w:color w:val="auto"/>
          <w:sz w:val="22"/>
          <w:szCs w:val="22"/>
        </w:rPr>
      </w:pPr>
    </w:p>
    <w:p w14:paraId="3AD5F759" w14:textId="3D60B5C7" w:rsidR="002667DD" w:rsidRPr="009C7EA6" w:rsidRDefault="00000000" w:rsidP="002667DD">
      <w:pPr>
        <w:pStyle w:val="ListParagraph"/>
        <w:numPr>
          <w:ilvl w:val="0"/>
          <w:numId w:val="8"/>
        </w:numPr>
        <w:tabs>
          <w:tab w:val="right" w:pos="8820"/>
        </w:tabs>
        <w:rPr>
          <w:color w:val="auto"/>
          <w:sz w:val="22"/>
          <w:szCs w:val="22"/>
        </w:rPr>
      </w:pPr>
      <w:hyperlink w:anchor="PerformanceAnalysis" w:history="1">
        <w:r w:rsidR="002667DD" w:rsidRPr="009C7EA6">
          <w:rPr>
            <w:rStyle w:val="Hyperlink"/>
            <w:b/>
            <w:color w:val="auto"/>
            <w:sz w:val="22"/>
            <w:szCs w:val="22"/>
          </w:rPr>
          <w:t>Performance Analysis</w:t>
        </w:r>
      </w:hyperlink>
      <w:r w:rsidR="002667DD" w:rsidRPr="009C7EA6">
        <w:rPr>
          <w:color w:val="auto"/>
          <w:sz w:val="22"/>
          <w:szCs w:val="22"/>
        </w:rPr>
        <w:tab/>
      </w:r>
      <w:r w:rsidR="00DA33C2">
        <w:rPr>
          <w:color w:val="auto"/>
          <w:sz w:val="22"/>
          <w:szCs w:val="22"/>
        </w:rPr>
        <w:t>25</w:t>
      </w:r>
    </w:p>
    <w:p w14:paraId="3D7EF3CA" w14:textId="77777777" w:rsidR="002667DD" w:rsidRPr="009C7EA6" w:rsidRDefault="002667DD" w:rsidP="002667DD">
      <w:pPr>
        <w:tabs>
          <w:tab w:val="right" w:pos="8820"/>
        </w:tabs>
        <w:rPr>
          <w:color w:val="auto"/>
          <w:sz w:val="22"/>
          <w:szCs w:val="22"/>
        </w:rPr>
      </w:pPr>
    </w:p>
    <w:p w14:paraId="4A5B59C9" w14:textId="0E6DCC47" w:rsidR="002667DD" w:rsidRPr="009C7EA6" w:rsidRDefault="00000000" w:rsidP="002667DD">
      <w:pPr>
        <w:tabs>
          <w:tab w:val="right" w:pos="8820"/>
        </w:tabs>
        <w:rPr>
          <w:color w:val="auto"/>
          <w:sz w:val="22"/>
          <w:szCs w:val="22"/>
        </w:rPr>
      </w:pPr>
      <w:hyperlink w:anchor="AccountabilityReport" w:history="1">
        <w:r w:rsidR="002667DD" w:rsidRPr="009C7EA6">
          <w:rPr>
            <w:rStyle w:val="Hyperlink"/>
            <w:b/>
            <w:color w:val="auto"/>
            <w:sz w:val="22"/>
            <w:szCs w:val="22"/>
          </w:rPr>
          <w:t>Accountability Report</w:t>
        </w:r>
      </w:hyperlink>
      <w:r w:rsidR="002667DD" w:rsidRPr="009C7EA6">
        <w:rPr>
          <w:color w:val="auto"/>
          <w:sz w:val="22"/>
          <w:szCs w:val="22"/>
        </w:rPr>
        <w:tab/>
      </w:r>
      <w:r w:rsidR="00DA33C2">
        <w:rPr>
          <w:color w:val="auto"/>
          <w:sz w:val="22"/>
          <w:szCs w:val="22"/>
        </w:rPr>
        <w:t>27</w:t>
      </w:r>
    </w:p>
    <w:p w14:paraId="2D903FD9" w14:textId="77777777" w:rsidR="002667DD" w:rsidRPr="009C7EA6" w:rsidRDefault="002667DD" w:rsidP="002667DD">
      <w:pPr>
        <w:tabs>
          <w:tab w:val="right" w:pos="8820"/>
        </w:tabs>
        <w:rPr>
          <w:color w:val="auto"/>
          <w:sz w:val="22"/>
          <w:szCs w:val="22"/>
        </w:rPr>
      </w:pPr>
    </w:p>
    <w:p w14:paraId="11EE3AC8" w14:textId="72D21B05" w:rsidR="002667DD" w:rsidRPr="009C7EA6" w:rsidRDefault="00000000" w:rsidP="002667DD">
      <w:pPr>
        <w:pStyle w:val="ListParagraph"/>
        <w:numPr>
          <w:ilvl w:val="0"/>
          <w:numId w:val="9"/>
        </w:numPr>
        <w:tabs>
          <w:tab w:val="right" w:pos="8820"/>
        </w:tabs>
        <w:rPr>
          <w:color w:val="auto"/>
          <w:sz w:val="22"/>
          <w:szCs w:val="22"/>
        </w:rPr>
      </w:pPr>
      <w:hyperlink w:anchor="CorporateGovernanceReport" w:history="1">
        <w:r w:rsidR="002667DD" w:rsidRPr="009C7EA6">
          <w:rPr>
            <w:rStyle w:val="Hyperlink"/>
            <w:b/>
            <w:color w:val="auto"/>
            <w:sz w:val="22"/>
            <w:szCs w:val="22"/>
          </w:rPr>
          <w:t>Corporate Governance Report</w:t>
        </w:r>
      </w:hyperlink>
      <w:r w:rsidR="002667DD" w:rsidRPr="009C7EA6">
        <w:rPr>
          <w:color w:val="auto"/>
          <w:sz w:val="22"/>
          <w:szCs w:val="22"/>
        </w:rPr>
        <w:tab/>
      </w:r>
      <w:r w:rsidR="00DA33C2">
        <w:rPr>
          <w:color w:val="auto"/>
          <w:sz w:val="22"/>
          <w:szCs w:val="22"/>
        </w:rPr>
        <w:t>27</w:t>
      </w:r>
    </w:p>
    <w:p w14:paraId="7B51C10D" w14:textId="29CEBD49" w:rsidR="002667DD" w:rsidRPr="0045027A" w:rsidRDefault="00000000" w:rsidP="002667DD">
      <w:pPr>
        <w:pStyle w:val="ListParagraph"/>
        <w:numPr>
          <w:ilvl w:val="1"/>
          <w:numId w:val="9"/>
        </w:numPr>
        <w:tabs>
          <w:tab w:val="right" w:pos="8820"/>
        </w:tabs>
        <w:rPr>
          <w:color w:val="auto"/>
          <w:sz w:val="20"/>
          <w:szCs w:val="20"/>
        </w:rPr>
      </w:pPr>
      <w:hyperlink w:anchor="DirectorsReport" w:history="1">
        <w:r w:rsidR="002667DD" w:rsidRPr="0045027A">
          <w:rPr>
            <w:rStyle w:val="Hyperlink"/>
            <w:color w:val="auto"/>
            <w:sz w:val="20"/>
            <w:szCs w:val="20"/>
          </w:rPr>
          <w:t>Director’s Report</w:t>
        </w:r>
      </w:hyperlink>
      <w:r w:rsidR="002667DD">
        <w:rPr>
          <w:color w:val="auto"/>
          <w:sz w:val="20"/>
          <w:szCs w:val="20"/>
        </w:rPr>
        <w:tab/>
      </w:r>
      <w:r w:rsidR="00DA33C2">
        <w:rPr>
          <w:color w:val="auto"/>
          <w:sz w:val="20"/>
          <w:szCs w:val="20"/>
        </w:rPr>
        <w:t>27</w:t>
      </w:r>
    </w:p>
    <w:p w14:paraId="0A680AFC" w14:textId="5434EACD" w:rsidR="002667DD" w:rsidRPr="00302DEA" w:rsidRDefault="00000000" w:rsidP="002667DD">
      <w:pPr>
        <w:pStyle w:val="ListParagraph"/>
        <w:numPr>
          <w:ilvl w:val="1"/>
          <w:numId w:val="9"/>
        </w:numPr>
        <w:tabs>
          <w:tab w:val="right" w:pos="8820"/>
        </w:tabs>
        <w:rPr>
          <w:color w:val="auto"/>
          <w:sz w:val="20"/>
          <w:szCs w:val="20"/>
        </w:rPr>
      </w:pPr>
      <w:hyperlink w:anchor="StatementofAccountingOfficer" w:history="1">
        <w:r w:rsidR="002667DD" w:rsidRPr="00302DEA">
          <w:rPr>
            <w:rStyle w:val="Hyperlink"/>
            <w:color w:val="auto"/>
            <w:sz w:val="20"/>
            <w:szCs w:val="20"/>
          </w:rPr>
          <w:t>Statement of Accounting Officer’s Responsibilities</w:t>
        </w:r>
      </w:hyperlink>
      <w:r w:rsidR="002667DD" w:rsidRPr="00302DEA">
        <w:rPr>
          <w:color w:val="auto"/>
          <w:sz w:val="20"/>
          <w:szCs w:val="20"/>
        </w:rPr>
        <w:tab/>
      </w:r>
      <w:r w:rsidR="00D13D5E" w:rsidRPr="00302DEA">
        <w:rPr>
          <w:color w:val="auto"/>
          <w:sz w:val="20"/>
          <w:szCs w:val="20"/>
        </w:rPr>
        <w:t>3</w:t>
      </w:r>
      <w:r w:rsidR="00F95FA1">
        <w:rPr>
          <w:color w:val="auto"/>
          <w:sz w:val="20"/>
          <w:szCs w:val="20"/>
        </w:rPr>
        <w:t>1</w:t>
      </w:r>
    </w:p>
    <w:p w14:paraId="547A1161" w14:textId="39AC6748" w:rsidR="002667DD" w:rsidRPr="008C73A2" w:rsidRDefault="00000000" w:rsidP="002667DD">
      <w:pPr>
        <w:pStyle w:val="ListParagraph"/>
        <w:numPr>
          <w:ilvl w:val="1"/>
          <w:numId w:val="9"/>
        </w:numPr>
        <w:tabs>
          <w:tab w:val="right" w:pos="8820"/>
        </w:tabs>
        <w:rPr>
          <w:color w:val="auto"/>
          <w:sz w:val="20"/>
          <w:szCs w:val="20"/>
        </w:rPr>
      </w:pPr>
      <w:hyperlink w:anchor="GovernanceStatement" w:history="1">
        <w:r w:rsidR="002667DD" w:rsidRPr="00302DEA">
          <w:rPr>
            <w:rStyle w:val="Hyperlink"/>
            <w:color w:val="auto"/>
            <w:sz w:val="20"/>
            <w:szCs w:val="20"/>
          </w:rPr>
          <w:t>Governance Statement</w:t>
        </w:r>
      </w:hyperlink>
      <w:r w:rsidR="002667DD">
        <w:rPr>
          <w:color w:val="auto"/>
          <w:sz w:val="22"/>
          <w:szCs w:val="22"/>
        </w:rPr>
        <w:tab/>
      </w:r>
      <w:r w:rsidR="00D13D5E">
        <w:rPr>
          <w:color w:val="auto"/>
          <w:sz w:val="20"/>
          <w:szCs w:val="20"/>
        </w:rPr>
        <w:t>3</w:t>
      </w:r>
      <w:r w:rsidR="00F95FA1">
        <w:rPr>
          <w:color w:val="auto"/>
          <w:sz w:val="20"/>
          <w:szCs w:val="20"/>
        </w:rPr>
        <w:t>2</w:t>
      </w:r>
    </w:p>
    <w:p w14:paraId="69F99A0A" w14:textId="77777777" w:rsidR="002667DD" w:rsidRPr="009C7EA6" w:rsidRDefault="002667DD" w:rsidP="002667DD">
      <w:pPr>
        <w:tabs>
          <w:tab w:val="right" w:pos="8820"/>
        </w:tabs>
        <w:rPr>
          <w:color w:val="auto"/>
          <w:sz w:val="22"/>
          <w:szCs w:val="22"/>
        </w:rPr>
      </w:pPr>
    </w:p>
    <w:p w14:paraId="27976FBD" w14:textId="5DC7E54A" w:rsidR="002667DD" w:rsidRPr="009C7EA6" w:rsidRDefault="00000000" w:rsidP="002667DD">
      <w:pPr>
        <w:pStyle w:val="ListParagraph"/>
        <w:numPr>
          <w:ilvl w:val="0"/>
          <w:numId w:val="9"/>
        </w:numPr>
        <w:tabs>
          <w:tab w:val="right" w:pos="8820"/>
        </w:tabs>
        <w:rPr>
          <w:color w:val="auto"/>
          <w:sz w:val="22"/>
          <w:szCs w:val="22"/>
        </w:rPr>
      </w:pPr>
      <w:hyperlink w:anchor="RemunerationAndStaffReport" w:history="1">
        <w:r w:rsidR="002667DD" w:rsidRPr="00302DEA">
          <w:rPr>
            <w:rStyle w:val="Hyperlink"/>
            <w:b/>
            <w:color w:val="auto"/>
            <w:sz w:val="22"/>
            <w:szCs w:val="22"/>
          </w:rPr>
          <w:t>Remuneration and Staff Report</w:t>
        </w:r>
      </w:hyperlink>
      <w:r w:rsidR="002667DD">
        <w:rPr>
          <w:color w:val="auto"/>
          <w:sz w:val="22"/>
          <w:szCs w:val="22"/>
        </w:rPr>
        <w:tab/>
      </w:r>
      <w:r w:rsidR="00D13D5E">
        <w:rPr>
          <w:color w:val="auto"/>
          <w:sz w:val="22"/>
          <w:szCs w:val="22"/>
        </w:rPr>
        <w:t>4</w:t>
      </w:r>
      <w:r w:rsidR="00F95FA1">
        <w:rPr>
          <w:color w:val="auto"/>
          <w:sz w:val="22"/>
          <w:szCs w:val="22"/>
        </w:rPr>
        <w:t>1</w:t>
      </w:r>
    </w:p>
    <w:p w14:paraId="77A67408" w14:textId="1607D3A2" w:rsidR="002667DD" w:rsidRPr="0045027A" w:rsidRDefault="00000000" w:rsidP="002667DD">
      <w:pPr>
        <w:pStyle w:val="ListParagraph"/>
        <w:numPr>
          <w:ilvl w:val="1"/>
          <w:numId w:val="9"/>
        </w:numPr>
        <w:tabs>
          <w:tab w:val="right" w:pos="8820"/>
        </w:tabs>
        <w:rPr>
          <w:color w:val="auto"/>
          <w:sz w:val="20"/>
          <w:szCs w:val="20"/>
        </w:rPr>
      </w:pPr>
      <w:hyperlink w:anchor="RemunerationPolicy" w:history="1">
        <w:r w:rsidR="002667DD" w:rsidRPr="0045027A">
          <w:rPr>
            <w:rStyle w:val="Hyperlink"/>
            <w:color w:val="auto"/>
            <w:sz w:val="20"/>
            <w:szCs w:val="20"/>
          </w:rPr>
          <w:t>Remuneration Policy</w:t>
        </w:r>
      </w:hyperlink>
      <w:r w:rsidR="002667DD">
        <w:rPr>
          <w:color w:val="auto"/>
          <w:sz w:val="20"/>
          <w:szCs w:val="20"/>
        </w:rPr>
        <w:tab/>
      </w:r>
      <w:r w:rsidR="00D13D5E">
        <w:rPr>
          <w:color w:val="auto"/>
          <w:sz w:val="20"/>
          <w:szCs w:val="20"/>
        </w:rPr>
        <w:t>4</w:t>
      </w:r>
      <w:r w:rsidR="00F95FA1">
        <w:rPr>
          <w:color w:val="auto"/>
          <w:sz w:val="20"/>
          <w:szCs w:val="20"/>
        </w:rPr>
        <w:t>1</w:t>
      </w:r>
    </w:p>
    <w:p w14:paraId="47BE56F5" w14:textId="77F3FE21" w:rsidR="002667DD" w:rsidRPr="0045027A" w:rsidRDefault="00000000" w:rsidP="002667DD">
      <w:pPr>
        <w:pStyle w:val="ListParagraph"/>
        <w:numPr>
          <w:ilvl w:val="1"/>
          <w:numId w:val="9"/>
        </w:numPr>
        <w:tabs>
          <w:tab w:val="right" w:pos="8820"/>
        </w:tabs>
        <w:rPr>
          <w:color w:val="auto"/>
          <w:sz w:val="20"/>
          <w:szCs w:val="20"/>
        </w:rPr>
      </w:pPr>
      <w:hyperlink w:anchor="RemunerationandPensionEntitlements" w:history="1">
        <w:r w:rsidR="002667DD" w:rsidRPr="0045027A">
          <w:rPr>
            <w:rStyle w:val="Hyperlink"/>
            <w:color w:val="auto"/>
            <w:sz w:val="20"/>
            <w:szCs w:val="20"/>
          </w:rPr>
          <w:t>Remuneration and Pension Entitlements</w:t>
        </w:r>
      </w:hyperlink>
      <w:r w:rsidR="002667DD">
        <w:rPr>
          <w:color w:val="auto"/>
          <w:sz w:val="20"/>
          <w:szCs w:val="20"/>
        </w:rPr>
        <w:tab/>
      </w:r>
      <w:r w:rsidR="00D13D5E">
        <w:rPr>
          <w:color w:val="auto"/>
          <w:sz w:val="20"/>
          <w:szCs w:val="20"/>
        </w:rPr>
        <w:t>4</w:t>
      </w:r>
      <w:r w:rsidR="00F95FA1">
        <w:rPr>
          <w:color w:val="auto"/>
          <w:sz w:val="20"/>
          <w:szCs w:val="20"/>
        </w:rPr>
        <w:t>2</w:t>
      </w:r>
    </w:p>
    <w:p w14:paraId="6C1ADF2D" w14:textId="6B029F8D" w:rsidR="002667DD" w:rsidRPr="009C7EA6" w:rsidRDefault="00000000" w:rsidP="002667DD">
      <w:pPr>
        <w:pStyle w:val="ListParagraph"/>
        <w:numPr>
          <w:ilvl w:val="1"/>
          <w:numId w:val="9"/>
        </w:numPr>
        <w:tabs>
          <w:tab w:val="right" w:pos="8820"/>
        </w:tabs>
        <w:rPr>
          <w:color w:val="auto"/>
          <w:sz w:val="22"/>
          <w:szCs w:val="22"/>
        </w:rPr>
      </w:pPr>
      <w:hyperlink w:anchor="StaffReport" w:history="1">
        <w:r w:rsidR="002667DD" w:rsidRPr="0045027A">
          <w:rPr>
            <w:rStyle w:val="Hyperlink"/>
            <w:color w:val="auto"/>
            <w:sz w:val="20"/>
            <w:szCs w:val="20"/>
          </w:rPr>
          <w:t>Staff Report</w:t>
        </w:r>
      </w:hyperlink>
      <w:r w:rsidR="002667DD">
        <w:rPr>
          <w:color w:val="auto"/>
          <w:sz w:val="22"/>
          <w:szCs w:val="22"/>
        </w:rPr>
        <w:tab/>
      </w:r>
      <w:r w:rsidR="00D13D5E">
        <w:rPr>
          <w:color w:val="auto"/>
          <w:sz w:val="20"/>
          <w:szCs w:val="20"/>
        </w:rPr>
        <w:t>5</w:t>
      </w:r>
      <w:r w:rsidR="00F95FA1">
        <w:rPr>
          <w:color w:val="auto"/>
          <w:sz w:val="20"/>
          <w:szCs w:val="20"/>
        </w:rPr>
        <w:t>0</w:t>
      </w:r>
    </w:p>
    <w:p w14:paraId="5DF0A9F2" w14:textId="77777777" w:rsidR="002667DD" w:rsidRPr="009C7EA6" w:rsidRDefault="002667DD" w:rsidP="002667DD">
      <w:pPr>
        <w:tabs>
          <w:tab w:val="right" w:pos="8820"/>
        </w:tabs>
        <w:rPr>
          <w:color w:val="auto"/>
          <w:sz w:val="22"/>
          <w:szCs w:val="22"/>
        </w:rPr>
      </w:pPr>
    </w:p>
    <w:p w14:paraId="74B498A1" w14:textId="17A2578F" w:rsidR="002667DD" w:rsidRPr="009C7EA6" w:rsidRDefault="00000000" w:rsidP="002667DD">
      <w:pPr>
        <w:pStyle w:val="ListParagraph"/>
        <w:numPr>
          <w:ilvl w:val="0"/>
          <w:numId w:val="11"/>
        </w:numPr>
        <w:tabs>
          <w:tab w:val="right" w:pos="8820"/>
        </w:tabs>
        <w:rPr>
          <w:b/>
          <w:color w:val="auto"/>
          <w:sz w:val="22"/>
          <w:szCs w:val="22"/>
        </w:rPr>
      </w:pPr>
      <w:hyperlink w:anchor="ParliamentaryAccountability" w:history="1">
        <w:r w:rsidR="002667DD" w:rsidRPr="009C7EA6">
          <w:rPr>
            <w:rStyle w:val="Hyperlink"/>
            <w:b/>
            <w:color w:val="auto"/>
            <w:sz w:val="22"/>
            <w:szCs w:val="22"/>
          </w:rPr>
          <w:t>Parliamentary Accountability and Audit Report</w:t>
        </w:r>
      </w:hyperlink>
      <w:r w:rsidR="002667DD" w:rsidRPr="009C7EA6">
        <w:rPr>
          <w:color w:val="auto"/>
          <w:sz w:val="22"/>
          <w:szCs w:val="22"/>
        </w:rPr>
        <w:tab/>
      </w:r>
      <w:r w:rsidR="004F538D">
        <w:rPr>
          <w:color w:val="auto"/>
          <w:sz w:val="22"/>
          <w:szCs w:val="22"/>
        </w:rPr>
        <w:t>5</w:t>
      </w:r>
      <w:r w:rsidR="00F95FA1">
        <w:rPr>
          <w:color w:val="auto"/>
          <w:sz w:val="22"/>
          <w:szCs w:val="22"/>
        </w:rPr>
        <w:t>4</w:t>
      </w:r>
    </w:p>
    <w:p w14:paraId="4F505205" w14:textId="5AD7FF39" w:rsidR="002667DD" w:rsidRPr="009C7EA6" w:rsidRDefault="00000000" w:rsidP="002667DD">
      <w:pPr>
        <w:pStyle w:val="ListParagraph"/>
        <w:numPr>
          <w:ilvl w:val="1"/>
          <w:numId w:val="11"/>
        </w:numPr>
        <w:tabs>
          <w:tab w:val="right" w:pos="8820"/>
        </w:tabs>
        <w:rPr>
          <w:b/>
          <w:color w:val="auto"/>
          <w:sz w:val="22"/>
          <w:szCs w:val="22"/>
        </w:rPr>
      </w:pPr>
      <w:hyperlink w:anchor="CertificateandReportofComp" w:history="1">
        <w:r w:rsidR="002667DD" w:rsidRPr="0045027A">
          <w:rPr>
            <w:rStyle w:val="Hyperlink"/>
            <w:color w:val="auto"/>
            <w:sz w:val="20"/>
            <w:szCs w:val="20"/>
          </w:rPr>
          <w:t>Certificate and Report of the Comptroller and Auditor General</w:t>
        </w:r>
      </w:hyperlink>
      <w:r w:rsidR="002667DD" w:rsidRPr="009C7EA6">
        <w:rPr>
          <w:color w:val="auto"/>
          <w:sz w:val="22"/>
          <w:szCs w:val="22"/>
        </w:rPr>
        <w:tab/>
      </w:r>
      <w:r w:rsidR="004F538D">
        <w:rPr>
          <w:color w:val="auto"/>
          <w:sz w:val="20"/>
          <w:szCs w:val="20"/>
        </w:rPr>
        <w:t>5</w:t>
      </w:r>
      <w:r w:rsidR="00F95FA1">
        <w:rPr>
          <w:color w:val="auto"/>
          <w:sz w:val="20"/>
          <w:szCs w:val="20"/>
        </w:rPr>
        <w:t>6</w:t>
      </w:r>
    </w:p>
    <w:p w14:paraId="57677BA2" w14:textId="77777777" w:rsidR="002667DD" w:rsidRPr="009C7EA6" w:rsidRDefault="002667DD" w:rsidP="002667DD">
      <w:pPr>
        <w:tabs>
          <w:tab w:val="right" w:pos="8820"/>
        </w:tabs>
        <w:rPr>
          <w:b/>
          <w:color w:val="auto"/>
          <w:sz w:val="22"/>
          <w:szCs w:val="22"/>
        </w:rPr>
      </w:pPr>
    </w:p>
    <w:p w14:paraId="37FECC52" w14:textId="2C8AA129" w:rsidR="002667DD" w:rsidRPr="009C7EA6" w:rsidRDefault="00000000" w:rsidP="002667DD">
      <w:pPr>
        <w:tabs>
          <w:tab w:val="right" w:pos="8820"/>
        </w:tabs>
        <w:rPr>
          <w:color w:val="auto"/>
          <w:sz w:val="22"/>
          <w:szCs w:val="22"/>
        </w:rPr>
      </w:pPr>
      <w:hyperlink w:anchor="FinancialStatements" w:history="1">
        <w:r w:rsidR="002667DD" w:rsidRPr="009C7EA6">
          <w:rPr>
            <w:rStyle w:val="Hyperlink"/>
            <w:b/>
            <w:color w:val="auto"/>
            <w:sz w:val="22"/>
            <w:szCs w:val="22"/>
          </w:rPr>
          <w:t>Financial Statements</w:t>
        </w:r>
      </w:hyperlink>
      <w:r w:rsidR="002667DD" w:rsidRPr="009C7EA6">
        <w:rPr>
          <w:b/>
          <w:color w:val="auto"/>
          <w:sz w:val="22"/>
          <w:szCs w:val="22"/>
        </w:rPr>
        <w:tab/>
      </w:r>
      <w:r w:rsidR="004F538D">
        <w:rPr>
          <w:color w:val="auto"/>
          <w:sz w:val="22"/>
          <w:szCs w:val="22"/>
        </w:rPr>
        <w:t>6</w:t>
      </w:r>
      <w:r w:rsidR="00F95FA1">
        <w:rPr>
          <w:color w:val="auto"/>
          <w:sz w:val="22"/>
          <w:szCs w:val="22"/>
        </w:rPr>
        <w:t>3</w:t>
      </w:r>
    </w:p>
    <w:p w14:paraId="44F130CB" w14:textId="77777777" w:rsidR="002667DD" w:rsidRPr="009C7EA6" w:rsidRDefault="002667DD" w:rsidP="002667DD">
      <w:pPr>
        <w:tabs>
          <w:tab w:val="right" w:pos="8820"/>
        </w:tabs>
        <w:rPr>
          <w:color w:val="auto"/>
          <w:sz w:val="22"/>
          <w:szCs w:val="22"/>
        </w:rPr>
      </w:pPr>
    </w:p>
    <w:p w14:paraId="73E9AEC4" w14:textId="300BF46A" w:rsidR="002667DD" w:rsidRPr="009C7EA6" w:rsidRDefault="00000000" w:rsidP="002667DD">
      <w:pPr>
        <w:pStyle w:val="ListParagraph"/>
        <w:numPr>
          <w:ilvl w:val="0"/>
          <w:numId w:val="11"/>
        </w:numPr>
        <w:tabs>
          <w:tab w:val="right" w:pos="8820"/>
        </w:tabs>
        <w:rPr>
          <w:color w:val="auto"/>
          <w:sz w:val="22"/>
          <w:szCs w:val="22"/>
        </w:rPr>
      </w:pPr>
      <w:hyperlink w:anchor="StatementofComprehensiveNetExpenditure" w:history="1">
        <w:r w:rsidR="002667DD" w:rsidRPr="009C7EA6">
          <w:rPr>
            <w:rStyle w:val="Hyperlink"/>
            <w:b/>
            <w:color w:val="auto"/>
            <w:sz w:val="22"/>
            <w:szCs w:val="22"/>
          </w:rPr>
          <w:t>Statement of Comprehensive Net Expenditure</w:t>
        </w:r>
      </w:hyperlink>
      <w:r w:rsidR="002667DD" w:rsidRPr="009C7EA6">
        <w:rPr>
          <w:b/>
          <w:color w:val="auto"/>
          <w:sz w:val="22"/>
          <w:szCs w:val="22"/>
        </w:rPr>
        <w:tab/>
      </w:r>
      <w:r w:rsidR="004F538D">
        <w:rPr>
          <w:color w:val="auto"/>
          <w:sz w:val="22"/>
          <w:szCs w:val="22"/>
        </w:rPr>
        <w:t>6</w:t>
      </w:r>
      <w:r w:rsidR="00F95FA1">
        <w:rPr>
          <w:color w:val="auto"/>
          <w:sz w:val="22"/>
          <w:szCs w:val="22"/>
        </w:rPr>
        <w:t>3</w:t>
      </w:r>
      <w:r w:rsidR="002667DD" w:rsidRPr="009C7EA6">
        <w:rPr>
          <w:color w:val="auto"/>
          <w:sz w:val="22"/>
          <w:szCs w:val="22"/>
        </w:rPr>
        <w:br/>
      </w:r>
    </w:p>
    <w:p w14:paraId="66E278EE" w14:textId="4F8BF86D" w:rsidR="002667DD" w:rsidRPr="009C7EA6" w:rsidRDefault="00000000" w:rsidP="002667DD">
      <w:pPr>
        <w:pStyle w:val="ListParagraph"/>
        <w:numPr>
          <w:ilvl w:val="0"/>
          <w:numId w:val="11"/>
        </w:numPr>
        <w:tabs>
          <w:tab w:val="right" w:pos="8820"/>
        </w:tabs>
        <w:rPr>
          <w:color w:val="auto"/>
          <w:sz w:val="22"/>
          <w:szCs w:val="22"/>
        </w:rPr>
      </w:pPr>
      <w:hyperlink w:anchor="StatementofFinancialPosition" w:history="1">
        <w:r w:rsidR="002667DD" w:rsidRPr="009C7EA6">
          <w:rPr>
            <w:rStyle w:val="Hyperlink"/>
            <w:b/>
            <w:color w:val="auto"/>
            <w:sz w:val="22"/>
            <w:szCs w:val="22"/>
          </w:rPr>
          <w:t>Statement of Financial Position</w:t>
        </w:r>
      </w:hyperlink>
      <w:r w:rsidR="002667DD" w:rsidRPr="009C7EA6">
        <w:rPr>
          <w:b/>
          <w:color w:val="auto"/>
          <w:sz w:val="22"/>
          <w:szCs w:val="22"/>
        </w:rPr>
        <w:tab/>
      </w:r>
      <w:r w:rsidR="004F538D">
        <w:rPr>
          <w:color w:val="auto"/>
          <w:sz w:val="22"/>
          <w:szCs w:val="22"/>
        </w:rPr>
        <w:t>6</w:t>
      </w:r>
      <w:r w:rsidR="00F95FA1">
        <w:rPr>
          <w:color w:val="auto"/>
          <w:sz w:val="22"/>
          <w:szCs w:val="22"/>
        </w:rPr>
        <w:t>4</w:t>
      </w:r>
      <w:r w:rsidR="002667DD" w:rsidRPr="009C7EA6">
        <w:rPr>
          <w:color w:val="auto"/>
          <w:sz w:val="22"/>
          <w:szCs w:val="22"/>
        </w:rPr>
        <w:br/>
      </w:r>
    </w:p>
    <w:p w14:paraId="194639AD" w14:textId="204FDB97" w:rsidR="002667DD" w:rsidRPr="009C7EA6" w:rsidRDefault="00000000" w:rsidP="002667DD">
      <w:pPr>
        <w:pStyle w:val="ListParagraph"/>
        <w:numPr>
          <w:ilvl w:val="0"/>
          <w:numId w:val="11"/>
        </w:numPr>
        <w:tabs>
          <w:tab w:val="right" w:pos="8820"/>
        </w:tabs>
        <w:rPr>
          <w:color w:val="auto"/>
          <w:sz w:val="22"/>
          <w:szCs w:val="22"/>
        </w:rPr>
      </w:pPr>
      <w:hyperlink w:anchor="StatementofCashFlows" w:history="1">
        <w:r w:rsidR="002667DD" w:rsidRPr="009C7EA6">
          <w:rPr>
            <w:rStyle w:val="Hyperlink"/>
            <w:b/>
            <w:color w:val="auto"/>
            <w:sz w:val="22"/>
            <w:szCs w:val="22"/>
          </w:rPr>
          <w:t>Statement of Cash Flows</w:t>
        </w:r>
      </w:hyperlink>
      <w:r w:rsidR="002667DD" w:rsidRPr="009C7EA6">
        <w:rPr>
          <w:b/>
          <w:color w:val="auto"/>
          <w:sz w:val="22"/>
          <w:szCs w:val="22"/>
        </w:rPr>
        <w:tab/>
      </w:r>
      <w:r w:rsidR="004F538D">
        <w:rPr>
          <w:color w:val="auto"/>
          <w:sz w:val="22"/>
          <w:szCs w:val="22"/>
        </w:rPr>
        <w:t>6</w:t>
      </w:r>
      <w:r w:rsidR="00F95FA1">
        <w:rPr>
          <w:color w:val="auto"/>
          <w:sz w:val="22"/>
          <w:szCs w:val="22"/>
        </w:rPr>
        <w:t>5</w:t>
      </w:r>
      <w:r w:rsidR="002667DD" w:rsidRPr="009C7EA6">
        <w:rPr>
          <w:color w:val="auto"/>
          <w:sz w:val="22"/>
          <w:szCs w:val="22"/>
        </w:rPr>
        <w:br/>
      </w:r>
    </w:p>
    <w:p w14:paraId="361F54F3" w14:textId="6F755247" w:rsidR="002667DD" w:rsidRPr="009C7EA6" w:rsidRDefault="00000000" w:rsidP="002667DD">
      <w:pPr>
        <w:pStyle w:val="ListParagraph"/>
        <w:numPr>
          <w:ilvl w:val="0"/>
          <w:numId w:val="11"/>
        </w:numPr>
        <w:tabs>
          <w:tab w:val="right" w:pos="8820"/>
        </w:tabs>
        <w:rPr>
          <w:color w:val="auto"/>
          <w:sz w:val="22"/>
          <w:szCs w:val="22"/>
        </w:rPr>
      </w:pPr>
      <w:hyperlink w:anchor="StatementofChangesinEquity" w:history="1">
        <w:r w:rsidR="002667DD" w:rsidRPr="009C7EA6">
          <w:rPr>
            <w:rStyle w:val="Hyperlink"/>
            <w:b/>
            <w:color w:val="auto"/>
            <w:sz w:val="22"/>
            <w:szCs w:val="22"/>
          </w:rPr>
          <w:t>Statement of Change</w:t>
        </w:r>
        <w:r w:rsidR="002667DD">
          <w:rPr>
            <w:rStyle w:val="Hyperlink"/>
            <w:b/>
            <w:color w:val="auto"/>
            <w:sz w:val="22"/>
            <w:szCs w:val="22"/>
          </w:rPr>
          <w:t>s</w:t>
        </w:r>
        <w:r w:rsidR="002667DD" w:rsidRPr="009C7EA6">
          <w:rPr>
            <w:rStyle w:val="Hyperlink"/>
            <w:b/>
            <w:color w:val="auto"/>
            <w:sz w:val="22"/>
            <w:szCs w:val="22"/>
          </w:rPr>
          <w:t xml:space="preserve"> in </w:t>
        </w:r>
        <w:r w:rsidR="002667DD">
          <w:rPr>
            <w:rStyle w:val="Hyperlink"/>
            <w:b/>
            <w:color w:val="auto"/>
            <w:sz w:val="22"/>
            <w:szCs w:val="22"/>
          </w:rPr>
          <w:t xml:space="preserve">Taxpayers’ </w:t>
        </w:r>
        <w:r w:rsidR="002667DD" w:rsidRPr="009C7EA6">
          <w:rPr>
            <w:rStyle w:val="Hyperlink"/>
            <w:b/>
            <w:color w:val="auto"/>
            <w:sz w:val="22"/>
            <w:szCs w:val="22"/>
          </w:rPr>
          <w:t>Equity</w:t>
        </w:r>
      </w:hyperlink>
      <w:r w:rsidR="002667DD" w:rsidRPr="009C7EA6">
        <w:rPr>
          <w:b/>
          <w:color w:val="auto"/>
          <w:sz w:val="22"/>
          <w:szCs w:val="22"/>
        </w:rPr>
        <w:tab/>
      </w:r>
      <w:r w:rsidR="004F538D">
        <w:rPr>
          <w:color w:val="auto"/>
          <w:sz w:val="22"/>
          <w:szCs w:val="22"/>
        </w:rPr>
        <w:t>6</w:t>
      </w:r>
      <w:r w:rsidR="00F95FA1">
        <w:rPr>
          <w:color w:val="auto"/>
          <w:sz w:val="22"/>
          <w:szCs w:val="22"/>
        </w:rPr>
        <w:t>6</w:t>
      </w:r>
      <w:r w:rsidR="002667DD" w:rsidRPr="009C7EA6">
        <w:rPr>
          <w:color w:val="auto"/>
          <w:sz w:val="22"/>
          <w:szCs w:val="22"/>
        </w:rPr>
        <w:br/>
      </w:r>
    </w:p>
    <w:p w14:paraId="6B0AC378" w14:textId="4388C29F" w:rsidR="002667DD" w:rsidRPr="008244B9" w:rsidRDefault="00000000" w:rsidP="002667DD">
      <w:pPr>
        <w:pStyle w:val="ListParagraph"/>
        <w:numPr>
          <w:ilvl w:val="0"/>
          <w:numId w:val="11"/>
        </w:numPr>
        <w:tabs>
          <w:tab w:val="right" w:pos="8820"/>
        </w:tabs>
        <w:rPr>
          <w:sz w:val="22"/>
          <w:szCs w:val="22"/>
        </w:rPr>
      </w:pPr>
      <w:hyperlink w:anchor="NotestotheFinancialStatements" w:history="1">
        <w:r w:rsidR="002667DD" w:rsidRPr="009522C2">
          <w:rPr>
            <w:rStyle w:val="Hyperlink"/>
            <w:b/>
            <w:color w:val="auto"/>
            <w:sz w:val="22"/>
            <w:szCs w:val="22"/>
          </w:rPr>
          <w:t>Notes to the Financial Statements</w:t>
        </w:r>
      </w:hyperlink>
      <w:r w:rsidR="002667DD">
        <w:rPr>
          <w:b/>
          <w:sz w:val="22"/>
          <w:szCs w:val="22"/>
        </w:rPr>
        <w:tab/>
      </w:r>
      <w:r w:rsidR="004F538D">
        <w:rPr>
          <w:sz w:val="22"/>
          <w:szCs w:val="22"/>
        </w:rPr>
        <w:t>6</w:t>
      </w:r>
      <w:r w:rsidR="00F95FA1">
        <w:rPr>
          <w:sz w:val="22"/>
          <w:szCs w:val="22"/>
        </w:rPr>
        <w:t>7</w:t>
      </w:r>
    </w:p>
    <w:bookmarkEnd w:id="0"/>
    <w:p w14:paraId="16F9C097" w14:textId="77777777" w:rsidR="002667DD" w:rsidRDefault="002667DD" w:rsidP="002667DD">
      <w:pPr>
        <w:pStyle w:val="ListParagraph"/>
        <w:tabs>
          <w:tab w:val="right" w:pos="8820"/>
        </w:tabs>
        <w:rPr>
          <w:b/>
          <w:sz w:val="22"/>
          <w:szCs w:val="22"/>
        </w:rPr>
      </w:pPr>
    </w:p>
    <w:p w14:paraId="065E2D36" w14:textId="77777777" w:rsidR="002667DD" w:rsidRPr="008244B9" w:rsidRDefault="002667DD" w:rsidP="002667DD">
      <w:pPr>
        <w:pStyle w:val="ListParagraph"/>
        <w:tabs>
          <w:tab w:val="right" w:pos="8820"/>
        </w:tabs>
        <w:rPr>
          <w:sz w:val="22"/>
          <w:szCs w:val="22"/>
        </w:rPr>
      </w:pPr>
    </w:p>
    <w:p w14:paraId="65F9279D" w14:textId="77777777" w:rsidR="002667DD" w:rsidRPr="007F2DCD" w:rsidRDefault="002667DD" w:rsidP="002667DD">
      <w:pPr>
        <w:tabs>
          <w:tab w:val="right" w:pos="8820"/>
        </w:tabs>
        <w:rPr>
          <w:i/>
          <w:sz w:val="22"/>
          <w:szCs w:val="22"/>
        </w:rPr>
      </w:pPr>
    </w:p>
    <w:p w14:paraId="22719850" w14:textId="77777777" w:rsidR="002667DD" w:rsidRPr="007F2DCD" w:rsidRDefault="002667DD" w:rsidP="002667DD">
      <w:pPr>
        <w:tabs>
          <w:tab w:val="right" w:pos="8820"/>
        </w:tabs>
        <w:rPr>
          <w:i/>
          <w:sz w:val="22"/>
          <w:szCs w:val="22"/>
        </w:rPr>
      </w:pPr>
    </w:p>
    <w:p w14:paraId="7AED0C93" w14:textId="77777777" w:rsidR="002667DD" w:rsidRPr="007F2DCD" w:rsidRDefault="002667DD" w:rsidP="002667DD">
      <w:pPr>
        <w:tabs>
          <w:tab w:val="right" w:pos="8820"/>
        </w:tabs>
        <w:rPr>
          <w:i/>
          <w:sz w:val="22"/>
          <w:szCs w:val="22"/>
        </w:rPr>
      </w:pPr>
    </w:p>
    <w:p w14:paraId="73086999" w14:textId="77777777" w:rsidR="002667DD" w:rsidRPr="007F2DCD" w:rsidRDefault="002667DD" w:rsidP="002667DD">
      <w:pPr>
        <w:tabs>
          <w:tab w:val="right" w:pos="8820"/>
        </w:tabs>
        <w:rPr>
          <w:i/>
          <w:sz w:val="22"/>
          <w:szCs w:val="22"/>
        </w:rPr>
      </w:pPr>
    </w:p>
    <w:p w14:paraId="24C7F8B6" w14:textId="77777777" w:rsidR="002667DD" w:rsidRPr="007F2DCD" w:rsidRDefault="002667DD" w:rsidP="002667DD">
      <w:pPr>
        <w:tabs>
          <w:tab w:val="right" w:pos="8820"/>
        </w:tabs>
        <w:rPr>
          <w:i/>
          <w:sz w:val="22"/>
          <w:szCs w:val="22"/>
        </w:rPr>
      </w:pPr>
    </w:p>
    <w:p w14:paraId="269D27C6" w14:textId="77777777" w:rsidR="002667DD" w:rsidRPr="007F2DCD" w:rsidRDefault="002667DD" w:rsidP="002667DD">
      <w:pPr>
        <w:tabs>
          <w:tab w:val="right" w:pos="8820"/>
        </w:tabs>
        <w:rPr>
          <w:i/>
          <w:sz w:val="22"/>
          <w:szCs w:val="22"/>
        </w:rPr>
      </w:pPr>
    </w:p>
    <w:p w14:paraId="760B9F9B" w14:textId="77777777" w:rsidR="002667DD" w:rsidRPr="007F2DCD" w:rsidRDefault="002667DD" w:rsidP="002667DD">
      <w:pPr>
        <w:tabs>
          <w:tab w:val="right" w:pos="8820"/>
        </w:tabs>
        <w:rPr>
          <w:i/>
          <w:sz w:val="22"/>
          <w:szCs w:val="22"/>
        </w:rPr>
      </w:pPr>
    </w:p>
    <w:p w14:paraId="36F704DB" w14:textId="77777777" w:rsidR="002667DD" w:rsidRPr="007F2DCD" w:rsidRDefault="002667DD" w:rsidP="002667DD">
      <w:pPr>
        <w:tabs>
          <w:tab w:val="right" w:pos="8820"/>
        </w:tabs>
        <w:rPr>
          <w:i/>
          <w:sz w:val="22"/>
          <w:szCs w:val="22"/>
        </w:rPr>
      </w:pPr>
    </w:p>
    <w:p w14:paraId="3D820FAA" w14:textId="77777777" w:rsidR="002667DD" w:rsidRPr="007F2DCD" w:rsidRDefault="002667DD" w:rsidP="002667DD">
      <w:pPr>
        <w:tabs>
          <w:tab w:val="right" w:pos="8820"/>
        </w:tabs>
        <w:rPr>
          <w:i/>
          <w:sz w:val="22"/>
          <w:szCs w:val="22"/>
        </w:rPr>
      </w:pPr>
    </w:p>
    <w:p w14:paraId="419FB8E3" w14:textId="77777777" w:rsidR="002667DD" w:rsidRDefault="002667DD" w:rsidP="002667DD">
      <w:pPr>
        <w:tabs>
          <w:tab w:val="right" w:pos="8820"/>
        </w:tabs>
        <w:rPr>
          <w:i/>
          <w:sz w:val="22"/>
          <w:szCs w:val="22"/>
        </w:rPr>
      </w:pPr>
    </w:p>
    <w:p w14:paraId="2784A4EC" w14:textId="77777777" w:rsidR="002667DD" w:rsidRDefault="002667DD" w:rsidP="002667DD">
      <w:pPr>
        <w:tabs>
          <w:tab w:val="right" w:pos="8820"/>
        </w:tabs>
        <w:rPr>
          <w:i/>
          <w:sz w:val="22"/>
          <w:szCs w:val="22"/>
        </w:rPr>
      </w:pPr>
    </w:p>
    <w:p w14:paraId="26B7BE03" w14:textId="77777777" w:rsidR="002667DD" w:rsidRDefault="002667DD" w:rsidP="002667DD">
      <w:pPr>
        <w:tabs>
          <w:tab w:val="right" w:pos="8820"/>
        </w:tabs>
        <w:rPr>
          <w:i/>
          <w:sz w:val="22"/>
          <w:szCs w:val="22"/>
        </w:rPr>
      </w:pPr>
    </w:p>
    <w:p w14:paraId="72014F7B" w14:textId="77777777" w:rsidR="002667DD" w:rsidRDefault="002667DD" w:rsidP="002667DD">
      <w:pPr>
        <w:tabs>
          <w:tab w:val="right" w:pos="8820"/>
        </w:tabs>
        <w:rPr>
          <w:i/>
          <w:sz w:val="22"/>
          <w:szCs w:val="22"/>
        </w:rPr>
      </w:pPr>
    </w:p>
    <w:p w14:paraId="37530C15" w14:textId="77777777" w:rsidR="002667DD" w:rsidRDefault="002667DD" w:rsidP="002667DD">
      <w:pPr>
        <w:tabs>
          <w:tab w:val="right" w:pos="8820"/>
        </w:tabs>
        <w:rPr>
          <w:i/>
          <w:sz w:val="22"/>
          <w:szCs w:val="22"/>
        </w:rPr>
      </w:pPr>
    </w:p>
    <w:p w14:paraId="080358C6" w14:textId="77777777" w:rsidR="002667DD" w:rsidRDefault="002667DD" w:rsidP="002667DD">
      <w:pPr>
        <w:tabs>
          <w:tab w:val="right" w:pos="8820"/>
        </w:tabs>
        <w:rPr>
          <w:i/>
          <w:sz w:val="22"/>
          <w:szCs w:val="22"/>
        </w:rPr>
      </w:pPr>
    </w:p>
    <w:p w14:paraId="037160ED" w14:textId="77777777" w:rsidR="002667DD" w:rsidRDefault="002667DD" w:rsidP="002667DD">
      <w:pPr>
        <w:tabs>
          <w:tab w:val="right" w:pos="8820"/>
        </w:tabs>
        <w:rPr>
          <w:i/>
          <w:sz w:val="22"/>
          <w:szCs w:val="22"/>
        </w:rPr>
      </w:pPr>
    </w:p>
    <w:p w14:paraId="2FA01208" w14:textId="77777777" w:rsidR="002667DD" w:rsidRDefault="002667DD" w:rsidP="002667DD">
      <w:pPr>
        <w:tabs>
          <w:tab w:val="right" w:pos="8820"/>
        </w:tabs>
        <w:rPr>
          <w:i/>
          <w:sz w:val="22"/>
          <w:szCs w:val="22"/>
        </w:rPr>
      </w:pPr>
    </w:p>
    <w:p w14:paraId="2AE07DA5" w14:textId="77777777" w:rsidR="002667DD" w:rsidRDefault="002667DD" w:rsidP="002667DD">
      <w:pPr>
        <w:tabs>
          <w:tab w:val="right" w:pos="8820"/>
        </w:tabs>
        <w:rPr>
          <w:i/>
          <w:sz w:val="22"/>
          <w:szCs w:val="22"/>
        </w:rPr>
      </w:pPr>
    </w:p>
    <w:p w14:paraId="0140FA63" w14:textId="77777777" w:rsidR="002667DD" w:rsidRDefault="002667DD" w:rsidP="002667DD">
      <w:pPr>
        <w:tabs>
          <w:tab w:val="right" w:pos="8820"/>
        </w:tabs>
        <w:rPr>
          <w:i/>
          <w:sz w:val="22"/>
          <w:szCs w:val="22"/>
        </w:rPr>
      </w:pPr>
    </w:p>
    <w:p w14:paraId="34D25A78" w14:textId="77777777" w:rsidR="002667DD" w:rsidRDefault="002667DD" w:rsidP="002667DD">
      <w:pPr>
        <w:tabs>
          <w:tab w:val="right" w:pos="8820"/>
        </w:tabs>
        <w:rPr>
          <w:i/>
          <w:sz w:val="22"/>
          <w:szCs w:val="22"/>
        </w:rPr>
      </w:pPr>
    </w:p>
    <w:p w14:paraId="04E57169" w14:textId="77777777" w:rsidR="002667DD" w:rsidRDefault="002667DD" w:rsidP="002667DD">
      <w:pPr>
        <w:tabs>
          <w:tab w:val="right" w:pos="8820"/>
        </w:tabs>
        <w:rPr>
          <w:i/>
          <w:sz w:val="22"/>
          <w:szCs w:val="22"/>
        </w:rPr>
      </w:pPr>
    </w:p>
    <w:p w14:paraId="713C7084" w14:textId="77777777" w:rsidR="002667DD" w:rsidRDefault="002667DD" w:rsidP="002667DD">
      <w:pPr>
        <w:tabs>
          <w:tab w:val="right" w:pos="8820"/>
        </w:tabs>
        <w:rPr>
          <w:i/>
          <w:sz w:val="22"/>
          <w:szCs w:val="22"/>
        </w:rPr>
      </w:pPr>
    </w:p>
    <w:p w14:paraId="36B57652" w14:textId="77777777" w:rsidR="002667DD" w:rsidRDefault="002667DD" w:rsidP="002667DD">
      <w:pPr>
        <w:tabs>
          <w:tab w:val="right" w:pos="8820"/>
        </w:tabs>
        <w:rPr>
          <w:i/>
          <w:sz w:val="22"/>
          <w:szCs w:val="22"/>
        </w:rPr>
      </w:pPr>
    </w:p>
    <w:p w14:paraId="6A88FB7B" w14:textId="77777777" w:rsidR="002667DD" w:rsidRDefault="002667DD" w:rsidP="002667DD">
      <w:pPr>
        <w:tabs>
          <w:tab w:val="right" w:pos="8820"/>
        </w:tabs>
        <w:rPr>
          <w:i/>
          <w:sz w:val="22"/>
          <w:szCs w:val="22"/>
        </w:rPr>
      </w:pPr>
    </w:p>
    <w:p w14:paraId="242499C4" w14:textId="77777777" w:rsidR="002667DD" w:rsidRDefault="002667DD" w:rsidP="002667DD">
      <w:pPr>
        <w:tabs>
          <w:tab w:val="right" w:pos="8820"/>
        </w:tabs>
        <w:rPr>
          <w:i/>
          <w:sz w:val="22"/>
          <w:szCs w:val="22"/>
        </w:rPr>
      </w:pPr>
    </w:p>
    <w:p w14:paraId="2B2BC640" w14:textId="77777777" w:rsidR="002667DD" w:rsidRDefault="002667DD" w:rsidP="002667DD">
      <w:pPr>
        <w:tabs>
          <w:tab w:val="right" w:pos="8820"/>
        </w:tabs>
        <w:rPr>
          <w:i/>
          <w:sz w:val="22"/>
          <w:szCs w:val="22"/>
        </w:rPr>
      </w:pPr>
    </w:p>
    <w:p w14:paraId="49615B1E" w14:textId="77777777" w:rsidR="002667DD" w:rsidRPr="007F2DCD" w:rsidRDefault="002667DD" w:rsidP="002667DD">
      <w:pPr>
        <w:tabs>
          <w:tab w:val="right" w:pos="8820"/>
        </w:tabs>
        <w:rPr>
          <w:i/>
          <w:sz w:val="22"/>
          <w:szCs w:val="22"/>
        </w:rPr>
      </w:pPr>
    </w:p>
    <w:p w14:paraId="36F16DE2" w14:textId="77777777" w:rsidR="002667DD" w:rsidRPr="007F2DCD" w:rsidRDefault="002667DD" w:rsidP="002667DD">
      <w:pPr>
        <w:tabs>
          <w:tab w:val="right" w:pos="8820"/>
        </w:tabs>
        <w:rPr>
          <w:i/>
          <w:sz w:val="22"/>
          <w:szCs w:val="22"/>
        </w:rPr>
      </w:pPr>
    </w:p>
    <w:p w14:paraId="671144BA" w14:textId="77777777" w:rsidR="002667DD" w:rsidRPr="007F2DCD" w:rsidRDefault="002667DD" w:rsidP="002667DD">
      <w:pPr>
        <w:tabs>
          <w:tab w:val="right" w:pos="8820"/>
        </w:tabs>
        <w:rPr>
          <w:i/>
          <w:sz w:val="22"/>
          <w:szCs w:val="22"/>
        </w:rPr>
      </w:pPr>
    </w:p>
    <w:p w14:paraId="1C86744E" w14:textId="77777777" w:rsidR="002667DD" w:rsidRPr="007F2DCD" w:rsidRDefault="002667DD" w:rsidP="002667DD">
      <w:pPr>
        <w:tabs>
          <w:tab w:val="right" w:pos="8820"/>
        </w:tabs>
        <w:rPr>
          <w:i/>
          <w:sz w:val="22"/>
          <w:szCs w:val="22"/>
        </w:rPr>
      </w:pPr>
    </w:p>
    <w:p w14:paraId="6D289AEA" w14:textId="77777777" w:rsidR="002667DD" w:rsidRPr="007F2DCD" w:rsidRDefault="002667DD" w:rsidP="002667DD">
      <w:pPr>
        <w:tabs>
          <w:tab w:val="right" w:pos="8820"/>
        </w:tabs>
        <w:rPr>
          <w:i/>
          <w:sz w:val="22"/>
          <w:szCs w:val="22"/>
        </w:rPr>
      </w:pPr>
    </w:p>
    <w:p w14:paraId="49CC0742" w14:textId="77777777" w:rsidR="002667DD" w:rsidRPr="007F2DCD" w:rsidRDefault="002667DD" w:rsidP="002667DD">
      <w:pPr>
        <w:tabs>
          <w:tab w:val="right" w:pos="8820"/>
        </w:tabs>
        <w:rPr>
          <w:i/>
          <w:sz w:val="22"/>
          <w:szCs w:val="22"/>
        </w:rPr>
      </w:pPr>
    </w:p>
    <w:p w14:paraId="333F3962" w14:textId="77777777" w:rsidR="002667DD" w:rsidRPr="007F2DCD" w:rsidRDefault="002667DD" w:rsidP="002667DD">
      <w:pPr>
        <w:tabs>
          <w:tab w:val="right" w:pos="8820"/>
        </w:tabs>
        <w:rPr>
          <w:i/>
          <w:sz w:val="22"/>
          <w:szCs w:val="22"/>
        </w:rPr>
      </w:pPr>
    </w:p>
    <w:p w14:paraId="1B89263E" w14:textId="77777777" w:rsidR="002667DD" w:rsidRPr="007F2DCD" w:rsidRDefault="002667DD" w:rsidP="002667DD">
      <w:pPr>
        <w:tabs>
          <w:tab w:val="right" w:pos="8820"/>
        </w:tabs>
        <w:rPr>
          <w:i/>
          <w:sz w:val="22"/>
          <w:szCs w:val="22"/>
        </w:rPr>
      </w:pPr>
    </w:p>
    <w:p w14:paraId="778CD07E" w14:textId="77777777" w:rsidR="002667DD" w:rsidRPr="007F2DCD" w:rsidRDefault="002667DD" w:rsidP="002667DD">
      <w:pPr>
        <w:tabs>
          <w:tab w:val="right" w:pos="8820"/>
        </w:tabs>
        <w:rPr>
          <w:i/>
          <w:sz w:val="22"/>
          <w:szCs w:val="22"/>
        </w:rPr>
      </w:pPr>
    </w:p>
    <w:p w14:paraId="702765E9" w14:textId="77777777" w:rsidR="002667DD" w:rsidRPr="007F2DCD" w:rsidRDefault="002667DD" w:rsidP="002667DD">
      <w:pPr>
        <w:tabs>
          <w:tab w:val="right" w:pos="8820"/>
        </w:tabs>
        <w:autoSpaceDE w:val="0"/>
        <w:autoSpaceDN w:val="0"/>
        <w:adjustRightInd w:val="0"/>
        <w:rPr>
          <w:rFonts w:cs="ZurichBT-LightCondensed"/>
          <w:sz w:val="22"/>
          <w:szCs w:val="22"/>
          <w:lang w:val="en-US"/>
        </w:rPr>
      </w:pPr>
      <w:r w:rsidRPr="007F2DCD">
        <w:rPr>
          <w:rFonts w:cs="ZurichBT-LightCondensed"/>
          <w:sz w:val="22"/>
          <w:szCs w:val="22"/>
          <w:lang w:val="en-US"/>
        </w:rPr>
        <w:t>This document can be made available in other formats upon request.</w:t>
      </w:r>
    </w:p>
    <w:p w14:paraId="327D8A77" w14:textId="77777777" w:rsidR="002667DD" w:rsidRPr="007F2DCD" w:rsidRDefault="002667DD" w:rsidP="002667DD">
      <w:pPr>
        <w:tabs>
          <w:tab w:val="right" w:pos="8820"/>
        </w:tabs>
        <w:rPr>
          <w:sz w:val="22"/>
          <w:szCs w:val="22"/>
        </w:rPr>
      </w:pPr>
      <w:r w:rsidRPr="007F2DCD">
        <w:rPr>
          <w:rFonts w:cs="ZurichBT-LightCondensed"/>
          <w:sz w:val="22"/>
          <w:szCs w:val="22"/>
          <w:lang w:val="en-US"/>
        </w:rPr>
        <w:t xml:space="preserve">It is available for download at </w:t>
      </w:r>
      <w:r w:rsidRPr="007F2DCD">
        <w:rPr>
          <w:rFonts w:cs="ZurichBT-BoldCondensed"/>
          <w:bCs/>
          <w:i/>
          <w:sz w:val="22"/>
          <w:szCs w:val="22"/>
          <w:lang w:val="en-US"/>
        </w:rPr>
        <w:t>www.nihrc.org</w:t>
      </w:r>
      <w:r w:rsidRPr="007F2DCD">
        <w:rPr>
          <w:sz w:val="22"/>
          <w:szCs w:val="22"/>
        </w:rPr>
        <w:t xml:space="preserve"> </w:t>
      </w:r>
    </w:p>
    <w:p w14:paraId="1535C396" w14:textId="77777777" w:rsidR="002667DD" w:rsidRDefault="002667DD" w:rsidP="002667DD">
      <w:pPr>
        <w:rPr>
          <w:b/>
          <w:sz w:val="22"/>
          <w:szCs w:val="22"/>
        </w:rPr>
      </w:pPr>
      <w:r w:rsidRPr="007F2DCD">
        <w:rPr>
          <w:b/>
          <w:sz w:val="22"/>
          <w:szCs w:val="22"/>
        </w:rPr>
        <w:br w:type="page"/>
      </w:r>
    </w:p>
    <w:p w14:paraId="4A9D087D" w14:textId="77777777" w:rsidR="002667DD" w:rsidRDefault="002667DD" w:rsidP="002667DD">
      <w:pPr>
        <w:rPr>
          <w:b/>
          <w:sz w:val="22"/>
          <w:szCs w:val="22"/>
        </w:rPr>
      </w:pPr>
    </w:p>
    <w:p w14:paraId="055B89B1" w14:textId="77777777" w:rsidR="002667DD" w:rsidRDefault="002667DD" w:rsidP="002667DD">
      <w:pPr>
        <w:jc w:val="center"/>
        <w:rPr>
          <w:b/>
          <w:sz w:val="22"/>
          <w:szCs w:val="22"/>
        </w:rPr>
      </w:pPr>
      <w:r w:rsidRPr="007F2DCD">
        <w:rPr>
          <w:b/>
          <w:sz w:val="22"/>
          <w:szCs w:val="22"/>
        </w:rPr>
        <w:br w:type="page"/>
      </w:r>
    </w:p>
    <w:p w14:paraId="23BDFC75" w14:textId="77777777" w:rsidR="002667DD" w:rsidRDefault="002667DD" w:rsidP="002667DD">
      <w:pPr>
        <w:jc w:val="center"/>
        <w:rPr>
          <w:rStyle w:val="CommentReference"/>
        </w:rPr>
      </w:pPr>
      <w:bookmarkStart w:id="1" w:name="PerformanceReport"/>
      <w:r>
        <w:rPr>
          <w:rFonts w:cs="Arial"/>
          <w:b/>
          <w:color w:val="77328A"/>
          <w:sz w:val="30"/>
          <w:szCs w:val="30"/>
        </w:rPr>
        <w:t>Performance Report</w:t>
      </w:r>
      <w:r>
        <w:rPr>
          <w:rStyle w:val="CommentReference"/>
        </w:rPr>
        <w:t xml:space="preserve"> </w:t>
      </w:r>
    </w:p>
    <w:p w14:paraId="4A8ACDF9" w14:textId="77777777" w:rsidR="002667DD" w:rsidRPr="0045027A" w:rsidRDefault="002667DD" w:rsidP="002667DD">
      <w:pPr>
        <w:jc w:val="center"/>
        <w:rPr>
          <w:b/>
        </w:rPr>
      </w:pPr>
      <w:bookmarkStart w:id="2" w:name="Overview"/>
      <w:bookmarkEnd w:id="1"/>
      <w:r>
        <w:rPr>
          <w:rFonts w:cs="Arial"/>
          <w:b/>
          <w:color w:val="77328A"/>
          <w:sz w:val="30"/>
          <w:szCs w:val="30"/>
        </w:rPr>
        <w:t>Overview</w:t>
      </w:r>
    </w:p>
    <w:bookmarkEnd w:id="2"/>
    <w:p w14:paraId="4A0CAF82" w14:textId="77777777" w:rsidR="002667DD" w:rsidRPr="005049F6" w:rsidRDefault="002667DD" w:rsidP="002667DD">
      <w:pPr>
        <w:jc w:val="center"/>
        <w:rPr>
          <w:b/>
        </w:rPr>
      </w:pPr>
    </w:p>
    <w:p w14:paraId="63B5F733" w14:textId="77777777" w:rsidR="002667DD" w:rsidRDefault="002667DD" w:rsidP="002667DD">
      <w:pPr>
        <w:rPr>
          <w:rFonts w:cs="Arial"/>
          <w:b/>
          <w:color w:val="FF0000"/>
        </w:rPr>
      </w:pPr>
      <w:bookmarkStart w:id="3" w:name="ChiefCommissionersForeword"/>
      <w:r w:rsidRPr="000B2111">
        <w:rPr>
          <w:rFonts w:cs="Arial"/>
          <w:b/>
          <w:color w:val="77328A"/>
        </w:rPr>
        <w:t>Chief Commissioner’s Foreword</w:t>
      </w:r>
      <w:r>
        <w:rPr>
          <w:rFonts w:cs="Arial"/>
          <w:b/>
          <w:color w:val="77328A"/>
        </w:rPr>
        <w:t xml:space="preserve"> </w:t>
      </w:r>
    </w:p>
    <w:p w14:paraId="56D94BB9" w14:textId="77777777" w:rsidR="002667DD" w:rsidRDefault="002667DD" w:rsidP="002667DD">
      <w:pPr>
        <w:rPr>
          <w:rFonts w:cs="Arial"/>
          <w:b/>
          <w:color w:val="FF0000"/>
        </w:rPr>
      </w:pPr>
    </w:p>
    <w:p w14:paraId="40AD783E" w14:textId="77777777" w:rsidR="00AA72A6" w:rsidRDefault="00AA72A6" w:rsidP="00AA72A6">
      <w:r w:rsidRPr="006E243E">
        <w:t>This is the 24</w:t>
      </w:r>
      <w:r w:rsidRPr="006E243E">
        <w:rPr>
          <w:vertAlign w:val="superscript"/>
        </w:rPr>
        <w:t>th</w:t>
      </w:r>
      <w:r w:rsidRPr="006E243E">
        <w:t xml:space="preserve"> Annual Report and Accounts of the Northern Ireland Human Rights Commission, detailing our work - protecting, respecting, encouraging and educating </w:t>
      </w:r>
      <w:proofErr w:type="gramStart"/>
      <w:r w:rsidRPr="006E243E">
        <w:t>all of</w:t>
      </w:r>
      <w:proofErr w:type="gramEnd"/>
      <w:r w:rsidRPr="006E243E">
        <w:t xml:space="preserve"> the people of Northern Ireland - and providing transparency and accountability to those we serve. </w:t>
      </w:r>
    </w:p>
    <w:p w14:paraId="5A7989EC" w14:textId="77777777" w:rsidR="00AA72A6" w:rsidRPr="006E243E" w:rsidRDefault="00AA72A6" w:rsidP="00AA72A6"/>
    <w:p w14:paraId="59EAC281" w14:textId="77777777" w:rsidR="00AA72A6" w:rsidRDefault="00AA72A6" w:rsidP="00AA72A6">
      <w:r w:rsidRPr="006E243E">
        <w:t xml:space="preserve">This has been a busy year, with several challenges presented both internally at the Commission and externally to the wider community. The Commission continues to perform its statutory obligations at a level of funding which has been found, following an independent review, to be inadequate. We have managed because of the goodwill and hard work of the team here at the Commission and with support from so many of our partners with whom we share an objective; the better enjoyment of human rights to all who live, work or visit here. Our work has been truly extensive and is set out in this report. </w:t>
      </w:r>
    </w:p>
    <w:p w14:paraId="1DD86B49" w14:textId="77777777" w:rsidR="00AA72A6" w:rsidRPr="006E243E" w:rsidRDefault="00AA72A6" w:rsidP="00AA72A6"/>
    <w:p w14:paraId="1E34C2DB" w14:textId="77777777" w:rsidR="00AA72A6" w:rsidRDefault="00AA72A6" w:rsidP="00AA72A6">
      <w:r w:rsidRPr="006E243E">
        <w:t>This year we celebrated our 25</w:t>
      </w:r>
      <w:r w:rsidRPr="006E243E">
        <w:rPr>
          <w:vertAlign w:val="superscript"/>
        </w:rPr>
        <w:t>th</w:t>
      </w:r>
      <w:r w:rsidRPr="006E243E">
        <w:t xml:space="preserve"> anniversary, reflecting our origins in the Belfast (Good Friday) Agreement of 1998. We are proud to have emerged from such a landmark treaty and ever conscious of the great responsibility we carry to discharge its principles and values. That foundational treaty, with its guarantee of full completion into Northern Ireland law of the European Convention on Human Rights, is under threat. The BGFA has enabled peace, security and the rule of law precisely because it was under-written by strict compliance with a mandatory framework of principles agreed and applied universally across member states. The ECHR does not bend to political will but protects democracy by protecting each participant in society equally. In Northern Ireland we learned the importance of such protection. I am concerned however that those lessons have been forgotten and that progress may have been squandered as a result. </w:t>
      </w:r>
    </w:p>
    <w:p w14:paraId="16757DF9" w14:textId="77777777" w:rsidR="00AA72A6" w:rsidRPr="006E243E" w:rsidRDefault="00AA72A6" w:rsidP="00AA72A6"/>
    <w:p w14:paraId="692405ED" w14:textId="77777777" w:rsidR="00AA72A6" w:rsidRPr="006E243E" w:rsidRDefault="00AA72A6" w:rsidP="00AA72A6">
      <w:r w:rsidRPr="006E243E">
        <w:t xml:space="preserve">We will continue to perform our functions to the best of our ability, independently and with courage. We recognise that we could and should do more, so we will continue to advocate for more resources and dedicate those resources to serving the people of Northern Ireland. It continues to be my privilege to lead the Commission and my honour to serve alongside my colleagues. </w:t>
      </w:r>
    </w:p>
    <w:p w14:paraId="062679DE" w14:textId="77777777" w:rsidR="002667DD" w:rsidRDefault="002667DD" w:rsidP="002667DD">
      <w:pPr>
        <w:rPr>
          <w:rFonts w:cs="Arial"/>
          <w:b/>
          <w:color w:val="FF0000"/>
        </w:rPr>
      </w:pPr>
    </w:p>
    <w:p w14:paraId="0D1DE33D" w14:textId="77777777" w:rsidR="002667DD" w:rsidRPr="008A5EF2" w:rsidRDefault="002667DD" w:rsidP="002667DD"/>
    <w:bookmarkEnd w:id="3"/>
    <w:p w14:paraId="4EA3475E" w14:textId="77777777" w:rsidR="002667DD" w:rsidRDefault="002667DD" w:rsidP="002667DD">
      <w:pPr>
        <w:rPr>
          <w:b/>
          <w:sz w:val="22"/>
          <w:szCs w:val="22"/>
        </w:rPr>
      </w:pPr>
    </w:p>
    <w:p w14:paraId="68F5C16E" w14:textId="77777777" w:rsidR="002667DD" w:rsidRPr="007F2DCD" w:rsidRDefault="002667DD" w:rsidP="002667DD">
      <w:pPr>
        <w:rPr>
          <w:b/>
          <w:sz w:val="22"/>
          <w:szCs w:val="22"/>
        </w:rPr>
      </w:pPr>
      <w:r>
        <w:rPr>
          <w:b/>
          <w:sz w:val="22"/>
          <w:szCs w:val="22"/>
        </w:rPr>
        <w:t>Alyson Kilpatrick</w:t>
      </w:r>
    </w:p>
    <w:p w14:paraId="370A8276" w14:textId="77777777" w:rsidR="002667DD" w:rsidRPr="007F2DCD" w:rsidRDefault="002667DD" w:rsidP="002667DD">
      <w:pPr>
        <w:rPr>
          <w:sz w:val="22"/>
          <w:szCs w:val="22"/>
        </w:rPr>
      </w:pPr>
      <w:r w:rsidRPr="007F2DCD">
        <w:rPr>
          <w:b/>
          <w:sz w:val="22"/>
          <w:szCs w:val="22"/>
        </w:rPr>
        <w:t>Chief Commissioner</w:t>
      </w:r>
      <w:r w:rsidRPr="007F2DCD">
        <w:rPr>
          <w:b/>
          <w:sz w:val="22"/>
          <w:szCs w:val="22"/>
        </w:rPr>
        <w:br w:type="page"/>
      </w:r>
    </w:p>
    <w:p w14:paraId="293BB91E" w14:textId="77777777" w:rsidR="002667DD" w:rsidRPr="005049F6" w:rsidRDefault="002667DD" w:rsidP="002667DD">
      <w:pPr>
        <w:rPr>
          <w:b/>
        </w:rPr>
      </w:pPr>
      <w:bookmarkStart w:id="4" w:name="StatementofPurposeandActivities"/>
      <w:r>
        <w:rPr>
          <w:rFonts w:cs="Arial"/>
          <w:b/>
          <w:color w:val="77328A"/>
        </w:rPr>
        <w:t>Statement of Purpose and Activities of the Organisation</w:t>
      </w:r>
    </w:p>
    <w:bookmarkEnd w:id="4"/>
    <w:p w14:paraId="73397BFA" w14:textId="77777777" w:rsidR="002667DD" w:rsidRDefault="002667DD" w:rsidP="002667DD">
      <w:pPr>
        <w:jc w:val="center"/>
        <w:rPr>
          <w:b/>
        </w:rPr>
      </w:pPr>
    </w:p>
    <w:p w14:paraId="7F561BFB" w14:textId="77777777" w:rsidR="002667DD" w:rsidRPr="008C73A2" w:rsidRDefault="002667DD" w:rsidP="002667DD">
      <w:pPr>
        <w:widowControl w:val="0"/>
        <w:autoSpaceDE w:val="0"/>
        <w:autoSpaceDN w:val="0"/>
        <w:adjustRightInd w:val="0"/>
        <w:rPr>
          <w:b/>
        </w:rPr>
      </w:pPr>
      <w:r w:rsidRPr="008C73A2">
        <w:rPr>
          <w:b/>
        </w:rPr>
        <w:t>Introduction</w:t>
      </w:r>
      <w:r>
        <w:rPr>
          <w:b/>
        </w:rPr>
        <w:t xml:space="preserve"> </w:t>
      </w:r>
    </w:p>
    <w:p w14:paraId="257C5742" w14:textId="77777777" w:rsidR="002667DD" w:rsidRPr="003F7E43" w:rsidRDefault="002667DD" w:rsidP="002667DD">
      <w:pPr>
        <w:widowControl w:val="0"/>
        <w:autoSpaceDE w:val="0"/>
        <w:autoSpaceDN w:val="0"/>
        <w:adjustRightInd w:val="0"/>
        <w:rPr>
          <w:b/>
        </w:rPr>
      </w:pPr>
    </w:p>
    <w:p w14:paraId="2E2C482F" w14:textId="3B9B53A0" w:rsidR="002667DD" w:rsidRDefault="002667DD" w:rsidP="002667DD">
      <w:pPr>
        <w:widowControl w:val="0"/>
        <w:autoSpaceDE w:val="0"/>
        <w:autoSpaceDN w:val="0"/>
        <w:adjustRightInd w:val="0"/>
        <w:rPr>
          <w:color w:val="auto"/>
        </w:rPr>
      </w:pPr>
      <w:r w:rsidRPr="006E6AE8">
        <w:rPr>
          <w:color w:val="auto"/>
        </w:rPr>
        <w:t xml:space="preserve">I am pleased to report on the work of the Northern Ireland Human Rights Commission in </w:t>
      </w:r>
      <w:r>
        <w:rPr>
          <w:color w:val="auto"/>
        </w:rPr>
        <w:t>202</w:t>
      </w:r>
      <w:r w:rsidR="0076420E">
        <w:rPr>
          <w:color w:val="auto"/>
        </w:rPr>
        <w:t>3</w:t>
      </w:r>
      <w:r>
        <w:rPr>
          <w:color w:val="auto"/>
        </w:rPr>
        <w:t>-2</w:t>
      </w:r>
      <w:r w:rsidR="0076420E">
        <w:rPr>
          <w:color w:val="auto"/>
        </w:rPr>
        <w:t>4</w:t>
      </w:r>
      <w:r w:rsidRPr="006E6AE8">
        <w:rPr>
          <w:color w:val="auto"/>
        </w:rPr>
        <w:t xml:space="preserve">. </w:t>
      </w:r>
    </w:p>
    <w:p w14:paraId="2746DFDE" w14:textId="77777777" w:rsidR="00367065" w:rsidRDefault="00367065" w:rsidP="002667DD">
      <w:pPr>
        <w:widowControl w:val="0"/>
        <w:autoSpaceDE w:val="0"/>
        <w:autoSpaceDN w:val="0"/>
        <w:adjustRightInd w:val="0"/>
        <w:rPr>
          <w:color w:val="auto"/>
        </w:rPr>
      </w:pPr>
    </w:p>
    <w:p w14:paraId="5D436E17" w14:textId="054CA888" w:rsidR="00367065" w:rsidRDefault="00367065" w:rsidP="002667DD">
      <w:pPr>
        <w:widowControl w:val="0"/>
        <w:autoSpaceDE w:val="0"/>
        <w:autoSpaceDN w:val="0"/>
        <w:adjustRightInd w:val="0"/>
        <w:rPr>
          <w:color w:val="auto"/>
        </w:rPr>
      </w:pPr>
      <w:r w:rsidRPr="00691EB8">
        <w:rPr>
          <w:color w:val="auto"/>
        </w:rPr>
        <w:t xml:space="preserve">This section </w:t>
      </w:r>
      <w:r w:rsidR="00ED2C2B" w:rsidRPr="00691EB8">
        <w:rPr>
          <w:color w:val="auto"/>
        </w:rPr>
        <w:t xml:space="preserve">of the Performance Report outlines the strategic context </w:t>
      </w:r>
      <w:r w:rsidR="002F07AD" w:rsidRPr="00691EB8">
        <w:rPr>
          <w:color w:val="auto"/>
        </w:rPr>
        <w:t xml:space="preserve">and </w:t>
      </w:r>
      <w:r w:rsidR="00AC6F6A" w:rsidRPr="00691EB8">
        <w:rPr>
          <w:color w:val="auto"/>
        </w:rPr>
        <w:t>the discharge</w:t>
      </w:r>
      <w:r w:rsidR="006718D8" w:rsidRPr="00691EB8">
        <w:rPr>
          <w:color w:val="auto"/>
        </w:rPr>
        <w:t xml:space="preserve"> by the</w:t>
      </w:r>
      <w:r w:rsidR="00ED2C2B" w:rsidRPr="00691EB8">
        <w:rPr>
          <w:color w:val="auto"/>
        </w:rPr>
        <w:t xml:space="preserve"> Northern Ireland Human Rights Commission</w:t>
      </w:r>
      <w:r w:rsidR="006718D8" w:rsidRPr="00691EB8">
        <w:rPr>
          <w:color w:val="auto"/>
        </w:rPr>
        <w:t xml:space="preserve"> of </w:t>
      </w:r>
      <w:proofErr w:type="spellStart"/>
      <w:proofErr w:type="gramStart"/>
      <w:r w:rsidR="006718D8" w:rsidRPr="00691EB8">
        <w:rPr>
          <w:color w:val="auto"/>
        </w:rPr>
        <w:t>it’s</w:t>
      </w:r>
      <w:proofErr w:type="spellEnd"/>
      <w:proofErr w:type="gramEnd"/>
      <w:r w:rsidR="006718D8" w:rsidRPr="00691EB8">
        <w:rPr>
          <w:color w:val="auto"/>
        </w:rPr>
        <w:t xml:space="preserve"> statutory functions, as prescribed </w:t>
      </w:r>
      <w:r w:rsidR="00C14722" w:rsidRPr="00691EB8">
        <w:rPr>
          <w:color w:val="auto"/>
        </w:rPr>
        <w:t>by the Northern Ireland Act (NI) 1998.  This includes</w:t>
      </w:r>
      <w:r w:rsidR="002F07AD" w:rsidRPr="00691EB8">
        <w:rPr>
          <w:color w:val="auto"/>
        </w:rPr>
        <w:t>:</w:t>
      </w:r>
    </w:p>
    <w:p w14:paraId="76D110A5" w14:textId="77777777" w:rsidR="00691EB8" w:rsidRPr="00691EB8" w:rsidRDefault="00691EB8" w:rsidP="002667DD">
      <w:pPr>
        <w:widowControl w:val="0"/>
        <w:autoSpaceDE w:val="0"/>
        <w:autoSpaceDN w:val="0"/>
        <w:adjustRightInd w:val="0"/>
        <w:rPr>
          <w:color w:val="auto"/>
        </w:rPr>
      </w:pPr>
    </w:p>
    <w:p w14:paraId="59B240EF" w14:textId="01180506" w:rsidR="002F07AD" w:rsidRPr="00691EB8" w:rsidRDefault="005B432E" w:rsidP="002F07AD">
      <w:pPr>
        <w:pStyle w:val="ListParagraph"/>
        <w:widowControl w:val="0"/>
        <w:numPr>
          <w:ilvl w:val="0"/>
          <w:numId w:val="43"/>
        </w:numPr>
        <w:autoSpaceDE w:val="0"/>
        <w:autoSpaceDN w:val="0"/>
        <w:adjustRightInd w:val="0"/>
        <w:rPr>
          <w:color w:val="auto"/>
        </w:rPr>
      </w:pPr>
      <w:r w:rsidRPr="00691EB8">
        <w:rPr>
          <w:color w:val="auto"/>
        </w:rPr>
        <w:t xml:space="preserve">Organisational </w:t>
      </w:r>
      <w:r w:rsidR="00676158" w:rsidRPr="00691EB8">
        <w:rPr>
          <w:color w:val="auto"/>
        </w:rPr>
        <w:t>S</w:t>
      </w:r>
      <w:r w:rsidRPr="00691EB8">
        <w:rPr>
          <w:color w:val="auto"/>
        </w:rPr>
        <w:t>tructure</w:t>
      </w:r>
    </w:p>
    <w:p w14:paraId="5229F634" w14:textId="300022CC" w:rsidR="005B432E" w:rsidRPr="00691EB8" w:rsidRDefault="00676158" w:rsidP="002F07AD">
      <w:pPr>
        <w:pStyle w:val="ListParagraph"/>
        <w:widowControl w:val="0"/>
        <w:numPr>
          <w:ilvl w:val="0"/>
          <w:numId w:val="43"/>
        </w:numPr>
        <w:autoSpaceDE w:val="0"/>
        <w:autoSpaceDN w:val="0"/>
        <w:adjustRightInd w:val="0"/>
        <w:rPr>
          <w:color w:val="auto"/>
        </w:rPr>
      </w:pPr>
      <w:r w:rsidRPr="00691EB8">
        <w:rPr>
          <w:color w:val="auto"/>
        </w:rPr>
        <w:t>What we do</w:t>
      </w:r>
    </w:p>
    <w:p w14:paraId="10088FBE" w14:textId="2769330A" w:rsidR="00676158" w:rsidRPr="00691EB8" w:rsidRDefault="00676158" w:rsidP="002F07AD">
      <w:pPr>
        <w:pStyle w:val="ListParagraph"/>
        <w:widowControl w:val="0"/>
        <w:numPr>
          <w:ilvl w:val="0"/>
          <w:numId w:val="43"/>
        </w:numPr>
        <w:autoSpaceDE w:val="0"/>
        <w:autoSpaceDN w:val="0"/>
        <w:adjustRightInd w:val="0"/>
        <w:rPr>
          <w:color w:val="auto"/>
        </w:rPr>
      </w:pPr>
      <w:r w:rsidRPr="00691EB8">
        <w:rPr>
          <w:color w:val="auto"/>
        </w:rPr>
        <w:t xml:space="preserve">Key </w:t>
      </w:r>
      <w:r w:rsidR="00432133" w:rsidRPr="00691EB8">
        <w:rPr>
          <w:color w:val="auto"/>
        </w:rPr>
        <w:t>objectives</w:t>
      </w:r>
    </w:p>
    <w:p w14:paraId="6654AEA5" w14:textId="68B558CB" w:rsidR="006652D2" w:rsidRPr="00691EB8" w:rsidRDefault="006652D2" w:rsidP="002F07AD">
      <w:pPr>
        <w:pStyle w:val="ListParagraph"/>
        <w:widowControl w:val="0"/>
        <w:numPr>
          <w:ilvl w:val="0"/>
          <w:numId w:val="43"/>
        </w:numPr>
        <w:autoSpaceDE w:val="0"/>
        <w:autoSpaceDN w:val="0"/>
        <w:adjustRightInd w:val="0"/>
        <w:rPr>
          <w:color w:val="auto"/>
        </w:rPr>
      </w:pPr>
      <w:r w:rsidRPr="00691EB8">
        <w:rPr>
          <w:color w:val="auto"/>
        </w:rPr>
        <w:t>Key Performance Indicators</w:t>
      </w:r>
    </w:p>
    <w:p w14:paraId="34D7ACAA" w14:textId="79AD007E" w:rsidR="00432133" w:rsidRPr="00691EB8" w:rsidRDefault="00432133" w:rsidP="002F07AD">
      <w:pPr>
        <w:pStyle w:val="ListParagraph"/>
        <w:widowControl w:val="0"/>
        <w:numPr>
          <w:ilvl w:val="0"/>
          <w:numId w:val="43"/>
        </w:numPr>
        <w:autoSpaceDE w:val="0"/>
        <w:autoSpaceDN w:val="0"/>
        <w:adjustRightInd w:val="0"/>
        <w:rPr>
          <w:color w:val="auto"/>
        </w:rPr>
      </w:pPr>
      <w:r w:rsidRPr="00691EB8">
        <w:rPr>
          <w:color w:val="auto"/>
        </w:rPr>
        <w:t>Key risks facing the Northern Ireland Human Rights Commission</w:t>
      </w:r>
    </w:p>
    <w:p w14:paraId="73D9F84E" w14:textId="77777777" w:rsidR="002667DD" w:rsidRPr="006E6AE8" w:rsidRDefault="002667DD" w:rsidP="002667DD">
      <w:pPr>
        <w:widowControl w:val="0"/>
        <w:autoSpaceDE w:val="0"/>
        <w:autoSpaceDN w:val="0"/>
        <w:adjustRightInd w:val="0"/>
        <w:rPr>
          <w:color w:val="auto"/>
        </w:rPr>
      </w:pPr>
    </w:p>
    <w:p w14:paraId="0C17C23F" w14:textId="77777777" w:rsidR="002667DD" w:rsidRPr="006867D6" w:rsidRDefault="002667DD" w:rsidP="002667DD">
      <w:pPr>
        <w:widowControl w:val="0"/>
        <w:autoSpaceDE w:val="0"/>
        <w:autoSpaceDN w:val="0"/>
        <w:adjustRightInd w:val="0"/>
        <w:rPr>
          <w:bCs/>
          <w:color w:val="auto"/>
        </w:rPr>
      </w:pPr>
      <w:r w:rsidRPr="006867D6">
        <w:rPr>
          <w:bCs/>
          <w:color w:val="auto"/>
        </w:rPr>
        <w:t xml:space="preserve">The Commission was established by the Belfast (Good Friday) Agreement. Our governing legislation is the Northern Ireland Act 1998, as amended by the Justice and Security (Northern Ireland) Act 2007 and the European Union (Withdrawal Agreement) Act 2020. </w:t>
      </w:r>
    </w:p>
    <w:p w14:paraId="0683B2BF" w14:textId="77777777" w:rsidR="002667DD" w:rsidRPr="006867D6" w:rsidRDefault="002667DD" w:rsidP="002667DD">
      <w:pPr>
        <w:widowControl w:val="0"/>
        <w:autoSpaceDE w:val="0"/>
        <w:autoSpaceDN w:val="0"/>
        <w:adjustRightInd w:val="0"/>
        <w:rPr>
          <w:bCs/>
          <w:color w:val="auto"/>
        </w:rPr>
      </w:pPr>
    </w:p>
    <w:p w14:paraId="056D0449" w14:textId="3D068D89" w:rsidR="002667DD" w:rsidRPr="003F4B46" w:rsidRDefault="002667DD" w:rsidP="002667DD">
      <w:pPr>
        <w:widowControl w:val="0"/>
        <w:autoSpaceDE w:val="0"/>
        <w:autoSpaceDN w:val="0"/>
        <w:adjustRightInd w:val="0"/>
        <w:rPr>
          <w:bCs/>
        </w:rPr>
      </w:pPr>
      <w:r w:rsidRPr="006867D6">
        <w:rPr>
          <w:bCs/>
          <w:color w:val="auto"/>
        </w:rPr>
        <w:t xml:space="preserve">The Commission is a National Human Rights Institution with A status accreditation from the United Nations. This recognition </w:t>
      </w:r>
      <w:r w:rsidRPr="006E6AE8">
        <w:rPr>
          <w:rFonts w:cs="Verdana"/>
          <w:color w:val="auto"/>
        </w:rPr>
        <w:t>affords special access to the United Nations Human Rights Council and treaty bodies.</w:t>
      </w:r>
      <w:r>
        <w:rPr>
          <w:rFonts w:cs="Verdana"/>
          <w:color w:val="auto"/>
        </w:rPr>
        <w:t xml:space="preserve"> It </w:t>
      </w:r>
      <w:r w:rsidRPr="006867D6">
        <w:rPr>
          <w:bCs/>
          <w:color w:val="auto"/>
        </w:rPr>
        <w:t xml:space="preserve">means that the organisation operates independently in full accordance with the </w:t>
      </w:r>
      <w:r w:rsidRPr="006867D6">
        <w:rPr>
          <w:bCs/>
          <w:color w:val="auto"/>
          <w:lang w:val="en-US"/>
        </w:rPr>
        <w:t>United Nations General Assembly Resolution 48/134 (the Paris Principles)</w:t>
      </w:r>
      <w:r w:rsidRPr="006867D6">
        <w:rPr>
          <w:bCs/>
          <w:color w:val="auto"/>
        </w:rPr>
        <w:t>.</w:t>
      </w:r>
      <w:r>
        <w:rPr>
          <w:bCs/>
          <w:color w:val="auto"/>
        </w:rPr>
        <w:t xml:space="preserve"> Further </w:t>
      </w:r>
      <w:r w:rsidRPr="006E6AE8">
        <w:rPr>
          <w:rFonts w:cs="Arial"/>
          <w:color w:val="auto"/>
        </w:rPr>
        <w:t xml:space="preserve">information is available at: </w:t>
      </w:r>
      <w:hyperlink r:id="rId22" w:history="1">
        <w:r w:rsidR="00DD1DAC" w:rsidRPr="003F4B46">
          <w:rPr>
            <w:rStyle w:val="Hyperlink"/>
          </w:rPr>
          <w:t>Principles relating to the Status of National Institutions (The Paris Principles) | OHCHR</w:t>
        </w:r>
      </w:hyperlink>
    </w:p>
    <w:p w14:paraId="424A0F27" w14:textId="77777777" w:rsidR="002667DD" w:rsidRPr="006E6AE8" w:rsidRDefault="002667DD" w:rsidP="002667DD">
      <w:pPr>
        <w:widowControl w:val="0"/>
        <w:autoSpaceDE w:val="0"/>
        <w:autoSpaceDN w:val="0"/>
        <w:adjustRightInd w:val="0"/>
        <w:rPr>
          <w:rFonts w:cs="Arial"/>
          <w:color w:val="auto"/>
        </w:rPr>
      </w:pPr>
    </w:p>
    <w:p w14:paraId="2E343292" w14:textId="77777777" w:rsidR="002667DD" w:rsidRDefault="002667DD" w:rsidP="002667DD">
      <w:pPr>
        <w:widowControl w:val="0"/>
        <w:autoSpaceDE w:val="0"/>
        <w:autoSpaceDN w:val="0"/>
        <w:adjustRightInd w:val="0"/>
        <w:rPr>
          <w:color w:val="auto"/>
        </w:rPr>
      </w:pPr>
      <w:r w:rsidRPr="006867D6">
        <w:rPr>
          <w:color w:val="auto"/>
        </w:rPr>
        <w:t xml:space="preserve">The Commission is also a non-departmental public </w:t>
      </w:r>
      <w:proofErr w:type="gramStart"/>
      <w:r w:rsidRPr="006867D6">
        <w:rPr>
          <w:color w:val="auto"/>
        </w:rPr>
        <w:t>body, and</w:t>
      </w:r>
      <w:proofErr w:type="gramEnd"/>
      <w:r w:rsidRPr="006867D6">
        <w:rPr>
          <w:color w:val="auto"/>
        </w:rPr>
        <w:t xml:space="preserve"> receives grant-in-aid from the United Kingdom government through the Northern Ireland Office. </w:t>
      </w:r>
      <w:r>
        <w:rPr>
          <w:color w:val="auto"/>
        </w:rPr>
        <w:t>It</w:t>
      </w:r>
      <w:r w:rsidRPr="006867D6">
        <w:rPr>
          <w:color w:val="auto"/>
        </w:rPr>
        <w:t xml:space="preserve"> report</w:t>
      </w:r>
      <w:r>
        <w:rPr>
          <w:color w:val="auto"/>
        </w:rPr>
        <w:t>s</w:t>
      </w:r>
      <w:r w:rsidRPr="006867D6">
        <w:rPr>
          <w:color w:val="auto"/>
        </w:rPr>
        <w:t xml:space="preserve"> to Parliament through the Secretary of State for Northern Ireland.</w:t>
      </w:r>
    </w:p>
    <w:p w14:paraId="098F2E67" w14:textId="77777777" w:rsidR="00AD4280" w:rsidRDefault="00AD4280" w:rsidP="002667DD">
      <w:pPr>
        <w:widowControl w:val="0"/>
        <w:autoSpaceDE w:val="0"/>
        <w:autoSpaceDN w:val="0"/>
        <w:adjustRightInd w:val="0"/>
        <w:rPr>
          <w:color w:val="auto"/>
        </w:rPr>
      </w:pPr>
    </w:p>
    <w:p w14:paraId="1BC41410" w14:textId="77777777" w:rsidR="00E0762A" w:rsidRDefault="00E0762A" w:rsidP="002667DD">
      <w:pPr>
        <w:widowControl w:val="0"/>
        <w:autoSpaceDE w:val="0"/>
        <w:autoSpaceDN w:val="0"/>
        <w:adjustRightInd w:val="0"/>
        <w:rPr>
          <w:b/>
          <w:bCs/>
          <w:color w:val="auto"/>
        </w:rPr>
      </w:pPr>
    </w:p>
    <w:p w14:paraId="37F79351" w14:textId="77777777" w:rsidR="00E0762A" w:rsidRDefault="00E0762A" w:rsidP="002667DD">
      <w:pPr>
        <w:widowControl w:val="0"/>
        <w:autoSpaceDE w:val="0"/>
        <w:autoSpaceDN w:val="0"/>
        <w:adjustRightInd w:val="0"/>
        <w:rPr>
          <w:b/>
          <w:bCs/>
          <w:color w:val="auto"/>
        </w:rPr>
      </w:pPr>
    </w:p>
    <w:p w14:paraId="0D7D2392" w14:textId="77777777" w:rsidR="00E0762A" w:rsidRDefault="00E0762A" w:rsidP="002667DD">
      <w:pPr>
        <w:widowControl w:val="0"/>
        <w:autoSpaceDE w:val="0"/>
        <w:autoSpaceDN w:val="0"/>
        <w:adjustRightInd w:val="0"/>
        <w:rPr>
          <w:b/>
          <w:bCs/>
          <w:color w:val="auto"/>
        </w:rPr>
      </w:pPr>
    </w:p>
    <w:p w14:paraId="2F6F5C3F" w14:textId="77777777" w:rsidR="00E0762A" w:rsidRDefault="00E0762A" w:rsidP="002667DD">
      <w:pPr>
        <w:widowControl w:val="0"/>
        <w:autoSpaceDE w:val="0"/>
        <w:autoSpaceDN w:val="0"/>
        <w:adjustRightInd w:val="0"/>
        <w:rPr>
          <w:b/>
          <w:bCs/>
          <w:color w:val="auto"/>
        </w:rPr>
      </w:pPr>
    </w:p>
    <w:p w14:paraId="18A17CD5" w14:textId="77777777" w:rsidR="00E0762A" w:rsidRDefault="00E0762A" w:rsidP="002667DD">
      <w:pPr>
        <w:widowControl w:val="0"/>
        <w:autoSpaceDE w:val="0"/>
        <w:autoSpaceDN w:val="0"/>
        <w:adjustRightInd w:val="0"/>
        <w:rPr>
          <w:b/>
          <w:bCs/>
          <w:color w:val="auto"/>
        </w:rPr>
      </w:pPr>
    </w:p>
    <w:p w14:paraId="2C1F3163" w14:textId="77777777" w:rsidR="00E0762A" w:rsidRDefault="00E0762A" w:rsidP="002667DD">
      <w:pPr>
        <w:widowControl w:val="0"/>
        <w:autoSpaceDE w:val="0"/>
        <w:autoSpaceDN w:val="0"/>
        <w:adjustRightInd w:val="0"/>
        <w:rPr>
          <w:b/>
          <w:bCs/>
          <w:color w:val="auto"/>
        </w:rPr>
      </w:pPr>
    </w:p>
    <w:p w14:paraId="4B5D36D1" w14:textId="77777777" w:rsidR="00E0762A" w:rsidRDefault="00E0762A" w:rsidP="002667DD">
      <w:pPr>
        <w:widowControl w:val="0"/>
        <w:autoSpaceDE w:val="0"/>
        <w:autoSpaceDN w:val="0"/>
        <w:adjustRightInd w:val="0"/>
        <w:rPr>
          <w:b/>
          <w:bCs/>
          <w:color w:val="auto"/>
        </w:rPr>
      </w:pPr>
    </w:p>
    <w:p w14:paraId="5126648B" w14:textId="77777777" w:rsidR="00E0762A" w:rsidRDefault="00E0762A" w:rsidP="002667DD">
      <w:pPr>
        <w:widowControl w:val="0"/>
        <w:autoSpaceDE w:val="0"/>
        <w:autoSpaceDN w:val="0"/>
        <w:adjustRightInd w:val="0"/>
        <w:rPr>
          <w:b/>
          <w:bCs/>
          <w:color w:val="auto"/>
        </w:rPr>
      </w:pPr>
    </w:p>
    <w:p w14:paraId="248C479A" w14:textId="77777777" w:rsidR="00E0762A" w:rsidRDefault="00E0762A" w:rsidP="002667DD">
      <w:pPr>
        <w:widowControl w:val="0"/>
        <w:autoSpaceDE w:val="0"/>
        <w:autoSpaceDN w:val="0"/>
        <w:adjustRightInd w:val="0"/>
        <w:rPr>
          <w:b/>
          <w:bCs/>
          <w:color w:val="auto"/>
        </w:rPr>
      </w:pPr>
    </w:p>
    <w:p w14:paraId="041DB4ED" w14:textId="77777777" w:rsidR="00E0762A" w:rsidRDefault="00E0762A" w:rsidP="002667DD">
      <w:pPr>
        <w:widowControl w:val="0"/>
        <w:autoSpaceDE w:val="0"/>
        <w:autoSpaceDN w:val="0"/>
        <w:adjustRightInd w:val="0"/>
        <w:rPr>
          <w:b/>
          <w:bCs/>
          <w:color w:val="auto"/>
        </w:rPr>
      </w:pPr>
    </w:p>
    <w:p w14:paraId="1774BA2F" w14:textId="77777777" w:rsidR="00E0762A" w:rsidRDefault="00E0762A" w:rsidP="002667DD">
      <w:pPr>
        <w:widowControl w:val="0"/>
        <w:autoSpaceDE w:val="0"/>
        <w:autoSpaceDN w:val="0"/>
        <w:adjustRightInd w:val="0"/>
        <w:rPr>
          <w:b/>
          <w:bCs/>
          <w:color w:val="auto"/>
        </w:rPr>
      </w:pPr>
    </w:p>
    <w:p w14:paraId="3DA25816" w14:textId="77777777" w:rsidR="00E0762A" w:rsidRDefault="00E0762A" w:rsidP="002667DD">
      <w:pPr>
        <w:widowControl w:val="0"/>
        <w:autoSpaceDE w:val="0"/>
        <w:autoSpaceDN w:val="0"/>
        <w:adjustRightInd w:val="0"/>
        <w:rPr>
          <w:b/>
          <w:bCs/>
          <w:color w:val="auto"/>
        </w:rPr>
      </w:pPr>
    </w:p>
    <w:p w14:paraId="3E67357F" w14:textId="77777777" w:rsidR="00E0762A" w:rsidRDefault="00E0762A" w:rsidP="002667DD">
      <w:pPr>
        <w:widowControl w:val="0"/>
        <w:autoSpaceDE w:val="0"/>
        <w:autoSpaceDN w:val="0"/>
        <w:adjustRightInd w:val="0"/>
        <w:rPr>
          <w:b/>
          <w:bCs/>
          <w:color w:val="auto"/>
        </w:rPr>
      </w:pPr>
    </w:p>
    <w:p w14:paraId="21B5D8DF" w14:textId="181A276D" w:rsidR="00AD4280" w:rsidRDefault="00AD4280" w:rsidP="002667DD">
      <w:pPr>
        <w:widowControl w:val="0"/>
        <w:autoSpaceDE w:val="0"/>
        <w:autoSpaceDN w:val="0"/>
        <w:adjustRightInd w:val="0"/>
        <w:rPr>
          <w:b/>
          <w:bCs/>
          <w:color w:val="auto"/>
        </w:rPr>
      </w:pPr>
      <w:r>
        <w:rPr>
          <w:b/>
          <w:bCs/>
          <w:color w:val="auto"/>
        </w:rPr>
        <w:t>Organisational Structure</w:t>
      </w:r>
    </w:p>
    <w:p w14:paraId="5AE45893" w14:textId="77777777" w:rsidR="00AD4280" w:rsidRDefault="00AD4280" w:rsidP="002667DD">
      <w:pPr>
        <w:widowControl w:val="0"/>
        <w:autoSpaceDE w:val="0"/>
        <w:autoSpaceDN w:val="0"/>
        <w:adjustRightInd w:val="0"/>
        <w:rPr>
          <w:b/>
          <w:bCs/>
          <w:color w:val="auto"/>
        </w:rPr>
      </w:pPr>
    </w:p>
    <w:p w14:paraId="44093F90" w14:textId="44B2FAE4" w:rsidR="00AD4280" w:rsidRPr="00AD4280" w:rsidRDefault="007F7607" w:rsidP="002667DD">
      <w:pPr>
        <w:widowControl w:val="0"/>
        <w:autoSpaceDE w:val="0"/>
        <w:autoSpaceDN w:val="0"/>
        <w:adjustRightInd w:val="0"/>
        <w:rPr>
          <w:b/>
          <w:bCs/>
          <w:color w:val="auto"/>
        </w:rPr>
      </w:pPr>
      <w:r>
        <w:rPr>
          <w:noProof/>
        </w:rPr>
        <w:drawing>
          <wp:inline distT="0" distB="0" distL="0" distR="0" wp14:anchorId="214FD865" wp14:editId="039CA579">
            <wp:extent cx="5676900" cy="3409950"/>
            <wp:effectExtent l="0" t="0" r="19050" b="19050"/>
            <wp:docPr id="12576456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384D7FE" w14:textId="77777777" w:rsidR="002667DD" w:rsidRPr="006E6AE8" w:rsidRDefault="002667DD" w:rsidP="002667DD">
      <w:pPr>
        <w:widowControl w:val="0"/>
        <w:autoSpaceDE w:val="0"/>
        <w:autoSpaceDN w:val="0"/>
        <w:adjustRightInd w:val="0"/>
        <w:rPr>
          <w:color w:val="auto"/>
        </w:rPr>
      </w:pPr>
    </w:p>
    <w:p w14:paraId="32909759" w14:textId="77777777" w:rsidR="00A70A02" w:rsidRDefault="00A70A02" w:rsidP="002667DD">
      <w:pPr>
        <w:rPr>
          <w:b/>
          <w:bCs/>
          <w:color w:val="auto"/>
        </w:rPr>
      </w:pPr>
    </w:p>
    <w:p w14:paraId="3A5EF3A8" w14:textId="70D83C5C" w:rsidR="002667DD" w:rsidRPr="006E6AE8" w:rsidRDefault="002667DD" w:rsidP="002667DD">
      <w:pPr>
        <w:rPr>
          <w:b/>
          <w:bCs/>
          <w:color w:val="auto"/>
        </w:rPr>
      </w:pPr>
      <w:r w:rsidRPr="006E6AE8">
        <w:rPr>
          <w:b/>
          <w:bCs/>
          <w:color w:val="auto"/>
        </w:rPr>
        <w:t>What we do</w:t>
      </w:r>
      <w:r>
        <w:rPr>
          <w:b/>
          <w:bCs/>
          <w:color w:val="auto"/>
        </w:rPr>
        <w:t xml:space="preserve"> </w:t>
      </w:r>
    </w:p>
    <w:p w14:paraId="67B63956" w14:textId="77777777" w:rsidR="002667DD" w:rsidRPr="006E6AE8" w:rsidRDefault="002667DD" w:rsidP="002667DD">
      <w:pPr>
        <w:rPr>
          <w:b/>
          <w:bCs/>
          <w:color w:val="auto"/>
        </w:rPr>
      </w:pPr>
    </w:p>
    <w:p w14:paraId="54C2991E" w14:textId="77777777" w:rsidR="002667DD" w:rsidRPr="00402F91" w:rsidRDefault="002667DD" w:rsidP="002667DD">
      <w:pPr>
        <w:autoSpaceDE w:val="0"/>
        <w:autoSpaceDN w:val="0"/>
        <w:adjustRightInd w:val="0"/>
        <w:rPr>
          <w:rFonts w:cs="VGOJM V+ Zurich BT"/>
          <w:bCs/>
          <w:color w:val="auto"/>
        </w:rPr>
      </w:pPr>
      <w:r w:rsidRPr="00402F91">
        <w:rPr>
          <w:rFonts w:cs="VGOJM V+ Zurich BT"/>
          <w:bCs/>
          <w:color w:val="auto"/>
        </w:rPr>
        <w:t>The Commission’s primary role is to make sure government and public authorities protect, respect and fulfil the human rights of everyone in Northern Ireland. We also help people understand what their human rights are and what they can do if their rights are violated or abused. To pursue this objective, we consider the full range of civil, political, social, economic and cultural rights. Our work is based on the international human rights treaties ratified by the United Kingdom government, domestic legislation and relevant soft law standards.</w:t>
      </w:r>
    </w:p>
    <w:p w14:paraId="4878FDEC" w14:textId="77777777" w:rsidR="002667DD" w:rsidRPr="00402F91" w:rsidRDefault="002667DD" w:rsidP="002667DD">
      <w:pPr>
        <w:autoSpaceDE w:val="0"/>
        <w:autoSpaceDN w:val="0"/>
        <w:adjustRightInd w:val="0"/>
        <w:rPr>
          <w:rFonts w:cs="VGOJM V+ Zurich BT"/>
          <w:bCs/>
          <w:color w:val="auto"/>
        </w:rPr>
      </w:pPr>
    </w:p>
    <w:p w14:paraId="64B22165" w14:textId="77777777" w:rsidR="002667DD" w:rsidRPr="00402F91" w:rsidRDefault="002667DD" w:rsidP="002667DD">
      <w:pPr>
        <w:autoSpaceDE w:val="0"/>
        <w:autoSpaceDN w:val="0"/>
        <w:adjustRightInd w:val="0"/>
        <w:rPr>
          <w:rFonts w:cs="VGOJM V+ Zurich BT"/>
          <w:bCs/>
          <w:color w:val="auto"/>
        </w:rPr>
      </w:pPr>
      <w:r w:rsidRPr="00402F91">
        <w:rPr>
          <w:rFonts w:cs="VGOJM V+ Zurich BT"/>
          <w:bCs/>
          <w:color w:val="auto"/>
        </w:rPr>
        <w:t xml:space="preserve">The statutory functions of the Commission in accordance with the Northern Ireland Act 1998 are: </w:t>
      </w:r>
    </w:p>
    <w:p w14:paraId="20B817A7" w14:textId="77777777" w:rsidR="002667DD" w:rsidRPr="00402F91" w:rsidRDefault="002667DD" w:rsidP="002667DD">
      <w:pPr>
        <w:autoSpaceDE w:val="0"/>
        <w:autoSpaceDN w:val="0"/>
        <w:adjustRightInd w:val="0"/>
        <w:rPr>
          <w:rFonts w:cs="VGOJM V+ Zurich BT"/>
          <w:bCs/>
          <w:color w:val="auto"/>
        </w:rPr>
      </w:pPr>
    </w:p>
    <w:p w14:paraId="51703417"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keeping under review the adequacy and effectiveness in Northern Ireland of law and practice relating to the protection of human rights.</w:t>
      </w:r>
    </w:p>
    <w:p w14:paraId="588B28B3" w14:textId="77777777" w:rsidR="002667DD" w:rsidRPr="00402F91" w:rsidRDefault="002667DD" w:rsidP="002667DD">
      <w:pPr>
        <w:autoSpaceDE w:val="0"/>
        <w:autoSpaceDN w:val="0"/>
        <w:adjustRightInd w:val="0"/>
        <w:rPr>
          <w:rFonts w:cs="VGOJM V+ Zurich BT"/>
          <w:bCs/>
          <w:color w:val="auto"/>
        </w:rPr>
      </w:pPr>
    </w:p>
    <w:p w14:paraId="6DA54CC4"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advising the Secretary of State and the Northern Ireland Executive of legislative and other measures which ought to be taken to protect human rights—as soon as reasonably practicable after receipt of a general or specific request for advice; and on such other occasions as the Commission thinks appropriate.</w:t>
      </w:r>
    </w:p>
    <w:p w14:paraId="797EF110" w14:textId="77777777" w:rsidR="002667DD" w:rsidRPr="00402F91" w:rsidRDefault="002667DD" w:rsidP="002667DD">
      <w:pPr>
        <w:autoSpaceDE w:val="0"/>
        <w:autoSpaceDN w:val="0"/>
        <w:adjustRightInd w:val="0"/>
        <w:rPr>
          <w:rFonts w:cs="VGOJM V+ Zurich BT"/>
          <w:bCs/>
          <w:color w:val="auto"/>
        </w:rPr>
      </w:pPr>
    </w:p>
    <w:p w14:paraId="15F2E861"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advising the Northern Ireland Assembly whether legislative Bills are compatible with human rights</w:t>
      </w:r>
    </w:p>
    <w:p w14:paraId="22C98491" w14:textId="77777777" w:rsidR="002667DD" w:rsidRPr="00402F91" w:rsidRDefault="002667DD" w:rsidP="002667DD">
      <w:pPr>
        <w:autoSpaceDE w:val="0"/>
        <w:autoSpaceDN w:val="0"/>
        <w:adjustRightInd w:val="0"/>
        <w:rPr>
          <w:rFonts w:cs="VGOJM V+ Zurich BT"/>
          <w:bCs/>
          <w:color w:val="auto"/>
        </w:rPr>
      </w:pPr>
    </w:p>
    <w:p w14:paraId="27EF726A"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providing advice to the UK government and Westminster Parliament on matters affecting human rights in NI.</w:t>
      </w:r>
    </w:p>
    <w:p w14:paraId="280507C7" w14:textId="77777777" w:rsidR="002667DD" w:rsidRPr="00402F91" w:rsidRDefault="002667DD" w:rsidP="002667DD">
      <w:pPr>
        <w:autoSpaceDE w:val="0"/>
        <w:autoSpaceDN w:val="0"/>
        <w:adjustRightInd w:val="0"/>
        <w:rPr>
          <w:rFonts w:cs="VGOJM V+ Zurich BT"/>
          <w:bCs/>
          <w:color w:val="auto"/>
        </w:rPr>
      </w:pPr>
    </w:p>
    <w:p w14:paraId="64082AC4"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conducting investigations on systemic human rights issues. To do so, we may enter places of detention, and can compel individuals and agencies to give oral testimony or to produce documents.</w:t>
      </w:r>
    </w:p>
    <w:p w14:paraId="285D9A5D" w14:textId="77777777" w:rsidR="002667DD" w:rsidRPr="00402F91" w:rsidRDefault="002667DD" w:rsidP="002667DD">
      <w:pPr>
        <w:autoSpaceDE w:val="0"/>
        <w:autoSpaceDN w:val="0"/>
        <w:adjustRightInd w:val="0"/>
        <w:rPr>
          <w:rFonts w:cs="VGOJM V+ Zurich BT"/>
          <w:bCs/>
          <w:color w:val="auto"/>
        </w:rPr>
      </w:pPr>
    </w:p>
    <w:p w14:paraId="29F7B09D"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promoting understanding and awareness of the importance of human rights in Northern Ireland. To do so, we may undertake or support research and educational activities.</w:t>
      </w:r>
    </w:p>
    <w:p w14:paraId="1E3F2DCF" w14:textId="77777777" w:rsidR="002667DD" w:rsidRPr="00402F91" w:rsidRDefault="002667DD" w:rsidP="002667DD">
      <w:pPr>
        <w:autoSpaceDE w:val="0"/>
        <w:autoSpaceDN w:val="0"/>
        <w:adjustRightInd w:val="0"/>
        <w:rPr>
          <w:rFonts w:cs="VGOJM V+ Zurich BT"/>
          <w:bCs/>
          <w:color w:val="auto"/>
        </w:rPr>
      </w:pPr>
    </w:p>
    <w:p w14:paraId="78CD2F91"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providing legal assistance to individuals and initiating strategic cases, including own motion legal challenges.</w:t>
      </w:r>
    </w:p>
    <w:p w14:paraId="72A6D7EA" w14:textId="77777777" w:rsidR="002667DD" w:rsidRPr="00402F91" w:rsidRDefault="002667DD" w:rsidP="002667DD">
      <w:pPr>
        <w:autoSpaceDE w:val="0"/>
        <w:autoSpaceDN w:val="0"/>
        <w:adjustRightInd w:val="0"/>
        <w:rPr>
          <w:rFonts w:cs="VGOJM V+ Zurich BT"/>
          <w:bCs/>
          <w:color w:val="auto"/>
        </w:rPr>
      </w:pPr>
    </w:p>
    <w:p w14:paraId="05B63129"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monitoring the implementation of international human rights treaties and reporting to the United Nations and Council of Europe.</w:t>
      </w:r>
    </w:p>
    <w:p w14:paraId="39889CD4" w14:textId="77777777" w:rsidR="002667DD" w:rsidRPr="00402F91" w:rsidRDefault="002667DD" w:rsidP="002667DD">
      <w:pPr>
        <w:autoSpaceDE w:val="0"/>
        <w:autoSpaceDN w:val="0"/>
        <w:adjustRightInd w:val="0"/>
        <w:rPr>
          <w:rFonts w:cs="VGOJM V+ Zurich BT"/>
          <w:bCs/>
          <w:color w:val="auto"/>
        </w:rPr>
      </w:pPr>
    </w:p>
    <w:p w14:paraId="48F54DED" w14:textId="77777777" w:rsidR="002667DD" w:rsidRPr="00402F91" w:rsidRDefault="002667DD" w:rsidP="002667DD">
      <w:pPr>
        <w:numPr>
          <w:ilvl w:val="0"/>
          <w:numId w:val="14"/>
        </w:numPr>
        <w:autoSpaceDE w:val="0"/>
        <w:autoSpaceDN w:val="0"/>
        <w:adjustRightInd w:val="0"/>
        <w:rPr>
          <w:rFonts w:cs="VGOJM V+ Zurich BT"/>
          <w:bCs/>
          <w:color w:val="auto"/>
        </w:rPr>
      </w:pPr>
      <w:r w:rsidRPr="00402F91">
        <w:rPr>
          <w:rFonts w:cs="VGOJM V+ Zurich BT"/>
          <w:bCs/>
          <w:color w:val="auto"/>
        </w:rPr>
        <w:t>working in partnership with the Irish Human Rights and Equality Commission as mandated through the joint committee created in accordance with the Belfast (Good Friday) Agreement.</w:t>
      </w:r>
    </w:p>
    <w:p w14:paraId="05BB5FEF" w14:textId="77777777" w:rsidR="002667DD" w:rsidRPr="00402F91" w:rsidRDefault="002667DD" w:rsidP="002667DD">
      <w:pPr>
        <w:autoSpaceDE w:val="0"/>
        <w:autoSpaceDN w:val="0"/>
        <w:adjustRightInd w:val="0"/>
        <w:rPr>
          <w:rFonts w:cs="VGOJM V+ Zurich BT"/>
          <w:bCs/>
          <w:color w:val="auto"/>
        </w:rPr>
      </w:pPr>
    </w:p>
    <w:p w14:paraId="005BF758" w14:textId="4562AB97" w:rsidR="002667DD" w:rsidRDefault="002667DD" w:rsidP="54F71CB4">
      <w:pPr>
        <w:rPr>
          <w:rFonts w:eastAsia="Verdana" w:cs="Verdana"/>
        </w:rPr>
      </w:pPr>
      <w:r w:rsidRPr="54F71CB4">
        <w:rPr>
          <w:rFonts w:eastAsia="Verdana" w:cs="Verdana"/>
        </w:rPr>
        <w:t xml:space="preserve">The Commission is mandated in accordance with Article 2(1) of the Protocol on Ireland/Northern Ireland of the European Union Withdrawal Agreement to ensure there is no diminution of rights protected in the ‘Rights, Safeguards and Equality of Opportunity’ chapter of the Belfast (Good Friday) Agreement </w:t>
      </w:r>
      <w:proofErr w:type="gramStart"/>
      <w:r w:rsidRPr="54F71CB4">
        <w:rPr>
          <w:rFonts w:eastAsia="Verdana" w:cs="Verdana"/>
        </w:rPr>
        <w:t>as a result of</w:t>
      </w:r>
      <w:proofErr w:type="gramEnd"/>
      <w:r w:rsidRPr="54F71CB4">
        <w:rPr>
          <w:rFonts w:eastAsia="Verdana" w:cs="Verdana"/>
        </w:rPr>
        <w:t xml:space="preserve"> United Kingdom’s withdrawal from the European Union. </w:t>
      </w:r>
    </w:p>
    <w:p w14:paraId="1FA5DB4E" w14:textId="79E4E8F0" w:rsidR="002667DD" w:rsidRPr="00A70802" w:rsidRDefault="002667DD" w:rsidP="54F71CB4">
      <w:r w:rsidRPr="62F844E5">
        <w:rPr>
          <w:rFonts w:eastAsia="Verdana" w:cs="Verdana"/>
        </w:rPr>
        <w:t xml:space="preserve"> </w:t>
      </w:r>
    </w:p>
    <w:p w14:paraId="38DAF523" w14:textId="77777777" w:rsidR="002667DD" w:rsidRDefault="002667DD" w:rsidP="002667DD">
      <w:r w:rsidRPr="62F844E5">
        <w:rPr>
          <w:rFonts w:eastAsia="Verdana" w:cs="Verdana"/>
        </w:rPr>
        <w:t xml:space="preserve">The Commission’s statutory functions for this purpose in accordance with the </w:t>
      </w:r>
      <w:bookmarkStart w:id="5" w:name="_Hlk74054886"/>
      <w:r w:rsidRPr="62F844E5">
        <w:rPr>
          <w:rFonts w:eastAsia="Verdana" w:cs="Verdana"/>
        </w:rPr>
        <w:t xml:space="preserve">European Union (Withdrawal Agreement) Act 2020 </w:t>
      </w:r>
      <w:bookmarkEnd w:id="5"/>
      <w:r w:rsidRPr="62F844E5">
        <w:rPr>
          <w:rFonts w:eastAsia="Verdana" w:cs="Verdana"/>
        </w:rPr>
        <w:t>are:</w:t>
      </w:r>
    </w:p>
    <w:p w14:paraId="42FB033A" w14:textId="77777777" w:rsidR="002667DD" w:rsidRDefault="002667DD" w:rsidP="002667DD">
      <w:pPr>
        <w:rPr>
          <w:color w:val="000000" w:themeColor="text1"/>
        </w:rPr>
      </w:pPr>
    </w:p>
    <w:p w14:paraId="32B794CC"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monitoring the implementation of Article 2(1) of the Protocol on Ireland/Northern Ireland in the EU withdrawal agreement (rights of individuals).</w:t>
      </w:r>
    </w:p>
    <w:p w14:paraId="47D42FF3" w14:textId="77777777" w:rsidR="002667DD" w:rsidRDefault="002667DD" w:rsidP="002667DD">
      <w:pPr>
        <w:autoSpaceDE w:val="0"/>
        <w:autoSpaceDN w:val="0"/>
        <w:adjustRightInd w:val="0"/>
        <w:rPr>
          <w:color w:val="000000" w:themeColor="text1"/>
        </w:rPr>
      </w:pPr>
      <w:r w:rsidRPr="3285EAFF">
        <w:rPr>
          <w:rFonts w:eastAsia="Verdana" w:cs="Verdana"/>
        </w:rPr>
        <w:t xml:space="preserve"> </w:t>
      </w:r>
    </w:p>
    <w:p w14:paraId="32404EF3"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reporting to the Secretary of State and the Executive Office in Northern Ireland on the implementation of Article 2(1)—as soon as reasonably practicable after receipt of a general or specific request for such a report, and on such other occasions as the Commission thinks.</w:t>
      </w:r>
    </w:p>
    <w:p w14:paraId="682199AA" w14:textId="77777777" w:rsidR="002667DD" w:rsidRDefault="002667DD" w:rsidP="002667DD">
      <w:pPr>
        <w:autoSpaceDE w:val="0"/>
        <w:autoSpaceDN w:val="0"/>
        <w:adjustRightInd w:val="0"/>
        <w:spacing w:line="276" w:lineRule="auto"/>
        <w:rPr>
          <w:color w:val="000000" w:themeColor="text1"/>
        </w:rPr>
      </w:pPr>
    </w:p>
    <w:p w14:paraId="6C110358"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 xml:space="preserve">advising the Secretary of State and the Executive Committee of the Assembly of legislative and other measures which ought to be taken to implement Article 2(1)—as soon as reasonably practicable after </w:t>
      </w:r>
      <w:r>
        <w:rPr>
          <w:rFonts w:eastAsia="Verdana" w:cs="Verdana"/>
        </w:rPr>
        <w:t>receipt</w:t>
      </w:r>
      <w:r w:rsidRPr="62F844E5">
        <w:rPr>
          <w:rFonts w:eastAsia="Verdana" w:cs="Verdana"/>
        </w:rPr>
        <w:t xml:space="preserve"> of a general or specific request for advice, and on such other occasions as the Commission thinks appropriate.</w:t>
      </w:r>
    </w:p>
    <w:p w14:paraId="63BA3915" w14:textId="77777777" w:rsidR="002667DD" w:rsidRDefault="002667DD" w:rsidP="002667DD">
      <w:pPr>
        <w:autoSpaceDE w:val="0"/>
        <w:autoSpaceDN w:val="0"/>
        <w:adjustRightInd w:val="0"/>
        <w:spacing w:line="276" w:lineRule="auto"/>
        <w:rPr>
          <w:color w:val="000000" w:themeColor="text1"/>
        </w:rPr>
      </w:pPr>
    </w:p>
    <w:p w14:paraId="7A2CCD0B"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advising the Assembly (or a committee of the Assembly) whether a Bill is compatible with Article 2(1)—as soon as reasonably practicable after receipt of a request for advice, and on such other occasions as the Commission thinks appropriate.</w:t>
      </w:r>
    </w:p>
    <w:p w14:paraId="23C306D9" w14:textId="77777777" w:rsidR="002667DD" w:rsidRDefault="002667DD" w:rsidP="002667DD">
      <w:pPr>
        <w:autoSpaceDE w:val="0"/>
        <w:autoSpaceDN w:val="0"/>
        <w:adjustRightInd w:val="0"/>
        <w:spacing w:line="276" w:lineRule="auto"/>
        <w:rPr>
          <w:color w:val="000000" w:themeColor="text1"/>
        </w:rPr>
      </w:pPr>
      <w:r w:rsidRPr="3285EAFF">
        <w:rPr>
          <w:rFonts w:eastAsia="Verdana" w:cs="Verdana"/>
        </w:rPr>
        <w:t xml:space="preserve"> </w:t>
      </w:r>
    </w:p>
    <w:p w14:paraId="0BEA8362"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 xml:space="preserve">promoting understanding and awareness of the importance of Article 2(1); and for this </w:t>
      </w:r>
      <w:proofErr w:type="gramStart"/>
      <w:r w:rsidRPr="62F844E5">
        <w:rPr>
          <w:rFonts w:eastAsia="Verdana" w:cs="Verdana"/>
        </w:rPr>
        <w:t>purpose</w:t>
      </w:r>
      <w:proofErr w:type="gramEnd"/>
      <w:r w:rsidRPr="62F844E5">
        <w:rPr>
          <w:rFonts w:eastAsia="Verdana" w:cs="Verdana"/>
        </w:rPr>
        <w:t xml:space="preserve"> we may undertake, commission or provide financial or other assistance for—research, and educational activities.</w:t>
      </w:r>
    </w:p>
    <w:p w14:paraId="3EBF0431" w14:textId="77777777" w:rsidR="002667DD" w:rsidRDefault="002667DD" w:rsidP="002667DD">
      <w:pPr>
        <w:autoSpaceDE w:val="0"/>
        <w:autoSpaceDN w:val="0"/>
        <w:adjustRightInd w:val="0"/>
        <w:spacing w:line="276" w:lineRule="auto"/>
        <w:rPr>
          <w:color w:val="000000" w:themeColor="text1"/>
        </w:rPr>
      </w:pPr>
    </w:p>
    <w:p w14:paraId="4110B17B" w14:textId="77777777" w:rsidR="002667DD" w:rsidRDefault="002667DD" w:rsidP="002667DD">
      <w:pPr>
        <w:pStyle w:val="ListParagraph"/>
        <w:numPr>
          <w:ilvl w:val="0"/>
          <w:numId w:val="1"/>
        </w:numPr>
        <w:autoSpaceDE w:val="0"/>
        <w:autoSpaceDN w:val="0"/>
        <w:adjustRightInd w:val="0"/>
        <w:rPr>
          <w:rFonts w:eastAsia="Verdana" w:cs="Verdana"/>
          <w:color w:val="000000" w:themeColor="text1"/>
        </w:rPr>
      </w:pPr>
      <w:r w:rsidRPr="62F844E5">
        <w:rPr>
          <w:rFonts w:eastAsia="Verdana" w:cs="Verdana"/>
        </w:rPr>
        <w:t>bringing any appropriate matters of relevance to Article 2(1) to the attention of the Specialised Committee on issues related to the implementation of the Protocol on Ireland/Northern Ireland established by Article 165 of the Withdrawal Agreement.</w:t>
      </w:r>
    </w:p>
    <w:p w14:paraId="387581D1" w14:textId="77777777" w:rsidR="002667DD" w:rsidRDefault="002667DD" w:rsidP="002667DD">
      <w:pPr>
        <w:autoSpaceDE w:val="0"/>
        <w:autoSpaceDN w:val="0"/>
        <w:adjustRightInd w:val="0"/>
        <w:spacing w:line="276" w:lineRule="auto"/>
        <w:rPr>
          <w:color w:val="000000" w:themeColor="text1"/>
        </w:rPr>
      </w:pPr>
    </w:p>
    <w:p w14:paraId="0F02095E" w14:textId="405EED9F" w:rsidR="002667DD" w:rsidRDefault="00D71065" w:rsidP="002667DD">
      <w:pPr>
        <w:pStyle w:val="ListParagraph"/>
        <w:numPr>
          <w:ilvl w:val="0"/>
          <w:numId w:val="1"/>
        </w:numPr>
        <w:autoSpaceDE w:val="0"/>
        <w:autoSpaceDN w:val="0"/>
        <w:adjustRightInd w:val="0"/>
        <w:rPr>
          <w:rFonts w:eastAsia="Verdana" w:cs="Verdana"/>
          <w:color w:val="000000" w:themeColor="text1"/>
        </w:rPr>
      </w:pPr>
      <w:r w:rsidRPr="54F71CB4">
        <w:rPr>
          <w:rFonts w:eastAsia="Verdana" w:cs="Verdana"/>
        </w:rPr>
        <w:t xml:space="preserve">bringing </w:t>
      </w:r>
      <w:r w:rsidR="002667DD" w:rsidRPr="54F71CB4">
        <w:rPr>
          <w:rFonts w:eastAsia="Verdana" w:cs="Verdana"/>
        </w:rPr>
        <w:t>judicial review proceedings in respect of an alleged breach (or potential future breach) of Article 2(1) of the Protocol on Ireland/Northern Ireland in the EU withdrawal agreement; or intervening in legal proceedings, whether for judicial review or otherwise, in so far as they relate to an alleged breach (or potential future breach) of Article 2(1).</w:t>
      </w:r>
    </w:p>
    <w:p w14:paraId="5C2E17D7" w14:textId="77777777" w:rsidR="002667DD" w:rsidRDefault="002667DD" w:rsidP="002667DD">
      <w:pPr>
        <w:autoSpaceDE w:val="0"/>
        <w:autoSpaceDN w:val="0"/>
        <w:adjustRightInd w:val="0"/>
        <w:rPr>
          <w:color w:val="000000" w:themeColor="text1"/>
        </w:rPr>
      </w:pPr>
    </w:p>
    <w:p w14:paraId="77D54AB5" w14:textId="77777777" w:rsidR="00211A96" w:rsidRDefault="002667DD" w:rsidP="002667DD">
      <w:pPr>
        <w:autoSpaceDE w:val="0"/>
        <w:autoSpaceDN w:val="0"/>
        <w:adjustRightInd w:val="0"/>
        <w:rPr>
          <w:rFonts w:eastAsia="Verdana" w:cs="Verdana"/>
        </w:rPr>
      </w:pPr>
      <w:r w:rsidRPr="54F71CB4">
        <w:rPr>
          <w:rFonts w:eastAsia="Verdana" w:cs="Verdana"/>
        </w:rPr>
        <w:t xml:space="preserve">The Commission is also designated, with the Equality Commission, under the United Nations Convention on the Rights of Disabled Persons as the independent mechanism tasked with promoting, protecting and monitoring implementation of </w:t>
      </w:r>
      <w:r w:rsidR="00D80963" w:rsidRPr="54F71CB4">
        <w:rPr>
          <w:rFonts w:eastAsia="Verdana" w:cs="Verdana"/>
        </w:rPr>
        <w:t xml:space="preserve">the </w:t>
      </w:r>
      <w:r w:rsidRPr="54F71CB4">
        <w:rPr>
          <w:rFonts w:eastAsia="Verdana" w:cs="Verdana"/>
        </w:rPr>
        <w:t xml:space="preserve">Convention in Northern Ireland. </w:t>
      </w:r>
    </w:p>
    <w:p w14:paraId="0C006A8B" w14:textId="77777777" w:rsidR="00211A96" w:rsidRDefault="00211A96" w:rsidP="002667DD">
      <w:pPr>
        <w:autoSpaceDE w:val="0"/>
        <w:autoSpaceDN w:val="0"/>
        <w:adjustRightInd w:val="0"/>
        <w:rPr>
          <w:rFonts w:eastAsia="Verdana" w:cs="Verdana"/>
        </w:rPr>
      </w:pPr>
    </w:p>
    <w:p w14:paraId="6F5571E3" w14:textId="718810FB" w:rsidR="002667DD" w:rsidRDefault="002667DD" w:rsidP="002667DD">
      <w:pPr>
        <w:autoSpaceDE w:val="0"/>
        <w:autoSpaceDN w:val="0"/>
        <w:adjustRightInd w:val="0"/>
        <w:rPr>
          <w:color w:val="000000" w:themeColor="text1"/>
        </w:rPr>
      </w:pPr>
      <w:r w:rsidRPr="3285EAFF">
        <w:rPr>
          <w:rFonts w:eastAsia="Verdana" w:cs="Verdana"/>
        </w:rPr>
        <w:t>We also engage with other the National Human Rights Institutions in the United Kingdom on issues of common interest.</w:t>
      </w:r>
    </w:p>
    <w:p w14:paraId="3BFF090D" w14:textId="77777777" w:rsidR="002667DD" w:rsidRDefault="002667DD" w:rsidP="002667DD">
      <w:pPr>
        <w:autoSpaceDE w:val="0"/>
        <w:autoSpaceDN w:val="0"/>
        <w:adjustRightInd w:val="0"/>
        <w:rPr>
          <w:rFonts w:eastAsia="Verdana" w:cs="Verdana"/>
        </w:rPr>
      </w:pPr>
    </w:p>
    <w:p w14:paraId="420B0DAA" w14:textId="77777777" w:rsidR="002667DD" w:rsidRDefault="002667DD" w:rsidP="002667DD">
      <w:pPr>
        <w:autoSpaceDE w:val="0"/>
        <w:autoSpaceDN w:val="0"/>
        <w:adjustRightInd w:val="0"/>
        <w:rPr>
          <w:color w:val="000000" w:themeColor="text1"/>
        </w:rPr>
      </w:pPr>
      <w:r w:rsidRPr="62F844E5">
        <w:rPr>
          <w:rFonts w:eastAsia="Verdana" w:cs="Verdana"/>
        </w:rPr>
        <w:t>Our Annual Statement</w:t>
      </w:r>
      <w:r>
        <w:rPr>
          <w:rStyle w:val="FootnoteReference"/>
          <w:rFonts w:eastAsia="Verdana" w:cs="Verdana"/>
        </w:rPr>
        <w:footnoteReference w:id="2"/>
      </w:r>
      <w:r w:rsidRPr="62F844E5">
        <w:rPr>
          <w:rFonts w:eastAsia="Verdana" w:cs="Verdana"/>
        </w:rPr>
        <w:t xml:space="preserve">, published in December each year, records how much progress has been made towards meeting human rights obligations in Northern Ireland. This strongly informs our future work priorities.  </w:t>
      </w:r>
      <w:r w:rsidRPr="62F844E5">
        <w:rPr>
          <w:rFonts w:cs="VGOJM V+ Zurich BT"/>
          <w:color w:val="auto"/>
        </w:rPr>
        <w:t xml:space="preserve"> </w:t>
      </w:r>
    </w:p>
    <w:p w14:paraId="3D1819B6" w14:textId="77777777" w:rsidR="002667DD" w:rsidRDefault="002667DD" w:rsidP="002667DD">
      <w:pPr>
        <w:autoSpaceDE w:val="0"/>
        <w:autoSpaceDN w:val="0"/>
        <w:adjustRightInd w:val="0"/>
        <w:rPr>
          <w:rFonts w:cs="VGOJM V+ Zurich BT"/>
          <w:bCs/>
          <w:color w:val="auto"/>
        </w:rPr>
      </w:pPr>
    </w:p>
    <w:p w14:paraId="609F249F" w14:textId="77777777" w:rsidR="002667DD" w:rsidRPr="00402F91" w:rsidRDefault="002667DD" w:rsidP="54F71CB4">
      <w:pPr>
        <w:autoSpaceDE w:val="0"/>
        <w:autoSpaceDN w:val="0"/>
        <w:adjustRightInd w:val="0"/>
        <w:rPr>
          <w:rFonts w:cs="TT150t00"/>
          <w:b/>
          <w:bCs/>
          <w:color w:val="auto"/>
        </w:rPr>
      </w:pPr>
      <w:r w:rsidRPr="54F71CB4">
        <w:rPr>
          <w:rFonts w:cs="TT150t00"/>
          <w:color w:val="auto"/>
        </w:rPr>
        <w:t xml:space="preserve">The Commission’s work is based on five objectives agreed in our Strategic Plan 2022-25.  Each objective is one of substantive public interest, where we believe a real and lasting impact can be made to benefit the lives of people in Northern Ireland.  </w:t>
      </w:r>
    </w:p>
    <w:p w14:paraId="242B265E" w14:textId="527C5C14" w:rsidR="54F71CB4" w:rsidRDefault="54F71CB4" w:rsidP="54F71CB4">
      <w:pPr>
        <w:rPr>
          <w:rFonts w:cs="TT150t00"/>
          <w:color w:val="auto"/>
        </w:rPr>
      </w:pPr>
    </w:p>
    <w:p w14:paraId="21720652" w14:textId="77777777" w:rsidR="005F55EF" w:rsidRPr="005F55EF" w:rsidRDefault="002667DD" w:rsidP="005F55EF">
      <w:pPr>
        <w:pStyle w:val="ListParagraph"/>
        <w:numPr>
          <w:ilvl w:val="0"/>
          <w:numId w:val="49"/>
        </w:numPr>
        <w:rPr>
          <w:color w:val="auto"/>
        </w:rPr>
      </w:pPr>
      <w:r w:rsidRPr="005F55EF">
        <w:rPr>
          <w:rFonts w:cs="TT150t00"/>
          <w:color w:val="auto"/>
        </w:rPr>
        <w:t>To keep under review law and practice and advise government for the benefit of everyone across Northern Ireland</w:t>
      </w:r>
      <w:r w:rsidR="005F55EF">
        <w:rPr>
          <w:rFonts w:cs="TT150t00"/>
          <w:color w:val="auto"/>
        </w:rPr>
        <w:t>;</w:t>
      </w:r>
      <w:r w:rsidR="005F55EF">
        <w:rPr>
          <w:rFonts w:cs="TT150t00"/>
          <w:color w:val="auto"/>
        </w:rPr>
        <w:br/>
      </w:r>
    </w:p>
    <w:p w14:paraId="33C8780C" w14:textId="2CB22ED7" w:rsidR="00B27E80" w:rsidRDefault="002667DD" w:rsidP="00B27E80">
      <w:pPr>
        <w:pStyle w:val="ListParagraph"/>
        <w:numPr>
          <w:ilvl w:val="0"/>
          <w:numId w:val="49"/>
        </w:numPr>
        <w:rPr>
          <w:color w:val="auto"/>
        </w:rPr>
      </w:pPr>
      <w:r w:rsidRPr="005F55EF">
        <w:rPr>
          <w:color w:val="auto"/>
        </w:rPr>
        <w:t xml:space="preserve">To ensure that rights protection is not diminished </w:t>
      </w:r>
      <w:proofErr w:type="gramStart"/>
      <w:r w:rsidRPr="005F55EF">
        <w:rPr>
          <w:color w:val="auto"/>
        </w:rPr>
        <w:t>as a result of</w:t>
      </w:r>
      <w:proofErr w:type="gramEnd"/>
      <w:r w:rsidRPr="005F55EF">
        <w:rPr>
          <w:color w:val="auto"/>
        </w:rPr>
        <w:t xml:space="preserve"> the United Kingdom having left the European Union; and, where required, ensure that Northern Ireland keeps pace with changes in European Union equality law</w:t>
      </w:r>
      <w:r w:rsidR="112971D5" w:rsidRPr="005F55EF">
        <w:rPr>
          <w:color w:val="auto"/>
        </w:rPr>
        <w:t>s</w:t>
      </w:r>
      <w:r w:rsidR="00B27E80">
        <w:rPr>
          <w:color w:val="auto"/>
        </w:rPr>
        <w:t>;</w:t>
      </w:r>
      <w:r w:rsidR="00B27E80">
        <w:rPr>
          <w:color w:val="auto"/>
        </w:rPr>
        <w:br/>
      </w:r>
    </w:p>
    <w:p w14:paraId="7F21D160" w14:textId="77777777" w:rsidR="00B27E80" w:rsidRDefault="002667DD" w:rsidP="00B27E80">
      <w:pPr>
        <w:pStyle w:val="ListParagraph"/>
        <w:numPr>
          <w:ilvl w:val="0"/>
          <w:numId w:val="49"/>
        </w:numPr>
        <w:rPr>
          <w:color w:val="auto"/>
        </w:rPr>
      </w:pPr>
      <w:r w:rsidRPr="00B27E80">
        <w:rPr>
          <w:color w:val="auto"/>
        </w:rPr>
        <w:t>To build a society in which human rights are better understood, protected and valued, making a positive impact upon the delivery of services</w:t>
      </w:r>
      <w:r w:rsidR="00B27E80">
        <w:rPr>
          <w:color w:val="auto"/>
        </w:rPr>
        <w:t>;</w:t>
      </w:r>
      <w:r w:rsidR="00B27E80">
        <w:rPr>
          <w:color w:val="auto"/>
        </w:rPr>
        <w:br/>
      </w:r>
    </w:p>
    <w:p w14:paraId="003F8AA1" w14:textId="77777777" w:rsidR="00B27E80" w:rsidRPr="00B27E80" w:rsidRDefault="002667DD" w:rsidP="00B27E80">
      <w:pPr>
        <w:pStyle w:val="ListParagraph"/>
        <w:numPr>
          <w:ilvl w:val="0"/>
          <w:numId w:val="49"/>
        </w:numPr>
        <w:rPr>
          <w:color w:val="auto"/>
        </w:rPr>
      </w:pPr>
      <w:r w:rsidRPr="00B27E80">
        <w:rPr>
          <w:rFonts w:cs="Arial"/>
          <w:color w:val="auto"/>
        </w:rPr>
        <w:t>To work in partnership with other human rights and equality bodies to maximise human rights protection</w:t>
      </w:r>
      <w:r w:rsidR="00B27E80">
        <w:rPr>
          <w:rFonts w:cs="Arial"/>
          <w:color w:val="auto"/>
        </w:rPr>
        <w:t>;</w:t>
      </w:r>
      <w:r w:rsidR="00B27E80">
        <w:rPr>
          <w:rFonts w:cs="Arial"/>
          <w:color w:val="auto"/>
        </w:rPr>
        <w:br/>
      </w:r>
    </w:p>
    <w:p w14:paraId="2C735BE0" w14:textId="20B601A8" w:rsidR="002667DD" w:rsidRPr="00B27E80" w:rsidRDefault="002667DD" w:rsidP="00B27E80">
      <w:pPr>
        <w:pStyle w:val="ListParagraph"/>
        <w:numPr>
          <w:ilvl w:val="0"/>
          <w:numId w:val="49"/>
        </w:numPr>
        <w:rPr>
          <w:color w:val="auto"/>
        </w:rPr>
      </w:pPr>
      <w:r w:rsidRPr="00B27E80">
        <w:rPr>
          <w:rFonts w:cs="TT150t00"/>
          <w:color w:val="auto"/>
        </w:rPr>
        <w:t>To be a learning organisation, improving our skills to achieve the greatest impact</w:t>
      </w:r>
      <w:r w:rsidR="00B27E80">
        <w:rPr>
          <w:rFonts w:cs="TT150t00"/>
          <w:color w:val="auto"/>
        </w:rPr>
        <w:t>.</w:t>
      </w:r>
      <w:r w:rsidRPr="00B27E80">
        <w:rPr>
          <w:rFonts w:cs="TT150t00"/>
          <w:color w:val="auto"/>
        </w:rPr>
        <w:t xml:space="preserve"> </w:t>
      </w:r>
      <w:r>
        <w:br/>
      </w:r>
    </w:p>
    <w:p w14:paraId="2069F560" w14:textId="2ABDF470" w:rsidR="007330CB" w:rsidRDefault="6D49DEB4" w:rsidP="002667DD">
      <w:pPr>
        <w:autoSpaceDE w:val="0"/>
        <w:autoSpaceDN w:val="0"/>
        <w:adjustRightInd w:val="0"/>
        <w:rPr>
          <w:color w:val="auto"/>
        </w:rPr>
      </w:pPr>
      <w:r w:rsidRPr="54F71CB4">
        <w:rPr>
          <w:color w:val="auto"/>
        </w:rPr>
        <w:t xml:space="preserve">The </w:t>
      </w:r>
      <w:r w:rsidR="5F37884C" w:rsidRPr="54F71CB4">
        <w:rPr>
          <w:color w:val="auto"/>
        </w:rPr>
        <w:t xml:space="preserve">Commission’s </w:t>
      </w:r>
      <w:r w:rsidRPr="54F71CB4">
        <w:rPr>
          <w:color w:val="auto"/>
        </w:rPr>
        <w:t xml:space="preserve">five </w:t>
      </w:r>
      <w:r w:rsidR="27EC344B" w:rsidRPr="54F71CB4">
        <w:rPr>
          <w:color w:val="auto"/>
        </w:rPr>
        <w:t xml:space="preserve">strategic </w:t>
      </w:r>
      <w:r w:rsidRPr="54F71CB4">
        <w:rPr>
          <w:color w:val="auto"/>
        </w:rPr>
        <w:t>objectives are broadly reflected and align with a series of Key Performance Indicators</w:t>
      </w:r>
      <w:r w:rsidR="3658F952" w:rsidRPr="54F71CB4">
        <w:rPr>
          <w:color w:val="auto"/>
        </w:rPr>
        <w:t xml:space="preserve"> designed to measure effectiveness in delivering our mandate.</w:t>
      </w:r>
    </w:p>
    <w:p w14:paraId="0C3F9AFE" w14:textId="77777777" w:rsidR="006652D2" w:rsidRDefault="006652D2" w:rsidP="002667DD">
      <w:pPr>
        <w:autoSpaceDE w:val="0"/>
        <w:autoSpaceDN w:val="0"/>
        <w:adjustRightInd w:val="0"/>
        <w:rPr>
          <w:color w:val="auto"/>
        </w:rPr>
      </w:pPr>
    </w:p>
    <w:p w14:paraId="7E0EB9D7" w14:textId="77777777" w:rsidR="006652D2" w:rsidRDefault="006652D2" w:rsidP="002667DD">
      <w:pPr>
        <w:autoSpaceDE w:val="0"/>
        <w:autoSpaceDN w:val="0"/>
        <w:adjustRightInd w:val="0"/>
        <w:rPr>
          <w:color w:val="auto"/>
        </w:rPr>
      </w:pPr>
    </w:p>
    <w:p w14:paraId="10F73612" w14:textId="77777777" w:rsidR="006652D2" w:rsidRDefault="006652D2" w:rsidP="002667DD">
      <w:pPr>
        <w:autoSpaceDE w:val="0"/>
        <w:autoSpaceDN w:val="0"/>
        <w:adjustRightInd w:val="0"/>
        <w:rPr>
          <w:color w:val="auto"/>
        </w:rPr>
      </w:pPr>
    </w:p>
    <w:p w14:paraId="562011E0" w14:textId="77777777" w:rsidR="006652D2" w:rsidRDefault="006652D2" w:rsidP="002667DD">
      <w:pPr>
        <w:autoSpaceDE w:val="0"/>
        <w:autoSpaceDN w:val="0"/>
        <w:adjustRightInd w:val="0"/>
        <w:rPr>
          <w:color w:val="auto"/>
        </w:rPr>
      </w:pPr>
    </w:p>
    <w:p w14:paraId="5CCFE225" w14:textId="77777777" w:rsidR="006652D2" w:rsidRDefault="006652D2" w:rsidP="002667DD">
      <w:pPr>
        <w:autoSpaceDE w:val="0"/>
        <w:autoSpaceDN w:val="0"/>
        <w:adjustRightInd w:val="0"/>
        <w:rPr>
          <w:color w:val="auto"/>
        </w:rPr>
      </w:pPr>
    </w:p>
    <w:p w14:paraId="27A5077A" w14:textId="77777777" w:rsidR="006652D2" w:rsidRDefault="006652D2" w:rsidP="002667DD">
      <w:pPr>
        <w:autoSpaceDE w:val="0"/>
        <w:autoSpaceDN w:val="0"/>
        <w:adjustRightInd w:val="0"/>
        <w:rPr>
          <w:color w:val="auto"/>
        </w:rPr>
      </w:pPr>
    </w:p>
    <w:p w14:paraId="443D0ECA" w14:textId="77777777" w:rsidR="006652D2" w:rsidRDefault="006652D2" w:rsidP="002667DD">
      <w:pPr>
        <w:autoSpaceDE w:val="0"/>
        <w:autoSpaceDN w:val="0"/>
        <w:adjustRightInd w:val="0"/>
        <w:rPr>
          <w:color w:val="auto"/>
        </w:rPr>
      </w:pPr>
    </w:p>
    <w:p w14:paraId="7B999214" w14:textId="77777777" w:rsidR="006652D2" w:rsidRDefault="006652D2" w:rsidP="002667DD">
      <w:pPr>
        <w:autoSpaceDE w:val="0"/>
        <w:autoSpaceDN w:val="0"/>
        <w:adjustRightInd w:val="0"/>
        <w:rPr>
          <w:color w:val="auto"/>
        </w:rPr>
      </w:pPr>
    </w:p>
    <w:p w14:paraId="296E1A9E" w14:textId="77777777" w:rsidR="006652D2" w:rsidRDefault="006652D2" w:rsidP="002667DD">
      <w:pPr>
        <w:autoSpaceDE w:val="0"/>
        <w:autoSpaceDN w:val="0"/>
        <w:adjustRightInd w:val="0"/>
        <w:rPr>
          <w:color w:val="auto"/>
        </w:rPr>
      </w:pPr>
    </w:p>
    <w:p w14:paraId="1A4B87DC" w14:textId="77777777" w:rsidR="006652D2" w:rsidRDefault="006652D2" w:rsidP="002667DD">
      <w:pPr>
        <w:autoSpaceDE w:val="0"/>
        <w:autoSpaceDN w:val="0"/>
        <w:adjustRightInd w:val="0"/>
        <w:rPr>
          <w:color w:val="auto"/>
        </w:rPr>
      </w:pPr>
    </w:p>
    <w:p w14:paraId="6609D653" w14:textId="77777777" w:rsidR="006652D2" w:rsidRDefault="006652D2" w:rsidP="002667DD">
      <w:pPr>
        <w:autoSpaceDE w:val="0"/>
        <w:autoSpaceDN w:val="0"/>
        <w:adjustRightInd w:val="0"/>
        <w:rPr>
          <w:color w:val="auto"/>
        </w:rPr>
      </w:pPr>
    </w:p>
    <w:p w14:paraId="4150D187" w14:textId="77777777" w:rsidR="006652D2" w:rsidRDefault="006652D2" w:rsidP="002667DD">
      <w:pPr>
        <w:autoSpaceDE w:val="0"/>
        <w:autoSpaceDN w:val="0"/>
        <w:adjustRightInd w:val="0"/>
        <w:rPr>
          <w:color w:val="auto"/>
        </w:rPr>
      </w:pPr>
    </w:p>
    <w:p w14:paraId="42283E8C" w14:textId="77777777" w:rsidR="006652D2" w:rsidRDefault="006652D2" w:rsidP="002667DD">
      <w:pPr>
        <w:autoSpaceDE w:val="0"/>
        <w:autoSpaceDN w:val="0"/>
        <w:adjustRightInd w:val="0"/>
        <w:rPr>
          <w:color w:val="auto"/>
        </w:rPr>
      </w:pPr>
    </w:p>
    <w:p w14:paraId="66454B51" w14:textId="77777777" w:rsidR="006652D2" w:rsidRDefault="006652D2" w:rsidP="002667DD">
      <w:pPr>
        <w:autoSpaceDE w:val="0"/>
        <w:autoSpaceDN w:val="0"/>
        <w:adjustRightInd w:val="0"/>
        <w:rPr>
          <w:color w:val="auto"/>
        </w:rPr>
      </w:pPr>
    </w:p>
    <w:p w14:paraId="15936AF1" w14:textId="77777777" w:rsidR="006652D2" w:rsidRDefault="006652D2" w:rsidP="002667DD">
      <w:pPr>
        <w:autoSpaceDE w:val="0"/>
        <w:autoSpaceDN w:val="0"/>
        <w:adjustRightInd w:val="0"/>
        <w:rPr>
          <w:color w:val="auto"/>
        </w:rPr>
      </w:pPr>
    </w:p>
    <w:p w14:paraId="1A00607D" w14:textId="77777777" w:rsidR="006652D2" w:rsidRDefault="006652D2" w:rsidP="002667DD">
      <w:pPr>
        <w:autoSpaceDE w:val="0"/>
        <w:autoSpaceDN w:val="0"/>
        <w:adjustRightInd w:val="0"/>
        <w:rPr>
          <w:color w:val="auto"/>
        </w:rPr>
      </w:pPr>
    </w:p>
    <w:p w14:paraId="73DC4C52" w14:textId="77777777" w:rsidR="006652D2" w:rsidRDefault="006652D2" w:rsidP="002667DD">
      <w:pPr>
        <w:autoSpaceDE w:val="0"/>
        <w:autoSpaceDN w:val="0"/>
        <w:adjustRightInd w:val="0"/>
        <w:rPr>
          <w:color w:val="auto"/>
        </w:rPr>
      </w:pPr>
    </w:p>
    <w:p w14:paraId="01C82FFE" w14:textId="77777777" w:rsidR="006652D2" w:rsidRDefault="006652D2" w:rsidP="002667DD">
      <w:pPr>
        <w:autoSpaceDE w:val="0"/>
        <w:autoSpaceDN w:val="0"/>
        <w:adjustRightInd w:val="0"/>
        <w:rPr>
          <w:color w:val="auto"/>
        </w:rPr>
      </w:pPr>
    </w:p>
    <w:p w14:paraId="48C26609" w14:textId="77777777" w:rsidR="006652D2" w:rsidRDefault="006652D2" w:rsidP="002667DD">
      <w:pPr>
        <w:autoSpaceDE w:val="0"/>
        <w:autoSpaceDN w:val="0"/>
        <w:adjustRightInd w:val="0"/>
        <w:rPr>
          <w:color w:val="auto"/>
        </w:rPr>
      </w:pPr>
    </w:p>
    <w:p w14:paraId="499C2DC7" w14:textId="77777777" w:rsidR="006652D2" w:rsidRDefault="006652D2" w:rsidP="002667DD">
      <w:pPr>
        <w:autoSpaceDE w:val="0"/>
        <w:autoSpaceDN w:val="0"/>
        <w:adjustRightInd w:val="0"/>
        <w:rPr>
          <w:color w:val="auto"/>
        </w:rPr>
      </w:pPr>
    </w:p>
    <w:p w14:paraId="79660CDE" w14:textId="77777777" w:rsidR="006652D2" w:rsidRDefault="006652D2" w:rsidP="002667DD">
      <w:pPr>
        <w:autoSpaceDE w:val="0"/>
        <w:autoSpaceDN w:val="0"/>
        <w:adjustRightInd w:val="0"/>
        <w:rPr>
          <w:color w:val="auto"/>
        </w:rPr>
      </w:pPr>
    </w:p>
    <w:p w14:paraId="73FBA95B" w14:textId="77777777" w:rsidR="006652D2" w:rsidRDefault="006652D2" w:rsidP="002667DD">
      <w:pPr>
        <w:autoSpaceDE w:val="0"/>
        <w:autoSpaceDN w:val="0"/>
        <w:adjustRightInd w:val="0"/>
        <w:rPr>
          <w:color w:val="auto"/>
        </w:rPr>
      </w:pPr>
    </w:p>
    <w:p w14:paraId="5859066F" w14:textId="77777777" w:rsidR="006652D2" w:rsidRDefault="006652D2" w:rsidP="002667DD">
      <w:pPr>
        <w:autoSpaceDE w:val="0"/>
        <w:autoSpaceDN w:val="0"/>
        <w:adjustRightInd w:val="0"/>
        <w:rPr>
          <w:color w:val="auto"/>
        </w:rPr>
      </w:pPr>
    </w:p>
    <w:p w14:paraId="65798AF4" w14:textId="77777777" w:rsidR="006652D2" w:rsidRDefault="006652D2" w:rsidP="002667DD">
      <w:pPr>
        <w:autoSpaceDE w:val="0"/>
        <w:autoSpaceDN w:val="0"/>
        <w:adjustRightInd w:val="0"/>
        <w:rPr>
          <w:color w:val="auto"/>
        </w:rPr>
      </w:pPr>
    </w:p>
    <w:p w14:paraId="09988D53" w14:textId="77777777" w:rsidR="002449ED" w:rsidRDefault="002449ED" w:rsidP="002667DD">
      <w:pPr>
        <w:autoSpaceDE w:val="0"/>
        <w:autoSpaceDN w:val="0"/>
        <w:adjustRightInd w:val="0"/>
        <w:rPr>
          <w:color w:val="auto"/>
        </w:rPr>
      </w:pPr>
    </w:p>
    <w:p w14:paraId="087573E4" w14:textId="77777777" w:rsidR="002449ED" w:rsidRDefault="002449ED" w:rsidP="002667DD">
      <w:pPr>
        <w:autoSpaceDE w:val="0"/>
        <w:autoSpaceDN w:val="0"/>
        <w:adjustRightInd w:val="0"/>
        <w:rPr>
          <w:color w:val="auto"/>
        </w:rPr>
      </w:pPr>
    </w:p>
    <w:p w14:paraId="176530AF" w14:textId="77777777" w:rsidR="002449ED" w:rsidRDefault="002449ED" w:rsidP="002667DD">
      <w:pPr>
        <w:autoSpaceDE w:val="0"/>
        <w:autoSpaceDN w:val="0"/>
        <w:adjustRightInd w:val="0"/>
        <w:rPr>
          <w:color w:val="auto"/>
        </w:rPr>
      </w:pPr>
    </w:p>
    <w:p w14:paraId="34BE3B90" w14:textId="77777777" w:rsidR="006652D2" w:rsidRDefault="006652D2" w:rsidP="002667DD">
      <w:pPr>
        <w:autoSpaceDE w:val="0"/>
        <w:autoSpaceDN w:val="0"/>
        <w:adjustRightInd w:val="0"/>
        <w:rPr>
          <w:color w:val="auto"/>
        </w:rPr>
      </w:pPr>
    </w:p>
    <w:p w14:paraId="6AE55DB4" w14:textId="77777777" w:rsidR="003F4B46" w:rsidRDefault="003F4B46" w:rsidP="002667DD">
      <w:pPr>
        <w:autoSpaceDE w:val="0"/>
        <w:autoSpaceDN w:val="0"/>
        <w:adjustRightInd w:val="0"/>
        <w:rPr>
          <w:color w:val="auto"/>
        </w:rPr>
      </w:pPr>
    </w:p>
    <w:p w14:paraId="0936AE41" w14:textId="77777777" w:rsidR="003F4B46" w:rsidRDefault="003F4B46" w:rsidP="002667DD">
      <w:pPr>
        <w:autoSpaceDE w:val="0"/>
        <w:autoSpaceDN w:val="0"/>
        <w:adjustRightInd w:val="0"/>
        <w:rPr>
          <w:color w:val="auto"/>
        </w:rPr>
      </w:pPr>
    </w:p>
    <w:p w14:paraId="3516DB5F" w14:textId="77777777" w:rsidR="003F4B46" w:rsidRDefault="003F4B46" w:rsidP="002667DD">
      <w:pPr>
        <w:autoSpaceDE w:val="0"/>
        <w:autoSpaceDN w:val="0"/>
        <w:adjustRightInd w:val="0"/>
        <w:rPr>
          <w:color w:val="auto"/>
        </w:rPr>
      </w:pPr>
    </w:p>
    <w:p w14:paraId="6AE215DE" w14:textId="77777777" w:rsidR="003F4B46" w:rsidRDefault="003F4B46" w:rsidP="002667DD">
      <w:pPr>
        <w:autoSpaceDE w:val="0"/>
        <w:autoSpaceDN w:val="0"/>
        <w:adjustRightInd w:val="0"/>
        <w:rPr>
          <w:color w:val="auto"/>
        </w:rPr>
      </w:pPr>
    </w:p>
    <w:p w14:paraId="57404327" w14:textId="77777777" w:rsidR="003F4B46" w:rsidRDefault="003F4B46" w:rsidP="002667DD">
      <w:pPr>
        <w:autoSpaceDE w:val="0"/>
        <w:autoSpaceDN w:val="0"/>
        <w:adjustRightInd w:val="0"/>
        <w:rPr>
          <w:color w:val="auto"/>
        </w:rPr>
      </w:pPr>
    </w:p>
    <w:p w14:paraId="25F8F15E" w14:textId="77777777" w:rsidR="003F4B46" w:rsidRDefault="003F4B46" w:rsidP="002667DD">
      <w:pPr>
        <w:autoSpaceDE w:val="0"/>
        <w:autoSpaceDN w:val="0"/>
        <w:adjustRightInd w:val="0"/>
        <w:rPr>
          <w:color w:val="auto"/>
        </w:rPr>
      </w:pPr>
    </w:p>
    <w:p w14:paraId="5A7C22BD" w14:textId="77777777" w:rsidR="003F4B46" w:rsidRDefault="003F4B46" w:rsidP="002667DD">
      <w:pPr>
        <w:autoSpaceDE w:val="0"/>
        <w:autoSpaceDN w:val="0"/>
        <w:adjustRightInd w:val="0"/>
        <w:rPr>
          <w:color w:val="auto"/>
        </w:rPr>
      </w:pPr>
    </w:p>
    <w:p w14:paraId="73CE1E97" w14:textId="77777777" w:rsidR="006652D2" w:rsidRDefault="006652D2" w:rsidP="002667DD">
      <w:pPr>
        <w:autoSpaceDE w:val="0"/>
        <w:autoSpaceDN w:val="0"/>
        <w:adjustRightInd w:val="0"/>
        <w:rPr>
          <w:color w:val="auto"/>
        </w:rPr>
      </w:pPr>
    </w:p>
    <w:p w14:paraId="38784F0D" w14:textId="77777777" w:rsidR="006652D2" w:rsidRDefault="006652D2" w:rsidP="002667DD">
      <w:pPr>
        <w:autoSpaceDE w:val="0"/>
        <w:autoSpaceDN w:val="0"/>
        <w:adjustRightInd w:val="0"/>
        <w:rPr>
          <w:color w:val="auto"/>
        </w:rPr>
      </w:pPr>
    </w:p>
    <w:p w14:paraId="3A6B764E" w14:textId="77777777" w:rsidR="006652D2" w:rsidRDefault="006652D2" w:rsidP="002667DD">
      <w:pPr>
        <w:autoSpaceDE w:val="0"/>
        <w:autoSpaceDN w:val="0"/>
        <w:adjustRightInd w:val="0"/>
        <w:rPr>
          <w:color w:val="auto"/>
        </w:rPr>
      </w:pPr>
    </w:p>
    <w:p w14:paraId="3A9D383D" w14:textId="77777777" w:rsidR="006652D2" w:rsidRPr="00907D9F" w:rsidRDefault="006652D2" w:rsidP="006652D2">
      <w:pPr>
        <w:rPr>
          <w:b/>
          <w:bCs/>
        </w:rPr>
      </w:pPr>
      <w:bookmarkStart w:id="6" w:name="KeyPerformanceIndicators"/>
      <w:r w:rsidRPr="00907D9F">
        <w:rPr>
          <w:b/>
          <w:bCs/>
        </w:rPr>
        <w:t>Key Performance Indicators</w:t>
      </w:r>
    </w:p>
    <w:bookmarkEnd w:id="6"/>
    <w:p w14:paraId="3C835FE4" w14:textId="77777777" w:rsidR="006652D2" w:rsidRPr="00907D9F" w:rsidRDefault="006652D2" w:rsidP="006652D2">
      <w:pPr>
        <w:rPr>
          <w:b/>
          <w:bCs/>
        </w:rPr>
      </w:pPr>
    </w:p>
    <w:p w14:paraId="17027E9B" w14:textId="77777777" w:rsidR="006652D2" w:rsidRPr="00907D9F" w:rsidRDefault="006652D2" w:rsidP="006652D2">
      <w:pPr>
        <w:rPr>
          <w:b/>
          <w:bCs/>
        </w:rPr>
      </w:pPr>
      <w:r w:rsidRPr="54F71CB4">
        <w:rPr>
          <w:b/>
          <w:bCs/>
        </w:rPr>
        <w:t>The Commission prioritising thematic areas or identified issues, improves the understanding of human rights among policy makers and key stakeholders.</w:t>
      </w:r>
    </w:p>
    <w:p w14:paraId="55BFAC71" w14:textId="77777777" w:rsidR="006652D2" w:rsidRPr="00907D9F" w:rsidRDefault="006652D2" w:rsidP="006652D2">
      <w:pPr>
        <w:rPr>
          <w:bCs/>
          <w:i/>
          <w:iCs/>
        </w:rPr>
      </w:pPr>
    </w:p>
    <w:p w14:paraId="3547445E" w14:textId="77777777" w:rsidR="006652D2" w:rsidRPr="00907D9F" w:rsidRDefault="006652D2" w:rsidP="006652D2">
      <w:r w:rsidRPr="00907D9F">
        <w:t xml:space="preserve">Throughout 2023-24 we continued to provide advice to both the NI Executive and UK Government through our participation in a number of </w:t>
      </w:r>
      <w:proofErr w:type="gramStart"/>
      <w:r w:rsidRPr="00907D9F">
        <w:t>policy</w:t>
      </w:r>
      <w:proofErr w:type="gramEnd"/>
      <w:r w:rsidRPr="00907D9F">
        <w:t xml:space="preserve"> working groups. This took place against the backdrop of a NI Assembly which remained suspended until February 2024. For this reason, there was limited ability to engage with devolved political institutions, such as scrutiny committees. Nonetheless, the Commission sought out other opportunities to fulfil our mandate, including leading in the creation of a cross-departmental Treaty Body Working Group.  This new forum enabled us to share expertise and insights on the international human rights reporting system with key officials throughout government.</w:t>
      </w:r>
    </w:p>
    <w:p w14:paraId="0A169169" w14:textId="77777777" w:rsidR="006652D2" w:rsidRPr="00907D9F" w:rsidRDefault="006652D2" w:rsidP="006652D2"/>
    <w:p w14:paraId="1ED512A8" w14:textId="77777777" w:rsidR="006652D2" w:rsidRPr="00907D9F" w:rsidRDefault="006652D2" w:rsidP="006652D2">
      <w:r w:rsidRPr="00907D9F">
        <w:t xml:space="preserve">The Commission continued to provide government and other public authorities advice (upon request or unsolicited) where possible. For example, throughout this year we focused considerable effort on Parliament addressing proposals such as the </w:t>
      </w:r>
      <w:bookmarkStart w:id="7" w:name="_Hlk167827998"/>
      <w:r w:rsidRPr="00907D9F">
        <w:t>NI Troubles (Legacy and Reconciliation) Bill</w:t>
      </w:r>
      <w:bookmarkEnd w:id="7"/>
      <w:r w:rsidRPr="00907D9F">
        <w:t xml:space="preserve">. On this </w:t>
      </w:r>
      <w:proofErr w:type="gramStart"/>
      <w:r w:rsidRPr="00907D9F">
        <w:t>particular subject</w:t>
      </w:r>
      <w:proofErr w:type="gramEnd"/>
      <w:r w:rsidRPr="00907D9F">
        <w:t xml:space="preserve"> we advised that if enacted the legislation would not fulfil the UK Government’s duties under the European Convention on Human Rights or Windsor Framework. The Bill did subsequently </w:t>
      </w:r>
      <w:proofErr w:type="gramStart"/>
      <w:r w:rsidRPr="00907D9F">
        <w:t>pass</w:t>
      </w:r>
      <w:proofErr w:type="gramEnd"/>
      <w:r w:rsidRPr="00907D9F">
        <w:t xml:space="preserve"> and the Commission has since then intervened in a number of legal challenges, reflecting our initial advice concerning incompatibility.</w:t>
      </w:r>
    </w:p>
    <w:p w14:paraId="6F3982A2" w14:textId="77777777" w:rsidR="006652D2" w:rsidRPr="00907D9F" w:rsidRDefault="006652D2" w:rsidP="006652D2"/>
    <w:p w14:paraId="0C556542" w14:textId="77777777" w:rsidR="006652D2" w:rsidRPr="00907D9F" w:rsidRDefault="006652D2" w:rsidP="006652D2">
      <w:r w:rsidRPr="00907D9F">
        <w:t xml:space="preserve">Several key civil society organisations also sought our support during 2023-24. </w:t>
      </w:r>
      <w:proofErr w:type="gramStart"/>
      <w:r w:rsidRPr="00907D9F">
        <w:t>One example,</w:t>
      </w:r>
      <w:proofErr w:type="gramEnd"/>
      <w:r w:rsidRPr="00907D9F">
        <w:t xml:space="preserve"> was a request from the Red Cross in November concerning the rights of asylum-seekers and refugees and the delivery of an information session. </w:t>
      </w:r>
      <w:proofErr w:type="gramStart"/>
      <w:r w:rsidRPr="00907D9F">
        <w:t>Overall</w:t>
      </w:r>
      <w:proofErr w:type="gramEnd"/>
      <w:r w:rsidRPr="00907D9F">
        <w:t xml:space="preserve"> our training and education function remained limited however due to resource constraints. But the Commission prioritised some delivery based on capacity and provided, for example, </w:t>
      </w:r>
      <w:r w:rsidRPr="00CE1E81">
        <w:rPr>
          <w:rFonts w:eastAsiaTheme="minorHAnsi" w:cstheme="minorBidi"/>
          <w:kern w:val="2"/>
          <w14:ligatures w14:val="standardContextual"/>
        </w:rPr>
        <w:t xml:space="preserve">two workshops in partnership with the </w:t>
      </w:r>
      <w:r w:rsidRPr="00907D9F">
        <w:t>NI</w:t>
      </w:r>
      <w:r w:rsidRPr="00CE1E81">
        <w:rPr>
          <w:rFonts w:eastAsiaTheme="minorHAnsi" w:cstheme="minorBidi"/>
          <w:kern w:val="2"/>
          <w14:ligatures w14:val="standardContextual"/>
        </w:rPr>
        <w:t xml:space="preserve"> Civil Service for </w:t>
      </w:r>
      <w:r w:rsidRPr="00907D9F">
        <w:t xml:space="preserve">those </w:t>
      </w:r>
      <w:r w:rsidRPr="00CE1E81">
        <w:rPr>
          <w:rFonts w:eastAsiaTheme="minorHAnsi" w:cstheme="minorBidi"/>
          <w:kern w:val="2"/>
          <w14:ligatures w14:val="standardContextual"/>
        </w:rPr>
        <w:t xml:space="preserve">officials with responsibility for developing policy and legislation. </w:t>
      </w:r>
      <w:r w:rsidRPr="00CE1E81">
        <w:rPr>
          <w:lang w:eastAsia="en-GB"/>
        </w:rPr>
        <w:t xml:space="preserve">In October our staff </w:t>
      </w:r>
      <w:r w:rsidRPr="00907D9F">
        <w:rPr>
          <w:lang w:eastAsia="en-GB"/>
        </w:rPr>
        <w:t xml:space="preserve">also </w:t>
      </w:r>
      <w:r w:rsidRPr="00CE1E81">
        <w:rPr>
          <w:lang w:eastAsia="en-GB"/>
        </w:rPr>
        <w:t>met with the NI Executive Office Good Relations team to produce a series of new human rights awareness raising leaflets. These have been distributed through the Together: Building a United Community camps and council Good Relations Officers to approx</w:t>
      </w:r>
      <w:r w:rsidRPr="00907D9F">
        <w:rPr>
          <w:lang w:eastAsia="en-GB"/>
        </w:rPr>
        <w:t>imately</w:t>
      </w:r>
      <w:r w:rsidRPr="00CE1E81">
        <w:rPr>
          <w:lang w:eastAsia="en-GB"/>
        </w:rPr>
        <w:t xml:space="preserve"> 30,000 young people.</w:t>
      </w:r>
    </w:p>
    <w:p w14:paraId="431A57BD" w14:textId="77777777" w:rsidR="006652D2" w:rsidRPr="00907D9F" w:rsidRDefault="006652D2" w:rsidP="006652D2"/>
    <w:p w14:paraId="66A876EF" w14:textId="77777777" w:rsidR="00F81D73" w:rsidRDefault="00F81D73" w:rsidP="54F71CB4">
      <w:pPr>
        <w:rPr>
          <w:b/>
          <w:bCs/>
        </w:rPr>
      </w:pPr>
    </w:p>
    <w:p w14:paraId="3DB4EE6A" w14:textId="77777777" w:rsidR="00F81D73" w:rsidRDefault="00F81D73" w:rsidP="54F71CB4">
      <w:pPr>
        <w:rPr>
          <w:b/>
          <w:bCs/>
        </w:rPr>
      </w:pPr>
    </w:p>
    <w:p w14:paraId="279E6492" w14:textId="77777777" w:rsidR="00F81D73" w:rsidRDefault="00F81D73" w:rsidP="54F71CB4">
      <w:pPr>
        <w:rPr>
          <w:b/>
          <w:bCs/>
        </w:rPr>
      </w:pPr>
    </w:p>
    <w:p w14:paraId="3F3C5CD2" w14:textId="77777777" w:rsidR="003F4B46" w:rsidRDefault="003F4B46" w:rsidP="54F71CB4">
      <w:pPr>
        <w:rPr>
          <w:b/>
          <w:bCs/>
        </w:rPr>
      </w:pPr>
    </w:p>
    <w:p w14:paraId="085EA109" w14:textId="77777777" w:rsidR="00F81D73" w:rsidRDefault="00F81D73" w:rsidP="54F71CB4">
      <w:pPr>
        <w:rPr>
          <w:b/>
          <w:bCs/>
        </w:rPr>
      </w:pPr>
    </w:p>
    <w:p w14:paraId="309245E2" w14:textId="77777777" w:rsidR="00F81D73" w:rsidRDefault="00F81D73" w:rsidP="54F71CB4">
      <w:pPr>
        <w:rPr>
          <w:b/>
          <w:bCs/>
        </w:rPr>
      </w:pPr>
    </w:p>
    <w:p w14:paraId="64A4C16E" w14:textId="1CA2E75B" w:rsidR="006652D2" w:rsidRPr="00907D9F" w:rsidRDefault="006652D2" w:rsidP="006652D2">
      <w:pPr>
        <w:rPr>
          <w:b/>
        </w:rPr>
      </w:pPr>
      <w:r w:rsidRPr="00907D9F">
        <w:rPr>
          <w:b/>
        </w:rPr>
        <w:t>Law and policy makers at all levels, consider and address the human rights impacts the Commission identifies through our advice, research, investigations and reports to the United Nations and Council of Europe.</w:t>
      </w:r>
    </w:p>
    <w:p w14:paraId="1F9D75A6" w14:textId="77777777" w:rsidR="006652D2" w:rsidRPr="00907D9F" w:rsidRDefault="006652D2" w:rsidP="006652D2">
      <w:pPr>
        <w:rPr>
          <w:bCs/>
          <w:i/>
          <w:iCs/>
        </w:rPr>
      </w:pPr>
    </w:p>
    <w:p w14:paraId="76B72F3A" w14:textId="77777777" w:rsidR="006652D2" w:rsidRPr="00CE1E81" w:rsidRDefault="006652D2" w:rsidP="006652D2">
      <w:pPr>
        <w:rPr>
          <w:rFonts w:eastAsia="Calibri" w:cs="Calibri"/>
        </w:rPr>
      </w:pPr>
      <w:r w:rsidRPr="00907D9F">
        <w:t xml:space="preserve">In 2023-24 the Commission’s </w:t>
      </w:r>
      <w:bookmarkStart w:id="8" w:name="_Hlk164420627"/>
      <w:r w:rsidRPr="00907D9F">
        <w:t xml:space="preserve">advice and recommendations were reflected in </w:t>
      </w:r>
      <w:proofErr w:type="gramStart"/>
      <w:r w:rsidRPr="00907D9F">
        <w:t>a number of</w:t>
      </w:r>
      <w:proofErr w:type="gramEnd"/>
      <w:r w:rsidRPr="00907D9F">
        <w:t xml:space="preserve"> legislative and policy development processes</w:t>
      </w:r>
      <w:bookmarkEnd w:id="8"/>
      <w:r w:rsidRPr="00907D9F">
        <w:t xml:space="preserve">. For example, we advised on the need for the Education (Curriculum Minimum Content) Order (Northern Ireland) 2007 to be amended to include comprehensive relationship and sex education. This followed the publication of our </w:t>
      </w:r>
      <w:proofErr w:type="gramStart"/>
      <w:r w:rsidRPr="00907D9F">
        <w:t>investigation</w:t>
      </w:r>
      <w:proofErr w:type="gramEnd"/>
      <w:r w:rsidRPr="00907D9F">
        <w:t xml:space="preserve"> and we welcomed the issuing of r</w:t>
      </w:r>
      <w:r w:rsidRPr="00907D9F">
        <w:rPr>
          <w:rFonts w:eastAsia="Calibri" w:cs="Calibri"/>
        </w:rPr>
        <w:t>egulations by the Secretary of State which amended the Minimum Content Order.</w:t>
      </w:r>
      <w:r w:rsidRPr="00CE1E81">
        <w:rPr>
          <w:rFonts w:eastAsia="Calibri" w:cs="Calibri"/>
        </w:rPr>
        <w:t xml:space="preserve"> </w:t>
      </w:r>
    </w:p>
    <w:p w14:paraId="6C9BC0AC" w14:textId="77777777" w:rsidR="006652D2" w:rsidRPr="00CE1E81" w:rsidRDefault="006652D2" w:rsidP="006652D2">
      <w:pPr>
        <w:rPr>
          <w:rFonts w:eastAsia="Calibri" w:cs="Calibri"/>
        </w:rPr>
      </w:pPr>
    </w:p>
    <w:p w14:paraId="2E3B8963" w14:textId="77777777" w:rsidR="006652D2" w:rsidRPr="00907D9F" w:rsidRDefault="006652D2" w:rsidP="006652D2">
      <w:r w:rsidRPr="00907D9F">
        <w:t>Within Parliament, advice was provided on the Safety of Rwanda Bill and this work was reflected in amendments agreed in the House of Lords and referenced in debates at second reading, committee and report stages. A</w:t>
      </w:r>
      <w:r w:rsidRPr="00CE1E81">
        <w:t xml:space="preserve">dvice </w:t>
      </w:r>
      <w:r w:rsidRPr="00907D9F">
        <w:t xml:space="preserve">on Windsor Framework Article 2 </w:t>
      </w:r>
      <w:r w:rsidRPr="00CE1E81">
        <w:t xml:space="preserve">was </w:t>
      </w:r>
      <w:r w:rsidRPr="00907D9F">
        <w:t xml:space="preserve">subsequently </w:t>
      </w:r>
      <w:r w:rsidRPr="00CE1E81">
        <w:t>reflected in</w:t>
      </w:r>
      <w:r w:rsidRPr="00907D9F">
        <w:t xml:space="preserve"> inquiry reports and correspondence. For example, the House of Lords EU Affairs Sub-Committee on the Windsor Framework wrote three times to Ministers regarding the Illegal Migration Act, referencing concerns raised by Commission. Other examples include correspondence on the Retained EU Law Bill by the same </w:t>
      </w:r>
      <w:r w:rsidRPr="00CE1E81">
        <w:t>Committee and</w:t>
      </w:r>
      <w:r w:rsidRPr="00907D9F">
        <w:t xml:space="preserve"> the Report on the Safety of Rwanda Bill published by the Joint Committee on Human Rights.</w:t>
      </w:r>
      <w:r w:rsidRPr="00907D9F">
        <w:br/>
      </w:r>
    </w:p>
    <w:p w14:paraId="3D125B07" w14:textId="77777777" w:rsidR="006652D2" w:rsidRPr="00907D9F" w:rsidRDefault="006652D2" w:rsidP="006652D2">
      <w:r w:rsidRPr="00907D9F">
        <w:t xml:space="preserve">One of the important measures of a properly functioning National Human Rights Institution is its engagement with the UN and Council of Europe treaty </w:t>
      </w:r>
      <w:r w:rsidRPr="00CE1E81">
        <w:t>report</w:t>
      </w:r>
      <w:r w:rsidRPr="00907D9F">
        <w:t>ing processes. Throughout 2023-24 the effectiveness of our work in this area was reflected in concluding observations, reports and activities of relevant treaty bodies and the activities of Special Rapporteurs.</w:t>
      </w:r>
    </w:p>
    <w:p w14:paraId="043B0100" w14:textId="77777777" w:rsidR="006652D2" w:rsidRPr="00907D9F" w:rsidRDefault="006652D2" w:rsidP="006652D2">
      <w:pPr>
        <w:pStyle w:val="ListParagraph"/>
      </w:pPr>
    </w:p>
    <w:p w14:paraId="66A20E3A" w14:textId="77777777" w:rsidR="006652D2" w:rsidRPr="00907D9F" w:rsidRDefault="006652D2" w:rsidP="006652D2">
      <w:r w:rsidRPr="00907D9F">
        <w:t xml:space="preserve">In March 2024 the report of the Independent Expert on Protection against Violence and Discrimination based on Sexual Orientation and Gender Identity visit to the UK was published. The Independent Expert acknowledged the role of the Commission in advising government on policy and law reform measures relating to sexual orientation and gender identity. </w:t>
      </w:r>
    </w:p>
    <w:p w14:paraId="7208ADDF" w14:textId="77777777" w:rsidR="006652D2" w:rsidRPr="00CE1E81" w:rsidRDefault="006652D2" w:rsidP="006652D2">
      <w:pPr>
        <w:pStyle w:val="ListParagraph"/>
      </w:pPr>
    </w:p>
    <w:p w14:paraId="520325F1" w14:textId="77777777" w:rsidR="006652D2" w:rsidRPr="00CE1E81" w:rsidRDefault="006652D2" w:rsidP="006652D2">
      <w:r w:rsidRPr="00CE1E81">
        <w:t xml:space="preserve">In June </w:t>
      </w:r>
      <w:r w:rsidRPr="00907D9F">
        <w:t>2023</w:t>
      </w:r>
      <w:r w:rsidRPr="00CE1E81">
        <w:t xml:space="preserve"> the UN Committee on the Rights of the Child published its report on the UK. The Committee’s recommendations reflected </w:t>
      </w:r>
      <w:proofErr w:type="gramStart"/>
      <w:r w:rsidRPr="00CE1E81">
        <w:t>a number of</w:t>
      </w:r>
      <w:proofErr w:type="gramEnd"/>
      <w:r w:rsidRPr="00CE1E81">
        <w:t xml:space="preserve"> key issues raised by the Commission, including recommendations relating to the age of criminal responsibility, reasonable chastisement and protecting children from harm. </w:t>
      </w:r>
    </w:p>
    <w:p w14:paraId="5DD377F9" w14:textId="77777777" w:rsidR="006652D2" w:rsidRPr="00CE1E81" w:rsidRDefault="006652D2" w:rsidP="006652D2"/>
    <w:p w14:paraId="14AE7B1A" w14:textId="77777777" w:rsidR="006652D2" w:rsidRPr="00CE1E81" w:rsidRDefault="006652D2" w:rsidP="006652D2">
      <w:r w:rsidRPr="00CE1E81">
        <w:t>The Commission’</w:t>
      </w:r>
      <w:r w:rsidRPr="00907D9F">
        <w:t>s</w:t>
      </w:r>
      <w:r w:rsidRPr="00CE1E81">
        <w:t xml:space="preserve"> standing was also reflected in the number of international</w:t>
      </w:r>
      <w:r w:rsidRPr="00907D9F">
        <w:t xml:space="preserve"> organisations and networks </w:t>
      </w:r>
      <w:r w:rsidRPr="00CE1E81">
        <w:t xml:space="preserve">that </w:t>
      </w:r>
      <w:r w:rsidRPr="00907D9F">
        <w:t xml:space="preserve">continued to seek </w:t>
      </w:r>
      <w:r w:rsidRPr="00CE1E81">
        <w:t xml:space="preserve">our </w:t>
      </w:r>
      <w:r w:rsidRPr="00907D9F">
        <w:t>advice and input</w:t>
      </w:r>
      <w:r w:rsidRPr="00CE1E81">
        <w:t xml:space="preserve">. </w:t>
      </w:r>
      <w:r w:rsidRPr="00907D9F">
        <w:t xml:space="preserve">In this year we facilitated visits from the Council of </w:t>
      </w:r>
      <w:r w:rsidRPr="00CE1E81">
        <w:t>Europe</w:t>
      </w:r>
      <w:r w:rsidRPr="00907D9F">
        <w:t>’s Committee of Experts for the European Charter for Regional or Minority Languages and the Committee of Experts for the Convention on preventing and combating violence against women and domestic violence. In addition, we provided a briefing to the UN Special Rapporteur on Violence against Women, gave evidence to a Committee of the European Parliament on our mandate under the Windsor Framework and briefed officials from the EU Delegation to the UK.</w:t>
      </w:r>
    </w:p>
    <w:p w14:paraId="04B560A7" w14:textId="77777777" w:rsidR="006652D2" w:rsidRPr="00907D9F" w:rsidRDefault="006652D2" w:rsidP="006652D2"/>
    <w:p w14:paraId="3D498FBB" w14:textId="526F73E3" w:rsidR="006652D2" w:rsidRPr="00907D9F" w:rsidRDefault="006652D2" w:rsidP="54F71CB4">
      <w:pPr>
        <w:rPr>
          <w:rFonts w:cstheme="minorBidi"/>
          <w:b/>
          <w:bCs/>
        </w:rPr>
      </w:pPr>
      <w:r w:rsidRPr="54F71CB4">
        <w:rPr>
          <w:rFonts w:cstheme="minorBidi"/>
          <w:b/>
          <w:bCs/>
        </w:rPr>
        <w:t xml:space="preserve">The </w:t>
      </w:r>
      <w:r w:rsidR="00446515" w:rsidRPr="54F71CB4">
        <w:rPr>
          <w:rFonts w:cstheme="minorBidi"/>
          <w:b/>
          <w:bCs/>
        </w:rPr>
        <w:t xml:space="preserve">Commission’s </w:t>
      </w:r>
      <w:r w:rsidRPr="54F71CB4">
        <w:rPr>
          <w:rFonts w:cstheme="minorBidi"/>
          <w:b/>
          <w:bCs/>
        </w:rPr>
        <w:t xml:space="preserve">promotional activities </w:t>
      </w:r>
      <w:proofErr w:type="gramStart"/>
      <w:r w:rsidRPr="54F71CB4">
        <w:rPr>
          <w:rFonts w:cstheme="minorBidi"/>
          <w:b/>
          <w:bCs/>
        </w:rPr>
        <w:t>increases</w:t>
      </w:r>
      <w:proofErr w:type="gramEnd"/>
      <w:r w:rsidRPr="54F71CB4">
        <w:rPr>
          <w:rFonts w:cstheme="minorBidi"/>
          <w:b/>
          <w:bCs/>
        </w:rPr>
        <w:t xml:space="preserve"> understanding and awareness of human rights in Northern Ireland.</w:t>
      </w:r>
    </w:p>
    <w:p w14:paraId="4A1BC117" w14:textId="77777777" w:rsidR="006652D2" w:rsidRPr="00CE1E81" w:rsidRDefault="006652D2" w:rsidP="006652D2">
      <w:pPr>
        <w:ind w:left="709"/>
        <w:rPr>
          <w:rFonts w:cstheme="minorHAnsi"/>
          <w:bCs/>
        </w:rPr>
      </w:pPr>
    </w:p>
    <w:p w14:paraId="25CB6620" w14:textId="77777777" w:rsidR="006652D2" w:rsidRPr="00CE1E81" w:rsidRDefault="006652D2" w:rsidP="006652D2">
      <w:r w:rsidRPr="00CE1E81">
        <w:t xml:space="preserve">The Commission’s work featured in over 550 broadcast and print media mentions </w:t>
      </w:r>
      <w:r w:rsidRPr="00907D9F">
        <w:t>during the</w:t>
      </w:r>
      <w:r w:rsidRPr="00CE1E81">
        <w:t xml:space="preserve"> year. This resulted in a reach of over 65 million </w:t>
      </w:r>
      <w:r w:rsidRPr="00907D9F">
        <w:t xml:space="preserve">people engaged </w:t>
      </w:r>
      <w:r w:rsidRPr="00CE1E81">
        <w:t xml:space="preserve">through local, UK and global media outlets. Issues highlighted included </w:t>
      </w:r>
      <w:r w:rsidRPr="00907D9F">
        <w:t xml:space="preserve">our work on the </w:t>
      </w:r>
      <w:r w:rsidRPr="00CE1E81">
        <w:t xml:space="preserve">Illegal Migration Act, </w:t>
      </w:r>
      <w:r w:rsidRPr="00907D9F">
        <w:t>the NI Troubles (Legacy and Reconciliation) Bill</w:t>
      </w:r>
      <w:r w:rsidRPr="00CE1E81">
        <w:t xml:space="preserve">, </w:t>
      </w:r>
      <w:r w:rsidRPr="00907D9F">
        <w:t>relationship</w:t>
      </w:r>
      <w:r w:rsidRPr="00CE1E81">
        <w:t xml:space="preserve"> </w:t>
      </w:r>
      <w:r w:rsidRPr="00907D9F">
        <w:t>and s</w:t>
      </w:r>
      <w:r w:rsidRPr="00CE1E81">
        <w:t xml:space="preserve">ex </w:t>
      </w:r>
      <w:r w:rsidRPr="00907D9F">
        <w:t>e</w:t>
      </w:r>
      <w:r w:rsidRPr="00CE1E81">
        <w:t xml:space="preserve">ducation </w:t>
      </w:r>
      <w:r w:rsidRPr="00907D9F">
        <w:t xml:space="preserve">in schools </w:t>
      </w:r>
      <w:r w:rsidRPr="00CE1E81">
        <w:t xml:space="preserve">and </w:t>
      </w:r>
      <w:r w:rsidRPr="00907D9F">
        <w:t>the issue of p</w:t>
      </w:r>
      <w:r w:rsidRPr="00CE1E81">
        <w:t xml:space="preserve">rotecting </w:t>
      </w:r>
      <w:r w:rsidRPr="00907D9F">
        <w:t>h</w:t>
      </w:r>
      <w:r w:rsidRPr="00CE1E81">
        <w:t xml:space="preserve">uman </w:t>
      </w:r>
      <w:r w:rsidRPr="00907D9F">
        <w:t>r</w:t>
      </w:r>
      <w:r w:rsidRPr="00CE1E81">
        <w:t xml:space="preserve">ights </w:t>
      </w:r>
      <w:r w:rsidRPr="00907D9F">
        <w:t>in NI a</w:t>
      </w:r>
      <w:r w:rsidRPr="00CE1E81">
        <w:t xml:space="preserve">fter </w:t>
      </w:r>
      <w:r w:rsidRPr="00907D9F">
        <w:t>the UK withdrawal from the EU</w:t>
      </w:r>
      <w:r w:rsidRPr="00CE1E81">
        <w:t>.</w:t>
      </w:r>
    </w:p>
    <w:p w14:paraId="07199A24" w14:textId="77777777" w:rsidR="006652D2" w:rsidRPr="00907D9F" w:rsidRDefault="006652D2" w:rsidP="006652D2"/>
    <w:p w14:paraId="7C3B199C" w14:textId="77777777" w:rsidR="006652D2" w:rsidRPr="00907D9F" w:rsidRDefault="006652D2" w:rsidP="006652D2">
      <w:r w:rsidRPr="00907D9F">
        <w:t xml:space="preserve">The Commission also maintained a significant level of </w:t>
      </w:r>
      <w:r w:rsidRPr="00CE1E81">
        <w:t>social media engagement</w:t>
      </w:r>
      <w:r w:rsidRPr="00907D9F">
        <w:t>.</w:t>
      </w:r>
      <w:r w:rsidRPr="00CE1E81">
        <w:t xml:space="preserve"> We issued over 700 posts via our platforms on X, Facebook and LinkedIn. The posts resulted in over 5,500 reactions. During the year we also utilised social media to promote the Commission’s podcast series. This included features with the Trussel Trust on International Day of Eradication of Poverty and Foyle Women’s Aid to mark the International Day for the Elimination of Violence Against Women.</w:t>
      </w:r>
      <w:r w:rsidRPr="00907D9F">
        <w:br/>
      </w:r>
    </w:p>
    <w:p w14:paraId="02528144" w14:textId="77777777" w:rsidR="006652D2" w:rsidRPr="00CE1E81" w:rsidRDefault="006652D2" w:rsidP="006652D2">
      <w:pPr>
        <w:rPr>
          <w:rFonts w:eastAsia="Aptos" w:cs="Aptos"/>
        </w:rPr>
      </w:pPr>
      <w:r w:rsidRPr="00907D9F">
        <w:t>The level of engagement with public facing events remained high.</w:t>
      </w:r>
      <w:r w:rsidRPr="00CE1E81">
        <w:rPr>
          <w:rFonts w:eastAsia="Aptos" w:cs="Aptos"/>
        </w:rPr>
        <w:t xml:space="preserve"> This </w:t>
      </w:r>
      <w:proofErr w:type="gramStart"/>
      <w:r w:rsidRPr="00CE1E81">
        <w:rPr>
          <w:rFonts w:eastAsia="Aptos" w:cs="Aptos"/>
        </w:rPr>
        <w:t>included,</w:t>
      </w:r>
      <w:proofErr w:type="gramEnd"/>
      <w:r w:rsidRPr="00CE1E81">
        <w:rPr>
          <w:rFonts w:eastAsia="Aptos" w:cs="Aptos"/>
        </w:rPr>
        <w:t xml:space="preserve"> participation in the Great Refugee Picnic to mark Refugee Week NI, and Pride Village 2023.  We also hosted </w:t>
      </w:r>
      <w:proofErr w:type="gramStart"/>
      <w:r w:rsidRPr="00CE1E81">
        <w:rPr>
          <w:rFonts w:eastAsia="Aptos" w:cs="Aptos"/>
        </w:rPr>
        <w:t>a number of</w:t>
      </w:r>
      <w:proofErr w:type="gramEnd"/>
      <w:r w:rsidRPr="00CE1E81">
        <w:rPr>
          <w:rFonts w:eastAsia="Aptos" w:cs="Aptos"/>
        </w:rPr>
        <w:t xml:space="preserve"> events in year including an Annual Lecture with the UN Refugee Agency’s Assistant High Commissioner for Protection, Gillian Triggs in partnership with the Bar of Northern Ireland. </w:t>
      </w:r>
      <w:proofErr w:type="gramStart"/>
      <w:r w:rsidRPr="00CE1E81">
        <w:rPr>
          <w:rFonts w:eastAsia="Aptos" w:cs="Aptos"/>
        </w:rPr>
        <w:t>Our  Annual</w:t>
      </w:r>
      <w:proofErr w:type="gramEnd"/>
      <w:r w:rsidRPr="00CE1E81">
        <w:rPr>
          <w:rFonts w:eastAsia="Aptos" w:cs="Aptos"/>
        </w:rPr>
        <w:t xml:space="preserve"> Statement continued to be supported by the Speaker of the NI Assembly and we invited key stakeholders to a reception in the Commission to mark our 25</w:t>
      </w:r>
      <w:r w:rsidRPr="00CE1E81">
        <w:rPr>
          <w:rFonts w:eastAsia="Aptos" w:cs="Aptos"/>
          <w:vertAlign w:val="superscript"/>
        </w:rPr>
        <w:t>th</w:t>
      </w:r>
      <w:r w:rsidRPr="00CE1E81">
        <w:rPr>
          <w:rFonts w:eastAsia="Aptos" w:cs="Aptos"/>
        </w:rPr>
        <w:t xml:space="preserve"> Anniversary.</w:t>
      </w:r>
    </w:p>
    <w:p w14:paraId="3235D077" w14:textId="77777777" w:rsidR="006652D2" w:rsidRPr="00CE1E81" w:rsidRDefault="006652D2" w:rsidP="006652D2">
      <w:pPr>
        <w:rPr>
          <w:rFonts w:eastAsia="Aptos" w:cs="Aptos"/>
        </w:rPr>
      </w:pPr>
    </w:p>
    <w:p w14:paraId="558B3900" w14:textId="77777777" w:rsidR="006652D2" w:rsidRPr="00CE1E81" w:rsidRDefault="006652D2" w:rsidP="006652D2">
      <w:pPr>
        <w:rPr>
          <w:rFonts w:eastAsia="Aptos" w:cs="Aptos"/>
        </w:rPr>
      </w:pPr>
      <w:r w:rsidRPr="00CE1E81">
        <w:rPr>
          <w:rFonts w:eastAsia="Aptos" w:cs="Aptos"/>
        </w:rPr>
        <w:t xml:space="preserve">Several research reports were published during the year, including the investigation into relationship and sex education in post primary schools. Through our work protecting human rights after EU withdrawal, the Commission participated with our counterparts in Ireland (Irish Human Rights and Equality Commission) and the Equality Commission NI in hosting an event which considered the issue of divergence of rights on the island of Ireland. We also launched our Annual Report on the work of the Windsor Framework and published research on frontier workers and the rights of refugees and asylum-seekers. An event in Brussels on our mandate post EU Withdrawal attracted MEPs and officials from </w:t>
      </w:r>
      <w:proofErr w:type="gramStart"/>
      <w:r w:rsidRPr="00CE1E81">
        <w:rPr>
          <w:rFonts w:eastAsia="Aptos" w:cs="Aptos"/>
        </w:rPr>
        <w:t>a number of</w:t>
      </w:r>
      <w:proofErr w:type="gramEnd"/>
      <w:r w:rsidRPr="00CE1E81">
        <w:rPr>
          <w:rFonts w:eastAsia="Aptos" w:cs="Aptos"/>
        </w:rPr>
        <w:t xml:space="preserve"> the EU institutions.</w:t>
      </w:r>
    </w:p>
    <w:p w14:paraId="5916A8B0" w14:textId="77777777" w:rsidR="006652D2" w:rsidRPr="00CE1E81" w:rsidRDefault="006652D2" w:rsidP="006652D2">
      <w:pPr>
        <w:rPr>
          <w:rFonts w:eastAsia="Aptos" w:cs="Aptos"/>
        </w:rPr>
      </w:pPr>
    </w:p>
    <w:p w14:paraId="55525329" w14:textId="77777777" w:rsidR="006652D2" w:rsidRPr="00907D9F" w:rsidRDefault="006652D2" w:rsidP="006652D2">
      <w:pPr>
        <w:rPr>
          <w:rFonts w:eastAsia="Aptos" w:cs="Aptos"/>
          <w:b/>
          <w:bCs/>
        </w:rPr>
      </w:pPr>
      <w:r w:rsidRPr="00CE1E81">
        <w:rPr>
          <w:rFonts w:eastAsia="Aptos" w:cs="Aptos"/>
        </w:rPr>
        <w:t>The Commission recorded over 500 stakeholder organisations attending our events during the year representing the public, private and voluntary sectors.</w:t>
      </w:r>
    </w:p>
    <w:p w14:paraId="524D22F6" w14:textId="77777777" w:rsidR="006652D2" w:rsidRPr="00CE1E81" w:rsidRDefault="006652D2" w:rsidP="006652D2"/>
    <w:p w14:paraId="744313C0" w14:textId="77777777" w:rsidR="006652D2" w:rsidRPr="00907D9F" w:rsidRDefault="006652D2" w:rsidP="006652D2">
      <w:r w:rsidRPr="00CE1E81">
        <w:t xml:space="preserve">The Commission’s website had over 50,000 page views. The most viewed pages generally mirrored </w:t>
      </w:r>
      <w:r w:rsidRPr="00907D9F">
        <w:t>our</w:t>
      </w:r>
      <w:r w:rsidRPr="00CE1E81">
        <w:t xml:space="preserve"> communication statements. </w:t>
      </w:r>
      <w:r w:rsidRPr="00907D9F">
        <w:t>Throughout the year, our</w:t>
      </w:r>
      <w:r w:rsidRPr="00CE1E81">
        <w:t xml:space="preserve"> Protecting Human Rights after Brexit Section, the </w:t>
      </w:r>
      <w:r w:rsidRPr="00907D9F">
        <w:t xml:space="preserve">published </w:t>
      </w:r>
      <w:r w:rsidRPr="00CE1E81">
        <w:t xml:space="preserve">Illegal Migration Fact Sheet and the </w:t>
      </w:r>
      <w:r w:rsidRPr="00907D9F">
        <w:t>Relationship and Sex Education</w:t>
      </w:r>
      <w:r w:rsidRPr="00CE1E81">
        <w:t xml:space="preserve"> Report </w:t>
      </w:r>
      <w:r w:rsidRPr="00907D9F">
        <w:t xml:space="preserve">where the most popular </w:t>
      </w:r>
      <w:r w:rsidRPr="00CE1E81">
        <w:t>page views.</w:t>
      </w:r>
    </w:p>
    <w:p w14:paraId="4C59AB87" w14:textId="77777777" w:rsidR="006652D2" w:rsidRPr="00907D9F" w:rsidRDefault="006652D2" w:rsidP="006652D2"/>
    <w:p w14:paraId="271640C6" w14:textId="77777777" w:rsidR="006652D2" w:rsidRPr="00CE1E81" w:rsidRDefault="006652D2" w:rsidP="006652D2">
      <w:r w:rsidRPr="00907D9F">
        <w:rPr>
          <w:rStyle w:val="normaltextrun"/>
          <w:rFonts w:cs="Segoe UI"/>
        </w:rPr>
        <w:t>A survey commissioned by ECNI showed that in 2023, 70% of respondents were aware that the Windsor Framework addresses human rights and equality, compared to 53% in 2022. 60% indicated that they were aware that the Commissions could provide legal assistance in this regard, up from 47% in 2022.</w:t>
      </w:r>
    </w:p>
    <w:p w14:paraId="1BBFA088" w14:textId="77777777" w:rsidR="006652D2" w:rsidRPr="00907D9F" w:rsidRDefault="006652D2" w:rsidP="006652D2">
      <w:pPr>
        <w:rPr>
          <w:b/>
        </w:rPr>
      </w:pPr>
    </w:p>
    <w:p w14:paraId="217E4884" w14:textId="697CD822" w:rsidR="006652D2" w:rsidRPr="00907D9F" w:rsidRDefault="006652D2" w:rsidP="54F71CB4">
      <w:pPr>
        <w:rPr>
          <w:b/>
          <w:bCs/>
        </w:rPr>
      </w:pPr>
      <w:r w:rsidRPr="54F71CB4">
        <w:rPr>
          <w:b/>
          <w:bCs/>
        </w:rPr>
        <w:t>The Commission</w:t>
      </w:r>
      <w:r w:rsidR="00446515" w:rsidRPr="54F71CB4">
        <w:rPr>
          <w:b/>
          <w:bCs/>
        </w:rPr>
        <w:t>’s</w:t>
      </w:r>
      <w:r w:rsidRPr="54F71CB4">
        <w:rPr>
          <w:b/>
          <w:bCs/>
        </w:rPr>
        <w:t xml:space="preserve"> education activities </w:t>
      </w:r>
      <w:proofErr w:type="gramStart"/>
      <w:r w:rsidRPr="54F71CB4">
        <w:rPr>
          <w:b/>
          <w:bCs/>
        </w:rPr>
        <w:t>increases</w:t>
      </w:r>
      <w:proofErr w:type="gramEnd"/>
      <w:r w:rsidRPr="54F71CB4">
        <w:rPr>
          <w:b/>
          <w:bCs/>
        </w:rPr>
        <w:t xml:space="preserve"> the capability of individuals, communities and organisations to promote and protect human rights.</w:t>
      </w:r>
    </w:p>
    <w:p w14:paraId="04B0B1E5" w14:textId="77777777" w:rsidR="006652D2" w:rsidRPr="00907D9F" w:rsidRDefault="006652D2" w:rsidP="006652D2">
      <w:pPr>
        <w:rPr>
          <w:bCs/>
          <w:i/>
          <w:iCs/>
        </w:rPr>
      </w:pPr>
    </w:p>
    <w:p w14:paraId="09A54BAD" w14:textId="77777777" w:rsidR="006652D2" w:rsidRPr="00907D9F" w:rsidRDefault="006652D2" w:rsidP="006652D2">
      <w:pPr>
        <w:rPr>
          <w:rFonts w:eastAsia="Aptos" w:cs="Aptos"/>
        </w:rPr>
      </w:pPr>
      <w:r w:rsidRPr="00907D9F">
        <w:t xml:space="preserve">With limited resources to support education activities </w:t>
      </w:r>
      <w:r w:rsidRPr="00CE1E81">
        <w:rPr>
          <w:rFonts w:eastAsia="Aptos" w:cs="Aptos"/>
        </w:rPr>
        <w:t xml:space="preserve">the Commission delivered a series of workshops to post primary schools across </w:t>
      </w:r>
      <w:r w:rsidRPr="00907D9F">
        <w:t>NI</w:t>
      </w:r>
      <w:r w:rsidRPr="00CE1E81">
        <w:rPr>
          <w:rFonts w:eastAsia="Aptos" w:cs="Aptos"/>
        </w:rPr>
        <w:t xml:space="preserve"> throughout 2023-24. These had a wide geographical reach and included en</w:t>
      </w:r>
      <w:r w:rsidRPr="00907D9F">
        <w:rPr>
          <w:rFonts w:eastAsia="Aptos" w:cs="Aptos"/>
        </w:rPr>
        <w:t>g</w:t>
      </w:r>
      <w:r w:rsidRPr="00CE1E81">
        <w:rPr>
          <w:rFonts w:eastAsia="Aptos" w:cs="Aptos"/>
        </w:rPr>
        <w:t xml:space="preserve">agements with children and young people in Derry/Londonderry, Omagh, Belfast and </w:t>
      </w:r>
      <w:proofErr w:type="spellStart"/>
      <w:r w:rsidRPr="00CE1E81">
        <w:rPr>
          <w:rFonts w:eastAsia="Aptos" w:cs="Aptos"/>
        </w:rPr>
        <w:t>Dungannon</w:t>
      </w:r>
      <w:proofErr w:type="spellEnd"/>
      <w:r w:rsidRPr="00CE1E81">
        <w:rPr>
          <w:rFonts w:eastAsia="Aptos" w:cs="Aptos"/>
        </w:rPr>
        <w:t>.</w:t>
      </w:r>
      <w:r w:rsidRPr="00907D9F">
        <w:rPr>
          <w:rFonts w:eastAsia="Aptos" w:cs="Aptos"/>
        </w:rPr>
        <w:t xml:space="preserve"> </w:t>
      </w:r>
      <w:r w:rsidRPr="00CE1E81">
        <w:rPr>
          <w:rFonts w:eastAsia="Aptos" w:cs="Aptos"/>
        </w:rPr>
        <w:t xml:space="preserve">High levels of satisfaction were </w:t>
      </w:r>
      <w:r w:rsidRPr="00907D9F">
        <w:rPr>
          <w:rFonts w:eastAsia="Aptos" w:cs="Aptos"/>
        </w:rPr>
        <w:t xml:space="preserve">typically </w:t>
      </w:r>
      <w:r w:rsidRPr="00CE1E81">
        <w:rPr>
          <w:rFonts w:eastAsia="Aptos" w:cs="Aptos"/>
        </w:rPr>
        <w:t xml:space="preserve">reported from </w:t>
      </w:r>
      <w:r w:rsidRPr="00907D9F">
        <w:rPr>
          <w:rFonts w:eastAsia="Aptos" w:cs="Aptos"/>
        </w:rPr>
        <w:t xml:space="preserve">our </w:t>
      </w:r>
      <w:r w:rsidRPr="00CE1E81">
        <w:rPr>
          <w:rFonts w:eastAsia="Aptos" w:cs="Aptos"/>
        </w:rPr>
        <w:t>participants. For example, following a workshop to 40 students in the Belfast: 100% said they had more knowledge about the Commission and Human Rights as a result.</w:t>
      </w:r>
    </w:p>
    <w:p w14:paraId="2554E924" w14:textId="77777777" w:rsidR="006652D2" w:rsidRPr="00907D9F" w:rsidRDefault="006652D2" w:rsidP="006652D2">
      <w:pPr>
        <w:rPr>
          <w:rFonts w:eastAsia="Aptos" w:cs="Aptos"/>
        </w:rPr>
      </w:pPr>
    </w:p>
    <w:p w14:paraId="4580D3E2" w14:textId="77777777" w:rsidR="006652D2" w:rsidRPr="00CE1E81" w:rsidRDefault="006652D2" w:rsidP="006652D2">
      <w:pPr>
        <w:rPr>
          <w:rFonts w:eastAsia="Aptos" w:cs="Aptos"/>
        </w:rPr>
      </w:pPr>
      <w:r w:rsidRPr="00CE1E81">
        <w:rPr>
          <w:rFonts w:eastAsia="Aptos" w:cs="Aptos"/>
        </w:rPr>
        <w:t xml:space="preserve">The Commission itself remains a feature of the NI GCSE Curriculum and worked with the Council for the Curriculum, Examinations and Assessments to promote its workshop delivery to post primary schools in year. The role of the Commission in safeguarding the rights of people in Northern Ireland is contained in: </w:t>
      </w:r>
      <w:r w:rsidRPr="00C069D7">
        <w:rPr>
          <w:rFonts w:eastAsia="Aptos" w:cs="Aptos"/>
        </w:rPr>
        <w:t xml:space="preserve">Unit 1: Local and Global Citizenship – Government and civil society: social equality and human rights </w:t>
      </w:r>
      <w:r w:rsidRPr="00907D9F">
        <w:rPr>
          <w:rFonts w:eastAsia="Aptos" w:cs="Aptos"/>
        </w:rPr>
        <w:t>and</w:t>
      </w:r>
      <w:r w:rsidRPr="00C069D7">
        <w:rPr>
          <w:rFonts w:eastAsia="Aptos" w:cs="Aptos"/>
        </w:rPr>
        <w:t xml:space="preserve"> Preparation for Adult Life</w:t>
      </w:r>
      <w:r>
        <w:rPr>
          <w:rFonts w:eastAsia="Aptos" w:cs="Aptos"/>
        </w:rPr>
        <w:t xml:space="preserve"> –</w:t>
      </w:r>
      <w:r w:rsidRPr="00C069D7">
        <w:rPr>
          <w:rFonts w:eastAsia="Aptos" w:cs="Aptos"/>
        </w:rPr>
        <w:t xml:space="preserve"> </w:t>
      </w:r>
      <w:r w:rsidRPr="00CE1E81">
        <w:rPr>
          <w:rFonts w:eastAsia="Aptos" w:cs="Aptos"/>
        </w:rPr>
        <w:t xml:space="preserve">Unit 2: International Politics in Action – Conflict resolution in practice – Northern Ireland and, Learning for Life </w:t>
      </w:r>
      <w:r w:rsidRPr="00907D9F">
        <w:rPr>
          <w:rFonts w:eastAsia="Aptos" w:cs="Aptos"/>
        </w:rPr>
        <w:t>and</w:t>
      </w:r>
      <w:r w:rsidRPr="00CE1E81">
        <w:rPr>
          <w:rFonts w:eastAsia="Aptos" w:cs="Aptos"/>
        </w:rPr>
        <w:t xml:space="preserve"> Work</w:t>
      </w:r>
      <w:r>
        <w:rPr>
          <w:rFonts w:eastAsia="Aptos" w:cs="Aptos"/>
        </w:rPr>
        <w:t xml:space="preserve"> –</w:t>
      </w:r>
      <w:r w:rsidRPr="00CE1E81">
        <w:rPr>
          <w:rFonts w:eastAsia="Aptos" w:cs="Aptos"/>
        </w:rPr>
        <w:t xml:space="preserve"> Unit 3: Human Rights and Social Responsibility (Citizenship).</w:t>
      </w:r>
    </w:p>
    <w:p w14:paraId="7A4D5BB7" w14:textId="77777777" w:rsidR="006652D2" w:rsidRPr="00CE1E81" w:rsidRDefault="006652D2" w:rsidP="006652D2">
      <w:pPr>
        <w:rPr>
          <w:rFonts w:eastAsia="Aptos" w:cs="Aptos"/>
        </w:rPr>
      </w:pPr>
    </w:p>
    <w:p w14:paraId="04C47ACA" w14:textId="77777777" w:rsidR="006652D2" w:rsidRPr="00907D9F" w:rsidRDefault="006652D2" w:rsidP="006652D2">
      <w:pPr>
        <w:rPr>
          <w:rFonts w:eastAsia="Aptos" w:cs="Aptos"/>
          <w:b/>
          <w:bCs/>
        </w:rPr>
      </w:pPr>
      <w:r w:rsidRPr="00CE1E81">
        <w:rPr>
          <w:rFonts w:eastAsia="Aptos" w:cs="Aptos"/>
        </w:rPr>
        <w:t>The Commission continued our approach</w:t>
      </w:r>
      <w:r>
        <w:rPr>
          <w:rFonts w:eastAsia="Aptos" w:cs="Aptos"/>
        </w:rPr>
        <w:t xml:space="preserve"> </w:t>
      </w:r>
      <w:r w:rsidRPr="00CE1E81">
        <w:rPr>
          <w:rFonts w:eastAsia="Aptos" w:cs="Aptos"/>
        </w:rPr>
        <w:t xml:space="preserve">of seeking to maximise impact by partnering with </w:t>
      </w:r>
      <w:r w:rsidRPr="00907D9F">
        <w:rPr>
          <w:rFonts w:eastAsia="Aptos" w:cs="Aptos"/>
        </w:rPr>
        <w:t>key influencing</w:t>
      </w:r>
      <w:r w:rsidRPr="00CE1E81">
        <w:rPr>
          <w:rFonts w:eastAsia="Aptos" w:cs="Aptos"/>
        </w:rPr>
        <w:t xml:space="preserve"> organis</w:t>
      </w:r>
      <w:r>
        <w:rPr>
          <w:rFonts w:eastAsia="Aptos" w:cs="Aptos"/>
        </w:rPr>
        <w:t>at</w:t>
      </w:r>
      <w:r w:rsidRPr="00CE1E81">
        <w:rPr>
          <w:rFonts w:eastAsia="Aptos" w:cs="Aptos"/>
        </w:rPr>
        <w:t xml:space="preserve">ions across our priority areas of sport, climate change, business, and promoting the Sustainable Development Goals.  Workshop delivery in these areas included collaboration with the One Young World Summit, Eco Schools, NI Youth Assembly and the Commonwealth Games Association. Again, satisfaction rates with our delivery </w:t>
      </w:r>
      <w:proofErr w:type="gramStart"/>
      <w:r w:rsidRPr="00CE1E81">
        <w:rPr>
          <w:rFonts w:eastAsia="Aptos" w:cs="Aptos"/>
        </w:rPr>
        <w:t>was</w:t>
      </w:r>
      <w:proofErr w:type="gramEnd"/>
      <w:r w:rsidRPr="00CE1E81">
        <w:rPr>
          <w:rFonts w:eastAsia="Aptos" w:cs="Aptos"/>
        </w:rPr>
        <w:t xml:space="preserve"> high. </w:t>
      </w:r>
    </w:p>
    <w:p w14:paraId="00A73BE1" w14:textId="77777777" w:rsidR="006652D2" w:rsidRPr="00907D9F" w:rsidRDefault="006652D2" w:rsidP="006652D2"/>
    <w:p w14:paraId="2AB0C576" w14:textId="77777777" w:rsidR="006652D2" w:rsidRPr="00CE1E81" w:rsidRDefault="006652D2" w:rsidP="006652D2">
      <w:pPr>
        <w:rPr>
          <w:rFonts w:eastAsiaTheme="minorHAnsi" w:cstheme="minorBidi"/>
          <w:color w:val="auto"/>
          <w:kern w:val="2"/>
          <w14:ligatures w14:val="standardContextual"/>
        </w:rPr>
      </w:pPr>
      <w:r w:rsidRPr="00CE1E81">
        <w:rPr>
          <w:rFonts w:eastAsia="Aptos" w:cs="Aptos"/>
        </w:rPr>
        <w:t>One of the purposes of the Commission’s education activities is to</w:t>
      </w:r>
      <w:r w:rsidRPr="00CE1E81">
        <w:t xml:space="preserve"> increase the capacity of individuals, communities and their</w:t>
      </w:r>
      <w:r w:rsidRPr="00907D9F">
        <w:t xml:space="preserve"> </w:t>
      </w:r>
      <w:r w:rsidRPr="00CE1E81">
        <w:t xml:space="preserve">advocates to take action to ensure their human rights are respected, protected and fulfilled. In this respect we can demonstrate that our </w:t>
      </w:r>
      <w:bookmarkStart w:id="9" w:name="_Hlk166750780"/>
      <w:r w:rsidRPr="00907D9F">
        <w:t xml:space="preserve">work </w:t>
      </w:r>
      <w:r w:rsidRPr="00CE1E81">
        <w:t>during 2023-24 has had a positive impact.</w:t>
      </w:r>
      <w:bookmarkEnd w:id="9"/>
      <w:r w:rsidRPr="00907D9F">
        <w:t xml:space="preserve"> For instance, </w:t>
      </w:r>
      <w:r w:rsidRPr="00CE1E81">
        <w:rPr>
          <w:rFonts w:eastAsiaTheme="minorHAnsi" w:cstheme="minorBidi"/>
          <w:kern w:val="2"/>
          <w14:ligatures w14:val="standardContextual"/>
        </w:rPr>
        <w:t>t</w:t>
      </w:r>
      <w:r w:rsidRPr="00CE1E81">
        <w:rPr>
          <w:rFonts w:eastAsiaTheme="minorHAnsi" w:cstheme="minorBidi"/>
          <w:color w:val="auto"/>
          <w:kern w:val="2"/>
          <w14:ligatures w14:val="standardContextual"/>
        </w:rPr>
        <w:t xml:space="preserve">he </w:t>
      </w:r>
      <w:r w:rsidRPr="00CE1E81">
        <w:rPr>
          <w:rFonts w:eastAsiaTheme="minorHAnsi" w:cstheme="minorBidi"/>
          <w:kern w:val="2"/>
          <w14:ligatures w14:val="standardContextual"/>
        </w:rPr>
        <w:t>NI</w:t>
      </w:r>
      <w:r w:rsidRPr="00CE1E81">
        <w:rPr>
          <w:rFonts w:eastAsiaTheme="minorHAnsi" w:cstheme="minorBidi"/>
          <w:color w:val="auto"/>
          <w:kern w:val="2"/>
          <w14:ligatures w14:val="standardContextual"/>
        </w:rPr>
        <w:t xml:space="preserve"> Sport </w:t>
      </w:r>
      <w:r w:rsidRPr="00CE1E81">
        <w:rPr>
          <w:rFonts w:eastAsiaTheme="minorHAnsi" w:cstheme="minorBidi"/>
          <w:kern w:val="2"/>
          <w14:ligatures w14:val="standardContextual"/>
        </w:rPr>
        <w:t>and</w:t>
      </w:r>
      <w:r w:rsidRPr="00CE1E81">
        <w:rPr>
          <w:rFonts w:eastAsiaTheme="minorHAnsi" w:cstheme="minorBidi"/>
          <w:color w:val="auto"/>
          <w:kern w:val="2"/>
          <w14:ligatures w14:val="standardContextual"/>
        </w:rPr>
        <w:t xml:space="preserve"> Human Rights Forum held three meetings </w:t>
      </w:r>
      <w:r w:rsidRPr="00CE1E81">
        <w:rPr>
          <w:rFonts w:eastAsiaTheme="minorHAnsi" w:cstheme="minorBidi"/>
          <w:kern w:val="2"/>
          <w14:ligatures w14:val="standardContextual"/>
        </w:rPr>
        <w:t>during the year.</w:t>
      </w:r>
      <w:r w:rsidRPr="00CE1E81">
        <w:rPr>
          <w:rFonts w:eastAsiaTheme="minorHAnsi" w:cstheme="minorBidi"/>
          <w:color w:val="auto"/>
          <w:kern w:val="2"/>
          <w14:ligatures w14:val="standardContextual"/>
        </w:rPr>
        <w:t xml:space="preserve"> In May</w:t>
      </w:r>
      <w:r w:rsidRPr="00CE1E81">
        <w:rPr>
          <w:rFonts w:eastAsiaTheme="minorHAnsi" w:cstheme="minorBidi"/>
          <w:kern w:val="2"/>
          <w14:ligatures w14:val="standardContextual"/>
        </w:rPr>
        <w:t>,</w:t>
      </w:r>
      <w:r w:rsidRPr="00CE1E81">
        <w:rPr>
          <w:rFonts w:eastAsiaTheme="minorHAnsi" w:cstheme="minorBidi"/>
          <w:color w:val="auto"/>
          <w:kern w:val="2"/>
          <w14:ligatures w14:val="standardContextual"/>
        </w:rPr>
        <w:t xml:space="preserve"> focus was given to Volunteer Week and the importance of volunteers in sport. Presentations were </w:t>
      </w:r>
      <w:r w:rsidRPr="00CE1E81">
        <w:rPr>
          <w:rFonts w:eastAsiaTheme="minorHAnsi" w:cstheme="minorBidi"/>
          <w:kern w:val="2"/>
          <w14:ligatures w14:val="standardContextual"/>
        </w:rPr>
        <w:t xml:space="preserve">made by </w:t>
      </w:r>
      <w:r w:rsidRPr="00CE1E81">
        <w:rPr>
          <w:rFonts w:eastAsiaTheme="minorHAnsi" w:cstheme="minorBidi"/>
          <w:color w:val="auto"/>
          <w:kern w:val="2"/>
          <w14:ligatures w14:val="standardContextual"/>
        </w:rPr>
        <w:t>Ulster GAA, the Irish Football Association and Ulster Rugby, Volunteer Now and Street Soccer NI.</w:t>
      </w:r>
      <w:r w:rsidRPr="00CE1E81">
        <w:rPr>
          <w:rFonts w:eastAsiaTheme="minorHAnsi" w:cstheme="minorBidi"/>
          <w:kern w:val="2"/>
          <w14:ligatures w14:val="standardContextual"/>
        </w:rPr>
        <w:t xml:space="preserve"> </w:t>
      </w:r>
      <w:r w:rsidRPr="00CE1E81">
        <w:rPr>
          <w:rFonts w:eastAsiaTheme="minorHAnsi" w:cstheme="minorBidi"/>
          <w:color w:val="auto"/>
          <w:kern w:val="2"/>
          <w14:ligatures w14:val="standardContextual"/>
        </w:rPr>
        <w:t xml:space="preserve">The Forum has continued to gain traction and new membership, Limestone United Community Group, </w:t>
      </w:r>
      <w:r w:rsidRPr="00CE1E81">
        <w:rPr>
          <w:rFonts w:eastAsiaTheme="minorHAnsi" w:cstheme="minorBidi"/>
          <w:kern w:val="2"/>
          <w14:ligatures w14:val="standardContextual"/>
        </w:rPr>
        <w:t xml:space="preserve">Peace Players, </w:t>
      </w:r>
      <w:r w:rsidRPr="00CE1E81">
        <w:rPr>
          <w:rFonts w:eastAsiaTheme="minorHAnsi" w:cstheme="minorBidi"/>
          <w:color w:val="auto"/>
          <w:kern w:val="2"/>
          <w14:ligatures w14:val="standardContextual"/>
        </w:rPr>
        <w:t>Sported NI and the Active Communities Network all signed up to</w:t>
      </w:r>
      <w:r w:rsidRPr="00CE1E81">
        <w:rPr>
          <w:rFonts w:eastAsiaTheme="minorHAnsi" w:cstheme="minorBidi"/>
          <w:kern w:val="2"/>
          <w14:ligatures w14:val="standardContextual"/>
        </w:rPr>
        <w:t xml:space="preserve"> the</w:t>
      </w:r>
      <w:r w:rsidRPr="00CE1E81">
        <w:rPr>
          <w:rFonts w:eastAsiaTheme="minorHAnsi" w:cstheme="minorBidi"/>
          <w:color w:val="auto"/>
          <w:kern w:val="2"/>
          <w14:ligatures w14:val="standardContextual"/>
        </w:rPr>
        <w:t xml:space="preserve"> NI Declaration of Sport and Human Rights.</w:t>
      </w:r>
    </w:p>
    <w:p w14:paraId="5A94057A" w14:textId="77777777" w:rsidR="006652D2" w:rsidRPr="00CE1E81" w:rsidRDefault="006652D2" w:rsidP="006652D2">
      <w:pPr>
        <w:ind w:left="720"/>
        <w:rPr>
          <w:rFonts w:eastAsia="Aptos" w:cs="Aptos"/>
          <w:color w:val="000000" w:themeColor="text1"/>
        </w:rPr>
      </w:pPr>
    </w:p>
    <w:p w14:paraId="7BA2F4D8" w14:textId="77777777" w:rsidR="006652D2" w:rsidRPr="00CE1E81" w:rsidRDefault="006652D2" w:rsidP="006652D2">
      <w:pPr>
        <w:rPr>
          <w:rFonts w:eastAsia="Aptos" w:cs="Aptos"/>
          <w:color w:val="000000" w:themeColor="text1"/>
        </w:rPr>
      </w:pPr>
      <w:r w:rsidRPr="00CE1E81">
        <w:rPr>
          <w:rFonts w:eastAsia="Aptos" w:cs="Aptos"/>
          <w:color w:val="000000" w:themeColor="text1"/>
        </w:rPr>
        <w:t>Throughout 2023-</w:t>
      </w:r>
      <w:r w:rsidRPr="00907D9F">
        <w:rPr>
          <w:rFonts w:eastAsia="Aptos" w:cs="Aptos"/>
          <w:color w:val="000000" w:themeColor="text1"/>
        </w:rPr>
        <w:t>24</w:t>
      </w:r>
      <w:r w:rsidRPr="00CE1E81">
        <w:rPr>
          <w:rFonts w:eastAsia="Aptos" w:cs="Aptos"/>
          <w:color w:val="000000" w:themeColor="text1"/>
        </w:rPr>
        <w:t xml:space="preserve"> our engagement with the private sector which focuses on the UN Guiding Principles on Business and Human Rights, continued to build momentum. In partnership with Queen</w:t>
      </w:r>
      <w:r w:rsidRPr="00907D9F">
        <w:rPr>
          <w:rFonts w:eastAsia="Aptos" w:cs="Aptos"/>
          <w:color w:val="000000" w:themeColor="text1"/>
        </w:rPr>
        <w:t>’</w:t>
      </w:r>
      <w:r w:rsidRPr="00CE1E81">
        <w:rPr>
          <w:rFonts w:eastAsia="Aptos" w:cs="Aptos"/>
          <w:color w:val="000000" w:themeColor="text1"/>
        </w:rPr>
        <w:t xml:space="preserve">s University </w:t>
      </w:r>
      <w:proofErr w:type="gramStart"/>
      <w:r w:rsidRPr="00CE1E81">
        <w:rPr>
          <w:rFonts w:eastAsia="Aptos" w:cs="Aptos"/>
          <w:color w:val="000000" w:themeColor="text1"/>
        </w:rPr>
        <w:t>Belfast</w:t>
      </w:r>
      <w:proofErr w:type="gramEnd"/>
      <w:r w:rsidRPr="00CE1E81">
        <w:rPr>
          <w:rFonts w:eastAsia="Aptos" w:cs="Aptos"/>
          <w:color w:val="000000" w:themeColor="text1"/>
        </w:rPr>
        <w:t xml:space="preserve"> we progressed a European Network of National Human Rights Institutions funded project to develop the first business and human rights index for NI. This will be published in Autumn </w:t>
      </w:r>
      <w:proofErr w:type="gramStart"/>
      <w:r w:rsidRPr="00CE1E81">
        <w:rPr>
          <w:rFonts w:eastAsia="Aptos" w:cs="Aptos"/>
          <w:color w:val="000000" w:themeColor="text1"/>
        </w:rPr>
        <w:t>2024</w:t>
      </w:r>
      <w:proofErr w:type="gramEnd"/>
      <w:r w:rsidRPr="00CE1E81">
        <w:rPr>
          <w:rFonts w:eastAsia="Aptos" w:cs="Aptos"/>
          <w:color w:val="000000" w:themeColor="text1"/>
        </w:rPr>
        <w:t xml:space="preserve"> and we aim for this to be the beginning of</w:t>
      </w:r>
      <w:r w:rsidRPr="00907D9F">
        <w:rPr>
          <w:rFonts w:eastAsia="Aptos" w:cs="Aptos"/>
          <w:color w:val="000000" w:themeColor="text1"/>
        </w:rPr>
        <w:t xml:space="preserve"> a</w:t>
      </w:r>
      <w:r w:rsidRPr="00CE1E81">
        <w:rPr>
          <w:rFonts w:eastAsia="Aptos" w:cs="Aptos"/>
          <w:color w:val="000000" w:themeColor="text1"/>
        </w:rPr>
        <w:t xml:space="preserve"> longitudinal project that will measure the operations of business in NI and their adherence to human rights standards.</w:t>
      </w:r>
    </w:p>
    <w:p w14:paraId="3597EA9F" w14:textId="77777777" w:rsidR="006652D2" w:rsidRPr="00907D9F" w:rsidRDefault="006652D2" w:rsidP="006652D2">
      <w:pPr>
        <w:ind w:left="720"/>
        <w:rPr>
          <w:rFonts w:eastAsiaTheme="minorEastAsia"/>
          <w:b/>
          <w:bCs/>
        </w:rPr>
      </w:pPr>
      <w:r w:rsidRPr="00907D9F">
        <w:rPr>
          <w:rFonts w:eastAsiaTheme="minorEastAsia"/>
          <w:b/>
          <w:bCs/>
        </w:rPr>
        <w:t xml:space="preserve">  </w:t>
      </w:r>
    </w:p>
    <w:p w14:paraId="20109BD2" w14:textId="77777777" w:rsidR="006652D2" w:rsidRPr="00907D9F" w:rsidRDefault="006652D2" w:rsidP="006652D2">
      <w:pPr>
        <w:rPr>
          <w:rFonts w:eastAsiaTheme="minorEastAsia"/>
          <w:b/>
        </w:rPr>
      </w:pPr>
      <w:r w:rsidRPr="00907D9F">
        <w:rPr>
          <w:rFonts w:eastAsiaTheme="minorEastAsia"/>
          <w:b/>
          <w:bCs/>
        </w:rPr>
        <w:t>The Commission delivers effective support to individuals and groups who seek assistance for reported human rights violations and abuses.</w:t>
      </w:r>
    </w:p>
    <w:p w14:paraId="38369AC3" w14:textId="77777777" w:rsidR="006652D2" w:rsidRPr="00907D9F" w:rsidRDefault="006652D2" w:rsidP="006652D2">
      <w:pPr>
        <w:pStyle w:val="ListParagraph"/>
        <w:rPr>
          <w:bCs/>
        </w:rPr>
      </w:pPr>
    </w:p>
    <w:p w14:paraId="21DBEBA8" w14:textId="77777777" w:rsidR="006652D2" w:rsidRPr="00907D9F" w:rsidRDefault="006652D2" w:rsidP="006652D2">
      <w:pPr>
        <w:rPr>
          <w:bCs/>
        </w:rPr>
      </w:pPr>
      <w:bookmarkStart w:id="10" w:name="_Hlk166750894"/>
      <w:r w:rsidRPr="00907D9F">
        <w:t xml:space="preserve">In 2023-24 </w:t>
      </w:r>
      <w:proofErr w:type="gramStart"/>
      <w:r w:rsidRPr="00907D9F">
        <w:t>a majority of</w:t>
      </w:r>
      <w:proofErr w:type="gramEnd"/>
      <w:r w:rsidRPr="00907D9F">
        <w:t xml:space="preserve"> the Commission’s</w:t>
      </w:r>
      <w:r w:rsidRPr="00CE1E81">
        <w:t xml:space="preserve"> </w:t>
      </w:r>
      <w:r w:rsidRPr="00907D9F">
        <w:t>applications to courts and tribunals for leave to appear or provide written submissions were</w:t>
      </w:r>
      <w:r w:rsidRPr="00CE1E81">
        <w:t xml:space="preserve"> granted.</w:t>
      </w:r>
      <w:r w:rsidRPr="00907D9F">
        <w:t xml:space="preserve"> </w:t>
      </w:r>
      <w:r w:rsidRPr="00907D9F">
        <w:rPr>
          <w:bCs/>
        </w:rPr>
        <w:t>The Commission’s submissions were also reflected in a significant number of judgments.</w:t>
      </w:r>
      <w:r w:rsidRPr="00907D9F">
        <w:t xml:space="preserve"> </w:t>
      </w:r>
      <w:r w:rsidRPr="00907D9F">
        <w:rPr>
          <w:bCs/>
        </w:rPr>
        <w:t>We received 352 enquiries for assistance in our weekly legal clinic. Eight of these progressed for consideration as potential challenges and 2 were granted.</w:t>
      </w:r>
      <w:bookmarkEnd w:id="10"/>
    </w:p>
    <w:p w14:paraId="0CEC4415" w14:textId="77777777" w:rsidR="006652D2" w:rsidRPr="00907D9F" w:rsidRDefault="006652D2" w:rsidP="006652D2">
      <w:pPr>
        <w:rPr>
          <w:bCs/>
        </w:rPr>
      </w:pPr>
    </w:p>
    <w:p w14:paraId="5EFC8802" w14:textId="4FE2E4CF" w:rsidR="006652D2" w:rsidRPr="00907D9F" w:rsidRDefault="006652D2" w:rsidP="006652D2">
      <w:pPr>
        <w:rPr>
          <w:bCs/>
        </w:rPr>
      </w:pPr>
      <w:r w:rsidRPr="00907D9F">
        <w:rPr>
          <w:bCs/>
        </w:rPr>
        <w:t xml:space="preserve">In one case the Commission has been providing legal representation to an individual in challenging the Ministry of Defence in respect of the denial of access to her late partner’s pension, as they were not married at the time of their death. We argue that the case arises from discriminatory legislation which excludes unmarried partners from survivor’s pensions. Our leave hearing was heard </w:t>
      </w:r>
      <w:proofErr w:type="gramStart"/>
      <w:r w:rsidRPr="00907D9F">
        <w:rPr>
          <w:bCs/>
        </w:rPr>
        <w:t>in</w:t>
      </w:r>
      <w:proofErr w:type="gramEnd"/>
      <w:r w:rsidRPr="00907D9F">
        <w:rPr>
          <w:bCs/>
        </w:rPr>
        <w:t xml:space="preserve"> 18 October 2023 and we await the court decision.</w:t>
      </w:r>
    </w:p>
    <w:p w14:paraId="18FA9F47" w14:textId="77777777" w:rsidR="006652D2" w:rsidRPr="00907D9F" w:rsidRDefault="006652D2" w:rsidP="006652D2">
      <w:pPr>
        <w:rPr>
          <w:bCs/>
        </w:rPr>
      </w:pPr>
    </w:p>
    <w:p w14:paraId="61BD2582" w14:textId="77777777" w:rsidR="006652D2" w:rsidRPr="00907D9F" w:rsidRDefault="006652D2" w:rsidP="006652D2">
      <w:pPr>
        <w:rPr>
          <w:bCs/>
        </w:rPr>
      </w:pPr>
      <w:r w:rsidRPr="00907D9F">
        <w:rPr>
          <w:bCs/>
        </w:rPr>
        <w:t xml:space="preserve">In another case we have supported an individual’s Judicial Review application challenging the law which prevents convictions in NI ever becoming spent if the sentence is for more than 30 months imprisonment. The Commission was concerned that the applicant (and others) has experienced several difficulties and negative consequences </w:t>
      </w:r>
      <w:proofErr w:type="gramStart"/>
      <w:r w:rsidRPr="00907D9F">
        <w:rPr>
          <w:bCs/>
        </w:rPr>
        <w:t>as a result of</w:t>
      </w:r>
      <w:proofErr w:type="gramEnd"/>
      <w:r w:rsidRPr="00907D9F">
        <w:rPr>
          <w:bCs/>
        </w:rPr>
        <w:t xml:space="preserve"> having to declare their convictions indefinitely. In November 2021, the High Court found that an obligation to disclose any prison sentence of more than 30 months was incompatible with Article 8 of the European Convention on Human Rights. In May 2023 an appeal by the Department of Justice was granted. The matter will progress to the UK Supreme Court in October 2024.  </w:t>
      </w:r>
    </w:p>
    <w:p w14:paraId="3054C757" w14:textId="77777777" w:rsidR="006652D2" w:rsidRPr="00907D9F" w:rsidRDefault="006652D2" w:rsidP="006652D2">
      <w:pPr>
        <w:rPr>
          <w:bCs/>
        </w:rPr>
      </w:pPr>
    </w:p>
    <w:p w14:paraId="3F7029A6" w14:textId="77777777" w:rsidR="006652D2" w:rsidRPr="00907D9F" w:rsidRDefault="006652D2" w:rsidP="006652D2">
      <w:r w:rsidRPr="00907D9F">
        <w:t>In addition to supporting individuals the Commission initiated 2 challenges during the year</w:t>
      </w:r>
      <w:r w:rsidRPr="00CE1E81">
        <w:t xml:space="preserve"> </w:t>
      </w:r>
      <w:r w:rsidRPr="00907D9F">
        <w:t>exercising</w:t>
      </w:r>
      <w:r w:rsidRPr="00CE1E81">
        <w:t xml:space="preserve"> own motion legal powers. The </w:t>
      </w:r>
      <w:r w:rsidRPr="00907D9F">
        <w:t xml:space="preserve">subject of the </w:t>
      </w:r>
      <w:r w:rsidRPr="00CE1E81">
        <w:t xml:space="preserve">first case </w:t>
      </w:r>
      <w:r w:rsidRPr="00907D9F">
        <w:t xml:space="preserve">was </w:t>
      </w:r>
      <w:r w:rsidRPr="00CE1E81">
        <w:t xml:space="preserve">the Illegal Migration Act 2023. We applied for judicial review in September 2023 and were granted leave </w:t>
      </w:r>
      <w:r w:rsidRPr="00907D9F">
        <w:t>in</w:t>
      </w:r>
      <w:r w:rsidRPr="00CE1E81">
        <w:t xml:space="preserve"> October </w:t>
      </w:r>
      <w:r w:rsidRPr="00907D9F">
        <w:t xml:space="preserve">2023 </w:t>
      </w:r>
      <w:r w:rsidRPr="00CE1E81">
        <w:t xml:space="preserve">against the Secretary of State for the Home Department and Secretary of State for Northern Ireland. </w:t>
      </w:r>
    </w:p>
    <w:p w14:paraId="4CFAA55D" w14:textId="77777777" w:rsidR="006652D2" w:rsidRPr="00907D9F" w:rsidRDefault="006652D2" w:rsidP="006652D2"/>
    <w:p w14:paraId="46A6B561" w14:textId="77777777" w:rsidR="006652D2" w:rsidRPr="00CE1E81" w:rsidRDefault="006652D2" w:rsidP="006652D2">
      <w:r w:rsidRPr="00CE1E81">
        <w:t xml:space="preserve">The Commission decided to issue </w:t>
      </w:r>
      <w:r w:rsidRPr="00907D9F">
        <w:t>this</w:t>
      </w:r>
      <w:r w:rsidRPr="00CE1E81">
        <w:t xml:space="preserve"> challenge due to the significant human rights implications of the </w:t>
      </w:r>
      <w:r w:rsidRPr="00907D9F">
        <w:t>Act</w:t>
      </w:r>
      <w:r w:rsidRPr="00CE1E81">
        <w:t xml:space="preserve"> for asylum seekers in Northern Ireland, in particular the barriers created for individual legal challenges removing the ability to appeal and judicially review decisions in most circumstances. The </w:t>
      </w:r>
      <w:r w:rsidRPr="00907D9F">
        <w:t>Act</w:t>
      </w:r>
      <w:r w:rsidRPr="00CE1E81">
        <w:t xml:space="preserve"> would have removed the ability to claim asylum except in very limited circumstances. The Commission claimed that the </w:t>
      </w:r>
      <w:r w:rsidRPr="00907D9F">
        <w:t>Act</w:t>
      </w:r>
      <w:r w:rsidRPr="00CE1E81">
        <w:t xml:space="preserve"> breach</w:t>
      </w:r>
      <w:r w:rsidRPr="00907D9F">
        <w:t>ed</w:t>
      </w:r>
      <w:r w:rsidRPr="00CE1E81">
        <w:t xml:space="preserve"> Article 2(1) of the Windsor Framework, 1951 Refugee Convention and the European Convention on Human Rights (ECHR).</w:t>
      </w:r>
      <w:r>
        <w:t xml:space="preserve"> Judgment was pending at the end of the year 2023-24.</w:t>
      </w:r>
    </w:p>
    <w:p w14:paraId="048926DB" w14:textId="77777777" w:rsidR="006652D2" w:rsidRPr="00907D9F" w:rsidRDefault="006652D2" w:rsidP="006652D2">
      <w:pPr>
        <w:rPr>
          <w:b/>
          <w:bCs/>
        </w:rPr>
      </w:pPr>
    </w:p>
    <w:p w14:paraId="1CA44028" w14:textId="77777777" w:rsidR="006652D2" w:rsidRDefault="006652D2" w:rsidP="006652D2">
      <w:pPr>
        <w:rPr>
          <w:bCs/>
        </w:rPr>
      </w:pPr>
      <w:r w:rsidRPr="00907D9F">
        <w:rPr>
          <w:bCs/>
        </w:rPr>
        <w:t>In a second case the Commission sought leave to issue judicial review proceedings against the Northern Ireland Housing Executive and the Department for the Communities in relation to the design and operation of their Housing Selection Scheme. We contend that the design, interpretation and practical application of the Scheme in respect of intimidation points are unlawful. The Scheme only includes those victims of intimidation who fall within a defined set of categories that excludes other categories of people who are at risk of violence or trauma. In its application, the Commission contends that the Scheme and associated rules are in breach of Articles 2, 3, 6, 8, 14 and Article 1 of the First Protocol of the European Convention on Human Rights. This case is due to be heard in the Autumn 2024.</w:t>
      </w:r>
    </w:p>
    <w:p w14:paraId="643DF288" w14:textId="77777777" w:rsidR="006652D2" w:rsidRDefault="006652D2" w:rsidP="006652D2">
      <w:pPr>
        <w:rPr>
          <w:bCs/>
        </w:rPr>
      </w:pPr>
    </w:p>
    <w:p w14:paraId="378E277E" w14:textId="77777777" w:rsidR="006652D2" w:rsidRPr="00907D9F" w:rsidRDefault="006652D2" w:rsidP="006652D2">
      <w:pPr>
        <w:rPr>
          <w:bCs/>
        </w:rPr>
      </w:pPr>
      <w:r>
        <w:rPr>
          <w:bCs/>
        </w:rPr>
        <w:t xml:space="preserve">In a number of other cases for which judgments were received during the year – see, for example SPUC Re Pro-Life Limited Application </w:t>
      </w:r>
      <w:r w:rsidRPr="00E12ED0">
        <w:rPr>
          <w:bCs/>
        </w:rPr>
        <w:t>[2023] NICA 35</w:t>
      </w:r>
      <w:r>
        <w:rPr>
          <w:bCs/>
        </w:rPr>
        <w:t xml:space="preserve">, </w:t>
      </w:r>
      <w:r w:rsidRPr="00E12ED0">
        <w:rPr>
          <w:bCs/>
        </w:rPr>
        <w:t xml:space="preserve">Re </w:t>
      </w:r>
      <w:proofErr w:type="spellStart"/>
      <w:r w:rsidRPr="00E12ED0">
        <w:rPr>
          <w:bCs/>
        </w:rPr>
        <w:t>Angesom's</w:t>
      </w:r>
      <w:proofErr w:type="spellEnd"/>
      <w:r w:rsidRPr="00E12ED0">
        <w:rPr>
          <w:bCs/>
        </w:rPr>
        <w:t xml:space="preserve"> (Aman) Application</w:t>
      </w:r>
      <w:r>
        <w:rPr>
          <w:bCs/>
        </w:rPr>
        <w:t xml:space="preserve"> [2023] NIKB 102, Re Dillon and others [2024] NIKB 11 – Commission interventions </w:t>
      </w:r>
      <w:proofErr w:type="gramStart"/>
      <w:r>
        <w:rPr>
          <w:bCs/>
        </w:rPr>
        <w:t>where</w:t>
      </w:r>
      <w:proofErr w:type="gramEnd"/>
      <w:r>
        <w:rPr>
          <w:bCs/>
        </w:rPr>
        <w:t xml:space="preserve"> reflected in the decisions of courts. These confirmed the Commission’s analysis regarding the scope and application of the human rights protections contained in the Windsor Framework Article 2(1).</w:t>
      </w:r>
    </w:p>
    <w:p w14:paraId="638DEFAD" w14:textId="77777777" w:rsidR="006652D2" w:rsidRPr="00CE1E81" w:rsidRDefault="006652D2" w:rsidP="006652D2">
      <w:pPr>
        <w:rPr>
          <w:bCs/>
        </w:rPr>
      </w:pPr>
    </w:p>
    <w:p w14:paraId="5730B70F" w14:textId="77777777" w:rsidR="006652D2" w:rsidRDefault="006652D2" w:rsidP="54F71CB4">
      <w:pPr>
        <w:rPr>
          <w:b/>
          <w:bCs/>
        </w:rPr>
      </w:pPr>
      <w:r w:rsidRPr="54F71CB4">
        <w:rPr>
          <w:b/>
          <w:bCs/>
        </w:rPr>
        <w:t>The Commission delivers continuous improvements in accordance with its mandate and in accordance with the provisions of the United Nations General Assembly Resolution 48/134 (the Paris Principles).</w:t>
      </w:r>
    </w:p>
    <w:p w14:paraId="472051FF" w14:textId="77777777" w:rsidR="00166131" w:rsidRPr="00907D9F" w:rsidRDefault="00166131" w:rsidP="006652D2">
      <w:pPr>
        <w:rPr>
          <w:b/>
        </w:rPr>
      </w:pPr>
    </w:p>
    <w:p w14:paraId="02EB93EB" w14:textId="77777777" w:rsidR="006652D2" w:rsidRPr="00CE1E81" w:rsidRDefault="006652D2" w:rsidP="006652D2">
      <w:r w:rsidRPr="00907D9F">
        <w:t>Throughout 2023-24 the Commission also sought to benefit from learning and good practices of other similar institutions delivering their mandates.</w:t>
      </w:r>
      <w:r w:rsidRPr="00CE1E81">
        <w:rPr>
          <w:rFonts w:eastAsiaTheme="minorEastAsia"/>
          <w:color w:val="000000" w:themeColor="text1"/>
        </w:rPr>
        <w:t xml:space="preserve"> Staff maintained membership of </w:t>
      </w:r>
      <w:r w:rsidRPr="00907D9F">
        <w:rPr>
          <w:rFonts w:eastAsiaTheme="minorEastAsia"/>
          <w:color w:val="000000" w:themeColor="text1"/>
        </w:rPr>
        <w:t xml:space="preserve">the </w:t>
      </w:r>
      <w:r w:rsidRPr="00CE1E81">
        <w:rPr>
          <w:rFonts w:eastAsiaTheme="minorEastAsia"/>
          <w:color w:val="000000" w:themeColor="text1"/>
        </w:rPr>
        <w:t xml:space="preserve">European Network of National Human Rights Institutions working groups, including Business and Human Rights; Climate Change; Communications; the </w:t>
      </w:r>
      <w:r w:rsidRPr="00907D9F">
        <w:rPr>
          <w:rFonts w:eastAsiaTheme="minorEastAsia"/>
          <w:color w:val="000000" w:themeColor="text1"/>
        </w:rPr>
        <w:t>L</w:t>
      </w:r>
      <w:r w:rsidRPr="00CE1E81">
        <w:rPr>
          <w:rFonts w:eastAsiaTheme="minorEastAsia"/>
          <w:color w:val="000000" w:themeColor="text1"/>
        </w:rPr>
        <w:t>egal working group; Rights of Older Persons; Economic, Social and Cultural Rights; and the United Nations Convention of the Rights of Persons with Disabilities.</w:t>
      </w:r>
      <w:r w:rsidRPr="00CE1E81">
        <w:rPr>
          <w:rFonts w:eastAsiaTheme="minorHAnsi"/>
          <w:color w:val="auto"/>
        </w:rPr>
        <w:t xml:space="preserve"> </w:t>
      </w:r>
      <w:r w:rsidRPr="00CE1E81">
        <w:t>We also participated in the Global Alliance of National Human Rights Caucus on Climate Change and Human Rights, the Peer Learning Event for National Human Rights Institutions in preparation for COP28 and the UN Business and Human Rights Forum in November.</w:t>
      </w:r>
    </w:p>
    <w:p w14:paraId="22964D34" w14:textId="77777777" w:rsidR="006652D2" w:rsidRPr="00907D9F" w:rsidRDefault="006652D2" w:rsidP="006652D2">
      <w:pPr>
        <w:pStyle w:val="ListParagraph"/>
      </w:pPr>
      <w:r w:rsidRPr="00907D9F">
        <w:t xml:space="preserve"> </w:t>
      </w:r>
    </w:p>
    <w:p w14:paraId="7B1C8B85" w14:textId="77777777" w:rsidR="006652D2" w:rsidRPr="00CE1E81" w:rsidRDefault="006652D2" w:rsidP="006652D2">
      <w:r w:rsidRPr="00907D9F">
        <w:t>The Commission is committed to facilitating ongoing learning opportunities for staff and Commissioners</w:t>
      </w:r>
      <w:r w:rsidRPr="00CE1E81">
        <w:t xml:space="preserve"> and the following trainings w</w:t>
      </w:r>
      <w:r>
        <w:t>ere</w:t>
      </w:r>
      <w:r w:rsidRPr="00CE1E81">
        <w:t xml:space="preserve"> held during 2023-24:</w:t>
      </w:r>
    </w:p>
    <w:p w14:paraId="1121770A" w14:textId="77777777" w:rsidR="006652D2" w:rsidRPr="00CE1E81" w:rsidRDefault="006652D2" w:rsidP="006652D2">
      <w:pPr>
        <w:rPr>
          <w:bCs/>
        </w:rPr>
      </w:pPr>
    </w:p>
    <w:p w14:paraId="4BE068B7" w14:textId="77777777" w:rsidR="006652D2" w:rsidRPr="00CE1E81" w:rsidRDefault="006652D2" w:rsidP="006652D2">
      <w:pPr>
        <w:pStyle w:val="ListParagraph"/>
        <w:numPr>
          <w:ilvl w:val="0"/>
          <w:numId w:val="45"/>
        </w:numPr>
        <w:contextualSpacing/>
        <w:rPr>
          <w:bCs/>
        </w:rPr>
      </w:pPr>
      <w:r w:rsidRPr="00CE1E81">
        <w:t xml:space="preserve">RNIB Awareness </w:t>
      </w:r>
      <w:proofErr w:type="gramStart"/>
      <w:r w:rsidRPr="00CE1E81">
        <w:t>Session;</w:t>
      </w:r>
      <w:proofErr w:type="gramEnd"/>
    </w:p>
    <w:p w14:paraId="7B1E0327" w14:textId="77777777" w:rsidR="006652D2" w:rsidRPr="00CE1E81" w:rsidRDefault="006652D2" w:rsidP="006652D2">
      <w:pPr>
        <w:pStyle w:val="ListParagraph"/>
        <w:numPr>
          <w:ilvl w:val="0"/>
          <w:numId w:val="45"/>
        </w:numPr>
        <w:contextualSpacing/>
        <w:rPr>
          <w:bCs/>
        </w:rPr>
      </w:pPr>
      <w:r w:rsidRPr="00CE1E81">
        <w:t xml:space="preserve">Dignity at Work </w:t>
      </w:r>
      <w:proofErr w:type="gramStart"/>
      <w:r w:rsidRPr="00CE1E81">
        <w:t>Training;</w:t>
      </w:r>
      <w:proofErr w:type="gramEnd"/>
    </w:p>
    <w:p w14:paraId="496BE4BB" w14:textId="77777777" w:rsidR="006652D2" w:rsidRPr="00CE1E81" w:rsidRDefault="006652D2" w:rsidP="006652D2">
      <w:pPr>
        <w:pStyle w:val="ListParagraph"/>
        <w:numPr>
          <w:ilvl w:val="0"/>
          <w:numId w:val="45"/>
        </w:numPr>
        <w:contextualSpacing/>
        <w:rPr>
          <w:bCs/>
        </w:rPr>
      </w:pPr>
      <w:r w:rsidRPr="00CE1E81">
        <w:t xml:space="preserve">Mental Health First Aid </w:t>
      </w:r>
      <w:proofErr w:type="gramStart"/>
      <w:r w:rsidRPr="00CE1E81">
        <w:t>Training;</w:t>
      </w:r>
      <w:proofErr w:type="gramEnd"/>
    </w:p>
    <w:p w14:paraId="4B32B39F" w14:textId="77777777" w:rsidR="006652D2" w:rsidRPr="00CE1E81" w:rsidRDefault="006652D2" w:rsidP="006652D2">
      <w:pPr>
        <w:pStyle w:val="ListParagraph"/>
        <w:numPr>
          <w:ilvl w:val="0"/>
          <w:numId w:val="45"/>
        </w:numPr>
        <w:contextualSpacing/>
        <w:rPr>
          <w:bCs/>
        </w:rPr>
      </w:pPr>
      <w:r w:rsidRPr="00CE1E81">
        <w:t xml:space="preserve">Session on Google </w:t>
      </w:r>
      <w:proofErr w:type="gramStart"/>
      <w:r w:rsidRPr="00CE1E81">
        <w:t>Analytics</w:t>
      </w:r>
      <w:r w:rsidRPr="00907D9F">
        <w:t>;</w:t>
      </w:r>
      <w:proofErr w:type="gramEnd"/>
    </w:p>
    <w:p w14:paraId="7321C4DB" w14:textId="77777777" w:rsidR="006652D2" w:rsidRPr="00CE1E81" w:rsidRDefault="006652D2" w:rsidP="006652D2">
      <w:pPr>
        <w:pStyle w:val="ListParagraph"/>
        <w:numPr>
          <w:ilvl w:val="0"/>
          <w:numId w:val="45"/>
        </w:numPr>
        <w:contextualSpacing/>
        <w:rPr>
          <w:bCs/>
        </w:rPr>
      </w:pPr>
      <w:r w:rsidRPr="00CE1E81">
        <w:t xml:space="preserve">EU Equality Law </w:t>
      </w:r>
      <w:proofErr w:type="gramStart"/>
      <w:r w:rsidRPr="00CE1E81">
        <w:t>Training</w:t>
      </w:r>
      <w:r w:rsidRPr="00907D9F">
        <w:t>;</w:t>
      </w:r>
      <w:proofErr w:type="gramEnd"/>
    </w:p>
    <w:p w14:paraId="718A0D8D" w14:textId="77777777" w:rsidR="006652D2" w:rsidRPr="00CE1E81" w:rsidRDefault="006652D2" w:rsidP="006652D2">
      <w:pPr>
        <w:pStyle w:val="ListParagraph"/>
        <w:numPr>
          <w:ilvl w:val="0"/>
          <w:numId w:val="45"/>
        </w:numPr>
        <w:contextualSpacing/>
        <w:rPr>
          <w:bCs/>
        </w:rPr>
      </w:pPr>
      <w:r w:rsidRPr="00CE1E81">
        <w:t xml:space="preserve">Charter of Fundamental Rights and Human Rights </w:t>
      </w:r>
      <w:proofErr w:type="gramStart"/>
      <w:r w:rsidRPr="00CE1E81">
        <w:t>Training</w:t>
      </w:r>
      <w:r w:rsidRPr="00907D9F">
        <w:t>;</w:t>
      </w:r>
      <w:proofErr w:type="gramEnd"/>
    </w:p>
    <w:p w14:paraId="5836CE23" w14:textId="77777777" w:rsidR="006652D2" w:rsidRPr="00CE1E81" w:rsidRDefault="006652D2" w:rsidP="006652D2">
      <w:pPr>
        <w:pStyle w:val="ListParagraph"/>
        <w:numPr>
          <w:ilvl w:val="0"/>
          <w:numId w:val="45"/>
        </w:numPr>
        <w:contextualSpacing/>
        <w:rPr>
          <w:bCs/>
        </w:rPr>
      </w:pPr>
      <w:r w:rsidRPr="00CE1E81">
        <w:t xml:space="preserve">On-line training on Health and </w:t>
      </w:r>
      <w:proofErr w:type="gramStart"/>
      <w:r w:rsidRPr="00CE1E81">
        <w:t>Safety;</w:t>
      </w:r>
      <w:proofErr w:type="gramEnd"/>
      <w:r w:rsidRPr="00CE1E81">
        <w:t xml:space="preserve"> </w:t>
      </w:r>
    </w:p>
    <w:p w14:paraId="498EEE8E" w14:textId="77777777" w:rsidR="006652D2" w:rsidRPr="00CE1E81" w:rsidRDefault="006652D2" w:rsidP="006652D2">
      <w:pPr>
        <w:pStyle w:val="ListParagraph"/>
        <w:numPr>
          <w:ilvl w:val="0"/>
          <w:numId w:val="45"/>
        </w:numPr>
        <w:contextualSpacing/>
      </w:pPr>
      <w:r w:rsidRPr="00CE1E81">
        <w:t>Civil Service Expectations (Inclusion and Diversity</w:t>
      </w:r>
      <w:proofErr w:type="gramStart"/>
      <w:r w:rsidRPr="00CE1E81">
        <w:t>)</w:t>
      </w:r>
      <w:r w:rsidRPr="00907D9F">
        <w:t>;</w:t>
      </w:r>
      <w:proofErr w:type="gramEnd"/>
    </w:p>
    <w:p w14:paraId="0B628F43" w14:textId="77777777" w:rsidR="006652D2" w:rsidRPr="00907D9F" w:rsidRDefault="006652D2" w:rsidP="006652D2">
      <w:pPr>
        <w:pStyle w:val="ListParagraph"/>
        <w:numPr>
          <w:ilvl w:val="0"/>
          <w:numId w:val="45"/>
        </w:numPr>
        <w:contextualSpacing/>
      </w:pPr>
      <w:r w:rsidRPr="00CE1E81">
        <w:t xml:space="preserve">Security and Data </w:t>
      </w:r>
      <w:proofErr w:type="gramStart"/>
      <w:r w:rsidRPr="00CE1E81">
        <w:t>Protection</w:t>
      </w:r>
      <w:r w:rsidRPr="00907D9F">
        <w:t>;</w:t>
      </w:r>
      <w:proofErr w:type="gramEnd"/>
    </w:p>
    <w:p w14:paraId="5F1EB05D" w14:textId="77777777" w:rsidR="006652D2" w:rsidRPr="00907D9F" w:rsidRDefault="006652D2" w:rsidP="006652D2">
      <w:pPr>
        <w:rPr>
          <w:iCs/>
        </w:rPr>
      </w:pPr>
    </w:p>
    <w:p w14:paraId="3760D460" w14:textId="77777777" w:rsidR="006652D2" w:rsidRPr="00907D9F" w:rsidRDefault="006652D2" w:rsidP="006652D2">
      <w:pPr>
        <w:rPr>
          <w:b/>
        </w:rPr>
      </w:pPr>
      <w:r w:rsidRPr="00907D9F">
        <w:rPr>
          <w:b/>
        </w:rPr>
        <w:t>The Commission has good corporate governance, effective systems and arrangements in place to provide assurance on risk management and internal control.</w:t>
      </w:r>
    </w:p>
    <w:p w14:paraId="18C032A1" w14:textId="77777777" w:rsidR="006652D2" w:rsidRPr="00CE1E81" w:rsidRDefault="006652D2" w:rsidP="006652D2">
      <w:pPr>
        <w:rPr>
          <w:bCs/>
          <w:i/>
          <w:iCs/>
        </w:rPr>
      </w:pPr>
    </w:p>
    <w:p w14:paraId="20631678" w14:textId="77777777" w:rsidR="006652D2" w:rsidRPr="00907D9F" w:rsidRDefault="006652D2" w:rsidP="006652D2">
      <w:pPr>
        <w:rPr>
          <w:bCs/>
        </w:rPr>
      </w:pPr>
      <w:r w:rsidRPr="00CE1E81">
        <w:t>In 2023-24 the Commission’s relevant internal and external audits receive</w:t>
      </w:r>
      <w:r w:rsidRPr="00907D9F">
        <w:t>d</w:t>
      </w:r>
      <w:r w:rsidRPr="00CE1E81">
        <w:t xml:space="preserve"> a satisfactory rating.</w:t>
      </w:r>
      <w:r w:rsidRPr="00CE1E81">
        <w:br/>
      </w:r>
      <w:r w:rsidRPr="00CE1E81">
        <w:br/>
        <w:t>The internal audit on Systems for Tracking Legislation and Policy Developments was completed in November 2023 with the final report being presented to the November Audit and Risk Management Committee meeting.</w:t>
      </w:r>
      <w:r w:rsidRPr="00907D9F">
        <w:t xml:space="preserve"> This</w:t>
      </w:r>
      <w:r w:rsidRPr="00CE1E81">
        <w:t xml:space="preserve"> received a satisfactory rating.</w:t>
      </w:r>
      <w:r w:rsidRPr="00CE1E81">
        <w:br/>
      </w:r>
      <w:r w:rsidRPr="00CE1E81">
        <w:br/>
        <w:t>The internal audit of the Dedicated Mechanism workstream was completed in January 2024, with the final report being presented to the March 2024 Audit and Risk Management Committee meeting.</w:t>
      </w:r>
      <w:r w:rsidRPr="00907D9F">
        <w:t xml:space="preserve"> This</w:t>
      </w:r>
      <w:r w:rsidRPr="00CE1E81">
        <w:t xml:space="preserve"> received a satisfactory rating.</w:t>
      </w:r>
    </w:p>
    <w:p w14:paraId="1461B41E" w14:textId="77777777" w:rsidR="006652D2" w:rsidRPr="00907D9F" w:rsidRDefault="006652D2" w:rsidP="006652D2">
      <w:pPr>
        <w:rPr>
          <w:b/>
        </w:rPr>
      </w:pPr>
    </w:p>
    <w:p w14:paraId="0347910F" w14:textId="77777777" w:rsidR="006652D2" w:rsidRPr="00CE1E81" w:rsidRDefault="006652D2" w:rsidP="006652D2">
      <w:r w:rsidRPr="00907D9F">
        <w:rPr>
          <w:b/>
        </w:rPr>
        <w:t>The Commission operates in accordance with HM Treasury guidance on Managing Public Money.</w:t>
      </w:r>
      <w:r w:rsidRPr="00CE1E81">
        <w:br/>
      </w:r>
    </w:p>
    <w:p w14:paraId="6B949BBA" w14:textId="77777777" w:rsidR="006652D2" w:rsidRPr="00907D9F" w:rsidRDefault="006652D2" w:rsidP="006652D2">
      <w:r w:rsidRPr="00CE1E81">
        <w:t xml:space="preserve">The </w:t>
      </w:r>
      <w:r w:rsidRPr="00907D9F">
        <w:t xml:space="preserve">Commission has continued to operate within the limits of its statutory authority and any delegated authority, as well as in accordance with any other conditions and/or </w:t>
      </w:r>
      <w:r w:rsidRPr="00CE1E81">
        <w:t>HM</w:t>
      </w:r>
      <w:r w:rsidRPr="00907D9F">
        <w:t xml:space="preserve"> Treasury guidance relating to the use of public funds.</w:t>
      </w:r>
      <w:r w:rsidRPr="00CE1E81">
        <w:t xml:space="preserve"> The 2022-23 Annual Report and Accounts were certified by the Comptroller and Auditor General and laid in Parliament on 17 July 2023. All monthly reports were submitted to the </w:t>
      </w:r>
      <w:r w:rsidRPr="00907D9F">
        <w:t>Northern Ireland Office</w:t>
      </w:r>
      <w:r w:rsidRPr="00CE1E81">
        <w:t xml:space="preserve"> within the </w:t>
      </w:r>
      <w:r w:rsidRPr="00907D9F">
        <w:t xml:space="preserve">required </w:t>
      </w:r>
      <w:r w:rsidRPr="00CE1E81">
        <w:t xml:space="preserve">timeframe </w:t>
      </w:r>
      <w:proofErr w:type="gramStart"/>
      <w:r w:rsidRPr="00CE1E81">
        <w:t>with the exception of</w:t>
      </w:r>
      <w:proofErr w:type="gramEnd"/>
      <w:r w:rsidRPr="00CE1E81">
        <w:t xml:space="preserve"> the monthly finance report for March 2024. This was due to the prioritising of the year-end Annual Report and Accounts.</w:t>
      </w:r>
      <w:r w:rsidRPr="00907D9F">
        <w:rPr>
          <w:bCs/>
        </w:rPr>
        <w:t xml:space="preserve"> T</w:t>
      </w:r>
      <w:r w:rsidRPr="00907D9F">
        <w:t>he Commission</w:t>
      </w:r>
      <w:r w:rsidRPr="00CE1E81">
        <w:t xml:space="preserve"> </w:t>
      </w:r>
      <w:r w:rsidRPr="00907D9F">
        <w:t xml:space="preserve">met the Government target of paying 80% of undisputed invoices </w:t>
      </w:r>
      <w:r w:rsidRPr="00CE1E81">
        <w:t>w</w:t>
      </w:r>
      <w:r w:rsidRPr="00907D9F">
        <w:t>it</w:t>
      </w:r>
      <w:r w:rsidRPr="00CE1E81">
        <w:t>hin</w:t>
      </w:r>
      <w:r w:rsidRPr="00907D9F">
        <w:t xml:space="preserve"> five working days.</w:t>
      </w:r>
      <w:r w:rsidRPr="00CE1E81">
        <w:t xml:space="preserve"> 97.7% of valid invoices were completed on </w:t>
      </w:r>
      <w:r w:rsidRPr="00907D9F">
        <w:t>time</w:t>
      </w:r>
      <w:r w:rsidRPr="00CE1E81">
        <w:t>.</w:t>
      </w:r>
    </w:p>
    <w:p w14:paraId="3F272004" w14:textId="77777777" w:rsidR="006652D2" w:rsidRPr="00907D9F" w:rsidRDefault="006652D2" w:rsidP="006652D2">
      <w:pPr>
        <w:rPr>
          <w:bCs/>
        </w:rPr>
      </w:pPr>
    </w:p>
    <w:p w14:paraId="5B040428" w14:textId="77777777" w:rsidR="006652D2" w:rsidRPr="00907D9F" w:rsidRDefault="006652D2" w:rsidP="006652D2">
      <w:pPr>
        <w:rPr>
          <w:b/>
        </w:rPr>
      </w:pPr>
      <w:r w:rsidRPr="00907D9F">
        <w:rPr>
          <w:b/>
        </w:rPr>
        <w:t>The Commission remains accountable for the services it provides the public.</w:t>
      </w:r>
    </w:p>
    <w:p w14:paraId="4420500B" w14:textId="77777777" w:rsidR="006652D2" w:rsidRPr="00907D9F" w:rsidRDefault="006652D2" w:rsidP="006652D2"/>
    <w:p w14:paraId="26AB83D9" w14:textId="52189792" w:rsidR="006652D2" w:rsidRPr="00907D9F" w:rsidRDefault="006652D2" w:rsidP="006652D2">
      <w:r>
        <w:t>There were no instances of non-compliance during 2023-24 with any open government or transparency policies, initiatives and guidance issued by the Northern Ireland Office, HM Treasury or Cabinet Office.</w:t>
      </w:r>
      <w:r>
        <w:br/>
      </w:r>
      <w:r>
        <w:br/>
      </w:r>
      <w:proofErr w:type="gramStart"/>
      <w:r>
        <w:t xml:space="preserve">Twenty </w:t>
      </w:r>
      <w:r w:rsidR="4416267B">
        <w:t>five</w:t>
      </w:r>
      <w:proofErr w:type="gramEnd"/>
      <w:r>
        <w:t xml:space="preserve"> Freedom of Information Act Requests were received during 2023-24. </w:t>
      </w:r>
      <w:proofErr w:type="gramStart"/>
      <w:r>
        <w:t xml:space="preserve">Twenty </w:t>
      </w:r>
      <w:r w:rsidR="4B4E3DA1">
        <w:t>four</w:t>
      </w:r>
      <w:proofErr w:type="gramEnd"/>
      <w:r>
        <w:t xml:space="preserve"> of these were responded to within the timeframe with clarification sought on one of the requests before a full response could be provided.</w:t>
      </w:r>
    </w:p>
    <w:p w14:paraId="1CEDEB1C" w14:textId="77777777" w:rsidR="006652D2" w:rsidRPr="00907D9F" w:rsidRDefault="006652D2" w:rsidP="006652D2"/>
    <w:p w14:paraId="6E614B63" w14:textId="77777777" w:rsidR="006652D2" w:rsidRPr="00907D9F" w:rsidRDefault="006652D2" w:rsidP="006652D2">
      <w:r w:rsidRPr="00CE1E81">
        <w:t>A complaint was made to the Information Commissioner’s Office in October 2023 regarding a Freedom of Information Request, for which the ICO ruled in the Commission’s favour, with no further action required. A separate complaint was made in December 2023 regarding non-response to a Subject Access Request.  The Commission confirmed that this had been responded to within the timeframe and the individual had confirmed receipt.</w:t>
      </w:r>
      <w:r w:rsidRPr="00907D9F">
        <w:br/>
      </w:r>
    </w:p>
    <w:p w14:paraId="25961A57" w14:textId="77777777" w:rsidR="006652D2" w:rsidRPr="00907D9F" w:rsidRDefault="006652D2" w:rsidP="006652D2">
      <w:r w:rsidRPr="00907D9F">
        <w:t xml:space="preserve">The Commission continued to </w:t>
      </w:r>
      <w:r w:rsidRPr="00CE1E81">
        <w:t>compl</w:t>
      </w:r>
      <w:r w:rsidRPr="00907D9F">
        <w:t>y with its equality and good relations duties</w:t>
      </w:r>
      <w:r w:rsidRPr="00CE1E81">
        <w:t xml:space="preserve"> and the required Monitoring Return and Equality Progress Report </w:t>
      </w:r>
      <w:r w:rsidRPr="00907D9F">
        <w:t>was</w:t>
      </w:r>
      <w:r w:rsidRPr="00CE1E81">
        <w:t xml:space="preserve"> submitted to the Equality Commission Northern Ireland</w:t>
      </w:r>
      <w:r w:rsidRPr="00907D9F">
        <w:t>.</w:t>
      </w:r>
    </w:p>
    <w:p w14:paraId="0A7D3B5F" w14:textId="77777777" w:rsidR="006652D2" w:rsidRPr="00CE1E81" w:rsidRDefault="006652D2" w:rsidP="006652D2">
      <w:pPr>
        <w:rPr>
          <w:bCs/>
        </w:rPr>
      </w:pPr>
    </w:p>
    <w:p w14:paraId="015B7518" w14:textId="77777777" w:rsidR="006652D2" w:rsidRPr="00907D9F" w:rsidRDefault="006652D2" w:rsidP="006652D2">
      <w:pPr>
        <w:rPr>
          <w:bCs/>
        </w:rPr>
      </w:pPr>
      <w:r w:rsidRPr="00907D9F">
        <w:t>We also responded promptly and engaged transparently in response to any complaints made to the Parliamentary Ombudsman. There was one complaint made during 2023-24 which was not upheld.</w:t>
      </w:r>
      <w:r w:rsidRPr="00907D9F">
        <w:rPr>
          <w:i/>
          <w:iCs/>
        </w:rPr>
        <w:br/>
      </w:r>
    </w:p>
    <w:p w14:paraId="2CA7DB6F" w14:textId="77777777" w:rsidR="006652D2" w:rsidRPr="00907D9F" w:rsidRDefault="006652D2" w:rsidP="006652D2">
      <w:pPr>
        <w:rPr>
          <w:bCs/>
        </w:rPr>
      </w:pPr>
      <w:r w:rsidRPr="00907D9F">
        <w:t>All personal data held by the Commission was retained in accordance with the General Data Protection Regulation as it applies in the United Kingdom, tailored by the Data Protection Act 2018 and personal data related incidents reported formally to the Information Commissioner’s Office, if applicable. There were no data breaches reported during 2023-24.</w:t>
      </w:r>
    </w:p>
    <w:p w14:paraId="73A62E14" w14:textId="77777777" w:rsidR="007330CB" w:rsidRDefault="007330CB" w:rsidP="002667DD">
      <w:pPr>
        <w:autoSpaceDE w:val="0"/>
        <w:autoSpaceDN w:val="0"/>
        <w:adjustRightInd w:val="0"/>
        <w:rPr>
          <w:color w:val="auto"/>
        </w:rPr>
      </w:pPr>
    </w:p>
    <w:p w14:paraId="1BB7D096" w14:textId="77777777" w:rsidR="007330CB" w:rsidRDefault="007330CB" w:rsidP="002667DD">
      <w:pPr>
        <w:autoSpaceDE w:val="0"/>
        <w:autoSpaceDN w:val="0"/>
        <w:adjustRightInd w:val="0"/>
        <w:rPr>
          <w:color w:val="auto"/>
        </w:rPr>
      </w:pPr>
    </w:p>
    <w:p w14:paraId="282C93CE" w14:textId="77777777" w:rsidR="007330CB" w:rsidRDefault="007330CB" w:rsidP="002667DD">
      <w:pPr>
        <w:autoSpaceDE w:val="0"/>
        <w:autoSpaceDN w:val="0"/>
        <w:adjustRightInd w:val="0"/>
        <w:rPr>
          <w:color w:val="auto"/>
        </w:rPr>
      </w:pPr>
    </w:p>
    <w:p w14:paraId="43C1BF82" w14:textId="77777777" w:rsidR="007330CB" w:rsidRDefault="007330CB" w:rsidP="002667DD">
      <w:pPr>
        <w:autoSpaceDE w:val="0"/>
        <w:autoSpaceDN w:val="0"/>
        <w:adjustRightInd w:val="0"/>
        <w:rPr>
          <w:color w:val="auto"/>
        </w:rPr>
      </w:pPr>
    </w:p>
    <w:p w14:paraId="40AB54AC" w14:textId="77777777" w:rsidR="007330CB" w:rsidRDefault="007330CB" w:rsidP="002667DD">
      <w:pPr>
        <w:autoSpaceDE w:val="0"/>
        <w:autoSpaceDN w:val="0"/>
        <w:adjustRightInd w:val="0"/>
        <w:rPr>
          <w:color w:val="auto"/>
        </w:rPr>
      </w:pPr>
    </w:p>
    <w:p w14:paraId="09A16CE0" w14:textId="77777777" w:rsidR="007330CB" w:rsidRDefault="007330CB" w:rsidP="002667DD">
      <w:pPr>
        <w:autoSpaceDE w:val="0"/>
        <w:autoSpaceDN w:val="0"/>
        <w:adjustRightInd w:val="0"/>
        <w:rPr>
          <w:color w:val="auto"/>
        </w:rPr>
      </w:pPr>
    </w:p>
    <w:p w14:paraId="5A777903" w14:textId="77777777" w:rsidR="007330CB" w:rsidRDefault="007330CB" w:rsidP="002667DD">
      <w:pPr>
        <w:autoSpaceDE w:val="0"/>
        <w:autoSpaceDN w:val="0"/>
        <w:adjustRightInd w:val="0"/>
        <w:rPr>
          <w:color w:val="auto"/>
        </w:rPr>
      </w:pPr>
    </w:p>
    <w:p w14:paraId="47360BFF" w14:textId="77777777" w:rsidR="007330CB" w:rsidRDefault="007330CB" w:rsidP="002667DD">
      <w:pPr>
        <w:autoSpaceDE w:val="0"/>
        <w:autoSpaceDN w:val="0"/>
        <w:adjustRightInd w:val="0"/>
        <w:rPr>
          <w:color w:val="auto"/>
        </w:rPr>
      </w:pPr>
    </w:p>
    <w:p w14:paraId="692923D7" w14:textId="77777777" w:rsidR="003F4B46" w:rsidRDefault="003F4B46" w:rsidP="002667DD">
      <w:pPr>
        <w:autoSpaceDE w:val="0"/>
        <w:autoSpaceDN w:val="0"/>
        <w:adjustRightInd w:val="0"/>
        <w:rPr>
          <w:color w:val="auto"/>
        </w:rPr>
      </w:pPr>
    </w:p>
    <w:p w14:paraId="391CD35F" w14:textId="77777777" w:rsidR="003F4B46" w:rsidRDefault="003F4B46" w:rsidP="002667DD">
      <w:pPr>
        <w:autoSpaceDE w:val="0"/>
        <w:autoSpaceDN w:val="0"/>
        <w:adjustRightInd w:val="0"/>
        <w:rPr>
          <w:color w:val="auto"/>
        </w:rPr>
      </w:pPr>
    </w:p>
    <w:p w14:paraId="02C0F859" w14:textId="77777777" w:rsidR="003F4B46" w:rsidRDefault="003F4B46" w:rsidP="002667DD">
      <w:pPr>
        <w:autoSpaceDE w:val="0"/>
        <w:autoSpaceDN w:val="0"/>
        <w:adjustRightInd w:val="0"/>
        <w:rPr>
          <w:color w:val="auto"/>
        </w:rPr>
      </w:pPr>
    </w:p>
    <w:p w14:paraId="1321DCC8" w14:textId="77777777" w:rsidR="007330CB" w:rsidRDefault="007330CB" w:rsidP="002667DD">
      <w:pPr>
        <w:autoSpaceDE w:val="0"/>
        <w:autoSpaceDN w:val="0"/>
        <w:adjustRightInd w:val="0"/>
        <w:rPr>
          <w:color w:val="auto"/>
        </w:rPr>
      </w:pPr>
    </w:p>
    <w:p w14:paraId="549B2165" w14:textId="2080D0B2" w:rsidR="002667DD" w:rsidRPr="00112AF2" w:rsidRDefault="002667DD" w:rsidP="002667DD">
      <w:pPr>
        <w:rPr>
          <w:bCs/>
        </w:rPr>
      </w:pPr>
      <w:bookmarkStart w:id="11" w:name="KeyRisks"/>
      <w:r w:rsidRPr="00112AF2">
        <w:rPr>
          <w:rFonts w:eastAsia="Calibri"/>
          <w:b/>
          <w:color w:val="auto"/>
          <w:lang w:eastAsia="en-GB"/>
        </w:rPr>
        <w:t xml:space="preserve">Key risks facing the Northern Ireland Human Rights Commission  </w:t>
      </w:r>
    </w:p>
    <w:bookmarkEnd w:id="11"/>
    <w:p w14:paraId="5E5CF0D6" w14:textId="77777777" w:rsidR="002667DD" w:rsidRDefault="002667DD" w:rsidP="002667DD">
      <w:pPr>
        <w:pStyle w:val="ListParagraph"/>
        <w:ind w:left="0"/>
      </w:pPr>
    </w:p>
    <w:p w14:paraId="019EDCF0" w14:textId="37A9DD7A" w:rsidR="006652D2" w:rsidRPr="00907D9F" w:rsidRDefault="006652D2" w:rsidP="006652D2">
      <w:pPr>
        <w:rPr>
          <w:bCs/>
        </w:rPr>
      </w:pPr>
      <w:r w:rsidRPr="00907D9F">
        <w:rPr>
          <w:bCs/>
        </w:rPr>
        <w:t xml:space="preserve">The Commission was re-accredited with A status in November 2023 by the United Nations. This followed two years of delays. The Global Alliance of National Human Rights Institutions Sub-committee on Accreditation made 4 recommendations to the Commission which require action by the UK government. Two of the recommendations focused on adequate funding and the need for increased financial autonomy. This is being addressed through an independent </w:t>
      </w:r>
      <w:r w:rsidR="0058098F">
        <w:rPr>
          <w:bCs/>
        </w:rPr>
        <w:t>budget review</w:t>
      </w:r>
      <w:r w:rsidRPr="00907D9F">
        <w:rPr>
          <w:bCs/>
        </w:rPr>
        <w:t xml:space="preserve"> of the Commission initiated by the Northern Ireland Office and due to complete in June 2024. </w:t>
      </w:r>
    </w:p>
    <w:p w14:paraId="468E9337" w14:textId="77777777" w:rsidR="006652D2" w:rsidRPr="00907D9F" w:rsidRDefault="006652D2" w:rsidP="006652D2">
      <w:pPr>
        <w:rPr>
          <w:bCs/>
        </w:rPr>
      </w:pPr>
    </w:p>
    <w:p w14:paraId="66B28F61" w14:textId="77777777" w:rsidR="006652D2" w:rsidRPr="00907D9F" w:rsidRDefault="006652D2" w:rsidP="006652D2">
      <w:r w:rsidRPr="00907D9F">
        <w:rPr>
          <w:bCs/>
        </w:rPr>
        <w:t>A further recommendation focused on diversity and pluralism, with a particular reference to Commissioners. The Northern Ireland Office recruited for a vacant Commissioner position in 2023-24 and the outcome of that process is pending. The final recommendation from the Sub-committee highlighted the Commission’s ability to enter places of deprivation of liberty. It noted that our legal framework does not vest the institution with the statutory power to conduct unannounced visits to places of deprivation of liberty. To achieve this outcome will require a change in our founding legislation. The matter has been raised with the Northern Ireland Office for consideration.</w:t>
      </w:r>
    </w:p>
    <w:p w14:paraId="6B335ED7" w14:textId="77777777" w:rsidR="006652D2" w:rsidRPr="00907D9F" w:rsidRDefault="006652D2" w:rsidP="006652D2">
      <w:pPr>
        <w:rPr>
          <w:bCs/>
        </w:rPr>
      </w:pPr>
    </w:p>
    <w:p w14:paraId="2CCA5FCF" w14:textId="77777777" w:rsidR="006652D2" w:rsidRPr="00907D9F" w:rsidRDefault="006652D2" w:rsidP="006652D2">
      <w:r w:rsidRPr="00907D9F">
        <w:rPr>
          <w:bCs/>
        </w:rPr>
        <w:t xml:space="preserve">The Commission is now subject to a self-reporting obligation to the Global Alliance of National Human Rights Institution, noting </w:t>
      </w:r>
      <w:proofErr w:type="gramStart"/>
      <w:r w:rsidRPr="00907D9F">
        <w:rPr>
          <w:bCs/>
        </w:rPr>
        <w:t>in particular that</w:t>
      </w:r>
      <w:proofErr w:type="gramEnd"/>
      <w:r w:rsidRPr="00907D9F">
        <w:rPr>
          <w:bCs/>
        </w:rPr>
        <w:t xml:space="preserve"> the UK Government is committed to addressing the matters of funding and financial autonomy in the context of the 2025 spending review.</w:t>
      </w:r>
    </w:p>
    <w:p w14:paraId="2D8C2F5C" w14:textId="77777777" w:rsidR="002667DD" w:rsidRDefault="002667DD" w:rsidP="002667DD">
      <w:pPr>
        <w:rPr>
          <w:rFonts w:eastAsia="Calibri"/>
          <w:lang w:eastAsia="en-GB"/>
        </w:rPr>
      </w:pPr>
    </w:p>
    <w:p w14:paraId="12F3C57A" w14:textId="77777777" w:rsidR="00F04493" w:rsidRDefault="00F04493" w:rsidP="002667DD">
      <w:pPr>
        <w:rPr>
          <w:rFonts w:eastAsia="Calibri"/>
          <w:lang w:eastAsia="en-GB"/>
        </w:rPr>
      </w:pPr>
    </w:p>
    <w:p w14:paraId="65D5332E" w14:textId="77777777" w:rsidR="007330CB" w:rsidRDefault="007330CB" w:rsidP="002667DD">
      <w:pPr>
        <w:rPr>
          <w:rFonts w:eastAsia="Calibri"/>
          <w:lang w:eastAsia="en-GB"/>
        </w:rPr>
      </w:pPr>
    </w:p>
    <w:p w14:paraId="0F12A5BE" w14:textId="77777777" w:rsidR="007330CB" w:rsidRDefault="007330CB" w:rsidP="002667DD">
      <w:pPr>
        <w:rPr>
          <w:rFonts w:eastAsia="Calibri"/>
          <w:lang w:eastAsia="en-GB"/>
        </w:rPr>
      </w:pPr>
    </w:p>
    <w:p w14:paraId="1918E0BB" w14:textId="77777777" w:rsidR="00F04493" w:rsidRDefault="00F04493" w:rsidP="002667DD">
      <w:pPr>
        <w:rPr>
          <w:rFonts w:eastAsia="Calibri"/>
          <w:lang w:eastAsia="en-GB"/>
        </w:rPr>
      </w:pPr>
    </w:p>
    <w:p w14:paraId="38F722A2" w14:textId="77777777" w:rsidR="00F04493" w:rsidRDefault="00F04493" w:rsidP="002667DD">
      <w:pPr>
        <w:rPr>
          <w:rFonts w:eastAsia="Calibri"/>
          <w:lang w:eastAsia="en-GB"/>
        </w:rPr>
      </w:pPr>
    </w:p>
    <w:p w14:paraId="412EDBD4" w14:textId="77777777" w:rsidR="00F04493" w:rsidRDefault="00F04493" w:rsidP="002667DD">
      <w:pPr>
        <w:rPr>
          <w:rFonts w:eastAsia="Calibri"/>
          <w:lang w:eastAsia="en-GB"/>
        </w:rPr>
      </w:pPr>
    </w:p>
    <w:p w14:paraId="11CE6AAB" w14:textId="77777777" w:rsidR="00141EDB" w:rsidRDefault="00141EDB" w:rsidP="002667DD">
      <w:pPr>
        <w:rPr>
          <w:rFonts w:eastAsia="Calibri"/>
          <w:lang w:eastAsia="en-GB"/>
        </w:rPr>
      </w:pPr>
    </w:p>
    <w:p w14:paraId="1F199038" w14:textId="77777777" w:rsidR="00141EDB" w:rsidRDefault="00141EDB" w:rsidP="002667DD">
      <w:pPr>
        <w:rPr>
          <w:rFonts w:eastAsia="Calibri"/>
          <w:lang w:eastAsia="en-GB"/>
        </w:rPr>
      </w:pPr>
    </w:p>
    <w:p w14:paraId="3BE63372" w14:textId="77777777" w:rsidR="006652D2" w:rsidRDefault="006652D2" w:rsidP="002667DD">
      <w:pPr>
        <w:rPr>
          <w:rFonts w:eastAsia="Calibri"/>
          <w:lang w:eastAsia="en-GB"/>
        </w:rPr>
      </w:pPr>
    </w:p>
    <w:p w14:paraId="6DF5375F" w14:textId="77777777" w:rsidR="006652D2" w:rsidRDefault="006652D2" w:rsidP="002667DD">
      <w:pPr>
        <w:rPr>
          <w:rFonts w:eastAsia="Calibri"/>
          <w:lang w:eastAsia="en-GB"/>
        </w:rPr>
      </w:pPr>
    </w:p>
    <w:p w14:paraId="6374E321" w14:textId="77777777" w:rsidR="006652D2" w:rsidRDefault="006652D2" w:rsidP="002667DD">
      <w:pPr>
        <w:rPr>
          <w:rFonts w:eastAsia="Calibri"/>
          <w:lang w:eastAsia="en-GB"/>
        </w:rPr>
      </w:pPr>
    </w:p>
    <w:p w14:paraId="5400123D" w14:textId="77777777" w:rsidR="006652D2" w:rsidRDefault="006652D2" w:rsidP="002667DD">
      <w:pPr>
        <w:rPr>
          <w:rFonts w:eastAsia="Calibri"/>
          <w:lang w:eastAsia="en-GB"/>
        </w:rPr>
      </w:pPr>
    </w:p>
    <w:p w14:paraId="26AE674F" w14:textId="77777777" w:rsidR="006652D2" w:rsidRDefault="006652D2" w:rsidP="002667DD">
      <w:pPr>
        <w:rPr>
          <w:rFonts w:eastAsia="Calibri"/>
          <w:lang w:eastAsia="en-GB"/>
        </w:rPr>
      </w:pPr>
    </w:p>
    <w:p w14:paraId="15AC6065" w14:textId="77777777" w:rsidR="006652D2" w:rsidRDefault="006652D2" w:rsidP="002667DD">
      <w:pPr>
        <w:rPr>
          <w:rFonts w:eastAsia="Calibri"/>
          <w:lang w:eastAsia="en-GB"/>
        </w:rPr>
      </w:pPr>
    </w:p>
    <w:p w14:paraId="009AF9B9" w14:textId="77777777" w:rsidR="006652D2" w:rsidRDefault="006652D2" w:rsidP="002667DD">
      <w:pPr>
        <w:rPr>
          <w:rFonts w:eastAsia="Calibri"/>
          <w:lang w:eastAsia="en-GB"/>
        </w:rPr>
      </w:pPr>
    </w:p>
    <w:p w14:paraId="5178C8BB" w14:textId="77777777" w:rsidR="00141EDB" w:rsidRDefault="00141EDB" w:rsidP="002667DD">
      <w:pPr>
        <w:rPr>
          <w:rFonts w:eastAsia="Calibri"/>
          <w:lang w:eastAsia="en-GB"/>
        </w:rPr>
      </w:pPr>
    </w:p>
    <w:p w14:paraId="670A780C" w14:textId="77777777" w:rsidR="00141EDB" w:rsidRDefault="00141EDB" w:rsidP="002667DD">
      <w:pPr>
        <w:rPr>
          <w:rFonts w:eastAsia="Calibri"/>
          <w:lang w:eastAsia="en-GB"/>
        </w:rPr>
      </w:pPr>
    </w:p>
    <w:p w14:paraId="646CA019" w14:textId="77777777" w:rsidR="007330CB" w:rsidRDefault="007330CB" w:rsidP="002667DD">
      <w:pPr>
        <w:rPr>
          <w:rFonts w:eastAsia="Calibri"/>
          <w:b/>
          <w:lang w:eastAsia="en-GB"/>
        </w:rPr>
      </w:pPr>
    </w:p>
    <w:p w14:paraId="55EE3C57" w14:textId="77777777" w:rsidR="007330CB" w:rsidRDefault="007330CB" w:rsidP="002667DD">
      <w:pPr>
        <w:rPr>
          <w:rFonts w:eastAsia="Calibri"/>
          <w:b/>
          <w:lang w:eastAsia="en-GB"/>
        </w:rPr>
      </w:pPr>
    </w:p>
    <w:p w14:paraId="6ACF8BBA" w14:textId="77777777" w:rsidR="007330CB" w:rsidRDefault="007330CB" w:rsidP="002667DD">
      <w:pPr>
        <w:rPr>
          <w:rFonts w:eastAsia="Calibri"/>
          <w:b/>
          <w:lang w:eastAsia="en-GB"/>
        </w:rPr>
      </w:pPr>
    </w:p>
    <w:p w14:paraId="560F7F55" w14:textId="77777777" w:rsidR="007330CB" w:rsidRDefault="007330CB" w:rsidP="002667DD">
      <w:pPr>
        <w:rPr>
          <w:rFonts w:eastAsia="Calibri"/>
          <w:b/>
          <w:lang w:eastAsia="en-GB"/>
        </w:rPr>
      </w:pPr>
    </w:p>
    <w:p w14:paraId="06321C2A" w14:textId="77777777" w:rsidR="007330CB" w:rsidRDefault="007330CB" w:rsidP="002667DD">
      <w:pPr>
        <w:rPr>
          <w:rFonts w:eastAsia="Calibri"/>
          <w:b/>
          <w:lang w:eastAsia="en-GB"/>
        </w:rPr>
      </w:pPr>
    </w:p>
    <w:p w14:paraId="412E277C" w14:textId="77777777" w:rsidR="004E5A0C" w:rsidRDefault="004E5A0C" w:rsidP="004E5A0C">
      <w:pPr>
        <w:rPr>
          <w:rFonts w:eastAsia="Calibri"/>
          <w:b/>
          <w:lang w:eastAsia="en-GB"/>
        </w:rPr>
      </w:pPr>
      <w:bookmarkStart w:id="12" w:name="SustainabilityReport"/>
      <w:r>
        <w:rPr>
          <w:rFonts w:eastAsia="Calibri"/>
          <w:b/>
          <w:lang w:eastAsia="en-GB"/>
        </w:rPr>
        <w:t>Sustainability Report</w:t>
      </w:r>
    </w:p>
    <w:bookmarkEnd w:id="12"/>
    <w:p w14:paraId="22AD9026" w14:textId="77777777" w:rsidR="004E5A0C" w:rsidRDefault="004E5A0C" w:rsidP="004E5A0C">
      <w:pPr>
        <w:rPr>
          <w:rFonts w:eastAsia="Calibri"/>
          <w:b/>
          <w:lang w:eastAsia="en-GB"/>
        </w:rPr>
      </w:pPr>
    </w:p>
    <w:p w14:paraId="777FBBF2" w14:textId="77777777" w:rsidR="004E5A0C" w:rsidRDefault="004E5A0C" w:rsidP="004E5A0C">
      <w:pPr>
        <w:rPr>
          <w:rFonts w:eastAsia="Calibri"/>
          <w:lang w:eastAsia="en-GB"/>
        </w:rPr>
      </w:pPr>
      <w:r>
        <w:rPr>
          <w:rFonts w:eastAsia="Calibri"/>
          <w:lang w:eastAsia="en-GB"/>
        </w:rPr>
        <w:t>The Commission has been granted an exemption from reporting sustainability information under the Greening Government Commitments, under the de minimis criteria. The Commission’s office space is less than 500m</w:t>
      </w:r>
      <w:r w:rsidRPr="00CC3C0D">
        <w:rPr>
          <w:rFonts w:eastAsia="Calibri"/>
          <w:vertAlign w:val="superscript"/>
          <w:lang w:eastAsia="en-GB"/>
        </w:rPr>
        <w:t>2</w:t>
      </w:r>
      <w:r>
        <w:rPr>
          <w:rFonts w:eastAsia="Calibri"/>
          <w:lang w:eastAsia="en-GB"/>
        </w:rPr>
        <w:t xml:space="preserve"> and has a staff complement of less than 50.  Consequently, the Commission has not included a full sustainability report in their annual report.</w:t>
      </w:r>
    </w:p>
    <w:p w14:paraId="7A5A3151" w14:textId="77777777" w:rsidR="004E5A0C" w:rsidRDefault="004E5A0C" w:rsidP="004E5A0C">
      <w:pPr>
        <w:rPr>
          <w:rFonts w:eastAsia="Calibri"/>
          <w:lang w:eastAsia="en-GB"/>
        </w:rPr>
      </w:pPr>
    </w:p>
    <w:p w14:paraId="7122DABF" w14:textId="77777777" w:rsidR="004E5A0C" w:rsidRDefault="004E5A0C" w:rsidP="004E5A0C">
      <w:pPr>
        <w:rPr>
          <w:rFonts w:eastAsia="Calibri"/>
          <w:lang w:eastAsia="en-GB"/>
        </w:rPr>
      </w:pPr>
      <w:r>
        <w:rPr>
          <w:rFonts w:eastAsia="Calibri"/>
          <w:lang w:eastAsia="en-GB"/>
        </w:rPr>
        <w:t xml:space="preserve">However, the Commission is continuing to take action to meet the Greening Government Commitments 2021 to 2025 policy by encouraging efficiency in the use of resources by operating a paperless office; recycling of dry office waste, printer cartridges, plastic bottles and cans; use of recycled paper; removing single use plastic from the office; and engagement with the Commission’s Business and Human Rights Forum to promote sustainable and efficient products and services.  </w:t>
      </w:r>
    </w:p>
    <w:p w14:paraId="612EC7FF" w14:textId="77777777" w:rsidR="004E5A0C" w:rsidRDefault="004E5A0C" w:rsidP="004E5A0C">
      <w:pPr>
        <w:rPr>
          <w:rFonts w:eastAsia="Calibri"/>
          <w:lang w:eastAsia="en-GB"/>
        </w:rPr>
      </w:pPr>
    </w:p>
    <w:p w14:paraId="5ABB7028" w14:textId="0E920B39" w:rsidR="004E5A0C" w:rsidRDefault="004E5A0C" w:rsidP="004E5A0C">
      <w:pPr>
        <w:rPr>
          <w:rFonts w:ascii="Aptos" w:hAnsi="Aptos"/>
          <w:color w:val="auto"/>
          <w:sz w:val="22"/>
          <w:szCs w:val="22"/>
          <w:lang w:eastAsia="en-GB"/>
        </w:rPr>
      </w:pPr>
      <w:r w:rsidRPr="54F71CB4">
        <w:rPr>
          <w:lang w:eastAsia="en-GB"/>
        </w:rPr>
        <w:t xml:space="preserve">The Commission is a partner of Eco-Schools NI, an environmental education programme for schools across Northern Ireland.  Through the partnership, the Commission has delivered a climate change and human rights workshop at Holy Trinity Cookstown and delivered presentations to teachers across the 11 council areas. Commission staff also presented at a sport </w:t>
      </w:r>
      <w:r w:rsidR="00B041C3" w:rsidRPr="54F71CB4">
        <w:rPr>
          <w:lang w:eastAsia="en-GB"/>
        </w:rPr>
        <w:t>and</w:t>
      </w:r>
      <w:r w:rsidRPr="54F71CB4">
        <w:rPr>
          <w:lang w:eastAsia="en-GB"/>
        </w:rPr>
        <w:t xml:space="preserve"> human rights conference for 240 students on how sport impacts the UN Sustainable Development Goals (conference organised by Commonwealth Games NI).</w:t>
      </w:r>
    </w:p>
    <w:p w14:paraId="63CA854C" w14:textId="77777777" w:rsidR="004E5A0C" w:rsidRDefault="004E5A0C" w:rsidP="004E5A0C">
      <w:pPr>
        <w:rPr>
          <w:lang w:eastAsia="en-GB"/>
        </w:rPr>
      </w:pPr>
    </w:p>
    <w:p w14:paraId="6B689B7C" w14:textId="77777777" w:rsidR="004E5A0C" w:rsidRDefault="004E5A0C" w:rsidP="004E5A0C">
      <w:pPr>
        <w:rPr>
          <w:lang w:eastAsia="en-GB"/>
        </w:rPr>
      </w:pPr>
      <w:r>
        <w:rPr>
          <w:lang w:eastAsia="en-GB"/>
        </w:rPr>
        <w:t>The Commission released a podcast with the UN Special Rapporteur on climate change and human rights to highlight how climate change impacts on human rights which was released in the programme for Good Relations Week.</w:t>
      </w:r>
    </w:p>
    <w:p w14:paraId="2721CCF3" w14:textId="77777777" w:rsidR="004E5A0C" w:rsidRDefault="004E5A0C" w:rsidP="004E5A0C">
      <w:pPr>
        <w:rPr>
          <w:rFonts w:eastAsia="Calibri"/>
          <w:lang w:eastAsia="en-GB"/>
        </w:rPr>
      </w:pPr>
    </w:p>
    <w:p w14:paraId="56C04524" w14:textId="77777777" w:rsidR="004E5A0C" w:rsidRDefault="004E5A0C" w:rsidP="004E5A0C">
      <w:pPr>
        <w:rPr>
          <w:rFonts w:eastAsia="Calibri"/>
          <w:lang w:eastAsia="en-GB"/>
        </w:rPr>
      </w:pPr>
      <w:r>
        <w:rPr>
          <w:rFonts w:eastAsia="Calibri"/>
          <w:lang w:eastAsia="en-GB"/>
        </w:rPr>
        <w:t>The Alfred Street office is located within Belfast City Centre close to public transport links, allowing staff to travel to and from the office in a sustainable manner.</w:t>
      </w:r>
    </w:p>
    <w:p w14:paraId="29295F21" w14:textId="77777777" w:rsidR="004E5A0C" w:rsidRDefault="004E5A0C" w:rsidP="004E5A0C">
      <w:pPr>
        <w:rPr>
          <w:rFonts w:eastAsia="Calibri"/>
          <w:lang w:eastAsia="en-GB"/>
        </w:rPr>
      </w:pPr>
    </w:p>
    <w:p w14:paraId="333341CA" w14:textId="77777777" w:rsidR="004E5A0C" w:rsidRDefault="004E5A0C" w:rsidP="004E5A0C">
      <w:pPr>
        <w:rPr>
          <w:rFonts w:eastAsia="Calibri"/>
          <w:lang w:eastAsia="en-GB"/>
        </w:rPr>
      </w:pPr>
      <w:r>
        <w:rPr>
          <w:rFonts w:eastAsia="Calibri"/>
          <w:lang w:eastAsia="en-GB"/>
        </w:rPr>
        <w:t xml:space="preserve">The Commission has also, </w:t>
      </w:r>
      <w:proofErr w:type="gramStart"/>
      <w:r>
        <w:rPr>
          <w:rFonts w:eastAsia="Calibri"/>
          <w:lang w:eastAsia="en-GB"/>
        </w:rPr>
        <w:t>in order to</w:t>
      </w:r>
      <w:proofErr w:type="gramEnd"/>
      <w:r>
        <w:rPr>
          <w:rFonts w:eastAsia="Calibri"/>
          <w:lang w:eastAsia="en-GB"/>
        </w:rPr>
        <w:t xml:space="preserve"> reduce its carbon footprint, pursued a policy of the facilitation, where possible, of staff flexibility in start and finish times allowing staff to travel to and from work at non-peak traffic times.</w:t>
      </w:r>
    </w:p>
    <w:p w14:paraId="506FC331" w14:textId="77777777" w:rsidR="004E5A0C" w:rsidRDefault="004E5A0C" w:rsidP="004E5A0C">
      <w:pPr>
        <w:rPr>
          <w:rFonts w:eastAsia="Calibri"/>
          <w:lang w:eastAsia="en-GB"/>
        </w:rPr>
      </w:pPr>
    </w:p>
    <w:p w14:paraId="6A9FFC59" w14:textId="77777777" w:rsidR="004E5A0C" w:rsidRDefault="004E5A0C" w:rsidP="004E5A0C">
      <w:pPr>
        <w:rPr>
          <w:rFonts w:eastAsia="Calibri"/>
          <w:lang w:eastAsia="en-GB"/>
        </w:rPr>
      </w:pPr>
      <w:r>
        <w:rPr>
          <w:rFonts w:eastAsia="Calibri"/>
          <w:lang w:eastAsia="en-GB"/>
        </w:rPr>
        <w:t>The Commission continues to operate a hybrid model of office and home based working where service delivery permits. It is expected that this will further support the achievement of the Greening Government Commitments 2021 to 2025.</w:t>
      </w:r>
    </w:p>
    <w:p w14:paraId="16A0E276" w14:textId="77777777" w:rsidR="004E5A0C" w:rsidRDefault="004E5A0C" w:rsidP="004E5A0C">
      <w:pPr>
        <w:jc w:val="center"/>
        <w:rPr>
          <w:rFonts w:cs="Arial"/>
          <w:b/>
          <w:color w:val="77328A"/>
          <w:sz w:val="30"/>
          <w:szCs w:val="30"/>
        </w:rPr>
      </w:pPr>
    </w:p>
    <w:p w14:paraId="351C9392" w14:textId="77777777" w:rsidR="004E5A0C" w:rsidRDefault="004E5A0C" w:rsidP="004E5A0C">
      <w:pPr>
        <w:jc w:val="center"/>
        <w:rPr>
          <w:rFonts w:cs="Arial"/>
          <w:b/>
          <w:color w:val="77328A"/>
          <w:sz w:val="30"/>
          <w:szCs w:val="30"/>
        </w:rPr>
      </w:pPr>
    </w:p>
    <w:p w14:paraId="2456258D" w14:textId="77777777" w:rsidR="004E5A0C" w:rsidRDefault="004E5A0C" w:rsidP="004E5A0C">
      <w:pPr>
        <w:jc w:val="center"/>
        <w:rPr>
          <w:rFonts w:cs="Arial"/>
          <w:b/>
          <w:color w:val="77328A"/>
          <w:sz w:val="30"/>
          <w:szCs w:val="30"/>
        </w:rPr>
      </w:pPr>
    </w:p>
    <w:p w14:paraId="17EB6013" w14:textId="77777777" w:rsidR="004E5A0C" w:rsidRDefault="004E5A0C" w:rsidP="004E5A0C">
      <w:pPr>
        <w:jc w:val="center"/>
        <w:rPr>
          <w:rFonts w:cs="Arial"/>
          <w:b/>
          <w:color w:val="77328A"/>
          <w:sz w:val="30"/>
          <w:szCs w:val="30"/>
        </w:rPr>
      </w:pPr>
    </w:p>
    <w:p w14:paraId="3BD1882D" w14:textId="77777777" w:rsidR="004E5A0C" w:rsidRDefault="004E5A0C" w:rsidP="004E5A0C">
      <w:pPr>
        <w:rPr>
          <w:rFonts w:eastAsia="Calibri"/>
          <w:b/>
          <w:lang w:eastAsia="en-GB"/>
        </w:rPr>
      </w:pPr>
      <w:bookmarkStart w:id="13" w:name="TCFD"/>
      <w:r>
        <w:rPr>
          <w:rFonts w:eastAsia="Calibri"/>
          <w:b/>
          <w:lang w:eastAsia="en-GB"/>
        </w:rPr>
        <w:t>Task Force on Climate-related Financial Disclosures (TCFD)</w:t>
      </w:r>
    </w:p>
    <w:bookmarkEnd w:id="13"/>
    <w:p w14:paraId="706206ED" w14:textId="77777777" w:rsidR="004E5A0C" w:rsidRDefault="004E5A0C" w:rsidP="004E5A0C">
      <w:pPr>
        <w:rPr>
          <w:rFonts w:cs="Arial"/>
          <w:b/>
          <w:color w:val="77328A"/>
          <w:sz w:val="30"/>
          <w:szCs w:val="30"/>
        </w:rPr>
      </w:pPr>
    </w:p>
    <w:p w14:paraId="7BB0B777" w14:textId="77777777" w:rsidR="004E5A0C" w:rsidRDefault="004E5A0C" w:rsidP="004E5A0C">
      <w:pPr>
        <w:rPr>
          <w:rFonts w:eastAsia="Calibri"/>
          <w:lang w:eastAsia="en-GB"/>
        </w:rPr>
      </w:pPr>
      <w:r>
        <w:rPr>
          <w:rFonts w:eastAsia="Calibri"/>
          <w:lang w:eastAsia="en-GB"/>
        </w:rPr>
        <w:t>The Commission has been granted an exemption from reporting under the Task Force on Climate-related Financial Disclosures as the Commission has a staff complement of less than 500 and below £500m operating income.</w:t>
      </w:r>
    </w:p>
    <w:p w14:paraId="457B5CB9" w14:textId="77777777" w:rsidR="004E5A0C" w:rsidRDefault="004E5A0C" w:rsidP="004E5A0C">
      <w:pPr>
        <w:rPr>
          <w:rFonts w:eastAsia="Calibri"/>
          <w:lang w:eastAsia="en-GB"/>
        </w:rPr>
      </w:pPr>
    </w:p>
    <w:p w14:paraId="28A0EEDD" w14:textId="77777777" w:rsidR="004E5A0C" w:rsidRDefault="004E5A0C" w:rsidP="004E5A0C">
      <w:pPr>
        <w:rPr>
          <w:rFonts w:eastAsia="Calibri"/>
          <w:lang w:eastAsia="en-GB"/>
        </w:rPr>
      </w:pPr>
      <w:r>
        <w:rPr>
          <w:rFonts w:eastAsia="Calibri"/>
          <w:lang w:eastAsia="en-GB"/>
        </w:rPr>
        <w:t>The Commission’s sponsor branch, the Northern Ireland Office, have confirmed the Commission are not required to comply with TCFD. Consequently, the Commission has not included a TCFD in their annual report.</w:t>
      </w:r>
    </w:p>
    <w:p w14:paraId="75510B5F" w14:textId="77777777" w:rsidR="004E5A0C" w:rsidRDefault="004E5A0C" w:rsidP="002667DD">
      <w:pPr>
        <w:rPr>
          <w:rFonts w:eastAsia="Calibri"/>
          <w:b/>
          <w:lang w:eastAsia="en-GB"/>
        </w:rPr>
      </w:pPr>
    </w:p>
    <w:p w14:paraId="131350EA" w14:textId="77777777" w:rsidR="004E5A0C" w:rsidRDefault="004E5A0C" w:rsidP="002667DD">
      <w:pPr>
        <w:rPr>
          <w:rFonts w:eastAsia="Calibri"/>
          <w:b/>
          <w:lang w:eastAsia="en-GB"/>
        </w:rPr>
      </w:pPr>
    </w:p>
    <w:p w14:paraId="022CA3CC" w14:textId="77777777" w:rsidR="004E5A0C" w:rsidRDefault="004E5A0C" w:rsidP="002667DD">
      <w:pPr>
        <w:rPr>
          <w:rFonts w:eastAsia="Calibri"/>
          <w:b/>
          <w:lang w:eastAsia="en-GB"/>
        </w:rPr>
      </w:pPr>
    </w:p>
    <w:p w14:paraId="2A7F8F0F" w14:textId="77777777" w:rsidR="004E5A0C" w:rsidRDefault="004E5A0C" w:rsidP="002667DD">
      <w:pPr>
        <w:rPr>
          <w:rFonts w:eastAsia="Calibri"/>
          <w:b/>
          <w:lang w:eastAsia="en-GB"/>
        </w:rPr>
      </w:pPr>
    </w:p>
    <w:p w14:paraId="66B982F6" w14:textId="77777777" w:rsidR="004E5A0C" w:rsidRDefault="004E5A0C" w:rsidP="002667DD">
      <w:pPr>
        <w:rPr>
          <w:rFonts w:eastAsia="Calibri"/>
          <w:b/>
          <w:lang w:eastAsia="en-GB"/>
        </w:rPr>
      </w:pPr>
    </w:p>
    <w:p w14:paraId="7A78F2B2" w14:textId="77777777" w:rsidR="004E5A0C" w:rsidRDefault="004E5A0C" w:rsidP="002667DD">
      <w:pPr>
        <w:rPr>
          <w:rFonts w:eastAsia="Calibri"/>
          <w:b/>
          <w:lang w:eastAsia="en-GB"/>
        </w:rPr>
      </w:pPr>
    </w:p>
    <w:p w14:paraId="5C162789" w14:textId="77777777" w:rsidR="004E5A0C" w:rsidRDefault="004E5A0C" w:rsidP="002667DD">
      <w:pPr>
        <w:rPr>
          <w:rFonts w:eastAsia="Calibri"/>
          <w:b/>
          <w:lang w:eastAsia="en-GB"/>
        </w:rPr>
      </w:pPr>
    </w:p>
    <w:p w14:paraId="2C3EA9D2" w14:textId="77777777" w:rsidR="004E5A0C" w:rsidRDefault="004E5A0C" w:rsidP="002667DD">
      <w:pPr>
        <w:rPr>
          <w:rFonts w:eastAsia="Calibri"/>
          <w:b/>
          <w:lang w:eastAsia="en-GB"/>
        </w:rPr>
      </w:pPr>
    </w:p>
    <w:p w14:paraId="20DFD1BF" w14:textId="77777777" w:rsidR="004E5A0C" w:rsidRDefault="004E5A0C" w:rsidP="002667DD">
      <w:pPr>
        <w:rPr>
          <w:rFonts w:eastAsia="Calibri"/>
          <w:b/>
          <w:lang w:eastAsia="en-GB"/>
        </w:rPr>
      </w:pPr>
    </w:p>
    <w:p w14:paraId="19D1B706" w14:textId="77777777" w:rsidR="004E5A0C" w:rsidRDefault="004E5A0C" w:rsidP="002667DD">
      <w:pPr>
        <w:rPr>
          <w:rFonts w:eastAsia="Calibri"/>
          <w:b/>
          <w:lang w:eastAsia="en-GB"/>
        </w:rPr>
      </w:pPr>
    </w:p>
    <w:p w14:paraId="1B13CEB7" w14:textId="77777777" w:rsidR="004E5A0C" w:rsidRDefault="004E5A0C" w:rsidP="002667DD">
      <w:pPr>
        <w:rPr>
          <w:rFonts w:eastAsia="Calibri"/>
          <w:b/>
          <w:lang w:eastAsia="en-GB"/>
        </w:rPr>
      </w:pPr>
    </w:p>
    <w:p w14:paraId="05A1D466" w14:textId="77777777" w:rsidR="004E5A0C" w:rsidRDefault="004E5A0C" w:rsidP="002667DD">
      <w:pPr>
        <w:rPr>
          <w:rFonts w:eastAsia="Calibri"/>
          <w:b/>
          <w:lang w:eastAsia="en-GB"/>
        </w:rPr>
      </w:pPr>
    </w:p>
    <w:p w14:paraId="2BBA84ED" w14:textId="77777777" w:rsidR="004E5A0C" w:rsidRDefault="004E5A0C" w:rsidP="002667DD">
      <w:pPr>
        <w:rPr>
          <w:rFonts w:eastAsia="Calibri"/>
          <w:b/>
          <w:lang w:eastAsia="en-GB"/>
        </w:rPr>
      </w:pPr>
    </w:p>
    <w:p w14:paraId="2D624247" w14:textId="77777777" w:rsidR="004E5A0C" w:rsidRDefault="004E5A0C" w:rsidP="002667DD">
      <w:pPr>
        <w:rPr>
          <w:rFonts w:eastAsia="Calibri"/>
          <w:b/>
          <w:lang w:eastAsia="en-GB"/>
        </w:rPr>
      </w:pPr>
    </w:p>
    <w:p w14:paraId="561641D2" w14:textId="77777777" w:rsidR="004E5A0C" w:rsidRDefault="004E5A0C" w:rsidP="002667DD">
      <w:pPr>
        <w:rPr>
          <w:rFonts w:eastAsia="Calibri"/>
          <w:b/>
          <w:lang w:eastAsia="en-GB"/>
        </w:rPr>
      </w:pPr>
    </w:p>
    <w:p w14:paraId="155CF92D" w14:textId="77777777" w:rsidR="004E5A0C" w:rsidRDefault="004E5A0C" w:rsidP="002667DD">
      <w:pPr>
        <w:rPr>
          <w:rFonts w:eastAsia="Calibri"/>
          <w:b/>
          <w:lang w:eastAsia="en-GB"/>
        </w:rPr>
      </w:pPr>
    </w:p>
    <w:p w14:paraId="07B11D7B" w14:textId="77777777" w:rsidR="004E5A0C" w:rsidRDefault="004E5A0C" w:rsidP="002667DD">
      <w:pPr>
        <w:rPr>
          <w:rFonts w:eastAsia="Calibri"/>
          <w:b/>
          <w:lang w:eastAsia="en-GB"/>
        </w:rPr>
      </w:pPr>
    </w:p>
    <w:p w14:paraId="0232293A" w14:textId="77777777" w:rsidR="004E5A0C" w:rsidRDefault="004E5A0C" w:rsidP="002667DD">
      <w:pPr>
        <w:rPr>
          <w:rFonts w:eastAsia="Calibri"/>
          <w:b/>
          <w:lang w:eastAsia="en-GB"/>
        </w:rPr>
      </w:pPr>
    </w:p>
    <w:p w14:paraId="7937FC94" w14:textId="77777777" w:rsidR="004E5A0C" w:rsidRDefault="004E5A0C" w:rsidP="002667DD">
      <w:pPr>
        <w:rPr>
          <w:rFonts w:eastAsia="Calibri"/>
          <w:b/>
          <w:lang w:eastAsia="en-GB"/>
        </w:rPr>
      </w:pPr>
    </w:p>
    <w:p w14:paraId="36B944A1" w14:textId="77777777" w:rsidR="004E5A0C" w:rsidRDefault="004E5A0C" w:rsidP="002667DD">
      <w:pPr>
        <w:rPr>
          <w:rFonts w:eastAsia="Calibri"/>
          <w:b/>
          <w:lang w:eastAsia="en-GB"/>
        </w:rPr>
      </w:pPr>
    </w:p>
    <w:p w14:paraId="7029145B" w14:textId="77777777" w:rsidR="004E5A0C" w:rsidRDefault="004E5A0C" w:rsidP="002667DD">
      <w:pPr>
        <w:rPr>
          <w:rFonts w:eastAsia="Calibri"/>
          <w:b/>
          <w:lang w:eastAsia="en-GB"/>
        </w:rPr>
      </w:pPr>
    </w:p>
    <w:p w14:paraId="36FDD278" w14:textId="77777777" w:rsidR="004E5A0C" w:rsidRDefault="004E5A0C" w:rsidP="002667DD">
      <w:pPr>
        <w:rPr>
          <w:rFonts w:eastAsia="Calibri"/>
          <w:b/>
          <w:lang w:eastAsia="en-GB"/>
        </w:rPr>
      </w:pPr>
    </w:p>
    <w:p w14:paraId="461ACFD4" w14:textId="77777777" w:rsidR="004E5A0C" w:rsidRDefault="004E5A0C" w:rsidP="002667DD">
      <w:pPr>
        <w:rPr>
          <w:rFonts w:eastAsia="Calibri"/>
          <w:b/>
          <w:lang w:eastAsia="en-GB"/>
        </w:rPr>
      </w:pPr>
    </w:p>
    <w:p w14:paraId="5E7D69D6" w14:textId="77777777" w:rsidR="004E5A0C" w:rsidRDefault="004E5A0C" w:rsidP="002667DD">
      <w:pPr>
        <w:rPr>
          <w:rFonts w:eastAsia="Calibri"/>
          <w:b/>
          <w:lang w:eastAsia="en-GB"/>
        </w:rPr>
      </w:pPr>
    </w:p>
    <w:p w14:paraId="44CE64BB" w14:textId="77777777" w:rsidR="004E5A0C" w:rsidRDefault="004E5A0C" w:rsidP="002667DD">
      <w:pPr>
        <w:rPr>
          <w:rFonts w:eastAsia="Calibri"/>
          <w:b/>
          <w:lang w:eastAsia="en-GB"/>
        </w:rPr>
      </w:pPr>
    </w:p>
    <w:p w14:paraId="0AE45147" w14:textId="77777777" w:rsidR="004E5A0C" w:rsidRDefault="004E5A0C" w:rsidP="002667DD">
      <w:pPr>
        <w:rPr>
          <w:rFonts w:eastAsia="Calibri"/>
          <w:b/>
          <w:lang w:eastAsia="en-GB"/>
        </w:rPr>
      </w:pPr>
    </w:p>
    <w:p w14:paraId="78833A98" w14:textId="77777777" w:rsidR="004E5A0C" w:rsidRDefault="004E5A0C" w:rsidP="002667DD">
      <w:pPr>
        <w:rPr>
          <w:rFonts w:eastAsia="Calibri"/>
          <w:b/>
          <w:lang w:eastAsia="en-GB"/>
        </w:rPr>
      </w:pPr>
    </w:p>
    <w:p w14:paraId="0B646E4C" w14:textId="77777777" w:rsidR="004E5A0C" w:rsidRDefault="004E5A0C" w:rsidP="002667DD">
      <w:pPr>
        <w:rPr>
          <w:rFonts w:eastAsia="Calibri"/>
          <w:b/>
          <w:lang w:eastAsia="en-GB"/>
        </w:rPr>
      </w:pPr>
    </w:p>
    <w:p w14:paraId="31645E7B" w14:textId="77777777" w:rsidR="004E5A0C" w:rsidRDefault="004E5A0C" w:rsidP="002667DD">
      <w:pPr>
        <w:rPr>
          <w:rFonts w:eastAsia="Calibri"/>
          <w:b/>
          <w:lang w:eastAsia="en-GB"/>
        </w:rPr>
      </w:pPr>
    </w:p>
    <w:p w14:paraId="1CCF42F3" w14:textId="77777777" w:rsidR="004E5A0C" w:rsidRDefault="004E5A0C" w:rsidP="002667DD">
      <w:pPr>
        <w:rPr>
          <w:rFonts w:eastAsia="Calibri"/>
          <w:b/>
          <w:lang w:eastAsia="en-GB"/>
        </w:rPr>
      </w:pPr>
    </w:p>
    <w:p w14:paraId="2975F9C0" w14:textId="77777777" w:rsidR="004E5A0C" w:rsidRDefault="004E5A0C" w:rsidP="002667DD">
      <w:pPr>
        <w:rPr>
          <w:rFonts w:eastAsia="Calibri"/>
          <w:b/>
          <w:lang w:eastAsia="en-GB"/>
        </w:rPr>
      </w:pPr>
    </w:p>
    <w:p w14:paraId="0FC2AB09" w14:textId="77777777" w:rsidR="004E5A0C" w:rsidRDefault="004E5A0C" w:rsidP="002667DD">
      <w:pPr>
        <w:rPr>
          <w:rFonts w:eastAsia="Calibri"/>
          <w:b/>
          <w:lang w:eastAsia="en-GB"/>
        </w:rPr>
      </w:pPr>
    </w:p>
    <w:p w14:paraId="3598683A" w14:textId="77777777" w:rsidR="004E5A0C" w:rsidRDefault="004E5A0C" w:rsidP="002667DD">
      <w:pPr>
        <w:rPr>
          <w:rFonts w:eastAsia="Calibri"/>
          <w:b/>
          <w:lang w:eastAsia="en-GB"/>
        </w:rPr>
      </w:pPr>
    </w:p>
    <w:p w14:paraId="5560CCC8" w14:textId="77777777" w:rsidR="004E5A0C" w:rsidRDefault="004E5A0C" w:rsidP="002667DD">
      <w:pPr>
        <w:rPr>
          <w:rFonts w:eastAsia="Calibri"/>
          <w:b/>
          <w:lang w:eastAsia="en-GB"/>
        </w:rPr>
      </w:pPr>
    </w:p>
    <w:p w14:paraId="0A873804" w14:textId="77777777" w:rsidR="004E5A0C" w:rsidRDefault="004E5A0C" w:rsidP="002667DD">
      <w:pPr>
        <w:rPr>
          <w:rFonts w:eastAsia="Calibri"/>
          <w:b/>
          <w:lang w:eastAsia="en-GB"/>
        </w:rPr>
      </w:pPr>
    </w:p>
    <w:p w14:paraId="4A1D8121" w14:textId="77777777" w:rsidR="004E5A0C" w:rsidRDefault="004E5A0C" w:rsidP="002667DD">
      <w:pPr>
        <w:rPr>
          <w:rFonts w:eastAsia="Calibri"/>
          <w:b/>
          <w:lang w:eastAsia="en-GB"/>
        </w:rPr>
      </w:pPr>
    </w:p>
    <w:p w14:paraId="5034C73C" w14:textId="77777777" w:rsidR="004E5A0C" w:rsidRDefault="004E5A0C" w:rsidP="002667DD">
      <w:pPr>
        <w:rPr>
          <w:rFonts w:eastAsia="Calibri"/>
          <w:b/>
          <w:lang w:eastAsia="en-GB"/>
        </w:rPr>
      </w:pPr>
    </w:p>
    <w:p w14:paraId="6C07B617" w14:textId="177D824D" w:rsidR="002667DD" w:rsidRPr="00604C51" w:rsidRDefault="002667DD" w:rsidP="002667DD">
      <w:pPr>
        <w:jc w:val="center"/>
        <w:rPr>
          <w:rFonts w:cs="Arial"/>
          <w:b/>
          <w:color w:val="77328A"/>
          <w:sz w:val="30"/>
          <w:szCs w:val="30"/>
        </w:rPr>
      </w:pPr>
      <w:bookmarkStart w:id="14" w:name="PerformanceAnalysis"/>
      <w:r>
        <w:rPr>
          <w:rFonts w:cs="Arial"/>
          <w:b/>
          <w:color w:val="77328A"/>
          <w:sz w:val="30"/>
          <w:szCs w:val="30"/>
        </w:rPr>
        <w:t>Performance Analysis</w:t>
      </w:r>
    </w:p>
    <w:bookmarkEnd w:id="14"/>
    <w:p w14:paraId="7EE19041" w14:textId="77777777" w:rsidR="002667DD" w:rsidRPr="00014CBD" w:rsidRDefault="002667DD" w:rsidP="002667DD">
      <w:pPr>
        <w:rPr>
          <w:rFonts w:eastAsia="Calibri"/>
          <w:b/>
          <w:sz w:val="22"/>
          <w:szCs w:val="22"/>
          <w:lang w:eastAsia="en-GB"/>
        </w:rPr>
      </w:pPr>
    </w:p>
    <w:p w14:paraId="2E681037" w14:textId="77777777" w:rsidR="002667DD" w:rsidRPr="00014CBD" w:rsidRDefault="002667DD" w:rsidP="002667DD">
      <w:pPr>
        <w:pStyle w:val="ListParagraph"/>
        <w:ind w:left="0"/>
      </w:pPr>
      <w:r w:rsidRPr="00014CBD">
        <w:t>The Commission reports on</w:t>
      </w:r>
      <w:r w:rsidRPr="00014CBD">
        <w:rPr>
          <w:b/>
        </w:rPr>
        <w:t xml:space="preserve"> </w:t>
      </w:r>
      <w:r w:rsidRPr="00014CBD">
        <w:t>its performance to the U</w:t>
      </w:r>
      <w:r>
        <w:t>nited Nations</w:t>
      </w:r>
      <w:r w:rsidRPr="00014CBD">
        <w:t xml:space="preserve"> through the periodic re-accreditation process, to the Northern Ireland Office as its sponsor branch as well as to Parliament through the Secretary of State for </w:t>
      </w:r>
      <w:r>
        <w:t>Northern Ireland</w:t>
      </w:r>
      <w:r w:rsidRPr="00014CBD">
        <w:t>.</w:t>
      </w:r>
    </w:p>
    <w:p w14:paraId="6942D888" w14:textId="77777777" w:rsidR="002667DD" w:rsidRPr="00014CBD" w:rsidRDefault="002667DD" w:rsidP="002667DD">
      <w:pPr>
        <w:pStyle w:val="ListParagraph"/>
        <w:ind w:left="0"/>
      </w:pPr>
    </w:p>
    <w:p w14:paraId="4479CF58" w14:textId="01F65A90" w:rsidR="002667DD" w:rsidRDefault="002667DD" w:rsidP="002667DD">
      <w:pPr>
        <w:rPr>
          <w:noProof/>
          <w:lang w:eastAsia="en-GB"/>
        </w:rPr>
      </w:pPr>
      <w:r>
        <w:t>We have continued to adopt a robust performance management system to ensure regularity, propriety and value for money.</w:t>
      </w:r>
      <w:r w:rsidRPr="54F71CB4">
        <w:rPr>
          <w:noProof/>
          <w:lang w:eastAsia="en-GB"/>
        </w:rPr>
        <w:t xml:space="preserve"> This year we operated with one Chief Commissioner, Alyson Kilpatrick, and six part time Commissioners</w:t>
      </w:r>
      <w:r w:rsidR="00464BFD" w:rsidRPr="54F71CB4">
        <w:rPr>
          <w:noProof/>
          <w:lang w:eastAsia="en-GB"/>
        </w:rPr>
        <w:t xml:space="preserve"> until </w:t>
      </w:r>
      <w:r w:rsidR="00B4092D" w:rsidRPr="54F71CB4">
        <w:rPr>
          <w:noProof/>
          <w:lang w:eastAsia="en-GB"/>
        </w:rPr>
        <w:t xml:space="preserve">August 2023 and five part time Commissioners from </w:t>
      </w:r>
      <w:r w:rsidR="00430E1C" w:rsidRPr="54F71CB4">
        <w:rPr>
          <w:noProof/>
          <w:lang w:eastAsia="en-GB"/>
        </w:rPr>
        <w:t xml:space="preserve">September </w:t>
      </w:r>
      <w:r w:rsidR="00B4092D" w:rsidRPr="54F71CB4">
        <w:rPr>
          <w:noProof/>
          <w:lang w:eastAsia="en-GB"/>
        </w:rPr>
        <w:t>2023</w:t>
      </w:r>
      <w:r w:rsidRPr="54F71CB4">
        <w:rPr>
          <w:noProof/>
          <w:lang w:eastAsia="en-GB"/>
        </w:rPr>
        <w:t>.   The complement of staff at year-end was 2</w:t>
      </w:r>
      <w:r w:rsidR="00955505" w:rsidRPr="54F71CB4">
        <w:rPr>
          <w:noProof/>
          <w:lang w:eastAsia="en-GB"/>
        </w:rPr>
        <w:t>6</w:t>
      </w:r>
      <w:r w:rsidRPr="54F71CB4">
        <w:rPr>
          <w:noProof/>
          <w:lang w:eastAsia="en-GB"/>
        </w:rPr>
        <w:t>, which included t</w:t>
      </w:r>
      <w:r w:rsidR="00E64DD4" w:rsidRPr="54F71CB4">
        <w:rPr>
          <w:noProof/>
          <w:lang w:eastAsia="en-GB"/>
        </w:rPr>
        <w:t>hree</w:t>
      </w:r>
      <w:r w:rsidRPr="54F71CB4">
        <w:rPr>
          <w:noProof/>
          <w:lang w:eastAsia="en-GB"/>
        </w:rPr>
        <w:t xml:space="preserve"> temporary contracts. </w:t>
      </w:r>
      <w:r w:rsidR="003F4B46">
        <w:rPr>
          <w:noProof/>
          <w:lang w:eastAsia="en-GB"/>
        </w:rPr>
        <w:t xml:space="preserve"> Planned recruitment for an additional five posts commenced in 2023-24, with one post being recruited to.</w:t>
      </w:r>
      <w:r w:rsidRPr="54F71CB4">
        <w:rPr>
          <w:noProof/>
          <w:lang w:eastAsia="en-GB"/>
        </w:rPr>
        <w:t xml:space="preserve"> </w:t>
      </w:r>
      <w:r w:rsidR="003F4B46">
        <w:rPr>
          <w:noProof/>
          <w:lang w:eastAsia="en-GB"/>
        </w:rPr>
        <w:t>Further recruitment will take place in 2024-25.</w:t>
      </w:r>
    </w:p>
    <w:p w14:paraId="10143911" w14:textId="77777777" w:rsidR="002667DD" w:rsidRDefault="002667DD" w:rsidP="002667DD">
      <w:pPr>
        <w:rPr>
          <w:noProof/>
          <w:lang w:eastAsia="en-GB"/>
        </w:rPr>
      </w:pPr>
    </w:p>
    <w:p w14:paraId="72DDE956" w14:textId="023657A5" w:rsidR="002667DD" w:rsidRDefault="002667DD" w:rsidP="002667DD">
      <w:pPr>
        <w:rPr>
          <w:noProof/>
          <w:lang w:eastAsia="en-GB"/>
        </w:rPr>
      </w:pPr>
      <w:r w:rsidRPr="54F71CB4">
        <w:rPr>
          <w:noProof/>
          <w:lang w:eastAsia="en-GB"/>
        </w:rPr>
        <w:t xml:space="preserve">Despite an absence of funding, the Joint Committee of representatives from the Irish Human Rights and Equality Commission and the Northern Ireland Human Rights Commission did meet on </w:t>
      </w:r>
      <w:r w:rsidR="127EE72F" w:rsidRPr="54F71CB4">
        <w:rPr>
          <w:noProof/>
          <w:lang w:eastAsia="en-GB"/>
        </w:rPr>
        <w:t xml:space="preserve">two </w:t>
      </w:r>
      <w:r w:rsidRPr="54F71CB4">
        <w:rPr>
          <w:noProof/>
          <w:lang w:eastAsia="en-GB"/>
        </w:rPr>
        <w:t>occasion</w:t>
      </w:r>
      <w:r w:rsidR="00780E7F">
        <w:rPr>
          <w:noProof/>
          <w:lang w:eastAsia="en-GB"/>
        </w:rPr>
        <w:t>s</w:t>
      </w:r>
      <w:r w:rsidRPr="54F71CB4">
        <w:rPr>
          <w:noProof/>
          <w:lang w:eastAsia="en-GB"/>
        </w:rPr>
        <w:t xml:space="preserve"> in 202</w:t>
      </w:r>
      <w:r w:rsidR="05C7B2CF" w:rsidRPr="54F71CB4">
        <w:rPr>
          <w:noProof/>
          <w:lang w:eastAsia="en-GB"/>
        </w:rPr>
        <w:t>3</w:t>
      </w:r>
      <w:r w:rsidRPr="54F71CB4">
        <w:rPr>
          <w:noProof/>
          <w:lang w:eastAsia="en-GB"/>
        </w:rPr>
        <w:t>-2</w:t>
      </w:r>
      <w:r w:rsidR="5190320E" w:rsidRPr="54F71CB4">
        <w:rPr>
          <w:noProof/>
          <w:lang w:eastAsia="en-GB"/>
        </w:rPr>
        <w:t>4</w:t>
      </w:r>
      <w:r w:rsidRPr="54F71CB4">
        <w:rPr>
          <w:noProof/>
          <w:lang w:eastAsia="en-GB"/>
        </w:rPr>
        <w:t>.  A considerable programme of work also continued to be delivered in partnership focusing on the impacts of the UK withdrawal from the EU.</w:t>
      </w:r>
    </w:p>
    <w:p w14:paraId="57478CAE" w14:textId="77777777" w:rsidR="00E664A6" w:rsidRPr="00014CBD" w:rsidRDefault="00E664A6" w:rsidP="00E664A6">
      <w:pPr>
        <w:pStyle w:val="ListParagraph"/>
        <w:ind w:left="0"/>
      </w:pPr>
      <w:bookmarkStart w:id="15" w:name="_Hlk137714097"/>
    </w:p>
    <w:p w14:paraId="6EECE55F" w14:textId="181DF325" w:rsidR="00E664A6" w:rsidRDefault="00E664A6" w:rsidP="54F71CB4">
      <w:pPr>
        <w:rPr>
          <w:noProof/>
          <w:lang w:eastAsia="en-GB"/>
        </w:rPr>
      </w:pPr>
      <w:r w:rsidRPr="54F71CB4">
        <w:rPr>
          <w:noProof/>
          <w:lang w:eastAsia="en-GB"/>
        </w:rPr>
        <w:t xml:space="preserve">For </w:t>
      </w:r>
      <w:r w:rsidR="00FC4A76" w:rsidRPr="54F71CB4">
        <w:rPr>
          <w:noProof/>
          <w:lang w:eastAsia="en-GB"/>
        </w:rPr>
        <w:t>2023-24</w:t>
      </w:r>
      <w:r w:rsidRPr="54F71CB4">
        <w:rPr>
          <w:noProof/>
          <w:lang w:eastAsia="en-GB"/>
        </w:rPr>
        <w:t xml:space="preserve"> the Commission had a core budget of £1,</w:t>
      </w:r>
      <w:r w:rsidR="008A40D9" w:rsidRPr="54F71CB4">
        <w:rPr>
          <w:noProof/>
          <w:lang w:eastAsia="en-GB"/>
        </w:rPr>
        <w:t>980</w:t>
      </w:r>
      <w:r w:rsidRPr="54F71CB4">
        <w:rPr>
          <w:noProof/>
          <w:lang w:eastAsia="en-GB"/>
        </w:rPr>
        <w:t>,</w:t>
      </w:r>
      <w:r w:rsidR="008A40D9" w:rsidRPr="54F71CB4">
        <w:rPr>
          <w:noProof/>
          <w:lang w:eastAsia="en-GB"/>
        </w:rPr>
        <w:t>053</w:t>
      </w:r>
      <w:r w:rsidRPr="54F71CB4">
        <w:rPr>
          <w:noProof/>
          <w:lang w:eastAsia="en-GB"/>
        </w:rPr>
        <w:t xml:space="preserve"> and £</w:t>
      </w:r>
      <w:r w:rsidR="0065613B" w:rsidRPr="54F71CB4">
        <w:rPr>
          <w:noProof/>
          <w:lang w:eastAsia="en-GB"/>
        </w:rPr>
        <w:t>907</w:t>
      </w:r>
      <w:r w:rsidRPr="54F71CB4">
        <w:rPr>
          <w:noProof/>
          <w:lang w:eastAsia="en-GB"/>
        </w:rPr>
        <w:t>,</w:t>
      </w:r>
      <w:r w:rsidR="0065613B" w:rsidRPr="54F71CB4">
        <w:rPr>
          <w:noProof/>
          <w:lang w:eastAsia="en-GB"/>
        </w:rPr>
        <w:t>203</w:t>
      </w:r>
      <w:r w:rsidRPr="54F71CB4">
        <w:rPr>
          <w:noProof/>
          <w:lang w:eastAsia="en-GB"/>
        </w:rPr>
        <w:t xml:space="preserve"> for the Dedicated Mechanism.</w:t>
      </w:r>
      <w:r w:rsidR="00D106A7" w:rsidRPr="54F71CB4">
        <w:rPr>
          <w:noProof/>
          <w:lang w:eastAsia="en-GB"/>
        </w:rPr>
        <w:t xml:space="preserve">  The Commission had a </w:t>
      </w:r>
      <w:r w:rsidR="00EE0A85" w:rsidRPr="54F71CB4">
        <w:rPr>
          <w:noProof/>
          <w:lang w:eastAsia="en-GB"/>
        </w:rPr>
        <w:t xml:space="preserve">core </w:t>
      </w:r>
      <w:r w:rsidR="0052699A" w:rsidRPr="54F71CB4">
        <w:rPr>
          <w:noProof/>
          <w:lang w:eastAsia="en-GB"/>
        </w:rPr>
        <w:t xml:space="preserve">capital </w:t>
      </w:r>
      <w:r w:rsidR="00C25C54" w:rsidRPr="54F71CB4">
        <w:rPr>
          <w:noProof/>
          <w:lang w:eastAsia="en-GB"/>
        </w:rPr>
        <w:t xml:space="preserve">budget of </w:t>
      </w:r>
      <w:r w:rsidR="00330814" w:rsidRPr="54F71CB4">
        <w:rPr>
          <w:noProof/>
          <w:lang w:eastAsia="en-GB"/>
        </w:rPr>
        <w:t>£21,569</w:t>
      </w:r>
      <w:r w:rsidR="00EE0A85" w:rsidRPr="54F71CB4">
        <w:rPr>
          <w:noProof/>
          <w:lang w:eastAsia="en-GB"/>
        </w:rPr>
        <w:t xml:space="preserve"> and £7,500 for the Dedicated Mechanism.</w:t>
      </w:r>
      <w:r w:rsidRPr="54F71CB4">
        <w:rPr>
          <w:noProof/>
          <w:lang w:eastAsia="en-GB"/>
        </w:rPr>
        <w:t xml:space="preserve">  This was funded by grant-in-aid from Parliament through our sponsor branch, the Northern Ireland Office (NIO).  </w:t>
      </w:r>
    </w:p>
    <w:p w14:paraId="11285883" w14:textId="77777777" w:rsidR="00E664A6" w:rsidRDefault="00E664A6" w:rsidP="00E664A6">
      <w:pPr>
        <w:rPr>
          <w:bCs/>
          <w:noProof/>
          <w:lang w:eastAsia="en-GB"/>
        </w:rPr>
      </w:pPr>
    </w:p>
    <w:p w14:paraId="53D85BC0" w14:textId="6C71789A" w:rsidR="00E664A6" w:rsidRDefault="00E664A6" w:rsidP="00E664A6">
      <w:r>
        <w:t>The opening Taxpayers’ Equity on 1 April 202</w:t>
      </w:r>
      <w:r w:rsidR="0065613B">
        <w:t>3</w:t>
      </w:r>
      <w:r>
        <w:t xml:space="preserve"> was </w:t>
      </w:r>
      <w:r w:rsidR="00562927">
        <w:t>£695,40</w:t>
      </w:r>
      <w:r w:rsidR="00BF74AE">
        <w:t>3</w:t>
      </w:r>
      <w:r>
        <w:t xml:space="preserve">.  This </w:t>
      </w:r>
      <w:r w:rsidR="00DB4EE9">
        <w:t>in</w:t>
      </w:r>
      <w:r>
        <w:t xml:space="preserve">creased by </w:t>
      </w:r>
      <w:r w:rsidR="009A0ABC">
        <w:t>£221,275</w:t>
      </w:r>
      <w:r>
        <w:t xml:space="preserve"> to £</w:t>
      </w:r>
      <w:r w:rsidR="00DB4EE9">
        <w:t>916</w:t>
      </w:r>
      <w:r>
        <w:t>,</w:t>
      </w:r>
      <w:r w:rsidR="00DB4EE9">
        <w:t>678</w:t>
      </w:r>
      <w:r>
        <w:t xml:space="preserve"> at the end of the financial year. </w:t>
      </w:r>
    </w:p>
    <w:p w14:paraId="2E44BD80" w14:textId="77777777" w:rsidR="00E664A6" w:rsidRDefault="00E664A6" w:rsidP="00E664A6"/>
    <w:p w14:paraId="1E26AECB" w14:textId="66FD0EE1" w:rsidR="00E664A6" w:rsidRDefault="00E664A6" w:rsidP="00E664A6">
      <w:r>
        <w:t>The Commission’s net expenditure in 202</w:t>
      </w:r>
      <w:r w:rsidR="00693502">
        <w:t>3</w:t>
      </w:r>
      <w:r>
        <w:t>-2</w:t>
      </w:r>
      <w:r w:rsidR="00693502">
        <w:t>4</w:t>
      </w:r>
      <w:r>
        <w:t xml:space="preserve"> was £2,</w:t>
      </w:r>
      <w:r w:rsidR="007D23DF">
        <w:t>702</w:t>
      </w:r>
      <w:r>
        <w:t>,</w:t>
      </w:r>
      <w:r w:rsidR="007D23DF">
        <w:t>53</w:t>
      </w:r>
      <w:r w:rsidR="003F3D6B">
        <w:t>5</w:t>
      </w:r>
      <w:r>
        <w:t xml:space="preserve"> (202</w:t>
      </w:r>
      <w:r w:rsidR="008E2FA0">
        <w:t>2</w:t>
      </w:r>
      <w:r>
        <w:t>-2</w:t>
      </w:r>
      <w:r w:rsidR="008E2FA0">
        <w:t>3</w:t>
      </w:r>
      <w:r>
        <w:t xml:space="preserve"> £2,</w:t>
      </w:r>
      <w:r w:rsidR="008E2FA0">
        <w:t>476</w:t>
      </w:r>
      <w:r>
        <w:t>,</w:t>
      </w:r>
      <w:r w:rsidR="008E2FA0">
        <w:t>245</w:t>
      </w:r>
      <w:r>
        <w:t>).</w:t>
      </w:r>
      <w:r w:rsidRPr="54F71CB4">
        <w:rPr>
          <w:noProof/>
          <w:lang w:eastAsia="en-GB"/>
        </w:rPr>
        <w:t xml:space="preserve">  </w:t>
      </w:r>
      <w:r>
        <w:t xml:space="preserve">The increase mainly resulted from increased staff costs, </w:t>
      </w:r>
      <w:r w:rsidR="00A819F2">
        <w:t>public relations</w:t>
      </w:r>
      <w:r>
        <w:t>,</w:t>
      </w:r>
      <w:r w:rsidR="006818D1">
        <w:t xml:space="preserve"> publications produced</w:t>
      </w:r>
      <w:r>
        <w:t xml:space="preserve"> and</w:t>
      </w:r>
      <w:r w:rsidR="00C33DC6">
        <w:t xml:space="preserve"> legal fees.</w:t>
      </w:r>
    </w:p>
    <w:p w14:paraId="4D0C6CAD" w14:textId="77777777" w:rsidR="00E664A6" w:rsidRDefault="00E664A6" w:rsidP="00E664A6"/>
    <w:p w14:paraId="70B1F4E6" w14:textId="58D276BD" w:rsidR="00E664A6" w:rsidRPr="00F32979" w:rsidRDefault="00E664A6" w:rsidP="00E664A6">
      <w:pPr>
        <w:rPr>
          <w:bCs/>
          <w:noProof/>
          <w:lang w:eastAsia="en-GB"/>
        </w:rPr>
      </w:pPr>
      <w:r>
        <w:t>The Commission had a net gain on revaluation of property for 202</w:t>
      </w:r>
      <w:r w:rsidR="008424B7">
        <w:t>3</w:t>
      </w:r>
      <w:r>
        <w:t>-2</w:t>
      </w:r>
      <w:r w:rsidR="008424B7">
        <w:t>4</w:t>
      </w:r>
      <w:r>
        <w:t xml:space="preserve"> of £</w:t>
      </w:r>
      <w:r w:rsidR="008424B7">
        <w:t>14</w:t>
      </w:r>
      <w:r>
        <w:t>,</w:t>
      </w:r>
      <w:r w:rsidR="008424B7">
        <w:t>976</w:t>
      </w:r>
      <w:r>
        <w:t xml:space="preserve"> (202</w:t>
      </w:r>
      <w:r w:rsidR="008424B7">
        <w:t>2</w:t>
      </w:r>
      <w:r>
        <w:t>-2</w:t>
      </w:r>
      <w:r w:rsidR="008424B7">
        <w:t>3</w:t>
      </w:r>
      <w:r>
        <w:t xml:space="preserve"> £</w:t>
      </w:r>
      <w:r w:rsidR="008424B7">
        <w:t>41,203</w:t>
      </w:r>
      <w:r>
        <w:t xml:space="preserve">).  </w:t>
      </w:r>
    </w:p>
    <w:p w14:paraId="760D0367" w14:textId="77777777" w:rsidR="00E664A6" w:rsidRDefault="00E664A6" w:rsidP="00E664A6"/>
    <w:p w14:paraId="6C487D54" w14:textId="43A641EB" w:rsidR="00E664A6" w:rsidRDefault="00E664A6" w:rsidP="00E664A6">
      <w:r>
        <w:t>Grant-in-aid from the NIO was £</w:t>
      </w:r>
      <w:r w:rsidR="00503AA2">
        <w:t>627</w:t>
      </w:r>
      <w:r>
        <w:t>,</w:t>
      </w:r>
      <w:r w:rsidR="00012AC0">
        <w:t>4</w:t>
      </w:r>
      <w:r w:rsidR="00503AA2">
        <w:t>43</w:t>
      </w:r>
      <w:r>
        <w:t xml:space="preserve"> </w:t>
      </w:r>
      <w:r w:rsidR="00EA069C">
        <w:t>more</w:t>
      </w:r>
      <w:r>
        <w:t xml:space="preserve"> than in the prior year.  This was due to a</w:t>
      </w:r>
      <w:r w:rsidR="009453D9">
        <w:t>n increase</w:t>
      </w:r>
      <w:r>
        <w:t xml:space="preserve"> in the core budget of £</w:t>
      </w:r>
      <w:r w:rsidR="00160999">
        <w:t>374</w:t>
      </w:r>
      <w:r>
        <w:t>,</w:t>
      </w:r>
      <w:r w:rsidR="00160999">
        <w:t>662</w:t>
      </w:r>
      <w:r>
        <w:t>, an increase of £</w:t>
      </w:r>
      <w:r w:rsidR="009F5DDC">
        <w:t>48</w:t>
      </w:r>
      <w:r>
        <w:t>,</w:t>
      </w:r>
      <w:r w:rsidR="009F5DDC">
        <w:t>203</w:t>
      </w:r>
      <w:r>
        <w:t xml:space="preserve"> in the </w:t>
      </w:r>
      <w:r w:rsidR="00DB3825">
        <w:t>D</w:t>
      </w:r>
      <w:r>
        <w:t xml:space="preserve">edicated </w:t>
      </w:r>
      <w:r w:rsidR="00DB3825">
        <w:t>M</w:t>
      </w:r>
      <w:r>
        <w:t xml:space="preserve">echanism budget, and </w:t>
      </w:r>
      <w:r w:rsidR="009F5DDC">
        <w:t xml:space="preserve">a core capital budget of £21,569 and </w:t>
      </w:r>
      <w:r w:rsidR="00DB3825">
        <w:t>£7,500 for the Dedicated Mechanism</w:t>
      </w:r>
      <w:r w:rsidR="00CD3CE7">
        <w:t xml:space="preserve">, </w:t>
      </w:r>
      <w:r w:rsidR="000A63D6">
        <w:t xml:space="preserve">and the return of £183,000 to the NIO (for core and the dedicated mechanism) </w:t>
      </w:r>
      <w:r w:rsidR="00083951">
        <w:t xml:space="preserve">in </w:t>
      </w:r>
      <w:r w:rsidR="00517E9A">
        <w:t xml:space="preserve">prior year </w:t>
      </w:r>
      <w:r w:rsidR="000A63D6">
        <w:t xml:space="preserve">relating to the </w:t>
      </w:r>
      <w:r w:rsidR="00517E9A">
        <w:t>2021/22</w:t>
      </w:r>
      <w:r w:rsidR="00573F7E">
        <w:t>.  £7,491 budget</w:t>
      </w:r>
      <w:r w:rsidR="008405AC">
        <w:t xml:space="preserve"> allocation</w:t>
      </w:r>
      <w:r w:rsidR="00517E9A">
        <w:t xml:space="preserve"> was not </w:t>
      </w:r>
      <w:r w:rsidR="00675033">
        <w:t>drawn down in the current year.</w:t>
      </w:r>
      <w:r w:rsidR="008405AC">
        <w:t xml:space="preserve"> </w:t>
      </w:r>
    </w:p>
    <w:p w14:paraId="3D51F811" w14:textId="77777777" w:rsidR="004E5A0C" w:rsidRDefault="004E5A0C" w:rsidP="00E664A6"/>
    <w:p w14:paraId="09ED3633" w14:textId="77777777" w:rsidR="004E5A0C" w:rsidRDefault="004E5A0C" w:rsidP="00E664A6"/>
    <w:p w14:paraId="07C19FA6" w14:textId="77777777" w:rsidR="004E5A0C" w:rsidRDefault="004E5A0C" w:rsidP="00E664A6"/>
    <w:p w14:paraId="79999E5C" w14:textId="77777777" w:rsidR="004E5A0C" w:rsidRDefault="004E5A0C" w:rsidP="00E664A6"/>
    <w:bookmarkEnd w:id="15"/>
    <w:p w14:paraId="4ABF9D36" w14:textId="6EDAAE26" w:rsidR="002667DD" w:rsidRDefault="0021497F" w:rsidP="002667DD">
      <w:pPr>
        <w:rPr>
          <w:noProof/>
          <w:lang w:eastAsia="en-GB"/>
        </w:rPr>
      </w:pPr>
      <w:r>
        <w:rPr>
          <w:noProof/>
        </w:rPr>
        <w:drawing>
          <wp:inline distT="0" distB="0" distL="0" distR="0" wp14:anchorId="5657D294" wp14:editId="7CBE3F8C">
            <wp:extent cx="1627770" cy="452438"/>
            <wp:effectExtent l="0" t="0" r="0" b="508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ature on a white background&#10;&#10;Description automatically generated"/>
                    <pic:cNvPicPr/>
                  </pic:nvPicPr>
                  <pic:blipFill rotWithShape="1">
                    <a:blip r:embed="rId28" cstate="print">
                      <a:extLst>
                        <a:ext uri="{28A0092B-C50C-407E-A947-70E740481C1C}">
                          <a14:useLocalDpi xmlns:a14="http://schemas.microsoft.com/office/drawing/2010/main" val="0"/>
                        </a:ext>
                      </a:extLst>
                    </a:blip>
                    <a:srcRect t="27943" b="23685"/>
                    <a:stretch/>
                  </pic:blipFill>
                  <pic:spPr bwMode="auto">
                    <a:xfrm>
                      <a:off x="0" y="0"/>
                      <a:ext cx="1718836" cy="477750"/>
                    </a:xfrm>
                    <a:prstGeom prst="rect">
                      <a:avLst/>
                    </a:prstGeom>
                    <a:ln>
                      <a:noFill/>
                    </a:ln>
                    <a:extLst>
                      <a:ext uri="{53640926-AAD7-44D8-BBD7-CCE9431645EC}">
                        <a14:shadowObscured xmlns:a14="http://schemas.microsoft.com/office/drawing/2010/main"/>
                      </a:ext>
                    </a:extLst>
                  </pic:spPr>
                </pic:pic>
              </a:graphicData>
            </a:graphic>
          </wp:inline>
        </w:drawing>
      </w:r>
    </w:p>
    <w:p w14:paraId="64E2E14A" w14:textId="77777777" w:rsidR="0021497F" w:rsidRDefault="0021497F" w:rsidP="002667DD">
      <w:pPr>
        <w:rPr>
          <w:noProof/>
          <w:lang w:eastAsia="en-GB"/>
        </w:rPr>
      </w:pPr>
    </w:p>
    <w:p w14:paraId="33FEF0F2" w14:textId="77777777" w:rsidR="002667DD" w:rsidRPr="009B4441" w:rsidRDefault="002667DD" w:rsidP="002667DD">
      <w:pPr>
        <w:rPr>
          <w:b/>
          <w:color w:val="auto"/>
        </w:rPr>
      </w:pPr>
      <w:r>
        <w:rPr>
          <w:b/>
          <w:color w:val="auto"/>
        </w:rPr>
        <w:t>Dr David Russell</w:t>
      </w:r>
    </w:p>
    <w:p w14:paraId="566E339A" w14:textId="77777777" w:rsidR="002667DD" w:rsidRDefault="002667DD" w:rsidP="002667DD">
      <w:pPr>
        <w:rPr>
          <w:b/>
          <w:color w:val="auto"/>
        </w:rPr>
      </w:pPr>
      <w:r w:rsidRPr="009B4441">
        <w:rPr>
          <w:b/>
          <w:color w:val="auto"/>
        </w:rPr>
        <w:t>Accounting Officer</w:t>
      </w:r>
    </w:p>
    <w:p w14:paraId="5CBE83EB" w14:textId="77777777" w:rsidR="002667DD" w:rsidRPr="009B4441" w:rsidRDefault="002667DD" w:rsidP="002667DD">
      <w:pPr>
        <w:rPr>
          <w:b/>
          <w:color w:val="auto"/>
        </w:rPr>
      </w:pPr>
    </w:p>
    <w:p w14:paraId="13D7BA92" w14:textId="2CB2553B" w:rsidR="002667DD" w:rsidRDefault="002667DD" w:rsidP="002667DD">
      <w:pPr>
        <w:rPr>
          <w:b/>
          <w:color w:val="auto"/>
        </w:rPr>
      </w:pPr>
      <w:r w:rsidRPr="009B4441">
        <w:rPr>
          <w:b/>
          <w:color w:val="auto"/>
        </w:rPr>
        <w:t xml:space="preserve">Date:  </w:t>
      </w:r>
      <w:r w:rsidR="00AE1FB0">
        <w:rPr>
          <w:b/>
          <w:color w:val="auto"/>
        </w:rPr>
        <w:t>18 July</w:t>
      </w:r>
      <w:r>
        <w:rPr>
          <w:b/>
          <w:color w:val="auto"/>
        </w:rPr>
        <w:t xml:space="preserve"> 20</w:t>
      </w:r>
      <w:r w:rsidR="005E6D62">
        <w:rPr>
          <w:b/>
          <w:color w:val="auto"/>
        </w:rPr>
        <w:t>2</w:t>
      </w:r>
      <w:r w:rsidR="00ED4A54">
        <w:rPr>
          <w:b/>
          <w:color w:val="auto"/>
        </w:rPr>
        <w:t>4</w:t>
      </w:r>
    </w:p>
    <w:p w14:paraId="561D319A" w14:textId="77777777" w:rsidR="002667DD" w:rsidRDefault="002667DD" w:rsidP="002667DD">
      <w:pPr>
        <w:rPr>
          <w:b/>
          <w:color w:val="auto"/>
        </w:rPr>
      </w:pPr>
    </w:p>
    <w:p w14:paraId="3904D47C" w14:textId="77777777" w:rsidR="002667DD" w:rsidRDefault="002667DD" w:rsidP="002667DD">
      <w:pPr>
        <w:jc w:val="center"/>
        <w:rPr>
          <w:rFonts w:cs="Arial"/>
          <w:b/>
          <w:color w:val="77328A"/>
          <w:sz w:val="30"/>
          <w:szCs w:val="30"/>
        </w:rPr>
      </w:pPr>
    </w:p>
    <w:p w14:paraId="09587656" w14:textId="77777777" w:rsidR="002667DD" w:rsidRDefault="002667DD" w:rsidP="002667DD">
      <w:pPr>
        <w:jc w:val="center"/>
        <w:rPr>
          <w:rFonts w:cs="Arial"/>
          <w:b/>
          <w:color w:val="77328A"/>
          <w:sz w:val="30"/>
          <w:szCs w:val="30"/>
        </w:rPr>
      </w:pPr>
    </w:p>
    <w:p w14:paraId="21C07A31" w14:textId="77777777" w:rsidR="002667DD" w:rsidRDefault="002667DD" w:rsidP="002667DD">
      <w:pPr>
        <w:jc w:val="center"/>
        <w:rPr>
          <w:rFonts w:cs="Arial"/>
          <w:b/>
          <w:color w:val="77328A"/>
          <w:sz w:val="30"/>
          <w:szCs w:val="30"/>
        </w:rPr>
      </w:pPr>
    </w:p>
    <w:p w14:paraId="701C5F12" w14:textId="77777777" w:rsidR="002667DD" w:rsidRDefault="002667DD" w:rsidP="002667DD">
      <w:pPr>
        <w:jc w:val="center"/>
        <w:rPr>
          <w:rFonts w:cs="Arial"/>
          <w:b/>
          <w:color w:val="77328A"/>
          <w:sz w:val="30"/>
          <w:szCs w:val="30"/>
        </w:rPr>
      </w:pPr>
    </w:p>
    <w:p w14:paraId="3865ADFA" w14:textId="77777777" w:rsidR="002667DD" w:rsidRDefault="002667DD" w:rsidP="002667DD">
      <w:pPr>
        <w:jc w:val="center"/>
        <w:rPr>
          <w:rFonts w:cs="Arial"/>
          <w:b/>
          <w:color w:val="77328A"/>
          <w:sz w:val="30"/>
          <w:szCs w:val="30"/>
        </w:rPr>
      </w:pPr>
    </w:p>
    <w:p w14:paraId="61242B38" w14:textId="77777777" w:rsidR="002667DD" w:rsidRDefault="002667DD" w:rsidP="002667DD">
      <w:pPr>
        <w:jc w:val="center"/>
        <w:rPr>
          <w:rFonts w:cs="Arial"/>
          <w:b/>
          <w:color w:val="77328A"/>
          <w:sz w:val="30"/>
          <w:szCs w:val="30"/>
        </w:rPr>
      </w:pPr>
    </w:p>
    <w:p w14:paraId="13A3B2EE" w14:textId="77777777" w:rsidR="00F04493" w:rsidRDefault="00F04493" w:rsidP="002667DD">
      <w:pPr>
        <w:jc w:val="center"/>
        <w:rPr>
          <w:rFonts w:cs="Arial"/>
          <w:b/>
          <w:color w:val="77328A"/>
          <w:sz w:val="30"/>
          <w:szCs w:val="30"/>
        </w:rPr>
      </w:pPr>
    </w:p>
    <w:p w14:paraId="70598D99" w14:textId="77777777" w:rsidR="00F04493" w:rsidRDefault="00F04493" w:rsidP="002667DD">
      <w:pPr>
        <w:jc w:val="center"/>
        <w:rPr>
          <w:rFonts w:cs="Arial"/>
          <w:b/>
          <w:color w:val="77328A"/>
          <w:sz w:val="30"/>
          <w:szCs w:val="30"/>
        </w:rPr>
      </w:pPr>
    </w:p>
    <w:p w14:paraId="1B75CE21" w14:textId="77777777" w:rsidR="00F04493" w:rsidRDefault="00F04493" w:rsidP="002667DD">
      <w:pPr>
        <w:jc w:val="center"/>
        <w:rPr>
          <w:rFonts w:cs="Arial"/>
          <w:b/>
          <w:color w:val="77328A"/>
          <w:sz w:val="30"/>
          <w:szCs w:val="30"/>
        </w:rPr>
      </w:pPr>
    </w:p>
    <w:p w14:paraId="0AB7DCD8" w14:textId="77777777" w:rsidR="00F04493" w:rsidRDefault="00F04493" w:rsidP="002667DD">
      <w:pPr>
        <w:jc w:val="center"/>
        <w:rPr>
          <w:rFonts w:cs="Arial"/>
          <w:b/>
          <w:color w:val="77328A"/>
          <w:sz w:val="30"/>
          <w:szCs w:val="30"/>
        </w:rPr>
      </w:pPr>
    </w:p>
    <w:p w14:paraId="50E0D231" w14:textId="77777777" w:rsidR="00F04493" w:rsidRDefault="00F04493" w:rsidP="002667DD">
      <w:pPr>
        <w:jc w:val="center"/>
        <w:rPr>
          <w:rFonts w:cs="Arial"/>
          <w:b/>
          <w:color w:val="77328A"/>
          <w:sz w:val="30"/>
          <w:szCs w:val="30"/>
        </w:rPr>
      </w:pPr>
    </w:p>
    <w:p w14:paraId="19B9C904" w14:textId="77777777" w:rsidR="00F04493" w:rsidRDefault="00F04493" w:rsidP="002667DD">
      <w:pPr>
        <w:jc w:val="center"/>
        <w:rPr>
          <w:rFonts w:cs="Arial"/>
          <w:b/>
          <w:color w:val="77328A"/>
          <w:sz w:val="30"/>
          <w:szCs w:val="30"/>
        </w:rPr>
      </w:pPr>
    </w:p>
    <w:p w14:paraId="2FBC1BBD" w14:textId="77777777" w:rsidR="00F04493" w:rsidRDefault="00F04493" w:rsidP="002667DD">
      <w:pPr>
        <w:jc w:val="center"/>
        <w:rPr>
          <w:rFonts w:cs="Arial"/>
          <w:b/>
          <w:color w:val="77328A"/>
          <w:sz w:val="30"/>
          <w:szCs w:val="30"/>
        </w:rPr>
      </w:pPr>
    </w:p>
    <w:p w14:paraId="59C30EAE" w14:textId="77777777" w:rsidR="00F04493" w:rsidRDefault="00F04493" w:rsidP="002667DD">
      <w:pPr>
        <w:jc w:val="center"/>
        <w:rPr>
          <w:rFonts w:cs="Arial"/>
          <w:b/>
          <w:color w:val="77328A"/>
          <w:sz w:val="30"/>
          <w:szCs w:val="30"/>
        </w:rPr>
      </w:pPr>
    </w:p>
    <w:p w14:paraId="68FAAB01" w14:textId="77777777" w:rsidR="00F04493" w:rsidRDefault="00F04493" w:rsidP="002667DD">
      <w:pPr>
        <w:jc w:val="center"/>
        <w:rPr>
          <w:rFonts w:cs="Arial"/>
          <w:b/>
          <w:color w:val="77328A"/>
          <w:sz w:val="30"/>
          <w:szCs w:val="30"/>
        </w:rPr>
      </w:pPr>
    </w:p>
    <w:p w14:paraId="6AFBB681" w14:textId="77777777" w:rsidR="00F04493" w:rsidRDefault="00F04493" w:rsidP="002667DD">
      <w:pPr>
        <w:jc w:val="center"/>
        <w:rPr>
          <w:rFonts w:cs="Arial"/>
          <w:b/>
          <w:color w:val="77328A"/>
          <w:sz w:val="30"/>
          <w:szCs w:val="30"/>
        </w:rPr>
      </w:pPr>
    </w:p>
    <w:p w14:paraId="045D3ECB" w14:textId="77777777" w:rsidR="00F04493" w:rsidRDefault="00F04493" w:rsidP="002667DD">
      <w:pPr>
        <w:jc w:val="center"/>
        <w:rPr>
          <w:rFonts w:cs="Arial"/>
          <w:b/>
          <w:color w:val="77328A"/>
          <w:sz w:val="30"/>
          <w:szCs w:val="30"/>
        </w:rPr>
      </w:pPr>
    </w:p>
    <w:p w14:paraId="7513F74B" w14:textId="77777777" w:rsidR="00F04493" w:rsidRDefault="00F04493" w:rsidP="002667DD">
      <w:pPr>
        <w:jc w:val="center"/>
        <w:rPr>
          <w:rFonts w:cs="Arial"/>
          <w:b/>
          <w:color w:val="77328A"/>
          <w:sz w:val="30"/>
          <w:szCs w:val="30"/>
        </w:rPr>
      </w:pPr>
    </w:p>
    <w:p w14:paraId="7BE5EC63" w14:textId="77777777" w:rsidR="00F04493" w:rsidRDefault="00F04493" w:rsidP="002667DD">
      <w:pPr>
        <w:jc w:val="center"/>
        <w:rPr>
          <w:rFonts w:cs="Arial"/>
          <w:b/>
          <w:color w:val="77328A"/>
          <w:sz w:val="30"/>
          <w:szCs w:val="30"/>
        </w:rPr>
      </w:pPr>
    </w:p>
    <w:p w14:paraId="1FD30562" w14:textId="77777777" w:rsidR="00F04493" w:rsidRDefault="00F04493" w:rsidP="002667DD">
      <w:pPr>
        <w:jc w:val="center"/>
        <w:rPr>
          <w:rFonts w:cs="Arial"/>
          <w:b/>
          <w:color w:val="77328A"/>
          <w:sz w:val="30"/>
          <w:szCs w:val="30"/>
        </w:rPr>
      </w:pPr>
    </w:p>
    <w:p w14:paraId="21A063BF" w14:textId="77777777" w:rsidR="00F04493" w:rsidRDefault="00F04493" w:rsidP="002667DD">
      <w:pPr>
        <w:jc w:val="center"/>
        <w:rPr>
          <w:rFonts w:cs="Arial"/>
          <w:b/>
          <w:color w:val="77328A"/>
          <w:sz w:val="30"/>
          <w:szCs w:val="30"/>
        </w:rPr>
      </w:pPr>
    </w:p>
    <w:p w14:paraId="129E52FA" w14:textId="77777777" w:rsidR="00F04493" w:rsidRDefault="00F04493" w:rsidP="002667DD">
      <w:pPr>
        <w:jc w:val="center"/>
        <w:rPr>
          <w:rFonts w:cs="Arial"/>
          <w:b/>
          <w:color w:val="77328A"/>
          <w:sz w:val="30"/>
          <w:szCs w:val="30"/>
        </w:rPr>
      </w:pPr>
    </w:p>
    <w:p w14:paraId="2148FAF3" w14:textId="77777777" w:rsidR="00F04493" w:rsidRDefault="00F04493" w:rsidP="002667DD">
      <w:pPr>
        <w:jc w:val="center"/>
        <w:rPr>
          <w:rFonts w:cs="Arial"/>
          <w:b/>
          <w:color w:val="77328A"/>
          <w:sz w:val="30"/>
          <w:szCs w:val="30"/>
        </w:rPr>
      </w:pPr>
    </w:p>
    <w:p w14:paraId="03D94714" w14:textId="77777777" w:rsidR="00F04493" w:rsidRDefault="00F04493" w:rsidP="002667DD">
      <w:pPr>
        <w:jc w:val="center"/>
        <w:rPr>
          <w:rFonts w:cs="Arial"/>
          <w:b/>
          <w:color w:val="77328A"/>
          <w:sz w:val="30"/>
          <w:szCs w:val="30"/>
        </w:rPr>
      </w:pPr>
    </w:p>
    <w:p w14:paraId="531A04DB" w14:textId="77777777" w:rsidR="00F04493" w:rsidRDefault="00F04493" w:rsidP="002667DD">
      <w:pPr>
        <w:jc w:val="center"/>
        <w:rPr>
          <w:rFonts w:cs="Arial"/>
          <w:b/>
          <w:color w:val="77328A"/>
          <w:sz w:val="30"/>
          <w:szCs w:val="30"/>
        </w:rPr>
      </w:pPr>
    </w:p>
    <w:p w14:paraId="1E8BA1F1" w14:textId="77777777" w:rsidR="00F04493" w:rsidRDefault="00F04493" w:rsidP="002667DD">
      <w:pPr>
        <w:jc w:val="center"/>
        <w:rPr>
          <w:rFonts w:cs="Arial"/>
          <w:b/>
          <w:color w:val="77328A"/>
          <w:sz w:val="30"/>
          <w:szCs w:val="30"/>
        </w:rPr>
      </w:pPr>
    </w:p>
    <w:p w14:paraId="775A5E4D" w14:textId="77777777" w:rsidR="00F04493" w:rsidRDefault="00F04493" w:rsidP="002667DD">
      <w:pPr>
        <w:jc w:val="center"/>
        <w:rPr>
          <w:rFonts w:cs="Arial"/>
          <w:b/>
          <w:color w:val="77328A"/>
          <w:sz w:val="30"/>
          <w:szCs w:val="30"/>
        </w:rPr>
      </w:pPr>
    </w:p>
    <w:p w14:paraId="3CFC79B2" w14:textId="77777777" w:rsidR="00F04493" w:rsidRDefault="00F04493" w:rsidP="002667DD">
      <w:pPr>
        <w:jc w:val="center"/>
        <w:rPr>
          <w:rFonts w:cs="Arial"/>
          <w:b/>
          <w:color w:val="77328A"/>
          <w:sz w:val="30"/>
          <w:szCs w:val="30"/>
        </w:rPr>
      </w:pPr>
    </w:p>
    <w:p w14:paraId="38E70E73" w14:textId="77777777" w:rsidR="00350617" w:rsidRDefault="00350617" w:rsidP="00C93755">
      <w:pPr>
        <w:rPr>
          <w:rFonts w:cs="Arial"/>
          <w:b/>
          <w:color w:val="77328A"/>
          <w:sz w:val="30"/>
          <w:szCs w:val="30"/>
        </w:rPr>
      </w:pPr>
    </w:p>
    <w:p w14:paraId="7EAE0972" w14:textId="77777777" w:rsidR="00350617" w:rsidRDefault="00350617" w:rsidP="00C93755">
      <w:pPr>
        <w:rPr>
          <w:rFonts w:cs="Arial"/>
          <w:b/>
          <w:color w:val="77328A"/>
          <w:sz w:val="30"/>
          <w:szCs w:val="30"/>
        </w:rPr>
      </w:pPr>
    </w:p>
    <w:p w14:paraId="528A62F9" w14:textId="77777777" w:rsidR="00702C75" w:rsidRDefault="00702C75" w:rsidP="002667DD">
      <w:pPr>
        <w:jc w:val="center"/>
        <w:rPr>
          <w:rFonts w:cs="Arial"/>
          <w:b/>
          <w:color w:val="77328A"/>
          <w:sz w:val="30"/>
          <w:szCs w:val="30"/>
        </w:rPr>
      </w:pPr>
      <w:bookmarkStart w:id="16" w:name="AccountabilityReport"/>
    </w:p>
    <w:p w14:paraId="2D511D26" w14:textId="77777777" w:rsidR="0049647B" w:rsidRDefault="0049647B" w:rsidP="002667DD">
      <w:pPr>
        <w:jc w:val="center"/>
        <w:rPr>
          <w:rFonts w:cs="Arial"/>
          <w:b/>
          <w:color w:val="77328A"/>
          <w:sz w:val="30"/>
          <w:szCs w:val="30"/>
        </w:rPr>
      </w:pPr>
    </w:p>
    <w:p w14:paraId="0B783B5D" w14:textId="20DBDA44" w:rsidR="002667DD" w:rsidRDefault="002667DD" w:rsidP="002667DD">
      <w:pPr>
        <w:jc w:val="center"/>
        <w:rPr>
          <w:rFonts w:cs="Arial"/>
          <w:b/>
          <w:color w:val="77328A"/>
          <w:sz w:val="30"/>
          <w:szCs w:val="30"/>
        </w:rPr>
      </w:pPr>
      <w:r>
        <w:rPr>
          <w:rFonts w:cs="Arial"/>
          <w:b/>
          <w:color w:val="77328A"/>
          <w:sz w:val="30"/>
          <w:szCs w:val="30"/>
        </w:rPr>
        <w:t>Accountability Report</w:t>
      </w:r>
    </w:p>
    <w:bookmarkEnd w:id="16"/>
    <w:p w14:paraId="1E8A2226" w14:textId="77777777" w:rsidR="002667DD" w:rsidRDefault="002667DD" w:rsidP="002667DD">
      <w:pPr>
        <w:jc w:val="center"/>
        <w:rPr>
          <w:rFonts w:cs="Arial"/>
          <w:b/>
          <w:color w:val="77328A"/>
          <w:sz w:val="30"/>
          <w:szCs w:val="30"/>
        </w:rPr>
      </w:pPr>
    </w:p>
    <w:p w14:paraId="11BFF4F1" w14:textId="7436F65B" w:rsidR="001802BC" w:rsidRPr="005049F6" w:rsidRDefault="001802BC" w:rsidP="001802BC">
      <w:pPr>
        <w:rPr>
          <w:b/>
        </w:rPr>
      </w:pPr>
      <w:r>
        <w:rPr>
          <w:rFonts w:cs="Arial"/>
          <w:b/>
          <w:color w:val="77328A"/>
        </w:rPr>
        <w:t>Overview</w:t>
      </w:r>
    </w:p>
    <w:p w14:paraId="6CC8EA76" w14:textId="77777777" w:rsidR="007C2464" w:rsidRPr="009B4441" w:rsidRDefault="007C2464" w:rsidP="007C2464">
      <w:pPr>
        <w:widowControl w:val="0"/>
        <w:tabs>
          <w:tab w:val="left" w:pos="0"/>
        </w:tabs>
        <w:autoSpaceDE w:val="0"/>
        <w:autoSpaceDN w:val="0"/>
        <w:adjustRightInd w:val="0"/>
        <w:rPr>
          <w:b/>
        </w:rPr>
      </w:pPr>
    </w:p>
    <w:p w14:paraId="72D7AC6C" w14:textId="6462CA2F" w:rsidR="007C2464" w:rsidRDefault="001802BC" w:rsidP="007C2464">
      <w:pPr>
        <w:widowControl w:val="0"/>
        <w:tabs>
          <w:tab w:val="left" w:pos="0"/>
        </w:tabs>
        <w:autoSpaceDE w:val="0"/>
        <w:autoSpaceDN w:val="0"/>
        <w:adjustRightInd w:val="0"/>
      </w:pPr>
      <w:r>
        <w:t xml:space="preserve">The Accountability Report for the Commission comprises </w:t>
      </w:r>
      <w:r w:rsidR="005E56C5">
        <w:t>three key elements</w:t>
      </w:r>
      <w:r w:rsidR="00613E33">
        <w:t>:</w:t>
      </w:r>
    </w:p>
    <w:p w14:paraId="5CDD2634" w14:textId="77777777" w:rsidR="00613E33" w:rsidRDefault="00613E33" w:rsidP="007C2464">
      <w:pPr>
        <w:widowControl w:val="0"/>
        <w:tabs>
          <w:tab w:val="left" w:pos="0"/>
        </w:tabs>
        <w:autoSpaceDE w:val="0"/>
        <w:autoSpaceDN w:val="0"/>
        <w:adjustRightInd w:val="0"/>
      </w:pPr>
    </w:p>
    <w:p w14:paraId="0C57CE99" w14:textId="2C174481" w:rsidR="00613E33" w:rsidRDefault="00613E33" w:rsidP="00613E33">
      <w:pPr>
        <w:pStyle w:val="ListParagraph"/>
        <w:widowControl w:val="0"/>
        <w:numPr>
          <w:ilvl w:val="0"/>
          <w:numId w:val="44"/>
        </w:numPr>
        <w:tabs>
          <w:tab w:val="left" w:pos="0"/>
        </w:tabs>
        <w:autoSpaceDE w:val="0"/>
        <w:autoSpaceDN w:val="0"/>
        <w:adjustRightInd w:val="0"/>
      </w:pPr>
      <w:r>
        <w:t>Corporate Governance Report</w:t>
      </w:r>
    </w:p>
    <w:p w14:paraId="4430648C" w14:textId="7A8FF7BA" w:rsidR="00613E33" w:rsidRDefault="00613E33" w:rsidP="00613E33">
      <w:pPr>
        <w:pStyle w:val="ListParagraph"/>
        <w:widowControl w:val="0"/>
        <w:numPr>
          <w:ilvl w:val="0"/>
          <w:numId w:val="44"/>
        </w:numPr>
        <w:tabs>
          <w:tab w:val="left" w:pos="0"/>
        </w:tabs>
        <w:autoSpaceDE w:val="0"/>
        <w:autoSpaceDN w:val="0"/>
        <w:adjustRightInd w:val="0"/>
      </w:pPr>
      <w:r>
        <w:t>Remuneration and Staff Report</w:t>
      </w:r>
    </w:p>
    <w:p w14:paraId="54A47094" w14:textId="4E8A6059" w:rsidR="00613E33" w:rsidRPr="003F7E43" w:rsidRDefault="00613E33" w:rsidP="00613E33">
      <w:pPr>
        <w:pStyle w:val="ListParagraph"/>
        <w:widowControl w:val="0"/>
        <w:numPr>
          <w:ilvl w:val="0"/>
          <w:numId w:val="44"/>
        </w:numPr>
        <w:tabs>
          <w:tab w:val="left" w:pos="0"/>
        </w:tabs>
        <w:autoSpaceDE w:val="0"/>
        <w:autoSpaceDN w:val="0"/>
        <w:adjustRightInd w:val="0"/>
      </w:pPr>
      <w:r>
        <w:t>Parl</w:t>
      </w:r>
      <w:r w:rsidR="00A9374A">
        <w:t>iamentary Accountability and Audit Report</w:t>
      </w:r>
    </w:p>
    <w:p w14:paraId="5E47D452" w14:textId="77777777" w:rsidR="007C2464" w:rsidRDefault="007C2464" w:rsidP="002667DD">
      <w:pPr>
        <w:jc w:val="center"/>
        <w:rPr>
          <w:rFonts w:cs="Arial"/>
          <w:b/>
          <w:color w:val="77328A"/>
          <w:sz w:val="30"/>
          <w:szCs w:val="30"/>
        </w:rPr>
      </w:pPr>
    </w:p>
    <w:p w14:paraId="344CCA98" w14:textId="77777777" w:rsidR="002667DD" w:rsidRDefault="002667DD" w:rsidP="002667DD">
      <w:pPr>
        <w:jc w:val="center"/>
        <w:rPr>
          <w:rFonts w:cs="Arial"/>
          <w:b/>
          <w:color w:val="77328A"/>
          <w:sz w:val="30"/>
          <w:szCs w:val="30"/>
        </w:rPr>
      </w:pPr>
      <w:bookmarkStart w:id="17" w:name="CorporateGovernanceReport"/>
      <w:r>
        <w:rPr>
          <w:rFonts w:cs="Arial"/>
          <w:b/>
          <w:color w:val="77328A"/>
          <w:sz w:val="30"/>
          <w:szCs w:val="30"/>
        </w:rPr>
        <w:t>Corporate Governance Report</w:t>
      </w:r>
    </w:p>
    <w:bookmarkEnd w:id="17"/>
    <w:p w14:paraId="6F4B5480" w14:textId="77777777" w:rsidR="007D6C3F" w:rsidRDefault="007D6C3F" w:rsidP="002667DD">
      <w:pPr>
        <w:jc w:val="center"/>
        <w:rPr>
          <w:rFonts w:cs="Arial"/>
          <w:b/>
          <w:color w:val="77328A"/>
          <w:sz w:val="30"/>
          <w:szCs w:val="30"/>
        </w:rPr>
      </w:pPr>
    </w:p>
    <w:p w14:paraId="378BBA77" w14:textId="5036A973" w:rsidR="007D6C3F" w:rsidRPr="008E7AC5" w:rsidRDefault="00C52450" w:rsidP="007D6C3F">
      <w:pPr>
        <w:rPr>
          <w:b/>
        </w:rPr>
      </w:pPr>
      <w:r w:rsidRPr="003F7E43">
        <w:t>Th</w:t>
      </w:r>
      <w:r>
        <w:t xml:space="preserve">is section of the report outlines the compositions </w:t>
      </w:r>
      <w:r w:rsidR="008F05CD">
        <w:t xml:space="preserve">and </w:t>
      </w:r>
      <w:r w:rsidR="008E7AC5">
        <w:t>organisation of the Commission’s governance structures and how they support the achievement of the Commission’s objectives.</w:t>
      </w:r>
    </w:p>
    <w:p w14:paraId="01050B4E" w14:textId="77777777" w:rsidR="002667DD" w:rsidRPr="009B4441" w:rsidRDefault="002667DD" w:rsidP="002667DD">
      <w:pPr>
        <w:jc w:val="center"/>
        <w:rPr>
          <w:rFonts w:eastAsia="Calibri"/>
          <w:b/>
          <w:lang w:eastAsia="en-GB"/>
        </w:rPr>
      </w:pPr>
    </w:p>
    <w:p w14:paraId="398F59E5" w14:textId="77777777" w:rsidR="002667DD" w:rsidRPr="005049F6" w:rsidRDefault="002667DD" w:rsidP="002667DD">
      <w:pPr>
        <w:rPr>
          <w:b/>
        </w:rPr>
      </w:pPr>
      <w:bookmarkStart w:id="18" w:name="DirectorsReport"/>
      <w:r>
        <w:rPr>
          <w:rFonts w:cs="Arial"/>
          <w:b/>
          <w:color w:val="77328A"/>
        </w:rPr>
        <w:t>Director’s Report</w:t>
      </w:r>
      <w:bookmarkEnd w:id="18"/>
    </w:p>
    <w:p w14:paraId="4B7886A0" w14:textId="77777777" w:rsidR="002667DD" w:rsidRPr="009B4441" w:rsidRDefault="002667DD" w:rsidP="002667DD">
      <w:pPr>
        <w:rPr>
          <w:rFonts w:eastAsia="Calibri"/>
          <w:b/>
          <w:lang w:eastAsia="en-GB"/>
        </w:rPr>
      </w:pPr>
    </w:p>
    <w:p w14:paraId="69D184A9" w14:textId="77777777" w:rsidR="002667DD" w:rsidRPr="009B4441" w:rsidRDefault="002667DD" w:rsidP="002667DD">
      <w:pPr>
        <w:widowControl w:val="0"/>
        <w:tabs>
          <w:tab w:val="left" w:pos="0"/>
        </w:tabs>
        <w:autoSpaceDE w:val="0"/>
        <w:autoSpaceDN w:val="0"/>
        <w:adjustRightInd w:val="0"/>
        <w:rPr>
          <w:b/>
        </w:rPr>
      </w:pPr>
      <w:r w:rsidRPr="009B4441">
        <w:rPr>
          <w:b/>
        </w:rPr>
        <w:t>Entity</w:t>
      </w:r>
    </w:p>
    <w:p w14:paraId="25DB2DC0" w14:textId="77777777" w:rsidR="002667DD" w:rsidRPr="009B4441" w:rsidRDefault="002667DD" w:rsidP="002667DD">
      <w:pPr>
        <w:widowControl w:val="0"/>
        <w:tabs>
          <w:tab w:val="left" w:pos="0"/>
        </w:tabs>
        <w:autoSpaceDE w:val="0"/>
        <w:autoSpaceDN w:val="0"/>
        <w:adjustRightInd w:val="0"/>
        <w:rPr>
          <w:b/>
        </w:rPr>
      </w:pPr>
    </w:p>
    <w:p w14:paraId="6476D6DF" w14:textId="77777777" w:rsidR="002667DD" w:rsidRPr="003F7E43" w:rsidRDefault="002667DD" w:rsidP="002667DD">
      <w:pPr>
        <w:widowControl w:val="0"/>
        <w:tabs>
          <w:tab w:val="left" w:pos="0"/>
        </w:tabs>
        <w:autoSpaceDE w:val="0"/>
        <w:autoSpaceDN w:val="0"/>
        <w:adjustRightInd w:val="0"/>
      </w:pPr>
      <w:r w:rsidRPr="003F7E43">
        <w:t>The Commission is a non-departmental public body established as part of the Belfast (Good Friday) Agreement through the Northern Ireland Act 1998 and in accordance with the United Nations Paris Principles as a National Human Rights Institution.</w:t>
      </w:r>
    </w:p>
    <w:p w14:paraId="3E1E04B9" w14:textId="77777777" w:rsidR="002667DD" w:rsidRPr="003F7E43" w:rsidRDefault="002667DD" w:rsidP="002667DD">
      <w:pPr>
        <w:widowControl w:val="0"/>
        <w:tabs>
          <w:tab w:val="left" w:pos="0"/>
        </w:tabs>
        <w:autoSpaceDE w:val="0"/>
        <w:autoSpaceDN w:val="0"/>
        <w:adjustRightInd w:val="0"/>
      </w:pPr>
    </w:p>
    <w:p w14:paraId="20A813A3" w14:textId="77777777" w:rsidR="002667DD" w:rsidRPr="003F7E43" w:rsidRDefault="002667DD" w:rsidP="002667DD">
      <w:pPr>
        <w:widowControl w:val="0"/>
        <w:tabs>
          <w:tab w:val="left" w:pos="0"/>
        </w:tabs>
        <w:autoSpaceDE w:val="0"/>
        <w:autoSpaceDN w:val="0"/>
        <w:adjustRightInd w:val="0"/>
      </w:pPr>
      <w:r w:rsidRPr="003F7E43">
        <w:t xml:space="preserve">The Commission’s </w:t>
      </w:r>
      <w:r w:rsidRPr="003F7E43">
        <w:rPr>
          <w:rFonts w:cs="Verdana"/>
        </w:rPr>
        <w:t>powers and duties are derived from sections 69 and 70 of the Northern Ireland Act 1998</w:t>
      </w:r>
      <w:r>
        <w:rPr>
          <w:rFonts w:cs="Verdana"/>
        </w:rPr>
        <w:t xml:space="preserve">, </w:t>
      </w:r>
      <w:r w:rsidRPr="003F7E43">
        <w:rPr>
          <w:rFonts w:cs="Verdana"/>
        </w:rPr>
        <w:t>sections 14 to 16 of the Justice and Security (Northern Ireland) Act 2007</w:t>
      </w:r>
      <w:r>
        <w:rPr>
          <w:rFonts w:cs="Verdana"/>
        </w:rPr>
        <w:t xml:space="preserve">, and Schedule 3 of the </w:t>
      </w:r>
      <w:r w:rsidRPr="009A2C67">
        <w:rPr>
          <w:rFonts w:cs="Verdana"/>
        </w:rPr>
        <w:t>European Union (Withdrawal Agreement) Act 2020</w:t>
      </w:r>
      <w:r w:rsidRPr="003F7E43">
        <w:rPr>
          <w:rFonts w:cs="Verdana"/>
        </w:rPr>
        <w:t xml:space="preserve">.  </w:t>
      </w:r>
    </w:p>
    <w:p w14:paraId="6B06134D" w14:textId="77777777" w:rsidR="002667DD" w:rsidRPr="003F7E43" w:rsidRDefault="002667DD" w:rsidP="002667DD">
      <w:pPr>
        <w:widowControl w:val="0"/>
        <w:tabs>
          <w:tab w:val="left" w:pos="0"/>
        </w:tabs>
        <w:autoSpaceDE w:val="0"/>
        <w:autoSpaceDN w:val="0"/>
        <w:adjustRightInd w:val="0"/>
      </w:pPr>
    </w:p>
    <w:p w14:paraId="631F6EED" w14:textId="77777777" w:rsidR="002667DD" w:rsidRPr="003F7E43" w:rsidRDefault="002667DD" w:rsidP="002667DD">
      <w:pPr>
        <w:widowControl w:val="0"/>
        <w:tabs>
          <w:tab w:val="left" w:pos="0"/>
        </w:tabs>
        <w:autoSpaceDE w:val="0"/>
        <w:autoSpaceDN w:val="0"/>
        <w:adjustRightInd w:val="0"/>
      </w:pPr>
      <w:r w:rsidRPr="00A22300">
        <w:t>The Commission is located at 4</w:t>
      </w:r>
      <w:r w:rsidRPr="00A22300">
        <w:rPr>
          <w:vertAlign w:val="superscript"/>
        </w:rPr>
        <w:t>th</w:t>
      </w:r>
      <w:r w:rsidRPr="00A22300">
        <w:t xml:space="preserve"> Floor, 19-21 Alfred Street, Belfast, BT2 8ED and its sponsor branch is the Northern Ireland Office located at </w:t>
      </w:r>
      <w:r>
        <w:t>Erskine House, 20-32 Chichester Street, Belfast, BT1 4GF</w:t>
      </w:r>
      <w:r w:rsidRPr="00A22300">
        <w:t>.</w:t>
      </w:r>
    </w:p>
    <w:p w14:paraId="47EF60F9" w14:textId="77777777" w:rsidR="002667DD" w:rsidRPr="003F7E43" w:rsidRDefault="002667DD" w:rsidP="002667DD">
      <w:pPr>
        <w:widowControl w:val="0"/>
        <w:autoSpaceDE w:val="0"/>
        <w:autoSpaceDN w:val="0"/>
        <w:adjustRightInd w:val="0"/>
        <w:rPr>
          <w:b/>
        </w:rPr>
      </w:pPr>
    </w:p>
    <w:p w14:paraId="4568195B" w14:textId="77777777" w:rsidR="002667DD" w:rsidRPr="003F7E43" w:rsidRDefault="002667DD" w:rsidP="002667DD">
      <w:pPr>
        <w:widowControl w:val="0"/>
        <w:autoSpaceDE w:val="0"/>
        <w:autoSpaceDN w:val="0"/>
        <w:adjustRightInd w:val="0"/>
        <w:rPr>
          <w:b/>
        </w:rPr>
      </w:pPr>
      <w:r w:rsidRPr="003F7E43">
        <w:rPr>
          <w:b/>
        </w:rPr>
        <w:t>Commissioners and Management Team</w:t>
      </w:r>
    </w:p>
    <w:p w14:paraId="45A19D49" w14:textId="77777777" w:rsidR="002667DD" w:rsidRPr="003F7E43" w:rsidRDefault="002667DD" w:rsidP="002667DD">
      <w:pPr>
        <w:widowControl w:val="0"/>
        <w:autoSpaceDE w:val="0"/>
        <w:autoSpaceDN w:val="0"/>
        <w:adjustRightInd w:val="0"/>
        <w:rPr>
          <w:b/>
        </w:rPr>
      </w:pPr>
    </w:p>
    <w:p w14:paraId="641BE291" w14:textId="07D0C42B" w:rsidR="002667DD" w:rsidRPr="003F7E43" w:rsidRDefault="002667DD" w:rsidP="002667DD">
      <w:pPr>
        <w:widowControl w:val="0"/>
        <w:autoSpaceDE w:val="0"/>
        <w:autoSpaceDN w:val="0"/>
        <w:adjustRightInd w:val="0"/>
      </w:pPr>
      <w:r w:rsidRPr="003F7E43">
        <w:t xml:space="preserve">The Commission is governed by its </w:t>
      </w:r>
      <w:proofErr w:type="gramStart"/>
      <w:r w:rsidRPr="003F7E43">
        <w:t>Commissioners</w:t>
      </w:r>
      <w:proofErr w:type="gramEnd"/>
      <w:r w:rsidRPr="003F7E43">
        <w:t xml:space="preserve">.  The following served as Commissioners during </w:t>
      </w:r>
      <w:r w:rsidRPr="003F7E43">
        <w:rPr>
          <w:rFonts w:cs="MetaPlusNormal-Roman"/>
          <w:lang w:val="en-US"/>
        </w:rPr>
        <w:t>20</w:t>
      </w:r>
      <w:r>
        <w:t>2</w:t>
      </w:r>
      <w:r w:rsidR="00877AF9">
        <w:t>3</w:t>
      </w:r>
      <w:r>
        <w:t>-2</w:t>
      </w:r>
      <w:r w:rsidR="00877AF9">
        <w:t>4</w:t>
      </w:r>
      <w:r w:rsidRPr="003F7E43">
        <w:t xml:space="preserve">:  </w:t>
      </w:r>
    </w:p>
    <w:p w14:paraId="1CCFC7D8" w14:textId="77777777" w:rsidR="002667DD" w:rsidRPr="003F7E43" w:rsidRDefault="002667DD" w:rsidP="002667DD">
      <w:pPr>
        <w:tabs>
          <w:tab w:val="right" w:pos="8820"/>
        </w:tabs>
        <w:ind w:left="360"/>
      </w:pPr>
    </w:p>
    <w:p w14:paraId="6A3263E9" w14:textId="77777777" w:rsidR="002667DD" w:rsidRDefault="002667DD" w:rsidP="002667DD">
      <w:pPr>
        <w:numPr>
          <w:ilvl w:val="0"/>
          <w:numId w:val="4"/>
        </w:numPr>
        <w:tabs>
          <w:tab w:val="clear" w:pos="360"/>
        </w:tabs>
        <w:ind w:left="567" w:hanging="567"/>
      </w:pPr>
      <w:r>
        <w:t>Alyson Kilpatrick</w:t>
      </w:r>
    </w:p>
    <w:p w14:paraId="2A2FD58F" w14:textId="77777777" w:rsidR="002667DD" w:rsidRDefault="002667DD" w:rsidP="002667DD">
      <w:pPr>
        <w:numPr>
          <w:ilvl w:val="0"/>
          <w:numId w:val="4"/>
        </w:numPr>
        <w:tabs>
          <w:tab w:val="clear" w:pos="360"/>
        </w:tabs>
        <w:ind w:left="567" w:hanging="567"/>
      </w:pPr>
      <w:r>
        <w:t xml:space="preserve">Helen Henderson </w:t>
      </w:r>
    </w:p>
    <w:p w14:paraId="0820A8B8" w14:textId="77777777" w:rsidR="002667DD" w:rsidRDefault="002667DD" w:rsidP="002667DD">
      <w:pPr>
        <w:numPr>
          <w:ilvl w:val="0"/>
          <w:numId w:val="4"/>
        </w:numPr>
        <w:tabs>
          <w:tab w:val="clear" w:pos="360"/>
        </w:tabs>
        <w:ind w:left="567" w:hanging="567"/>
      </w:pPr>
      <w:r>
        <w:t xml:space="preserve">Jonathan Kearney </w:t>
      </w:r>
    </w:p>
    <w:p w14:paraId="67F53F2F" w14:textId="7C6DABA8" w:rsidR="002667DD" w:rsidRDefault="002667DD" w:rsidP="002667DD">
      <w:pPr>
        <w:numPr>
          <w:ilvl w:val="0"/>
          <w:numId w:val="4"/>
        </w:numPr>
        <w:tabs>
          <w:tab w:val="clear" w:pos="360"/>
        </w:tabs>
        <w:ind w:left="567" w:hanging="567"/>
      </w:pPr>
      <w:r>
        <w:t xml:space="preserve">Justin Kouame </w:t>
      </w:r>
    </w:p>
    <w:p w14:paraId="4685CB96" w14:textId="77777777" w:rsidR="002667DD" w:rsidRDefault="002667DD" w:rsidP="002667DD">
      <w:pPr>
        <w:numPr>
          <w:ilvl w:val="0"/>
          <w:numId w:val="4"/>
        </w:numPr>
        <w:tabs>
          <w:tab w:val="clear" w:pos="360"/>
        </w:tabs>
        <w:ind w:left="567" w:hanging="567"/>
      </w:pPr>
      <w:r>
        <w:t xml:space="preserve">David A Lavery CB </w:t>
      </w:r>
    </w:p>
    <w:p w14:paraId="15E00758" w14:textId="737CBDE8" w:rsidR="002667DD" w:rsidRDefault="002667DD" w:rsidP="002667DD">
      <w:pPr>
        <w:numPr>
          <w:ilvl w:val="0"/>
          <w:numId w:val="4"/>
        </w:numPr>
        <w:tabs>
          <w:tab w:val="clear" w:pos="360"/>
        </w:tabs>
        <w:ind w:left="567" w:hanging="567"/>
      </w:pPr>
      <w:r>
        <w:t>Eddie Rooney</w:t>
      </w:r>
      <w:r w:rsidR="00877AF9">
        <w:t xml:space="preserve"> (until 31 August 2023)</w:t>
      </w:r>
    </w:p>
    <w:p w14:paraId="4E868A3E" w14:textId="77777777" w:rsidR="002667DD" w:rsidRDefault="002667DD" w:rsidP="002667DD">
      <w:pPr>
        <w:numPr>
          <w:ilvl w:val="0"/>
          <w:numId w:val="4"/>
        </w:numPr>
        <w:tabs>
          <w:tab w:val="clear" w:pos="360"/>
        </w:tabs>
        <w:ind w:left="567" w:hanging="567"/>
      </w:pPr>
      <w:r>
        <w:t xml:space="preserve">Stephen White OBE </w:t>
      </w:r>
    </w:p>
    <w:p w14:paraId="1A724D1C" w14:textId="77777777" w:rsidR="002667DD" w:rsidRPr="003F7E43" w:rsidRDefault="002667DD" w:rsidP="002667DD">
      <w:pPr>
        <w:ind w:left="567"/>
      </w:pPr>
    </w:p>
    <w:p w14:paraId="2E04E3D2" w14:textId="34412F30" w:rsidR="002667DD" w:rsidRPr="003F7E43" w:rsidRDefault="002667DD" w:rsidP="002667DD">
      <w:pPr>
        <w:autoSpaceDE w:val="0"/>
        <w:autoSpaceDN w:val="0"/>
        <w:adjustRightInd w:val="0"/>
        <w:rPr>
          <w:rFonts w:cs="HelveticaNeueLTStd-Lt"/>
          <w:lang w:val="en-US"/>
        </w:rPr>
      </w:pPr>
      <w:r w:rsidRPr="003F7E43">
        <w:t xml:space="preserve">The Commission’s Director is its Chief Executive, Dr David Russell.  As Accounting Officer, the Chief Executive is responsible for maintaining a sound system of internal control. The Governance Statement sets out how this responsibility has been discharged in </w:t>
      </w:r>
      <w:r w:rsidRPr="003F7E43">
        <w:rPr>
          <w:rFonts w:cs="MetaPlusNormal-Roman"/>
          <w:lang w:val="en-US"/>
        </w:rPr>
        <w:t>20</w:t>
      </w:r>
      <w:r>
        <w:t>2</w:t>
      </w:r>
      <w:r w:rsidR="0090577C">
        <w:t>3</w:t>
      </w:r>
      <w:r>
        <w:t>-2</w:t>
      </w:r>
      <w:r w:rsidR="0090577C">
        <w:t>4</w:t>
      </w:r>
      <w:r w:rsidRPr="003F7E43">
        <w:rPr>
          <w:rFonts w:cs="HelveticaNeueLTStd-Lt"/>
          <w:lang w:val="en-US"/>
        </w:rPr>
        <w:t>.</w:t>
      </w:r>
    </w:p>
    <w:p w14:paraId="0CA4AF0E" w14:textId="77777777" w:rsidR="002667DD" w:rsidRPr="003F7E43" w:rsidRDefault="002667DD" w:rsidP="002667DD">
      <w:pPr>
        <w:autoSpaceDE w:val="0"/>
        <w:autoSpaceDN w:val="0"/>
        <w:adjustRightInd w:val="0"/>
        <w:rPr>
          <w:rFonts w:cs="Univers"/>
          <w:lang w:val="en-US"/>
        </w:rPr>
      </w:pPr>
    </w:p>
    <w:p w14:paraId="24DC75AB" w14:textId="77777777" w:rsidR="002667DD" w:rsidRPr="009B4441" w:rsidRDefault="002667DD" w:rsidP="002667DD">
      <w:pPr>
        <w:autoSpaceDE w:val="0"/>
        <w:autoSpaceDN w:val="0"/>
        <w:adjustRightInd w:val="0"/>
        <w:rPr>
          <w:rFonts w:cs="Univers"/>
          <w:lang w:val="en-US"/>
        </w:rPr>
      </w:pPr>
      <w:r w:rsidRPr="003F7E43">
        <w:rPr>
          <w:rFonts w:cs="Univers"/>
          <w:lang w:val="en-US"/>
        </w:rPr>
        <w:t>Details of remuneration can be found in the Remuneration Report.</w:t>
      </w:r>
    </w:p>
    <w:p w14:paraId="4DD264C9" w14:textId="700C99D3" w:rsidR="00C93755" w:rsidRPr="00A9374A" w:rsidRDefault="002667DD" w:rsidP="00A9374A">
      <w:pPr>
        <w:autoSpaceDE w:val="0"/>
        <w:autoSpaceDN w:val="0"/>
        <w:adjustRightInd w:val="0"/>
        <w:rPr>
          <w:rFonts w:cs="Univers"/>
          <w:i/>
          <w:lang w:val="en-US"/>
        </w:rPr>
      </w:pPr>
      <w:r w:rsidRPr="003F7E43">
        <w:rPr>
          <w:rFonts w:cs="Univers"/>
          <w:lang w:val="en-US"/>
        </w:rPr>
        <w:t xml:space="preserve">A register of interests of the Commissioners and the Management Team can be found on our website: </w:t>
      </w:r>
      <w:hyperlink r:id="rId29" w:history="1">
        <w:r w:rsidRPr="00B56F25">
          <w:rPr>
            <w:rStyle w:val="Hyperlink"/>
            <w:rFonts w:cs="Univers"/>
            <w:i/>
            <w:lang w:val="en-US"/>
          </w:rPr>
          <w:t>www.nihrc.org</w:t>
        </w:r>
      </w:hyperlink>
    </w:p>
    <w:p w14:paraId="0DB6CAE0" w14:textId="77777777" w:rsidR="002667DD" w:rsidRDefault="002667DD" w:rsidP="002667DD">
      <w:pPr>
        <w:widowControl w:val="0"/>
        <w:autoSpaceDE w:val="0"/>
        <w:autoSpaceDN w:val="0"/>
        <w:adjustRightInd w:val="0"/>
        <w:rPr>
          <w:b/>
        </w:rPr>
      </w:pPr>
    </w:p>
    <w:p w14:paraId="3891B889" w14:textId="77777777" w:rsidR="002667DD" w:rsidRPr="003F7E43" w:rsidRDefault="002667DD" w:rsidP="002667DD">
      <w:pPr>
        <w:widowControl w:val="0"/>
        <w:autoSpaceDE w:val="0"/>
        <w:autoSpaceDN w:val="0"/>
        <w:adjustRightInd w:val="0"/>
        <w:rPr>
          <w:b/>
        </w:rPr>
      </w:pPr>
      <w:r w:rsidRPr="003F7E43">
        <w:rPr>
          <w:b/>
        </w:rPr>
        <w:t>Audit and Risk Management Committee</w:t>
      </w:r>
    </w:p>
    <w:p w14:paraId="49612C59" w14:textId="77777777" w:rsidR="002667DD" w:rsidRPr="003F7E43" w:rsidRDefault="002667DD" w:rsidP="002667DD">
      <w:pPr>
        <w:widowControl w:val="0"/>
        <w:autoSpaceDE w:val="0"/>
        <w:autoSpaceDN w:val="0"/>
        <w:adjustRightInd w:val="0"/>
        <w:rPr>
          <w:b/>
        </w:rPr>
      </w:pPr>
    </w:p>
    <w:p w14:paraId="2FEF1E3C" w14:textId="7799DBF5" w:rsidR="002667DD" w:rsidRPr="003F7E43" w:rsidRDefault="002667DD" w:rsidP="002667DD">
      <w:pPr>
        <w:autoSpaceDE w:val="0"/>
        <w:autoSpaceDN w:val="0"/>
        <w:adjustRightInd w:val="0"/>
        <w:rPr>
          <w:rFonts w:cs="Univers"/>
          <w:lang w:val="en-US"/>
        </w:rPr>
      </w:pPr>
      <w:r w:rsidRPr="003F7E43">
        <w:rPr>
          <w:rFonts w:cs="Univers"/>
          <w:lang w:val="en-US"/>
        </w:rPr>
        <w:t xml:space="preserve">The Commission’s Audit and Risk Management Committee met </w:t>
      </w:r>
      <w:r w:rsidR="0019661B">
        <w:t>five</w:t>
      </w:r>
      <w:r>
        <w:t xml:space="preserve"> times</w:t>
      </w:r>
      <w:r w:rsidRPr="003F7E43">
        <w:rPr>
          <w:rFonts w:cs="Univers"/>
          <w:lang w:val="en-US"/>
        </w:rPr>
        <w:t xml:space="preserve"> during </w:t>
      </w:r>
      <w:r w:rsidRPr="003F7E43">
        <w:rPr>
          <w:rFonts w:cs="MetaPlusNormal-Roman"/>
          <w:lang w:val="en-US"/>
        </w:rPr>
        <w:t>the year</w:t>
      </w:r>
      <w:r>
        <w:rPr>
          <w:rFonts w:cs="Univers"/>
          <w:lang w:val="en-US"/>
        </w:rPr>
        <w:t>.</w:t>
      </w:r>
    </w:p>
    <w:p w14:paraId="0367BDB7" w14:textId="77777777" w:rsidR="002667DD" w:rsidRPr="003F7E43" w:rsidRDefault="002667DD" w:rsidP="002667DD">
      <w:pPr>
        <w:autoSpaceDE w:val="0"/>
        <w:autoSpaceDN w:val="0"/>
        <w:adjustRightInd w:val="0"/>
        <w:rPr>
          <w:rFonts w:cs="Univers"/>
          <w:lang w:val="en-US"/>
        </w:rPr>
      </w:pPr>
    </w:p>
    <w:p w14:paraId="3DE5C7C2" w14:textId="78FB120D" w:rsidR="002667DD" w:rsidRPr="003F7E43" w:rsidRDefault="002667DD" w:rsidP="002667DD">
      <w:pPr>
        <w:autoSpaceDE w:val="0"/>
        <w:autoSpaceDN w:val="0"/>
        <w:adjustRightInd w:val="0"/>
        <w:rPr>
          <w:rFonts w:cs="Univers"/>
          <w:lang w:val="en-US"/>
        </w:rPr>
      </w:pPr>
      <w:r w:rsidRPr="003F7E43">
        <w:rPr>
          <w:rFonts w:cs="Univers"/>
          <w:lang w:val="en-US"/>
        </w:rPr>
        <w:t xml:space="preserve">The Audit and Risk Management Committee </w:t>
      </w:r>
      <w:r>
        <w:rPr>
          <w:rFonts w:cs="Univers"/>
          <w:lang w:val="en-US"/>
        </w:rPr>
        <w:t>202</w:t>
      </w:r>
      <w:r w:rsidR="00701AE3">
        <w:rPr>
          <w:rFonts w:cs="Univers"/>
          <w:lang w:val="en-US"/>
        </w:rPr>
        <w:t>3</w:t>
      </w:r>
      <w:r>
        <w:rPr>
          <w:rFonts w:cs="Univers"/>
          <w:lang w:val="en-US"/>
        </w:rPr>
        <w:t>-2</w:t>
      </w:r>
      <w:r w:rsidR="00701AE3">
        <w:rPr>
          <w:rFonts w:cs="Univers"/>
          <w:lang w:val="en-US"/>
        </w:rPr>
        <w:t>4</w:t>
      </w:r>
      <w:r>
        <w:rPr>
          <w:rFonts w:cs="Univers"/>
          <w:lang w:val="en-US"/>
        </w:rPr>
        <w:t xml:space="preserve"> comprised</w:t>
      </w:r>
      <w:r w:rsidRPr="003F7E43">
        <w:rPr>
          <w:rFonts w:cs="Univers"/>
          <w:lang w:val="en-US"/>
        </w:rPr>
        <w:t>:</w:t>
      </w:r>
    </w:p>
    <w:p w14:paraId="332D32BF" w14:textId="77777777" w:rsidR="002667DD" w:rsidRPr="003F7E43" w:rsidRDefault="002667DD" w:rsidP="002667DD">
      <w:pPr>
        <w:autoSpaceDE w:val="0"/>
        <w:autoSpaceDN w:val="0"/>
        <w:adjustRightInd w:val="0"/>
        <w:rPr>
          <w:rFonts w:cs="Univers"/>
          <w:lang w:val="en-US"/>
        </w:rPr>
      </w:pPr>
    </w:p>
    <w:p w14:paraId="680097FC" w14:textId="77777777" w:rsidR="002667DD" w:rsidRDefault="002667DD" w:rsidP="002667DD">
      <w:pPr>
        <w:numPr>
          <w:ilvl w:val="2"/>
          <w:numId w:val="5"/>
        </w:numPr>
        <w:tabs>
          <w:tab w:val="clear" w:pos="2160"/>
        </w:tabs>
        <w:autoSpaceDE w:val="0"/>
        <w:autoSpaceDN w:val="0"/>
        <w:adjustRightInd w:val="0"/>
        <w:ind w:left="567" w:hanging="567"/>
        <w:rPr>
          <w:rFonts w:cs="Arial"/>
        </w:rPr>
      </w:pPr>
      <w:r>
        <w:rPr>
          <w:rFonts w:cs="Arial"/>
        </w:rPr>
        <w:t>Sean Donaghy</w:t>
      </w:r>
      <w:r w:rsidRPr="3285EAFF">
        <w:rPr>
          <w:rFonts w:cs="Arial"/>
        </w:rPr>
        <w:t>, Independent Chairperson</w:t>
      </w:r>
    </w:p>
    <w:p w14:paraId="3AAAEAA1" w14:textId="59AE1284" w:rsidR="0075722B" w:rsidRPr="00FA0F19" w:rsidRDefault="0075722B" w:rsidP="002667DD">
      <w:pPr>
        <w:numPr>
          <w:ilvl w:val="2"/>
          <w:numId w:val="5"/>
        </w:numPr>
        <w:tabs>
          <w:tab w:val="clear" w:pos="2160"/>
        </w:tabs>
        <w:autoSpaceDE w:val="0"/>
        <w:autoSpaceDN w:val="0"/>
        <w:adjustRightInd w:val="0"/>
        <w:ind w:left="567" w:hanging="567"/>
        <w:rPr>
          <w:rFonts w:cs="Arial"/>
        </w:rPr>
      </w:pPr>
      <w:r w:rsidRPr="54F71CB4">
        <w:rPr>
          <w:rFonts w:cs="Arial"/>
        </w:rPr>
        <w:t xml:space="preserve">Helen Henderson (from </w:t>
      </w:r>
      <w:r w:rsidR="00B07AAC" w:rsidRPr="54F71CB4">
        <w:rPr>
          <w:rFonts w:cs="Arial"/>
        </w:rPr>
        <w:t>27 March 2024</w:t>
      </w:r>
      <w:r w:rsidRPr="54F71CB4">
        <w:rPr>
          <w:rFonts w:cs="Arial"/>
        </w:rPr>
        <w:t>)</w:t>
      </w:r>
    </w:p>
    <w:p w14:paraId="79D38D23" w14:textId="77777777" w:rsidR="002667DD" w:rsidRPr="00FA0F19" w:rsidRDefault="002667DD" w:rsidP="002667DD">
      <w:pPr>
        <w:numPr>
          <w:ilvl w:val="2"/>
          <w:numId w:val="5"/>
        </w:numPr>
        <w:tabs>
          <w:tab w:val="clear" w:pos="2160"/>
        </w:tabs>
        <w:autoSpaceDE w:val="0"/>
        <w:autoSpaceDN w:val="0"/>
        <w:adjustRightInd w:val="0"/>
        <w:ind w:left="567" w:hanging="567"/>
        <w:rPr>
          <w:rFonts w:cs="Univers"/>
          <w:lang w:val="en-US"/>
        </w:rPr>
      </w:pPr>
      <w:r>
        <w:rPr>
          <w:rFonts w:cs="Arial"/>
        </w:rPr>
        <w:t xml:space="preserve">David A Lavery CB </w:t>
      </w:r>
    </w:p>
    <w:p w14:paraId="43DA7BD0" w14:textId="3BBEF880" w:rsidR="002667DD" w:rsidRPr="00FA0F19" w:rsidRDefault="002667DD" w:rsidP="002667DD">
      <w:pPr>
        <w:numPr>
          <w:ilvl w:val="2"/>
          <w:numId w:val="5"/>
        </w:numPr>
        <w:tabs>
          <w:tab w:val="clear" w:pos="2160"/>
        </w:tabs>
        <w:autoSpaceDE w:val="0"/>
        <w:autoSpaceDN w:val="0"/>
        <w:adjustRightInd w:val="0"/>
        <w:ind w:left="567" w:hanging="567"/>
        <w:rPr>
          <w:rFonts w:cs="Univers"/>
          <w:lang w:val="en-US"/>
        </w:rPr>
      </w:pPr>
      <w:r>
        <w:rPr>
          <w:rFonts w:cs="Arial"/>
        </w:rPr>
        <w:t>Eddie Rooney</w:t>
      </w:r>
      <w:r w:rsidR="0019661B">
        <w:rPr>
          <w:rFonts w:cs="Arial"/>
        </w:rPr>
        <w:t xml:space="preserve"> (until 31 August 2023)</w:t>
      </w:r>
    </w:p>
    <w:p w14:paraId="2FCCBD65" w14:textId="77777777" w:rsidR="002667DD" w:rsidRPr="00AF7B8A" w:rsidRDefault="002667DD" w:rsidP="002667DD">
      <w:pPr>
        <w:numPr>
          <w:ilvl w:val="2"/>
          <w:numId w:val="5"/>
        </w:numPr>
        <w:tabs>
          <w:tab w:val="clear" w:pos="2160"/>
        </w:tabs>
        <w:autoSpaceDE w:val="0"/>
        <w:autoSpaceDN w:val="0"/>
        <w:adjustRightInd w:val="0"/>
        <w:ind w:left="567" w:hanging="567"/>
        <w:rPr>
          <w:rFonts w:cs="Univers"/>
          <w:lang w:val="en-US"/>
        </w:rPr>
      </w:pPr>
      <w:r>
        <w:rPr>
          <w:rFonts w:cs="Arial"/>
        </w:rPr>
        <w:t xml:space="preserve">Stephen White OBE </w:t>
      </w:r>
    </w:p>
    <w:p w14:paraId="5C8A9592" w14:textId="77777777" w:rsidR="002667DD" w:rsidRPr="001324BD" w:rsidRDefault="002667DD" w:rsidP="002667DD">
      <w:pPr>
        <w:autoSpaceDE w:val="0"/>
        <w:autoSpaceDN w:val="0"/>
        <w:adjustRightInd w:val="0"/>
        <w:rPr>
          <w:rFonts w:cs="Univers"/>
          <w:lang w:val="en-US"/>
        </w:rPr>
      </w:pPr>
    </w:p>
    <w:p w14:paraId="4B98DFA0" w14:textId="30D9E91E" w:rsidR="002667DD" w:rsidRPr="00C6256C" w:rsidRDefault="002667DD" w:rsidP="002667DD">
      <w:pPr>
        <w:autoSpaceDE w:val="0"/>
        <w:autoSpaceDN w:val="0"/>
        <w:adjustRightInd w:val="0"/>
        <w:rPr>
          <w:rFonts w:cs="Arial"/>
        </w:rPr>
      </w:pPr>
      <w:r w:rsidRPr="54F71CB4">
        <w:rPr>
          <w:rFonts w:cs="Univers"/>
          <w:lang w:val="en-US"/>
        </w:rPr>
        <w:t xml:space="preserve">The Chief Executive, Director (Finance, Personnel and Corporate Affairs), Director </w:t>
      </w:r>
      <w:r w:rsidRPr="54F71CB4">
        <w:rPr>
          <w:rFonts w:cs="Arial"/>
        </w:rPr>
        <w:t>(Engagement and Communications), Director (Legal</w:t>
      </w:r>
      <w:r w:rsidR="00D50568" w:rsidRPr="54F71CB4">
        <w:rPr>
          <w:rFonts w:cs="Arial"/>
        </w:rPr>
        <w:t xml:space="preserve"> Services)</w:t>
      </w:r>
      <w:r w:rsidRPr="54F71CB4">
        <w:rPr>
          <w:rFonts w:cs="Arial"/>
        </w:rPr>
        <w:t xml:space="preserve">, </w:t>
      </w:r>
      <w:r w:rsidR="00526749" w:rsidRPr="54F71CB4">
        <w:rPr>
          <w:rFonts w:cs="Arial"/>
        </w:rPr>
        <w:t xml:space="preserve">Director (Advice to Government, </w:t>
      </w:r>
      <w:r w:rsidRPr="54F71CB4">
        <w:rPr>
          <w:rFonts w:cs="Arial"/>
        </w:rPr>
        <w:t>Research and Investigations</w:t>
      </w:r>
      <w:r w:rsidR="00526749" w:rsidRPr="54F71CB4">
        <w:rPr>
          <w:rFonts w:cs="Arial"/>
        </w:rPr>
        <w:t>)</w:t>
      </w:r>
      <w:r w:rsidRPr="54F71CB4">
        <w:rPr>
          <w:rFonts w:cs="Arial"/>
        </w:rPr>
        <w:t xml:space="preserve">), Director (Human Rights after EU Withdrawal), </w:t>
      </w:r>
      <w:r w:rsidRPr="54F71CB4">
        <w:rPr>
          <w:rFonts w:cs="Univers"/>
          <w:lang w:val="en-US"/>
        </w:rPr>
        <w:t>Internal Auditor, External Auditor and a representative from the NIO attend Audit and Risk Management Committee meetings.</w:t>
      </w:r>
    </w:p>
    <w:p w14:paraId="42C7D1F2" w14:textId="77777777" w:rsidR="002667DD" w:rsidRPr="003F7E43" w:rsidRDefault="002667DD" w:rsidP="002667DD">
      <w:pPr>
        <w:autoSpaceDE w:val="0"/>
        <w:autoSpaceDN w:val="0"/>
        <w:adjustRightInd w:val="0"/>
        <w:rPr>
          <w:rFonts w:cs="Univers"/>
          <w:lang w:val="en-US"/>
        </w:rPr>
      </w:pPr>
    </w:p>
    <w:p w14:paraId="06CDFC12" w14:textId="77777777" w:rsidR="002667DD" w:rsidRPr="003F7E43" w:rsidRDefault="002667DD" w:rsidP="002667DD">
      <w:pPr>
        <w:autoSpaceDE w:val="0"/>
        <w:autoSpaceDN w:val="0"/>
        <w:adjustRightInd w:val="0"/>
        <w:rPr>
          <w:lang w:val="en-US"/>
        </w:rPr>
      </w:pPr>
      <w:r w:rsidRPr="003F7E43">
        <w:rPr>
          <w:rFonts w:cs="Univers"/>
          <w:lang w:val="en-US"/>
        </w:rPr>
        <w:t xml:space="preserve">The Audit and Risk Management Committee supports the Accounting Officer, and the Commission, </w:t>
      </w:r>
      <w:r w:rsidRPr="003F7E43">
        <w:rPr>
          <w:lang w:val="en-US"/>
        </w:rPr>
        <w:t xml:space="preserve">by monitoring and reviewing the risk, control and governance systems, and the associated assurance processes. This is achieved by providing an independent perspective and through a process of constructive challenge. The Chairperson or nominated Committee member </w:t>
      </w:r>
      <w:r w:rsidRPr="003F7E43">
        <w:rPr>
          <w:rFonts w:cs="Univers"/>
          <w:lang w:val="en-US"/>
        </w:rPr>
        <w:t xml:space="preserve">reports on the activities </w:t>
      </w:r>
      <w:r w:rsidRPr="003F7E43">
        <w:rPr>
          <w:lang w:val="en-US"/>
        </w:rPr>
        <w:t xml:space="preserve">of the </w:t>
      </w:r>
      <w:r w:rsidRPr="003F7E43">
        <w:rPr>
          <w:rFonts w:cs="Univers"/>
          <w:lang w:val="en-US"/>
        </w:rPr>
        <w:t>Audit and Risk Management Committee at Commission meetings. Minutes of Audit and Risk Management Committee meetings are circulated to all Commissioners.</w:t>
      </w:r>
    </w:p>
    <w:p w14:paraId="274BF923" w14:textId="77777777" w:rsidR="002667DD" w:rsidRPr="003F7E43" w:rsidRDefault="002667DD" w:rsidP="002667DD">
      <w:pPr>
        <w:widowControl w:val="0"/>
        <w:autoSpaceDE w:val="0"/>
        <w:autoSpaceDN w:val="0"/>
        <w:adjustRightInd w:val="0"/>
        <w:rPr>
          <w:b/>
        </w:rPr>
      </w:pPr>
    </w:p>
    <w:p w14:paraId="28A168D7" w14:textId="77777777" w:rsidR="002667DD" w:rsidRPr="00C6256C" w:rsidRDefault="002667DD" w:rsidP="002667DD">
      <w:pPr>
        <w:rPr>
          <w:bCs/>
          <w:noProof/>
          <w:lang w:eastAsia="en-GB"/>
        </w:rPr>
      </w:pPr>
      <w:r w:rsidRPr="003F7E43">
        <w:rPr>
          <w:b/>
        </w:rPr>
        <w:t>Risk management</w:t>
      </w:r>
      <w:r>
        <w:rPr>
          <w:b/>
        </w:rPr>
        <w:t xml:space="preserve"> </w:t>
      </w:r>
    </w:p>
    <w:p w14:paraId="533FD1A0" w14:textId="77777777" w:rsidR="002667DD" w:rsidRPr="003F7E43" w:rsidRDefault="002667DD" w:rsidP="002667DD">
      <w:pPr>
        <w:rPr>
          <w:b/>
        </w:rPr>
      </w:pPr>
    </w:p>
    <w:p w14:paraId="5259D8F1" w14:textId="77777777" w:rsidR="002667DD" w:rsidRPr="00215C42" w:rsidRDefault="002667DD" w:rsidP="002667DD">
      <w:r w:rsidRPr="00215C42">
        <w:t xml:space="preserve">The Commission is committed to ensuring a high standard of corporate governance. We have identified our risk appetite as well as defining strategy and determining resource allocation to ensure the delivery of the Commission objectives. The system of internal control is designed to manage risk to a reasonable level rather than to eliminate all risk. The Audit and Risk </w:t>
      </w:r>
      <w:r>
        <w:t xml:space="preserve">Management </w:t>
      </w:r>
      <w:r w:rsidRPr="00215C42">
        <w:t xml:space="preserve">Committee oversee this work under an independent Chair. </w:t>
      </w:r>
    </w:p>
    <w:p w14:paraId="5BE46C04" w14:textId="77777777" w:rsidR="002667DD" w:rsidRPr="00215C42" w:rsidRDefault="002667DD" w:rsidP="002667DD"/>
    <w:p w14:paraId="6510C6D1" w14:textId="77777777" w:rsidR="002667DD" w:rsidRDefault="002667DD" w:rsidP="002667DD">
      <w:r w:rsidRPr="00215C42">
        <w:t xml:space="preserve">All Commissioners have received training in the role and responsibilities of National Human Rights Institution Commissioners and as board members of non-Departmental public bodies as well as induction and </w:t>
      </w:r>
      <w:r>
        <w:t xml:space="preserve">follow up </w:t>
      </w:r>
      <w:r w:rsidRPr="00215C42">
        <w:t xml:space="preserve">training </w:t>
      </w:r>
      <w:r>
        <w:t>on</w:t>
      </w:r>
      <w:r w:rsidRPr="00215C42">
        <w:t xml:space="preserve"> the work of the Commission. The Audit and Risk Management Committee reviews its effectiveness by assessing its operation and constitution against good practice guidelines issued by the National Audit Office. </w:t>
      </w:r>
      <w:r>
        <w:t>A member of the</w:t>
      </w:r>
      <w:r w:rsidRPr="00215C42">
        <w:t xml:space="preserve"> Audit and Risk Management </w:t>
      </w:r>
      <w:r>
        <w:t>C</w:t>
      </w:r>
      <w:r w:rsidRPr="00215C42">
        <w:t xml:space="preserve">ommittee reports </w:t>
      </w:r>
      <w:r>
        <w:t>to the full Commission board following a committee meeting.</w:t>
      </w:r>
      <w:r w:rsidRPr="009A2C67">
        <w:t xml:space="preserve"> The independent chairperson normally reports annually to the full Comm</w:t>
      </w:r>
      <w:r>
        <w:t>ission board, usually in August</w:t>
      </w:r>
      <w:r w:rsidRPr="009A2C67">
        <w:t>.</w:t>
      </w:r>
    </w:p>
    <w:p w14:paraId="4FA8394F" w14:textId="77777777" w:rsidR="002667DD" w:rsidRPr="00014CBD" w:rsidRDefault="002667DD" w:rsidP="002667DD"/>
    <w:p w14:paraId="03AB6F6F" w14:textId="77777777" w:rsidR="002667DD" w:rsidRPr="00215C42" w:rsidRDefault="002667DD" w:rsidP="002667DD">
      <w:pPr>
        <w:widowControl w:val="0"/>
        <w:autoSpaceDE w:val="0"/>
        <w:autoSpaceDN w:val="0"/>
        <w:adjustRightInd w:val="0"/>
      </w:pPr>
      <w:r w:rsidRPr="00215C42">
        <w:t xml:space="preserve">Overall responsibility for ensuring that risks are </w:t>
      </w:r>
      <w:proofErr w:type="gramStart"/>
      <w:r w:rsidRPr="00215C42">
        <w:t>identified</w:t>
      </w:r>
      <w:proofErr w:type="gramEnd"/>
      <w:r w:rsidRPr="00215C42">
        <w:t xml:space="preserve"> and an appropriate framework is in place to manage those risks down to an acceptable level rests with the Commission’s Accounting Officer. Individual staff members can be nominated as ‘risk owners’ with responsibility delegated from the Accounting Officer. The risk register is reviewed monthly by the management team who are also responsible for reviewing the Business Continuity Plan.</w:t>
      </w:r>
    </w:p>
    <w:p w14:paraId="62DE9FBB" w14:textId="77777777" w:rsidR="002667DD" w:rsidRPr="00215C42" w:rsidRDefault="002667DD" w:rsidP="002667DD">
      <w:pPr>
        <w:widowControl w:val="0"/>
        <w:autoSpaceDE w:val="0"/>
        <w:autoSpaceDN w:val="0"/>
        <w:adjustRightInd w:val="0"/>
      </w:pPr>
    </w:p>
    <w:p w14:paraId="11A2C1CC" w14:textId="33800C11" w:rsidR="002667DD" w:rsidRPr="00215C42" w:rsidRDefault="002667DD" w:rsidP="002667DD">
      <w:pPr>
        <w:widowControl w:val="0"/>
        <w:autoSpaceDE w:val="0"/>
        <w:autoSpaceDN w:val="0"/>
        <w:adjustRightInd w:val="0"/>
      </w:pPr>
      <w:r>
        <w:t xml:space="preserve">The Commission’s risk register is presented to each Audit and Risk Management Committee meeting for scrutiny and discussion.  The Commission </w:t>
      </w:r>
      <w:r w:rsidR="0047393A">
        <w:t>records</w:t>
      </w:r>
      <w:r>
        <w:t xml:space="preserve"> any </w:t>
      </w:r>
      <w:proofErr w:type="gramStart"/>
      <w:r>
        <w:t>risks, and</w:t>
      </w:r>
      <w:proofErr w:type="gramEnd"/>
      <w:r>
        <w:t xml:space="preserve"> identifies the likelihood of occurrence and the impact of the risk.  Any controls that are put in place to mitigate the risk are recorded and, if necessary, any remedial action.  Changes to the assessment and evaluation of risk are noted by the Audit and Risk Management Committee and the full Commission board.</w:t>
      </w:r>
    </w:p>
    <w:p w14:paraId="2BF16210" w14:textId="77777777" w:rsidR="002667DD" w:rsidRPr="008D428E" w:rsidRDefault="002667DD" w:rsidP="002667DD">
      <w:pPr>
        <w:widowControl w:val="0"/>
        <w:autoSpaceDE w:val="0"/>
        <w:autoSpaceDN w:val="0"/>
        <w:adjustRightInd w:val="0"/>
        <w:rPr>
          <w:highlight w:val="yellow"/>
        </w:rPr>
      </w:pPr>
    </w:p>
    <w:p w14:paraId="664BC711" w14:textId="043EB652" w:rsidR="002667DD" w:rsidRPr="00C6256C" w:rsidRDefault="002667DD" w:rsidP="54F71CB4">
      <w:pPr>
        <w:rPr>
          <w:b/>
          <w:bCs/>
          <w:color w:val="FF0000"/>
        </w:rPr>
      </w:pPr>
      <w:r>
        <w:t>There w</w:t>
      </w:r>
      <w:r w:rsidR="009F6F11">
        <w:t>as</w:t>
      </w:r>
      <w:r>
        <w:t xml:space="preserve"> o</w:t>
      </w:r>
      <w:r w:rsidR="009F6F11">
        <w:t>ne</w:t>
      </w:r>
      <w:r>
        <w:t xml:space="preserve"> complaint to the Parliamentary Ombudsman in 202</w:t>
      </w:r>
      <w:r w:rsidR="00B5348E">
        <w:t>3</w:t>
      </w:r>
      <w:r>
        <w:t>-2</w:t>
      </w:r>
      <w:r w:rsidR="00B5348E">
        <w:t>4</w:t>
      </w:r>
      <w:r>
        <w:t xml:space="preserve"> </w:t>
      </w:r>
      <w:r w:rsidR="00F53E4A">
        <w:t xml:space="preserve">which was not upheld </w:t>
      </w:r>
      <w:r>
        <w:t>(202</w:t>
      </w:r>
      <w:r w:rsidR="00595F9C">
        <w:t>2</w:t>
      </w:r>
      <w:r>
        <w:t>-2</w:t>
      </w:r>
      <w:r w:rsidR="00595F9C">
        <w:t>3</w:t>
      </w:r>
      <w:r>
        <w:t xml:space="preserve">: </w:t>
      </w:r>
      <w:r w:rsidR="00595F9C">
        <w:t>None</w:t>
      </w:r>
      <w:r>
        <w:t xml:space="preserve">).  </w:t>
      </w:r>
    </w:p>
    <w:p w14:paraId="0420CD6B" w14:textId="77777777" w:rsidR="002667DD" w:rsidRPr="003F7E43" w:rsidRDefault="002667DD" w:rsidP="002667DD"/>
    <w:p w14:paraId="7975271B" w14:textId="07FBA368" w:rsidR="002667DD" w:rsidRDefault="002667DD" w:rsidP="002667DD">
      <w:pPr>
        <w:widowControl w:val="0"/>
        <w:autoSpaceDE w:val="0"/>
        <w:autoSpaceDN w:val="0"/>
        <w:adjustRightInd w:val="0"/>
        <w:rPr>
          <w:b/>
          <w:color w:val="FF0000"/>
        </w:rPr>
      </w:pPr>
      <w:r w:rsidRPr="009B4441">
        <w:rPr>
          <w:b/>
          <w:color w:val="auto"/>
        </w:rPr>
        <w:t>Personal data</w:t>
      </w:r>
      <w:r>
        <w:rPr>
          <w:b/>
          <w:color w:val="auto"/>
        </w:rPr>
        <w:t xml:space="preserve"> related incidents </w:t>
      </w:r>
      <w:r w:rsidR="00F33AE6">
        <w:rPr>
          <w:b/>
          <w:color w:val="auto"/>
        </w:rPr>
        <w:t>and Freedom of Information</w:t>
      </w:r>
    </w:p>
    <w:p w14:paraId="1E6A4194" w14:textId="77777777" w:rsidR="002667DD" w:rsidRPr="009B4441" w:rsidRDefault="002667DD" w:rsidP="002667DD">
      <w:pPr>
        <w:widowControl w:val="0"/>
        <w:autoSpaceDE w:val="0"/>
        <w:autoSpaceDN w:val="0"/>
        <w:adjustRightInd w:val="0"/>
        <w:rPr>
          <w:color w:val="auto"/>
        </w:rPr>
      </w:pPr>
    </w:p>
    <w:p w14:paraId="6D628D86" w14:textId="77777777" w:rsidR="002667DD" w:rsidRDefault="002667DD" w:rsidP="002667DD">
      <w:pPr>
        <w:widowControl w:val="0"/>
        <w:autoSpaceDE w:val="0"/>
        <w:autoSpaceDN w:val="0"/>
        <w:adjustRightInd w:val="0"/>
        <w:rPr>
          <w:rFonts w:cs="MetaPlusNormal-Roman"/>
          <w:color w:val="auto"/>
          <w:lang w:val="en-US"/>
        </w:rPr>
      </w:pPr>
      <w:r w:rsidRPr="009B4441">
        <w:rPr>
          <w:rFonts w:cs="MetaPlusNormal-Roman"/>
          <w:color w:val="auto"/>
          <w:lang w:val="en-US"/>
        </w:rPr>
        <w:t xml:space="preserve">We are committed to safeguarding all retained personal </w:t>
      </w:r>
      <w:r>
        <w:rPr>
          <w:rFonts w:cs="MetaPlusNormal-Roman"/>
          <w:color w:val="auto"/>
          <w:lang w:val="en-US"/>
        </w:rPr>
        <w:t>data and follow the General Data Protection Regulation (GDPR) as it applies in the UK, tailored by the Data Protection Act 2018</w:t>
      </w:r>
      <w:r w:rsidRPr="009B4441">
        <w:rPr>
          <w:rFonts w:cs="MetaPlusNormal-Roman"/>
          <w:color w:val="auto"/>
          <w:lang w:val="en-US"/>
        </w:rPr>
        <w:t>.</w:t>
      </w:r>
      <w:r>
        <w:rPr>
          <w:rFonts w:cs="MetaPlusNormal-Roman"/>
          <w:color w:val="auto"/>
          <w:lang w:val="en-US"/>
        </w:rPr>
        <w:t xml:space="preserve"> A member of the senior management team has been appointed as the Data Protection Officer and a member of staff provides support in the role of the Data Protection Practitioner.</w:t>
      </w:r>
      <w:r w:rsidRPr="009B4441">
        <w:rPr>
          <w:rFonts w:cs="MetaPlusNormal-Roman"/>
          <w:color w:val="auto"/>
          <w:lang w:val="en-US"/>
        </w:rPr>
        <w:t xml:space="preserve"> </w:t>
      </w:r>
    </w:p>
    <w:p w14:paraId="78DC47CF" w14:textId="77777777" w:rsidR="002667DD" w:rsidRDefault="002667DD" w:rsidP="002667DD">
      <w:pPr>
        <w:widowControl w:val="0"/>
        <w:autoSpaceDE w:val="0"/>
        <w:autoSpaceDN w:val="0"/>
        <w:adjustRightInd w:val="0"/>
        <w:rPr>
          <w:rFonts w:cs="MetaPlusNormal-Roman"/>
          <w:color w:val="auto"/>
          <w:lang w:val="en-US"/>
        </w:rPr>
      </w:pPr>
    </w:p>
    <w:p w14:paraId="35BBD366" w14:textId="77777777" w:rsidR="002667DD" w:rsidRDefault="002667DD" w:rsidP="002667DD">
      <w:pPr>
        <w:widowControl w:val="0"/>
        <w:autoSpaceDE w:val="0"/>
        <w:autoSpaceDN w:val="0"/>
        <w:adjustRightInd w:val="0"/>
        <w:rPr>
          <w:rFonts w:cs="MetaPlusNormal-Roman"/>
          <w:color w:val="auto"/>
          <w:lang w:val="en-US"/>
        </w:rPr>
      </w:pPr>
      <w:r w:rsidRPr="009B4441">
        <w:rPr>
          <w:rFonts w:cs="MetaPlusNormal-Roman"/>
          <w:color w:val="auto"/>
          <w:lang w:val="en-US"/>
        </w:rPr>
        <w:t>Risks in this area are recorded in the Commission’s risk register and the Audit and Risk Management Committee receives regular reports on activities to</w:t>
      </w:r>
      <w:r w:rsidRPr="009B4441">
        <w:rPr>
          <w:rFonts w:cs="MetaPlusNormal-Roman"/>
          <w:color w:val="auto"/>
        </w:rPr>
        <w:t xml:space="preserve"> minimise</w:t>
      </w:r>
      <w:r w:rsidRPr="009B4441">
        <w:rPr>
          <w:rFonts w:cs="MetaPlusNormal-Roman"/>
          <w:color w:val="auto"/>
          <w:lang w:val="en-US"/>
        </w:rPr>
        <w:t xml:space="preserve"> the likeli</w:t>
      </w:r>
      <w:r>
        <w:rPr>
          <w:rFonts w:cs="MetaPlusNormal-Roman"/>
          <w:color w:val="auto"/>
          <w:lang w:val="en-US"/>
        </w:rPr>
        <w:t>hood of the occurrence of these and other</w:t>
      </w:r>
      <w:r w:rsidRPr="009B4441">
        <w:rPr>
          <w:rFonts w:cs="MetaPlusNormal-Roman"/>
          <w:color w:val="auto"/>
          <w:lang w:val="en-US"/>
        </w:rPr>
        <w:t xml:space="preserve"> risks. </w:t>
      </w:r>
    </w:p>
    <w:p w14:paraId="01A9CBFF" w14:textId="77777777" w:rsidR="002667DD" w:rsidRDefault="002667DD" w:rsidP="002667DD">
      <w:pPr>
        <w:widowControl w:val="0"/>
        <w:autoSpaceDE w:val="0"/>
        <w:autoSpaceDN w:val="0"/>
        <w:adjustRightInd w:val="0"/>
        <w:rPr>
          <w:rFonts w:cs="MetaPlusNormal-Roman"/>
          <w:color w:val="auto"/>
          <w:lang w:val="en-US"/>
        </w:rPr>
      </w:pPr>
    </w:p>
    <w:p w14:paraId="6A03A43D" w14:textId="4FF22967" w:rsidR="002667DD" w:rsidRDefault="002667DD" w:rsidP="002667DD">
      <w:r w:rsidRPr="003F7E43">
        <w:t>There w</w:t>
      </w:r>
      <w:r>
        <w:t>ere no personal data related incidents during 202</w:t>
      </w:r>
      <w:r w:rsidR="00F41464">
        <w:t>3</w:t>
      </w:r>
      <w:r>
        <w:t>-2</w:t>
      </w:r>
      <w:r w:rsidR="00F41464">
        <w:t>4</w:t>
      </w:r>
      <w:r>
        <w:t xml:space="preserve"> (202</w:t>
      </w:r>
      <w:r w:rsidR="00F41464">
        <w:t>2</w:t>
      </w:r>
      <w:r>
        <w:t>-2</w:t>
      </w:r>
      <w:r w:rsidR="00F41464">
        <w:t>3</w:t>
      </w:r>
      <w:r w:rsidRPr="003F7E43">
        <w:t xml:space="preserve">: </w:t>
      </w:r>
      <w:r w:rsidR="00F41464">
        <w:t>None</w:t>
      </w:r>
      <w:r w:rsidRPr="003F7E43">
        <w:t>).</w:t>
      </w:r>
      <w:r>
        <w:t xml:space="preserve">  All staff completed the mandatory Civil </w:t>
      </w:r>
      <w:proofErr w:type="gramStart"/>
      <w:r>
        <w:t>Service Learning</w:t>
      </w:r>
      <w:proofErr w:type="gramEnd"/>
      <w:r>
        <w:t xml:space="preserve"> training on Security and Data Protection during the year.</w:t>
      </w:r>
    </w:p>
    <w:p w14:paraId="51F4A070" w14:textId="77777777" w:rsidR="00F33AE6" w:rsidRDefault="00F33AE6" w:rsidP="002667DD"/>
    <w:p w14:paraId="3044AE25" w14:textId="71D076D7" w:rsidR="00F33AE6" w:rsidRPr="009B4441" w:rsidRDefault="00C44AB5" w:rsidP="002667DD">
      <w:r>
        <w:t xml:space="preserve">In 2023-24 the Commission received </w:t>
      </w:r>
      <w:proofErr w:type="gramStart"/>
      <w:r>
        <w:t xml:space="preserve">twenty </w:t>
      </w:r>
      <w:r w:rsidR="47A5953E">
        <w:t>five</w:t>
      </w:r>
      <w:proofErr w:type="gramEnd"/>
      <w:r w:rsidR="5734588D">
        <w:t xml:space="preserve"> </w:t>
      </w:r>
      <w:r>
        <w:t>Freedom of Information requests (2022-23</w:t>
      </w:r>
      <w:r w:rsidR="003F013D">
        <w:t xml:space="preserve"> </w:t>
      </w:r>
      <w:r w:rsidR="00ED7A81">
        <w:t>sixteen</w:t>
      </w:r>
      <w:r w:rsidR="003F013D">
        <w:t xml:space="preserve">).  Responses were provided to </w:t>
      </w:r>
      <w:proofErr w:type="gramStart"/>
      <w:r w:rsidR="00E25B33">
        <w:t xml:space="preserve">twenty </w:t>
      </w:r>
      <w:r w:rsidR="00CE69C2">
        <w:t>six</w:t>
      </w:r>
      <w:proofErr w:type="gramEnd"/>
      <w:r w:rsidR="00CE69C2">
        <w:t xml:space="preserve"> </w:t>
      </w:r>
      <w:r w:rsidR="00E25B33">
        <w:t>of these requests</w:t>
      </w:r>
      <w:r w:rsidR="00BD7C91">
        <w:t xml:space="preserve"> in 2023-24, with </w:t>
      </w:r>
      <w:r w:rsidR="00CE69C2">
        <w:t>clarification sought on</w:t>
      </w:r>
      <w:r w:rsidR="000C3D72">
        <w:t xml:space="preserve"> </w:t>
      </w:r>
      <w:r w:rsidR="00BD7C91">
        <w:t xml:space="preserve">one request </w:t>
      </w:r>
      <w:r w:rsidR="000C3D72">
        <w:t>before a full response could be provided</w:t>
      </w:r>
      <w:r w:rsidR="00BD7C91">
        <w:t>.</w:t>
      </w:r>
    </w:p>
    <w:p w14:paraId="28C0B79E" w14:textId="507ED32A" w:rsidR="002667DD" w:rsidRDefault="002667DD" w:rsidP="002667DD">
      <w:pPr>
        <w:rPr>
          <w:b/>
        </w:rPr>
      </w:pPr>
    </w:p>
    <w:p w14:paraId="0450E638" w14:textId="77777777" w:rsidR="002667DD" w:rsidRPr="003F7E43" w:rsidRDefault="002667DD" w:rsidP="002667DD">
      <w:pPr>
        <w:rPr>
          <w:b/>
        </w:rPr>
      </w:pPr>
      <w:r w:rsidRPr="003F7E43">
        <w:rPr>
          <w:b/>
        </w:rPr>
        <w:t>Register of Interests</w:t>
      </w:r>
    </w:p>
    <w:p w14:paraId="2E9CA034" w14:textId="77777777" w:rsidR="002667DD" w:rsidRPr="003F7E43" w:rsidRDefault="002667DD" w:rsidP="002667DD">
      <w:pPr>
        <w:rPr>
          <w:b/>
        </w:rPr>
      </w:pPr>
    </w:p>
    <w:p w14:paraId="49BAA4A9" w14:textId="77777777" w:rsidR="002667DD" w:rsidRPr="003F7E43" w:rsidRDefault="002667DD" w:rsidP="002667DD">
      <w:pPr>
        <w:rPr>
          <w:b/>
        </w:rPr>
      </w:pPr>
      <w:r w:rsidRPr="003F7E43">
        <w:t xml:space="preserve">The Register of Interests and Related Party Declarations for the Chief Commissioner, Commissioners, Chief Executive and senior management can be found on the Commission’s website at </w:t>
      </w:r>
      <w:hyperlink r:id="rId30" w:history="1">
        <w:r w:rsidRPr="003F7E43">
          <w:rPr>
            <w:rStyle w:val="Hyperlink"/>
          </w:rPr>
          <w:t>www.nihrc.org</w:t>
        </w:r>
      </w:hyperlink>
    </w:p>
    <w:p w14:paraId="2A93BE2D" w14:textId="77777777" w:rsidR="002667DD" w:rsidRDefault="002667DD" w:rsidP="002667DD">
      <w:pPr>
        <w:widowControl w:val="0"/>
        <w:autoSpaceDE w:val="0"/>
        <w:autoSpaceDN w:val="0"/>
        <w:adjustRightInd w:val="0"/>
        <w:rPr>
          <w:b/>
        </w:rPr>
      </w:pPr>
    </w:p>
    <w:p w14:paraId="184BC2F6" w14:textId="439AF41C" w:rsidR="002667DD" w:rsidRPr="003F7E43" w:rsidRDefault="002667DD" w:rsidP="002667DD">
      <w:pPr>
        <w:widowControl w:val="0"/>
        <w:autoSpaceDE w:val="0"/>
        <w:autoSpaceDN w:val="0"/>
        <w:adjustRightInd w:val="0"/>
        <w:rPr>
          <w:b/>
        </w:rPr>
      </w:pPr>
      <w:r w:rsidRPr="003F7E43">
        <w:rPr>
          <w:b/>
        </w:rPr>
        <w:t>Auditors</w:t>
      </w:r>
    </w:p>
    <w:p w14:paraId="2D83097F" w14:textId="77777777" w:rsidR="002667DD" w:rsidRPr="003F7E43" w:rsidRDefault="002667DD" w:rsidP="002667DD">
      <w:pPr>
        <w:widowControl w:val="0"/>
        <w:autoSpaceDE w:val="0"/>
        <w:autoSpaceDN w:val="0"/>
        <w:adjustRightInd w:val="0"/>
        <w:rPr>
          <w:b/>
        </w:rPr>
      </w:pPr>
    </w:p>
    <w:p w14:paraId="17101479" w14:textId="5665F2EF" w:rsidR="002667DD" w:rsidRPr="003F7E43" w:rsidRDefault="002667DD" w:rsidP="002667DD">
      <w:pPr>
        <w:widowControl w:val="0"/>
        <w:autoSpaceDE w:val="0"/>
        <w:autoSpaceDN w:val="0"/>
        <w:adjustRightInd w:val="0"/>
      </w:pPr>
      <w:r w:rsidRPr="003F7E43">
        <w:t>The financial statements are audited by the Comptroller and Auditor General.  The audit fe</w:t>
      </w:r>
      <w:r>
        <w:t>e for this year is £2</w:t>
      </w:r>
      <w:r w:rsidR="00E111D5">
        <w:t>6</w:t>
      </w:r>
      <w:r>
        <w:t>,</w:t>
      </w:r>
      <w:r w:rsidR="00E111D5">
        <w:t>250</w:t>
      </w:r>
      <w:r>
        <w:t xml:space="preserve"> (202</w:t>
      </w:r>
      <w:r w:rsidR="0039604A">
        <w:t>2</w:t>
      </w:r>
      <w:r>
        <w:t>-2</w:t>
      </w:r>
      <w:r w:rsidR="0039604A">
        <w:t>3</w:t>
      </w:r>
      <w:r>
        <w:t>: £</w:t>
      </w:r>
      <w:r w:rsidR="0039604A">
        <w:t>21</w:t>
      </w:r>
      <w:r>
        <w:t>,</w:t>
      </w:r>
      <w:r w:rsidR="0039604A">
        <w:t>875</w:t>
      </w:r>
      <w:r w:rsidRPr="003F7E43">
        <w:t>).</w:t>
      </w:r>
    </w:p>
    <w:p w14:paraId="5EEE166F" w14:textId="77777777" w:rsidR="002667DD" w:rsidRPr="003F7E43" w:rsidRDefault="002667DD" w:rsidP="002667DD">
      <w:pPr>
        <w:widowControl w:val="0"/>
        <w:autoSpaceDE w:val="0"/>
        <w:autoSpaceDN w:val="0"/>
        <w:adjustRightInd w:val="0"/>
      </w:pPr>
    </w:p>
    <w:p w14:paraId="6EDF8E2B" w14:textId="77777777" w:rsidR="002667DD" w:rsidRPr="009B4441" w:rsidRDefault="002667DD" w:rsidP="002667DD">
      <w:pPr>
        <w:widowControl w:val="0"/>
        <w:autoSpaceDE w:val="0"/>
        <w:autoSpaceDN w:val="0"/>
        <w:adjustRightInd w:val="0"/>
      </w:pPr>
      <w:r>
        <w:t xml:space="preserve">The Commission’s internal audit is provided by ASM (Belfast). </w:t>
      </w:r>
    </w:p>
    <w:p w14:paraId="115DEC67" w14:textId="77777777" w:rsidR="002667DD" w:rsidRPr="009B4441" w:rsidRDefault="002667DD" w:rsidP="002667DD">
      <w:pPr>
        <w:widowControl w:val="0"/>
        <w:autoSpaceDE w:val="0"/>
        <w:autoSpaceDN w:val="0"/>
        <w:adjustRightInd w:val="0"/>
        <w:rPr>
          <w:color w:val="auto"/>
        </w:rPr>
      </w:pPr>
    </w:p>
    <w:p w14:paraId="5B42EABB" w14:textId="77777777" w:rsidR="002667DD" w:rsidRPr="004113D9" w:rsidRDefault="002667DD" w:rsidP="002667DD">
      <w:pPr>
        <w:widowControl w:val="0"/>
        <w:autoSpaceDE w:val="0"/>
        <w:autoSpaceDN w:val="0"/>
        <w:adjustRightInd w:val="0"/>
        <w:rPr>
          <w:b/>
          <w:color w:val="auto"/>
        </w:rPr>
      </w:pPr>
      <w:r w:rsidRPr="004113D9">
        <w:rPr>
          <w:b/>
          <w:color w:val="auto"/>
        </w:rPr>
        <w:t>Creditor payment, policy and performance</w:t>
      </w:r>
    </w:p>
    <w:p w14:paraId="3133F46E" w14:textId="77777777" w:rsidR="002667DD" w:rsidRPr="004113D9" w:rsidRDefault="002667DD" w:rsidP="002667DD">
      <w:pPr>
        <w:widowControl w:val="0"/>
        <w:autoSpaceDE w:val="0"/>
        <w:autoSpaceDN w:val="0"/>
        <w:adjustRightInd w:val="0"/>
        <w:rPr>
          <w:color w:val="auto"/>
        </w:rPr>
      </w:pPr>
    </w:p>
    <w:p w14:paraId="3134FA67" w14:textId="56CA3998" w:rsidR="002667DD" w:rsidRDefault="002667DD" w:rsidP="002667DD">
      <w:pPr>
        <w:pStyle w:val="Default"/>
        <w:rPr>
          <w:rFonts w:ascii="Verdana" w:hAnsi="Verdana"/>
          <w:color w:val="auto"/>
        </w:rPr>
      </w:pPr>
      <w:r w:rsidRPr="004113D9">
        <w:rPr>
          <w:rFonts w:ascii="Verdana" w:hAnsi="Verdana"/>
          <w:color w:val="auto"/>
        </w:rPr>
        <w:t xml:space="preserve">Monthly statistics submitted to the Northern Ireland Office highlight that the Commission has paid </w:t>
      </w:r>
      <w:r>
        <w:rPr>
          <w:rFonts w:ascii="Verdana" w:hAnsi="Verdana"/>
          <w:color w:val="auto"/>
        </w:rPr>
        <w:t>9</w:t>
      </w:r>
      <w:r w:rsidR="00921DAF">
        <w:rPr>
          <w:rFonts w:ascii="Verdana" w:hAnsi="Verdana"/>
          <w:color w:val="auto"/>
        </w:rPr>
        <w:t>7</w:t>
      </w:r>
      <w:r>
        <w:rPr>
          <w:rFonts w:ascii="Verdana" w:hAnsi="Verdana"/>
          <w:color w:val="auto"/>
        </w:rPr>
        <w:t>.</w:t>
      </w:r>
      <w:r w:rsidR="00921DAF">
        <w:rPr>
          <w:rFonts w:ascii="Verdana" w:hAnsi="Verdana"/>
          <w:color w:val="auto"/>
        </w:rPr>
        <w:t>7</w:t>
      </w:r>
      <w:r>
        <w:rPr>
          <w:rFonts w:ascii="Verdana" w:hAnsi="Verdana"/>
          <w:color w:val="auto"/>
        </w:rPr>
        <w:t xml:space="preserve"> </w:t>
      </w:r>
      <w:r w:rsidRPr="004113D9">
        <w:rPr>
          <w:rFonts w:ascii="Verdana" w:hAnsi="Verdana"/>
          <w:color w:val="auto"/>
        </w:rPr>
        <w:t>per cent of all undisputed invoices within five working days against the Government target of paying 80 per cent of such invoic</w:t>
      </w:r>
      <w:r>
        <w:rPr>
          <w:rFonts w:ascii="Verdana" w:hAnsi="Verdana"/>
          <w:color w:val="auto"/>
        </w:rPr>
        <w:t xml:space="preserve">es within this </w:t>
      </w:r>
      <w:proofErr w:type="gramStart"/>
      <w:r>
        <w:rPr>
          <w:rFonts w:ascii="Verdana" w:hAnsi="Verdana"/>
          <w:color w:val="auto"/>
        </w:rPr>
        <w:t>time period</w:t>
      </w:r>
      <w:proofErr w:type="gramEnd"/>
      <w:r>
        <w:rPr>
          <w:rFonts w:ascii="Verdana" w:hAnsi="Verdana"/>
          <w:color w:val="auto"/>
        </w:rPr>
        <w:t xml:space="preserve"> (202</w:t>
      </w:r>
      <w:r w:rsidR="00921DAF">
        <w:rPr>
          <w:rFonts w:ascii="Verdana" w:hAnsi="Verdana"/>
          <w:color w:val="auto"/>
        </w:rPr>
        <w:t>2</w:t>
      </w:r>
      <w:r>
        <w:rPr>
          <w:rFonts w:ascii="Verdana" w:hAnsi="Verdana"/>
          <w:color w:val="auto"/>
        </w:rPr>
        <w:t>-2</w:t>
      </w:r>
      <w:r w:rsidR="00921DAF">
        <w:rPr>
          <w:rFonts w:ascii="Verdana" w:hAnsi="Verdana"/>
          <w:color w:val="auto"/>
        </w:rPr>
        <w:t>3</w:t>
      </w:r>
      <w:r w:rsidRPr="004113D9">
        <w:rPr>
          <w:rFonts w:ascii="Verdana" w:hAnsi="Verdana"/>
          <w:color w:val="auto"/>
        </w:rPr>
        <w:t xml:space="preserve">: </w:t>
      </w:r>
      <w:r>
        <w:rPr>
          <w:rFonts w:ascii="Verdana" w:hAnsi="Verdana"/>
          <w:color w:val="auto"/>
        </w:rPr>
        <w:t>9</w:t>
      </w:r>
      <w:r w:rsidR="00921DAF">
        <w:rPr>
          <w:rFonts w:ascii="Verdana" w:hAnsi="Verdana"/>
          <w:color w:val="auto"/>
        </w:rPr>
        <w:t>8</w:t>
      </w:r>
      <w:r>
        <w:rPr>
          <w:rFonts w:ascii="Verdana" w:hAnsi="Verdana"/>
          <w:color w:val="auto"/>
        </w:rPr>
        <w:t>.8</w:t>
      </w:r>
      <w:r w:rsidRPr="004113D9">
        <w:rPr>
          <w:rFonts w:ascii="Verdana" w:hAnsi="Verdana"/>
          <w:color w:val="auto"/>
        </w:rPr>
        <w:t xml:space="preserve"> per cent).</w:t>
      </w:r>
      <w:r w:rsidRPr="009B4441">
        <w:rPr>
          <w:rFonts w:ascii="Verdana" w:hAnsi="Verdana"/>
          <w:color w:val="auto"/>
        </w:rPr>
        <w:t xml:space="preserve"> </w:t>
      </w:r>
    </w:p>
    <w:p w14:paraId="5876FE1C" w14:textId="77777777" w:rsidR="002667DD" w:rsidRPr="009B4441" w:rsidRDefault="002667DD" w:rsidP="002667DD">
      <w:pPr>
        <w:pStyle w:val="Default"/>
        <w:rPr>
          <w:rFonts w:ascii="Verdana" w:hAnsi="Verdana"/>
          <w:color w:val="auto"/>
          <w:lang w:eastAsia="en-GB"/>
        </w:rPr>
      </w:pPr>
    </w:p>
    <w:p w14:paraId="67FF56F4" w14:textId="77777777" w:rsidR="002667DD" w:rsidRPr="00467207" w:rsidRDefault="002667DD" w:rsidP="002667DD">
      <w:pPr>
        <w:autoSpaceDE w:val="0"/>
        <w:autoSpaceDN w:val="0"/>
        <w:adjustRightInd w:val="0"/>
        <w:rPr>
          <w:rFonts w:cs="Univers-Bold"/>
          <w:b/>
          <w:bCs/>
          <w:color w:val="auto"/>
          <w:lang w:val="en-US"/>
        </w:rPr>
      </w:pPr>
      <w:r w:rsidRPr="00467207">
        <w:rPr>
          <w:rFonts w:cs="Univers-Bold"/>
          <w:b/>
          <w:bCs/>
          <w:color w:val="auto"/>
          <w:lang w:val="en-US"/>
        </w:rPr>
        <w:t>Days lost due to absence</w:t>
      </w:r>
    </w:p>
    <w:p w14:paraId="49B7C63A" w14:textId="77777777" w:rsidR="002667DD" w:rsidRPr="00467207" w:rsidRDefault="002667DD" w:rsidP="002667DD">
      <w:pPr>
        <w:autoSpaceDE w:val="0"/>
        <w:autoSpaceDN w:val="0"/>
        <w:adjustRightInd w:val="0"/>
        <w:rPr>
          <w:rFonts w:cs="Univers"/>
          <w:color w:val="auto"/>
          <w:lang w:val="en-US"/>
        </w:rPr>
      </w:pPr>
    </w:p>
    <w:p w14:paraId="2A3C7504" w14:textId="77777777" w:rsidR="002667DD" w:rsidRPr="00467207" w:rsidRDefault="002667DD" w:rsidP="002667DD">
      <w:pPr>
        <w:autoSpaceDE w:val="0"/>
        <w:autoSpaceDN w:val="0"/>
        <w:adjustRightInd w:val="0"/>
        <w:rPr>
          <w:rFonts w:cs="Univers"/>
          <w:color w:val="auto"/>
          <w:lang w:val="en-US"/>
        </w:rPr>
      </w:pPr>
      <w:r w:rsidRPr="00467207">
        <w:rPr>
          <w:rFonts w:cs="Univers"/>
          <w:color w:val="auto"/>
          <w:lang w:val="en-US"/>
        </w:rPr>
        <w:t>The Commission encourages a culture where good attendance is expected and valued. However, we</w:t>
      </w:r>
      <w:r w:rsidRPr="00467207">
        <w:rPr>
          <w:rFonts w:cs="Univers"/>
          <w:color w:val="auto"/>
        </w:rPr>
        <w:t xml:space="preserve"> recognise</w:t>
      </w:r>
      <w:r w:rsidRPr="00467207">
        <w:rPr>
          <w:rFonts w:cs="Univers"/>
          <w:color w:val="auto"/>
          <w:lang w:val="en-US"/>
        </w:rPr>
        <w:t xml:space="preserve"> that from </w:t>
      </w:r>
      <w:proofErr w:type="gramStart"/>
      <w:r w:rsidRPr="00467207">
        <w:rPr>
          <w:rFonts w:cs="Univers"/>
          <w:color w:val="auto"/>
          <w:lang w:val="en-US"/>
        </w:rPr>
        <w:t>time to time</w:t>
      </w:r>
      <w:proofErr w:type="gramEnd"/>
      <w:r w:rsidRPr="00467207">
        <w:rPr>
          <w:rFonts w:cs="Univers"/>
          <w:color w:val="auto"/>
          <w:lang w:val="en-US"/>
        </w:rPr>
        <w:t xml:space="preserve"> absences for medical reasons may be unavoidable. We aim to treat staff who are ill with sympathy and fairness and where possible provide them with support, which will enable them to recover their health and attend work regularly. </w:t>
      </w:r>
    </w:p>
    <w:p w14:paraId="6C61DB0A" w14:textId="77777777" w:rsidR="002667DD" w:rsidRPr="00467207" w:rsidRDefault="002667DD" w:rsidP="002667DD">
      <w:pPr>
        <w:autoSpaceDE w:val="0"/>
        <w:autoSpaceDN w:val="0"/>
        <w:adjustRightInd w:val="0"/>
        <w:rPr>
          <w:rFonts w:cs="Univers"/>
          <w:color w:val="auto"/>
          <w:highlight w:val="yellow"/>
          <w:lang w:val="en-US"/>
        </w:rPr>
      </w:pPr>
    </w:p>
    <w:p w14:paraId="011CFE81" w14:textId="406CB196" w:rsidR="002667DD" w:rsidRDefault="002667DD" w:rsidP="002667DD">
      <w:pPr>
        <w:widowControl w:val="0"/>
        <w:tabs>
          <w:tab w:val="right" w:pos="7371"/>
          <w:tab w:val="right" w:pos="9356"/>
        </w:tabs>
        <w:autoSpaceDE w:val="0"/>
        <w:autoSpaceDN w:val="0"/>
        <w:adjustRightInd w:val="0"/>
      </w:pPr>
      <w:r>
        <w:t xml:space="preserve">Staff absence arising </w:t>
      </w:r>
      <w:proofErr w:type="gramStart"/>
      <w:r>
        <w:t>as a result of</w:t>
      </w:r>
      <w:proofErr w:type="gramEnd"/>
      <w:r>
        <w:t xml:space="preserve"> illness, including injuries, disability or other health problems, was approximately 4.</w:t>
      </w:r>
      <w:r w:rsidR="007647AA">
        <w:t>46</w:t>
      </w:r>
      <w:r>
        <w:t xml:space="preserve"> days per employee in 202</w:t>
      </w:r>
      <w:r w:rsidR="007647AA">
        <w:t>3</w:t>
      </w:r>
      <w:r>
        <w:t>-2</w:t>
      </w:r>
      <w:r w:rsidR="007647AA">
        <w:t>4</w:t>
      </w:r>
      <w:r>
        <w:t xml:space="preserve"> (202</w:t>
      </w:r>
      <w:r w:rsidR="002D7210">
        <w:t>2</w:t>
      </w:r>
      <w:r>
        <w:t>-2</w:t>
      </w:r>
      <w:r w:rsidR="002D7210">
        <w:t>3</w:t>
      </w:r>
      <w:r>
        <w:t xml:space="preserve">: </w:t>
      </w:r>
      <w:r w:rsidR="002D7210">
        <w:t>4.98</w:t>
      </w:r>
      <w:r>
        <w:t xml:space="preserve"> days).  The number of days sick per employee is due to long-term sick absence of two members of staff. The size of the Commission means that small changes in absence can appear to have a disproportionate impact on reporting statistics.</w:t>
      </w:r>
    </w:p>
    <w:p w14:paraId="5E3AE816" w14:textId="77777777" w:rsidR="008221CD" w:rsidRDefault="008221CD" w:rsidP="002667DD">
      <w:pPr>
        <w:widowControl w:val="0"/>
        <w:tabs>
          <w:tab w:val="right" w:pos="7371"/>
          <w:tab w:val="right" w:pos="9356"/>
        </w:tabs>
        <w:autoSpaceDE w:val="0"/>
        <w:autoSpaceDN w:val="0"/>
        <w:adjustRightInd w:val="0"/>
      </w:pPr>
    </w:p>
    <w:p w14:paraId="505C55AE" w14:textId="6B36C262" w:rsidR="002667DD" w:rsidRDefault="0021497F" w:rsidP="002667DD">
      <w:pPr>
        <w:widowControl w:val="0"/>
        <w:tabs>
          <w:tab w:val="right" w:pos="7371"/>
          <w:tab w:val="right" w:pos="9356"/>
        </w:tabs>
        <w:autoSpaceDE w:val="0"/>
        <w:autoSpaceDN w:val="0"/>
        <w:adjustRightInd w:val="0"/>
      </w:pPr>
      <w:r>
        <w:rPr>
          <w:noProof/>
        </w:rPr>
        <w:drawing>
          <wp:inline distT="0" distB="0" distL="0" distR="0" wp14:anchorId="2ECC0DEF" wp14:editId="7DFCA87C">
            <wp:extent cx="1627770" cy="452438"/>
            <wp:effectExtent l="0" t="0" r="0" b="5080"/>
            <wp:docPr id="412752792" name="Picture 412752792"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2792" name="Picture 412752792" descr="A blue signature on a white background&#10;&#10;Description automatically generated"/>
                    <pic:cNvPicPr/>
                  </pic:nvPicPr>
                  <pic:blipFill rotWithShape="1">
                    <a:blip r:embed="rId28" cstate="print">
                      <a:extLst>
                        <a:ext uri="{28A0092B-C50C-407E-A947-70E740481C1C}">
                          <a14:useLocalDpi xmlns:a14="http://schemas.microsoft.com/office/drawing/2010/main" val="0"/>
                        </a:ext>
                      </a:extLst>
                    </a:blip>
                    <a:srcRect t="27943" b="23685"/>
                    <a:stretch/>
                  </pic:blipFill>
                  <pic:spPr bwMode="auto">
                    <a:xfrm>
                      <a:off x="0" y="0"/>
                      <a:ext cx="1718836" cy="477750"/>
                    </a:xfrm>
                    <a:prstGeom prst="rect">
                      <a:avLst/>
                    </a:prstGeom>
                    <a:ln>
                      <a:noFill/>
                    </a:ln>
                    <a:extLst>
                      <a:ext uri="{53640926-AAD7-44D8-BBD7-CCE9431645EC}">
                        <a14:shadowObscured xmlns:a14="http://schemas.microsoft.com/office/drawing/2010/main"/>
                      </a:ext>
                    </a:extLst>
                  </pic:spPr>
                </pic:pic>
              </a:graphicData>
            </a:graphic>
          </wp:inline>
        </w:drawing>
      </w:r>
    </w:p>
    <w:p w14:paraId="602FB591" w14:textId="77777777" w:rsidR="0021497F" w:rsidRDefault="0021497F" w:rsidP="002667DD">
      <w:pPr>
        <w:widowControl w:val="0"/>
        <w:tabs>
          <w:tab w:val="right" w:pos="7371"/>
          <w:tab w:val="right" w:pos="9356"/>
        </w:tabs>
        <w:autoSpaceDE w:val="0"/>
        <w:autoSpaceDN w:val="0"/>
        <w:adjustRightInd w:val="0"/>
      </w:pPr>
    </w:p>
    <w:p w14:paraId="7101DEEE" w14:textId="77777777" w:rsidR="002667DD" w:rsidRPr="00D80497" w:rsidRDefault="002667DD" w:rsidP="002667DD">
      <w:pPr>
        <w:widowControl w:val="0"/>
        <w:autoSpaceDE w:val="0"/>
        <w:autoSpaceDN w:val="0"/>
        <w:adjustRightInd w:val="0"/>
        <w:rPr>
          <w:b/>
        </w:rPr>
      </w:pPr>
      <w:r>
        <w:rPr>
          <w:b/>
        </w:rPr>
        <w:t>Dr David Russell</w:t>
      </w:r>
    </w:p>
    <w:p w14:paraId="6FD23B62" w14:textId="77777777" w:rsidR="002667DD" w:rsidRPr="00D80497" w:rsidRDefault="002667DD" w:rsidP="002667DD">
      <w:pPr>
        <w:widowControl w:val="0"/>
        <w:autoSpaceDE w:val="0"/>
        <w:autoSpaceDN w:val="0"/>
        <w:adjustRightInd w:val="0"/>
        <w:rPr>
          <w:b/>
        </w:rPr>
      </w:pPr>
      <w:r w:rsidRPr="00D80497">
        <w:rPr>
          <w:b/>
        </w:rPr>
        <w:t>Accounting Officer</w:t>
      </w:r>
    </w:p>
    <w:p w14:paraId="6F3D0BC5" w14:textId="77777777" w:rsidR="002667DD" w:rsidRPr="00D80497" w:rsidRDefault="002667DD" w:rsidP="002667DD">
      <w:pPr>
        <w:widowControl w:val="0"/>
        <w:tabs>
          <w:tab w:val="left" w:pos="2802"/>
        </w:tabs>
        <w:autoSpaceDE w:val="0"/>
        <w:autoSpaceDN w:val="0"/>
        <w:adjustRightInd w:val="0"/>
      </w:pPr>
    </w:p>
    <w:p w14:paraId="775C613E" w14:textId="0933EB1E" w:rsidR="002667DD" w:rsidRDefault="002667DD" w:rsidP="0049647B">
      <w:pPr>
        <w:widowControl w:val="0"/>
        <w:tabs>
          <w:tab w:val="left" w:pos="851"/>
        </w:tabs>
        <w:autoSpaceDE w:val="0"/>
        <w:autoSpaceDN w:val="0"/>
        <w:adjustRightInd w:val="0"/>
        <w:rPr>
          <w:b/>
        </w:rPr>
      </w:pPr>
      <w:r w:rsidRPr="00D80497">
        <w:rPr>
          <w:b/>
        </w:rPr>
        <w:t xml:space="preserve">Date: </w:t>
      </w:r>
      <w:r w:rsidR="00AE1FB0">
        <w:rPr>
          <w:b/>
        </w:rPr>
        <w:t>18 July</w:t>
      </w:r>
      <w:r>
        <w:rPr>
          <w:b/>
        </w:rPr>
        <w:t xml:space="preserve"> 20</w:t>
      </w:r>
      <w:r w:rsidR="005E6D62">
        <w:rPr>
          <w:b/>
        </w:rPr>
        <w:t>2</w:t>
      </w:r>
      <w:r w:rsidR="0036519B">
        <w:rPr>
          <w:b/>
        </w:rPr>
        <w:t>4</w:t>
      </w:r>
      <w:r>
        <w:rPr>
          <w:b/>
        </w:rPr>
        <w:t xml:space="preserve"> </w:t>
      </w:r>
    </w:p>
    <w:p w14:paraId="2E0B8721" w14:textId="77777777" w:rsidR="002667DD" w:rsidRPr="008D428E" w:rsidRDefault="002667DD" w:rsidP="002667DD">
      <w:pPr>
        <w:rPr>
          <w:b/>
        </w:rPr>
      </w:pPr>
      <w:bookmarkStart w:id="19" w:name="StatementofAccountingOfficer"/>
      <w:r w:rsidRPr="003F7E43">
        <w:rPr>
          <w:b/>
        </w:rPr>
        <w:t>Statement of Accounting Officer’s Responsibilities</w:t>
      </w:r>
    </w:p>
    <w:bookmarkEnd w:id="19"/>
    <w:p w14:paraId="0B4BBD5B" w14:textId="77777777" w:rsidR="002667DD" w:rsidRPr="003F7E43" w:rsidRDefault="002667DD" w:rsidP="002667DD">
      <w:pPr>
        <w:jc w:val="center"/>
      </w:pPr>
    </w:p>
    <w:p w14:paraId="73AC00A8" w14:textId="12FABCD9" w:rsidR="002667DD" w:rsidRPr="003F7E43" w:rsidRDefault="002667DD" w:rsidP="002667DD">
      <w:pPr>
        <w:rPr>
          <w:rFonts w:cs="Arial"/>
        </w:rPr>
      </w:pPr>
      <w:r w:rsidRPr="003F7E43">
        <w:t>Under Section 7(2)(a) of Schedule 7 to the Northern Ireland Act 1998</w:t>
      </w:r>
      <w:r w:rsidRPr="003F7E43">
        <w:rPr>
          <w:rFonts w:cs="Arial"/>
        </w:rPr>
        <w:t xml:space="preserve">, the Secretary of State for Northern Ireland (with the consent of HM Treasury) has directed the Northern Ireland Human Rights Commission to prepare for each financial year a statement of accounts in the form and on the basis set out in the Accounts Direction.  The accounts are prepared on an accruals basis and must give a true and fair view of the Northern Ireland Human Rights Commission’s </w:t>
      </w:r>
      <w:proofErr w:type="gramStart"/>
      <w:r w:rsidRPr="003F7E43">
        <w:rPr>
          <w:rFonts w:cs="Arial"/>
        </w:rPr>
        <w:t>state of affairs</w:t>
      </w:r>
      <w:proofErr w:type="gramEnd"/>
      <w:r w:rsidRPr="003F7E43">
        <w:rPr>
          <w:rFonts w:cs="Arial"/>
        </w:rPr>
        <w:t xml:space="preserve"> at the year-end and of its income and expenditure, </w:t>
      </w:r>
      <w:r w:rsidR="007C4571">
        <w:rPr>
          <w:rFonts w:cs="Arial"/>
        </w:rPr>
        <w:t>Statement of Financial Position</w:t>
      </w:r>
      <w:r w:rsidRPr="003F7E43">
        <w:rPr>
          <w:rFonts w:cs="Arial"/>
        </w:rPr>
        <w:t>, and cash flows for the financial year.</w:t>
      </w:r>
      <w:r w:rsidRPr="003F7E43">
        <w:t xml:space="preserve"> </w:t>
      </w:r>
    </w:p>
    <w:p w14:paraId="28A21A81" w14:textId="77777777" w:rsidR="002667DD" w:rsidRPr="003F7E43" w:rsidRDefault="002667DD" w:rsidP="002667DD">
      <w:pPr>
        <w:rPr>
          <w:rFonts w:cs="Arial"/>
          <w:lang w:val="en-US"/>
        </w:rPr>
      </w:pPr>
    </w:p>
    <w:p w14:paraId="6DDF88DF" w14:textId="1E3341C5" w:rsidR="002667DD" w:rsidRPr="003F7E43" w:rsidRDefault="002667DD" w:rsidP="002667DD">
      <w:pPr>
        <w:rPr>
          <w:rFonts w:cs="Arial"/>
        </w:rPr>
      </w:pPr>
      <w:r w:rsidRPr="003F7E43">
        <w:rPr>
          <w:rFonts w:cs="Arial"/>
        </w:rPr>
        <w:t xml:space="preserve">In preparing the accounts, the Accounting Officer is required to comply with the requirements of the </w:t>
      </w:r>
      <w:r w:rsidR="00B80D3A">
        <w:rPr>
          <w:rFonts w:cs="Arial"/>
          <w:i/>
          <w:iCs/>
        </w:rPr>
        <w:t>Government</w:t>
      </w:r>
      <w:r w:rsidRPr="003F7E43">
        <w:rPr>
          <w:rFonts w:cs="Arial"/>
          <w:i/>
        </w:rPr>
        <w:t xml:space="preserve"> Financial Reporting Manual</w:t>
      </w:r>
      <w:r w:rsidRPr="003F7E43">
        <w:rPr>
          <w:rFonts w:cs="Arial"/>
          <w:iCs/>
        </w:rPr>
        <w:t xml:space="preserve"> </w:t>
      </w:r>
      <w:r w:rsidRPr="003F7E43">
        <w:rPr>
          <w:rFonts w:cs="Arial"/>
        </w:rPr>
        <w:t>and</w:t>
      </w:r>
      <w:proofErr w:type="gramStart"/>
      <w:r w:rsidRPr="003F7E43">
        <w:rPr>
          <w:rFonts w:cs="Arial"/>
        </w:rPr>
        <w:t>, in particular, to</w:t>
      </w:r>
      <w:proofErr w:type="gramEnd"/>
      <w:r w:rsidRPr="003F7E43">
        <w:rPr>
          <w:rFonts w:cs="Arial"/>
        </w:rPr>
        <w:t xml:space="preserve">: </w:t>
      </w:r>
    </w:p>
    <w:p w14:paraId="7CA85EA2" w14:textId="77777777" w:rsidR="002667DD" w:rsidRDefault="002667DD" w:rsidP="000E4145">
      <w:pPr>
        <w:rPr>
          <w:rFonts w:cs="Arial"/>
        </w:rPr>
      </w:pPr>
    </w:p>
    <w:p w14:paraId="1BBCADBE" w14:textId="77777777" w:rsidR="000E4145" w:rsidRDefault="000E4145" w:rsidP="000E4145">
      <w:pPr>
        <w:rPr>
          <w:rFonts w:cs="Arial"/>
        </w:rPr>
      </w:pPr>
    </w:p>
    <w:p w14:paraId="6243664F" w14:textId="77777777" w:rsidR="002667DD" w:rsidRPr="00CC62B1" w:rsidRDefault="002667DD" w:rsidP="002667DD">
      <w:pPr>
        <w:numPr>
          <w:ilvl w:val="0"/>
          <w:numId w:val="2"/>
        </w:numPr>
        <w:rPr>
          <w:rFonts w:cs="Arial"/>
        </w:rPr>
      </w:pPr>
      <w:r w:rsidRPr="00CC62B1">
        <w:rPr>
          <w:rFonts w:cs="Arial"/>
        </w:rPr>
        <w:t xml:space="preserve">observe the Accounts Direction issued by the Secretary of State for Northern Ireland, including the relevant accounting and disclosure requirements, and apply suitable accounting policies on a consistent </w:t>
      </w:r>
      <w:proofErr w:type="gramStart"/>
      <w:r w:rsidRPr="00CC62B1">
        <w:rPr>
          <w:rFonts w:cs="Arial"/>
        </w:rPr>
        <w:t>basis;</w:t>
      </w:r>
      <w:proofErr w:type="gramEnd"/>
    </w:p>
    <w:p w14:paraId="4EB8CF79" w14:textId="77777777" w:rsidR="002667DD" w:rsidRPr="00CC62B1" w:rsidRDefault="002667DD" w:rsidP="002667DD">
      <w:pPr>
        <w:rPr>
          <w:rFonts w:cs="Arial"/>
        </w:rPr>
      </w:pPr>
    </w:p>
    <w:p w14:paraId="22FC2894" w14:textId="77777777" w:rsidR="002667DD" w:rsidRPr="00CC62B1" w:rsidRDefault="002667DD" w:rsidP="002667DD">
      <w:pPr>
        <w:numPr>
          <w:ilvl w:val="0"/>
          <w:numId w:val="2"/>
        </w:numPr>
        <w:rPr>
          <w:rFonts w:cs="Arial"/>
        </w:rPr>
      </w:pPr>
      <w:r w:rsidRPr="00CC62B1">
        <w:rPr>
          <w:rFonts w:cs="Arial"/>
        </w:rPr>
        <w:t xml:space="preserve">make judgements and estimates on a reasonable </w:t>
      </w:r>
      <w:proofErr w:type="gramStart"/>
      <w:r w:rsidRPr="00CC62B1">
        <w:rPr>
          <w:rFonts w:cs="Arial"/>
        </w:rPr>
        <w:t>basis;</w:t>
      </w:r>
      <w:proofErr w:type="gramEnd"/>
    </w:p>
    <w:p w14:paraId="3EAD8484" w14:textId="77777777" w:rsidR="002667DD" w:rsidRPr="00CC62B1" w:rsidRDefault="002667DD" w:rsidP="002667DD">
      <w:pPr>
        <w:rPr>
          <w:rFonts w:cs="Arial"/>
        </w:rPr>
      </w:pPr>
    </w:p>
    <w:p w14:paraId="21C1921F" w14:textId="6540497C" w:rsidR="002667DD" w:rsidRPr="00CC62B1" w:rsidRDefault="002667DD" w:rsidP="002667DD">
      <w:pPr>
        <w:numPr>
          <w:ilvl w:val="0"/>
          <w:numId w:val="2"/>
        </w:numPr>
        <w:rPr>
          <w:rFonts w:cs="Arial"/>
        </w:rPr>
      </w:pPr>
      <w:r w:rsidRPr="00CC62B1">
        <w:rPr>
          <w:rFonts w:cs="Arial"/>
        </w:rPr>
        <w:t xml:space="preserve">state whether applicable accounting standards as set out in the </w:t>
      </w:r>
      <w:r w:rsidR="00D7049A" w:rsidRPr="00903A06">
        <w:rPr>
          <w:rFonts w:cs="Arial"/>
          <w:i/>
          <w:iCs/>
        </w:rPr>
        <w:t>Government</w:t>
      </w:r>
      <w:r w:rsidRPr="00903A06">
        <w:rPr>
          <w:rFonts w:cs="Arial"/>
          <w:i/>
          <w:iCs/>
        </w:rPr>
        <w:t xml:space="preserve"> Financial Reporting Manual</w:t>
      </w:r>
      <w:r w:rsidRPr="00CC62B1">
        <w:rPr>
          <w:rFonts w:cs="Arial"/>
          <w:iCs/>
        </w:rPr>
        <w:t xml:space="preserve"> </w:t>
      </w:r>
      <w:r w:rsidRPr="00CC62B1">
        <w:rPr>
          <w:rFonts w:cs="Arial"/>
        </w:rPr>
        <w:t xml:space="preserve">have been followed, and disclose and explain any material departures in the financial </w:t>
      </w:r>
      <w:proofErr w:type="gramStart"/>
      <w:r w:rsidRPr="00CC62B1">
        <w:rPr>
          <w:rFonts w:cs="Arial"/>
        </w:rPr>
        <w:t>statements;</w:t>
      </w:r>
      <w:proofErr w:type="gramEnd"/>
      <w:r w:rsidRPr="00CC62B1">
        <w:rPr>
          <w:rFonts w:cs="Arial"/>
        </w:rPr>
        <w:t xml:space="preserve"> </w:t>
      </w:r>
    </w:p>
    <w:p w14:paraId="3E08C2BF" w14:textId="77777777" w:rsidR="00B0221D" w:rsidRPr="00CC62B1" w:rsidRDefault="00B0221D" w:rsidP="00B0221D">
      <w:pPr>
        <w:pStyle w:val="ListParagraph"/>
        <w:rPr>
          <w:rFonts w:cs="Arial"/>
        </w:rPr>
      </w:pPr>
    </w:p>
    <w:p w14:paraId="42D9F13E" w14:textId="4AE3BA80" w:rsidR="00B0221D" w:rsidRPr="00CC62B1" w:rsidRDefault="00B0221D" w:rsidP="002667DD">
      <w:pPr>
        <w:numPr>
          <w:ilvl w:val="0"/>
          <w:numId w:val="2"/>
        </w:numPr>
        <w:rPr>
          <w:rFonts w:cs="Arial"/>
        </w:rPr>
      </w:pPr>
      <w:r w:rsidRPr="00CC62B1">
        <w:rPr>
          <w:rFonts w:cs="Arial"/>
        </w:rPr>
        <w:t>prepare the financial statements on a going concern basis</w:t>
      </w:r>
      <w:r w:rsidR="00913966" w:rsidRPr="00CC62B1">
        <w:rPr>
          <w:rFonts w:cs="Arial"/>
        </w:rPr>
        <w:t>; and</w:t>
      </w:r>
    </w:p>
    <w:p w14:paraId="1A0F84C2" w14:textId="77777777" w:rsidR="002667DD" w:rsidRPr="003F7E43" w:rsidRDefault="002667DD" w:rsidP="002667DD">
      <w:pPr>
        <w:rPr>
          <w:rFonts w:cs="Arial"/>
        </w:rPr>
      </w:pPr>
    </w:p>
    <w:p w14:paraId="7B1A559B" w14:textId="2782156F" w:rsidR="000E4145" w:rsidRDefault="000E4145" w:rsidP="000E4145">
      <w:pPr>
        <w:numPr>
          <w:ilvl w:val="0"/>
          <w:numId w:val="2"/>
        </w:numPr>
        <w:rPr>
          <w:rFonts w:cs="Arial"/>
        </w:rPr>
      </w:pPr>
      <w:r>
        <w:rPr>
          <w:rFonts w:cs="Arial"/>
        </w:rPr>
        <w:t xml:space="preserve">confirm that the </w:t>
      </w:r>
      <w:r w:rsidR="00913966">
        <w:rPr>
          <w:rFonts w:cs="Arial"/>
        </w:rPr>
        <w:t>A</w:t>
      </w:r>
      <w:r>
        <w:rPr>
          <w:rFonts w:cs="Arial"/>
        </w:rPr>
        <w:t xml:space="preserve">nnual </w:t>
      </w:r>
      <w:r w:rsidR="00913966">
        <w:rPr>
          <w:rFonts w:cs="Arial"/>
        </w:rPr>
        <w:t>R</w:t>
      </w:r>
      <w:r>
        <w:rPr>
          <w:rFonts w:cs="Arial"/>
        </w:rPr>
        <w:t xml:space="preserve">eport and </w:t>
      </w:r>
      <w:r w:rsidR="00913966">
        <w:rPr>
          <w:rFonts w:cs="Arial"/>
        </w:rPr>
        <w:t>A</w:t>
      </w:r>
      <w:r>
        <w:rPr>
          <w:rFonts w:cs="Arial"/>
        </w:rPr>
        <w:t xml:space="preserve">ccounts </w:t>
      </w:r>
      <w:proofErr w:type="gramStart"/>
      <w:r>
        <w:rPr>
          <w:rFonts w:cs="Arial"/>
        </w:rPr>
        <w:t>as a whole are</w:t>
      </w:r>
      <w:proofErr w:type="gramEnd"/>
      <w:r>
        <w:rPr>
          <w:rFonts w:cs="Arial"/>
        </w:rPr>
        <w:t xml:space="preserve"> fair, balanced and understandable and that he takes personal responsibility for the </w:t>
      </w:r>
      <w:r w:rsidR="00CC62B1">
        <w:rPr>
          <w:rFonts w:cs="Arial"/>
        </w:rPr>
        <w:t>A</w:t>
      </w:r>
      <w:r>
        <w:rPr>
          <w:rFonts w:cs="Arial"/>
        </w:rPr>
        <w:t xml:space="preserve">nnual </w:t>
      </w:r>
      <w:r w:rsidR="00CC62B1">
        <w:rPr>
          <w:rFonts w:cs="Arial"/>
        </w:rPr>
        <w:t>R</w:t>
      </w:r>
      <w:r>
        <w:rPr>
          <w:rFonts w:cs="Arial"/>
        </w:rPr>
        <w:t xml:space="preserve">eport and </w:t>
      </w:r>
      <w:r w:rsidR="00CC62B1">
        <w:rPr>
          <w:rFonts w:cs="Arial"/>
        </w:rPr>
        <w:t>A</w:t>
      </w:r>
      <w:r>
        <w:rPr>
          <w:rFonts w:cs="Arial"/>
        </w:rPr>
        <w:t>ccounts and the judgements required for determining that they are fair, balanced and understandable</w:t>
      </w:r>
      <w:r w:rsidR="00CC62B1">
        <w:rPr>
          <w:rFonts w:cs="Arial"/>
        </w:rPr>
        <w:t>.</w:t>
      </w:r>
    </w:p>
    <w:p w14:paraId="14B166A2" w14:textId="77777777" w:rsidR="002667DD" w:rsidRPr="003F7E43" w:rsidRDefault="002667DD" w:rsidP="002667DD">
      <w:pPr>
        <w:rPr>
          <w:rFonts w:cs="Arial"/>
          <w:lang w:val="en-US"/>
        </w:rPr>
      </w:pPr>
    </w:p>
    <w:p w14:paraId="74BB0D58" w14:textId="77777777" w:rsidR="002667DD" w:rsidRDefault="002667DD" w:rsidP="002667DD">
      <w:pPr>
        <w:autoSpaceDE w:val="0"/>
        <w:autoSpaceDN w:val="0"/>
        <w:adjustRightInd w:val="0"/>
        <w:rPr>
          <w:rFonts w:cs="Arial"/>
        </w:rPr>
      </w:pPr>
      <w:r w:rsidRPr="003F7E43">
        <w:rPr>
          <w:rFonts w:cs="Arial"/>
        </w:rPr>
        <w:t xml:space="preserve">The Accounting Officer of the Northern Ireland Office has designated the </w:t>
      </w:r>
      <w:r>
        <w:rPr>
          <w:rFonts w:cs="Arial"/>
        </w:rPr>
        <w:t>Chief Executive</w:t>
      </w:r>
      <w:r w:rsidRPr="003F7E43">
        <w:rPr>
          <w:rFonts w:cs="Arial"/>
        </w:rPr>
        <w:t xml:space="preserve"> as Accounting Officer of the Northern Ireland Human Rights Commission.</w:t>
      </w:r>
      <w:r>
        <w:rPr>
          <w:rFonts w:cs="Arial"/>
        </w:rPr>
        <w:t xml:space="preserve"> The Accounting Officer is responsible for ensuring that, as far as he is aware, there is no relevant audit information of which the entity’s auditors are unaware. The Accounting Officer is required to take all steps to ensure he is aware of any relevant audit information and to establish that the entity’s auditors are aware of that information.</w:t>
      </w:r>
      <w:r w:rsidRPr="003F7E43">
        <w:rPr>
          <w:rFonts w:cs="Arial"/>
        </w:rPr>
        <w:t xml:space="preserve">  </w:t>
      </w:r>
    </w:p>
    <w:p w14:paraId="46FBE786" w14:textId="77777777" w:rsidR="002667DD" w:rsidRDefault="002667DD" w:rsidP="002667DD">
      <w:pPr>
        <w:autoSpaceDE w:val="0"/>
        <w:autoSpaceDN w:val="0"/>
        <w:adjustRightInd w:val="0"/>
        <w:rPr>
          <w:rFonts w:cs="Arial"/>
        </w:rPr>
      </w:pPr>
    </w:p>
    <w:p w14:paraId="668DE2B2" w14:textId="00F37C53" w:rsidR="002667DD" w:rsidRDefault="002667DD" w:rsidP="002667DD">
      <w:pPr>
        <w:autoSpaceDE w:val="0"/>
        <w:autoSpaceDN w:val="0"/>
        <w:adjustRightInd w:val="0"/>
        <w:rPr>
          <w:rFonts w:eastAsia="Univers-Light" w:cs="Univers-Light"/>
          <w:color w:val="auto"/>
          <w:lang w:val="en-US"/>
        </w:rPr>
      </w:pPr>
      <w:r w:rsidRPr="003F7E43">
        <w:rPr>
          <w:rFonts w:eastAsia="Univers-Light" w:cs="Univers-Light"/>
          <w:color w:val="auto"/>
          <w:lang w:val="en-US"/>
        </w:rPr>
        <w:t xml:space="preserve">The responsibilities of an Accounting Officer, including responsibility for the propriety and regularity of the public finances for which the Accounting Officer is answerable, for keeping proper records and for safeguarding </w:t>
      </w:r>
      <w:r w:rsidRPr="003F7E43">
        <w:rPr>
          <w:rFonts w:cs="Arial"/>
        </w:rPr>
        <w:t>the Northern Ireland Human Rights Commission’s</w:t>
      </w:r>
      <w:r w:rsidRPr="003F7E43">
        <w:rPr>
          <w:rFonts w:eastAsia="Univers-Light" w:cs="Univers-Light"/>
          <w:color w:val="auto"/>
          <w:lang w:val="en-US"/>
        </w:rPr>
        <w:t xml:space="preserve"> assets, are set out in </w:t>
      </w:r>
      <w:r w:rsidRPr="004C24BB">
        <w:rPr>
          <w:rFonts w:eastAsia="Univers-Light" w:cs="Univers-Light"/>
          <w:iCs/>
          <w:color w:val="auto"/>
          <w:lang w:val="en-US"/>
        </w:rPr>
        <w:t>Managing Public Money</w:t>
      </w:r>
      <w:r w:rsidRPr="003F7E43">
        <w:rPr>
          <w:rFonts w:eastAsia="Univers-Light" w:cs="Univers-Light"/>
          <w:color w:val="auto"/>
          <w:lang w:val="en-US"/>
        </w:rPr>
        <w:t>, published by HM Treasury.</w:t>
      </w:r>
    </w:p>
    <w:p w14:paraId="573D4D34" w14:textId="5CB8BCFC" w:rsidR="00DA67DD" w:rsidRDefault="00DA67DD" w:rsidP="002667DD">
      <w:pPr>
        <w:autoSpaceDE w:val="0"/>
        <w:autoSpaceDN w:val="0"/>
        <w:adjustRightInd w:val="0"/>
        <w:rPr>
          <w:rFonts w:eastAsia="Univers-Light" w:cs="Univers-Light"/>
          <w:color w:val="auto"/>
          <w:lang w:val="en-US"/>
        </w:rPr>
      </w:pPr>
    </w:p>
    <w:p w14:paraId="6C3EAEE3" w14:textId="77777777" w:rsidR="002667DD" w:rsidRPr="003F7E43" w:rsidRDefault="002667DD" w:rsidP="002667DD">
      <w:pPr>
        <w:autoSpaceDE w:val="0"/>
        <w:autoSpaceDN w:val="0"/>
        <w:adjustRightInd w:val="0"/>
        <w:rPr>
          <w:rFonts w:cs="Univers-Bold"/>
          <w:b/>
          <w:bCs/>
          <w:color w:val="auto"/>
          <w:lang w:val="en-US"/>
        </w:rPr>
      </w:pPr>
      <w:r w:rsidRPr="003F7E43">
        <w:rPr>
          <w:rFonts w:cs="Univers-Bold"/>
          <w:b/>
          <w:bCs/>
          <w:color w:val="auto"/>
          <w:lang w:val="en-US"/>
        </w:rPr>
        <w:t>Disclosure of audit information</w:t>
      </w:r>
    </w:p>
    <w:p w14:paraId="3BC82DB5" w14:textId="77777777" w:rsidR="002667DD" w:rsidRPr="003F7E43" w:rsidRDefault="002667DD" w:rsidP="002667DD">
      <w:pPr>
        <w:autoSpaceDE w:val="0"/>
        <w:autoSpaceDN w:val="0"/>
        <w:adjustRightInd w:val="0"/>
        <w:rPr>
          <w:rFonts w:cs="Univers"/>
          <w:color w:val="auto"/>
          <w:lang w:val="en-US"/>
        </w:rPr>
      </w:pPr>
    </w:p>
    <w:p w14:paraId="098E3A52" w14:textId="59194041" w:rsidR="002667DD" w:rsidRPr="003F7E43" w:rsidRDefault="002667DD" w:rsidP="002667DD">
      <w:pPr>
        <w:widowControl w:val="0"/>
        <w:autoSpaceDE w:val="0"/>
        <w:autoSpaceDN w:val="0"/>
        <w:adjustRightInd w:val="0"/>
        <w:rPr>
          <w:rFonts w:cs="Arial"/>
        </w:rPr>
      </w:pPr>
      <w:r w:rsidRPr="003F7E43">
        <w:rPr>
          <w:color w:val="auto"/>
        </w:rPr>
        <w:t xml:space="preserve">As Accounting Officer, I confirm that I have taken all steps to ensure that I am aware of any relevant audit information and to ensure the Commission’s auditors are aware of that information.  As far as I am aware, there is no relevant </w:t>
      </w:r>
      <w:r w:rsidR="00B001D4">
        <w:rPr>
          <w:color w:val="auto"/>
        </w:rPr>
        <w:t xml:space="preserve">audit </w:t>
      </w:r>
      <w:r w:rsidRPr="003F7E43">
        <w:rPr>
          <w:color w:val="auto"/>
        </w:rPr>
        <w:t xml:space="preserve">information of which the Commission’s auditors are unaware.  The </w:t>
      </w:r>
      <w:r w:rsidRPr="003F7E43">
        <w:rPr>
          <w:rFonts w:cs="Arial"/>
        </w:rPr>
        <w:t>auditor has not received any remuneration for non-audit work.</w:t>
      </w:r>
    </w:p>
    <w:p w14:paraId="30600CCB" w14:textId="77777777" w:rsidR="002667DD" w:rsidRPr="003F7E43" w:rsidRDefault="002667DD" w:rsidP="002667DD">
      <w:pPr>
        <w:widowControl w:val="0"/>
        <w:autoSpaceDE w:val="0"/>
        <w:autoSpaceDN w:val="0"/>
        <w:adjustRightInd w:val="0"/>
        <w:rPr>
          <w:rFonts w:cs="Arial"/>
        </w:rPr>
      </w:pPr>
    </w:p>
    <w:p w14:paraId="6FD799A4" w14:textId="77777777" w:rsidR="002667DD" w:rsidRPr="009B4441" w:rsidRDefault="002667DD" w:rsidP="002667DD">
      <w:pPr>
        <w:widowControl w:val="0"/>
        <w:autoSpaceDE w:val="0"/>
        <w:autoSpaceDN w:val="0"/>
        <w:adjustRightInd w:val="0"/>
        <w:rPr>
          <w:color w:val="auto"/>
        </w:rPr>
      </w:pPr>
      <w:r w:rsidRPr="003F7E43">
        <w:rPr>
          <w:rFonts w:cs="Arial"/>
        </w:rPr>
        <w:t xml:space="preserve">As Accounting Officer, I confirm that the annual report </w:t>
      </w:r>
      <w:proofErr w:type="gramStart"/>
      <w:r w:rsidRPr="003F7E43">
        <w:rPr>
          <w:rFonts w:cs="Arial"/>
        </w:rPr>
        <w:t>as a whole is</w:t>
      </w:r>
      <w:proofErr w:type="gramEnd"/>
      <w:r w:rsidRPr="003F7E43">
        <w:rPr>
          <w:rFonts w:cs="Arial"/>
        </w:rPr>
        <w:t xml:space="preserve"> fair, balanced and understandable and that I take personal responsibility for the annual report and accounts and the judgments required for determining that it is fair, balanced and understandable.</w:t>
      </w:r>
    </w:p>
    <w:p w14:paraId="3D2E16E0" w14:textId="77777777" w:rsidR="002667DD" w:rsidRDefault="002667DD" w:rsidP="002667DD">
      <w:pPr>
        <w:rPr>
          <w:b/>
        </w:rPr>
      </w:pPr>
      <w:bookmarkStart w:id="20" w:name="GovernanceStatement"/>
    </w:p>
    <w:p w14:paraId="2C30513D" w14:textId="77777777" w:rsidR="002667DD" w:rsidRPr="003F7E43" w:rsidRDefault="002667DD" w:rsidP="002667DD">
      <w:pPr>
        <w:rPr>
          <w:b/>
        </w:rPr>
      </w:pPr>
      <w:r w:rsidRPr="003F7E43">
        <w:rPr>
          <w:b/>
        </w:rPr>
        <w:t>Governance Statement</w:t>
      </w:r>
    </w:p>
    <w:bookmarkEnd w:id="20"/>
    <w:p w14:paraId="54A95E09" w14:textId="77777777" w:rsidR="002667DD" w:rsidRPr="003F7E43" w:rsidRDefault="002667DD" w:rsidP="002667DD">
      <w:pPr>
        <w:jc w:val="center"/>
        <w:rPr>
          <w:b/>
        </w:rPr>
      </w:pPr>
    </w:p>
    <w:p w14:paraId="0089670D" w14:textId="77777777" w:rsidR="002667DD" w:rsidRPr="003F7E43" w:rsidRDefault="002667DD" w:rsidP="002667DD">
      <w:pPr>
        <w:rPr>
          <w:rFonts w:eastAsia="PMingLiU"/>
        </w:rPr>
      </w:pPr>
      <w:r w:rsidRPr="003F7E43">
        <w:rPr>
          <w:rFonts w:eastAsia="PMingLiU"/>
        </w:rPr>
        <w:t xml:space="preserve">As Accounting Officer, I have responsibility for maintaining a sound system of internal control that supports the achievement of the Northern Ireland Human Rights Commission’s policies, aims and objectives, as set by Commissioners, and approved by the Secretary of State for Northern Ireland, whilst safeguarding the public funds and the Commission’s assets for which I am personally responsible, in accordance with the responsibilities assigned to me in </w:t>
      </w:r>
      <w:r w:rsidRPr="003F7E43">
        <w:rPr>
          <w:rFonts w:cs="Arial"/>
          <w:i/>
        </w:rPr>
        <w:t>Managing Public Money</w:t>
      </w:r>
      <w:r w:rsidRPr="003F7E43">
        <w:rPr>
          <w:rFonts w:eastAsia="PMingLiU"/>
        </w:rPr>
        <w:t xml:space="preserve">.  Our focus is upon outcomes and robust governance procedures, which are designed to ensure that risk and opportunity are clearly identified and responded to.  </w:t>
      </w:r>
    </w:p>
    <w:p w14:paraId="324300CA" w14:textId="77777777" w:rsidR="002667DD" w:rsidRDefault="002667DD" w:rsidP="002667DD">
      <w:pPr>
        <w:widowControl w:val="0"/>
        <w:rPr>
          <w:rFonts w:cs="Humanist777BT-LightB"/>
          <w:color w:val="auto"/>
          <w:lang w:eastAsia="en-GB"/>
        </w:rPr>
      </w:pPr>
      <w:r w:rsidRPr="003F7E43">
        <w:rPr>
          <w:rFonts w:eastAsia="PMingLiU"/>
        </w:rPr>
        <w:t xml:space="preserve">The Commission complies materially with the guidance provided in </w:t>
      </w:r>
      <w:r>
        <w:rPr>
          <w:rFonts w:eastAsia="PMingLiU"/>
        </w:rPr>
        <w:t>HM Treasury’s</w:t>
      </w:r>
      <w:r w:rsidRPr="003F7E43">
        <w:rPr>
          <w:rFonts w:eastAsia="PMingLiU"/>
        </w:rPr>
        <w:t xml:space="preserve"> </w:t>
      </w:r>
      <w:r w:rsidRPr="003F7E43">
        <w:rPr>
          <w:rFonts w:cs="Humanist777BT-LightB"/>
          <w:color w:val="auto"/>
          <w:lang w:eastAsia="en-GB"/>
        </w:rPr>
        <w:t>corporate governance code for central government departments</w:t>
      </w:r>
      <w:r>
        <w:rPr>
          <w:rFonts w:cs="Humanist777BT-LightB"/>
          <w:color w:val="auto"/>
          <w:lang w:eastAsia="en-GB"/>
        </w:rPr>
        <w:t xml:space="preserve"> (April 2017)</w:t>
      </w:r>
      <w:r w:rsidRPr="003F7E43">
        <w:rPr>
          <w:rFonts w:cs="Humanist777BT-LightB"/>
          <w:color w:val="auto"/>
          <w:lang w:eastAsia="en-GB"/>
        </w:rPr>
        <w:t>.</w:t>
      </w:r>
      <w:r>
        <w:rPr>
          <w:rFonts w:cs="Humanist777BT-LightB"/>
          <w:color w:val="auto"/>
          <w:lang w:eastAsia="en-GB"/>
        </w:rPr>
        <w:t xml:space="preserve"> </w:t>
      </w:r>
    </w:p>
    <w:p w14:paraId="23272353" w14:textId="77777777" w:rsidR="00AE6221" w:rsidRDefault="00AE6221" w:rsidP="002667DD">
      <w:pPr>
        <w:widowControl w:val="0"/>
        <w:rPr>
          <w:rFonts w:cs="Humanist777BT-LightB"/>
          <w:color w:val="auto"/>
          <w:lang w:eastAsia="en-GB"/>
        </w:rPr>
      </w:pPr>
    </w:p>
    <w:p w14:paraId="36FE7B88" w14:textId="4B1AA3B7" w:rsidR="00AE6221" w:rsidRPr="003F7E43" w:rsidRDefault="00AE6221" w:rsidP="002667DD">
      <w:pPr>
        <w:widowControl w:val="0"/>
        <w:rPr>
          <w:rFonts w:cs="Humanist777BT-LightB"/>
          <w:color w:val="auto"/>
          <w:lang w:eastAsia="en-GB"/>
        </w:rPr>
      </w:pPr>
      <w:r>
        <w:rPr>
          <w:rFonts w:cs="Humanist777BT-LightB"/>
          <w:color w:val="auto"/>
          <w:lang w:eastAsia="en-GB"/>
        </w:rPr>
        <w:t>Throughout 202</w:t>
      </w:r>
      <w:r w:rsidR="00B46C52">
        <w:rPr>
          <w:rFonts w:cs="Humanist777BT-LightB"/>
          <w:color w:val="auto"/>
          <w:lang w:eastAsia="en-GB"/>
        </w:rPr>
        <w:t>3</w:t>
      </w:r>
      <w:r>
        <w:rPr>
          <w:rFonts w:cs="Humanist777BT-LightB"/>
          <w:color w:val="auto"/>
          <w:lang w:eastAsia="en-GB"/>
        </w:rPr>
        <w:t>-2</w:t>
      </w:r>
      <w:r w:rsidR="00B46C52">
        <w:rPr>
          <w:rFonts w:cs="Humanist777BT-LightB"/>
          <w:color w:val="auto"/>
          <w:lang w:eastAsia="en-GB"/>
        </w:rPr>
        <w:t>4</w:t>
      </w:r>
      <w:r>
        <w:rPr>
          <w:rFonts w:cs="Humanist777BT-LightB"/>
          <w:color w:val="auto"/>
          <w:lang w:eastAsia="en-GB"/>
        </w:rPr>
        <w:t xml:space="preserve"> the Commission effectively discharged its statutory functions and duties.  In line with best practice, the operational procedures of the Commission and the quality of data used is kept under continuous review to ensure the Commission is content that it is provided with all requisite information to enable it to make informed decisions.</w:t>
      </w:r>
    </w:p>
    <w:p w14:paraId="4F821F86" w14:textId="77777777" w:rsidR="002667DD" w:rsidRPr="003F7E43" w:rsidRDefault="002667DD" w:rsidP="002667DD">
      <w:pPr>
        <w:widowControl w:val="0"/>
        <w:rPr>
          <w:rFonts w:ascii="Humanist777BT-LightB" w:hAnsi="Humanist777BT-LightB" w:cs="Humanist777BT-LightB"/>
          <w:color w:val="auto"/>
          <w:lang w:eastAsia="en-GB"/>
        </w:rPr>
      </w:pPr>
    </w:p>
    <w:p w14:paraId="4E002A5D" w14:textId="77777777" w:rsidR="002667DD" w:rsidRPr="003F7E43" w:rsidRDefault="002667DD" w:rsidP="002667DD">
      <w:pPr>
        <w:widowControl w:val="0"/>
      </w:pPr>
      <w:r w:rsidRPr="003F7E43">
        <w:rPr>
          <w:rFonts w:eastAsia="PMingLiU"/>
        </w:rPr>
        <w:t>As a non–departmental public body (NDPB), sponsored by the Northern Ireland Office, responsible to Parliament through the Secretary of State for Northern Ireland the governance framework of the organisation includes a Financial Sta</w:t>
      </w:r>
      <w:r>
        <w:rPr>
          <w:rFonts w:eastAsia="PMingLiU"/>
        </w:rPr>
        <w:t>tement and Management Agreement, (Framework Document).  The previous version was reviewed and finalised in February 2023.</w:t>
      </w:r>
      <w:r w:rsidRPr="003F7E43">
        <w:rPr>
          <w:rFonts w:eastAsia="PMingLiU"/>
        </w:rPr>
        <w:t xml:space="preserve"> The Commissioners also operate in accordance with Standing Orders and guidance on corporate governance as well as agreed principles of public service in the Nolan Principles. The Chief </w:t>
      </w:r>
      <w:r w:rsidRPr="003F7E43">
        <w:t xml:space="preserve">Commissioner and Commissioners have corporate responsibility for promoting the efficient and effective use of staff and other resources by the Commission, demonstrating high standards of corporate governance at all times.  This role includes ensuring that they receive and review regular financial information concerning the management of the Commission, are informed in a timely manner about any concerns about the activities of the </w:t>
      </w:r>
      <w:proofErr w:type="gramStart"/>
      <w:r w:rsidRPr="003F7E43">
        <w:t>Commission, and</w:t>
      </w:r>
      <w:proofErr w:type="gramEnd"/>
      <w:r w:rsidRPr="003F7E43">
        <w:t xml:space="preserve"> provide assurance to the sponsoring Department that appropriate action has been taken on such concerns.</w:t>
      </w:r>
      <w:r>
        <w:t xml:space="preserve">  The Commission maintains whistleblowing procedures consistent with the Public Interest Disclosures Act 1998 and standards of conduct for staff are in place.</w:t>
      </w:r>
    </w:p>
    <w:p w14:paraId="207FAECF" w14:textId="77777777" w:rsidR="002667DD" w:rsidRPr="003F7E43" w:rsidRDefault="002667DD" w:rsidP="002667DD">
      <w:pPr>
        <w:rPr>
          <w:rFonts w:eastAsia="PMingLiU"/>
        </w:rPr>
      </w:pPr>
    </w:p>
    <w:p w14:paraId="5D61FAF6" w14:textId="77777777" w:rsidR="002667DD" w:rsidRDefault="002667DD" w:rsidP="002667DD">
      <w:pPr>
        <w:rPr>
          <w:rFonts w:eastAsia="PMingLiU"/>
        </w:rPr>
      </w:pPr>
      <w:r w:rsidRPr="003F7E43">
        <w:rPr>
          <w:rFonts w:eastAsia="PMingLiU"/>
        </w:rPr>
        <w:t>Discussions on financial matters and risk are normally held with officials at the NIO, rather than directly with Ministers.  The NIO has, in ongoing formal meetings confirmed the Commission’s fulfilment of assurances. The Chief Commissioner and Commissioners have access to the Secretary of State on request.</w:t>
      </w:r>
      <w:r w:rsidRPr="009B4441">
        <w:rPr>
          <w:rFonts w:eastAsia="PMingLiU"/>
        </w:rPr>
        <w:t xml:space="preserve">  </w:t>
      </w:r>
    </w:p>
    <w:p w14:paraId="12E59F50" w14:textId="77777777" w:rsidR="002667DD" w:rsidRDefault="002667DD" w:rsidP="002667DD">
      <w:pPr>
        <w:rPr>
          <w:rFonts w:eastAsia="PMingLiU"/>
        </w:rPr>
      </w:pPr>
    </w:p>
    <w:p w14:paraId="0E1D81C7" w14:textId="77777777" w:rsidR="002667DD" w:rsidRDefault="002667DD" w:rsidP="002667DD">
      <w:pPr>
        <w:rPr>
          <w:rFonts w:eastAsia="PMingLiU"/>
          <w:b/>
        </w:rPr>
      </w:pPr>
      <w:r>
        <w:rPr>
          <w:rFonts w:eastAsia="PMingLiU"/>
          <w:b/>
        </w:rPr>
        <w:t>Governance Framework</w:t>
      </w:r>
    </w:p>
    <w:p w14:paraId="1D086E3C" w14:textId="77777777" w:rsidR="002667DD" w:rsidRDefault="002667DD" w:rsidP="002667DD">
      <w:pPr>
        <w:rPr>
          <w:rFonts w:eastAsia="PMingLiU"/>
          <w:b/>
        </w:rPr>
      </w:pPr>
    </w:p>
    <w:p w14:paraId="6779BD73" w14:textId="77777777" w:rsidR="002667DD" w:rsidRPr="00283726" w:rsidRDefault="002667DD" w:rsidP="002667DD">
      <w:pPr>
        <w:rPr>
          <w:rFonts w:eastAsia="PMingLiU"/>
        </w:rPr>
      </w:pPr>
      <w:r>
        <w:rPr>
          <w:rFonts w:eastAsia="PMingLiU"/>
        </w:rPr>
        <w:t>As Accounting Officer, I function with the support of the Audit and Risk Management Committee and the Senior Management Team.</w:t>
      </w:r>
    </w:p>
    <w:p w14:paraId="4465D3D2" w14:textId="77777777" w:rsidR="002667DD" w:rsidRPr="009B4441" w:rsidRDefault="002667DD" w:rsidP="002667DD">
      <w:pPr>
        <w:rPr>
          <w:rFonts w:eastAsia="PMingLiU"/>
        </w:rPr>
      </w:pPr>
    </w:p>
    <w:p w14:paraId="117C0079" w14:textId="77777777" w:rsidR="002667DD" w:rsidRPr="00B814F8" w:rsidRDefault="002667DD" w:rsidP="002667DD">
      <w:pPr>
        <w:rPr>
          <w:rFonts w:eastAsia="PMingLiU"/>
          <w:b/>
        </w:rPr>
      </w:pPr>
      <w:r w:rsidRPr="00B814F8">
        <w:rPr>
          <w:rFonts w:eastAsia="PMingLiU"/>
          <w:b/>
        </w:rPr>
        <w:t>Commissioners’ Meetings</w:t>
      </w:r>
    </w:p>
    <w:p w14:paraId="5D2AEBFC" w14:textId="77777777" w:rsidR="002667DD" w:rsidRPr="00B814F8" w:rsidRDefault="002667DD" w:rsidP="002667DD">
      <w:pPr>
        <w:rPr>
          <w:rFonts w:eastAsia="PMingLiU"/>
          <w:b/>
        </w:rPr>
      </w:pPr>
    </w:p>
    <w:p w14:paraId="52AC0E11" w14:textId="553E850C" w:rsidR="002667DD" w:rsidRPr="00B814F8" w:rsidRDefault="002667DD" w:rsidP="002667DD">
      <w:pPr>
        <w:rPr>
          <w:rFonts w:eastAsia="PMingLiU"/>
        </w:rPr>
      </w:pPr>
      <w:r w:rsidRPr="3285EAFF">
        <w:rPr>
          <w:rFonts w:eastAsia="PMingLiU"/>
        </w:rPr>
        <w:t xml:space="preserve">The Commission met </w:t>
      </w:r>
      <w:r>
        <w:rPr>
          <w:rFonts w:eastAsia="PMingLiU"/>
        </w:rPr>
        <w:t>11</w:t>
      </w:r>
      <w:r w:rsidRPr="3285EAFF">
        <w:rPr>
          <w:rFonts w:eastAsia="PMingLiU"/>
        </w:rPr>
        <w:t xml:space="preserve"> times during the reporting period</w:t>
      </w:r>
      <w:r>
        <w:rPr>
          <w:rFonts w:eastAsia="PMingLiU"/>
        </w:rPr>
        <w:t xml:space="preserve"> (1</w:t>
      </w:r>
      <w:r w:rsidR="001D551F">
        <w:rPr>
          <w:rFonts w:eastAsia="PMingLiU"/>
        </w:rPr>
        <w:t>1</w:t>
      </w:r>
      <w:r>
        <w:rPr>
          <w:rFonts w:eastAsia="PMingLiU"/>
        </w:rPr>
        <w:t xml:space="preserve"> ordinary Commission meetings and </w:t>
      </w:r>
      <w:r w:rsidR="001D551F">
        <w:rPr>
          <w:rFonts w:eastAsia="PMingLiU"/>
        </w:rPr>
        <w:t>no</w:t>
      </w:r>
      <w:r>
        <w:rPr>
          <w:rFonts w:eastAsia="PMingLiU"/>
        </w:rPr>
        <w:t xml:space="preserve"> special Commission meeting</w:t>
      </w:r>
      <w:r w:rsidR="00B042C7">
        <w:rPr>
          <w:rFonts w:eastAsia="PMingLiU"/>
        </w:rPr>
        <w:t>s</w:t>
      </w:r>
      <w:r>
        <w:rPr>
          <w:rFonts w:eastAsia="PMingLiU"/>
        </w:rPr>
        <w:t>)</w:t>
      </w:r>
      <w:r w:rsidRPr="3285EAFF">
        <w:rPr>
          <w:rFonts w:eastAsia="PMingLiU"/>
        </w:rPr>
        <w:t>.</w:t>
      </w:r>
    </w:p>
    <w:p w14:paraId="2DA4951E" w14:textId="77777777" w:rsidR="002667DD" w:rsidRPr="00B814F8" w:rsidRDefault="002667DD" w:rsidP="002667DD">
      <w:pPr>
        <w:rPr>
          <w:rFonts w:eastAsia="PMingLiU"/>
        </w:rPr>
      </w:pPr>
    </w:p>
    <w:p w14:paraId="1DF96BCE" w14:textId="1922443C" w:rsidR="002667DD" w:rsidRPr="00B814F8" w:rsidRDefault="002667DD" w:rsidP="002667DD">
      <w:pPr>
        <w:rPr>
          <w:rFonts w:eastAsia="PMingLiU"/>
        </w:rPr>
      </w:pPr>
      <w:r w:rsidRPr="00B814F8">
        <w:rPr>
          <w:rFonts w:eastAsia="PMingLiU"/>
        </w:rPr>
        <w:t>The following served as</w:t>
      </w:r>
      <w:r>
        <w:rPr>
          <w:rFonts w:eastAsia="PMingLiU"/>
        </w:rPr>
        <w:t xml:space="preserve"> Commissioners from 1 April 202</w:t>
      </w:r>
      <w:r w:rsidR="00170598">
        <w:rPr>
          <w:rFonts w:eastAsia="PMingLiU"/>
        </w:rPr>
        <w:t>3</w:t>
      </w:r>
      <w:r>
        <w:rPr>
          <w:rFonts w:eastAsia="PMingLiU"/>
        </w:rPr>
        <w:t xml:space="preserve"> - 31 March 202</w:t>
      </w:r>
      <w:r w:rsidR="00170598">
        <w:rPr>
          <w:rFonts w:eastAsia="PMingLiU"/>
        </w:rPr>
        <w:t>4</w:t>
      </w:r>
    </w:p>
    <w:p w14:paraId="04A97164" w14:textId="77777777" w:rsidR="002667DD" w:rsidRPr="00B814F8" w:rsidRDefault="002667DD" w:rsidP="002667DD">
      <w:pPr>
        <w:rPr>
          <w:rFonts w:eastAsia="PMingLiU"/>
        </w:rPr>
      </w:pPr>
    </w:p>
    <w:tbl>
      <w:tblPr>
        <w:tblW w:w="0" w:type="auto"/>
        <w:tblLook w:val="04A0" w:firstRow="1" w:lastRow="0" w:firstColumn="1" w:lastColumn="0" w:noHBand="0" w:noVBand="1"/>
      </w:tblPr>
      <w:tblGrid>
        <w:gridCol w:w="6318"/>
        <w:gridCol w:w="2753"/>
      </w:tblGrid>
      <w:tr w:rsidR="002667DD" w:rsidRPr="00B814F8" w14:paraId="763F4283" w14:textId="77777777" w:rsidTr="001958BD">
        <w:tc>
          <w:tcPr>
            <w:tcW w:w="6318" w:type="dxa"/>
            <w:shd w:val="clear" w:color="auto" w:fill="auto"/>
          </w:tcPr>
          <w:p w14:paraId="736FBB9A" w14:textId="77777777" w:rsidR="002667DD" w:rsidRPr="00B814F8" w:rsidRDefault="002667DD" w:rsidP="001958BD">
            <w:pPr>
              <w:rPr>
                <w:rFonts w:eastAsia="PMingLiU"/>
              </w:rPr>
            </w:pPr>
          </w:p>
        </w:tc>
        <w:tc>
          <w:tcPr>
            <w:tcW w:w="2753" w:type="dxa"/>
            <w:shd w:val="clear" w:color="auto" w:fill="auto"/>
          </w:tcPr>
          <w:p w14:paraId="207CFE94" w14:textId="77777777" w:rsidR="002667DD" w:rsidRPr="00B814F8" w:rsidRDefault="002667DD" w:rsidP="001958BD">
            <w:pPr>
              <w:rPr>
                <w:rFonts w:eastAsia="PMingLiU"/>
                <w:b/>
              </w:rPr>
            </w:pPr>
            <w:r w:rsidRPr="00B814F8">
              <w:rPr>
                <w:rFonts w:eastAsia="PMingLiU"/>
                <w:b/>
              </w:rPr>
              <w:t>Meetings attended</w:t>
            </w:r>
          </w:p>
        </w:tc>
      </w:tr>
      <w:tr w:rsidR="002667DD" w:rsidRPr="008711E7" w14:paraId="6CB3396F" w14:textId="77777777" w:rsidTr="001958BD">
        <w:tc>
          <w:tcPr>
            <w:tcW w:w="6318" w:type="dxa"/>
            <w:shd w:val="clear" w:color="auto" w:fill="auto"/>
          </w:tcPr>
          <w:p w14:paraId="73E7981E" w14:textId="77777777" w:rsidR="002667DD" w:rsidRDefault="002667DD" w:rsidP="001958BD">
            <w:r>
              <w:t xml:space="preserve">Alyson Kilpatrick </w:t>
            </w:r>
          </w:p>
        </w:tc>
        <w:tc>
          <w:tcPr>
            <w:tcW w:w="2753" w:type="dxa"/>
            <w:shd w:val="clear" w:color="auto" w:fill="auto"/>
          </w:tcPr>
          <w:p w14:paraId="16C3B2E8" w14:textId="5CE73CCE" w:rsidR="002667DD" w:rsidRPr="3285EAFF" w:rsidRDefault="00BB69DF" w:rsidP="001958BD">
            <w:pPr>
              <w:jc w:val="right"/>
              <w:rPr>
                <w:rFonts w:eastAsia="PMingLiU"/>
              </w:rPr>
            </w:pPr>
            <w:r>
              <w:rPr>
                <w:rFonts w:eastAsia="PMingLiU"/>
              </w:rPr>
              <w:t>8</w:t>
            </w:r>
            <w:r w:rsidR="002667DD">
              <w:rPr>
                <w:rFonts w:eastAsia="PMingLiU"/>
              </w:rPr>
              <w:t>/11</w:t>
            </w:r>
          </w:p>
        </w:tc>
      </w:tr>
      <w:tr w:rsidR="002667DD" w:rsidRPr="008711E7" w14:paraId="652B3434" w14:textId="77777777" w:rsidTr="001958BD">
        <w:tc>
          <w:tcPr>
            <w:tcW w:w="6318" w:type="dxa"/>
            <w:shd w:val="clear" w:color="auto" w:fill="auto"/>
          </w:tcPr>
          <w:p w14:paraId="32AF3848" w14:textId="77777777" w:rsidR="002667DD" w:rsidRPr="00B814F8" w:rsidRDefault="002667DD" w:rsidP="001958BD">
            <w:r>
              <w:t>Helen Henderson</w:t>
            </w:r>
          </w:p>
        </w:tc>
        <w:tc>
          <w:tcPr>
            <w:tcW w:w="2753" w:type="dxa"/>
            <w:shd w:val="clear" w:color="auto" w:fill="auto"/>
          </w:tcPr>
          <w:p w14:paraId="070EFDCC" w14:textId="77777777" w:rsidR="002667DD" w:rsidRDefault="002667DD" w:rsidP="001958BD">
            <w:pPr>
              <w:jc w:val="right"/>
              <w:rPr>
                <w:rFonts w:eastAsia="PMingLiU"/>
              </w:rPr>
            </w:pPr>
            <w:r>
              <w:rPr>
                <w:rFonts w:eastAsia="PMingLiU"/>
              </w:rPr>
              <w:t>11/11</w:t>
            </w:r>
          </w:p>
        </w:tc>
      </w:tr>
      <w:tr w:rsidR="002667DD" w:rsidRPr="008711E7" w14:paraId="3275D802" w14:textId="77777777" w:rsidTr="001958BD">
        <w:tc>
          <w:tcPr>
            <w:tcW w:w="6318" w:type="dxa"/>
            <w:shd w:val="clear" w:color="auto" w:fill="auto"/>
          </w:tcPr>
          <w:p w14:paraId="457E9877" w14:textId="77777777" w:rsidR="002667DD" w:rsidRDefault="002667DD" w:rsidP="001958BD">
            <w:pPr>
              <w:rPr>
                <w:rFonts w:eastAsia="PMingLiU"/>
              </w:rPr>
            </w:pPr>
            <w:r>
              <w:rPr>
                <w:rFonts w:eastAsia="PMingLiU"/>
              </w:rPr>
              <w:t>Jonathan Kearney</w:t>
            </w:r>
          </w:p>
          <w:p w14:paraId="24ABE473" w14:textId="7CD0A67D" w:rsidR="002667DD" w:rsidRPr="00B814F8" w:rsidRDefault="002667DD" w:rsidP="001958BD">
            <w:pPr>
              <w:rPr>
                <w:rFonts w:eastAsia="PMingLiU"/>
              </w:rPr>
            </w:pPr>
            <w:r>
              <w:rPr>
                <w:rFonts w:eastAsia="PMingLiU"/>
              </w:rPr>
              <w:t xml:space="preserve">Justin Kouame                      </w:t>
            </w:r>
          </w:p>
        </w:tc>
        <w:tc>
          <w:tcPr>
            <w:tcW w:w="2753" w:type="dxa"/>
            <w:shd w:val="clear" w:color="auto" w:fill="auto"/>
          </w:tcPr>
          <w:p w14:paraId="7167D3BC" w14:textId="64B12CD4" w:rsidR="002667DD" w:rsidRDefault="002667DD" w:rsidP="001958BD">
            <w:pPr>
              <w:jc w:val="right"/>
              <w:rPr>
                <w:rFonts w:eastAsia="PMingLiU"/>
              </w:rPr>
            </w:pPr>
            <w:r>
              <w:rPr>
                <w:rFonts w:eastAsia="PMingLiU"/>
              </w:rPr>
              <w:t>1</w:t>
            </w:r>
            <w:r w:rsidR="00BB69DF">
              <w:rPr>
                <w:rFonts w:eastAsia="PMingLiU"/>
              </w:rPr>
              <w:t>1</w:t>
            </w:r>
            <w:r>
              <w:rPr>
                <w:rFonts w:eastAsia="PMingLiU"/>
              </w:rPr>
              <w:t>/11</w:t>
            </w:r>
          </w:p>
          <w:p w14:paraId="3732C9D6" w14:textId="491293F0" w:rsidR="002667DD" w:rsidRPr="00A71E41" w:rsidRDefault="00BB69DF" w:rsidP="001958BD">
            <w:pPr>
              <w:jc w:val="right"/>
              <w:rPr>
                <w:rFonts w:eastAsia="PMingLiU"/>
              </w:rPr>
            </w:pPr>
            <w:r>
              <w:rPr>
                <w:rFonts w:eastAsia="PMingLiU"/>
              </w:rPr>
              <w:t>9</w:t>
            </w:r>
            <w:r w:rsidR="002667DD">
              <w:rPr>
                <w:rFonts w:eastAsia="PMingLiU"/>
              </w:rPr>
              <w:t>/</w:t>
            </w:r>
            <w:r>
              <w:rPr>
                <w:rFonts w:eastAsia="PMingLiU"/>
              </w:rPr>
              <w:t>11</w:t>
            </w:r>
          </w:p>
        </w:tc>
      </w:tr>
      <w:tr w:rsidR="002667DD" w:rsidRPr="008711E7" w14:paraId="03779415" w14:textId="77777777" w:rsidTr="001958BD">
        <w:tc>
          <w:tcPr>
            <w:tcW w:w="6318" w:type="dxa"/>
            <w:shd w:val="clear" w:color="auto" w:fill="auto"/>
          </w:tcPr>
          <w:p w14:paraId="6DEC8038" w14:textId="77777777" w:rsidR="002667DD" w:rsidRPr="00B814F8" w:rsidRDefault="002667DD" w:rsidP="001958BD">
            <w:r>
              <w:t>David Lavery CB</w:t>
            </w:r>
          </w:p>
        </w:tc>
        <w:tc>
          <w:tcPr>
            <w:tcW w:w="2753" w:type="dxa"/>
            <w:shd w:val="clear" w:color="auto" w:fill="auto"/>
          </w:tcPr>
          <w:p w14:paraId="24FFC6BA" w14:textId="54AE21D2" w:rsidR="002667DD" w:rsidRDefault="002B3EF1" w:rsidP="001958BD">
            <w:pPr>
              <w:jc w:val="right"/>
              <w:rPr>
                <w:rFonts w:eastAsia="PMingLiU"/>
              </w:rPr>
            </w:pPr>
            <w:r>
              <w:rPr>
                <w:rFonts w:eastAsia="PMingLiU"/>
              </w:rPr>
              <w:t>8</w:t>
            </w:r>
            <w:r w:rsidR="002667DD">
              <w:rPr>
                <w:rFonts w:eastAsia="PMingLiU"/>
              </w:rPr>
              <w:t>/11</w:t>
            </w:r>
          </w:p>
        </w:tc>
      </w:tr>
      <w:tr w:rsidR="002667DD" w:rsidRPr="008711E7" w14:paraId="76EFB456" w14:textId="77777777" w:rsidTr="001958BD">
        <w:tc>
          <w:tcPr>
            <w:tcW w:w="6318" w:type="dxa"/>
            <w:shd w:val="clear" w:color="auto" w:fill="auto"/>
          </w:tcPr>
          <w:p w14:paraId="1D789A2F" w14:textId="4886A3FF" w:rsidR="002B3EF1" w:rsidRDefault="002667DD" w:rsidP="001958BD">
            <w:r>
              <w:t>Eddie Rooney</w:t>
            </w:r>
            <w:r w:rsidR="002B3EF1">
              <w:t xml:space="preserve"> (until 31 August 2023)</w:t>
            </w:r>
          </w:p>
        </w:tc>
        <w:tc>
          <w:tcPr>
            <w:tcW w:w="2753" w:type="dxa"/>
            <w:shd w:val="clear" w:color="auto" w:fill="auto"/>
          </w:tcPr>
          <w:p w14:paraId="36BFCB86" w14:textId="15DEA699" w:rsidR="002667DD" w:rsidRDefault="002B3EF1" w:rsidP="001958BD">
            <w:pPr>
              <w:jc w:val="right"/>
              <w:rPr>
                <w:rFonts w:eastAsia="PMingLiU"/>
              </w:rPr>
            </w:pPr>
            <w:r>
              <w:rPr>
                <w:rFonts w:eastAsia="PMingLiU"/>
              </w:rPr>
              <w:t>4</w:t>
            </w:r>
            <w:r w:rsidR="002667DD">
              <w:rPr>
                <w:rFonts w:eastAsia="PMingLiU"/>
              </w:rPr>
              <w:t>/</w:t>
            </w:r>
            <w:r>
              <w:rPr>
                <w:rFonts w:eastAsia="PMingLiU"/>
              </w:rPr>
              <w:t>4</w:t>
            </w:r>
          </w:p>
        </w:tc>
      </w:tr>
      <w:tr w:rsidR="002667DD" w:rsidRPr="008711E7" w14:paraId="552DE985" w14:textId="77777777" w:rsidTr="001958BD">
        <w:tc>
          <w:tcPr>
            <w:tcW w:w="6318" w:type="dxa"/>
            <w:shd w:val="clear" w:color="auto" w:fill="auto"/>
          </w:tcPr>
          <w:p w14:paraId="64E62D38" w14:textId="77777777" w:rsidR="002667DD" w:rsidRDefault="002667DD" w:rsidP="001958BD">
            <w:r>
              <w:t>Stephen White OBE</w:t>
            </w:r>
          </w:p>
        </w:tc>
        <w:tc>
          <w:tcPr>
            <w:tcW w:w="2753" w:type="dxa"/>
            <w:shd w:val="clear" w:color="auto" w:fill="auto"/>
          </w:tcPr>
          <w:p w14:paraId="6D619F6C" w14:textId="77777777" w:rsidR="002667DD" w:rsidRDefault="002667DD" w:rsidP="001958BD">
            <w:pPr>
              <w:jc w:val="right"/>
              <w:rPr>
                <w:rFonts w:eastAsia="PMingLiU"/>
              </w:rPr>
            </w:pPr>
            <w:r>
              <w:rPr>
                <w:rFonts w:eastAsia="PMingLiU"/>
              </w:rPr>
              <w:t>11/11</w:t>
            </w:r>
          </w:p>
        </w:tc>
      </w:tr>
    </w:tbl>
    <w:p w14:paraId="316F581F" w14:textId="77777777" w:rsidR="00607470" w:rsidRDefault="00607470" w:rsidP="002667DD">
      <w:pPr>
        <w:rPr>
          <w:rFonts w:eastAsia="PMingLiU"/>
          <w:b/>
        </w:rPr>
      </w:pPr>
    </w:p>
    <w:p w14:paraId="3E1EAC90" w14:textId="106C9A7D" w:rsidR="002667DD" w:rsidRPr="00B814F8" w:rsidRDefault="002667DD" w:rsidP="002667DD">
      <w:pPr>
        <w:rPr>
          <w:rFonts w:eastAsia="PMingLiU"/>
          <w:b/>
        </w:rPr>
      </w:pPr>
      <w:r w:rsidRPr="00B814F8">
        <w:rPr>
          <w:rFonts w:eastAsia="PMingLiU"/>
          <w:b/>
        </w:rPr>
        <w:t>Audit and Risk Management Committee Meetings</w:t>
      </w:r>
    </w:p>
    <w:p w14:paraId="39CEF8D7" w14:textId="77777777" w:rsidR="002667DD" w:rsidRPr="00B814F8" w:rsidRDefault="002667DD" w:rsidP="002667DD">
      <w:pPr>
        <w:rPr>
          <w:rFonts w:eastAsia="PMingLiU"/>
          <w:b/>
        </w:rPr>
      </w:pPr>
    </w:p>
    <w:p w14:paraId="542D127E" w14:textId="37BC32C6" w:rsidR="002667DD" w:rsidRPr="00B814F8" w:rsidRDefault="002667DD" w:rsidP="002667DD">
      <w:pPr>
        <w:rPr>
          <w:rFonts w:eastAsia="PMingLiU"/>
        </w:rPr>
      </w:pPr>
      <w:r w:rsidRPr="00B814F8">
        <w:rPr>
          <w:rFonts w:eastAsia="PMingLiU"/>
        </w:rPr>
        <w:t xml:space="preserve">The Audit and Risk Management Committee met </w:t>
      </w:r>
      <w:r w:rsidR="009E4677">
        <w:rPr>
          <w:rFonts w:eastAsia="PMingLiU"/>
        </w:rPr>
        <w:t>five</w:t>
      </w:r>
      <w:r>
        <w:rPr>
          <w:rFonts w:eastAsia="PMingLiU"/>
        </w:rPr>
        <w:t xml:space="preserve"> times </w:t>
      </w:r>
      <w:r w:rsidRPr="00B814F8">
        <w:rPr>
          <w:rFonts w:eastAsia="PMingLiU"/>
        </w:rPr>
        <w:t>during the reporting period.</w:t>
      </w:r>
      <w:r>
        <w:rPr>
          <w:rFonts w:cs="Univers"/>
          <w:lang w:val="en-US"/>
        </w:rPr>
        <w:t xml:space="preserve"> </w:t>
      </w:r>
    </w:p>
    <w:p w14:paraId="602B4310" w14:textId="77777777" w:rsidR="002667DD" w:rsidRPr="00B814F8" w:rsidRDefault="002667DD" w:rsidP="002667DD">
      <w:pPr>
        <w:rPr>
          <w:rFonts w:eastAsia="PMingLiU"/>
        </w:rPr>
      </w:pPr>
    </w:p>
    <w:tbl>
      <w:tblPr>
        <w:tblW w:w="0" w:type="auto"/>
        <w:tblLook w:val="04A0" w:firstRow="1" w:lastRow="0" w:firstColumn="1" w:lastColumn="0" w:noHBand="0" w:noVBand="1"/>
      </w:tblPr>
      <w:tblGrid>
        <w:gridCol w:w="6318"/>
        <w:gridCol w:w="2753"/>
      </w:tblGrid>
      <w:tr w:rsidR="002667DD" w:rsidRPr="00B814F8" w14:paraId="51AC98D9" w14:textId="77777777" w:rsidTr="54F71CB4">
        <w:tc>
          <w:tcPr>
            <w:tcW w:w="6318" w:type="dxa"/>
            <w:shd w:val="clear" w:color="auto" w:fill="auto"/>
          </w:tcPr>
          <w:p w14:paraId="76B8AE1A" w14:textId="77777777" w:rsidR="002667DD" w:rsidRPr="00B814F8" w:rsidRDefault="002667DD" w:rsidP="001958BD">
            <w:pPr>
              <w:rPr>
                <w:rFonts w:eastAsia="PMingLiU"/>
              </w:rPr>
            </w:pPr>
          </w:p>
        </w:tc>
        <w:tc>
          <w:tcPr>
            <w:tcW w:w="2753" w:type="dxa"/>
            <w:shd w:val="clear" w:color="auto" w:fill="auto"/>
          </w:tcPr>
          <w:p w14:paraId="25FC0DDD" w14:textId="77777777" w:rsidR="002667DD" w:rsidRPr="00B814F8" w:rsidRDefault="002667DD" w:rsidP="001958BD">
            <w:pPr>
              <w:rPr>
                <w:rFonts w:eastAsia="PMingLiU"/>
                <w:b/>
              </w:rPr>
            </w:pPr>
            <w:r w:rsidRPr="00B814F8">
              <w:rPr>
                <w:rFonts w:eastAsia="PMingLiU"/>
                <w:b/>
              </w:rPr>
              <w:t>Meetings attended</w:t>
            </w:r>
          </w:p>
        </w:tc>
      </w:tr>
      <w:tr w:rsidR="002667DD" w:rsidRPr="00B814F8" w14:paraId="29B82F88" w14:textId="77777777" w:rsidTr="54F71CB4">
        <w:tc>
          <w:tcPr>
            <w:tcW w:w="6318" w:type="dxa"/>
            <w:shd w:val="clear" w:color="auto" w:fill="auto"/>
          </w:tcPr>
          <w:p w14:paraId="65709432" w14:textId="77777777" w:rsidR="002667DD" w:rsidRPr="00B814F8" w:rsidRDefault="002667DD" w:rsidP="001958BD">
            <w:pPr>
              <w:rPr>
                <w:rFonts w:eastAsia="PMingLiU"/>
              </w:rPr>
            </w:pPr>
            <w:r>
              <w:rPr>
                <w:rFonts w:eastAsia="PMingLiU"/>
              </w:rPr>
              <w:t>Sean Donaghy</w:t>
            </w:r>
          </w:p>
        </w:tc>
        <w:tc>
          <w:tcPr>
            <w:tcW w:w="2753" w:type="dxa"/>
            <w:shd w:val="clear" w:color="auto" w:fill="auto"/>
          </w:tcPr>
          <w:p w14:paraId="2AF23A6D" w14:textId="1419ECDD" w:rsidR="002667DD" w:rsidRPr="00B814F8" w:rsidRDefault="75D04393" w:rsidP="001958BD">
            <w:pPr>
              <w:jc w:val="right"/>
              <w:rPr>
                <w:rFonts w:eastAsia="PMingLiU"/>
              </w:rPr>
            </w:pPr>
            <w:r w:rsidRPr="54F71CB4">
              <w:rPr>
                <w:rFonts w:eastAsia="PMingLiU"/>
              </w:rPr>
              <w:t>5</w:t>
            </w:r>
            <w:r w:rsidR="002667DD" w:rsidRPr="54F71CB4">
              <w:rPr>
                <w:rFonts w:eastAsia="PMingLiU"/>
              </w:rPr>
              <w:t>/</w:t>
            </w:r>
            <w:r w:rsidR="009E4677" w:rsidRPr="54F71CB4">
              <w:rPr>
                <w:rFonts w:eastAsia="PMingLiU"/>
              </w:rPr>
              <w:t>5</w:t>
            </w:r>
          </w:p>
        </w:tc>
      </w:tr>
      <w:tr w:rsidR="002C2BB9" w:rsidRPr="00B814F8" w14:paraId="1D357E2F" w14:textId="77777777" w:rsidTr="54F71CB4">
        <w:tc>
          <w:tcPr>
            <w:tcW w:w="6318" w:type="dxa"/>
            <w:shd w:val="clear" w:color="auto" w:fill="auto"/>
          </w:tcPr>
          <w:p w14:paraId="17A292EB" w14:textId="46EF8429" w:rsidR="002C2BB9" w:rsidRDefault="45A68424" w:rsidP="001958BD">
            <w:pPr>
              <w:rPr>
                <w:rFonts w:eastAsia="PMingLiU"/>
              </w:rPr>
            </w:pPr>
            <w:r w:rsidRPr="54F71CB4">
              <w:rPr>
                <w:rFonts w:eastAsia="PMingLiU"/>
              </w:rPr>
              <w:t xml:space="preserve">Helen Henderson (from </w:t>
            </w:r>
            <w:r w:rsidR="00211933" w:rsidRPr="54F71CB4">
              <w:rPr>
                <w:rFonts w:eastAsia="PMingLiU"/>
              </w:rPr>
              <w:t>27 March 2024</w:t>
            </w:r>
            <w:r w:rsidRPr="54F71CB4">
              <w:rPr>
                <w:rFonts w:eastAsia="PMingLiU"/>
              </w:rPr>
              <w:t>)</w:t>
            </w:r>
          </w:p>
        </w:tc>
        <w:tc>
          <w:tcPr>
            <w:tcW w:w="2753" w:type="dxa"/>
            <w:shd w:val="clear" w:color="auto" w:fill="auto"/>
          </w:tcPr>
          <w:p w14:paraId="52EB0541" w14:textId="432ECEBE" w:rsidR="002C2BB9" w:rsidRDefault="75D04393" w:rsidP="001958BD">
            <w:pPr>
              <w:jc w:val="right"/>
              <w:rPr>
                <w:rFonts w:eastAsia="PMingLiU"/>
              </w:rPr>
            </w:pPr>
            <w:r w:rsidRPr="54F71CB4">
              <w:rPr>
                <w:rFonts w:eastAsia="PMingLiU"/>
              </w:rPr>
              <w:t>1</w:t>
            </w:r>
            <w:r w:rsidR="45A68424" w:rsidRPr="54F71CB4">
              <w:rPr>
                <w:rFonts w:eastAsia="PMingLiU"/>
              </w:rPr>
              <w:t>/5</w:t>
            </w:r>
          </w:p>
        </w:tc>
      </w:tr>
      <w:tr w:rsidR="002667DD" w:rsidRPr="008711E7" w14:paraId="34F72254" w14:textId="77777777" w:rsidTr="54F71CB4">
        <w:tc>
          <w:tcPr>
            <w:tcW w:w="6318" w:type="dxa"/>
            <w:shd w:val="clear" w:color="auto" w:fill="auto"/>
          </w:tcPr>
          <w:p w14:paraId="1A043645" w14:textId="77777777" w:rsidR="002667DD" w:rsidRPr="00B814F8" w:rsidRDefault="002667DD" w:rsidP="001958BD">
            <w:pPr>
              <w:rPr>
                <w:rFonts w:eastAsia="PMingLiU"/>
              </w:rPr>
            </w:pPr>
            <w:r>
              <w:rPr>
                <w:rFonts w:eastAsia="PMingLiU"/>
              </w:rPr>
              <w:t>David Lavery CB</w:t>
            </w:r>
          </w:p>
        </w:tc>
        <w:tc>
          <w:tcPr>
            <w:tcW w:w="2753" w:type="dxa"/>
            <w:shd w:val="clear" w:color="auto" w:fill="auto"/>
          </w:tcPr>
          <w:p w14:paraId="2EA2C1F2" w14:textId="7D902A3A" w:rsidR="002667DD" w:rsidRPr="008711E7" w:rsidRDefault="6CAED55D" w:rsidP="001958BD">
            <w:pPr>
              <w:jc w:val="right"/>
              <w:rPr>
                <w:rFonts w:eastAsia="PMingLiU"/>
              </w:rPr>
            </w:pPr>
            <w:r w:rsidRPr="54F71CB4">
              <w:rPr>
                <w:rFonts w:eastAsia="PMingLiU"/>
              </w:rPr>
              <w:t>4</w:t>
            </w:r>
            <w:r w:rsidR="002667DD" w:rsidRPr="54F71CB4">
              <w:rPr>
                <w:rFonts w:eastAsia="PMingLiU"/>
              </w:rPr>
              <w:t>/</w:t>
            </w:r>
            <w:r w:rsidR="009E4677" w:rsidRPr="54F71CB4">
              <w:rPr>
                <w:rFonts w:eastAsia="PMingLiU"/>
              </w:rPr>
              <w:t>5</w:t>
            </w:r>
          </w:p>
        </w:tc>
      </w:tr>
      <w:tr w:rsidR="002667DD" w:rsidRPr="008711E7" w14:paraId="4ACD0744" w14:textId="77777777" w:rsidTr="54F71CB4">
        <w:tc>
          <w:tcPr>
            <w:tcW w:w="6318" w:type="dxa"/>
            <w:shd w:val="clear" w:color="auto" w:fill="auto"/>
          </w:tcPr>
          <w:p w14:paraId="07ECB9F3" w14:textId="62B67300" w:rsidR="002667DD" w:rsidRDefault="002667DD" w:rsidP="001958BD">
            <w:pPr>
              <w:rPr>
                <w:rFonts w:eastAsia="PMingLiU"/>
              </w:rPr>
            </w:pPr>
            <w:r>
              <w:rPr>
                <w:rFonts w:eastAsia="PMingLiU"/>
              </w:rPr>
              <w:t>Eddie Rooney</w:t>
            </w:r>
            <w:r w:rsidR="002C2BB9">
              <w:rPr>
                <w:rFonts w:eastAsia="PMingLiU"/>
              </w:rPr>
              <w:t xml:space="preserve"> (until 31 August 2023)</w:t>
            </w:r>
          </w:p>
        </w:tc>
        <w:tc>
          <w:tcPr>
            <w:tcW w:w="2753" w:type="dxa"/>
            <w:shd w:val="clear" w:color="auto" w:fill="auto"/>
          </w:tcPr>
          <w:p w14:paraId="1FA6530E" w14:textId="0D422527" w:rsidR="002667DD" w:rsidRDefault="002667DD" w:rsidP="001958BD">
            <w:pPr>
              <w:jc w:val="right"/>
              <w:rPr>
                <w:rFonts w:eastAsia="PMingLiU"/>
              </w:rPr>
            </w:pPr>
            <w:r>
              <w:rPr>
                <w:rFonts w:eastAsia="PMingLiU"/>
              </w:rPr>
              <w:t>2/</w:t>
            </w:r>
            <w:r w:rsidR="002C2BB9">
              <w:rPr>
                <w:rFonts w:eastAsia="PMingLiU"/>
              </w:rPr>
              <w:t>2</w:t>
            </w:r>
          </w:p>
        </w:tc>
      </w:tr>
      <w:tr w:rsidR="002667DD" w:rsidRPr="008711E7" w14:paraId="4D8CE2BD" w14:textId="77777777" w:rsidTr="54F71CB4">
        <w:tc>
          <w:tcPr>
            <w:tcW w:w="6318" w:type="dxa"/>
            <w:shd w:val="clear" w:color="auto" w:fill="auto"/>
          </w:tcPr>
          <w:p w14:paraId="369CAAF9" w14:textId="77777777" w:rsidR="002667DD" w:rsidRDefault="002667DD" w:rsidP="001958BD">
            <w:pPr>
              <w:rPr>
                <w:rFonts w:eastAsia="PMingLiU"/>
              </w:rPr>
            </w:pPr>
            <w:r>
              <w:rPr>
                <w:rFonts w:eastAsia="PMingLiU"/>
              </w:rPr>
              <w:t xml:space="preserve">Stephen White OBE </w:t>
            </w:r>
          </w:p>
        </w:tc>
        <w:tc>
          <w:tcPr>
            <w:tcW w:w="2753" w:type="dxa"/>
            <w:shd w:val="clear" w:color="auto" w:fill="auto"/>
          </w:tcPr>
          <w:p w14:paraId="3357E22F" w14:textId="0E38C1E2" w:rsidR="002667DD" w:rsidRDefault="6CAED55D" w:rsidP="001958BD">
            <w:pPr>
              <w:jc w:val="right"/>
              <w:rPr>
                <w:rFonts w:eastAsia="PMingLiU"/>
              </w:rPr>
            </w:pPr>
            <w:r w:rsidRPr="54F71CB4">
              <w:rPr>
                <w:rFonts w:eastAsia="PMingLiU"/>
              </w:rPr>
              <w:t>3</w:t>
            </w:r>
            <w:r w:rsidR="002667DD" w:rsidRPr="54F71CB4">
              <w:rPr>
                <w:rFonts w:eastAsia="PMingLiU"/>
              </w:rPr>
              <w:t>/</w:t>
            </w:r>
            <w:r w:rsidR="45A68424" w:rsidRPr="54F71CB4">
              <w:rPr>
                <w:rFonts w:eastAsia="PMingLiU"/>
              </w:rPr>
              <w:t>5</w:t>
            </w:r>
          </w:p>
        </w:tc>
      </w:tr>
      <w:tr w:rsidR="002667DD" w:rsidRPr="008711E7" w14:paraId="3BDD39EE" w14:textId="77777777" w:rsidTr="54F71CB4">
        <w:tc>
          <w:tcPr>
            <w:tcW w:w="6318" w:type="dxa"/>
            <w:shd w:val="clear" w:color="auto" w:fill="auto"/>
          </w:tcPr>
          <w:p w14:paraId="30E3594F" w14:textId="77777777" w:rsidR="002667DD" w:rsidRDefault="002667DD" w:rsidP="001958BD">
            <w:pPr>
              <w:rPr>
                <w:rFonts w:eastAsia="PMingLiU"/>
              </w:rPr>
            </w:pPr>
          </w:p>
        </w:tc>
        <w:tc>
          <w:tcPr>
            <w:tcW w:w="2753" w:type="dxa"/>
            <w:shd w:val="clear" w:color="auto" w:fill="auto"/>
          </w:tcPr>
          <w:p w14:paraId="1CE5EDB7" w14:textId="77777777" w:rsidR="002667DD" w:rsidRDefault="002667DD" w:rsidP="001958BD">
            <w:pPr>
              <w:jc w:val="right"/>
              <w:rPr>
                <w:rFonts w:eastAsia="PMingLiU"/>
              </w:rPr>
            </w:pPr>
          </w:p>
        </w:tc>
      </w:tr>
    </w:tbl>
    <w:p w14:paraId="0AF186D2" w14:textId="2E05D79F" w:rsidR="002667DD" w:rsidRPr="003F7E43" w:rsidRDefault="002667DD" w:rsidP="002667DD">
      <w:pPr>
        <w:pStyle w:val="Default"/>
        <w:rPr>
          <w:rFonts w:ascii="Verdana" w:hAnsi="Verdana"/>
        </w:rPr>
      </w:pPr>
      <w:r w:rsidRPr="003F7E43">
        <w:rPr>
          <w:rFonts w:ascii="Verdana" w:hAnsi="Verdana"/>
        </w:rPr>
        <w:t>The Audit and Ris</w:t>
      </w:r>
      <w:r>
        <w:rPr>
          <w:rFonts w:ascii="Verdana" w:hAnsi="Verdana"/>
        </w:rPr>
        <w:t>k Management Committee comprised</w:t>
      </w:r>
      <w:r w:rsidRPr="003F7E43">
        <w:rPr>
          <w:rFonts w:ascii="Verdana" w:hAnsi="Verdana"/>
        </w:rPr>
        <w:t xml:space="preserve"> an </w:t>
      </w:r>
      <w:r>
        <w:rPr>
          <w:rFonts w:ascii="Verdana" w:hAnsi="Verdana"/>
        </w:rPr>
        <w:t>independent Chairperson, who had</w:t>
      </w:r>
      <w:r w:rsidRPr="003F7E43">
        <w:rPr>
          <w:rFonts w:ascii="Verdana" w:hAnsi="Verdana"/>
        </w:rPr>
        <w:t xml:space="preserve"> extensive financial management experience at a senior level in the </w:t>
      </w:r>
      <w:r>
        <w:rPr>
          <w:rFonts w:ascii="Verdana" w:hAnsi="Verdana"/>
        </w:rPr>
        <w:t>public sector, and</w:t>
      </w:r>
      <w:r w:rsidRPr="003F7E43">
        <w:rPr>
          <w:rFonts w:ascii="Verdana" w:hAnsi="Verdana"/>
        </w:rPr>
        <w:t xml:space="preserve"> was appointed following an open recruitment competition, and up to </w:t>
      </w:r>
      <w:r>
        <w:rPr>
          <w:rFonts w:ascii="Verdana" w:hAnsi="Verdana"/>
        </w:rPr>
        <w:t>three</w:t>
      </w:r>
      <w:r w:rsidRPr="003F7E43">
        <w:rPr>
          <w:rFonts w:ascii="Verdana" w:hAnsi="Verdana"/>
        </w:rPr>
        <w:t xml:space="preserve"> Commissioners with a range of experience in corporate governance. Both the Commission’s internal and external auditors also attend Audit and Risk Management Committee meetings, as well as a representative of the </w:t>
      </w:r>
      <w:r w:rsidRPr="003F7E43">
        <w:rPr>
          <w:rFonts w:ascii="Verdana" w:eastAsia="PMingLiU" w:hAnsi="Verdana"/>
        </w:rPr>
        <w:t>Northern Ireland Office.</w:t>
      </w:r>
      <w:r>
        <w:rPr>
          <w:rFonts w:ascii="Verdana" w:eastAsia="PMingLiU" w:hAnsi="Verdana"/>
        </w:rPr>
        <w:t xml:space="preserve"> </w:t>
      </w:r>
    </w:p>
    <w:p w14:paraId="6ECDD305" w14:textId="77777777" w:rsidR="002667DD" w:rsidRPr="003F7E43" w:rsidRDefault="002667DD" w:rsidP="002667DD">
      <w:pPr>
        <w:pStyle w:val="Default"/>
        <w:rPr>
          <w:rFonts w:ascii="Verdana" w:hAnsi="Verdana"/>
        </w:rPr>
      </w:pPr>
    </w:p>
    <w:p w14:paraId="69255183" w14:textId="77777777" w:rsidR="002667DD" w:rsidRPr="008711E7" w:rsidRDefault="002667DD" w:rsidP="002667DD">
      <w:pPr>
        <w:pStyle w:val="Default"/>
        <w:rPr>
          <w:rFonts w:ascii="Verdana" w:hAnsi="Verdana"/>
        </w:rPr>
      </w:pPr>
      <w:r w:rsidRPr="003F7E43">
        <w:rPr>
          <w:rFonts w:ascii="Verdana" w:hAnsi="Verdana"/>
        </w:rPr>
        <w:t xml:space="preserve">As outlined, </w:t>
      </w:r>
      <w:r>
        <w:rPr>
          <w:rFonts w:ascii="Verdana" w:hAnsi="Verdana"/>
        </w:rPr>
        <w:t xml:space="preserve">a Commissioner from the </w:t>
      </w:r>
      <w:r w:rsidRPr="003F7E43">
        <w:rPr>
          <w:rFonts w:ascii="Verdana" w:hAnsi="Verdana"/>
        </w:rPr>
        <w:t xml:space="preserve">Audit and Risk Management Committee </w:t>
      </w:r>
      <w:r>
        <w:rPr>
          <w:rFonts w:ascii="Verdana" w:hAnsi="Verdana"/>
        </w:rPr>
        <w:t>provides an update on the meetings to the Commission meeting</w:t>
      </w:r>
      <w:r w:rsidRPr="003F7E43">
        <w:rPr>
          <w:rFonts w:ascii="Verdana" w:hAnsi="Verdana"/>
        </w:rPr>
        <w:t xml:space="preserve"> and the Committee reports annually to the Commission. Furthermore, the Chairperson has direct access to the Chief Executive and Chief Commissioner as appropriate.</w:t>
      </w:r>
    </w:p>
    <w:p w14:paraId="57B5019B" w14:textId="77777777" w:rsidR="002667DD" w:rsidRPr="007F2DCD" w:rsidRDefault="002667DD" w:rsidP="002667DD">
      <w:pPr>
        <w:pStyle w:val="Default"/>
        <w:rPr>
          <w:rFonts w:ascii="Verdana" w:hAnsi="Verdana"/>
          <w:sz w:val="22"/>
          <w:szCs w:val="22"/>
        </w:rPr>
      </w:pPr>
    </w:p>
    <w:p w14:paraId="560B6A2E" w14:textId="77777777" w:rsidR="002667DD" w:rsidRDefault="002667DD" w:rsidP="002667DD">
      <w:pPr>
        <w:pStyle w:val="Default"/>
        <w:rPr>
          <w:rFonts w:ascii="Verdana" w:hAnsi="Verdana"/>
        </w:rPr>
      </w:pPr>
      <w:r w:rsidRPr="74585EFD">
        <w:rPr>
          <w:rFonts w:ascii="Verdana" w:hAnsi="Verdana"/>
        </w:rPr>
        <w:t xml:space="preserve">The </w:t>
      </w:r>
      <w:r w:rsidRPr="00AE6223">
        <w:rPr>
          <w:rFonts w:ascii="Verdana" w:hAnsi="Verdana"/>
        </w:rPr>
        <w:t>Audit and R</w:t>
      </w:r>
      <w:r>
        <w:rPr>
          <w:rFonts w:ascii="Verdana" w:hAnsi="Verdana"/>
        </w:rPr>
        <w:t xml:space="preserve">isk Management Committee </w:t>
      </w:r>
      <w:r w:rsidRPr="74585EFD">
        <w:rPr>
          <w:rFonts w:ascii="Verdana" w:hAnsi="Verdana"/>
        </w:rPr>
        <w:t>has scheduled a review</w:t>
      </w:r>
      <w:r>
        <w:rPr>
          <w:rFonts w:ascii="Verdana" w:hAnsi="Verdana"/>
        </w:rPr>
        <w:t xml:space="preserve"> </w:t>
      </w:r>
      <w:r w:rsidRPr="74585EFD">
        <w:rPr>
          <w:rFonts w:ascii="Verdana" w:hAnsi="Verdana"/>
        </w:rPr>
        <w:t xml:space="preserve">of </w:t>
      </w:r>
      <w:r w:rsidRPr="00AE6223">
        <w:rPr>
          <w:rFonts w:ascii="Verdana" w:hAnsi="Verdana"/>
        </w:rPr>
        <w:t>its effectiveness</w:t>
      </w:r>
      <w:r w:rsidRPr="74585EFD">
        <w:rPr>
          <w:rFonts w:ascii="Verdana" w:hAnsi="Verdana"/>
        </w:rPr>
        <w:t>.</w:t>
      </w:r>
      <w:r>
        <w:rPr>
          <w:rFonts w:ascii="Verdana" w:hAnsi="Verdana"/>
        </w:rPr>
        <w:t xml:space="preserve"> </w:t>
      </w:r>
      <w:r w:rsidRPr="74585EFD">
        <w:rPr>
          <w:rFonts w:ascii="Verdana" w:hAnsi="Verdana"/>
        </w:rPr>
        <w:t>This will be completed, by</w:t>
      </w:r>
      <w:r>
        <w:rPr>
          <w:rFonts w:ascii="Verdana" w:hAnsi="Verdana"/>
        </w:rPr>
        <w:t xml:space="preserve"> using the National Audit Office’s Audit and Risk Assurance Committee Effectiveness Checklist, which condenses the </w:t>
      </w:r>
      <w:r w:rsidRPr="00AE6223">
        <w:rPr>
          <w:rFonts w:ascii="Verdana" w:hAnsi="Verdana"/>
        </w:rPr>
        <w:t xml:space="preserve">good practice </w:t>
      </w:r>
      <w:r>
        <w:rPr>
          <w:rFonts w:ascii="Verdana" w:hAnsi="Verdana"/>
        </w:rPr>
        <w:t xml:space="preserve">principles of </w:t>
      </w:r>
      <w:r>
        <w:rPr>
          <w:rFonts w:ascii="Verdana" w:hAnsi="Verdana"/>
          <w:i/>
        </w:rPr>
        <w:t xml:space="preserve">HM Treasury’s Audit and Risk Assurance Committee Handbook. </w:t>
      </w:r>
      <w:r>
        <w:rPr>
          <w:rFonts w:ascii="Verdana" w:hAnsi="Verdana"/>
        </w:rPr>
        <w:t xml:space="preserve">The Committee noted that it was performing effectively against the core elements of the principles and concluded that on an ongoing basis the Committee should consider </w:t>
      </w:r>
      <w:proofErr w:type="spellStart"/>
      <w:r>
        <w:rPr>
          <w:rFonts w:ascii="Verdana" w:hAnsi="Verdana"/>
        </w:rPr>
        <w:t>utilisation</w:t>
      </w:r>
      <w:proofErr w:type="spellEnd"/>
      <w:r>
        <w:rPr>
          <w:rFonts w:ascii="Verdana" w:hAnsi="Verdana"/>
        </w:rPr>
        <w:t xml:space="preserve"> of external specialist resource where appropriate. Any corporate issues of concern were brought to the Commission Board for discussion and approval. </w:t>
      </w:r>
    </w:p>
    <w:p w14:paraId="0EF53C82" w14:textId="77777777" w:rsidR="002667DD" w:rsidRPr="008711E7" w:rsidRDefault="002667DD" w:rsidP="002667DD">
      <w:pPr>
        <w:pStyle w:val="Default"/>
        <w:rPr>
          <w:rFonts w:ascii="Verdana" w:hAnsi="Verdana"/>
          <w:b/>
          <w:i/>
        </w:rPr>
      </w:pPr>
    </w:p>
    <w:p w14:paraId="711EF9E0" w14:textId="77777777" w:rsidR="002667DD" w:rsidRDefault="002667DD" w:rsidP="002667DD">
      <w:pPr>
        <w:rPr>
          <w:rFonts w:eastAsia="PMingLiU"/>
        </w:rPr>
      </w:pPr>
      <w:r w:rsidRPr="003F7E43">
        <w:rPr>
          <w:rFonts w:eastAsia="PMingLiU"/>
        </w:rPr>
        <w:t xml:space="preserve">The Audit and Risk Management Committee report as required and at least annually to the full Commission board through the Independent Chair of the Committee. Audit and Risk Management Committee papers are available to all Commissioners. The Commission works through </w:t>
      </w:r>
      <w:r>
        <w:rPr>
          <w:rFonts w:eastAsia="PMingLiU"/>
        </w:rPr>
        <w:t xml:space="preserve">a monthly </w:t>
      </w:r>
      <w:r w:rsidRPr="003F7E43">
        <w:rPr>
          <w:rFonts w:eastAsia="PMingLiU"/>
        </w:rPr>
        <w:t>Commission meeting</w:t>
      </w:r>
      <w:r>
        <w:rPr>
          <w:rFonts w:eastAsia="PMingLiU"/>
        </w:rPr>
        <w:t>, though there is provision for additional meetings if required.</w:t>
      </w:r>
      <w:r w:rsidRPr="003F7E43">
        <w:rPr>
          <w:rFonts w:eastAsia="PMingLiU"/>
        </w:rPr>
        <w:t xml:space="preserve"> </w:t>
      </w:r>
      <w:r>
        <w:rPr>
          <w:rFonts w:eastAsia="PMingLiU"/>
        </w:rPr>
        <w:t xml:space="preserve">It </w:t>
      </w:r>
      <w:r w:rsidRPr="003F7E43">
        <w:rPr>
          <w:rFonts w:eastAsia="PMingLiU"/>
        </w:rPr>
        <w:t xml:space="preserve">has no separate standing Committees other than that of Audit and Risk Management. </w:t>
      </w:r>
    </w:p>
    <w:p w14:paraId="4C64FE7C" w14:textId="77777777" w:rsidR="002667DD" w:rsidRDefault="002667DD" w:rsidP="002667DD">
      <w:pPr>
        <w:rPr>
          <w:rFonts w:eastAsia="PMingLiU"/>
        </w:rPr>
      </w:pPr>
    </w:p>
    <w:p w14:paraId="5983BB7A" w14:textId="77777777" w:rsidR="002667DD" w:rsidRPr="008711E7" w:rsidRDefault="002667DD" w:rsidP="002667DD">
      <w:pPr>
        <w:rPr>
          <w:rFonts w:eastAsia="PMingLiU"/>
        </w:rPr>
      </w:pPr>
      <w:bookmarkStart w:id="21" w:name="_Hlk135828817"/>
      <w:r w:rsidRPr="003F7E43">
        <w:rPr>
          <w:rFonts w:eastAsia="PMingLiU"/>
        </w:rPr>
        <w:t>The Commission is also represented by Commissioners and staff on the joint Independent Monitoring Committee</w:t>
      </w:r>
      <w:r>
        <w:rPr>
          <w:rFonts w:eastAsia="PMingLiU"/>
        </w:rPr>
        <w:t xml:space="preserve"> for the UN Convention on the Rights of People with Disabilities in Northern Ireland</w:t>
      </w:r>
      <w:r w:rsidRPr="003F7E43">
        <w:rPr>
          <w:rFonts w:eastAsia="PMingLiU"/>
        </w:rPr>
        <w:t xml:space="preserve"> with the Equality </w:t>
      </w:r>
      <w:proofErr w:type="gramStart"/>
      <w:r w:rsidRPr="003F7E43">
        <w:rPr>
          <w:rFonts w:eastAsia="PMingLiU"/>
        </w:rPr>
        <w:t>Commission</w:t>
      </w:r>
      <w:r>
        <w:rPr>
          <w:rFonts w:eastAsia="PMingLiU"/>
        </w:rPr>
        <w:t>, and</w:t>
      </w:r>
      <w:proofErr w:type="gramEnd"/>
      <w:r>
        <w:rPr>
          <w:rFonts w:eastAsia="PMingLiU"/>
        </w:rPr>
        <w:t xml:space="preserve"> exercises statutory functions alongside the Equality Commission as the Dedicated Mechanism established under the EU Withdrawal Agreement.</w:t>
      </w:r>
    </w:p>
    <w:bookmarkEnd w:id="21"/>
    <w:p w14:paraId="2DBC2EC2" w14:textId="77777777" w:rsidR="002667DD" w:rsidRPr="008711E7" w:rsidRDefault="002667DD" w:rsidP="002667DD">
      <w:pPr>
        <w:rPr>
          <w:i/>
        </w:rPr>
      </w:pPr>
    </w:p>
    <w:p w14:paraId="275A907C" w14:textId="3AD33FAC" w:rsidR="002667DD" w:rsidRPr="008711E7" w:rsidRDefault="002667DD" w:rsidP="002667DD">
      <w:pPr>
        <w:rPr>
          <w:rFonts w:eastAsia="PMingLiU"/>
        </w:rPr>
      </w:pPr>
      <w:r w:rsidRPr="00B814F8">
        <w:rPr>
          <w:rFonts w:eastAsia="PMingLiU"/>
        </w:rPr>
        <w:t xml:space="preserve">During this year, the Commission </w:t>
      </w:r>
      <w:r>
        <w:rPr>
          <w:rFonts w:eastAsia="PMingLiU"/>
        </w:rPr>
        <w:t xml:space="preserve">Board </w:t>
      </w:r>
      <w:r w:rsidRPr="00B814F8">
        <w:rPr>
          <w:rFonts w:eastAsia="PMingLiU"/>
        </w:rPr>
        <w:t xml:space="preserve">has met </w:t>
      </w:r>
      <w:r>
        <w:rPr>
          <w:rFonts w:eastAsia="PMingLiU"/>
        </w:rPr>
        <w:t>eleven</w:t>
      </w:r>
      <w:r w:rsidRPr="00B814F8">
        <w:rPr>
          <w:rFonts w:eastAsia="PMingLiU"/>
        </w:rPr>
        <w:t xml:space="preserve"> </w:t>
      </w:r>
      <w:r>
        <w:rPr>
          <w:rFonts w:eastAsia="PMingLiU"/>
        </w:rPr>
        <w:t>times (</w:t>
      </w:r>
      <w:r w:rsidR="00B042C7">
        <w:rPr>
          <w:rFonts w:eastAsia="PMingLiU"/>
        </w:rPr>
        <w:t>eleven</w:t>
      </w:r>
      <w:r>
        <w:rPr>
          <w:rFonts w:eastAsia="PMingLiU"/>
        </w:rPr>
        <w:t xml:space="preserve"> ordinary Commission meetings and </w:t>
      </w:r>
      <w:r w:rsidR="00B042C7">
        <w:rPr>
          <w:rFonts w:eastAsia="PMingLiU"/>
        </w:rPr>
        <w:t>no</w:t>
      </w:r>
      <w:r>
        <w:rPr>
          <w:rFonts w:eastAsia="PMingLiU"/>
        </w:rPr>
        <w:t xml:space="preserve"> special Commission meeting</w:t>
      </w:r>
      <w:r w:rsidR="00B042C7">
        <w:rPr>
          <w:rFonts w:eastAsia="PMingLiU"/>
        </w:rPr>
        <w:t>s</w:t>
      </w:r>
      <w:r>
        <w:rPr>
          <w:rFonts w:eastAsia="PMingLiU"/>
        </w:rPr>
        <w:t xml:space="preserve">).  Members of the Committee provided updates on the Audit and Risk Management Committee throughout the year.  </w:t>
      </w:r>
    </w:p>
    <w:p w14:paraId="5865ADE0" w14:textId="77777777" w:rsidR="002667DD" w:rsidRPr="008711E7" w:rsidRDefault="002667DD" w:rsidP="002667DD">
      <w:pPr>
        <w:rPr>
          <w:rFonts w:eastAsia="PMingLiU"/>
        </w:rPr>
      </w:pPr>
    </w:p>
    <w:p w14:paraId="4FCC597E" w14:textId="77777777" w:rsidR="002667DD" w:rsidRDefault="002667DD" w:rsidP="002667DD">
      <w:pPr>
        <w:rPr>
          <w:rFonts w:eastAsia="PMingLiU"/>
        </w:rPr>
      </w:pPr>
      <w:r w:rsidRPr="008711E7">
        <w:rPr>
          <w:rFonts w:eastAsia="PMingLiU"/>
        </w:rPr>
        <w:t xml:space="preserve">With a reliance on robust recruitment processes and performance appraisals, the Commission satisfies itself as to the quality of professional advice provided to it.  </w:t>
      </w:r>
    </w:p>
    <w:p w14:paraId="3FF251E3" w14:textId="77777777" w:rsidR="00F04493" w:rsidRDefault="00F04493" w:rsidP="002667DD">
      <w:pPr>
        <w:rPr>
          <w:rFonts w:eastAsia="PMingLiU"/>
          <w:b/>
        </w:rPr>
      </w:pPr>
    </w:p>
    <w:p w14:paraId="6D1E7386" w14:textId="77777777" w:rsidR="00B042C7" w:rsidRDefault="00B042C7" w:rsidP="002667DD">
      <w:pPr>
        <w:rPr>
          <w:rFonts w:eastAsia="PMingLiU"/>
          <w:b/>
        </w:rPr>
      </w:pPr>
    </w:p>
    <w:p w14:paraId="53874405" w14:textId="77777777" w:rsidR="00B042C7" w:rsidRDefault="00B042C7" w:rsidP="002667DD">
      <w:pPr>
        <w:rPr>
          <w:rFonts w:eastAsia="PMingLiU"/>
          <w:b/>
        </w:rPr>
      </w:pPr>
    </w:p>
    <w:p w14:paraId="19B93002" w14:textId="4239D6CD" w:rsidR="002667DD" w:rsidRDefault="002667DD" w:rsidP="002667DD">
      <w:pPr>
        <w:rPr>
          <w:rFonts w:eastAsia="PMingLiU"/>
          <w:b/>
        </w:rPr>
      </w:pPr>
      <w:r>
        <w:rPr>
          <w:rFonts w:eastAsia="PMingLiU"/>
          <w:b/>
        </w:rPr>
        <w:t>Commission’s Performance</w:t>
      </w:r>
    </w:p>
    <w:p w14:paraId="70738255" w14:textId="77777777" w:rsidR="002667DD" w:rsidRDefault="002667DD" w:rsidP="002667DD">
      <w:pPr>
        <w:rPr>
          <w:rFonts w:eastAsia="PMingLiU"/>
          <w:b/>
        </w:rPr>
      </w:pPr>
    </w:p>
    <w:p w14:paraId="1A5BED45" w14:textId="34FDE058" w:rsidR="002667DD" w:rsidRDefault="002667DD" w:rsidP="002667DD">
      <w:pPr>
        <w:rPr>
          <w:rFonts w:eastAsia="PMingLiU"/>
        </w:rPr>
      </w:pPr>
      <w:r>
        <w:rPr>
          <w:rFonts w:eastAsia="PMingLiU"/>
        </w:rPr>
        <w:t>Throughout 202</w:t>
      </w:r>
      <w:r w:rsidR="00B042C7">
        <w:rPr>
          <w:rFonts w:eastAsia="PMingLiU"/>
        </w:rPr>
        <w:t>3</w:t>
      </w:r>
      <w:r>
        <w:rPr>
          <w:rFonts w:eastAsia="PMingLiU"/>
        </w:rPr>
        <w:t>-2</w:t>
      </w:r>
      <w:r w:rsidR="00B042C7">
        <w:rPr>
          <w:rFonts w:eastAsia="PMingLiU"/>
        </w:rPr>
        <w:t>4</w:t>
      </w:r>
      <w:r>
        <w:rPr>
          <w:rFonts w:eastAsia="PMingLiU"/>
        </w:rPr>
        <w:t>, the Commission effectively discharged its statutory functions and duties.  In line with best practice, the operational procedures of the Commission and the quality of data used by the Commission is kept under continuous review to ensure that the Commission is content that it is provided with all requisite information to enable it to make informed decisions.</w:t>
      </w:r>
    </w:p>
    <w:p w14:paraId="53AA233E" w14:textId="77777777" w:rsidR="002667DD" w:rsidRDefault="002667DD" w:rsidP="002667DD">
      <w:pPr>
        <w:rPr>
          <w:rFonts w:eastAsia="PMingLiU"/>
        </w:rPr>
      </w:pPr>
    </w:p>
    <w:p w14:paraId="4116DDAF" w14:textId="15E3A523" w:rsidR="002667DD" w:rsidRDefault="002667DD" w:rsidP="002667DD">
      <w:r>
        <w:t xml:space="preserve">The Commission’s Strategic Plan for 2022-2025 was published in April 2022 and can be found on the Commission’s website at: </w:t>
      </w:r>
      <w:hyperlink r:id="rId31">
        <w:r w:rsidRPr="54F71CB4">
          <w:rPr>
            <w:rStyle w:val="Hyperlink"/>
          </w:rPr>
          <w:t>https://nihrc.org/publication/detail/strategic-plan-2022-2025</w:t>
        </w:r>
      </w:hyperlink>
    </w:p>
    <w:p w14:paraId="26A44481" w14:textId="77777777" w:rsidR="002667DD" w:rsidRDefault="002667DD" w:rsidP="002667DD">
      <w:pPr>
        <w:rPr>
          <w:rFonts w:eastAsia="PMingLiU"/>
        </w:rPr>
      </w:pPr>
    </w:p>
    <w:p w14:paraId="06E4E2B5" w14:textId="77777777" w:rsidR="002667DD" w:rsidRPr="00112AF2" w:rsidRDefault="002667DD" w:rsidP="002667DD">
      <w:pPr>
        <w:rPr>
          <w:bCs/>
          <w:noProof/>
          <w:lang w:eastAsia="en-GB"/>
        </w:rPr>
      </w:pPr>
      <w:r w:rsidRPr="00112AF2">
        <w:rPr>
          <w:rFonts w:cs="Arial"/>
          <w:b/>
        </w:rPr>
        <w:t xml:space="preserve">Risk management and control </w:t>
      </w:r>
    </w:p>
    <w:p w14:paraId="15D9E511" w14:textId="77777777" w:rsidR="002667DD" w:rsidRPr="00112AF2" w:rsidRDefault="002667DD" w:rsidP="002667DD">
      <w:pPr>
        <w:autoSpaceDE w:val="0"/>
        <w:autoSpaceDN w:val="0"/>
        <w:adjustRightInd w:val="0"/>
        <w:rPr>
          <w:rFonts w:cs="Arial"/>
          <w:b/>
        </w:rPr>
      </w:pPr>
    </w:p>
    <w:p w14:paraId="63357033" w14:textId="444E8697" w:rsidR="002667DD" w:rsidRPr="00422EEA" w:rsidRDefault="002667DD" w:rsidP="002667DD">
      <w:pPr>
        <w:autoSpaceDE w:val="0"/>
        <w:autoSpaceDN w:val="0"/>
        <w:adjustRightInd w:val="0"/>
        <w:rPr>
          <w:rFonts w:cs="Arial"/>
          <w:highlight w:val="yellow"/>
        </w:rPr>
      </w:pPr>
      <w:r w:rsidRPr="00673894">
        <w:rPr>
          <w:rFonts w:cs="Arial"/>
        </w:rP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Commission’s policies, aims and objectives, to evaluate the likelihood of those risks being realised and the impact should they be realised, and to manage them efficiently, effectively and economically.  The system of internal control has been in place in the Commission </w:t>
      </w:r>
      <w:r>
        <w:rPr>
          <w:rFonts w:cs="Arial"/>
        </w:rPr>
        <w:t>for the year ended 31 March 202</w:t>
      </w:r>
      <w:r w:rsidR="004A19D3">
        <w:rPr>
          <w:rFonts w:cs="Arial"/>
        </w:rPr>
        <w:t>4</w:t>
      </w:r>
      <w:r w:rsidRPr="00673894">
        <w:rPr>
          <w:rFonts w:cs="Arial"/>
        </w:rPr>
        <w:t xml:space="preserve"> and up to the date of approval of the annual report and </w:t>
      </w:r>
      <w:proofErr w:type="gramStart"/>
      <w:r w:rsidRPr="00673894">
        <w:rPr>
          <w:rFonts w:cs="Arial"/>
        </w:rPr>
        <w:t>accounts, and</w:t>
      </w:r>
      <w:proofErr w:type="gramEnd"/>
      <w:r w:rsidRPr="00673894">
        <w:rPr>
          <w:rFonts w:cs="Arial"/>
        </w:rPr>
        <w:t xml:space="preserve"> accords with Treasury guidance. </w:t>
      </w:r>
    </w:p>
    <w:p w14:paraId="141E491E" w14:textId="77777777" w:rsidR="002667DD" w:rsidRPr="00422EEA" w:rsidRDefault="002667DD" w:rsidP="002667DD">
      <w:pPr>
        <w:rPr>
          <w:highlight w:val="yellow"/>
        </w:rPr>
      </w:pPr>
    </w:p>
    <w:p w14:paraId="68E7CFA6" w14:textId="77777777" w:rsidR="002667DD" w:rsidRPr="00673894" w:rsidRDefault="002667DD" w:rsidP="002667DD">
      <w:pPr>
        <w:widowControl w:val="0"/>
        <w:tabs>
          <w:tab w:val="left" w:pos="8535"/>
        </w:tabs>
        <w:autoSpaceDE w:val="0"/>
        <w:autoSpaceDN w:val="0"/>
        <w:adjustRightInd w:val="0"/>
      </w:pPr>
      <w:r w:rsidRPr="00673894">
        <w:t xml:space="preserve">The Commission’s risk management framework involves Commissioners and staff in reviewing and assessing risk on a regular basis, so that risk is an integral part of the ongoing planning and monitoring processes of the Commission.  </w:t>
      </w:r>
    </w:p>
    <w:p w14:paraId="201605A6" w14:textId="77777777" w:rsidR="002667DD" w:rsidRPr="00673894" w:rsidRDefault="002667DD" w:rsidP="002667DD">
      <w:pPr>
        <w:widowControl w:val="0"/>
        <w:tabs>
          <w:tab w:val="left" w:pos="8535"/>
        </w:tabs>
        <w:autoSpaceDE w:val="0"/>
        <w:autoSpaceDN w:val="0"/>
        <w:adjustRightInd w:val="0"/>
      </w:pPr>
    </w:p>
    <w:p w14:paraId="07E36BD4" w14:textId="77777777" w:rsidR="002667DD" w:rsidRPr="00673894" w:rsidRDefault="002667DD" w:rsidP="002667DD">
      <w:pPr>
        <w:widowControl w:val="0"/>
        <w:tabs>
          <w:tab w:val="left" w:pos="8535"/>
        </w:tabs>
        <w:autoSpaceDE w:val="0"/>
        <w:autoSpaceDN w:val="0"/>
        <w:adjustRightInd w:val="0"/>
      </w:pPr>
      <w:r w:rsidRPr="00673894">
        <w:t>The Chairperson of the Commission’s Audit and Risk Management Committee, who is independent of the Commission, also provides an additional source of expertise for management and Commissioners to consult on specific issues as they arise.</w:t>
      </w:r>
    </w:p>
    <w:p w14:paraId="3AAC522C" w14:textId="77777777" w:rsidR="002667DD" w:rsidRPr="00673894" w:rsidRDefault="002667DD" w:rsidP="002667DD">
      <w:pPr>
        <w:rPr>
          <w:rFonts w:cs="Arial"/>
          <w:bCs/>
        </w:rPr>
      </w:pPr>
    </w:p>
    <w:p w14:paraId="7FD937A0" w14:textId="77777777" w:rsidR="002667DD" w:rsidRPr="00673894" w:rsidRDefault="002667DD" w:rsidP="002667DD">
      <w:pPr>
        <w:rPr>
          <w:rFonts w:cs="Arial"/>
          <w:bCs/>
        </w:rPr>
      </w:pPr>
      <w:r w:rsidRPr="00673894">
        <w:rPr>
          <w:rFonts w:cs="Arial"/>
          <w:bCs/>
        </w:rPr>
        <w:t>The Commission has a continuous, proactive and systematic approach to understand, manage and communicate risk across the organisation.  The risk management framework is comprehensive and involves Commissioners, managers and staff as follows:</w:t>
      </w:r>
    </w:p>
    <w:p w14:paraId="4B37E691" w14:textId="77777777" w:rsidR="002667DD" w:rsidRPr="00673894" w:rsidRDefault="002667DD" w:rsidP="002667DD">
      <w:pPr>
        <w:rPr>
          <w:snapToGrid w:val="0"/>
        </w:rPr>
      </w:pPr>
    </w:p>
    <w:p w14:paraId="3A9522D1" w14:textId="77777777" w:rsidR="002667DD" w:rsidRPr="00673894" w:rsidRDefault="002667DD" w:rsidP="002667DD">
      <w:pPr>
        <w:numPr>
          <w:ilvl w:val="0"/>
          <w:numId w:val="6"/>
        </w:numPr>
        <w:ind w:left="426" w:hanging="426"/>
        <w:rPr>
          <w:snapToGrid w:val="0"/>
        </w:rPr>
      </w:pPr>
      <w:r w:rsidRPr="00673894">
        <w:rPr>
          <w:snapToGrid w:val="0"/>
        </w:rPr>
        <w:t xml:space="preserve">overall responsibility for ensuring that risks are </w:t>
      </w:r>
      <w:proofErr w:type="gramStart"/>
      <w:r w:rsidRPr="00673894">
        <w:rPr>
          <w:snapToGrid w:val="0"/>
        </w:rPr>
        <w:t>identified</w:t>
      </w:r>
      <w:proofErr w:type="gramEnd"/>
      <w:r w:rsidRPr="00673894">
        <w:rPr>
          <w:snapToGrid w:val="0"/>
        </w:rPr>
        <w:t xml:space="preserve"> and an appropriate framework is in place to manage those risks down to an acceptable level rests with the Commission’s Accounting Officer</w:t>
      </w:r>
    </w:p>
    <w:p w14:paraId="0665731D" w14:textId="77777777" w:rsidR="002667DD" w:rsidRPr="00673894" w:rsidRDefault="002667DD" w:rsidP="002667DD">
      <w:pPr>
        <w:ind w:left="426" w:hanging="426"/>
        <w:rPr>
          <w:snapToGrid w:val="0"/>
        </w:rPr>
      </w:pPr>
    </w:p>
    <w:p w14:paraId="7CFDC213" w14:textId="77777777" w:rsidR="002667DD" w:rsidRPr="00673894" w:rsidRDefault="002667DD" w:rsidP="002667DD">
      <w:pPr>
        <w:numPr>
          <w:ilvl w:val="0"/>
          <w:numId w:val="6"/>
        </w:numPr>
        <w:ind w:left="426" w:hanging="426"/>
        <w:rPr>
          <w:snapToGrid w:val="0"/>
        </w:rPr>
      </w:pPr>
      <w:r w:rsidRPr="00673894">
        <w:rPr>
          <w:snapToGrid w:val="0"/>
        </w:rPr>
        <w:t xml:space="preserve">individual members of staff can be nominated as ‘risk owners’ delegated with responsibility from the Chief Executive for monitoring and reporting on specific risks within their area of work </w:t>
      </w:r>
      <w:r w:rsidRPr="00673894">
        <w:rPr>
          <w:snapToGrid w:val="0"/>
        </w:rPr>
        <w:br/>
      </w:r>
    </w:p>
    <w:p w14:paraId="2E0B48FE" w14:textId="77777777" w:rsidR="002667DD" w:rsidRPr="00673894" w:rsidRDefault="002667DD" w:rsidP="002667DD">
      <w:pPr>
        <w:numPr>
          <w:ilvl w:val="0"/>
          <w:numId w:val="6"/>
        </w:numPr>
        <w:ind w:left="426" w:hanging="426"/>
        <w:rPr>
          <w:snapToGrid w:val="0"/>
        </w:rPr>
      </w:pPr>
      <w:r w:rsidRPr="00673894">
        <w:rPr>
          <w:snapToGrid w:val="0"/>
        </w:rPr>
        <w:t xml:space="preserve">the risk register, and the effectiveness of activities to manage identified risks, is reviewed by the </w:t>
      </w:r>
      <w:r>
        <w:rPr>
          <w:snapToGrid w:val="0"/>
        </w:rPr>
        <w:t xml:space="preserve">Senior </w:t>
      </w:r>
      <w:r w:rsidRPr="00673894">
        <w:rPr>
          <w:snapToGrid w:val="0"/>
        </w:rPr>
        <w:t>Management Team</w:t>
      </w:r>
    </w:p>
    <w:p w14:paraId="01FBF5F2" w14:textId="77777777" w:rsidR="002667DD" w:rsidRPr="00422EEA" w:rsidRDefault="002667DD" w:rsidP="002667DD">
      <w:pPr>
        <w:ind w:left="426" w:hanging="426"/>
        <w:rPr>
          <w:snapToGrid w:val="0"/>
          <w:highlight w:val="yellow"/>
        </w:rPr>
      </w:pPr>
    </w:p>
    <w:p w14:paraId="3A16E4D6" w14:textId="77777777" w:rsidR="002667DD" w:rsidRPr="00673894" w:rsidRDefault="002667DD" w:rsidP="002667DD">
      <w:pPr>
        <w:numPr>
          <w:ilvl w:val="0"/>
          <w:numId w:val="6"/>
        </w:numPr>
        <w:ind w:left="426" w:hanging="426"/>
        <w:rPr>
          <w:snapToGrid w:val="0"/>
        </w:rPr>
      </w:pPr>
      <w:r w:rsidRPr="00673894">
        <w:rPr>
          <w:snapToGrid w:val="0"/>
        </w:rPr>
        <w:t>the Audit and Risk Management Committee, which ordinarily meets quarterly, reviews the risk register and reports to the Commission, through the Chief Executive, on the effectiveness of activities to manage identified risks following each meeting</w:t>
      </w:r>
    </w:p>
    <w:p w14:paraId="1B55A7C2" w14:textId="77777777" w:rsidR="002667DD" w:rsidRPr="00673894" w:rsidRDefault="002667DD" w:rsidP="002667DD">
      <w:pPr>
        <w:ind w:left="426" w:hanging="426"/>
        <w:rPr>
          <w:snapToGrid w:val="0"/>
        </w:rPr>
      </w:pPr>
    </w:p>
    <w:p w14:paraId="401188EE" w14:textId="77777777" w:rsidR="002667DD" w:rsidRPr="00673894" w:rsidRDefault="002667DD" w:rsidP="002667DD">
      <w:pPr>
        <w:pStyle w:val="ListParagraph"/>
        <w:numPr>
          <w:ilvl w:val="1"/>
          <w:numId w:val="6"/>
        </w:numPr>
        <w:tabs>
          <w:tab w:val="left" w:pos="709"/>
        </w:tabs>
        <w:ind w:left="426" w:hanging="426"/>
        <w:rPr>
          <w:snapToGrid w:val="0"/>
        </w:rPr>
      </w:pPr>
      <w:r w:rsidRPr="00673894">
        <w:rPr>
          <w:snapToGrid w:val="0"/>
        </w:rPr>
        <w:t xml:space="preserve">the </w:t>
      </w:r>
      <w:r>
        <w:rPr>
          <w:snapToGrid w:val="0"/>
        </w:rPr>
        <w:t>Committee</w:t>
      </w:r>
      <w:r w:rsidRPr="00673894">
        <w:rPr>
          <w:snapToGrid w:val="0"/>
        </w:rPr>
        <w:t xml:space="preserve"> reviews the risk register and the effectiveness of the risk management framework </w:t>
      </w:r>
      <w:r w:rsidRPr="00673894">
        <w:rPr>
          <w:snapToGrid w:val="0"/>
        </w:rPr>
        <w:br/>
      </w:r>
    </w:p>
    <w:p w14:paraId="7BBEE8ED" w14:textId="77777777" w:rsidR="002667DD" w:rsidRPr="00673894" w:rsidRDefault="002667DD" w:rsidP="002667DD">
      <w:pPr>
        <w:widowControl w:val="0"/>
        <w:numPr>
          <w:ilvl w:val="0"/>
          <w:numId w:val="6"/>
        </w:numPr>
        <w:tabs>
          <w:tab w:val="left" w:pos="709"/>
          <w:tab w:val="left" w:pos="8535"/>
        </w:tabs>
        <w:autoSpaceDE w:val="0"/>
        <w:autoSpaceDN w:val="0"/>
        <w:adjustRightInd w:val="0"/>
        <w:ind w:left="426" w:hanging="426"/>
      </w:pPr>
      <w:r w:rsidRPr="00673894">
        <w:rPr>
          <w:snapToGrid w:val="0"/>
        </w:rPr>
        <w:t>the external environment is assessed for any opportunistic new risks as part of the annual business planning process and in addition for the new strategic plan</w:t>
      </w:r>
      <w:r w:rsidRPr="00673894">
        <w:rPr>
          <w:snapToGrid w:val="0"/>
        </w:rPr>
        <w:br/>
      </w:r>
    </w:p>
    <w:p w14:paraId="65FABD76" w14:textId="77777777" w:rsidR="002667DD" w:rsidRPr="00673894" w:rsidRDefault="002667DD" w:rsidP="002667DD">
      <w:pPr>
        <w:widowControl w:val="0"/>
        <w:numPr>
          <w:ilvl w:val="0"/>
          <w:numId w:val="6"/>
        </w:numPr>
        <w:tabs>
          <w:tab w:val="left" w:pos="709"/>
          <w:tab w:val="left" w:pos="8535"/>
        </w:tabs>
        <w:autoSpaceDE w:val="0"/>
        <w:autoSpaceDN w:val="0"/>
        <w:adjustRightInd w:val="0"/>
        <w:ind w:left="426" w:hanging="426"/>
      </w:pPr>
      <w:r w:rsidRPr="00673894">
        <w:t>information risk is managed by the Commission within the context of the risk management framework.  The Commission seeks to manage down the likelihood of the risk materialising through an Information Assurance Policy and Information and Communications Technology (ICT) policies and procedures, supported by training for staff on these.</w:t>
      </w:r>
      <w:r w:rsidRPr="00673894">
        <w:br/>
      </w:r>
    </w:p>
    <w:p w14:paraId="5F435153" w14:textId="77777777" w:rsidR="002667DD" w:rsidRPr="00673894" w:rsidRDefault="002667DD" w:rsidP="002667DD">
      <w:pPr>
        <w:widowControl w:val="0"/>
        <w:tabs>
          <w:tab w:val="left" w:pos="709"/>
          <w:tab w:val="left" w:pos="8535"/>
        </w:tabs>
        <w:autoSpaceDE w:val="0"/>
        <w:autoSpaceDN w:val="0"/>
        <w:adjustRightInd w:val="0"/>
      </w:pPr>
      <w:r w:rsidRPr="00673894">
        <w:t>The Commission has liaised closely with the NIO network to ensure compliance.  Commissioners and staff also complete annual information assurance e-learning courses.</w:t>
      </w:r>
    </w:p>
    <w:p w14:paraId="3493C7DA" w14:textId="77777777" w:rsidR="002667DD" w:rsidRPr="00422EEA" w:rsidRDefault="002667DD" w:rsidP="002667DD">
      <w:pPr>
        <w:autoSpaceDE w:val="0"/>
        <w:autoSpaceDN w:val="0"/>
        <w:adjustRightInd w:val="0"/>
        <w:rPr>
          <w:rFonts w:cs="Arial"/>
          <w:highlight w:val="yellow"/>
        </w:rPr>
      </w:pPr>
      <w:r w:rsidRPr="00422EEA">
        <w:rPr>
          <w:rFonts w:cs="Arial"/>
          <w:highlight w:val="yellow"/>
        </w:rPr>
        <w:t xml:space="preserve"> </w:t>
      </w:r>
    </w:p>
    <w:p w14:paraId="2466C2D9" w14:textId="4F31888D" w:rsidR="002667DD" w:rsidRDefault="002667DD" w:rsidP="002667DD">
      <w:pPr>
        <w:autoSpaceDE w:val="0"/>
        <w:autoSpaceDN w:val="0"/>
        <w:adjustRightInd w:val="0"/>
        <w:rPr>
          <w:rFonts w:cs="Arial"/>
        </w:rPr>
      </w:pPr>
      <w:proofErr w:type="gramStart"/>
      <w:r w:rsidRPr="00673894">
        <w:rPr>
          <w:rFonts w:cs="Arial"/>
        </w:rPr>
        <w:t>During the course of</w:t>
      </w:r>
      <w:proofErr w:type="gramEnd"/>
      <w:r w:rsidRPr="00673894">
        <w:rPr>
          <w:rFonts w:cs="Arial"/>
        </w:rPr>
        <w:t xml:space="preserve"> 202</w:t>
      </w:r>
      <w:r w:rsidR="004A19D3">
        <w:rPr>
          <w:rFonts w:cs="Arial"/>
        </w:rPr>
        <w:t>3</w:t>
      </w:r>
      <w:r>
        <w:rPr>
          <w:rFonts w:cs="Arial"/>
        </w:rPr>
        <w:t>-2</w:t>
      </w:r>
      <w:r w:rsidR="004A19D3">
        <w:rPr>
          <w:rFonts w:cs="Arial"/>
        </w:rPr>
        <w:t>4</w:t>
      </w:r>
      <w:r w:rsidRPr="00673894">
        <w:rPr>
          <w:rFonts w:cs="Arial"/>
        </w:rPr>
        <w:t xml:space="preserve">, the main risks </w:t>
      </w:r>
      <w:r>
        <w:rPr>
          <w:rFonts w:cs="Arial"/>
        </w:rPr>
        <w:t xml:space="preserve">faced by the Commission </w:t>
      </w:r>
      <w:r w:rsidRPr="00673894">
        <w:rPr>
          <w:rFonts w:cs="Arial"/>
        </w:rPr>
        <w:t>were</w:t>
      </w:r>
      <w:r>
        <w:rPr>
          <w:rFonts w:cs="Arial"/>
        </w:rPr>
        <w:t>:</w:t>
      </w:r>
    </w:p>
    <w:p w14:paraId="154DD1B5" w14:textId="77777777" w:rsidR="002667DD" w:rsidRDefault="002667DD" w:rsidP="002667DD">
      <w:pPr>
        <w:autoSpaceDE w:val="0"/>
        <w:autoSpaceDN w:val="0"/>
        <w:adjustRightInd w:val="0"/>
        <w:rPr>
          <w:rFonts w:cs="Arial"/>
        </w:rPr>
      </w:pPr>
    </w:p>
    <w:p w14:paraId="6572BC2E" w14:textId="18F1F6EB" w:rsidR="002667DD" w:rsidRDefault="002667DD" w:rsidP="002667DD">
      <w:pPr>
        <w:pStyle w:val="ListParagraph"/>
        <w:numPr>
          <w:ilvl w:val="0"/>
          <w:numId w:val="18"/>
        </w:numPr>
        <w:autoSpaceDE w:val="0"/>
        <w:autoSpaceDN w:val="0"/>
        <w:adjustRightInd w:val="0"/>
        <w:rPr>
          <w:rFonts w:cs="Arial"/>
        </w:rPr>
      </w:pPr>
      <w:r w:rsidRPr="54F71CB4">
        <w:rPr>
          <w:rFonts w:cs="Arial"/>
        </w:rPr>
        <w:t>the deferral of the Commission’s reaccreditation as an ‘A’ status National Human Rights Institution</w:t>
      </w:r>
      <w:r w:rsidR="6898AD46" w:rsidRPr="54F71CB4">
        <w:rPr>
          <w:rFonts w:cs="Arial"/>
        </w:rPr>
        <w:t xml:space="preserve"> (this was successfully resolved in November 2023)</w:t>
      </w:r>
      <w:r w:rsidRPr="54F71CB4">
        <w:rPr>
          <w:rFonts w:cs="Arial"/>
        </w:rPr>
        <w:t xml:space="preserve">; and </w:t>
      </w:r>
    </w:p>
    <w:p w14:paraId="7DAA3016" w14:textId="77777777" w:rsidR="002667DD" w:rsidRDefault="002667DD" w:rsidP="002667DD">
      <w:pPr>
        <w:pStyle w:val="ListParagraph"/>
        <w:numPr>
          <w:ilvl w:val="0"/>
          <w:numId w:val="18"/>
        </w:numPr>
        <w:rPr>
          <w:rFonts w:cs="Arial"/>
          <w:color w:val="000000" w:themeColor="text1"/>
        </w:rPr>
      </w:pPr>
      <w:r w:rsidRPr="54F71CB4">
        <w:rPr>
          <w:rFonts w:cs="Arial"/>
          <w:color w:val="000000" w:themeColor="text1"/>
        </w:rPr>
        <w:t>ability to fulfil its statutory duties and exercise powers due to limited budget</w:t>
      </w:r>
    </w:p>
    <w:p w14:paraId="0503B41B" w14:textId="77777777" w:rsidR="002667DD" w:rsidRDefault="002667DD" w:rsidP="002667DD">
      <w:pPr>
        <w:pStyle w:val="CommentText"/>
        <w:rPr>
          <w:rFonts w:cs="Arial"/>
          <w:sz w:val="24"/>
          <w:szCs w:val="24"/>
        </w:rPr>
      </w:pPr>
    </w:p>
    <w:p w14:paraId="7A2129E0" w14:textId="5BCF51D6" w:rsidR="002667DD" w:rsidRPr="00F931C1" w:rsidRDefault="002667DD" w:rsidP="002667DD">
      <w:pPr>
        <w:pStyle w:val="CommentText"/>
        <w:rPr>
          <w:sz w:val="24"/>
          <w:szCs w:val="24"/>
        </w:rPr>
      </w:pPr>
      <w:r w:rsidRPr="54F71CB4">
        <w:rPr>
          <w:rFonts w:cs="Arial"/>
          <w:sz w:val="24"/>
          <w:szCs w:val="24"/>
        </w:rPr>
        <w:t>In addition to the mechanisms outlined above, as Accounting Officer, I have responsibility for ensuring the effectiveness of the system of internal control.  Reviewing the effectiveness of the system of internal control is informed by the work of the internal auditors, and comments made by the external auditors in their management letter and other reports.  The</w:t>
      </w:r>
      <w:r w:rsidRPr="54F71CB4">
        <w:rPr>
          <w:sz w:val="24"/>
          <w:szCs w:val="24"/>
        </w:rPr>
        <w:t xml:space="preserve"> Commission Board continued to receive monthly financial reports for scrutiny at each of its meetings, which were presented by the Chief Executive and the Director (Finance, Personnel and Corporate Affairs).  Any corporate issues of concern were also brought to the Commission Board for discussion and approval.   The Commission’s own management controls such as its financial management procedures and the appointment of an Independent Chair to the Audit and Risk Management Committee, ensured that the Commission continued to operate throughout the period without any significant concerns being identified.  </w:t>
      </w:r>
      <w:r w:rsidRPr="54F71CB4">
        <w:rPr>
          <w:rFonts w:cs="Arial"/>
          <w:sz w:val="24"/>
          <w:szCs w:val="24"/>
        </w:rPr>
        <w:t>I have been advised on the effectiveness of the system of internal control by the Commission (the Board), the Audit and Risk Management Committee and a plan to address identified weaknesses and ensure continuous improvement of the system is in place.</w:t>
      </w:r>
      <w:r w:rsidRPr="54F71CB4">
        <w:rPr>
          <w:rFonts w:cs="Arial"/>
        </w:rPr>
        <w:t xml:space="preserve"> </w:t>
      </w:r>
    </w:p>
    <w:p w14:paraId="179ABD40" w14:textId="77777777" w:rsidR="002667DD" w:rsidRDefault="002667DD" w:rsidP="002667DD">
      <w:pPr>
        <w:pStyle w:val="Default"/>
        <w:rPr>
          <w:rFonts w:ascii="Verdana" w:hAnsi="Verdana"/>
          <w:b/>
        </w:rPr>
      </w:pPr>
    </w:p>
    <w:p w14:paraId="59918CB8" w14:textId="7D574263" w:rsidR="002667DD" w:rsidRDefault="002667DD" w:rsidP="002667DD">
      <w:pPr>
        <w:pStyle w:val="Default"/>
        <w:rPr>
          <w:rFonts w:ascii="Verdana" w:hAnsi="Verdana"/>
          <w:b/>
        </w:rPr>
      </w:pPr>
      <w:r>
        <w:rPr>
          <w:rFonts w:ascii="Verdana" w:hAnsi="Verdana"/>
          <w:b/>
        </w:rPr>
        <w:t>Review of effectiveness</w:t>
      </w:r>
    </w:p>
    <w:p w14:paraId="3FD0459C" w14:textId="77777777" w:rsidR="002667DD" w:rsidRDefault="002667DD" w:rsidP="002667DD">
      <w:pPr>
        <w:pStyle w:val="Default"/>
        <w:rPr>
          <w:rFonts w:ascii="Verdana" w:hAnsi="Verdana"/>
          <w:b/>
        </w:rPr>
      </w:pPr>
    </w:p>
    <w:p w14:paraId="340B588D" w14:textId="77777777" w:rsidR="002667DD" w:rsidRDefault="002667DD" w:rsidP="002667DD">
      <w:pPr>
        <w:pStyle w:val="Default"/>
        <w:rPr>
          <w:rFonts w:ascii="Verdana" w:hAnsi="Verdana"/>
        </w:rPr>
      </w:pPr>
      <w:r w:rsidRPr="008711E7">
        <w:rPr>
          <w:rFonts w:ascii="Verdana" w:hAnsi="Verdana"/>
        </w:rPr>
        <w:t xml:space="preserve">The Audit and Risk Management Committee reviews the effectiveness of the Commission’s internal control mechanisms, including receiving and approving internal audit plans and reports, approving the Commission’s Financial Procedures Manual and </w:t>
      </w:r>
      <w:r>
        <w:rPr>
          <w:rFonts w:ascii="Verdana" w:hAnsi="Verdana"/>
        </w:rPr>
        <w:t xml:space="preserve">any </w:t>
      </w:r>
      <w:r w:rsidRPr="008711E7">
        <w:rPr>
          <w:rFonts w:ascii="Verdana" w:hAnsi="Verdana"/>
        </w:rPr>
        <w:t xml:space="preserve">significant changes to it. The Committee also oversees the risk management framework and reporting to the Commission on the effectiveness of activities to manage the occurrence or impact of identified risks. The Committee furthermore reviews all international travel undertaken by Commissioners and staff, expenses </w:t>
      </w:r>
      <w:proofErr w:type="gramStart"/>
      <w:r w:rsidRPr="008711E7">
        <w:rPr>
          <w:rFonts w:ascii="Verdana" w:hAnsi="Verdana"/>
        </w:rPr>
        <w:t>claims</w:t>
      </w:r>
      <w:proofErr w:type="gramEnd"/>
      <w:r w:rsidRPr="008711E7">
        <w:rPr>
          <w:rFonts w:ascii="Verdana" w:hAnsi="Verdana"/>
        </w:rPr>
        <w:t xml:space="preserve"> submitted by the Chief Commissioner and the </w:t>
      </w:r>
      <w:r>
        <w:rPr>
          <w:rFonts w:ascii="Verdana" w:hAnsi="Verdana"/>
        </w:rPr>
        <w:t>Chief Executive</w:t>
      </w:r>
      <w:r w:rsidRPr="008711E7">
        <w:rPr>
          <w:rFonts w:ascii="Verdana" w:hAnsi="Verdana"/>
        </w:rPr>
        <w:t xml:space="preserve">, and purchases over £1,000, with a particular focus on any contracts let by single tender action. As an additional reputational safeguard, the Chair of the Committee discharges the role of </w:t>
      </w:r>
      <w:proofErr w:type="spellStart"/>
      <w:r w:rsidRPr="008711E7">
        <w:rPr>
          <w:rFonts w:ascii="Verdana" w:hAnsi="Verdana"/>
        </w:rPr>
        <w:t>Authorising</w:t>
      </w:r>
      <w:proofErr w:type="spellEnd"/>
      <w:r w:rsidRPr="008711E7">
        <w:rPr>
          <w:rFonts w:ascii="Verdana" w:hAnsi="Verdana"/>
        </w:rPr>
        <w:t xml:space="preserve"> Officer for the Chief Commissioner’s travel and expenses claims.</w:t>
      </w:r>
    </w:p>
    <w:p w14:paraId="3250DBC3" w14:textId="77777777" w:rsidR="002667DD" w:rsidRDefault="002667DD" w:rsidP="002667DD">
      <w:pPr>
        <w:pStyle w:val="Default"/>
        <w:rPr>
          <w:rFonts w:ascii="Verdana" w:hAnsi="Verdana"/>
        </w:rPr>
      </w:pPr>
    </w:p>
    <w:p w14:paraId="630B86B4" w14:textId="6ED5C327" w:rsidR="002667DD" w:rsidRPr="008711E7" w:rsidRDefault="002667DD" w:rsidP="002667DD">
      <w:pPr>
        <w:pStyle w:val="Default"/>
        <w:rPr>
          <w:rFonts w:ascii="Verdana" w:hAnsi="Verdana"/>
        </w:rPr>
      </w:pPr>
      <w:r>
        <w:rPr>
          <w:rFonts w:ascii="Verdana" w:hAnsi="Verdana"/>
        </w:rPr>
        <w:t xml:space="preserve">The Chief Commissioner, all senior management and staff completed Civil Service Mandatory training on Security and Data Protection; Civil Service Expectations; and Health and Safety. </w:t>
      </w:r>
    </w:p>
    <w:p w14:paraId="4C3B9071" w14:textId="77777777" w:rsidR="002667DD" w:rsidRPr="008711E7" w:rsidRDefault="002667DD" w:rsidP="002667DD">
      <w:pPr>
        <w:pStyle w:val="Default"/>
        <w:rPr>
          <w:rFonts w:ascii="Verdana" w:hAnsi="Verdana"/>
        </w:rPr>
      </w:pPr>
    </w:p>
    <w:p w14:paraId="24210BDB" w14:textId="77777777" w:rsidR="002667DD" w:rsidRDefault="002667DD" w:rsidP="002667DD">
      <w:pPr>
        <w:pStyle w:val="Default"/>
        <w:rPr>
          <w:rFonts w:ascii="Verdana" w:hAnsi="Verdana"/>
        </w:rPr>
      </w:pPr>
      <w:r w:rsidRPr="008711E7">
        <w:rPr>
          <w:rFonts w:ascii="Verdana" w:hAnsi="Verdana"/>
        </w:rPr>
        <w:t xml:space="preserve">The Committee contributed an audit, risk management and value perspective to the development of the Commission’s strategic and business plans, and of its policies across a range of issues including </w:t>
      </w:r>
      <w:r>
        <w:rPr>
          <w:rFonts w:ascii="Verdana" w:hAnsi="Verdana"/>
        </w:rPr>
        <w:t>managing difficult members of the public</w:t>
      </w:r>
      <w:r w:rsidRPr="008711E7">
        <w:rPr>
          <w:rFonts w:ascii="Verdana" w:hAnsi="Verdana"/>
        </w:rPr>
        <w:t>.</w:t>
      </w:r>
    </w:p>
    <w:p w14:paraId="22D08B01" w14:textId="77777777" w:rsidR="002667DD" w:rsidRDefault="002667DD" w:rsidP="002667DD">
      <w:pPr>
        <w:pStyle w:val="Default"/>
        <w:rPr>
          <w:rFonts w:ascii="Verdana" w:hAnsi="Verdana"/>
        </w:rPr>
      </w:pPr>
    </w:p>
    <w:p w14:paraId="357172EA" w14:textId="77777777" w:rsidR="002667DD" w:rsidRDefault="002667DD" w:rsidP="002667DD">
      <w:pPr>
        <w:pStyle w:val="Default"/>
        <w:rPr>
          <w:rFonts w:ascii="Verdana" w:hAnsi="Verdana"/>
          <w:b/>
        </w:rPr>
      </w:pPr>
      <w:r>
        <w:rPr>
          <w:rFonts w:ascii="Verdana" w:hAnsi="Verdana"/>
          <w:b/>
        </w:rPr>
        <w:t xml:space="preserve">Internal Auditors </w:t>
      </w:r>
    </w:p>
    <w:p w14:paraId="5C5254C5" w14:textId="77777777" w:rsidR="002667DD" w:rsidRDefault="002667DD" w:rsidP="002667DD">
      <w:pPr>
        <w:pStyle w:val="Default"/>
        <w:rPr>
          <w:rFonts w:ascii="Verdana" w:hAnsi="Verdana"/>
          <w:b/>
        </w:rPr>
      </w:pPr>
    </w:p>
    <w:p w14:paraId="4555D3E4" w14:textId="77777777" w:rsidR="00EC3BB7" w:rsidRDefault="00687488" w:rsidP="002667DD">
      <w:pPr>
        <w:pStyle w:val="Default"/>
        <w:rPr>
          <w:rFonts w:ascii="Verdana" w:hAnsi="Verdana"/>
        </w:rPr>
      </w:pPr>
      <w:r>
        <w:rPr>
          <w:rFonts w:ascii="Verdana" w:hAnsi="Verdana"/>
        </w:rPr>
        <w:t xml:space="preserve">The primary role </w:t>
      </w:r>
      <w:r w:rsidR="009871E3">
        <w:rPr>
          <w:rFonts w:ascii="Verdana" w:hAnsi="Verdana"/>
        </w:rPr>
        <w:t xml:space="preserve">of Internal Audit is to provide the Accounting Officer and the Commission Board with an independent and objective opinion on risk management, control and governance by measuring and evaluating their effectiveness in achieving the </w:t>
      </w:r>
      <w:proofErr w:type="spellStart"/>
      <w:r w:rsidR="009871E3">
        <w:rPr>
          <w:rFonts w:ascii="Verdana" w:hAnsi="Verdana"/>
        </w:rPr>
        <w:t>organi</w:t>
      </w:r>
      <w:r w:rsidR="00EC3BB7">
        <w:rPr>
          <w:rFonts w:ascii="Verdana" w:hAnsi="Verdana"/>
        </w:rPr>
        <w:t>sation’s</w:t>
      </w:r>
      <w:proofErr w:type="spellEnd"/>
      <w:r w:rsidR="00EC3BB7">
        <w:rPr>
          <w:rFonts w:ascii="Verdana" w:hAnsi="Verdana"/>
        </w:rPr>
        <w:t xml:space="preserve"> objectives. </w:t>
      </w:r>
    </w:p>
    <w:p w14:paraId="2EF9DC6F" w14:textId="77777777" w:rsidR="00EC3BB7" w:rsidRDefault="00EC3BB7" w:rsidP="002667DD">
      <w:pPr>
        <w:pStyle w:val="Default"/>
        <w:rPr>
          <w:rFonts w:ascii="Verdana" w:hAnsi="Verdana"/>
        </w:rPr>
      </w:pPr>
    </w:p>
    <w:p w14:paraId="5D8AFAA2" w14:textId="6D444B2A" w:rsidR="002667DD" w:rsidRDefault="002667DD" w:rsidP="002667DD">
      <w:pPr>
        <w:pStyle w:val="Default"/>
        <w:rPr>
          <w:rFonts w:ascii="Verdana" w:hAnsi="Verdana"/>
        </w:rPr>
      </w:pPr>
      <w:r w:rsidRPr="3285EAFF">
        <w:rPr>
          <w:rFonts w:ascii="Verdana" w:hAnsi="Verdana"/>
        </w:rPr>
        <w:t xml:space="preserve">Through a tender process ASM </w:t>
      </w:r>
      <w:r>
        <w:rPr>
          <w:rFonts w:ascii="Verdana" w:hAnsi="Verdana"/>
        </w:rPr>
        <w:t xml:space="preserve">(Belfast) </w:t>
      </w:r>
      <w:r w:rsidRPr="3285EAFF">
        <w:rPr>
          <w:rFonts w:ascii="Verdana" w:hAnsi="Verdana"/>
        </w:rPr>
        <w:t>were appointed as the Commission’s new Internal Auditors and commenced in March 202</w:t>
      </w:r>
      <w:r>
        <w:rPr>
          <w:rFonts w:ascii="Verdana" w:hAnsi="Verdana"/>
        </w:rPr>
        <w:t>1 for a period of 3 years</w:t>
      </w:r>
      <w:r w:rsidR="00F324DF">
        <w:rPr>
          <w:rFonts w:ascii="Verdana" w:hAnsi="Verdana"/>
        </w:rPr>
        <w:t>, with the option t</w:t>
      </w:r>
      <w:r w:rsidR="00434583">
        <w:rPr>
          <w:rFonts w:ascii="Verdana" w:hAnsi="Verdana"/>
        </w:rPr>
        <w:t>o extend for a further year</w:t>
      </w:r>
      <w:r w:rsidRPr="3285EAFF">
        <w:rPr>
          <w:rFonts w:ascii="Verdana" w:hAnsi="Verdana"/>
        </w:rPr>
        <w:t xml:space="preserve">. </w:t>
      </w:r>
      <w:r>
        <w:rPr>
          <w:rFonts w:ascii="Verdana" w:hAnsi="Verdana"/>
        </w:rPr>
        <w:t xml:space="preserve">The services provided by ASM operate to standards defined by the Public Sector Internal Audit Standards. </w:t>
      </w:r>
      <w:r w:rsidRPr="3285EAFF">
        <w:rPr>
          <w:rFonts w:ascii="Verdana" w:hAnsi="Verdana"/>
        </w:rPr>
        <w:t>A</w:t>
      </w:r>
      <w:r>
        <w:rPr>
          <w:rFonts w:ascii="Verdana" w:hAnsi="Verdana"/>
        </w:rPr>
        <w:t xml:space="preserve">n </w:t>
      </w:r>
      <w:r w:rsidRPr="3285EAFF">
        <w:rPr>
          <w:rFonts w:ascii="Verdana" w:hAnsi="Verdana"/>
        </w:rPr>
        <w:t>Internal Audit Plan for 202</w:t>
      </w:r>
      <w:r w:rsidR="00434583">
        <w:rPr>
          <w:rFonts w:ascii="Verdana" w:hAnsi="Verdana"/>
        </w:rPr>
        <w:t>3</w:t>
      </w:r>
      <w:r w:rsidRPr="3285EAFF">
        <w:rPr>
          <w:rFonts w:ascii="Verdana" w:hAnsi="Verdana"/>
        </w:rPr>
        <w:t>-2</w:t>
      </w:r>
      <w:r w:rsidR="00434583">
        <w:rPr>
          <w:rFonts w:ascii="Verdana" w:hAnsi="Verdana"/>
        </w:rPr>
        <w:t>4</w:t>
      </w:r>
      <w:r w:rsidRPr="3285EAFF">
        <w:rPr>
          <w:rFonts w:ascii="Verdana" w:hAnsi="Verdana"/>
        </w:rPr>
        <w:t xml:space="preserve"> was presented to the Commission’s Audit and Risk Management Committee in June 202</w:t>
      </w:r>
      <w:r w:rsidR="00593F3E">
        <w:rPr>
          <w:rFonts w:ascii="Verdana" w:hAnsi="Verdana"/>
        </w:rPr>
        <w:t>3</w:t>
      </w:r>
      <w:r w:rsidRPr="3285EAFF">
        <w:rPr>
          <w:rFonts w:ascii="Verdana" w:hAnsi="Verdana"/>
        </w:rPr>
        <w:t xml:space="preserve"> for approval.</w:t>
      </w:r>
    </w:p>
    <w:p w14:paraId="37BDF65D" w14:textId="77777777" w:rsidR="002667DD" w:rsidRDefault="002667DD" w:rsidP="002667DD">
      <w:pPr>
        <w:pStyle w:val="Default"/>
        <w:rPr>
          <w:rFonts w:ascii="Verdana" w:hAnsi="Verdana"/>
        </w:rPr>
      </w:pPr>
    </w:p>
    <w:p w14:paraId="0DA11BA4" w14:textId="77777777" w:rsidR="002667DD" w:rsidRDefault="002667DD" w:rsidP="002667DD">
      <w:pPr>
        <w:pStyle w:val="Default"/>
        <w:rPr>
          <w:rFonts w:ascii="Verdana" w:hAnsi="Verdana"/>
        </w:rPr>
      </w:pPr>
      <w:r>
        <w:rPr>
          <w:rFonts w:ascii="Verdana" w:hAnsi="Verdana"/>
        </w:rPr>
        <w:t xml:space="preserve">Internal Audit’s work plan is informed by an analysis of the risk to which the Commission is exposed. </w:t>
      </w:r>
    </w:p>
    <w:p w14:paraId="78AE0B7C" w14:textId="77777777" w:rsidR="002667DD" w:rsidRDefault="002667DD" w:rsidP="002667DD">
      <w:pPr>
        <w:pStyle w:val="Default"/>
        <w:rPr>
          <w:rFonts w:ascii="Verdana" w:hAnsi="Verdana"/>
        </w:rPr>
      </w:pPr>
    </w:p>
    <w:p w14:paraId="47FB9AFE" w14:textId="425DEB5D" w:rsidR="002667DD" w:rsidRDefault="002667DD" w:rsidP="002667DD">
      <w:pPr>
        <w:pStyle w:val="Default"/>
        <w:rPr>
          <w:rFonts w:ascii="Verdana" w:hAnsi="Verdana"/>
        </w:rPr>
      </w:pPr>
      <w:r>
        <w:rPr>
          <w:rFonts w:ascii="Verdana" w:hAnsi="Verdana"/>
        </w:rPr>
        <w:t xml:space="preserve">The table below </w:t>
      </w:r>
      <w:r w:rsidRPr="74585EFD">
        <w:rPr>
          <w:rFonts w:ascii="Verdana" w:hAnsi="Verdana"/>
        </w:rPr>
        <w:t>outlines</w:t>
      </w:r>
      <w:r>
        <w:rPr>
          <w:rFonts w:ascii="Verdana" w:hAnsi="Verdana"/>
        </w:rPr>
        <w:t xml:space="preserve"> the internal audit </w:t>
      </w:r>
      <w:proofErr w:type="spellStart"/>
      <w:r>
        <w:rPr>
          <w:rFonts w:ascii="Verdana" w:hAnsi="Verdana"/>
        </w:rPr>
        <w:t>programme</w:t>
      </w:r>
      <w:proofErr w:type="spellEnd"/>
      <w:r>
        <w:rPr>
          <w:rFonts w:ascii="Verdana" w:hAnsi="Verdana"/>
        </w:rPr>
        <w:t xml:space="preserve"> that was carried out relating to 202</w:t>
      </w:r>
      <w:r w:rsidR="00593F3E">
        <w:rPr>
          <w:rFonts w:ascii="Verdana" w:hAnsi="Verdana"/>
        </w:rPr>
        <w:t>3</w:t>
      </w:r>
      <w:r>
        <w:rPr>
          <w:rFonts w:ascii="Verdana" w:hAnsi="Verdana"/>
        </w:rPr>
        <w:t>-2</w:t>
      </w:r>
      <w:r w:rsidR="00593F3E">
        <w:rPr>
          <w:rFonts w:ascii="Verdana" w:hAnsi="Verdana"/>
        </w:rPr>
        <w:t>4</w:t>
      </w:r>
      <w:r>
        <w:rPr>
          <w:rFonts w:ascii="Verdana" w:hAnsi="Verdana"/>
        </w:rPr>
        <w:t>.</w:t>
      </w:r>
    </w:p>
    <w:p w14:paraId="101B8956" w14:textId="77777777" w:rsidR="007330CB" w:rsidRDefault="007330CB" w:rsidP="002667DD">
      <w:pPr>
        <w:pStyle w:val="Default"/>
        <w:rPr>
          <w:rFonts w:ascii="Verdana" w:hAnsi="Verdana"/>
        </w:rPr>
      </w:pPr>
    </w:p>
    <w:tbl>
      <w:tblPr>
        <w:tblStyle w:val="TableGrid"/>
        <w:tblW w:w="0" w:type="auto"/>
        <w:tblLook w:val="04A0" w:firstRow="1" w:lastRow="0" w:firstColumn="1" w:lastColumn="0" w:noHBand="0" w:noVBand="1"/>
      </w:tblPr>
      <w:tblGrid>
        <w:gridCol w:w="2815"/>
        <w:gridCol w:w="1977"/>
        <w:gridCol w:w="1975"/>
        <w:gridCol w:w="2249"/>
      </w:tblGrid>
      <w:tr w:rsidR="002667DD" w:rsidRPr="00B34FAD" w14:paraId="2ECA534E" w14:textId="77777777" w:rsidTr="549A3FF4">
        <w:tc>
          <w:tcPr>
            <w:tcW w:w="2815" w:type="dxa"/>
          </w:tcPr>
          <w:p w14:paraId="37534D28" w14:textId="77777777" w:rsidR="002667DD" w:rsidRPr="00B34FAD" w:rsidRDefault="002667DD" w:rsidP="001958BD">
            <w:pPr>
              <w:pStyle w:val="Default"/>
              <w:rPr>
                <w:rFonts w:ascii="Verdana" w:hAnsi="Verdana"/>
                <w:b/>
                <w:bCs/>
              </w:rPr>
            </w:pPr>
            <w:r w:rsidRPr="00B34FAD">
              <w:rPr>
                <w:rFonts w:ascii="Verdana" w:hAnsi="Verdana"/>
                <w:b/>
                <w:bCs/>
              </w:rPr>
              <w:t>System</w:t>
            </w:r>
          </w:p>
        </w:tc>
        <w:tc>
          <w:tcPr>
            <w:tcW w:w="1977" w:type="dxa"/>
          </w:tcPr>
          <w:p w14:paraId="11C3BCFE" w14:textId="77777777" w:rsidR="002667DD" w:rsidRPr="00B34FAD" w:rsidRDefault="002667DD" w:rsidP="001958BD">
            <w:pPr>
              <w:pStyle w:val="Default"/>
              <w:rPr>
                <w:rFonts w:ascii="Verdana" w:hAnsi="Verdana"/>
                <w:b/>
                <w:bCs/>
              </w:rPr>
            </w:pPr>
            <w:r w:rsidRPr="00B34FAD">
              <w:rPr>
                <w:rFonts w:ascii="Verdana" w:hAnsi="Verdana"/>
                <w:b/>
                <w:bCs/>
              </w:rPr>
              <w:t>Date of final report</w:t>
            </w:r>
          </w:p>
        </w:tc>
        <w:tc>
          <w:tcPr>
            <w:tcW w:w="1975" w:type="dxa"/>
          </w:tcPr>
          <w:p w14:paraId="1D361E5D" w14:textId="77777777" w:rsidR="002667DD" w:rsidRPr="00B34FAD" w:rsidRDefault="002667DD" w:rsidP="001958BD">
            <w:pPr>
              <w:pStyle w:val="Default"/>
              <w:rPr>
                <w:rFonts w:ascii="Verdana" w:hAnsi="Verdana"/>
                <w:b/>
                <w:bCs/>
              </w:rPr>
            </w:pPr>
            <w:r w:rsidRPr="00B34FAD">
              <w:rPr>
                <w:rFonts w:ascii="Verdana" w:hAnsi="Verdana"/>
                <w:b/>
                <w:bCs/>
              </w:rPr>
              <w:t>Assurance rating</w:t>
            </w:r>
          </w:p>
        </w:tc>
        <w:tc>
          <w:tcPr>
            <w:tcW w:w="2249" w:type="dxa"/>
          </w:tcPr>
          <w:p w14:paraId="40379134" w14:textId="77777777" w:rsidR="002667DD" w:rsidRPr="00B34FAD" w:rsidRDefault="002667DD" w:rsidP="001958BD">
            <w:pPr>
              <w:pStyle w:val="Default"/>
              <w:rPr>
                <w:rFonts w:ascii="Verdana" w:hAnsi="Verdana"/>
                <w:b/>
                <w:bCs/>
              </w:rPr>
            </w:pPr>
            <w:r w:rsidRPr="00B34FAD">
              <w:rPr>
                <w:rFonts w:ascii="Verdana" w:hAnsi="Verdana"/>
                <w:b/>
                <w:bCs/>
              </w:rPr>
              <w:t>Status</w:t>
            </w:r>
          </w:p>
        </w:tc>
      </w:tr>
      <w:tr w:rsidR="002667DD" w14:paraId="3B2C7029" w14:textId="77777777" w:rsidTr="549A3FF4">
        <w:tc>
          <w:tcPr>
            <w:tcW w:w="2815" w:type="dxa"/>
          </w:tcPr>
          <w:p w14:paraId="22EAA1E4" w14:textId="63BF557A" w:rsidR="002667DD" w:rsidRDefault="00BD0313" w:rsidP="001958BD">
            <w:pPr>
              <w:pStyle w:val="Default"/>
              <w:rPr>
                <w:rFonts w:ascii="Verdana" w:hAnsi="Verdana"/>
              </w:rPr>
            </w:pPr>
            <w:r>
              <w:rPr>
                <w:rFonts w:ascii="Verdana" w:hAnsi="Verdana"/>
              </w:rPr>
              <w:t>Review of Dedicated Mechanism function</w:t>
            </w:r>
          </w:p>
        </w:tc>
        <w:tc>
          <w:tcPr>
            <w:tcW w:w="1977" w:type="dxa"/>
          </w:tcPr>
          <w:p w14:paraId="1E517768" w14:textId="28CCAAFA" w:rsidR="002667DD" w:rsidRDefault="00CD3913" w:rsidP="001958BD">
            <w:pPr>
              <w:pStyle w:val="Default"/>
              <w:rPr>
                <w:rFonts w:ascii="Verdana" w:hAnsi="Verdana"/>
              </w:rPr>
            </w:pPr>
            <w:r>
              <w:rPr>
                <w:rFonts w:ascii="Verdana" w:hAnsi="Verdana"/>
              </w:rPr>
              <w:t>15 March 2024</w:t>
            </w:r>
          </w:p>
        </w:tc>
        <w:tc>
          <w:tcPr>
            <w:tcW w:w="1975" w:type="dxa"/>
          </w:tcPr>
          <w:p w14:paraId="365E8083" w14:textId="5028F796" w:rsidR="002667DD" w:rsidRDefault="001C7F57" w:rsidP="001958BD">
            <w:pPr>
              <w:pStyle w:val="Default"/>
              <w:rPr>
                <w:rFonts w:ascii="Verdana" w:hAnsi="Verdana"/>
              </w:rPr>
            </w:pPr>
            <w:r>
              <w:rPr>
                <w:rFonts w:ascii="Verdana" w:hAnsi="Verdana"/>
              </w:rPr>
              <w:t>Satisfactory</w:t>
            </w:r>
          </w:p>
        </w:tc>
        <w:tc>
          <w:tcPr>
            <w:tcW w:w="2249" w:type="dxa"/>
          </w:tcPr>
          <w:p w14:paraId="6274F01D" w14:textId="6E9AE681" w:rsidR="002667DD" w:rsidRDefault="001C7F57" w:rsidP="001958BD">
            <w:pPr>
              <w:pStyle w:val="Default"/>
              <w:rPr>
                <w:rFonts w:ascii="Verdana" w:hAnsi="Verdana"/>
              </w:rPr>
            </w:pPr>
            <w:r>
              <w:rPr>
                <w:rFonts w:ascii="Verdana" w:hAnsi="Verdana"/>
              </w:rPr>
              <w:t>Final Report</w:t>
            </w:r>
          </w:p>
        </w:tc>
      </w:tr>
      <w:tr w:rsidR="002667DD" w14:paraId="04719EAB" w14:textId="77777777" w:rsidTr="549A3FF4">
        <w:tc>
          <w:tcPr>
            <w:tcW w:w="2815" w:type="dxa"/>
          </w:tcPr>
          <w:p w14:paraId="32D7B6C1" w14:textId="7F1C7D94" w:rsidR="002667DD" w:rsidRDefault="008202A4" w:rsidP="001958BD">
            <w:pPr>
              <w:pStyle w:val="Default"/>
              <w:rPr>
                <w:rFonts w:ascii="Verdana" w:hAnsi="Verdana"/>
              </w:rPr>
            </w:pPr>
            <w:r>
              <w:rPr>
                <w:rFonts w:ascii="Verdana" w:hAnsi="Verdana"/>
              </w:rPr>
              <w:t>Systems for tracking legislation and policy development</w:t>
            </w:r>
          </w:p>
        </w:tc>
        <w:tc>
          <w:tcPr>
            <w:tcW w:w="1977" w:type="dxa"/>
          </w:tcPr>
          <w:p w14:paraId="188AC622" w14:textId="5211AB95" w:rsidR="002667DD" w:rsidRDefault="003C03FA" w:rsidP="001958BD">
            <w:pPr>
              <w:pStyle w:val="Default"/>
              <w:rPr>
                <w:rFonts w:ascii="Verdana" w:hAnsi="Verdana"/>
              </w:rPr>
            </w:pPr>
            <w:r>
              <w:rPr>
                <w:rFonts w:ascii="Verdana" w:hAnsi="Verdana"/>
              </w:rPr>
              <w:t>13 November 2023</w:t>
            </w:r>
          </w:p>
        </w:tc>
        <w:tc>
          <w:tcPr>
            <w:tcW w:w="1975" w:type="dxa"/>
          </w:tcPr>
          <w:p w14:paraId="1EDFCCC9" w14:textId="2E55A520" w:rsidR="002667DD" w:rsidRDefault="005E370B" w:rsidP="001958BD">
            <w:pPr>
              <w:pStyle w:val="Default"/>
              <w:rPr>
                <w:rFonts w:ascii="Verdana" w:hAnsi="Verdana"/>
              </w:rPr>
            </w:pPr>
            <w:r>
              <w:rPr>
                <w:rFonts w:ascii="Verdana" w:hAnsi="Verdana"/>
              </w:rPr>
              <w:t>Satisfactory</w:t>
            </w:r>
          </w:p>
        </w:tc>
        <w:tc>
          <w:tcPr>
            <w:tcW w:w="2249" w:type="dxa"/>
          </w:tcPr>
          <w:p w14:paraId="0AC00AF9" w14:textId="390BE9FE" w:rsidR="002667DD" w:rsidRDefault="005E370B" w:rsidP="001958BD">
            <w:pPr>
              <w:pStyle w:val="Default"/>
              <w:rPr>
                <w:rFonts w:ascii="Verdana" w:hAnsi="Verdana"/>
              </w:rPr>
            </w:pPr>
            <w:r>
              <w:rPr>
                <w:rFonts w:ascii="Verdana" w:hAnsi="Verdana"/>
              </w:rPr>
              <w:t>Final Report</w:t>
            </w:r>
          </w:p>
        </w:tc>
      </w:tr>
    </w:tbl>
    <w:p w14:paraId="4C8503DF" w14:textId="77777777" w:rsidR="00D42A55" w:rsidRDefault="00D42A55" w:rsidP="002667DD">
      <w:pPr>
        <w:pStyle w:val="Default"/>
        <w:rPr>
          <w:rFonts w:ascii="Verdana" w:hAnsi="Verdana"/>
        </w:rPr>
      </w:pPr>
    </w:p>
    <w:p w14:paraId="6A342921" w14:textId="3C0CA790" w:rsidR="002667DD" w:rsidRDefault="002667DD" w:rsidP="002667DD">
      <w:pPr>
        <w:pStyle w:val="Default"/>
        <w:rPr>
          <w:rFonts w:ascii="Verdana" w:hAnsi="Verdana"/>
        </w:rPr>
      </w:pPr>
      <w:r>
        <w:rPr>
          <w:rFonts w:ascii="Verdana" w:hAnsi="Verdana"/>
        </w:rPr>
        <w:t xml:space="preserve">A Satisfactory assurance level denotes that </w:t>
      </w:r>
      <w:proofErr w:type="gramStart"/>
      <w:r>
        <w:rPr>
          <w:rFonts w:ascii="Verdana" w:hAnsi="Verdana"/>
        </w:rPr>
        <w:t>overall</w:t>
      </w:r>
      <w:proofErr w:type="gramEnd"/>
      <w:r>
        <w:rPr>
          <w:rFonts w:ascii="Verdana" w:hAnsi="Verdana"/>
        </w:rPr>
        <w:t xml:space="preserve"> there is a satisfactory system of governance, risk management and control. While there may be some residual risk identified, this should not significantly impact on the achievement of system objectives.</w:t>
      </w:r>
    </w:p>
    <w:p w14:paraId="6E1ACD99" w14:textId="77777777" w:rsidR="002667DD" w:rsidRDefault="002667DD" w:rsidP="002667DD">
      <w:pPr>
        <w:pStyle w:val="Default"/>
        <w:rPr>
          <w:rFonts w:ascii="Verdana" w:hAnsi="Verdana"/>
        </w:rPr>
      </w:pPr>
    </w:p>
    <w:p w14:paraId="154E5507" w14:textId="4884B6E7" w:rsidR="002667DD" w:rsidRDefault="002667DD" w:rsidP="002667DD">
      <w:pPr>
        <w:pStyle w:val="Default"/>
        <w:rPr>
          <w:rFonts w:ascii="Verdana" w:hAnsi="Verdana"/>
        </w:rPr>
      </w:pPr>
      <w:r w:rsidRPr="54F71CB4">
        <w:rPr>
          <w:rFonts w:ascii="Verdana" w:hAnsi="Verdana"/>
        </w:rPr>
        <w:t xml:space="preserve">During </w:t>
      </w:r>
      <w:r w:rsidR="006E1D33" w:rsidRPr="54F71CB4">
        <w:rPr>
          <w:rFonts w:ascii="Verdana" w:hAnsi="Verdana"/>
        </w:rPr>
        <w:t>2023-24</w:t>
      </w:r>
      <w:r w:rsidRPr="54F71CB4">
        <w:rPr>
          <w:rFonts w:ascii="Verdana" w:hAnsi="Verdana"/>
        </w:rPr>
        <w:t xml:space="preserve"> a total of </w:t>
      </w:r>
      <w:r w:rsidR="003978F0" w:rsidRPr="54F71CB4">
        <w:rPr>
          <w:rFonts w:ascii="Verdana" w:hAnsi="Verdana"/>
        </w:rPr>
        <w:t xml:space="preserve">9 </w:t>
      </w:r>
      <w:r w:rsidRPr="54F71CB4">
        <w:rPr>
          <w:rFonts w:ascii="Verdana" w:hAnsi="Verdana"/>
        </w:rPr>
        <w:t xml:space="preserve">recommendations were made across </w:t>
      </w:r>
      <w:r w:rsidR="003978F0" w:rsidRPr="54F71CB4">
        <w:rPr>
          <w:rFonts w:ascii="Verdana" w:hAnsi="Verdana"/>
        </w:rPr>
        <w:t>two</w:t>
      </w:r>
      <w:r w:rsidRPr="54F71CB4">
        <w:rPr>
          <w:rFonts w:ascii="Verdana" w:hAnsi="Verdana"/>
        </w:rPr>
        <w:t xml:space="preserve"> areas.  There were no Priority One recommendations, t</w:t>
      </w:r>
      <w:r w:rsidR="005451DA" w:rsidRPr="54F71CB4">
        <w:rPr>
          <w:rFonts w:ascii="Verdana" w:hAnsi="Verdana"/>
        </w:rPr>
        <w:t>wo</w:t>
      </w:r>
      <w:r w:rsidRPr="54F71CB4">
        <w:rPr>
          <w:rFonts w:ascii="Verdana" w:hAnsi="Verdana"/>
        </w:rPr>
        <w:t xml:space="preserve"> were identified as Priority Two and </w:t>
      </w:r>
      <w:r w:rsidR="003978F0" w:rsidRPr="54F71CB4">
        <w:rPr>
          <w:rFonts w:ascii="Verdana" w:hAnsi="Verdana"/>
        </w:rPr>
        <w:t>seven</w:t>
      </w:r>
      <w:r w:rsidRPr="54F71CB4">
        <w:rPr>
          <w:rFonts w:ascii="Verdana" w:hAnsi="Verdana"/>
        </w:rPr>
        <w:t xml:space="preserve"> as Priority Three.</w:t>
      </w:r>
    </w:p>
    <w:p w14:paraId="7393D966" w14:textId="77777777" w:rsidR="002667DD" w:rsidRDefault="002667DD" w:rsidP="002667DD"/>
    <w:p w14:paraId="0A081592" w14:textId="54EAA0CF" w:rsidR="002667DD" w:rsidRDefault="002667DD" w:rsidP="002667DD">
      <w:r>
        <w:t xml:space="preserve">Internal audit findings are presented to the Audit and Risk Management Committee and copies of all final reports are provided to me, in my role as Accounting Officer.  </w:t>
      </w:r>
      <w:bookmarkStart w:id="22" w:name="_Hlk135985181"/>
      <w:r>
        <w:t xml:space="preserve">In addition, Internal Audit provided an Annual Assurance Report in May 2023, which </w:t>
      </w:r>
      <w:r w:rsidR="00B62714">
        <w:t>was</w:t>
      </w:r>
      <w:r>
        <w:t xml:space="preserve"> presented to the Audit and Risk Management Committee in June 2023, confirming that the Commission’s systems in relation to risk management, control and governance were adequate and operated effectively, thereby providing an overall satisfactory assurance. </w:t>
      </w:r>
    </w:p>
    <w:bookmarkEnd w:id="22"/>
    <w:p w14:paraId="73302AB9" w14:textId="77777777" w:rsidR="002667DD" w:rsidRPr="008711E7" w:rsidRDefault="002667DD" w:rsidP="002667DD"/>
    <w:p w14:paraId="19E3ED40" w14:textId="77777777" w:rsidR="002667DD" w:rsidRDefault="002667DD" w:rsidP="002667DD">
      <w:pPr>
        <w:rPr>
          <w:rFonts w:eastAsia="PMingLiU"/>
        </w:rPr>
      </w:pPr>
      <w:r w:rsidRPr="00A076E3">
        <w:rPr>
          <w:rFonts w:eastAsia="PMingLiU"/>
        </w:rPr>
        <w:t>Commissioners continue to receive monthly reports on financial performance and audit activity, and regular updates on the risk register.</w:t>
      </w:r>
      <w:r w:rsidRPr="008711E7">
        <w:rPr>
          <w:rFonts w:eastAsia="PMingLiU"/>
        </w:rPr>
        <w:t xml:space="preserve">  </w:t>
      </w:r>
    </w:p>
    <w:p w14:paraId="58117568" w14:textId="77777777" w:rsidR="002667DD" w:rsidRDefault="002667DD" w:rsidP="002667DD">
      <w:pPr>
        <w:rPr>
          <w:rFonts w:eastAsia="PMingLiU"/>
        </w:rPr>
      </w:pPr>
    </w:p>
    <w:p w14:paraId="30D209B9" w14:textId="77777777" w:rsidR="002667DD" w:rsidRDefault="002667DD" w:rsidP="002667DD">
      <w:pPr>
        <w:rPr>
          <w:rFonts w:eastAsia="PMingLiU"/>
          <w:b/>
        </w:rPr>
      </w:pPr>
      <w:r>
        <w:rPr>
          <w:rFonts w:eastAsia="PMingLiU"/>
          <w:b/>
        </w:rPr>
        <w:t xml:space="preserve">External Auditors </w:t>
      </w:r>
    </w:p>
    <w:p w14:paraId="04CBCA1D" w14:textId="77777777" w:rsidR="002667DD" w:rsidRDefault="002667DD" w:rsidP="002667DD">
      <w:pPr>
        <w:rPr>
          <w:rFonts w:eastAsia="PMingLiU"/>
          <w:b/>
        </w:rPr>
      </w:pPr>
    </w:p>
    <w:p w14:paraId="055E89F3" w14:textId="31FFA005" w:rsidR="00AD377D" w:rsidRDefault="00AD377D" w:rsidP="00AD377D">
      <w:pPr>
        <w:rPr>
          <w:rFonts w:eastAsia="PMingLiU"/>
        </w:rPr>
      </w:pPr>
      <w:r>
        <w:rPr>
          <w:rFonts w:eastAsia="PMingLiU"/>
        </w:rPr>
        <w:t xml:space="preserve">Representatives from the National Audit Office (NAO) and its framework partner Ernst &amp; Young LLP (EY), acting on behalf of the C&amp;AG, attended </w:t>
      </w:r>
      <w:proofErr w:type="gramStart"/>
      <w:r>
        <w:rPr>
          <w:rFonts w:eastAsia="PMingLiU"/>
        </w:rPr>
        <w:t>all of</w:t>
      </w:r>
      <w:proofErr w:type="gramEnd"/>
      <w:r>
        <w:rPr>
          <w:rFonts w:eastAsia="PMingLiU"/>
        </w:rPr>
        <w:t xml:space="preserve"> the Committee’s meetings.  During this reporting period, the Committee had a positive engagement with auditors in respect of the completion report for the 2022-23 accounts and the preparation of the 202</w:t>
      </w:r>
      <w:r w:rsidR="004E50A3">
        <w:rPr>
          <w:rFonts w:eastAsia="PMingLiU"/>
        </w:rPr>
        <w:t>3</w:t>
      </w:r>
      <w:r>
        <w:rPr>
          <w:rFonts w:eastAsia="PMingLiU"/>
        </w:rPr>
        <w:t>-2</w:t>
      </w:r>
      <w:r w:rsidR="004E50A3">
        <w:rPr>
          <w:rFonts w:eastAsia="PMingLiU"/>
        </w:rPr>
        <w:t>4</w:t>
      </w:r>
      <w:r>
        <w:rPr>
          <w:rFonts w:eastAsia="PMingLiU"/>
        </w:rPr>
        <w:t xml:space="preserve"> accounts.</w:t>
      </w:r>
    </w:p>
    <w:p w14:paraId="662D1AA1" w14:textId="77777777" w:rsidR="002667DD" w:rsidRDefault="002667DD" w:rsidP="002667DD">
      <w:pPr>
        <w:rPr>
          <w:rFonts w:eastAsia="PMingLiU"/>
        </w:rPr>
      </w:pPr>
    </w:p>
    <w:p w14:paraId="6B638E1E" w14:textId="77777777" w:rsidR="002667DD" w:rsidRPr="00213CA3" w:rsidRDefault="002667DD" w:rsidP="002667DD">
      <w:pPr>
        <w:rPr>
          <w:rFonts w:eastAsia="PMingLiU"/>
        </w:rPr>
      </w:pPr>
      <w:r>
        <w:rPr>
          <w:rFonts w:eastAsia="PMingLiU"/>
        </w:rPr>
        <w:t>The Committee has continued to work closely with the external auditors in this reporting period and will continue to do.</w:t>
      </w:r>
    </w:p>
    <w:p w14:paraId="0AD67AB5" w14:textId="77777777" w:rsidR="002667DD" w:rsidRDefault="002667DD" w:rsidP="002667DD">
      <w:pPr>
        <w:widowControl w:val="0"/>
        <w:autoSpaceDE w:val="0"/>
        <w:autoSpaceDN w:val="0"/>
        <w:adjustRightInd w:val="0"/>
        <w:rPr>
          <w:b/>
          <w:noProof/>
          <w:lang w:eastAsia="en-GB"/>
        </w:rPr>
      </w:pPr>
    </w:p>
    <w:p w14:paraId="4A972B97" w14:textId="5E1C9D96" w:rsidR="002667DD" w:rsidRDefault="002667DD" w:rsidP="002667DD">
      <w:pPr>
        <w:widowControl w:val="0"/>
        <w:autoSpaceDE w:val="0"/>
        <w:autoSpaceDN w:val="0"/>
        <w:adjustRightInd w:val="0"/>
        <w:rPr>
          <w:b/>
          <w:noProof/>
          <w:lang w:eastAsia="en-GB"/>
        </w:rPr>
      </w:pPr>
      <w:r>
        <w:rPr>
          <w:b/>
          <w:noProof/>
          <w:lang w:eastAsia="en-GB"/>
        </w:rPr>
        <w:t>Corporate Governance</w:t>
      </w:r>
    </w:p>
    <w:p w14:paraId="24702490" w14:textId="77777777" w:rsidR="002667DD" w:rsidRDefault="002667DD" w:rsidP="002667DD">
      <w:pPr>
        <w:widowControl w:val="0"/>
        <w:autoSpaceDE w:val="0"/>
        <w:autoSpaceDN w:val="0"/>
        <w:adjustRightInd w:val="0"/>
        <w:rPr>
          <w:b/>
          <w:noProof/>
          <w:lang w:eastAsia="en-GB"/>
        </w:rPr>
      </w:pPr>
    </w:p>
    <w:p w14:paraId="7D376095" w14:textId="2501C927" w:rsidR="002667DD" w:rsidRDefault="002667DD" w:rsidP="002667DD">
      <w:pPr>
        <w:widowControl w:val="0"/>
        <w:autoSpaceDE w:val="0"/>
        <w:autoSpaceDN w:val="0"/>
        <w:adjustRightInd w:val="0"/>
        <w:rPr>
          <w:noProof/>
          <w:lang w:eastAsia="en-GB"/>
        </w:rPr>
      </w:pPr>
      <w:r>
        <w:rPr>
          <w:noProof/>
          <w:lang w:eastAsia="en-GB"/>
        </w:rPr>
        <w:t xml:space="preserve">The Commission conducts its affairs in accordance with a Code of Governance prepared in line with the Cabinet Office ‘Code of Conduct for Board Members of Public Bodies June 2019’.  A formal self-assessment of the Board </w:t>
      </w:r>
      <w:r w:rsidR="002D15B0">
        <w:rPr>
          <w:noProof/>
          <w:lang w:eastAsia="en-GB"/>
        </w:rPr>
        <w:t>took</w:t>
      </w:r>
      <w:r>
        <w:rPr>
          <w:noProof/>
          <w:lang w:eastAsia="en-GB"/>
        </w:rPr>
        <w:t xml:space="preserve"> place in June </w:t>
      </w:r>
      <w:r w:rsidRPr="74585EFD">
        <w:rPr>
          <w:noProof/>
          <w:lang w:eastAsia="en-GB"/>
        </w:rPr>
        <w:t>2023</w:t>
      </w:r>
      <w:r>
        <w:rPr>
          <w:noProof/>
          <w:lang w:eastAsia="en-GB"/>
        </w:rPr>
        <w:t>.  It also reflects the principles set out in the Corporate Governance in central government departments: Code of Good Practice; the outcome of internal governance reviews; good governance principles developed by the Independent Commission on Good Governance and current best practice principles in coporate governance.  The Commission’s Code of Governance, including Standing Orders was reviewed in 2022-23.</w:t>
      </w:r>
    </w:p>
    <w:p w14:paraId="50811DC7" w14:textId="77777777" w:rsidR="002667DD" w:rsidRDefault="002667DD" w:rsidP="002667DD">
      <w:pPr>
        <w:widowControl w:val="0"/>
        <w:autoSpaceDE w:val="0"/>
        <w:autoSpaceDN w:val="0"/>
        <w:adjustRightInd w:val="0"/>
        <w:rPr>
          <w:noProof/>
          <w:lang w:eastAsia="en-GB"/>
        </w:rPr>
      </w:pPr>
    </w:p>
    <w:p w14:paraId="046039A2" w14:textId="77777777" w:rsidR="002667DD" w:rsidRDefault="002667DD" w:rsidP="002667DD">
      <w:pPr>
        <w:widowControl w:val="0"/>
        <w:autoSpaceDE w:val="0"/>
        <w:autoSpaceDN w:val="0"/>
        <w:adjustRightInd w:val="0"/>
        <w:rPr>
          <w:noProof/>
          <w:lang w:eastAsia="en-GB"/>
        </w:rPr>
      </w:pPr>
      <w:r>
        <w:rPr>
          <w:noProof/>
          <w:lang w:eastAsia="en-GB"/>
        </w:rPr>
        <w:t>The Commission has a comprehensive Framework document with the NIO which sets down its value and principles and lines of accountability.</w:t>
      </w:r>
    </w:p>
    <w:p w14:paraId="7A8FA343" w14:textId="77777777" w:rsidR="002667DD" w:rsidRDefault="002667DD" w:rsidP="002667DD">
      <w:pPr>
        <w:widowControl w:val="0"/>
        <w:autoSpaceDE w:val="0"/>
        <w:autoSpaceDN w:val="0"/>
        <w:adjustRightInd w:val="0"/>
        <w:rPr>
          <w:noProof/>
          <w:lang w:eastAsia="en-GB"/>
        </w:rPr>
      </w:pPr>
    </w:p>
    <w:p w14:paraId="73773002" w14:textId="4109C535" w:rsidR="002667DD" w:rsidRDefault="002667DD" w:rsidP="002667DD">
      <w:pPr>
        <w:widowControl w:val="0"/>
        <w:autoSpaceDE w:val="0"/>
        <w:autoSpaceDN w:val="0"/>
        <w:adjustRightInd w:val="0"/>
        <w:rPr>
          <w:noProof/>
          <w:lang w:eastAsia="en-GB"/>
        </w:rPr>
      </w:pPr>
      <w:r w:rsidRPr="62F844E5">
        <w:rPr>
          <w:noProof/>
          <w:lang w:eastAsia="en-GB"/>
        </w:rPr>
        <w:t xml:space="preserve">Stewardship Statements are completed bi-annually and submitted to the NIO. </w:t>
      </w:r>
      <w:r>
        <w:rPr>
          <w:noProof/>
          <w:lang w:eastAsia="en-GB"/>
        </w:rPr>
        <w:t>The 20</w:t>
      </w:r>
      <w:r w:rsidRPr="62F844E5">
        <w:rPr>
          <w:noProof/>
          <w:lang w:eastAsia="en-GB"/>
        </w:rPr>
        <w:t>2</w:t>
      </w:r>
      <w:r w:rsidR="00344E0E">
        <w:rPr>
          <w:noProof/>
          <w:lang w:eastAsia="en-GB"/>
        </w:rPr>
        <w:t>3</w:t>
      </w:r>
      <w:r>
        <w:rPr>
          <w:noProof/>
          <w:lang w:eastAsia="en-GB"/>
        </w:rPr>
        <w:t>-2</w:t>
      </w:r>
      <w:r w:rsidR="00344E0E">
        <w:rPr>
          <w:noProof/>
          <w:lang w:eastAsia="en-GB"/>
        </w:rPr>
        <w:t>4</w:t>
      </w:r>
      <w:r w:rsidRPr="62F844E5">
        <w:rPr>
          <w:noProof/>
          <w:lang w:eastAsia="en-GB"/>
        </w:rPr>
        <w:t xml:space="preserve"> statement was provided </w:t>
      </w:r>
      <w:r>
        <w:rPr>
          <w:noProof/>
          <w:lang w:eastAsia="en-GB"/>
        </w:rPr>
        <w:t>to the NIO in November 202</w:t>
      </w:r>
      <w:r w:rsidR="00344E0E">
        <w:rPr>
          <w:noProof/>
          <w:lang w:eastAsia="en-GB"/>
        </w:rPr>
        <w:t>3</w:t>
      </w:r>
      <w:r>
        <w:rPr>
          <w:noProof/>
          <w:lang w:eastAsia="en-GB"/>
        </w:rPr>
        <w:t xml:space="preserve"> and at the end of the financial year.  </w:t>
      </w:r>
      <w:r w:rsidRPr="62F844E5">
        <w:rPr>
          <w:noProof/>
          <w:lang w:eastAsia="en-GB"/>
        </w:rPr>
        <w:t>The purpose of the statements is to provide assurance that the Commission maintains a sound system of internal control within its business area to support the achievement of the NIO’s policies and objectives, whilst safeguarding public funds and assets.  These statements also inform the content of this Governance Statement.</w:t>
      </w:r>
    </w:p>
    <w:p w14:paraId="3E79A181" w14:textId="77777777" w:rsidR="002667DD" w:rsidRDefault="002667DD" w:rsidP="002667DD">
      <w:pPr>
        <w:widowControl w:val="0"/>
        <w:autoSpaceDE w:val="0"/>
        <w:autoSpaceDN w:val="0"/>
        <w:adjustRightInd w:val="0"/>
        <w:rPr>
          <w:noProof/>
          <w:lang w:eastAsia="en-GB"/>
        </w:rPr>
      </w:pPr>
    </w:p>
    <w:p w14:paraId="128F966D" w14:textId="77777777" w:rsidR="00F85814" w:rsidRDefault="002667DD" w:rsidP="54F71CB4">
      <w:pPr>
        <w:widowControl w:val="0"/>
        <w:autoSpaceDE w:val="0"/>
        <w:autoSpaceDN w:val="0"/>
        <w:adjustRightInd w:val="0"/>
        <w:rPr>
          <w:b/>
          <w:bCs/>
          <w:noProof/>
          <w:lang w:eastAsia="en-GB"/>
        </w:rPr>
      </w:pPr>
      <w:r w:rsidRPr="54F71CB4">
        <w:rPr>
          <w:b/>
          <w:bCs/>
          <w:noProof/>
          <w:lang w:eastAsia="en-GB"/>
        </w:rPr>
        <w:t>Going Concern</w:t>
      </w:r>
    </w:p>
    <w:p w14:paraId="5B35B78A" w14:textId="328E278A" w:rsidR="002667DD" w:rsidRDefault="002667DD" w:rsidP="002667DD">
      <w:pPr>
        <w:widowControl w:val="0"/>
        <w:autoSpaceDE w:val="0"/>
        <w:autoSpaceDN w:val="0"/>
        <w:adjustRightInd w:val="0"/>
        <w:rPr>
          <w:b/>
          <w:noProof/>
          <w:lang w:eastAsia="en-GB"/>
        </w:rPr>
      </w:pPr>
      <w:r w:rsidRPr="00987EA7">
        <w:rPr>
          <w:b/>
          <w:noProof/>
          <w:lang w:eastAsia="en-GB"/>
        </w:rPr>
        <w:t xml:space="preserve"> </w:t>
      </w:r>
    </w:p>
    <w:p w14:paraId="20B80133" w14:textId="77777777" w:rsidR="00296B82" w:rsidRDefault="00A354F4" w:rsidP="002667DD">
      <w:pPr>
        <w:widowControl w:val="0"/>
        <w:autoSpaceDE w:val="0"/>
        <w:autoSpaceDN w:val="0"/>
        <w:adjustRightInd w:val="0"/>
        <w:rPr>
          <w:rFonts w:cs="Calibri"/>
          <w:lang w:eastAsia="en-GB"/>
        </w:rPr>
      </w:pPr>
      <w:r w:rsidRPr="00A354F4">
        <w:rPr>
          <w:rFonts w:cs="Calibri"/>
          <w:lang w:eastAsia="en-GB"/>
        </w:rPr>
        <w:t>The Commission’s sponsoring body is the Northern Ireland Office as laid out in the Northern Ireland Act 1998. The Commission’s core budget for 2024-25 has been approved by the Northern Ireland Office</w:t>
      </w:r>
      <w:r w:rsidR="00B7309E">
        <w:rPr>
          <w:rFonts w:cs="Calibri"/>
          <w:lang w:eastAsia="en-GB"/>
        </w:rPr>
        <w:t xml:space="preserve"> and we received </w:t>
      </w:r>
      <w:r w:rsidR="00BA1627">
        <w:rPr>
          <w:rFonts w:cs="Calibri"/>
          <w:lang w:eastAsia="en-GB"/>
        </w:rPr>
        <w:t>a three-year financial settlement as part of the UK Government Spending Review covering the period 2022-2025</w:t>
      </w:r>
      <w:r w:rsidRPr="00A354F4">
        <w:rPr>
          <w:rFonts w:cs="Calibri"/>
          <w:lang w:eastAsia="en-GB"/>
        </w:rPr>
        <w:t xml:space="preserve">. </w:t>
      </w:r>
      <w:r w:rsidR="00BA1627">
        <w:rPr>
          <w:rFonts w:cs="Calibri"/>
          <w:lang w:eastAsia="en-GB"/>
        </w:rPr>
        <w:t>Due to this Spending Review ending on 31 March 2025</w:t>
      </w:r>
      <w:r w:rsidR="00957929">
        <w:rPr>
          <w:rFonts w:cs="Calibri"/>
          <w:lang w:eastAsia="en-GB"/>
        </w:rPr>
        <w:t>, the Commission has also prepared a budget out to 30 September 2025 and has engaged with the Northern Ireland Office as its sponsoring body who have provided a letter of support that confirms the provision of financial support to the Commission by the Northern Ireland Office, to assist</w:t>
      </w:r>
      <w:r w:rsidR="00AA3361">
        <w:rPr>
          <w:rFonts w:cs="Calibri"/>
          <w:lang w:eastAsia="en-GB"/>
        </w:rPr>
        <w:t xml:space="preserve"> it in meeting its liabilities as and when they fall due, but only to the extent that money is not otherwise available to the Commission to meet such liabilities.  </w:t>
      </w:r>
    </w:p>
    <w:p w14:paraId="40A242EC" w14:textId="77777777" w:rsidR="00296B82" w:rsidRDefault="00296B82" w:rsidP="002667DD">
      <w:pPr>
        <w:widowControl w:val="0"/>
        <w:autoSpaceDE w:val="0"/>
        <w:autoSpaceDN w:val="0"/>
        <w:adjustRightInd w:val="0"/>
        <w:rPr>
          <w:rFonts w:cs="Calibri"/>
          <w:lang w:eastAsia="en-GB"/>
        </w:rPr>
      </w:pPr>
    </w:p>
    <w:p w14:paraId="269E1617" w14:textId="77777777" w:rsidR="003A21E0" w:rsidRDefault="00296B82" w:rsidP="002667DD">
      <w:pPr>
        <w:widowControl w:val="0"/>
        <w:autoSpaceDE w:val="0"/>
        <w:autoSpaceDN w:val="0"/>
        <w:adjustRightInd w:val="0"/>
        <w:rPr>
          <w:rFonts w:cs="Calibri"/>
          <w:lang w:eastAsia="en-GB"/>
        </w:rPr>
      </w:pPr>
      <w:r>
        <w:rPr>
          <w:rFonts w:cs="Calibri"/>
          <w:lang w:eastAsia="en-GB"/>
        </w:rPr>
        <w:t xml:space="preserve">The Northern Ireland Office have confirmed that they </w:t>
      </w:r>
      <w:proofErr w:type="gramStart"/>
      <w:r>
        <w:rPr>
          <w:rFonts w:cs="Calibri"/>
          <w:lang w:eastAsia="en-GB"/>
        </w:rPr>
        <w:t>have the ability to</w:t>
      </w:r>
      <w:proofErr w:type="gramEnd"/>
      <w:r>
        <w:rPr>
          <w:rFonts w:cs="Calibri"/>
          <w:lang w:eastAsia="en-GB"/>
        </w:rPr>
        <w:t xml:space="preserve"> provide such support and will provide this support to the Commission, to the extent outlined above, for the period to 30 September 2025</w:t>
      </w:r>
      <w:r w:rsidR="00B81C8A">
        <w:rPr>
          <w:rFonts w:cs="Calibri"/>
          <w:lang w:eastAsia="en-GB"/>
        </w:rPr>
        <w:t>.  The independent financial review of the Commission, which is being completed in 2024 will assess the funding level needed to sustain</w:t>
      </w:r>
      <w:r w:rsidR="003A21E0">
        <w:rPr>
          <w:rFonts w:cs="Calibri"/>
          <w:lang w:eastAsia="en-GB"/>
        </w:rPr>
        <w:t xml:space="preserve"> the Commission and will be used to inform its Spending Review 2024 inputs.  </w:t>
      </w:r>
    </w:p>
    <w:p w14:paraId="4AE7D164" w14:textId="77777777" w:rsidR="003A21E0" w:rsidRDefault="003A21E0" w:rsidP="002667DD">
      <w:pPr>
        <w:widowControl w:val="0"/>
        <w:autoSpaceDE w:val="0"/>
        <w:autoSpaceDN w:val="0"/>
        <w:adjustRightInd w:val="0"/>
        <w:rPr>
          <w:rFonts w:cs="Calibri"/>
          <w:lang w:eastAsia="en-GB"/>
        </w:rPr>
      </w:pPr>
    </w:p>
    <w:p w14:paraId="3CBE0147" w14:textId="77777777" w:rsidR="003A21E0" w:rsidRDefault="003A21E0" w:rsidP="002667DD">
      <w:pPr>
        <w:widowControl w:val="0"/>
        <w:autoSpaceDE w:val="0"/>
        <w:autoSpaceDN w:val="0"/>
        <w:adjustRightInd w:val="0"/>
        <w:rPr>
          <w:rFonts w:cs="Calibri"/>
          <w:lang w:eastAsia="en-GB"/>
        </w:rPr>
      </w:pPr>
      <w:r>
        <w:rPr>
          <w:rFonts w:cs="Calibri"/>
          <w:lang w:eastAsia="en-GB"/>
        </w:rPr>
        <w:t xml:space="preserve">The Commission also receives additional funding for the Dedicated Mechanism, which arises from a statutory requirement under the EU Withdrawal Agreement Act.  This role will continue in the future and beyond the financial year 2024-25.  The Northern Ireland Office has confirmed the budget until 31 March 2025.  The Dedicated Mechanism will be funded until such time that Parliament decides otherwise.  </w:t>
      </w:r>
    </w:p>
    <w:p w14:paraId="23026EBD" w14:textId="77777777" w:rsidR="003A21E0" w:rsidRDefault="003A21E0" w:rsidP="002667DD">
      <w:pPr>
        <w:widowControl w:val="0"/>
        <w:autoSpaceDE w:val="0"/>
        <w:autoSpaceDN w:val="0"/>
        <w:adjustRightInd w:val="0"/>
        <w:rPr>
          <w:rFonts w:cs="Calibri"/>
          <w:lang w:eastAsia="en-GB"/>
        </w:rPr>
      </w:pPr>
    </w:p>
    <w:p w14:paraId="21F91745" w14:textId="1143488E" w:rsidR="001D67EA" w:rsidRPr="00A354F4" w:rsidRDefault="003F3EC7" w:rsidP="002667DD">
      <w:pPr>
        <w:widowControl w:val="0"/>
        <w:autoSpaceDE w:val="0"/>
        <w:autoSpaceDN w:val="0"/>
        <w:adjustRightInd w:val="0"/>
        <w:rPr>
          <w:rFonts w:cs="Calibri"/>
          <w:lang w:eastAsia="en-GB"/>
        </w:rPr>
      </w:pPr>
      <w:r>
        <w:rPr>
          <w:rFonts w:cs="Calibri"/>
          <w:lang w:eastAsia="en-GB"/>
        </w:rPr>
        <w:t>As a result at the date of this report, with this letter of support in place</w:t>
      </w:r>
      <w:r w:rsidR="001B6FF4">
        <w:rPr>
          <w:rFonts w:cs="Calibri"/>
          <w:lang w:eastAsia="en-GB"/>
        </w:rPr>
        <w:t xml:space="preserve">, the Accounting Officer has considered it appropriate to adopt a going </w:t>
      </w:r>
      <w:r w:rsidR="00A354F4" w:rsidRPr="00A354F4">
        <w:rPr>
          <w:rFonts w:cs="Calibri"/>
          <w:lang w:eastAsia="en-GB"/>
        </w:rPr>
        <w:t>concern basis for the preparation of the 2023-24 financial statements.</w:t>
      </w:r>
    </w:p>
    <w:p w14:paraId="073AED82" w14:textId="77777777" w:rsidR="00A354F4" w:rsidRDefault="00A354F4" w:rsidP="002667DD">
      <w:pPr>
        <w:widowControl w:val="0"/>
        <w:autoSpaceDE w:val="0"/>
        <w:autoSpaceDN w:val="0"/>
        <w:adjustRightInd w:val="0"/>
        <w:rPr>
          <w:b/>
          <w:color w:val="auto"/>
        </w:rPr>
      </w:pPr>
    </w:p>
    <w:p w14:paraId="1A9574B0" w14:textId="2C53B2A4" w:rsidR="002667DD" w:rsidRPr="009B4441" w:rsidRDefault="002667DD" w:rsidP="002667DD">
      <w:pPr>
        <w:widowControl w:val="0"/>
        <w:autoSpaceDE w:val="0"/>
        <w:autoSpaceDN w:val="0"/>
        <w:adjustRightInd w:val="0"/>
        <w:rPr>
          <w:b/>
          <w:color w:val="auto"/>
        </w:rPr>
      </w:pPr>
      <w:r w:rsidRPr="009B4441">
        <w:rPr>
          <w:b/>
          <w:color w:val="auto"/>
        </w:rPr>
        <w:t>Personal data</w:t>
      </w:r>
      <w:r>
        <w:rPr>
          <w:b/>
          <w:color w:val="auto"/>
        </w:rPr>
        <w:t xml:space="preserve"> related incidents</w:t>
      </w:r>
    </w:p>
    <w:p w14:paraId="72AA3EAE" w14:textId="77777777" w:rsidR="002667DD" w:rsidRPr="009B4441" w:rsidRDefault="002667DD" w:rsidP="002667DD">
      <w:pPr>
        <w:widowControl w:val="0"/>
        <w:autoSpaceDE w:val="0"/>
        <w:autoSpaceDN w:val="0"/>
        <w:adjustRightInd w:val="0"/>
        <w:rPr>
          <w:color w:val="auto"/>
        </w:rPr>
      </w:pPr>
    </w:p>
    <w:p w14:paraId="083382A4" w14:textId="1CC939FB" w:rsidR="002667DD" w:rsidRDefault="002667DD" w:rsidP="002667DD">
      <w:r>
        <w:t>No personal data related incidents were reported to the Information Commissioner’s Office (ICO) (202</w:t>
      </w:r>
      <w:r w:rsidR="001D67EA">
        <w:t>2</w:t>
      </w:r>
      <w:r>
        <w:t>-2</w:t>
      </w:r>
      <w:r w:rsidR="001D67EA">
        <w:t>3</w:t>
      </w:r>
      <w:r w:rsidRPr="003F7E43">
        <w:t xml:space="preserve">: </w:t>
      </w:r>
      <w:r w:rsidR="001D67EA">
        <w:t>None</w:t>
      </w:r>
      <w:r w:rsidRPr="003F7E43">
        <w:t>).</w:t>
      </w:r>
    </w:p>
    <w:p w14:paraId="3B277092" w14:textId="77777777" w:rsidR="002667DD" w:rsidRDefault="002667DD" w:rsidP="002667DD">
      <w:pPr>
        <w:widowControl w:val="0"/>
        <w:autoSpaceDE w:val="0"/>
        <w:autoSpaceDN w:val="0"/>
        <w:adjustRightInd w:val="0"/>
        <w:rPr>
          <w:b/>
        </w:rPr>
      </w:pPr>
    </w:p>
    <w:p w14:paraId="41C92BB1" w14:textId="77777777" w:rsidR="00A354F4" w:rsidRDefault="00A354F4" w:rsidP="002667DD">
      <w:pPr>
        <w:widowControl w:val="0"/>
        <w:autoSpaceDE w:val="0"/>
        <w:autoSpaceDN w:val="0"/>
        <w:adjustRightInd w:val="0"/>
        <w:rPr>
          <w:b/>
        </w:rPr>
      </w:pPr>
    </w:p>
    <w:p w14:paraId="73166435" w14:textId="77777777" w:rsidR="002667DD" w:rsidRDefault="002667DD" w:rsidP="002667DD">
      <w:pPr>
        <w:widowControl w:val="0"/>
        <w:autoSpaceDE w:val="0"/>
        <w:autoSpaceDN w:val="0"/>
        <w:adjustRightInd w:val="0"/>
        <w:rPr>
          <w:b/>
        </w:rPr>
      </w:pPr>
      <w:r>
        <w:rPr>
          <w:b/>
        </w:rPr>
        <w:t>Significant internal control weaknesses</w:t>
      </w:r>
    </w:p>
    <w:p w14:paraId="3D0F36EC" w14:textId="77777777" w:rsidR="002667DD" w:rsidRDefault="002667DD" w:rsidP="002667DD">
      <w:pPr>
        <w:widowControl w:val="0"/>
        <w:autoSpaceDE w:val="0"/>
        <w:autoSpaceDN w:val="0"/>
        <w:adjustRightInd w:val="0"/>
        <w:rPr>
          <w:b/>
        </w:rPr>
      </w:pPr>
    </w:p>
    <w:p w14:paraId="0BBAC458" w14:textId="77A1AB96" w:rsidR="002667DD" w:rsidRDefault="002667DD" w:rsidP="002667DD">
      <w:pPr>
        <w:widowControl w:val="0"/>
        <w:autoSpaceDE w:val="0"/>
        <w:autoSpaceDN w:val="0"/>
        <w:adjustRightInd w:val="0"/>
      </w:pPr>
      <w:r>
        <w:t>There we</w:t>
      </w:r>
      <w:r w:rsidRPr="008711E7">
        <w:t xml:space="preserve">re no significant </w:t>
      </w:r>
      <w:r>
        <w:t xml:space="preserve">weaknesses </w:t>
      </w:r>
      <w:r w:rsidRPr="008711E7">
        <w:t>in the Commission</w:t>
      </w:r>
      <w:r>
        <w:t>’s systems of internal controls in 202</w:t>
      </w:r>
      <w:r w:rsidR="001D67EA">
        <w:t>3</w:t>
      </w:r>
      <w:r>
        <w:t>-2</w:t>
      </w:r>
      <w:r w:rsidR="001D67EA">
        <w:t>4</w:t>
      </w:r>
      <w:r>
        <w:t xml:space="preserve"> that affected the achievement of the Commission’s key policies, aims and objectives</w:t>
      </w:r>
      <w:r w:rsidRPr="008711E7">
        <w:t xml:space="preserve">.  </w:t>
      </w:r>
    </w:p>
    <w:p w14:paraId="302E8527" w14:textId="77777777" w:rsidR="0021497F" w:rsidRDefault="0021497F" w:rsidP="002667DD">
      <w:pPr>
        <w:widowControl w:val="0"/>
        <w:autoSpaceDE w:val="0"/>
        <w:autoSpaceDN w:val="0"/>
        <w:adjustRightInd w:val="0"/>
      </w:pPr>
    </w:p>
    <w:p w14:paraId="293CDA5F" w14:textId="77777777" w:rsidR="0021497F" w:rsidRDefault="0021497F" w:rsidP="002667DD">
      <w:pPr>
        <w:widowControl w:val="0"/>
        <w:autoSpaceDE w:val="0"/>
        <w:autoSpaceDN w:val="0"/>
        <w:adjustRightInd w:val="0"/>
      </w:pPr>
    </w:p>
    <w:p w14:paraId="67FDAF45" w14:textId="77777777" w:rsidR="0021497F" w:rsidRDefault="0021497F" w:rsidP="002667DD">
      <w:pPr>
        <w:widowControl w:val="0"/>
        <w:autoSpaceDE w:val="0"/>
        <w:autoSpaceDN w:val="0"/>
        <w:adjustRightInd w:val="0"/>
      </w:pPr>
    </w:p>
    <w:p w14:paraId="66931C24" w14:textId="77777777" w:rsidR="0021497F" w:rsidRDefault="0021497F" w:rsidP="002667DD">
      <w:pPr>
        <w:widowControl w:val="0"/>
        <w:autoSpaceDE w:val="0"/>
        <w:autoSpaceDN w:val="0"/>
        <w:adjustRightInd w:val="0"/>
      </w:pPr>
    </w:p>
    <w:p w14:paraId="0C1E8803" w14:textId="77777777" w:rsidR="00357518" w:rsidRPr="008711E7" w:rsidRDefault="00357518" w:rsidP="002667DD">
      <w:pPr>
        <w:widowControl w:val="0"/>
        <w:autoSpaceDE w:val="0"/>
        <w:autoSpaceDN w:val="0"/>
        <w:adjustRightInd w:val="0"/>
      </w:pPr>
    </w:p>
    <w:p w14:paraId="170B17D2" w14:textId="01B583F8" w:rsidR="002667DD" w:rsidRDefault="0021497F" w:rsidP="002667DD">
      <w:pPr>
        <w:widowControl w:val="0"/>
        <w:autoSpaceDE w:val="0"/>
        <w:autoSpaceDN w:val="0"/>
        <w:adjustRightInd w:val="0"/>
        <w:rPr>
          <w:noProof/>
          <w:lang w:eastAsia="en-GB"/>
        </w:rPr>
      </w:pPr>
      <w:r>
        <w:rPr>
          <w:noProof/>
        </w:rPr>
        <w:drawing>
          <wp:inline distT="0" distB="0" distL="0" distR="0" wp14:anchorId="2B945F37" wp14:editId="3F6488AD">
            <wp:extent cx="1627770" cy="452438"/>
            <wp:effectExtent l="0" t="0" r="0" b="5080"/>
            <wp:docPr id="1827726263" name="Picture 1827726263"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26263" name="Picture 1827726263" descr="A blue signature on a white background&#10;&#10;Description automatically generated"/>
                    <pic:cNvPicPr/>
                  </pic:nvPicPr>
                  <pic:blipFill rotWithShape="1">
                    <a:blip r:embed="rId28" cstate="print">
                      <a:extLst>
                        <a:ext uri="{28A0092B-C50C-407E-A947-70E740481C1C}">
                          <a14:useLocalDpi xmlns:a14="http://schemas.microsoft.com/office/drawing/2010/main" val="0"/>
                        </a:ext>
                      </a:extLst>
                    </a:blip>
                    <a:srcRect t="27943" b="23685"/>
                    <a:stretch/>
                  </pic:blipFill>
                  <pic:spPr bwMode="auto">
                    <a:xfrm>
                      <a:off x="0" y="0"/>
                      <a:ext cx="1718836" cy="477750"/>
                    </a:xfrm>
                    <a:prstGeom prst="rect">
                      <a:avLst/>
                    </a:prstGeom>
                    <a:ln>
                      <a:noFill/>
                    </a:ln>
                    <a:extLst>
                      <a:ext uri="{53640926-AAD7-44D8-BBD7-CCE9431645EC}">
                        <a14:shadowObscured xmlns:a14="http://schemas.microsoft.com/office/drawing/2010/main"/>
                      </a:ext>
                    </a:extLst>
                  </pic:spPr>
                </pic:pic>
              </a:graphicData>
            </a:graphic>
          </wp:inline>
        </w:drawing>
      </w:r>
    </w:p>
    <w:p w14:paraId="1F9DA171" w14:textId="77777777" w:rsidR="002667DD" w:rsidRDefault="002667DD" w:rsidP="002667DD">
      <w:pPr>
        <w:autoSpaceDE w:val="0"/>
        <w:autoSpaceDN w:val="0"/>
        <w:adjustRightInd w:val="0"/>
        <w:rPr>
          <w:noProof/>
          <w:lang w:eastAsia="en-GB"/>
        </w:rPr>
      </w:pPr>
    </w:p>
    <w:p w14:paraId="7D4730D5" w14:textId="77777777" w:rsidR="002667DD" w:rsidRPr="00D80497" w:rsidRDefault="002667DD" w:rsidP="002667DD">
      <w:pPr>
        <w:widowControl w:val="0"/>
        <w:autoSpaceDE w:val="0"/>
        <w:autoSpaceDN w:val="0"/>
        <w:adjustRightInd w:val="0"/>
        <w:rPr>
          <w:b/>
        </w:rPr>
      </w:pPr>
      <w:r>
        <w:rPr>
          <w:b/>
        </w:rPr>
        <w:t>Dr David Russell</w:t>
      </w:r>
    </w:p>
    <w:p w14:paraId="2F2951D8" w14:textId="77777777" w:rsidR="002667DD" w:rsidRPr="00D80497" w:rsidRDefault="002667DD" w:rsidP="002667DD">
      <w:pPr>
        <w:widowControl w:val="0"/>
        <w:autoSpaceDE w:val="0"/>
        <w:autoSpaceDN w:val="0"/>
        <w:adjustRightInd w:val="0"/>
        <w:rPr>
          <w:b/>
        </w:rPr>
      </w:pPr>
      <w:r w:rsidRPr="00D80497">
        <w:rPr>
          <w:b/>
        </w:rPr>
        <w:t>Accounting Officer</w:t>
      </w:r>
    </w:p>
    <w:p w14:paraId="5F3585B0" w14:textId="77777777" w:rsidR="002667DD" w:rsidRPr="00D80497" w:rsidRDefault="002667DD" w:rsidP="002667DD">
      <w:pPr>
        <w:widowControl w:val="0"/>
        <w:tabs>
          <w:tab w:val="left" w:pos="2802"/>
        </w:tabs>
        <w:autoSpaceDE w:val="0"/>
        <w:autoSpaceDN w:val="0"/>
        <w:adjustRightInd w:val="0"/>
      </w:pPr>
    </w:p>
    <w:p w14:paraId="23568FF3" w14:textId="3E8AE673" w:rsidR="002667DD" w:rsidRPr="00D80497" w:rsidRDefault="002667DD" w:rsidP="002667DD">
      <w:pPr>
        <w:widowControl w:val="0"/>
        <w:tabs>
          <w:tab w:val="left" w:pos="851"/>
        </w:tabs>
        <w:autoSpaceDE w:val="0"/>
        <w:autoSpaceDN w:val="0"/>
        <w:adjustRightInd w:val="0"/>
        <w:rPr>
          <w:b/>
        </w:rPr>
      </w:pPr>
      <w:r w:rsidRPr="00D80497">
        <w:rPr>
          <w:b/>
        </w:rPr>
        <w:t xml:space="preserve">Date: </w:t>
      </w:r>
      <w:r w:rsidR="00AE1FB0">
        <w:rPr>
          <w:b/>
        </w:rPr>
        <w:t>18 July</w:t>
      </w:r>
      <w:r>
        <w:rPr>
          <w:b/>
        </w:rPr>
        <w:t xml:space="preserve"> 20</w:t>
      </w:r>
      <w:r w:rsidR="005E6D62">
        <w:rPr>
          <w:b/>
        </w:rPr>
        <w:t>2</w:t>
      </w:r>
      <w:r w:rsidR="001D67EA">
        <w:rPr>
          <w:b/>
        </w:rPr>
        <w:t>4</w:t>
      </w:r>
    </w:p>
    <w:p w14:paraId="5E67A0BE" w14:textId="77777777" w:rsidR="00F04493" w:rsidRDefault="00F04493" w:rsidP="003F4B46">
      <w:pPr>
        <w:rPr>
          <w:rFonts w:cs="Arial"/>
          <w:b/>
          <w:color w:val="77328A"/>
          <w:sz w:val="30"/>
          <w:szCs w:val="30"/>
        </w:rPr>
      </w:pPr>
    </w:p>
    <w:p w14:paraId="35911DA3" w14:textId="77777777" w:rsidR="002667DD" w:rsidRDefault="002667DD" w:rsidP="00AE6221">
      <w:pPr>
        <w:rPr>
          <w:rFonts w:cs="Arial"/>
          <w:b/>
          <w:color w:val="77328A"/>
          <w:sz w:val="30"/>
          <w:szCs w:val="30"/>
        </w:rPr>
      </w:pPr>
    </w:p>
    <w:p w14:paraId="7BB73F59" w14:textId="77777777" w:rsidR="001D67EA" w:rsidRDefault="001D67EA" w:rsidP="00AE6221">
      <w:pPr>
        <w:rPr>
          <w:rFonts w:cs="Arial"/>
          <w:b/>
          <w:color w:val="77328A"/>
          <w:sz w:val="30"/>
          <w:szCs w:val="30"/>
        </w:rPr>
      </w:pPr>
    </w:p>
    <w:p w14:paraId="50D605DA" w14:textId="77777777" w:rsidR="009F6727" w:rsidRDefault="009F6727" w:rsidP="00AE6221">
      <w:pPr>
        <w:rPr>
          <w:rFonts w:cs="Arial"/>
          <w:b/>
          <w:color w:val="77328A"/>
          <w:sz w:val="30"/>
          <w:szCs w:val="30"/>
        </w:rPr>
      </w:pPr>
    </w:p>
    <w:p w14:paraId="7160E551" w14:textId="77777777" w:rsidR="009F6727" w:rsidRDefault="009F6727" w:rsidP="00AE6221">
      <w:pPr>
        <w:rPr>
          <w:rFonts w:cs="Arial"/>
          <w:b/>
          <w:color w:val="77328A"/>
          <w:sz w:val="30"/>
          <w:szCs w:val="30"/>
        </w:rPr>
      </w:pPr>
    </w:p>
    <w:p w14:paraId="1780B788" w14:textId="77777777" w:rsidR="009F6727" w:rsidRDefault="009F6727" w:rsidP="00AE6221">
      <w:pPr>
        <w:rPr>
          <w:rFonts w:cs="Arial"/>
          <w:b/>
          <w:color w:val="77328A"/>
          <w:sz w:val="30"/>
          <w:szCs w:val="30"/>
        </w:rPr>
      </w:pPr>
    </w:p>
    <w:p w14:paraId="64BCF29B" w14:textId="77777777" w:rsidR="009F6727" w:rsidRDefault="009F6727" w:rsidP="00AE6221">
      <w:pPr>
        <w:rPr>
          <w:rFonts w:cs="Arial"/>
          <w:b/>
          <w:color w:val="77328A"/>
          <w:sz w:val="30"/>
          <w:szCs w:val="30"/>
        </w:rPr>
      </w:pPr>
    </w:p>
    <w:p w14:paraId="7A62C45B" w14:textId="77777777" w:rsidR="009F6727" w:rsidRDefault="009F6727" w:rsidP="00AE6221">
      <w:pPr>
        <w:rPr>
          <w:rFonts w:cs="Arial"/>
          <w:b/>
          <w:color w:val="77328A"/>
          <w:sz w:val="30"/>
          <w:szCs w:val="30"/>
        </w:rPr>
      </w:pPr>
    </w:p>
    <w:p w14:paraId="271ECC8A" w14:textId="77777777" w:rsidR="009F6727" w:rsidRDefault="009F6727" w:rsidP="00AE6221">
      <w:pPr>
        <w:rPr>
          <w:rFonts w:cs="Arial"/>
          <w:b/>
          <w:color w:val="77328A"/>
          <w:sz w:val="30"/>
          <w:szCs w:val="30"/>
        </w:rPr>
      </w:pPr>
    </w:p>
    <w:p w14:paraId="141B2856" w14:textId="77777777" w:rsidR="009F6727" w:rsidRDefault="009F6727" w:rsidP="00AE6221">
      <w:pPr>
        <w:rPr>
          <w:rFonts w:cs="Arial"/>
          <w:b/>
          <w:color w:val="77328A"/>
          <w:sz w:val="30"/>
          <w:szCs w:val="30"/>
        </w:rPr>
      </w:pPr>
    </w:p>
    <w:p w14:paraId="6EB49D73" w14:textId="77777777" w:rsidR="009F6727" w:rsidRDefault="009F6727" w:rsidP="00AE6221">
      <w:pPr>
        <w:rPr>
          <w:rFonts w:cs="Arial"/>
          <w:b/>
          <w:color w:val="77328A"/>
          <w:sz w:val="30"/>
          <w:szCs w:val="30"/>
        </w:rPr>
      </w:pPr>
    </w:p>
    <w:p w14:paraId="5977199E" w14:textId="77777777" w:rsidR="009F6727" w:rsidRDefault="009F6727" w:rsidP="00AE6221">
      <w:pPr>
        <w:rPr>
          <w:rFonts w:cs="Arial"/>
          <w:b/>
          <w:color w:val="77328A"/>
          <w:sz w:val="30"/>
          <w:szCs w:val="30"/>
        </w:rPr>
      </w:pPr>
    </w:p>
    <w:p w14:paraId="38DDA4FE" w14:textId="77777777" w:rsidR="009F6727" w:rsidRDefault="009F6727" w:rsidP="00AE6221">
      <w:pPr>
        <w:rPr>
          <w:rFonts w:cs="Arial"/>
          <w:b/>
          <w:color w:val="77328A"/>
          <w:sz w:val="30"/>
          <w:szCs w:val="30"/>
        </w:rPr>
      </w:pPr>
    </w:p>
    <w:p w14:paraId="2F96CE03" w14:textId="77777777" w:rsidR="009F6727" w:rsidRDefault="009F6727" w:rsidP="00AE6221">
      <w:pPr>
        <w:rPr>
          <w:rFonts w:cs="Arial"/>
          <w:b/>
          <w:color w:val="77328A"/>
          <w:sz w:val="30"/>
          <w:szCs w:val="30"/>
        </w:rPr>
      </w:pPr>
    </w:p>
    <w:p w14:paraId="48F9AD9D" w14:textId="77777777" w:rsidR="009F6727" w:rsidRDefault="009F6727" w:rsidP="00AE6221">
      <w:pPr>
        <w:rPr>
          <w:rFonts w:cs="Arial"/>
          <w:b/>
          <w:color w:val="77328A"/>
          <w:sz w:val="30"/>
          <w:szCs w:val="30"/>
        </w:rPr>
      </w:pPr>
    </w:p>
    <w:p w14:paraId="11D17344" w14:textId="77777777" w:rsidR="009F6727" w:rsidRDefault="009F6727" w:rsidP="00AE6221">
      <w:pPr>
        <w:rPr>
          <w:rFonts w:cs="Arial"/>
          <w:b/>
          <w:color w:val="77328A"/>
          <w:sz w:val="30"/>
          <w:szCs w:val="30"/>
        </w:rPr>
      </w:pPr>
    </w:p>
    <w:p w14:paraId="44AAF47A" w14:textId="77777777" w:rsidR="009F6727" w:rsidRDefault="009F6727" w:rsidP="00AE6221">
      <w:pPr>
        <w:rPr>
          <w:rFonts w:cs="Arial"/>
          <w:b/>
          <w:color w:val="77328A"/>
          <w:sz w:val="30"/>
          <w:szCs w:val="30"/>
        </w:rPr>
      </w:pPr>
    </w:p>
    <w:p w14:paraId="4227B4EB" w14:textId="77777777" w:rsidR="009F6727" w:rsidRDefault="009F6727" w:rsidP="00AE6221">
      <w:pPr>
        <w:rPr>
          <w:rFonts w:cs="Arial"/>
          <w:b/>
          <w:color w:val="77328A"/>
          <w:sz w:val="30"/>
          <w:szCs w:val="30"/>
        </w:rPr>
      </w:pPr>
    </w:p>
    <w:p w14:paraId="0ED50A8C" w14:textId="2EBD7729" w:rsidR="000C2A54" w:rsidRPr="005049F6" w:rsidRDefault="0045027A" w:rsidP="000C2A54">
      <w:pPr>
        <w:jc w:val="center"/>
        <w:rPr>
          <w:b/>
          <w:sz w:val="28"/>
          <w:szCs w:val="28"/>
        </w:rPr>
      </w:pPr>
      <w:bookmarkStart w:id="23" w:name="RemunerationAndStaffReport"/>
      <w:r>
        <w:rPr>
          <w:rFonts w:cs="Arial"/>
          <w:b/>
          <w:color w:val="77328A"/>
          <w:sz w:val="30"/>
          <w:szCs w:val="30"/>
        </w:rPr>
        <w:t>Remuneration and Staff Report</w:t>
      </w:r>
    </w:p>
    <w:bookmarkEnd w:id="23"/>
    <w:p w14:paraId="1E02623F" w14:textId="77777777" w:rsidR="000C2A54" w:rsidRPr="008711E7" w:rsidRDefault="000C2A54" w:rsidP="000C2A54">
      <w:pPr>
        <w:jc w:val="center"/>
        <w:rPr>
          <w:b/>
        </w:rPr>
      </w:pPr>
    </w:p>
    <w:p w14:paraId="5C7FC601" w14:textId="77777777" w:rsidR="000C2A54" w:rsidRPr="008711E7" w:rsidRDefault="000C2A54" w:rsidP="000C2A54">
      <w:pPr>
        <w:widowControl w:val="0"/>
        <w:tabs>
          <w:tab w:val="left" w:pos="567"/>
          <w:tab w:val="center" w:pos="8647"/>
        </w:tabs>
        <w:autoSpaceDE w:val="0"/>
        <w:autoSpaceDN w:val="0"/>
        <w:adjustRightInd w:val="0"/>
        <w:rPr>
          <w:b/>
        </w:rPr>
      </w:pPr>
      <w:bookmarkStart w:id="24" w:name="RemunerationPolicy"/>
      <w:r w:rsidRPr="008711E7">
        <w:rPr>
          <w:b/>
        </w:rPr>
        <w:t xml:space="preserve">Remuneration policy </w:t>
      </w:r>
    </w:p>
    <w:bookmarkEnd w:id="24"/>
    <w:p w14:paraId="2CDBFA44" w14:textId="77777777" w:rsidR="000C2A54" w:rsidRPr="008711E7" w:rsidRDefault="000C2A54" w:rsidP="000C2A54">
      <w:pPr>
        <w:widowControl w:val="0"/>
        <w:tabs>
          <w:tab w:val="left" w:pos="567"/>
          <w:tab w:val="center" w:pos="8647"/>
        </w:tabs>
        <w:autoSpaceDE w:val="0"/>
        <w:autoSpaceDN w:val="0"/>
        <w:adjustRightInd w:val="0"/>
      </w:pPr>
    </w:p>
    <w:p w14:paraId="0E1CDDBF" w14:textId="77777777" w:rsidR="000C2A54" w:rsidRPr="008711E7" w:rsidRDefault="000C2A54" w:rsidP="000C2A54">
      <w:pPr>
        <w:widowControl w:val="0"/>
        <w:tabs>
          <w:tab w:val="left" w:pos="567"/>
          <w:tab w:val="center" w:pos="8647"/>
        </w:tabs>
        <w:autoSpaceDE w:val="0"/>
        <w:autoSpaceDN w:val="0"/>
        <w:adjustRightInd w:val="0"/>
      </w:pPr>
      <w:r w:rsidRPr="008711E7">
        <w:t>The remuneration of the Chief Commissioner and Commissioners is determined by the Secretary of State for Northern Ireland.</w:t>
      </w:r>
    </w:p>
    <w:p w14:paraId="0473901A" w14:textId="77777777" w:rsidR="000C2A54" w:rsidRPr="008711E7" w:rsidRDefault="000C2A54" w:rsidP="000C2A54">
      <w:pPr>
        <w:widowControl w:val="0"/>
        <w:tabs>
          <w:tab w:val="left" w:pos="567"/>
          <w:tab w:val="center" w:pos="8647"/>
        </w:tabs>
        <w:autoSpaceDE w:val="0"/>
        <w:autoSpaceDN w:val="0"/>
        <w:adjustRightInd w:val="0"/>
      </w:pPr>
    </w:p>
    <w:p w14:paraId="606BF342" w14:textId="64F3D499" w:rsidR="000C2A54" w:rsidRPr="008711E7" w:rsidRDefault="000C2A54" w:rsidP="000C2A54">
      <w:pPr>
        <w:autoSpaceDE w:val="0"/>
        <w:autoSpaceDN w:val="0"/>
        <w:adjustRightInd w:val="0"/>
        <w:rPr>
          <w:rFonts w:cs="MetaPlusNormal-Roman"/>
          <w:lang w:val="en-US"/>
        </w:rPr>
      </w:pPr>
      <w:r w:rsidRPr="008711E7">
        <w:t xml:space="preserve">The </w:t>
      </w:r>
      <w:r>
        <w:t xml:space="preserve">Chief Commissioner and </w:t>
      </w:r>
      <w:r w:rsidR="00F5464A">
        <w:t>Chief Executive’s</w:t>
      </w:r>
      <w:r>
        <w:t xml:space="preserve"> posts are</w:t>
      </w:r>
      <w:r w:rsidRPr="008711E7">
        <w:t xml:space="preserve"> graded within the </w:t>
      </w:r>
      <w:r w:rsidRPr="008711E7">
        <w:rPr>
          <w:rFonts w:cs="MetaPlusNormal-Roman"/>
          <w:lang w:val="en-US"/>
        </w:rPr>
        <w:t>Senior Civil Service (SCS).  Pay and performance management arrangements for this post are in line with guidance issued by the Cabinet Office</w:t>
      </w:r>
      <w:r w:rsidRPr="008711E7">
        <w:rPr>
          <w:rFonts w:cs="MetaPlusNormal-Roman"/>
          <w:i/>
          <w:lang w:val="en-US"/>
        </w:rPr>
        <w:t xml:space="preserve">: </w:t>
      </w:r>
      <w:r w:rsidRPr="008711E7">
        <w:rPr>
          <w:i/>
          <w:color w:val="auto"/>
          <w:lang w:eastAsia="en-GB"/>
        </w:rPr>
        <w:t>Guidance for Approval of Senior Pay</w:t>
      </w:r>
      <w:r w:rsidRPr="008711E7">
        <w:rPr>
          <w:color w:val="auto"/>
          <w:lang w:eastAsia="en-GB"/>
        </w:rPr>
        <w:t xml:space="preserve"> (</w:t>
      </w:r>
      <w:r w:rsidR="00BF62F1">
        <w:rPr>
          <w:color w:val="auto"/>
          <w:lang w:eastAsia="en-GB"/>
        </w:rPr>
        <w:t>September 2021</w:t>
      </w:r>
      <w:r w:rsidRPr="008711E7">
        <w:rPr>
          <w:color w:val="auto"/>
          <w:lang w:eastAsia="en-GB"/>
        </w:rPr>
        <w:t>)</w:t>
      </w:r>
      <w:r w:rsidR="00FF1FA8" w:rsidRPr="008711E7">
        <w:rPr>
          <w:i/>
        </w:rPr>
        <w:t>.</w:t>
      </w:r>
      <w:r w:rsidR="00FF1FA8" w:rsidRPr="008711E7">
        <w:rPr>
          <w:rFonts w:cs="MetaPlusNormal-Roman"/>
          <w:i/>
          <w:lang w:val="en-US"/>
        </w:rPr>
        <w:t xml:space="preserve"> </w:t>
      </w:r>
      <w:r w:rsidRPr="008711E7">
        <w:rPr>
          <w:rFonts w:cs="MetaPlusNormal-Roman"/>
          <w:lang w:val="en-US"/>
        </w:rPr>
        <w:t>Increases in the</w:t>
      </w:r>
      <w:r w:rsidRPr="008711E7">
        <w:t xml:space="preserve"> </w:t>
      </w:r>
      <w:r>
        <w:t>Chief Commissioner and Chief Executive’s</w:t>
      </w:r>
      <w:r w:rsidRPr="008711E7">
        <w:t xml:space="preserve"> pay</w:t>
      </w:r>
      <w:r w:rsidRPr="008711E7">
        <w:rPr>
          <w:i/>
        </w:rPr>
        <w:t xml:space="preserve"> </w:t>
      </w:r>
      <w:r w:rsidRPr="008711E7">
        <w:t>are in line with the parameters of the Senior Salaries Review Board</w:t>
      </w:r>
      <w:r w:rsidRPr="008711E7">
        <w:rPr>
          <w:rFonts w:cs="MetaPlusNormal-Roman"/>
          <w:lang w:val="en-US"/>
        </w:rPr>
        <w:t>.</w:t>
      </w:r>
    </w:p>
    <w:p w14:paraId="28602590" w14:textId="77777777" w:rsidR="000C2A54" w:rsidRPr="008711E7" w:rsidRDefault="000C2A54" w:rsidP="000C2A54">
      <w:pPr>
        <w:autoSpaceDE w:val="0"/>
        <w:autoSpaceDN w:val="0"/>
        <w:adjustRightInd w:val="0"/>
        <w:rPr>
          <w:rFonts w:cs="MetaPlusNormal-Roman"/>
          <w:lang w:val="en-US"/>
        </w:rPr>
      </w:pPr>
    </w:p>
    <w:p w14:paraId="0B8DBF16" w14:textId="6E65616F" w:rsidR="000C2A54" w:rsidRPr="008711E7" w:rsidRDefault="000C2A54" w:rsidP="000C2A54">
      <w:pPr>
        <w:autoSpaceDE w:val="0"/>
        <w:autoSpaceDN w:val="0"/>
        <w:adjustRightInd w:val="0"/>
        <w:rPr>
          <w:rFonts w:cs="MetaPlusNormal-Roman"/>
          <w:lang w:val="en-US"/>
        </w:rPr>
      </w:pPr>
      <w:r w:rsidRPr="008711E7">
        <w:rPr>
          <w:rFonts w:cs="MetaPlusNormal-Roman"/>
          <w:lang w:val="en-US"/>
        </w:rPr>
        <w:t xml:space="preserve">The remuneration of Commission staff aligns with those of the </w:t>
      </w:r>
      <w:r w:rsidRPr="008711E7">
        <w:t>Northern Ireland</w:t>
      </w:r>
      <w:r w:rsidRPr="008711E7">
        <w:rPr>
          <w:rFonts w:cs="MetaPlusNormal-Roman"/>
          <w:lang w:val="en-US"/>
        </w:rPr>
        <w:t xml:space="preserve"> Civil Service, in common with its sister organisations</w:t>
      </w:r>
      <w:r w:rsidR="00FF1FA8" w:rsidRPr="008711E7">
        <w:rPr>
          <w:rFonts w:cs="MetaPlusNormal-Roman"/>
          <w:lang w:val="en-US"/>
        </w:rPr>
        <w:t xml:space="preserve">. </w:t>
      </w:r>
      <w:r w:rsidRPr="008711E7">
        <w:rPr>
          <w:rFonts w:cs="MetaPlusNormal-Roman"/>
          <w:lang w:val="en-US"/>
        </w:rPr>
        <w:t xml:space="preserve">These pay arrangements continue to be </w:t>
      </w:r>
      <w:r w:rsidR="000A30FB" w:rsidRPr="008711E7">
        <w:rPr>
          <w:rFonts w:cs="MetaPlusNormal-Roman"/>
          <w:lang w:val="en-US"/>
        </w:rPr>
        <w:t>performance</w:t>
      </w:r>
      <w:r w:rsidR="000A30FB" w:rsidRPr="008711E7">
        <w:t xml:space="preserve"> related</w:t>
      </w:r>
      <w:r w:rsidR="00FF1FA8" w:rsidRPr="008711E7">
        <w:rPr>
          <w:rFonts w:cs="MetaPlusNormal-Roman"/>
          <w:lang w:val="en-US"/>
        </w:rPr>
        <w:t xml:space="preserve">. </w:t>
      </w:r>
      <w:r w:rsidRPr="008711E7">
        <w:rPr>
          <w:rFonts w:cs="MetaPlusNormal-Roman"/>
          <w:lang w:val="en-US"/>
        </w:rPr>
        <w:t>Performance is appraised by line managers in respect of achievement of agreed objectives</w:t>
      </w:r>
      <w:r w:rsidR="00FF1FA8" w:rsidRPr="008711E7">
        <w:rPr>
          <w:rFonts w:cs="MetaPlusNormal-Roman"/>
          <w:lang w:val="en-US"/>
        </w:rPr>
        <w:t xml:space="preserve">. </w:t>
      </w:r>
    </w:p>
    <w:p w14:paraId="57E86431" w14:textId="77777777" w:rsidR="000C2A54" w:rsidRPr="008711E7" w:rsidRDefault="000C2A54" w:rsidP="000C2A54">
      <w:pPr>
        <w:autoSpaceDE w:val="0"/>
        <w:autoSpaceDN w:val="0"/>
        <w:adjustRightInd w:val="0"/>
        <w:rPr>
          <w:rFonts w:cs="MetaPlusNormal-Roman"/>
          <w:lang w:val="en-US"/>
        </w:rPr>
      </w:pPr>
    </w:p>
    <w:p w14:paraId="0958844B" w14:textId="566EAB08" w:rsidR="000C2A54" w:rsidRPr="008711E7" w:rsidRDefault="000C2A54" w:rsidP="000C2A54">
      <w:pPr>
        <w:autoSpaceDE w:val="0"/>
        <w:autoSpaceDN w:val="0"/>
        <w:adjustRightInd w:val="0"/>
      </w:pPr>
      <w:r w:rsidRPr="008711E7">
        <w:rPr>
          <w:rFonts w:cs="MetaPlusNormal-Roman"/>
          <w:lang w:val="en-US"/>
        </w:rPr>
        <w:t>The Chairperson of the Commission’s Audit and Risk Management Committee was appointed through open competition</w:t>
      </w:r>
      <w:r w:rsidR="00FF1FA8" w:rsidRPr="008711E7">
        <w:rPr>
          <w:rFonts w:cs="MetaPlusNormal-Roman"/>
          <w:lang w:val="en-US"/>
        </w:rPr>
        <w:t xml:space="preserve">. </w:t>
      </w:r>
      <w:r w:rsidRPr="008711E7">
        <w:rPr>
          <w:rFonts w:cs="MetaPlusNormal-Roman"/>
          <w:lang w:val="en-US"/>
        </w:rPr>
        <w:t xml:space="preserve">The Chairperson is remunerated at a rate of £350 per meeting (the Committee usually meets four times per year) and £350 per day (pro rata) for </w:t>
      </w:r>
      <w:r w:rsidRPr="008711E7">
        <w:t>other work undertaken on behalf of, and at the request of, the Commission.</w:t>
      </w:r>
    </w:p>
    <w:p w14:paraId="23D7F894" w14:textId="77777777" w:rsidR="000C2A54" w:rsidRPr="008711E7" w:rsidRDefault="000C2A54" w:rsidP="000C2A54">
      <w:pPr>
        <w:autoSpaceDE w:val="0"/>
        <w:autoSpaceDN w:val="0"/>
        <w:adjustRightInd w:val="0"/>
      </w:pPr>
    </w:p>
    <w:p w14:paraId="2F681C9C" w14:textId="1BB3D95D" w:rsidR="000C2A54" w:rsidRDefault="000C2A54" w:rsidP="000C2A54">
      <w:pPr>
        <w:autoSpaceDE w:val="0"/>
        <w:autoSpaceDN w:val="0"/>
        <w:adjustRightInd w:val="0"/>
      </w:pPr>
      <w:r>
        <w:t>The other members of the Audit</w:t>
      </w:r>
      <w:r w:rsidR="009C387D">
        <w:t xml:space="preserve"> and Risk Management Committee we</w:t>
      </w:r>
      <w:r>
        <w:t xml:space="preserve">re Commissioners </w:t>
      </w:r>
      <w:r w:rsidR="009C387D">
        <w:t>Eddie Rooney</w:t>
      </w:r>
      <w:r w:rsidR="00E53468">
        <w:t xml:space="preserve"> (until 31 August 2023)</w:t>
      </w:r>
      <w:r w:rsidR="009C387D">
        <w:t xml:space="preserve">; </w:t>
      </w:r>
      <w:r w:rsidR="00B150C2">
        <w:t>Helen Henderson</w:t>
      </w:r>
      <w:r w:rsidR="00E53468">
        <w:t xml:space="preserve"> (from </w:t>
      </w:r>
      <w:r w:rsidR="003067DE">
        <w:t>27 March 2024</w:t>
      </w:r>
      <w:r w:rsidR="00E53468">
        <w:t>)</w:t>
      </w:r>
      <w:r w:rsidR="00B150C2">
        <w:t xml:space="preserve">; </w:t>
      </w:r>
      <w:r w:rsidR="009C387D">
        <w:t>David A Lavery CB</w:t>
      </w:r>
      <w:r w:rsidR="008B2B4F">
        <w:t xml:space="preserve">; </w:t>
      </w:r>
      <w:r w:rsidR="00863A14">
        <w:t xml:space="preserve">and </w:t>
      </w:r>
      <w:r w:rsidR="008B2B4F">
        <w:t>Stephen White</w:t>
      </w:r>
      <w:r w:rsidR="00BF62F1">
        <w:t xml:space="preserve"> OBE</w:t>
      </w:r>
      <w:r>
        <w:t>.  They do not receive any additional remuneration for attendance at Committee meetings.</w:t>
      </w:r>
    </w:p>
    <w:p w14:paraId="481E5427" w14:textId="77777777" w:rsidR="000C2A54" w:rsidRPr="007F2DCD" w:rsidRDefault="000C2A54" w:rsidP="000C2A54">
      <w:pPr>
        <w:autoSpaceDE w:val="0"/>
        <w:autoSpaceDN w:val="0"/>
        <w:adjustRightInd w:val="0"/>
        <w:rPr>
          <w:sz w:val="22"/>
          <w:szCs w:val="22"/>
        </w:rPr>
      </w:pPr>
    </w:p>
    <w:p w14:paraId="4E8F40F2" w14:textId="77777777" w:rsidR="000C2A54" w:rsidRPr="008711E7" w:rsidRDefault="000C2A54" w:rsidP="000C2A54">
      <w:pPr>
        <w:autoSpaceDE w:val="0"/>
        <w:autoSpaceDN w:val="0"/>
        <w:adjustRightInd w:val="0"/>
        <w:rPr>
          <w:b/>
        </w:rPr>
      </w:pPr>
      <w:r w:rsidRPr="008711E7">
        <w:rPr>
          <w:b/>
        </w:rPr>
        <w:t>Contracts of employment</w:t>
      </w:r>
    </w:p>
    <w:p w14:paraId="68BB6984" w14:textId="77777777" w:rsidR="000C2A54" w:rsidRPr="008711E7" w:rsidRDefault="000C2A54" w:rsidP="000C2A54">
      <w:pPr>
        <w:jc w:val="both"/>
        <w:rPr>
          <w:b/>
        </w:rPr>
      </w:pPr>
    </w:p>
    <w:p w14:paraId="78CBD27A" w14:textId="77777777" w:rsidR="000C2A54" w:rsidRPr="008711E7" w:rsidRDefault="000C2A54" w:rsidP="000C2A54">
      <w:pPr>
        <w:jc w:val="both"/>
        <w:rPr>
          <w:rFonts w:cs="Arial"/>
        </w:rPr>
      </w:pPr>
      <w:r w:rsidRPr="008711E7">
        <w:rPr>
          <w:rFonts w:cs="Arial"/>
        </w:rPr>
        <w:t xml:space="preserve">The </w:t>
      </w:r>
      <w:bookmarkStart w:id="25" w:name="OLE_LINK1"/>
      <w:r w:rsidRPr="008711E7">
        <w:rPr>
          <w:rFonts w:cs="Arial"/>
        </w:rPr>
        <w:t xml:space="preserve">Chief Commissioner </w:t>
      </w:r>
      <w:bookmarkEnd w:id="25"/>
      <w:r w:rsidRPr="008711E7">
        <w:rPr>
          <w:rFonts w:cs="Arial"/>
        </w:rPr>
        <w:t>and Commission members</w:t>
      </w:r>
      <w:r w:rsidR="00F76370">
        <w:rPr>
          <w:rFonts w:cs="Arial"/>
        </w:rPr>
        <w:t xml:space="preserve"> are appointed for a period of five years and three</w:t>
      </w:r>
      <w:r w:rsidRPr="008711E7">
        <w:rPr>
          <w:rFonts w:cs="Arial"/>
        </w:rPr>
        <w:t xml:space="preserve"> years respectively by the Secretary of State for Northern Ireland.  Appointments comply with the principles of the Code of Practice of the Office of the Commissioner on Public Appointments (OCPA) </w:t>
      </w:r>
      <w:r w:rsidRPr="008711E7">
        <w:rPr>
          <w:rFonts w:cs="Arial"/>
          <w:i/>
        </w:rPr>
        <w:t>(www.ocpa.gov.uk)</w:t>
      </w:r>
      <w:r w:rsidRPr="008711E7">
        <w:rPr>
          <w:rFonts w:cs="Arial"/>
        </w:rPr>
        <w:t xml:space="preserve"> and in line with the Cabinet Code of Practice of Corporate Governance in central government departments.</w:t>
      </w:r>
    </w:p>
    <w:p w14:paraId="3E56973E" w14:textId="77777777" w:rsidR="000C2A54" w:rsidRPr="008711E7" w:rsidRDefault="000C2A54" w:rsidP="000C2A54">
      <w:pPr>
        <w:jc w:val="both"/>
        <w:rPr>
          <w:rFonts w:cs="Arial"/>
        </w:rPr>
      </w:pPr>
    </w:p>
    <w:p w14:paraId="1AF5085B" w14:textId="77777777" w:rsidR="000C2A54" w:rsidRPr="008711E7" w:rsidRDefault="000C2A54" w:rsidP="000C2A54">
      <w:pPr>
        <w:rPr>
          <w:rFonts w:cs="Arial"/>
          <w:b/>
        </w:rPr>
      </w:pPr>
      <w:r w:rsidRPr="008711E7">
        <w:rPr>
          <w:rFonts w:cs="Arial"/>
        </w:rPr>
        <w:t>The Secretary of State may extend the appointment of the Chief Commissioner for a further term or terms.  Such extensions may not exceed a maximum term in office of ten years.  The Secretary of State will normally give three months’ notice if an appointment is terminated.</w:t>
      </w:r>
    </w:p>
    <w:p w14:paraId="454E54F0" w14:textId="77777777" w:rsidR="000C2A54" w:rsidRPr="008711E7" w:rsidRDefault="000C2A54" w:rsidP="000C2A54">
      <w:pPr>
        <w:widowControl w:val="0"/>
        <w:tabs>
          <w:tab w:val="left" w:pos="567"/>
          <w:tab w:val="center" w:pos="8647"/>
        </w:tabs>
        <w:autoSpaceDE w:val="0"/>
        <w:autoSpaceDN w:val="0"/>
        <w:adjustRightInd w:val="0"/>
      </w:pPr>
    </w:p>
    <w:p w14:paraId="691D58C5" w14:textId="16696E2D" w:rsidR="000C2A54" w:rsidRPr="008711E7" w:rsidRDefault="000C2A54" w:rsidP="000C2A54">
      <w:pPr>
        <w:widowControl w:val="0"/>
        <w:tabs>
          <w:tab w:val="left" w:pos="567"/>
          <w:tab w:val="center" w:pos="8647"/>
        </w:tabs>
        <w:autoSpaceDE w:val="0"/>
        <w:autoSpaceDN w:val="0"/>
        <w:adjustRightInd w:val="0"/>
      </w:pPr>
      <w:r w:rsidRPr="008711E7">
        <w:t xml:space="preserve">Staff appointments are made in accordance with the Commission’s recruitment and selection policy, which requires appointments to be made strictly on merit and through fair and open competition.  </w:t>
      </w:r>
      <w:proofErr w:type="gramStart"/>
      <w:r w:rsidR="00192E19">
        <w:t>With the exception of</w:t>
      </w:r>
      <w:proofErr w:type="gramEnd"/>
      <w:r w:rsidR="00192E19">
        <w:t xml:space="preserve"> t</w:t>
      </w:r>
      <w:r w:rsidR="00162A3A">
        <w:t>hree</w:t>
      </w:r>
      <w:r w:rsidR="00192E19">
        <w:t xml:space="preserve"> fixed-term contracts, staff appointments are open-ended.  </w:t>
      </w:r>
      <w:r w:rsidRPr="008711E7">
        <w:t>Early termination, other than for misconduct, would normally result in the individual receiving compensation as set out in the Civil Service Compensation Scheme.</w:t>
      </w:r>
    </w:p>
    <w:p w14:paraId="25E378C0" w14:textId="77777777" w:rsidR="000C2A54" w:rsidRPr="007F2DCD" w:rsidRDefault="000C2A54" w:rsidP="000C2A54">
      <w:pPr>
        <w:rPr>
          <w:sz w:val="22"/>
          <w:szCs w:val="22"/>
        </w:rPr>
      </w:pPr>
    </w:p>
    <w:p w14:paraId="229C28E8" w14:textId="77777777" w:rsidR="000C2A54" w:rsidRPr="008711E7" w:rsidRDefault="000C2A54" w:rsidP="000C2A54">
      <w:r w:rsidRPr="008711E7">
        <w:t>The Commission’s age retirement policy enables members of staff who have reached the age at which they are entitled to draw their Commission pension (which for most staff is their sixtieth birthday) to choose the age at which they will retire.</w:t>
      </w:r>
    </w:p>
    <w:p w14:paraId="5BDA06E0" w14:textId="77777777" w:rsidR="000C2A54" w:rsidRPr="007F2DCD" w:rsidRDefault="000C2A54" w:rsidP="000C2A54">
      <w:pPr>
        <w:rPr>
          <w:sz w:val="22"/>
          <w:szCs w:val="22"/>
        </w:rPr>
      </w:pPr>
    </w:p>
    <w:p w14:paraId="56469ADD" w14:textId="77777777" w:rsidR="000C2A54" w:rsidRPr="008711E7" w:rsidRDefault="000C2A54" w:rsidP="000C2A54">
      <w:bookmarkStart w:id="26" w:name="RemunerationandPensionEntitlements"/>
      <w:r w:rsidRPr="008711E7">
        <w:rPr>
          <w:b/>
        </w:rPr>
        <w:t>Remuneration</w:t>
      </w:r>
      <w:r>
        <w:rPr>
          <w:b/>
        </w:rPr>
        <w:t xml:space="preserve"> (including salary) and pension entitlements</w:t>
      </w:r>
      <w:r w:rsidRPr="008711E7">
        <w:rPr>
          <w:i/>
        </w:rPr>
        <w:t xml:space="preserve"> </w:t>
      </w:r>
      <w:r w:rsidRPr="008711E7">
        <w:rPr>
          <w:b/>
        </w:rPr>
        <w:t>(audited information)</w:t>
      </w:r>
      <w:r w:rsidR="00C34C15">
        <w:rPr>
          <w:b/>
        </w:rPr>
        <w:t xml:space="preserve"> </w:t>
      </w:r>
    </w:p>
    <w:bookmarkEnd w:id="26"/>
    <w:p w14:paraId="6DAFE1CE" w14:textId="77777777" w:rsidR="000C2A54" w:rsidRPr="008711E7" w:rsidRDefault="000C2A54" w:rsidP="000C2A54"/>
    <w:p w14:paraId="0F768DA8" w14:textId="77777777" w:rsidR="000C2A54" w:rsidRDefault="000C2A54" w:rsidP="000C2A54">
      <w:pPr>
        <w:widowControl w:val="0"/>
        <w:tabs>
          <w:tab w:val="center" w:pos="8647"/>
        </w:tabs>
        <w:autoSpaceDE w:val="0"/>
        <w:autoSpaceDN w:val="0"/>
        <w:adjustRightInd w:val="0"/>
      </w:pPr>
      <w:r w:rsidRPr="008711E7">
        <w:t>The following section provides details of the remuneration and pension interests of the Commissioners and the Commission’s Management Team.</w:t>
      </w:r>
      <w:r w:rsidR="009C387D">
        <w:t xml:space="preserve"> </w:t>
      </w:r>
    </w:p>
    <w:p w14:paraId="5C381A59" w14:textId="77777777" w:rsidR="001A5161" w:rsidRDefault="001A5161" w:rsidP="000C2A54">
      <w:pPr>
        <w:widowControl w:val="0"/>
        <w:tabs>
          <w:tab w:val="center" w:pos="8647"/>
        </w:tabs>
        <w:autoSpaceDE w:val="0"/>
        <w:autoSpaceDN w:val="0"/>
        <w:adjustRightInd w:val="0"/>
      </w:pPr>
    </w:p>
    <w:p w14:paraId="1430F2E7" w14:textId="4C63A6B4" w:rsidR="000B425E" w:rsidRDefault="001A5161" w:rsidP="001A5161">
      <w:pPr>
        <w:rPr>
          <w:color w:val="auto"/>
          <w:lang w:eastAsia="en-GB"/>
        </w:rPr>
      </w:pPr>
      <w:r w:rsidRPr="001A5161">
        <w:rPr>
          <w:color w:val="auto"/>
          <w:lang w:eastAsia="en-GB"/>
        </w:rPr>
        <w:t>Accrued pension benefits for directors are not included in this table for 2023</w:t>
      </w:r>
      <w:r w:rsidR="006A67FC">
        <w:rPr>
          <w:color w:val="auto"/>
          <w:lang w:eastAsia="en-GB"/>
        </w:rPr>
        <w:t>-</w:t>
      </w:r>
      <w:r w:rsidRPr="001A5161">
        <w:rPr>
          <w:color w:val="auto"/>
          <w:lang w:eastAsia="en-GB"/>
        </w:rPr>
        <w:t>24 due to an exceptional delay in the calculation of these figures following the application of the public service pensions remedy.</w:t>
      </w:r>
    </w:p>
    <w:p w14:paraId="25FF2FEB" w14:textId="77777777" w:rsidR="000B425E" w:rsidRDefault="000B425E">
      <w:pPr>
        <w:rPr>
          <w:color w:val="auto"/>
          <w:lang w:eastAsia="en-GB"/>
        </w:rPr>
      </w:pPr>
      <w:r>
        <w:rPr>
          <w:color w:val="auto"/>
          <w:lang w:eastAsia="en-GB"/>
        </w:rPr>
        <w:br w:type="page"/>
      </w:r>
    </w:p>
    <w:tbl>
      <w:tblPr>
        <w:tblStyle w:val="TableGrid"/>
        <w:tblW w:w="9952" w:type="dxa"/>
        <w:tblInd w:w="-601" w:type="dxa"/>
        <w:tblLayout w:type="fixed"/>
        <w:tblLook w:val="04A0" w:firstRow="1" w:lastRow="0" w:firstColumn="1" w:lastColumn="0" w:noHBand="0" w:noVBand="1"/>
      </w:tblPr>
      <w:tblGrid>
        <w:gridCol w:w="2581"/>
        <w:gridCol w:w="850"/>
        <w:gridCol w:w="851"/>
        <w:gridCol w:w="850"/>
        <w:gridCol w:w="851"/>
        <w:gridCol w:w="992"/>
        <w:gridCol w:w="992"/>
        <w:gridCol w:w="993"/>
        <w:gridCol w:w="992"/>
      </w:tblGrid>
      <w:tr w:rsidR="009F0840" w14:paraId="79DC824A" w14:textId="77777777" w:rsidTr="54F71CB4">
        <w:tc>
          <w:tcPr>
            <w:tcW w:w="9952" w:type="dxa"/>
            <w:gridSpan w:val="9"/>
          </w:tcPr>
          <w:p w14:paraId="73D1E796" w14:textId="77777777" w:rsidR="009F0840" w:rsidRDefault="009F0840" w:rsidP="000C2A54">
            <w:pPr>
              <w:widowControl w:val="0"/>
              <w:tabs>
                <w:tab w:val="center" w:pos="8647"/>
              </w:tabs>
              <w:autoSpaceDE w:val="0"/>
              <w:autoSpaceDN w:val="0"/>
              <w:adjustRightInd w:val="0"/>
              <w:rPr>
                <w:sz w:val="20"/>
                <w:szCs w:val="20"/>
              </w:rPr>
            </w:pPr>
            <w:r>
              <w:rPr>
                <w:sz w:val="20"/>
                <w:szCs w:val="20"/>
              </w:rPr>
              <w:t>Single total figure of remuneration (</w:t>
            </w:r>
            <w:r w:rsidR="00CC02A7">
              <w:rPr>
                <w:sz w:val="20"/>
                <w:szCs w:val="20"/>
              </w:rPr>
              <w:t>audited information)</w:t>
            </w:r>
          </w:p>
          <w:p w14:paraId="56AE5AC1" w14:textId="77777777" w:rsidR="009F0840" w:rsidRPr="00D23890" w:rsidRDefault="009F0840" w:rsidP="000C2A54">
            <w:pPr>
              <w:widowControl w:val="0"/>
              <w:tabs>
                <w:tab w:val="center" w:pos="8647"/>
              </w:tabs>
              <w:autoSpaceDE w:val="0"/>
              <w:autoSpaceDN w:val="0"/>
              <w:adjustRightInd w:val="0"/>
              <w:rPr>
                <w:sz w:val="20"/>
                <w:szCs w:val="20"/>
              </w:rPr>
            </w:pPr>
          </w:p>
        </w:tc>
      </w:tr>
      <w:tr w:rsidR="009F0840" w14:paraId="0611A3B8" w14:textId="77777777" w:rsidTr="54F71CB4">
        <w:tc>
          <w:tcPr>
            <w:tcW w:w="2581" w:type="dxa"/>
          </w:tcPr>
          <w:p w14:paraId="1B7F4B78" w14:textId="77777777" w:rsidR="009F0840" w:rsidRPr="005B72C1" w:rsidRDefault="009F0840" w:rsidP="000C2A54">
            <w:pPr>
              <w:widowControl w:val="0"/>
              <w:tabs>
                <w:tab w:val="center" w:pos="8647"/>
              </w:tabs>
              <w:autoSpaceDE w:val="0"/>
              <w:autoSpaceDN w:val="0"/>
              <w:adjustRightInd w:val="0"/>
              <w:rPr>
                <w:sz w:val="20"/>
                <w:szCs w:val="20"/>
                <w:highlight w:val="yellow"/>
              </w:rPr>
            </w:pPr>
          </w:p>
        </w:tc>
        <w:tc>
          <w:tcPr>
            <w:tcW w:w="1701" w:type="dxa"/>
            <w:gridSpan w:val="2"/>
          </w:tcPr>
          <w:p w14:paraId="7D7EF45C" w14:textId="77777777"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Salary (£’000)</w:t>
            </w:r>
          </w:p>
        </w:tc>
        <w:tc>
          <w:tcPr>
            <w:tcW w:w="1701" w:type="dxa"/>
            <w:gridSpan w:val="2"/>
          </w:tcPr>
          <w:p w14:paraId="3CC981F9" w14:textId="59FCDE09" w:rsidR="00F61A65" w:rsidRDefault="009F0840" w:rsidP="000C2A54">
            <w:pPr>
              <w:widowControl w:val="0"/>
              <w:tabs>
                <w:tab w:val="center" w:pos="8647"/>
              </w:tabs>
              <w:autoSpaceDE w:val="0"/>
              <w:autoSpaceDN w:val="0"/>
              <w:adjustRightInd w:val="0"/>
              <w:rPr>
                <w:sz w:val="20"/>
                <w:szCs w:val="20"/>
              </w:rPr>
            </w:pPr>
            <w:r w:rsidRPr="00D23890">
              <w:rPr>
                <w:sz w:val="20"/>
                <w:szCs w:val="20"/>
              </w:rPr>
              <w:t>Benefits in kind (to nearest £100)</w:t>
            </w:r>
          </w:p>
          <w:p w14:paraId="198C02BA" w14:textId="77777777" w:rsidR="009F0840" w:rsidRPr="00D23890" w:rsidRDefault="009F0840" w:rsidP="000C2A54">
            <w:pPr>
              <w:widowControl w:val="0"/>
              <w:tabs>
                <w:tab w:val="center" w:pos="8647"/>
              </w:tabs>
              <w:autoSpaceDE w:val="0"/>
              <w:autoSpaceDN w:val="0"/>
              <w:adjustRightInd w:val="0"/>
              <w:rPr>
                <w:sz w:val="20"/>
                <w:szCs w:val="20"/>
              </w:rPr>
            </w:pPr>
          </w:p>
        </w:tc>
        <w:tc>
          <w:tcPr>
            <w:tcW w:w="1984" w:type="dxa"/>
            <w:gridSpan w:val="2"/>
          </w:tcPr>
          <w:p w14:paraId="2B51682C" w14:textId="77777777"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Pension benefits (</w:t>
            </w:r>
            <w:r w:rsidR="00F14FA6">
              <w:rPr>
                <w:sz w:val="20"/>
                <w:szCs w:val="20"/>
              </w:rPr>
              <w:t>to nearest £1,</w:t>
            </w:r>
            <w:r w:rsidRPr="00D23890">
              <w:rPr>
                <w:sz w:val="20"/>
                <w:szCs w:val="20"/>
              </w:rPr>
              <w:t>000)</w:t>
            </w:r>
            <w:r w:rsidR="0056637D">
              <w:rPr>
                <w:rStyle w:val="FootnoteReference"/>
                <w:sz w:val="20"/>
                <w:szCs w:val="20"/>
              </w:rPr>
              <w:footnoteReference w:id="3"/>
            </w:r>
          </w:p>
        </w:tc>
        <w:tc>
          <w:tcPr>
            <w:tcW w:w="1985" w:type="dxa"/>
            <w:gridSpan w:val="2"/>
          </w:tcPr>
          <w:p w14:paraId="6D162836" w14:textId="77777777" w:rsidR="009F0840" w:rsidRPr="00D23890" w:rsidRDefault="009F0840" w:rsidP="000C2A54">
            <w:pPr>
              <w:widowControl w:val="0"/>
              <w:tabs>
                <w:tab w:val="center" w:pos="8647"/>
              </w:tabs>
              <w:autoSpaceDE w:val="0"/>
              <w:autoSpaceDN w:val="0"/>
              <w:adjustRightInd w:val="0"/>
              <w:rPr>
                <w:sz w:val="20"/>
                <w:szCs w:val="20"/>
              </w:rPr>
            </w:pPr>
            <w:r w:rsidRPr="00D23890">
              <w:rPr>
                <w:sz w:val="20"/>
                <w:szCs w:val="20"/>
              </w:rPr>
              <w:t>Total (£’000)</w:t>
            </w:r>
          </w:p>
        </w:tc>
      </w:tr>
      <w:tr w:rsidR="00013EDA" w14:paraId="42A69D3A" w14:textId="77777777" w:rsidTr="54F71CB4">
        <w:tc>
          <w:tcPr>
            <w:tcW w:w="2581" w:type="dxa"/>
          </w:tcPr>
          <w:p w14:paraId="6DC2864F" w14:textId="77777777" w:rsidR="00013EDA" w:rsidRPr="005B72C1" w:rsidRDefault="00013EDA" w:rsidP="00013EDA">
            <w:pPr>
              <w:widowControl w:val="0"/>
              <w:tabs>
                <w:tab w:val="center" w:pos="8647"/>
              </w:tabs>
              <w:autoSpaceDE w:val="0"/>
              <w:autoSpaceDN w:val="0"/>
              <w:adjustRightInd w:val="0"/>
              <w:rPr>
                <w:sz w:val="20"/>
                <w:szCs w:val="20"/>
                <w:highlight w:val="yellow"/>
              </w:rPr>
            </w:pPr>
          </w:p>
        </w:tc>
        <w:tc>
          <w:tcPr>
            <w:tcW w:w="850" w:type="dxa"/>
          </w:tcPr>
          <w:p w14:paraId="653E1F49" w14:textId="78C52F57" w:rsidR="00013EDA" w:rsidRPr="00D23890" w:rsidRDefault="00013EDA" w:rsidP="00013EDA">
            <w:pPr>
              <w:widowControl w:val="0"/>
              <w:tabs>
                <w:tab w:val="center" w:pos="8647"/>
              </w:tabs>
              <w:autoSpaceDE w:val="0"/>
              <w:autoSpaceDN w:val="0"/>
              <w:adjustRightInd w:val="0"/>
              <w:rPr>
                <w:sz w:val="20"/>
                <w:szCs w:val="20"/>
              </w:rPr>
            </w:pPr>
            <w:r>
              <w:rPr>
                <w:sz w:val="20"/>
                <w:szCs w:val="20"/>
              </w:rPr>
              <w:t>202</w:t>
            </w:r>
            <w:r w:rsidR="00D34FCE">
              <w:rPr>
                <w:sz w:val="20"/>
                <w:szCs w:val="20"/>
              </w:rPr>
              <w:t>3</w:t>
            </w:r>
            <w:r>
              <w:rPr>
                <w:sz w:val="20"/>
                <w:szCs w:val="20"/>
              </w:rPr>
              <w:t xml:space="preserve"> - 2</w:t>
            </w:r>
            <w:r w:rsidR="00D34FCE">
              <w:rPr>
                <w:sz w:val="20"/>
                <w:szCs w:val="20"/>
              </w:rPr>
              <w:t>4</w:t>
            </w:r>
          </w:p>
        </w:tc>
        <w:tc>
          <w:tcPr>
            <w:tcW w:w="851" w:type="dxa"/>
          </w:tcPr>
          <w:p w14:paraId="6A5F8722" w14:textId="7B973CB9" w:rsidR="00013EDA" w:rsidRDefault="00013EDA" w:rsidP="00013EDA">
            <w:pPr>
              <w:widowControl w:val="0"/>
              <w:tabs>
                <w:tab w:val="center" w:pos="8647"/>
              </w:tabs>
              <w:autoSpaceDE w:val="0"/>
              <w:autoSpaceDN w:val="0"/>
              <w:adjustRightInd w:val="0"/>
              <w:rPr>
                <w:sz w:val="20"/>
                <w:szCs w:val="20"/>
              </w:rPr>
            </w:pPr>
            <w:r>
              <w:rPr>
                <w:sz w:val="20"/>
                <w:szCs w:val="20"/>
              </w:rPr>
              <w:t>202</w:t>
            </w:r>
            <w:r w:rsidR="00602A07">
              <w:rPr>
                <w:sz w:val="20"/>
                <w:szCs w:val="20"/>
              </w:rPr>
              <w:t>2</w:t>
            </w:r>
            <w:r>
              <w:rPr>
                <w:sz w:val="20"/>
                <w:szCs w:val="20"/>
              </w:rPr>
              <w:t>-2</w:t>
            </w:r>
            <w:r w:rsidR="00602A07">
              <w:rPr>
                <w:sz w:val="20"/>
                <w:szCs w:val="20"/>
              </w:rPr>
              <w:t>3</w:t>
            </w:r>
          </w:p>
          <w:p w14:paraId="77BA64B3" w14:textId="77777777" w:rsidR="00013EDA" w:rsidRPr="00D23890" w:rsidRDefault="00013EDA" w:rsidP="00013EDA">
            <w:pPr>
              <w:widowControl w:val="0"/>
              <w:tabs>
                <w:tab w:val="center" w:pos="8647"/>
              </w:tabs>
              <w:autoSpaceDE w:val="0"/>
              <w:autoSpaceDN w:val="0"/>
              <w:adjustRightInd w:val="0"/>
              <w:rPr>
                <w:sz w:val="20"/>
                <w:szCs w:val="20"/>
              </w:rPr>
            </w:pPr>
          </w:p>
        </w:tc>
        <w:tc>
          <w:tcPr>
            <w:tcW w:w="850" w:type="dxa"/>
          </w:tcPr>
          <w:p w14:paraId="44B62F19" w14:textId="5789C4A1" w:rsidR="00013EDA" w:rsidRPr="00D23890" w:rsidRDefault="00013EDA" w:rsidP="00013EDA">
            <w:pPr>
              <w:widowControl w:val="0"/>
              <w:tabs>
                <w:tab w:val="center" w:pos="8647"/>
              </w:tabs>
              <w:autoSpaceDE w:val="0"/>
              <w:autoSpaceDN w:val="0"/>
              <w:adjustRightInd w:val="0"/>
              <w:rPr>
                <w:sz w:val="20"/>
                <w:szCs w:val="20"/>
              </w:rPr>
            </w:pPr>
            <w:r>
              <w:rPr>
                <w:sz w:val="20"/>
                <w:szCs w:val="20"/>
              </w:rPr>
              <w:t>202</w:t>
            </w:r>
            <w:r w:rsidR="000D130C">
              <w:rPr>
                <w:sz w:val="20"/>
                <w:szCs w:val="20"/>
              </w:rPr>
              <w:t>3</w:t>
            </w:r>
            <w:r>
              <w:rPr>
                <w:sz w:val="20"/>
                <w:szCs w:val="20"/>
              </w:rPr>
              <w:t xml:space="preserve"> - 2</w:t>
            </w:r>
            <w:r w:rsidR="000D130C">
              <w:rPr>
                <w:sz w:val="20"/>
                <w:szCs w:val="20"/>
              </w:rPr>
              <w:t>4</w:t>
            </w:r>
          </w:p>
        </w:tc>
        <w:tc>
          <w:tcPr>
            <w:tcW w:w="851" w:type="dxa"/>
          </w:tcPr>
          <w:p w14:paraId="1C39A687" w14:textId="7CA17068" w:rsidR="00013EDA" w:rsidRPr="00D23890" w:rsidRDefault="00013EDA" w:rsidP="00013EDA">
            <w:pPr>
              <w:widowControl w:val="0"/>
              <w:tabs>
                <w:tab w:val="center" w:pos="8647"/>
              </w:tabs>
              <w:autoSpaceDE w:val="0"/>
              <w:autoSpaceDN w:val="0"/>
              <w:adjustRightInd w:val="0"/>
              <w:rPr>
                <w:sz w:val="20"/>
                <w:szCs w:val="20"/>
              </w:rPr>
            </w:pPr>
            <w:r>
              <w:rPr>
                <w:sz w:val="20"/>
                <w:szCs w:val="20"/>
              </w:rPr>
              <w:t>202</w:t>
            </w:r>
            <w:r w:rsidR="000D130C">
              <w:rPr>
                <w:sz w:val="20"/>
                <w:szCs w:val="20"/>
              </w:rPr>
              <w:t>2</w:t>
            </w:r>
            <w:r>
              <w:rPr>
                <w:sz w:val="20"/>
                <w:szCs w:val="20"/>
              </w:rPr>
              <w:t>-2</w:t>
            </w:r>
            <w:r w:rsidR="000D130C">
              <w:rPr>
                <w:sz w:val="20"/>
                <w:szCs w:val="20"/>
              </w:rPr>
              <w:t>3</w:t>
            </w:r>
          </w:p>
        </w:tc>
        <w:tc>
          <w:tcPr>
            <w:tcW w:w="992" w:type="dxa"/>
          </w:tcPr>
          <w:p w14:paraId="6AB657B7" w14:textId="2EB1723B" w:rsidR="00013EDA" w:rsidRPr="00D23890" w:rsidRDefault="00013EDA" w:rsidP="00013EDA">
            <w:pPr>
              <w:widowControl w:val="0"/>
              <w:tabs>
                <w:tab w:val="center" w:pos="8647"/>
              </w:tabs>
              <w:autoSpaceDE w:val="0"/>
              <w:autoSpaceDN w:val="0"/>
              <w:adjustRightInd w:val="0"/>
              <w:rPr>
                <w:sz w:val="20"/>
                <w:szCs w:val="20"/>
              </w:rPr>
            </w:pPr>
            <w:r>
              <w:rPr>
                <w:sz w:val="20"/>
                <w:szCs w:val="20"/>
              </w:rPr>
              <w:t>202</w:t>
            </w:r>
            <w:r w:rsidR="000D130C">
              <w:rPr>
                <w:sz w:val="20"/>
                <w:szCs w:val="20"/>
              </w:rPr>
              <w:t>3</w:t>
            </w:r>
            <w:r>
              <w:rPr>
                <w:sz w:val="20"/>
                <w:szCs w:val="20"/>
              </w:rPr>
              <w:t xml:space="preserve"> - 2</w:t>
            </w:r>
            <w:r w:rsidR="000D130C">
              <w:rPr>
                <w:sz w:val="20"/>
                <w:szCs w:val="20"/>
              </w:rPr>
              <w:t>4</w:t>
            </w:r>
          </w:p>
        </w:tc>
        <w:tc>
          <w:tcPr>
            <w:tcW w:w="992" w:type="dxa"/>
          </w:tcPr>
          <w:p w14:paraId="704FFD0A" w14:textId="6185813B" w:rsidR="00013EDA" w:rsidRPr="00D23890" w:rsidRDefault="00013EDA" w:rsidP="00013EDA">
            <w:pPr>
              <w:widowControl w:val="0"/>
              <w:tabs>
                <w:tab w:val="center" w:pos="8647"/>
              </w:tabs>
              <w:autoSpaceDE w:val="0"/>
              <w:autoSpaceDN w:val="0"/>
              <w:adjustRightInd w:val="0"/>
              <w:rPr>
                <w:sz w:val="20"/>
                <w:szCs w:val="20"/>
              </w:rPr>
            </w:pPr>
            <w:r>
              <w:rPr>
                <w:sz w:val="20"/>
                <w:szCs w:val="20"/>
              </w:rPr>
              <w:t>202</w:t>
            </w:r>
            <w:r w:rsidR="000D130C">
              <w:rPr>
                <w:sz w:val="20"/>
                <w:szCs w:val="20"/>
              </w:rPr>
              <w:t>2</w:t>
            </w:r>
            <w:r>
              <w:rPr>
                <w:sz w:val="20"/>
                <w:szCs w:val="20"/>
              </w:rPr>
              <w:t>-2</w:t>
            </w:r>
            <w:r w:rsidR="000D130C">
              <w:rPr>
                <w:sz w:val="20"/>
                <w:szCs w:val="20"/>
              </w:rPr>
              <w:t>3</w:t>
            </w:r>
          </w:p>
        </w:tc>
        <w:tc>
          <w:tcPr>
            <w:tcW w:w="993" w:type="dxa"/>
          </w:tcPr>
          <w:p w14:paraId="47AB689C" w14:textId="02F9BE20" w:rsidR="00013EDA" w:rsidRPr="00D23890" w:rsidRDefault="00013EDA" w:rsidP="00013EDA">
            <w:pPr>
              <w:widowControl w:val="0"/>
              <w:tabs>
                <w:tab w:val="center" w:pos="8647"/>
              </w:tabs>
              <w:autoSpaceDE w:val="0"/>
              <w:autoSpaceDN w:val="0"/>
              <w:adjustRightInd w:val="0"/>
              <w:rPr>
                <w:sz w:val="20"/>
                <w:szCs w:val="20"/>
              </w:rPr>
            </w:pPr>
            <w:r>
              <w:rPr>
                <w:sz w:val="20"/>
                <w:szCs w:val="20"/>
              </w:rPr>
              <w:t>202</w:t>
            </w:r>
            <w:r w:rsidR="000D130C">
              <w:rPr>
                <w:sz w:val="20"/>
                <w:szCs w:val="20"/>
              </w:rPr>
              <w:t>3</w:t>
            </w:r>
            <w:r>
              <w:rPr>
                <w:sz w:val="20"/>
                <w:szCs w:val="20"/>
              </w:rPr>
              <w:t xml:space="preserve"> </w:t>
            </w:r>
            <w:r w:rsidR="000D130C">
              <w:rPr>
                <w:sz w:val="20"/>
                <w:szCs w:val="20"/>
              </w:rPr>
              <w:t>–</w:t>
            </w:r>
            <w:r>
              <w:rPr>
                <w:sz w:val="20"/>
                <w:szCs w:val="20"/>
              </w:rPr>
              <w:t xml:space="preserve"> 2</w:t>
            </w:r>
            <w:r w:rsidR="000D130C">
              <w:rPr>
                <w:sz w:val="20"/>
                <w:szCs w:val="20"/>
              </w:rPr>
              <w:t>4</w:t>
            </w:r>
          </w:p>
        </w:tc>
        <w:tc>
          <w:tcPr>
            <w:tcW w:w="992" w:type="dxa"/>
          </w:tcPr>
          <w:p w14:paraId="15D90BCE" w14:textId="5B12E8B4" w:rsidR="00013EDA" w:rsidRPr="00D23890" w:rsidRDefault="00013EDA" w:rsidP="00013EDA">
            <w:pPr>
              <w:widowControl w:val="0"/>
              <w:tabs>
                <w:tab w:val="center" w:pos="8647"/>
              </w:tabs>
              <w:autoSpaceDE w:val="0"/>
              <w:autoSpaceDN w:val="0"/>
              <w:adjustRightInd w:val="0"/>
              <w:rPr>
                <w:sz w:val="20"/>
                <w:szCs w:val="20"/>
              </w:rPr>
            </w:pPr>
            <w:r>
              <w:rPr>
                <w:sz w:val="20"/>
                <w:szCs w:val="20"/>
              </w:rPr>
              <w:t>202</w:t>
            </w:r>
            <w:r w:rsidR="000D130C">
              <w:rPr>
                <w:sz w:val="20"/>
                <w:szCs w:val="20"/>
              </w:rPr>
              <w:t>2</w:t>
            </w:r>
            <w:r>
              <w:rPr>
                <w:sz w:val="20"/>
                <w:szCs w:val="20"/>
              </w:rPr>
              <w:t>-2</w:t>
            </w:r>
            <w:r w:rsidR="000D130C">
              <w:rPr>
                <w:sz w:val="20"/>
                <w:szCs w:val="20"/>
              </w:rPr>
              <w:t>3</w:t>
            </w:r>
          </w:p>
        </w:tc>
      </w:tr>
      <w:tr w:rsidR="00013EDA" w14:paraId="09B1E541" w14:textId="77777777" w:rsidTr="54F71CB4">
        <w:tc>
          <w:tcPr>
            <w:tcW w:w="2581" w:type="dxa"/>
            <w:vAlign w:val="center"/>
          </w:tcPr>
          <w:p w14:paraId="2328DD2B" w14:textId="77777777" w:rsidR="00013EDA" w:rsidRDefault="00013EDA" w:rsidP="00013EDA">
            <w:pPr>
              <w:rPr>
                <w:b/>
                <w:sz w:val="18"/>
                <w:szCs w:val="18"/>
              </w:rPr>
            </w:pPr>
            <w:proofErr w:type="spellStart"/>
            <w:r>
              <w:rPr>
                <w:b/>
                <w:sz w:val="18"/>
                <w:szCs w:val="18"/>
              </w:rPr>
              <w:t>Ms</w:t>
            </w:r>
            <w:proofErr w:type="spellEnd"/>
            <w:r>
              <w:rPr>
                <w:b/>
                <w:sz w:val="18"/>
                <w:szCs w:val="18"/>
              </w:rPr>
              <w:t xml:space="preserve"> Alyson Kilpatrick</w:t>
            </w:r>
          </w:p>
          <w:p w14:paraId="71B97C41" w14:textId="77777777" w:rsidR="00013EDA" w:rsidRDefault="00013EDA" w:rsidP="00013EDA">
            <w:pPr>
              <w:rPr>
                <w:sz w:val="18"/>
                <w:szCs w:val="18"/>
              </w:rPr>
            </w:pPr>
            <w:r>
              <w:rPr>
                <w:sz w:val="18"/>
                <w:szCs w:val="18"/>
              </w:rPr>
              <w:t>Chief Commissioner</w:t>
            </w:r>
          </w:p>
          <w:p w14:paraId="1257A0EB" w14:textId="22E2AE28" w:rsidR="00013EDA" w:rsidRPr="00EA4AB9" w:rsidRDefault="00013EDA" w:rsidP="54F71CB4">
            <w:pPr>
              <w:rPr>
                <w:sz w:val="18"/>
                <w:szCs w:val="18"/>
              </w:rPr>
            </w:pPr>
          </w:p>
        </w:tc>
        <w:tc>
          <w:tcPr>
            <w:tcW w:w="850" w:type="dxa"/>
          </w:tcPr>
          <w:p w14:paraId="46C5005B" w14:textId="77777777" w:rsidR="00013EDA" w:rsidRDefault="00013EDA" w:rsidP="0046013C">
            <w:pPr>
              <w:widowControl w:val="0"/>
              <w:tabs>
                <w:tab w:val="center" w:pos="8647"/>
              </w:tabs>
              <w:autoSpaceDE w:val="0"/>
              <w:autoSpaceDN w:val="0"/>
              <w:adjustRightInd w:val="0"/>
              <w:jc w:val="center"/>
              <w:rPr>
                <w:sz w:val="18"/>
                <w:szCs w:val="18"/>
              </w:rPr>
            </w:pPr>
          </w:p>
          <w:p w14:paraId="284CEABF" w14:textId="502AC866" w:rsidR="00760EB1" w:rsidRDefault="002F417A" w:rsidP="0046013C">
            <w:pPr>
              <w:widowControl w:val="0"/>
              <w:tabs>
                <w:tab w:val="center" w:pos="8647"/>
              </w:tabs>
              <w:autoSpaceDE w:val="0"/>
              <w:autoSpaceDN w:val="0"/>
              <w:adjustRightInd w:val="0"/>
              <w:jc w:val="center"/>
              <w:rPr>
                <w:sz w:val="18"/>
                <w:szCs w:val="18"/>
              </w:rPr>
            </w:pPr>
            <w:r>
              <w:rPr>
                <w:sz w:val="18"/>
                <w:szCs w:val="18"/>
              </w:rPr>
              <w:t>80-85</w:t>
            </w:r>
          </w:p>
          <w:p w14:paraId="0EAB8A9D" w14:textId="6CB56690"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623EEF4B" w14:textId="77777777" w:rsidR="00013EDA" w:rsidRDefault="00013EDA" w:rsidP="0046013C">
            <w:pPr>
              <w:widowControl w:val="0"/>
              <w:tabs>
                <w:tab w:val="center" w:pos="8647"/>
              </w:tabs>
              <w:autoSpaceDE w:val="0"/>
              <w:autoSpaceDN w:val="0"/>
              <w:adjustRightInd w:val="0"/>
              <w:jc w:val="center"/>
              <w:rPr>
                <w:sz w:val="18"/>
                <w:szCs w:val="18"/>
              </w:rPr>
            </w:pPr>
          </w:p>
          <w:p w14:paraId="779F1D73" w14:textId="096A69C0" w:rsidR="00013EDA" w:rsidRDefault="00602A07" w:rsidP="0046013C">
            <w:pPr>
              <w:widowControl w:val="0"/>
              <w:tabs>
                <w:tab w:val="center" w:pos="8647"/>
              </w:tabs>
              <w:autoSpaceDE w:val="0"/>
              <w:autoSpaceDN w:val="0"/>
              <w:adjustRightInd w:val="0"/>
              <w:jc w:val="center"/>
              <w:rPr>
                <w:sz w:val="18"/>
                <w:szCs w:val="18"/>
              </w:rPr>
            </w:pPr>
            <w:r>
              <w:rPr>
                <w:sz w:val="18"/>
                <w:szCs w:val="18"/>
              </w:rPr>
              <w:t>75-80</w:t>
            </w:r>
          </w:p>
        </w:tc>
        <w:tc>
          <w:tcPr>
            <w:tcW w:w="850" w:type="dxa"/>
          </w:tcPr>
          <w:p w14:paraId="2E39B133" w14:textId="77777777" w:rsidR="00013EDA" w:rsidRDefault="00013EDA" w:rsidP="0046013C">
            <w:pPr>
              <w:widowControl w:val="0"/>
              <w:tabs>
                <w:tab w:val="center" w:pos="8647"/>
              </w:tabs>
              <w:autoSpaceDE w:val="0"/>
              <w:autoSpaceDN w:val="0"/>
              <w:adjustRightInd w:val="0"/>
              <w:jc w:val="center"/>
              <w:rPr>
                <w:sz w:val="18"/>
                <w:szCs w:val="18"/>
              </w:rPr>
            </w:pPr>
          </w:p>
          <w:p w14:paraId="764FC512" w14:textId="0C102882"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5F5CAC62" w14:textId="77777777" w:rsidR="00013EDA" w:rsidRDefault="00013EDA" w:rsidP="0046013C">
            <w:pPr>
              <w:widowControl w:val="0"/>
              <w:tabs>
                <w:tab w:val="center" w:pos="8647"/>
              </w:tabs>
              <w:autoSpaceDE w:val="0"/>
              <w:autoSpaceDN w:val="0"/>
              <w:adjustRightInd w:val="0"/>
              <w:jc w:val="center"/>
              <w:rPr>
                <w:sz w:val="18"/>
                <w:szCs w:val="18"/>
              </w:rPr>
            </w:pPr>
          </w:p>
          <w:p w14:paraId="05A6E104" w14:textId="014E048C"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A01013D" w14:textId="77777777" w:rsidR="00013EDA" w:rsidRDefault="00013EDA" w:rsidP="0046013C">
            <w:pPr>
              <w:widowControl w:val="0"/>
              <w:tabs>
                <w:tab w:val="center" w:pos="8647"/>
              </w:tabs>
              <w:autoSpaceDE w:val="0"/>
              <w:autoSpaceDN w:val="0"/>
              <w:adjustRightInd w:val="0"/>
              <w:jc w:val="center"/>
              <w:rPr>
                <w:sz w:val="18"/>
                <w:szCs w:val="18"/>
              </w:rPr>
            </w:pPr>
          </w:p>
          <w:p w14:paraId="6CD53118" w14:textId="19060CB3" w:rsidR="003D1DAB" w:rsidRDefault="003D1DAB" w:rsidP="0046013C">
            <w:pPr>
              <w:widowControl w:val="0"/>
              <w:tabs>
                <w:tab w:val="center" w:pos="8647"/>
              </w:tabs>
              <w:autoSpaceDE w:val="0"/>
              <w:autoSpaceDN w:val="0"/>
              <w:adjustRightInd w:val="0"/>
              <w:jc w:val="center"/>
              <w:rPr>
                <w:sz w:val="18"/>
                <w:szCs w:val="18"/>
              </w:rPr>
            </w:pPr>
          </w:p>
        </w:tc>
        <w:tc>
          <w:tcPr>
            <w:tcW w:w="992" w:type="dxa"/>
          </w:tcPr>
          <w:p w14:paraId="389AF1B8" w14:textId="77777777" w:rsidR="00013EDA" w:rsidRDefault="00013EDA" w:rsidP="0046013C">
            <w:pPr>
              <w:widowControl w:val="0"/>
              <w:tabs>
                <w:tab w:val="center" w:pos="8647"/>
              </w:tabs>
              <w:autoSpaceDE w:val="0"/>
              <w:autoSpaceDN w:val="0"/>
              <w:adjustRightInd w:val="0"/>
              <w:jc w:val="center"/>
              <w:rPr>
                <w:sz w:val="18"/>
                <w:szCs w:val="18"/>
              </w:rPr>
            </w:pPr>
          </w:p>
          <w:p w14:paraId="4C74F635" w14:textId="6D20C60A" w:rsidR="00013EDA" w:rsidRDefault="000D130C" w:rsidP="0046013C">
            <w:pPr>
              <w:widowControl w:val="0"/>
              <w:tabs>
                <w:tab w:val="center" w:pos="8647"/>
              </w:tabs>
              <w:autoSpaceDE w:val="0"/>
              <w:autoSpaceDN w:val="0"/>
              <w:adjustRightInd w:val="0"/>
              <w:jc w:val="center"/>
              <w:rPr>
                <w:sz w:val="18"/>
                <w:szCs w:val="18"/>
              </w:rPr>
            </w:pPr>
            <w:r>
              <w:rPr>
                <w:sz w:val="18"/>
                <w:szCs w:val="18"/>
              </w:rPr>
              <w:t>30</w:t>
            </w:r>
            <w:r w:rsidR="00013EDA">
              <w:rPr>
                <w:sz w:val="18"/>
                <w:szCs w:val="18"/>
              </w:rPr>
              <w:t>,000</w:t>
            </w:r>
          </w:p>
        </w:tc>
        <w:tc>
          <w:tcPr>
            <w:tcW w:w="993" w:type="dxa"/>
          </w:tcPr>
          <w:p w14:paraId="03039E1F" w14:textId="77777777" w:rsidR="00013EDA" w:rsidRDefault="00013EDA" w:rsidP="0046013C">
            <w:pPr>
              <w:widowControl w:val="0"/>
              <w:tabs>
                <w:tab w:val="center" w:pos="8647"/>
              </w:tabs>
              <w:autoSpaceDE w:val="0"/>
              <w:autoSpaceDN w:val="0"/>
              <w:adjustRightInd w:val="0"/>
              <w:jc w:val="center"/>
              <w:rPr>
                <w:sz w:val="18"/>
                <w:szCs w:val="18"/>
                <w:vertAlign w:val="superscript"/>
              </w:rPr>
            </w:pPr>
          </w:p>
          <w:p w14:paraId="74726108" w14:textId="272425FE" w:rsidR="0046013C" w:rsidRPr="0046013C" w:rsidRDefault="00691471" w:rsidP="0046013C">
            <w:pPr>
              <w:widowControl w:val="0"/>
              <w:tabs>
                <w:tab w:val="center" w:pos="8647"/>
              </w:tabs>
              <w:autoSpaceDE w:val="0"/>
              <w:autoSpaceDN w:val="0"/>
              <w:adjustRightInd w:val="0"/>
              <w:jc w:val="center"/>
              <w:rPr>
                <w:sz w:val="18"/>
                <w:szCs w:val="18"/>
              </w:rPr>
            </w:pPr>
            <w:r>
              <w:rPr>
                <w:sz w:val="18"/>
                <w:szCs w:val="18"/>
              </w:rPr>
              <w:t>80-85</w:t>
            </w:r>
          </w:p>
        </w:tc>
        <w:tc>
          <w:tcPr>
            <w:tcW w:w="992" w:type="dxa"/>
          </w:tcPr>
          <w:p w14:paraId="724FEB6B" w14:textId="77777777" w:rsidR="00013EDA" w:rsidRDefault="00013EDA" w:rsidP="0046013C">
            <w:pPr>
              <w:widowControl w:val="0"/>
              <w:tabs>
                <w:tab w:val="center" w:pos="8647"/>
              </w:tabs>
              <w:autoSpaceDE w:val="0"/>
              <w:autoSpaceDN w:val="0"/>
              <w:adjustRightInd w:val="0"/>
              <w:jc w:val="center"/>
              <w:rPr>
                <w:sz w:val="18"/>
                <w:szCs w:val="18"/>
              </w:rPr>
            </w:pPr>
          </w:p>
          <w:p w14:paraId="49958F93" w14:textId="61C8301E" w:rsidR="00013EDA" w:rsidRDefault="000D130C" w:rsidP="0046013C">
            <w:pPr>
              <w:widowControl w:val="0"/>
              <w:tabs>
                <w:tab w:val="center" w:pos="8647"/>
              </w:tabs>
              <w:autoSpaceDE w:val="0"/>
              <w:autoSpaceDN w:val="0"/>
              <w:adjustRightInd w:val="0"/>
              <w:jc w:val="center"/>
              <w:rPr>
                <w:sz w:val="18"/>
                <w:szCs w:val="18"/>
              </w:rPr>
            </w:pPr>
            <w:r>
              <w:rPr>
                <w:sz w:val="18"/>
                <w:szCs w:val="18"/>
              </w:rPr>
              <w:t>105</w:t>
            </w:r>
            <w:r w:rsidR="00013EDA">
              <w:rPr>
                <w:sz w:val="18"/>
                <w:szCs w:val="18"/>
              </w:rPr>
              <w:t>-</w:t>
            </w:r>
            <w:r>
              <w:rPr>
                <w:sz w:val="18"/>
                <w:szCs w:val="18"/>
              </w:rPr>
              <w:t>110</w:t>
            </w:r>
          </w:p>
        </w:tc>
      </w:tr>
      <w:tr w:rsidR="00013EDA" w14:paraId="66E9567B" w14:textId="77777777" w:rsidTr="54F71CB4">
        <w:tc>
          <w:tcPr>
            <w:tcW w:w="2581" w:type="dxa"/>
            <w:vAlign w:val="center"/>
          </w:tcPr>
          <w:p w14:paraId="08B4A2D8" w14:textId="77777777" w:rsidR="00013EDA" w:rsidRDefault="00013EDA" w:rsidP="00013EDA">
            <w:pPr>
              <w:rPr>
                <w:b/>
                <w:sz w:val="18"/>
                <w:szCs w:val="18"/>
              </w:rPr>
            </w:pPr>
            <w:proofErr w:type="spellStart"/>
            <w:r>
              <w:rPr>
                <w:b/>
                <w:sz w:val="18"/>
                <w:szCs w:val="18"/>
              </w:rPr>
              <w:t>Mr</w:t>
            </w:r>
            <w:proofErr w:type="spellEnd"/>
            <w:r>
              <w:rPr>
                <w:b/>
                <w:sz w:val="18"/>
                <w:szCs w:val="18"/>
              </w:rPr>
              <w:t xml:space="preserve"> Eddie Rooney</w:t>
            </w:r>
          </w:p>
          <w:p w14:paraId="14D7DCBD" w14:textId="77777777" w:rsidR="00013EDA" w:rsidRDefault="00013EDA" w:rsidP="00013EDA">
            <w:pPr>
              <w:rPr>
                <w:sz w:val="18"/>
                <w:szCs w:val="18"/>
              </w:rPr>
            </w:pPr>
            <w:r>
              <w:rPr>
                <w:sz w:val="18"/>
                <w:szCs w:val="18"/>
              </w:rPr>
              <w:t>Commissioner</w:t>
            </w:r>
          </w:p>
          <w:p w14:paraId="1162B918" w14:textId="2BAB8353" w:rsidR="00D34FCE" w:rsidRDefault="00D34FCE" w:rsidP="00013EDA">
            <w:pPr>
              <w:rPr>
                <w:sz w:val="18"/>
                <w:szCs w:val="18"/>
              </w:rPr>
            </w:pPr>
            <w:r>
              <w:rPr>
                <w:sz w:val="18"/>
                <w:szCs w:val="18"/>
              </w:rPr>
              <w:t>(until 31 August 2023)</w:t>
            </w:r>
          </w:p>
          <w:p w14:paraId="383BEED7" w14:textId="77777777" w:rsidR="00013EDA" w:rsidRDefault="00013EDA" w:rsidP="00013EDA">
            <w:pPr>
              <w:rPr>
                <w:b/>
                <w:sz w:val="18"/>
                <w:szCs w:val="18"/>
              </w:rPr>
            </w:pPr>
          </w:p>
        </w:tc>
        <w:tc>
          <w:tcPr>
            <w:tcW w:w="850" w:type="dxa"/>
          </w:tcPr>
          <w:p w14:paraId="6E468013" w14:textId="77777777" w:rsidR="00013EDA" w:rsidRDefault="00013EDA" w:rsidP="0046013C">
            <w:pPr>
              <w:widowControl w:val="0"/>
              <w:tabs>
                <w:tab w:val="center" w:pos="8647"/>
              </w:tabs>
              <w:autoSpaceDE w:val="0"/>
              <w:autoSpaceDN w:val="0"/>
              <w:adjustRightInd w:val="0"/>
              <w:jc w:val="center"/>
              <w:rPr>
                <w:sz w:val="18"/>
                <w:szCs w:val="18"/>
              </w:rPr>
            </w:pPr>
          </w:p>
          <w:p w14:paraId="26EC58FB" w14:textId="04AEBCFC" w:rsidR="00760EB1" w:rsidRPr="0023451F" w:rsidRDefault="004359DC" w:rsidP="0046013C">
            <w:pPr>
              <w:widowControl w:val="0"/>
              <w:tabs>
                <w:tab w:val="center" w:pos="8647"/>
              </w:tabs>
              <w:autoSpaceDE w:val="0"/>
              <w:autoSpaceDN w:val="0"/>
              <w:adjustRightInd w:val="0"/>
              <w:jc w:val="center"/>
              <w:rPr>
                <w:sz w:val="18"/>
                <w:szCs w:val="18"/>
              </w:rPr>
            </w:pPr>
            <w:r>
              <w:rPr>
                <w:sz w:val="18"/>
                <w:szCs w:val="18"/>
              </w:rPr>
              <w:t>0-5</w:t>
            </w:r>
            <w:r w:rsidR="00194B60">
              <w:rPr>
                <w:rStyle w:val="FootnoteReference"/>
                <w:sz w:val="18"/>
                <w:szCs w:val="18"/>
              </w:rPr>
              <w:footnoteReference w:id="4"/>
            </w:r>
          </w:p>
          <w:p w14:paraId="0667467B" w14:textId="77777777" w:rsidR="0023451F" w:rsidRPr="0023451F" w:rsidRDefault="0023451F" w:rsidP="0046013C">
            <w:pPr>
              <w:widowControl w:val="0"/>
              <w:tabs>
                <w:tab w:val="center" w:pos="8647"/>
              </w:tabs>
              <w:autoSpaceDE w:val="0"/>
              <w:autoSpaceDN w:val="0"/>
              <w:adjustRightInd w:val="0"/>
              <w:jc w:val="center"/>
              <w:rPr>
                <w:sz w:val="18"/>
                <w:szCs w:val="18"/>
                <w:vertAlign w:val="superscript"/>
              </w:rPr>
            </w:pPr>
          </w:p>
          <w:p w14:paraId="21AC4E2B" w14:textId="062C8C1D"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40670E67" w14:textId="77777777" w:rsidR="00013EDA" w:rsidRDefault="00013EDA" w:rsidP="0046013C">
            <w:pPr>
              <w:widowControl w:val="0"/>
              <w:tabs>
                <w:tab w:val="center" w:pos="8647"/>
              </w:tabs>
              <w:autoSpaceDE w:val="0"/>
              <w:autoSpaceDN w:val="0"/>
              <w:adjustRightInd w:val="0"/>
              <w:jc w:val="center"/>
              <w:rPr>
                <w:sz w:val="18"/>
                <w:szCs w:val="18"/>
              </w:rPr>
            </w:pPr>
          </w:p>
          <w:p w14:paraId="21EEEDE9" w14:textId="4CA04AA7"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6629BD6A" w14:textId="77777777" w:rsidR="00013EDA" w:rsidRDefault="00013EDA" w:rsidP="0046013C">
            <w:pPr>
              <w:widowControl w:val="0"/>
              <w:tabs>
                <w:tab w:val="center" w:pos="8647"/>
              </w:tabs>
              <w:autoSpaceDE w:val="0"/>
              <w:autoSpaceDN w:val="0"/>
              <w:adjustRightInd w:val="0"/>
              <w:jc w:val="center"/>
              <w:rPr>
                <w:sz w:val="18"/>
                <w:szCs w:val="18"/>
              </w:rPr>
            </w:pPr>
          </w:p>
          <w:p w14:paraId="6A546711" w14:textId="6CFB9F03"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0F1D48EA" w14:textId="77777777" w:rsidR="00013EDA" w:rsidRDefault="00013EDA" w:rsidP="0046013C">
            <w:pPr>
              <w:widowControl w:val="0"/>
              <w:tabs>
                <w:tab w:val="center" w:pos="8647"/>
              </w:tabs>
              <w:autoSpaceDE w:val="0"/>
              <w:autoSpaceDN w:val="0"/>
              <w:adjustRightInd w:val="0"/>
              <w:jc w:val="center"/>
              <w:rPr>
                <w:sz w:val="18"/>
                <w:szCs w:val="18"/>
              </w:rPr>
            </w:pPr>
          </w:p>
          <w:p w14:paraId="63A5583C" w14:textId="7182E7DF"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19307E3F" w14:textId="77777777" w:rsidR="00013EDA" w:rsidRDefault="00013EDA" w:rsidP="0046013C">
            <w:pPr>
              <w:widowControl w:val="0"/>
              <w:tabs>
                <w:tab w:val="center" w:pos="8647"/>
              </w:tabs>
              <w:autoSpaceDE w:val="0"/>
              <w:autoSpaceDN w:val="0"/>
              <w:adjustRightInd w:val="0"/>
              <w:jc w:val="center"/>
              <w:rPr>
                <w:sz w:val="18"/>
                <w:szCs w:val="18"/>
              </w:rPr>
            </w:pPr>
          </w:p>
          <w:p w14:paraId="2C1534D9" w14:textId="7467EC3C"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DFF93A2" w14:textId="77777777" w:rsidR="00013EDA" w:rsidRDefault="00013EDA" w:rsidP="0046013C">
            <w:pPr>
              <w:widowControl w:val="0"/>
              <w:tabs>
                <w:tab w:val="center" w:pos="8647"/>
              </w:tabs>
              <w:autoSpaceDE w:val="0"/>
              <w:autoSpaceDN w:val="0"/>
              <w:adjustRightInd w:val="0"/>
              <w:jc w:val="center"/>
              <w:rPr>
                <w:sz w:val="18"/>
                <w:szCs w:val="18"/>
              </w:rPr>
            </w:pPr>
          </w:p>
          <w:p w14:paraId="4283817D" w14:textId="20CF6021"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6D6D7D7C" w14:textId="77777777" w:rsidR="00013EDA" w:rsidRDefault="00013EDA" w:rsidP="0046013C">
            <w:pPr>
              <w:widowControl w:val="0"/>
              <w:tabs>
                <w:tab w:val="center" w:pos="8647"/>
              </w:tabs>
              <w:autoSpaceDE w:val="0"/>
              <w:autoSpaceDN w:val="0"/>
              <w:adjustRightInd w:val="0"/>
              <w:jc w:val="center"/>
              <w:rPr>
                <w:sz w:val="18"/>
                <w:szCs w:val="18"/>
              </w:rPr>
            </w:pPr>
          </w:p>
          <w:p w14:paraId="4A0B7DF0" w14:textId="0461F413" w:rsidR="0046013C" w:rsidRDefault="00691471" w:rsidP="0046013C">
            <w:pPr>
              <w:widowControl w:val="0"/>
              <w:tabs>
                <w:tab w:val="center" w:pos="8647"/>
              </w:tabs>
              <w:autoSpaceDE w:val="0"/>
              <w:autoSpaceDN w:val="0"/>
              <w:adjustRightInd w:val="0"/>
              <w:jc w:val="center"/>
              <w:rPr>
                <w:sz w:val="18"/>
                <w:szCs w:val="18"/>
              </w:rPr>
            </w:pPr>
            <w:r>
              <w:rPr>
                <w:sz w:val="18"/>
                <w:szCs w:val="18"/>
              </w:rPr>
              <w:t>0-5</w:t>
            </w:r>
          </w:p>
        </w:tc>
        <w:tc>
          <w:tcPr>
            <w:tcW w:w="992" w:type="dxa"/>
          </w:tcPr>
          <w:p w14:paraId="374C56E6" w14:textId="77777777" w:rsidR="00013EDA" w:rsidRDefault="00013EDA" w:rsidP="0046013C">
            <w:pPr>
              <w:widowControl w:val="0"/>
              <w:tabs>
                <w:tab w:val="center" w:pos="8647"/>
              </w:tabs>
              <w:autoSpaceDE w:val="0"/>
              <w:autoSpaceDN w:val="0"/>
              <w:adjustRightInd w:val="0"/>
              <w:jc w:val="center"/>
              <w:rPr>
                <w:sz w:val="18"/>
                <w:szCs w:val="18"/>
              </w:rPr>
            </w:pPr>
          </w:p>
          <w:p w14:paraId="1CD30812" w14:textId="0BF5D5F1" w:rsidR="0046013C" w:rsidRDefault="0046013C" w:rsidP="0046013C">
            <w:pPr>
              <w:widowControl w:val="0"/>
              <w:tabs>
                <w:tab w:val="center" w:pos="8647"/>
              </w:tabs>
              <w:autoSpaceDE w:val="0"/>
              <w:autoSpaceDN w:val="0"/>
              <w:adjustRightInd w:val="0"/>
              <w:jc w:val="center"/>
              <w:rPr>
                <w:sz w:val="18"/>
                <w:szCs w:val="18"/>
              </w:rPr>
            </w:pPr>
            <w:r>
              <w:rPr>
                <w:sz w:val="18"/>
                <w:szCs w:val="18"/>
              </w:rPr>
              <w:t>5-10</w:t>
            </w:r>
          </w:p>
        </w:tc>
      </w:tr>
      <w:tr w:rsidR="00013EDA" w14:paraId="616843E7" w14:textId="77777777" w:rsidTr="54F71CB4">
        <w:tc>
          <w:tcPr>
            <w:tcW w:w="2581" w:type="dxa"/>
            <w:vAlign w:val="center"/>
          </w:tcPr>
          <w:p w14:paraId="20A79283" w14:textId="77777777" w:rsidR="00013EDA" w:rsidRDefault="00013EDA" w:rsidP="00013EDA">
            <w:pPr>
              <w:rPr>
                <w:b/>
                <w:sz w:val="18"/>
                <w:szCs w:val="18"/>
              </w:rPr>
            </w:pPr>
            <w:proofErr w:type="spellStart"/>
            <w:r>
              <w:rPr>
                <w:b/>
                <w:sz w:val="18"/>
                <w:szCs w:val="18"/>
              </w:rPr>
              <w:t>Ms</w:t>
            </w:r>
            <w:proofErr w:type="spellEnd"/>
            <w:r>
              <w:rPr>
                <w:b/>
                <w:sz w:val="18"/>
                <w:szCs w:val="18"/>
              </w:rPr>
              <w:t xml:space="preserve"> Helen Henderson</w:t>
            </w:r>
          </w:p>
          <w:p w14:paraId="57AC7FA9" w14:textId="77777777" w:rsidR="00013EDA" w:rsidRDefault="00013EDA" w:rsidP="00013EDA">
            <w:pPr>
              <w:rPr>
                <w:sz w:val="18"/>
                <w:szCs w:val="18"/>
              </w:rPr>
            </w:pPr>
            <w:r>
              <w:rPr>
                <w:sz w:val="18"/>
                <w:szCs w:val="18"/>
              </w:rPr>
              <w:t xml:space="preserve">Commissioner </w:t>
            </w:r>
          </w:p>
          <w:p w14:paraId="0FAA4898" w14:textId="77777777" w:rsidR="00013EDA" w:rsidRPr="001D785A" w:rsidRDefault="00013EDA" w:rsidP="00013EDA">
            <w:pPr>
              <w:rPr>
                <w:sz w:val="18"/>
                <w:szCs w:val="18"/>
              </w:rPr>
            </w:pPr>
          </w:p>
        </w:tc>
        <w:tc>
          <w:tcPr>
            <w:tcW w:w="850" w:type="dxa"/>
          </w:tcPr>
          <w:p w14:paraId="12AFACAA" w14:textId="77777777" w:rsidR="00013EDA" w:rsidRDefault="00013EDA" w:rsidP="0046013C">
            <w:pPr>
              <w:widowControl w:val="0"/>
              <w:tabs>
                <w:tab w:val="center" w:pos="8647"/>
              </w:tabs>
              <w:autoSpaceDE w:val="0"/>
              <w:autoSpaceDN w:val="0"/>
              <w:adjustRightInd w:val="0"/>
              <w:jc w:val="center"/>
              <w:rPr>
                <w:sz w:val="18"/>
                <w:szCs w:val="18"/>
              </w:rPr>
            </w:pPr>
          </w:p>
          <w:p w14:paraId="53AF74CA" w14:textId="20BF7762" w:rsidR="00760EB1" w:rsidRDefault="007245E3" w:rsidP="0046013C">
            <w:pPr>
              <w:widowControl w:val="0"/>
              <w:tabs>
                <w:tab w:val="center" w:pos="8647"/>
              </w:tabs>
              <w:autoSpaceDE w:val="0"/>
              <w:autoSpaceDN w:val="0"/>
              <w:adjustRightInd w:val="0"/>
              <w:jc w:val="center"/>
              <w:rPr>
                <w:sz w:val="18"/>
                <w:szCs w:val="18"/>
              </w:rPr>
            </w:pPr>
            <w:r>
              <w:rPr>
                <w:sz w:val="18"/>
                <w:szCs w:val="18"/>
              </w:rPr>
              <w:t>5-10</w:t>
            </w:r>
          </w:p>
          <w:p w14:paraId="787FA722" w14:textId="7607FA4A"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4CAD51C3" w14:textId="77777777" w:rsidR="00013EDA" w:rsidRDefault="00013EDA" w:rsidP="0046013C">
            <w:pPr>
              <w:widowControl w:val="0"/>
              <w:tabs>
                <w:tab w:val="center" w:pos="8647"/>
              </w:tabs>
              <w:autoSpaceDE w:val="0"/>
              <w:autoSpaceDN w:val="0"/>
              <w:adjustRightInd w:val="0"/>
              <w:jc w:val="center"/>
              <w:rPr>
                <w:sz w:val="18"/>
                <w:szCs w:val="18"/>
              </w:rPr>
            </w:pPr>
          </w:p>
          <w:p w14:paraId="12122433" w14:textId="30268021"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5D0363D6" w14:textId="77777777" w:rsidR="00013EDA" w:rsidRDefault="00013EDA" w:rsidP="0046013C">
            <w:pPr>
              <w:widowControl w:val="0"/>
              <w:tabs>
                <w:tab w:val="center" w:pos="8647"/>
              </w:tabs>
              <w:autoSpaceDE w:val="0"/>
              <w:autoSpaceDN w:val="0"/>
              <w:adjustRightInd w:val="0"/>
              <w:jc w:val="center"/>
              <w:rPr>
                <w:sz w:val="18"/>
                <w:szCs w:val="18"/>
              </w:rPr>
            </w:pPr>
          </w:p>
          <w:p w14:paraId="6619E221" w14:textId="7CD4061E"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7CD15611" w14:textId="77777777" w:rsidR="00013EDA" w:rsidRDefault="00013EDA" w:rsidP="0046013C">
            <w:pPr>
              <w:widowControl w:val="0"/>
              <w:tabs>
                <w:tab w:val="center" w:pos="8647"/>
              </w:tabs>
              <w:autoSpaceDE w:val="0"/>
              <w:autoSpaceDN w:val="0"/>
              <w:adjustRightInd w:val="0"/>
              <w:jc w:val="center"/>
              <w:rPr>
                <w:sz w:val="18"/>
                <w:szCs w:val="18"/>
              </w:rPr>
            </w:pPr>
          </w:p>
          <w:p w14:paraId="7CF3F984" w14:textId="05DFC55D"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4B5903C" w14:textId="77777777" w:rsidR="00013EDA" w:rsidRDefault="00013EDA" w:rsidP="0046013C">
            <w:pPr>
              <w:widowControl w:val="0"/>
              <w:tabs>
                <w:tab w:val="center" w:pos="8647"/>
              </w:tabs>
              <w:autoSpaceDE w:val="0"/>
              <w:autoSpaceDN w:val="0"/>
              <w:adjustRightInd w:val="0"/>
              <w:jc w:val="center"/>
              <w:rPr>
                <w:sz w:val="18"/>
                <w:szCs w:val="18"/>
              </w:rPr>
            </w:pPr>
          </w:p>
          <w:p w14:paraId="52FB3147" w14:textId="246B2C5C"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10C85D94" w14:textId="77777777" w:rsidR="00013EDA" w:rsidRDefault="00013EDA" w:rsidP="0046013C">
            <w:pPr>
              <w:widowControl w:val="0"/>
              <w:tabs>
                <w:tab w:val="center" w:pos="8647"/>
              </w:tabs>
              <w:autoSpaceDE w:val="0"/>
              <w:autoSpaceDN w:val="0"/>
              <w:adjustRightInd w:val="0"/>
              <w:jc w:val="center"/>
              <w:rPr>
                <w:sz w:val="18"/>
                <w:szCs w:val="18"/>
              </w:rPr>
            </w:pPr>
          </w:p>
          <w:p w14:paraId="19EC8BA7" w14:textId="71BABEFE"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0502B594" w14:textId="77777777" w:rsidR="00013EDA" w:rsidRDefault="00013EDA" w:rsidP="0046013C">
            <w:pPr>
              <w:widowControl w:val="0"/>
              <w:tabs>
                <w:tab w:val="center" w:pos="8647"/>
              </w:tabs>
              <w:autoSpaceDE w:val="0"/>
              <w:autoSpaceDN w:val="0"/>
              <w:adjustRightInd w:val="0"/>
              <w:jc w:val="center"/>
              <w:rPr>
                <w:sz w:val="18"/>
                <w:szCs w:val="18"/>
              </w:rPr>
            </w:pPr>
          </w:p>
          <w:p w14:paraId="47614815" w14:textId="4B6355EB" w:rsidR="0046013C" w:rsidRDefault="00691471"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40AF6F64" w14:textId="77777777" w:rsidR="00013EDA" w:rsidRDefault="00013EDA" w:rsidP="0046013C">
            <w:pPr>
              <w:widowControl w:val="0"/>
              <w:tabs>
                <w:tab w:val="center" w:pos="8647"/>
              </w:tabs>
              <w:autoSpaceDE w:val="0"/>
              <w:autoSpaceDN w:val="0"/>
              <w:adjustRightInd w:val="0"/>
              <w:jc w:val="center"/>
              <w:rPr>
                <w:sz w:val="18"/>
                <w:szCs w:val="18"/>
              </w:rPr>
            </w:pPr>
          </w:p>
          <w:p w14:paraId="65C21338" w14:textId="25512E6A"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013EDA" w14:paraId="3E79CDDE" w14:textId="77777777" w:rsidTr="54F71CB4">
        <w:tc>
          <w:tcPr>
            <w:tcW w:w="2581" w:type="dxa"/>
            <w:vAlign w:val="center"/>
          </w:tcPr>
          <w:p w14:paraId="7801D8B8" w14:textId="77777777" w:rsidR="00013EDA" w:rsidRDefault="00013EDA" w:rsidP="00013EDA">
            <w:pPr>
              <w:rPr>
                <w:sz w:val="18"/>
                <w:szCs w:val="18"/>
              </w:rPr>
            </w:pPr>
            <w:proofErr w:type="spellStart"/>
            <w:r>
              <w:rPr>
                <w:b/>
                <w:sz w:val="18"/>
                <w:szCs w:val="18"/>
              </w:rPr>
              <w:t>Mr</w:t>
            </w:r>
            <w:proofErr w:type="spellEnd"/>
            <w:r>
              <w:rPr>
                <w:b/>
                <w:sz w:val="18"/>
                <w:szCs w:val="18"/>
              </w:rPr>
              <w:t xml:space="preserve"> Jonathan Kearney</w:t>
            </w:r>
            <w:r>
              <w:rPr>
                <w:sz w:val="18"/>
                <w:szCs w:val="18"/>
              </w:rPr>
              <w:t xml:space="preserve"> Commissioner </w:t>
            </w:r>
          </w:p>
          <w:p w14:paraId="79E408F2" w14:textId="77777777" w:rsidR="00013EDA" w:rsidRPr="001D785A" w:rsidRDefault="00013EDA" w:rsidP="00013EDA">
            <w:pPr>
              <w:rPr>
                <w:sz w:val="18"/>
                <w:szCs w:val="18"/>
              </w:rPr>
            </w:pPr>
          </w:p>
        </w:tc>
        <w:tc>
          <w:tcPr>
            <w:tcW w:w="850" w:type="dxa"/>
          </w:tcPr>
          <w:p w14:paraId="3C3820BA" w14:textId="77777777" w:rsidR="00013EDA" w:rsidRDefault="00013EDA" w:rsidP="0046013C">
            <w:pPr>
              <w:widowControl w:val="0"/>
              <w:tabs>
                <w:tab w:val="center" w:pos="8647"/>
              </w:tabs>
              <w:autoSpaceDE w:val="0"/>
              <w:autoSpaceDN w:val="0"/>
              <w:adjustRightInd w:val="0"/>
              <w:jc w:val="center"/>
              <w:rPr>
                <w:sz w:val="18"/>
                <w:szCs w:val="18"/>
              </w:rPr>
            </w:pPr>
          </w:p>
          <w:p w14:paraId="252FEC32" w14:textId="582E2F0A" w:rsidR="00760EB1" w:rsidRDefault="007245E3" w:rsidP="0046013C">
            <w:pPr>
              <w:widowControl w:val="0"/>
              <w:tabs>
                <w:tab w:val="center" w:pos="8647"/>
              </w:tabs>
              <w:autoSpaceDE w:val="0"/>
              <w:autoSpaceDN w:val="0"/>
              <w:adjustRightInd w:val="0"/>
              <w:jc w:val="center"/>
              <w:rPr>
                <w:sz w:val="18"/>
                <w:szCs w:val="18"/>
              </w:rPr>
            </w:pPr>
            <w:r>
              <w:rPr>
                <w:sz w:val="18"/>
                <w:szCs w:val="18"/>
              </w:rPr>
              <w:t>5-10</w:t>
            </w:r>
          </w:p>
          <w:p w14:paraId="504C604D" w14:textId="2B19ED35"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4ECABDD6" w14:textId="77777777" w:rsidR="00013EDA" w:rsidRDefault="00013EDA" w:rsidP="0046013C">
            <w:pPr>
              <w:widowControl w:val="0"/>
              <w:tabs>
                <w:tab w:val="center" w:pos="8647"/>
              </w:tabs>
              <w:autoSpaceDE w:val="0"/>
              <w:autoSpaceDN w:val="0"/>
              <w:adjustRightInd w:val="0"/>
              <w:jc w:val="center"/>
              <w:rPr>
                <w:sz w:val="18"/>
                <w:szCs w:val="18"/>
              </w:rPr>
            </w:pPr>
          </w:p>
          <w:p w14:paraId="236E5342" w14:textId="52E18B37"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5A7CD54E" w14:textId="77777777" w:rsidR="00013EDA" w:rsidRDefault="00013EDA" w:rsidP="0046013C">
            <w:pPr>
              <w:widowControl w:val="0"/>
              <w:tabs>
                <w:tab w:val="center" w:pos="8647"/>
              </w:tabs>
              <w:autoSpaceDE w:val="0"/>
              <w:autoSpaceDN w:val="0"/>
              <w:adjustRightInd w:val="0"/>
              <w:jc w:val="center"/>
              <w:rPr>
                <w:sz w:val="18"/>
                <w:szCs w:val="18"/>
              </w:rPr>
            </w:pPr>
          </w:p>
          <w:p w14:paraId="020FF25F" w14:textId="6E2E2F28"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31E5595C" w14:textId="77777777" w:rsidR="00013EDA" w:rsidRDefault="00013EDA" w:rsidP="0046013C">
            <w:pPr>
              <w:widowControl w:val="0"/>
              <w:tabs>
                <w:tab w:val="center" w:pos="8647"/>
              </w:tabs>
              <w:autoSpaceDE w:val="0"/>
              <w:autoSpaceDN w:val="0"/>
              <w:adjustRightInd w:val="0"/>
              <w:jc w:val="center"/>
              <w:rPr>
                <w:sz w:val="18"/>
                <w:szCs w:val="18"/>
              </w:rPr>
            </w:pPr>
          </w:p>
          <w:p w14:paraId="66EF21B6" w14:textId="29C2C531" w:rsidR="00013EDA" w:rsidRDefault="000D130C"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F2B11F7" w14:textId="77777777" w:rsidR="00013EDA" w:rsidRDefault="00013EDA" w:rsidP="0046013C">
            <w:pPr>
              <w:widowControl w:val="0"/>
              <w:tabs>
                <w:tab w:val="center" w:pos="8647"/>
              </w:tabs>
              <w:autoSpaceDE w:val="0"/>
              <w:autoSpaceDN w:val="0"/>
              <w:adjustRightInd w:val="0"/>
              <w:jc w:val="center"/>
              <w:rPr>
                <w:sz w:val="18"/>
                <w:szCs w:val="18"/>
              </w:rPr>
            </w:pPr>
          </w:p>
          <w:p w14:paraId="6AD5A528" w14:textId="625D168E"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7D869157" w14:textId="77777777" w:rsidR="00013EDA" w:rsidRDefault="00013EDA" w:rsidP="0046013C">
            <w:pPr>
              <w:widowControl w:val="0"/>
              <w:tabs>
                <w:tab w:val="center" w:pos="8647"/>
              </w:tabs>
              <w:autoSpaceDE w:val="0"/>
              <w:autoSpaceDN w:val="0"/>
              <w:adjustRightInd w:val="0"/>
              <w:jc w:val="center"/>
              <w:rPr>
                <w:sz w:val="18"/>
                <w:szCs w:val="18"/>
              </w:rPr>
            </w:pPr>
          </w:p>
          <w:p w14:paraId="75288C88" w14:textId="2E82A6D9"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04D2BC80" w14:textId="77777777" w:rsidR="00013EDA" w:rsidRDefault="00013EDA" w:rsidP="0046013C">
            <w:pPr>
              <w:widowControl w:val="0"/>
              <w:tabs>
                <w:tab w:val="center" w:pos="8647"/>
              </w:tabs>
              <w:autoSpaceDE w:val="0"/>
              <w:autoSpaceDN w:val="0"/>
              <w:adjustRightInd w:val="0"/>
              <w:jc w:val="center"/>
              <w:rPr>
                <w:sz w:val="18"/>
                <w:szCs w:val="18"/>
              </w:rPr>
            </w:pPr>
          </w:p>
          <w:p w14:paraId="4878170A" w14:textId="57E51823" w:rsidR="0046013C" w:rsidRDefault="0084122D"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434892FB" w14:textId="77777777" w:rsidR="00013EDA" w:rsidRDefault="00013EDA" w:rsidP="0046013C">
            <w:pPr>
              <w:widowControl w:val="0"/>
              <w:tabs>
                <w:tab w:val="center" w:pos="8647"/>
              </w:tabs>
              <w:autoSpaceDE w:val="0"/>
              <w:autoSpaceDN w:val="0"/>
              <w:adjustRightInd w:val="0"/>
              <w:jc w:val="center"/>
              <w:rPr>
                <w:sz w:val="18"/>
                <w:szCs w:val="18"/>
              </w:rPr>
            </w:pPr>
          </w:p>
          <w:p w14:paraId="4A26683D" w14:textId="523B8FA2"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013EDA" w14:paraId="10CF367D" w14:textId="77777777" w:rsidTr="54F71CB4">
        <w:tc>
          <w:tcPr>
            <w:tcW w:w="2581" w:type="dxa"/>
            <w:vAlign w:val="center"/>
          </w:tcPr>
          <w:p w14:paraId="1CB0B922" w14:textId="77777777" w:rsidR="00013EDA" w:rsidRDefault="00013EDA" w:rsidP="00013EDA">
            <w:pPr>
              <w:rPr>
                <w:b/>
                <w:sz w:val="18"/>
                <w:szCs w:val="18"/>
              </w:rPr>
            </w:pPr>
            <w:proofErr w:type="spellStart"/>
            <w:r>
              <w:rPr>
                <w:b/>
                <w:sz w:val="18"/>
                <w:szCs w:val="18"/>
              </w:rPr>
              <w:t>Mr</w:t>
            </w:r>
            <w:proofErr w:type="spellEnd"/>
            <w:r>
              <w:rPr>
                <w:b/>
                <w:sz w:val="18"/>
                <w:szCs w:val="18"/>
              </w:rPr>
              <w:t xml:space="preserve"> Justin Kouame</w:t>
            </w:r>
          </w:p>
          <w:p w14:paraId="1CD08308" w14:textId="5EFBA10D" w:rsidR="00013EDA" w:rsidRDefault="00013EDA" w:rsidP="00013EDA">
            <w:pPr>
              <w:rPr>
                <w:bCs/>
                <w:sz w:val="18"/>
                <w:szCs w:val="18"/>
              </w:rPr>
            </w:pPr>
            <w:r w:rsidRPr="00863A14">
              <w:rPr>
                <w:bCs/>
                <w:sz w:val="18"/>
                <w:szCs w:val="18"/>
              </w:rPr>
              <w:t>Commissioner</w:t>
            </w:r>
          </w:p>
          <w:p w14:paraId="22C7DF4B" w14:textId="1E706D98" w:rsidR="00013EDA" w:rsidRDefault="00013EDA" w:rsidP="54F71CB4">
            <w:pPr>
              <w:rPr>
                <w:sz w:val="18"/>
                <w:szCs w:val="18"/>
              </w:rPr>
            </w:pPr>
          </w:p>
        </w:tc>
        <w:tc>
          <w:tcPr>
            <w:tcW w:w="850" w:type="dxa"/>
          </w:tcPr>
          <w:p w14:paraId="71BCD025" w14:textId="77777777" w:rsidR="00013EDA" w:rsidRDefault="00013EDA" w:rsidP="0046013C">
            <w:pPr>
              <w:widowControl w:val="0"/>
              <w:tabs>
                <w:tab w:val="center" w:pos="8647"/>
              </w:tabs>
              <w:autoSpaceDE w:val="0"/>
              <w:autoSpaceDN w:val="0"/>
              <w:adjustRightInd w:val="0"/>
              <w:jc w:val="center"/>
              <w:rPr>
                <w:sz w:val="18"/>
                <w:szCs w:val="18"/>
              </w:rPr>
            </w:pPr>
          </w:p>
          <w:p w14:paraId="68CE0481" w14:textId="2693DC2E" w:rsidR="00760EB1" w:rsidRDefault="007245E3" w:rsidP="0046013C">
            <w:pPr>
              <w:widowControl w:val="0"/>
              <w:tabs>
                <w:tab w:val="center" w:pos="8647"/>
              </w:tabs>
              <w:autoSpaceDE w:val="0"/>
              <w:autoSpaceDN w:val="0"/>
              <w:adjustRightInd w:val="0"/>
              <w:jc w:val="center"/>
              <w:rPr>
                <w:sz w:val="18"/>
                <w:szCs w:val="18"/>
              </w:rPr>
            </w:pPr>
            <w:r>
              <w:rPr>
                <w:sz w:val="18"/>
                <w:szCs w:val="18"/>
              </w:rPr>
              <w:t>5-10</w:t>
            </w:r>
          </w:p>
        </w:tc>
        <w:tc>
          <w:tcPr>
            <w:tcW w:w="851" w:type="dxa"/>
          </w:tcPr>
          <w:p w14:paraId="6C82B4ED" w14:textId="77777777" w:rsidR="00013EDA" w:rsidRDefault="00013EDA" w:rsidP="0046013C">
            <w:pPr>
              <w:widowControl w:val="0"/>
              <w:tabs>
                <w:tab w:val="center" w:pos="8647"/>
              </w:tabs>
              <w:autoSpaceDE w:val="0"/>
              <w:autoSpaceDN w:val="0"/>
              <w:adjustRightInd w:val="0"/>
              <w:jc w:val="center"/>
              <w:rPr>
                <w:sz w:val="18"/>
                <w:szCs w:val="18"/>
              </w:rPr>
            </w:pPr>
          </w:p>
          <w:p w14:paraId="611F1738" w14:textId="00CA9C7C" w:rsidR="00602A07" w:rsidRDefault="00602A07" w:rsidP="0046013C">
            <w:pPr>
              <w:widowControl w:val="0"/>
              <w:tabs>
                <w:tab w:val="center" w:pos="8647"/>
              </w:tabs>
              <w:autoSpaceDE w:val="0"/>
              <w:autoSpaceDN w:val="0"/>
              <w:adjustRightInd w:val="0"/>
              <w:jc w:val="center"/>
              <w:rPr>
                <w:sz w:val="18"/>
                <w:szCs w:val="18"/>
              </w:rPr>
            </w:pPr>
            <w:r>
              <w:rPr>
                <w:sz w:val="18"/>
                <w:szCs w:val="18"/>
              </w:rPr>
              <w:t>0-5</w:t>
            </w:r>
            <w:r>
              <w:rPr>
                <w:rStyle w:val="FootnoteReference"/>
                <w:sz w:val="18"/>
                <w:szCs w:val="18"/>
              </w:rPr>
              <w:footnoteReference w:id="5"/>
            </w:r>
          </w:p>
          <w:p w14:paraId="428FB4E9" w14:textId="77777777" w:rsidR="00602A07" w:rsidRDefault="00602A07" w:rsidP="0046013C">
            <w:pPr>
              <w:widowControl w:val="0"/>
              <w:tabs>
                <w:tab w:val="center" w:pos="8647"/>
              </w:tabs>
              <w:autoSpaceDE w:val="0"/>
              <w:autoSpaceDN w:val="0"/>
              <w:adjustRightInd w:val="0"/>
              <w:jc w:val="center"/>
              <w:rPr>
                <w:sz w:val="18"/>
                <w:szCs w:val="18"/>
              </w:rPr>
            </w:pPr>
          </w:p>
        </w:tc>
        <w:tc>
          <w:tcPr>
            <w:tcW w:w="850" w:type="dxa"/>
          </w:tcPr>
          <w:p w14:paraId="34E9A34D" w14:textId="77777777" w:rsidR="00013EDA" w:rsidRDefault="00013EDA" w:rsidP="0046013C">
            <w:pPr>
              <w:widowControl w:val="0"/>
              <w:tabs>
                <w:tab w:val="center" w:pos="8647"/>
              </w:tabs>
              <w:autoSpaceDE w:val="0"/>
              <w:autoSpaceDN w:val="0"/>
              <w:adjustRightInd w:val="0"/>
              <w:jc w:val="center"/>
              <w:rPr>
                <w:sz w:val="18"/>
                <w:szCs w:val="18"/>
              </w:rPr>
            </w:pPr>
          </w:p>
          <w:p w14:paraId="1E1C25A4" w14:textId="1717268A"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43D14F69" w14:textId="77777777" w:rsidR="00013EDA" w:rsidRDefault="00013EDA" w:rsidP="0046013C">
            <w:pPr>
              <w:widowControl w:val="0"/>
              <w:tabs>
                <w:tab w:val="center" w:pos="8647"/>
              </w:tabs>
              <w:autoSpaceDE w:val="0"/>
              <w:autoSpaceDN w:val="0"/>
              <w:adjustRightInd w:val="0"/>
              <w:jc w:val="center"/>
              <w:rPr>
                <w:sz w:val="18"/>
                <w:szCs w:val="18"/>
              </w:rPr>
            </w:pPr>
          </w:p>
          <w:p w14:paraId="38DCB3A2" w14:textId="4FE0453D"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49089E91" w14:textId="77777777" w:rsidR="00013EDA" w:rsidRDefault="00013EDA" w:rsidP="0046013C">
            <w:pPr>
              <w:widowControl w:val="0"/>
              <w:tabs>
                <w:tab w:val="center" w:pos="8647"/>
              </w:tabs>
              <w:autoSpaceDE w:val="0"/>
              <w:autoSpaceDN w:val="0"/>
              <w:adjustRightInd w:val="0"/>
              <w:jc w:val="center"/>
              <w:rPr>
                <w:sz w:val="18"/>
                <w:szCs w:val="18"/>
              </w:rPr>
            </w:pPr>
          </w:p>
          <w:p w14:paraId="05E42A64" w14:textId="6AB80C1F"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6AA2B1E2" w14:textId="77777777" w:rsidR="00013EDA" w:rsidRDefault="00013EDA" w:rsidP="0046013C">
            <w:pPr>
              <w:widowControl w:val="0"/>
              <w:tabs>
                <w:tab w:val="center" w:pos="8647"/>
              </w:tabs>
              <w:autoSpaceDE w:val="0"/>
              <w:autoSpaceDN w:val="0"/>
              <w:adjustRightInd w:val="0"/>
              <w:jc w:val="center"/>
              <w:rPr>
                <w:sz w:val="18"/>
                <w:szCs w:val="18"/>
              </w:rPr>
            </w:pPr>
          </w:p>
          <w:p w14:paraId="1D3AFE52" w14:textId="7E8F0AC8"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37291D7C" w14:textId="77777777" w:rsidR="00013EDA" w:rsidRDefault="00013EDA" w:rsidP="0046013C">
            <w:pPr>
              <w:widowControl w:val="0"/>
              <w:tabs>
                <w:tab w:val="center" w:pos="8647"/>
              </w:tabs>
              <w:autoSpaceDE w:val="0"/>
              <w:autoSpaceDN w:val="0"/>
              <w:adjustRightInd w:val="0"/>
              <w:jc w:val="center"/>
              <w:rPr>
                <w:sz w:val="18"/>
                <w:szCs w:val="18"/>
              </w:rPr>
            </w:pPr>
          </w:p>
          <w:p w14:paraId="7B3B47E8" w14:textId="2C870A9E" w:rsidR="0046013C" w:rsidRDefault="0084122D"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30AB64C0" w14:textId="77777777" w:rsidR="00013EDA" w:rsidRDefault="00013EDA" w:rsidP="0046013C">
            <w:pPr>
              <w:widowControl w:val="0"/>
              <w:tabs>
                <w:tab w:val="center" w:pos="8647"/>
              </w:tabs>
              <w:autoSpaceDE w:val="0"/>
              <w:autoSpaceDN w:val="0"/>
              <w:adjustRightInd w:val="0"/>
              <w:jc w:val="center"/>
              <w:rPr>
                <w:sz w:val="18"/>
                <w:szCs w:val="18"/>
              </w:rPr>
            </w:pPr>
          </w:p>
          <w:p w14:paraId="2C42915C" w14:textId="1D623D4A" w:rsidR="0046013C" w:rsidRDefault="00840DE0" w:rsidP="0046013C">
            <w:pPr>
              <w:widowControl w:val="0"/>
              <w:tabs>
                <w:tab w:val="center" w:pos="8647"/>
              </w:tabs>
              <w:autoSpaceDE w:val="0"/>
              <w:autoSpaceDN w:val="0"/>
              <w:adjustRightInd w:val="0"/>
              <w:jc w:val="center"/>
              <w:rPr>
                <w:sz w:val="18"/>
                <w:szCs w:val="18"/>
              </w:rPr>
            </w:pPr>
            <w:r>
              <w:rPr>
                <w:sz w:val="18"/>
                <w:szCs w:val="18"/>
              </w:rPr>
              <w:t>0-5</w:t>
            </w:r>
          </w:p>
        </w:tc>
      </w:tr>
      <w:tr w:rsidR="00013EDA" w14:paraId="30921300" w14:textId="77777777" w:rsidTr="54F71CB4">
        <w:tc>
          <w:tcPr>
            <w:tcW w:w="2581" w:type="dxa"/>
            <w:vAlign w:val="center"/>
          </w:tcPr>
          <w:p w14:paraId="61DB9217" w14:textId="77777777" w:rsidR="00013EDA" w:rsidRDefault="00013EDA" w:rsidP="00013EDA">
            <w:pPr>
              <w:rPr>
                <w:b/>
                <w:sz w:val="18"/>
                <w:szCs w:val="18"/>
              </w:rPr>
            </w:pPr>
            <w:proofErr w:type="spellStart"/>
            <w:r>
              <w:rPr>
                <w:b/>
                <w:sz w:val="18"/>
                <w:szCs w:val="18"/>
              </w:rPr>
              <w:t>Mr</w:t>
            </w:r>
            <w:proofErr w:type="spellEnd"/>
            <w:r>
              <w:rPr>
                <w:b/>
                <w:sz w:val="18"/>
                <w:szCs w:val="18"/>
              </w:rPr>
              <w:t xml:space="preserve"> David A Lavery CB</w:t>
            </w:r>
          </w:p>
          <w:p w14:paraId="3F807165" w14:textId="77777777" w:rsidR="00013EDA" w:rsidRDefault="00013EDA" w:rsidP="00013EDA">
            <w:pPr>
              <w:rPr>
                <w:sz w:val="18"/>
                <w:szCs w:val="18"/>
              </w:rPr>
            </w:pPr>
            <w:r>
              <w:rPr>
                <w:sz w:val="18"/>
                <w:szCs w:val="18"/>
              </w:rPr>
              <w:t xml:space="preserve">Commissioner </w:t>
            </w:r>
          </w:p>
          <w:p w14:paraId="3D8AFEE4" w14:textId="77777777" w:rsidR="00013EDA" w:rsidRPr="001D785A" w:rsidRDefault="00013EDA" w:rsidP="00013EDA">
            <w:pPr>
              <w:rPr>
                <w:sz w:val="18"/>
                <w:szCs w:val="18"/>
              </w:rPr>
            </w:pPr>
          </w:p>
        </w:tc>
        <w:tc>
          <w:tcPr>
            <w:tcW w:w="850" w:type="dxa"/>
          </w:tcPr>
          <w:p w14:paraId="18614A72" w14:textId="77777777" w:rsidR="00013EDA" w:rsidRDefault="00013EDA" w:rsidP="0046013C">
            <w:pPr>
              <w:widowControl w:val="0"/>
              <w:tabs>
                <w:tab w:val="center" w:pos="8647"/>
              </w:tabs>
              <w:autoSpaceDE w:val="0"/>
              <w:autoSpaceDN w:val="0"/>
              <w:adjustRightInd w:val="0"/>
              <w:jc w:val="center"/>
              <w:rPr>
                <w:sz w:val="18"/>
                <w:szCs w:val="18"/>
              </w:rPr>
            </w:pPr>
          </w:p>
          <w:p w14:paraId="6771B42E" w14:textId="69FD515D" w:rsidR="00013EDA" w:rsidRDefault="007245E3" w:rsidP="0046013C">
            <w:pPr>
              <w:widowControl w:val="0"/>
              <w:tabs>
                <w:tab w:val="center" w:pos="8647"/>
              </w:tabs>
              <w:autoSpaceDE w:val="0"/>
              <w:autoSpaceDN w:val="0"/>
              <w:adjustRightInd w:val="0"/>
              <w:jc w:val="center"/>
              <w:rPr>
                <w:sz w:val="18"/>
                <w:szCs w:val="18"/>
              </w:rPr>
            </w:pPr>
            <w:r>
              <w:rPr>
                <w:sz w:val="18"/>
                <w:szCs w:val="18"/>
              </w:rPr>
              <w:t>5-10</w:t>
            </w:r>
          </w:p>
        </w:tc>
        <w:tc>
          <w:tcPr>
            <w:tcW w:w="851" w:type="dxa"/>
          </w:tcPr>
          <w:p w14:paraId="5F6D8287" w14:textId="77777777" w:rsidR="00013EDA" w:rsidRDefault="00013EDA" w:rsidP="0046013C">
            <w:pPr>
              <w:widowControl w:val="0"/>
              <w:tabs>
                <w:tab w:val="center" w:pos="8647"/>
              </w:tabs>
              <w:autoSpaceDE w:val="0"/>
              <w:autoSpaceDN w:val="0"/>
              <w:adjustRightInd w:val="0"/>
              <w:jc w:val="center"/>
              <w:rPr>
                <w:sz w:val="18"/>
                <w:szCs w:val="18"/>
              </w:rPr>
            </w:pPr>
          </w:p>
          <w:p w14:paraId="57755855" w14:textId="0735612B"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4BCA8B32" w14:textId="77777777" w:rsidR="00013EDA" w:rsidRDefault="00013EDA" w:rsidP="0046013C">
            <w:pPr>
              <w:widowControl w:val="0"/>
              <w:tabs>
                <w:tab w:val="center" w:pos="8647"/>
              </w:tabs>
              <w:autoSpaceDE w:val="0"/>
              <w:autoSpaceDN w:val="0"/>
              <w:adjustRightInd w:val="0"/>
              <w:jc w:val="center"/>
              <w:rPr>
                <w:sz w:val="18"/>
                <w:szCs w:val="18"/>
              </w:rPr>
            </w:pPr>
          </w:p>
          <w:p w14:paraId="344AE098" w14:textId="5E630080"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3EE0DDDB" w14:textId="77777777" w:rsidR="00013EDA" w:rsidRDefault="00013EDA" w:rsidP="0046013C">
            <w:pPr>
              <w:widowControl w:val="0"/>
              <w:tabs>
                <w:tab w:val="center" w:pos="8647"/>
              </w:tabs>
              <w:autoSpaceDE w:val="0"/>
              <w:autoSpaceDN w:val="0"/>
              <w:adjustRightInd w:val="0"/>
              <w:jc w:val="center"/>
              <w:rPr>
                <w:sz w:val="18"/>
                <w:szCs w:val="18"/>
              </w:rPr>
            </w:pPr>
          </w:p>
          <w:p w14:paraId="37470BAA" w14:textId="53ABF1C6"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2B5AE6D2" w14:textId="77777777" w:rsidR="00013EDA" w:rsidRDefault="00013EDA" w:rsidP="0046013C">
            <w:pPr>
              <w:widowControl w:val="0"/>
              <w:tabs>
                <w:tab w:val="center" w:pos="8647"/>
              </w:tabs>
              <w:autoSpaceDE w:val="0"/>
              <w:autoSpaceDN w:val="0"/>
              <w:adjustRightInd w:val="0"/>
              <w:jc w:val="center"/>
              <w:rPr>
                <w:sz w:val="18"/>
                <w:szCs w:val="18"/>
              </w:rPr>
            </w:pPr>
          </w:p>
          <w:p w14:paraId="36FAECBF" w14:textId="5955DFD4"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A4D8D6F" w14:textId="77777777" w:rsidR="00013EDA" w:rsidRDefault="00013EDA" w:rsidP="0046013C">
            <w:pPr>
              <w:widowControl w:val="0"/>
              <w:tabs>
                <w:tab w:val="center" w:pos="8647"/>
              </w:tabs>
              <w:autoSpaceDE w:val="0"/>
              <w:autoSpaceDN w:val="0"/>
              <w:adjustRightInd w:val="0"/>
              <w:jc w:val="center"/>
              <w:rPr>
                <w:sz w:val="18"/>
                <w:szCs w:val="18"/>
              </w:rPr>
            </w:pPr>
          </w:p>
          <w:p w14:paraId="1FB7EB1E" w14:textId="5C379E3C"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3911C3B7" w14:textId="77777777" w:rsidR="00013EDA" w:rsidRDefault="00013EDA" w:rsidP="0046013C">
            <w:pPr>
              <w:widowControl w:val="0"/>
              <w:tabs>
                <w:tab w:val="center" w:pos="8647"/>
              </w:tabs>
              <w:autoSpaceDE w:val="0"/>
              <w:autoSpaceDN w:val="0"/>
              <w:adjustRightInd w:val="0"/>
              <w:jc w:val="center"/>
              <w:rPr>
                <w:sz w:val="18"/>
                <w:szCs w:val="18"/>
              </w:rPr>
            </w:pPr>
          </w:p>
          <w:p w14:paraId="0350BA2E" w14:textId="575A1637" w:rsidR="0046013C" w:rsidRDefault="0084122D"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35EAF144" w14:textId="77777777" w:rsidR="00013EDA" w:rsidRDefault="00013EDA" w:rsidP="0046013C">
            <w:pPr>
              <w:widowControl w:val="0"/>
              <w:tabs>
                <w:tab w:val="center" w:pos="8647"/>
              </w:tabs>
              <w:autoSpaceDE w:val="0"/>
              <w:autoSpaceDN w:val="0"/>
              <w:adjustRightInd w:val="0"/>
              <w:jc w:val="center"/>
              <w:rPr>
                <w:sz w:val="18"/>
                <w:szCs w:val="18"/>
              </w:rPr>
            </w:pPr>
          </w:p>
          <w:p w14:paraId="52B2CDE8" w14:textId="11368843"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013EDA" w14:paraId="62552E36" w14:textId="77777777" w:rsidTr="54F71CB4">
        <w:tc>
          <w:tcPr>
            <w:tcW w:w="2581" w:type="dxa"/>
            <w:vAlign w:val="center"/>
          </w:tcPr>
          <w:p w14:paraId="39AAB4C7" w14:textId="77777777" w:rsidR="00013EDA" w:rsidRDefault="00013EDA" w:rsidP="00013EDA">
            <w:pPr>
              <w:rPr>
                <w:b/>
                <w:sz w:val="18"/>
                <w:szCs w:val="18"/>
              </w:rPr>
            </w:pPr>
            <w:proofErr w:type="spellStart"/>
            <w:r>
              <w:rPr>
                <w:b/>
                <w:sz w:val="18"/>
                <w:szCs w:val="18"/>
              </w:rPr>
              <w:t>Mr</w:t>
            </w:r>
            <w:proofErr w:type="spellEnd"/>
            <w:r>
              <w:rPr>
                <w:b/>
                <w:sz w:val="18"/>
                <w:szCs w:val="18"/>
              </w:rPr>
              <w:t xml:space="preserve"> Stephen White OBE</w:t>
            </w:r>
          </w:p>
          <w:p w14:paraId="31E116A4" w14:textId="77777777" w:rsidR="00013EDA" w:rsidRDefault="00013EDA" w:rsidP="00013EDA">
            <w:pPr>
              <w:rPr>
                <w:sz w:val="18"/>
                <w:szCs w:val="18"/>
              </w:rPr>
            </w:pPr>
            <w:r>
              <w:rPr>
                <w:sz w:val="18"/>
                <w:szCs w:val="18"/>
              </w:rPr>
              <w:t xml:space="preserve">Commissioner </w:t>
            </w:r>
          </w:p>
          <w:p w14:paraId="696D355E" w14:textId="54DEE03A" w:rsidR="0046013C" w:rsidRPr="001D785A" w:rsidRDefault="0046013C" w:rsidP="00013EDA">
            <w:pPr>
              <w:rPr>
                <w:sz w:val="18"/>
                <w:szCs w:val="18"/>
              </w:rPr>
            </w:pPr>
          </w:p>
        </w:tc>
        <w:tc>
          <w:tcPr>
            <w:tcW w:w="850" w:type="dxa"/>
          </w:tcPr>
          <w:p w14:paraId="1DA535A3" w14:textId="77777777" w:rsidR="00013EDA" w:rsidRDefault="00013EDA" w:rsidP="0046013C">
            <w:pPr>
              <w:widowControl w:val="0"/>
              <w:tabs>
                <w:tab w:val="center" w:pos="8647"/>
              </w:tabs>
              <w:autoSpaceDE w:val="0"/>
              <w:autoSpaceDN w:val="0"/>
              <w:adjustRightInd w:val="0"/>
              <w:jc w:val="center"/>
              <w:rPr>
                <w:sz w:val="18"/>
                <w:szCs w:val="18"/>
              </w:rPr>
            </w:pPr>
          </w:p>
          <w:p w14:paraId="55366B2F" w14:textId="3D34E5F6" w:rsidR="00760EB1" w:rsidRDefault="007245E3" w:rsidP="0046013C">
            <w:pPr>
              <w:widowControl w:val="0"/>
              <w:tabs>
                <w:tab w:val="center" w:pos="8647"/>
              </w:tabs>
              <w:autoSpaceDE w:val="0"/>
              <w:autoSpaceDN w:val="0"/>
              <w:adjustRightInd w:val="0"/>
              <w:jc w:val="center"/>
              <w:rPr>
                <w:sz w:val="18"/>
                <w:szCs w:val="18"/>
              </w:rPr>
            </w:pPr>
            <w:r>
              <w:rPr>
                <w:sz w:val="18"/>
                <w:szCs w:val="18"/>
              </w:rPr>
              <w:t>5-10</w:t>
            </w:r>
          </w:p>
          <w:p w14:paraId="66076390" w14:textId="54D24CE0"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39A743A4" w14:textId="77777777" w:rsidR="00013EDA" w:rsidRDefault="00013EDA" w:rsidP="0046013C">
            <w:pPr>
              <w:widowControl w:val="0"/>
              <w:tabs>
                <w:tab w:val="center" w:pos="8647"/>
              </w:tabs>
              <w:autoSpaceDE w:val="0"/>
              <w:autoSpaceDN w:val="0"/>
              <w:adjustRightInd w:val="0"/>
              <w:jc w:val="center"/>
              <w:rPr>
                <w:sz w:val="18"/>
                <w:szCs w:val="18"/>
              </w:rPr>
            </w:pPr>
          </w:p>
          <w:p w14:paraId="01AF451E" w14:textId="60DAC77D"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c>
          <w:tcPr>
            <w:tcW w:w="850" w:type="dxa"/>
          </w:tcPr>
          <w:p w14:paraId="3BFB4120" w14:textId="77777777" w:rsidR="00013EDA" w:rsidRDefault="00013EDA" w:rsidP="0046013C">
            <w:pPr>
              <w:widowControl w:val="0"/>
              <w:tabs>
                <w:tab w:val="center" w:pos="8647"/>
              </w:tabs>
              <w:autoSpaceDE w:val="0"/>
              <w:autoSpaceDN w:val="0"/>
              <w:adjustRightInd w:val="0"/>
              <w:jc w:val="center"/>
              <w:rPr>
                <w:sz w:val="18"/>
                <w:szCs w:val="18"/>
              </w:rPr>
            </w:pPr>
          </w:p>
          <w:p w14:paraId="79133832" w14:textId="6A3DC2B1" w:rsidR="00013EDA" w:rsidRDefault="003E5D07" w:rsidP="0046013C">
            <w:pPr>
              <w:widowControl w:val="0"/>
              <w:tabs>
                <w:tab w:val="center" w:pos="8647"/>
              </w:tabs>
              <w:autoSpaceDE w:val="0"/>
              <w:autoSpaceDN w:val="0"/>
              <w:adjustRightInd w:val="0"/>
              <w:jc w:val="center"/>
              <w:rPr>
                <w:sz w:val="18"/>
                <w:szCs w:val="18"/>
              </w:rPr>
            </w:pPr>
            <w:r>
              <w:rPr>
                <w:sz w:val="18"/>
                <w:szCs w:val="18"/>
              </w:rPr>
              <w:t>1</w:t>
            </w:r>
            <w:r w:rsidR="00BC7FDB">
              <w:rPr>
                <w:sz w:val="18"/>
                <w:szCs w:val="18"/>
              </w:rPr>
              <w:t>00</w:t>
            </w:r>
          </w:p>
          <w:p w14:paraId="30FE4F6E" w14:textId="23B63DCE" w:rsidR="00013EDA" w:rsidRDefault="00013EDA" w:rsidP="0046013C">
            <w:pPr>
              <w:widowControl w:val="0"/>
              <w:tabs>
                <w:tab w:val="center" w:pos="8647"/>
              </w:tabs>
              <w:autoSpaceDE w:val="0"/>
              <w:autoSpaceDN w:val="0"/>
              <w:adjustRightInd w:val="0"/>
              <w:jc w:val="center"/>
              <w:rPr>
                <w:sz w:val="18"/>
                <w:szCs w:val="18"/>
              </w:rPr>
            </w:pPr>
          </w:p>
        </w:tc>
        <w:tc>
          <w:tcPr>
            <w:tcW w:w="851" w:type="dxa"/>
          </w:tcPr>
          <w:p w14:paraId="3DC044C9" w14:textId="77777777" w:rsidR="00013EDA" w:rsidRDefault="00013EDA" w:rsidP="0046013C">
            <w:pPr>
              <w:widowControl w:val="0"/>
              <w:tabs>
                <w:tab w:val="center" w:pos="8647"/>
              </w:tabs>
              <w:autoSpaceDE w:val="0"/>
              <w:autoSpaceDN w:val="0"/>
              <w:adjustRightInd w:val="0"/>
              <w:jc w:val="center"/>
              <w:rPr>
                <w:sz w:val="18"/>
                <w:szCs w:val="18"/>
              </w:rPr>
            </w:pPr>
          </w:p>
          <w:p w14:paraId="77599EB0" w14:textId="081C2CCF" w:rsidR="00013EDA" w:rsidRDefault="000D130C"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53F3C3A" w14:textId="77777777" w:rsidR="00013EDA" w:rsidRDefault="00013EDA" w:rsidP="0046013C">
            <w:pPr>
              <w:widowControl w:val="0"/>
              <w:tabs>
                <w:tab w:val="center" w:pos="8647"/>
              </w:tabs>
              <w:autoSpaceDE w:val="0"/>
              <w:autoSpaceDN w:val="0"/>
              <w:adjustRightInd w:val="0"/>
              <w:jc w:val="center"/>
              <w:rPr>
                <w:sz w:val="18"/>
                <w:szCs w:val="18"/>
              </w:rPr>
            </w:pPr>
          </w:p>
          <w:p w14:paraId="0E3C2BF0" w14:textId="65F6236E"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A7D3A50" w14:textId="77777777" w:rsidR="00013EDA" w:rsidRDefault="00013EDA" w:rsidP="0046013C">
            <w:pPr>
              <w:widowControl w:val="0"/>
              <w:tabs>
                <w:tab w:val="center" w:pos="8647"/>
              </w:tabs>
              <w:autoSpaceDE w:val="0"/>
              <w:autoSpaceDN w:val="0"/>
              <w:adjustRightInd w:val="0"/>
              <w:jc w:val="center"/>
              <w:rPr>
                <w:sz w:val="18"/>
                <w:szCs w:val="18"/>
              </w:rPr>
            </w:pPr>
          </w:p>
          <w:p w14:paraId="66234CDD" w14:textId="0132B761"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350F72AD" w14:textId="77777777" w:rsidR="00013EDA" w:rsidRDefault="00013EDA" w:rsidP="0046013C">
            <w:pPr>
              <w:widowControl w:val="0"/>
              <w:tabs>
                <w:tab w:val="center" w:pos="8647"/>
              </w:tabs>
              <w:autoSpaceDE w:val="0"/>
              <w:autoSpaceDN w:val="0"/>
              <w:adjustRightInd w:val="0"/>
              <w:jc w:val="center"/>
              <w:rPr>
                <w:sz w:val="18"/>
                <w:szCs w:val="18"/>
              </w:rPr>
            </w:pPr>
          </w:p>
          <w:p w14:paraId="44F9A3AE" w14:textId="277BE88A" w:rsidR="0046013C" w:rsidRDefault="0084122D" w:rsidP="0046013C">
            <w:pPr>
              <w:widowControl w:val="0"/>
              <w:tabs>
                <w:tab w:val="center" w:pos="8647"/>
              </w:tabs>
              <w:autoSpaceDE w:val="0"/>
              <w:autoSpaceDN w:val="0"/>
              <w:adjustRightInd w:val="0"/>
              <w:jc w:val="center"/>
              <w:rPr>
                <w:sz w:val="18"/>
                <w:szCs w:val="18"/>
              </w:rPr>
            </w:pPr>
            <w:r>
              <w:rPr>
                <w:sz w:val="18"/>
                <w:szCs w:val="18"/>
              </w:rPr>
              <w:t>5-10</w:t>
            </w:r>
          </w:p>
        </w:tc>
        <w:tc>
          <w:tcPr>
            <w:tcW w:w="992" w:type="dxa"/>
          </w:tcPr>
          <w:p w14:paraId="0F2BC652" w14:textId="77777777" w:rsidR="00013EDA" w:rsidRDefault="00013EDA" w:rsidP="0046013C">
            <w:pPr>
              <w:widowControl w:val="0"/>
              <w:tabs>
                <w:tab w:val="center" w:pos="8647"/>
              </w:tabs>
              <w:autoSpaceDE w:val="0"/>
              <w:autoSpaceDN w:val="0"/>
              <w:adjustRightInd w:val="0"/>
              <w:jc w:val="center"/>
              <w:rPr>
                <w:sz w:val="18"/>
                <w:szCs w:val="18"/>
              </w:rPr>
            </w:pPr>
          </w:p>
          <w:p w14:paraId="53F7BE87" w14:textId="1D63E007" w:rsidR="00013EDA" w:rsidRDefault="00013EDA" w:rsidP="0046013C">
            <w:pPr>
              <w:widowControl w:val="0"/>
              <w:tabs>
                <w:tab w:val="center" w:pos="8647"/>
              </w:tabs>
              <w:autoSpaceDE w:val="0"/>
              <w:autoSpaceDN w:val="0"/>
              <w:adjustRightInd w:val="0"/>
              <w:jc w:val="center"/>
              <w:rPr>
                <w:sz w:val="18"/>
                <w:szCs w:val="18"/>
              </w:rPr>
            </w:pPr>
            <w:r>
              <w:rPr>
                <w:sz w:val="18"/>
                <w:szCs w:val="18"/>
              </w:rPr>
              <w:t>5-10</w:t>
            </w:r>
          </w:p>
        </w:tc>
      </w:tr>
      <w:tr w:rsidR="00013EDA" w:rsidRPr="00D23890" w14:paraId="5EC49A9E" w14:textId="77777777" w:rsidTr="54F71CB4">
        <w:tc>
          <w:tcPr>
            <w:tcW w:w="2581" w:type="dxa"/>
            <w:vAlign w:val="center"/>
          </w:tcPr>
          <w:p w14:paraId="73CA43F8" w14:textId="77777777" w:rsidR="00013EDA" w:rsidRDefault="00013EDA" w:rsidP="00013EDA">
            <w:pPr>
              <w:rPr>
                <w:b/>
                <w:sz w:val="18"/>
                <w:szCs w:val="18"/>
              </w:rPr>
            </w:pPr>
            <w:proofErr w:type="spellStart"/>
            <w:r>
              <w:rPr>
                <w:b/>
                <w:sz w:val="18"/>
                <w:szCs w:val="18"/>
              </w:rPr>
              <w:t>Mr</w:t>
            </w:r>
            <w:proofErr w:type="spellEnd"/>
            <w:r>
              <w:rPr>
                <w:b/>
                <w:sz w:val="18"/>
                <w:szCs w:val="18"/>
              </w:rPr>
              <w:t xml:space="preserve"> Sean Donaghy</w:t>
            </w:r>
          </w:p>
          <w:p w14:paraId="319E6C3E" w14:textId="2DF3ABAC" w:rsidR="00013EDA" w:rsidRDefault="00013EDA" w:rsidP="00013EDA">
            <w:pPr>
              <w:rPr>
                <w:sz w:val="18"/>
                <w:szCs w:val="18"/>
              </w:rPr>
            </w:pPr>
            <w:r>
              <w:rPr>
                <w:sz w:val="18"/>
                <w:szCs w:val="18"/>
              </w:rPr>
              <w:t>Chair of the Audit and Risk Management Committee</w:t>
            </w:r>
          </w:p>
          <w:p w14:paraId="25AB56C6" w14:textId="77777777" w:rsidR="00013EDA" w:rsidRPr="00EA4AB9" w:rsidRDefault="00013EDA" w:rsidP="00013EDA">
            <w:pPr>
              <w:rPr>
                <w:sz w:val="18"/>
                <w:szCs w:val="18"/>
              </w:rPr>
            </w:pPr>
          </w:p>
        </w:tc>
        <w:tc>
          <w:tcPr>
            <w:tcW w:w="850" w:type="dxa"/>
          </w:tcPr>
          <w:p w14:paraId="392CB203" w14:textId="77777777" w:rsidR="00013EDA" w:rsidRDefault="00013EDA" w:rsidP="0046013C">
            <w:pPr>
              <w:widowControl w:val="0"/>
              <w:tabs>
                <w:tab w:val="center" w:pos="8647"/>
              </w:tabs>
              <w:autoSpaceDE w:val="0"/>
              <w:autoSpaceDN w:val="0"/>
              <w:adjustRightInd w:val="0"/>
              <w:jc w:val="center"/>
              <w:rPr>
                <w:sz w:val="18"/>
                <w:szCs w:val="18"/>
              </w:rPr>
            </w:pPr>
          </w:p>
          <w:p w14:paraId="51AA7453" w14:textId="08B7EC63" w:rsidR="00760EB1" w:rsidRDefault="000E0884" w:rsidP="0046013C">
            <w:pPr>
              <w:widowControl w:val="0"/>
              <w:tabs>
                <w:tab w:val="center" w:pos="8647"/>
              </w:tabs>
              <w:autoSpaceDE w:val="0"/>
              <w:autoSpaceDN w:val="0"/>
              <w:adjustRightInd w:val="0"/>
              <w:jc w:val="center"/>
              <w:rPr>
                <w:sz w:val="18"/>
                <w:szCs w:val="18"/>
              </w:rPr>
            </w:pPr>
            <w:r>
              <w:rPr>
                <w:sz w:val="18"/>
                <w:szCs w:val="18"/>
              </w:rPr>
              <w:t>0-5</w:t>
            </w:r>
            <w:r>
              <w:rPr>
                <w:rStyle w:val="FootnoteReference"/>
                <w:sz w:val="18"/>
                <w:szCs w:val="18"/>
              </w:rPr>
              <w:footnoteReference w:id="6"/>
            </w:r>
          </w:p>
          <w:p w14:paraId="02B5ECE4" w14:textId="54A3DA74" w:rsidR="00013EDA" w:rsidRPr="00051C2A" w:rsidRDefault="00013EDA" w:rsidP="0046013C">
            <w:pPr>
              <w:widowControl w:val="0"/>
              <w:tabs>
                <w:tab w:val="center" w:pos="8647"/>
              </w:tabs>
              <w:autoSpaceDE w:val="0"/>
              <w:autoSpaceDN w:val="0"/>
              <w:adjustRightInd w:val="0"/>
              <w:jc w:val="center"/>
              <w:rPr>
                <w:sz w:val="18"/>
                <w:szCs w:val="18"/>
              </w:rPr>
            </w:pPr>
          </w:p>
        </w:tc>
        <w:tc>
          <w:tcPr>
            <w:tcW w:w="851" w:type="dxa"/>
          </w:tcPr>
          <w:p w14:paraId="73E09C85" w14:textId="77777777" w:rsidR="00013EDA" w:rsidRDefault="00013EDA" w:rsidP="0046013C">
            <w:pPr>
              <w:widowControl w:val="0"/>
              <w:tabs>
                <w:tab w:val="center" w:pos="8647"/>
              </w:tabs>
              <w:autoSpaceDE w:val="0"/>
              <w:autoSpaceDN w:val="0"/>
              <w:adjustRightInd w:val="0"/>
              <w:jc w:val="center"/>
              <w:rPr>
                <w:sz w:val="18"/>
                <w:szCs w:val="18"/>
              </w:rPr>
            </w:pPr>
          </w:p>
          <w:p w14:paraId="30F5D76E" w14:textId="2251EF1D" w:rsidR="00D34FCE" w:rsidRDefault="766FB526" w:rsidP="00D34FCE">
            <w:pPr>
              <w:widowControl w:val="0"/>
              <w:tabs>
                <w:tab w:val="center" w:pos="8647"/>
              </w:tabs>
              <w:autoSpaceDE w:val="0"/>
              <w:autoSpaceDN w:val="0"/>
              <w:adjustRightInd w:val="0"/>
              <w:jc w:val="center"/>
              <w:rPr>
                <w:sz w:val="18"/>
                <w:szCs w:val="18"/>
              </w:rPr>
            </w:pPr>
            <w:r>
              <w:rPr>
                <w:sz w:val="18"/>
                <w:szCs w:val="18"/>
              </w:rPr>
              <w:t>0-</w:t>
            </w:r>
            <w:r w:rsidR="00582E77">
              <w:rPr>
                <w:sz w:val="18"/>
                <w:szCs w:val="18"/>
              </w:rPr>
              <w:t>5</w:t>
            </w:r>
            <w:r w:rsidR="00582E77">
              <w:rPr>
                <w:rStyle w:val="FootnoteReference"/>
                <w:sz w:val="18"/>
                <w:szCs w:val="18"/>
              </w:rPr>
              <w:footnoteReference w:id="7"/>
            </w:r>
          </w:p>
          <w:p w14:paraId="4BACF8C7" w14:textId="0CA4FFCB" w:rsidR="00903341" w:rsidRDefault="00903341" w:rsidP="00903341">
            <w:pPr>
              <w:widowControl w:val="0"/>
              <w:tabs>
                <w:tab w:val="center" w:pos="8647"/>
              </w:tabs>
              <w:autoSpaceDE w:val="0"/>
              <w:autoSpaceDN w:val="0"/>
              <w:adjustRightInd w:val="0"/>
              <w:jc w:val="center"/>
              <w:rPr>
                <w:sz w:val="18"/>
                <w:szCs w:val="18"/>
              </w:rPr>
            </w:pPr>
          </w:p>
          <w:p w14:paraId="76B7B664" w14:textId="4FBAC88F" w:rsidR="00013EDA" w:rsidRPr="00903341" w:rsidRDefault="00013EDA" w:rsidP="0046013C">
            <w:pPr>
              <w:widowControl w:val="0"/>
              <w:tabs>
                <w:tab w:val="center" w:pos="8647"/>
              </w:tabs>
              <w:autoSpaceDE w:val="0"/>
              <w:autoSpaceDN w:val="0"/>
              <w:adjustRightInd w:val="0"/>
              <w:jc w:val="center"/>
              <w:rPr>
                <w:b/>
                <w:bCs/>
                <w:sz w:val="18"/>
                <w:szCs w:val="18"/>
              </w:rPr>
            </w:pPr>
          </w:p>
        </w:tc>
        <w:tc>
          <w:tcPr>
            <w:tcW w:w="850" w:type="dxa"/>
          </w:tcPr>
          <w:p w14:paraId="00DD1A16" w14:textId="77777777" w:rsidR="00013EDA" w:rsidRDefault="00013EDA" w:rsidP="0046013C">
            <w:pPr>
              <w:widowControl w:val="0"/>
              <w:tabs>
                <w:tab w:val="center" w:pos="8647"/>
              </w:tabs>
              <w:autoSpaceDE w:val="0"/>
              <w:autoSpaceDN w:val="0"/>
              <w:adjustRightInd w:val="0"/>
              <w:jc w:val="center"/>
              <w:rPr>
                <w:sz w:val="18"/>
                <w:szCs w:val="18"/>
              </w:rPr>
            </w:pPr>
          </w:p>
          <w:p w14:paraId="3D3E65EE" w14:textId="62EEC4C9" w:rsidR="00013EDA" w:rsidRDefault="00BC7FDB"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7FF89958" w14:textId="77777777" w:rsidR="00013EDA" w:rsidRDefault="00013EDA" w:rsidP="0046013C">
            <w:pPr>
              <w:widowControl w:val="0"/>
              <w:tabs>
                <w:tab w:val="center" w:pos="8647"/>
              </w:tabs>
              <w:autoSpaceDE w:val="0"/>
              <w:autoSpaceDN w:val="0"/>
              <w:adjustRightInd w:val="0"/>
              <w:jc w:val="center"/>
              <w:rPr>
                <w:sz w:val="18"/>
                <w:szCs w:val="18"/>
              </w:rPr>
            </w:pPr>
          </w:p>
          <w:p w14:paraId="2FCD9465" w14:textId="7F1FCA30"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740055D9" w14:textId="77777777" w:rsidR="00013EDA" w:rsidRDefault="00013EDA" w:rsidP="0046013C">
            <w:pPr>
              <w:widowControl w:val="0"/>
              <w:tabs>
                <w:tab w:val="center" w:pos="8647"/>
              </w:tabs>
              <w:autoSpaceDE w:val="0"/>
              <w:autoSpaceDN w:val="0"/>
              <w:adjustRightInd w:val="0"/>
              <w:jc w:val="center"/>
              <w:rPr>
                <w:sz w:val="18"/>
                <w:szCs w:val="18"/>
              </w:rPr>
            </w:pPr>
          </w:p>
          <w:p w14:paraId="5649F41D" w14:textId="4BEA61D7" w:rsidR="003D1DAB" w:rsidRDefault="003D1DAB"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19A5572A" w14:textId="77777777" w:rsidR="00013EDA" w:rsidRDefault="00013EDA" w:rsidP="0046013C">
            <w:pPr>
              <w:widowControl w:val="0"/>
              <w:tabs>
                <w:tab w:val="center" w:pos="8647"/>
              </w:tabs>
              <w:autoSpaceDE w:val="0"/>
              <w:autoSpaceDN w:val="0"/>
              <w:adjustRightInd w:val="0"/>
              <w:jc w:val="center"/>
              <w:rPr>
                <w:sz w:val="18"/>
                <w:szCs w:val="18"/>
              </w:rPr>
            </w:pPr>
          </w:p>
          <w:p w14:paraId="62207C60" w14:textId="770D9862"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3" w:type="dxa"/>
          </w:tcPr>
          <w:p w14:paraId="44D3B3F4" w14:textId="77777777" w:rsidR="00013EDA" w:rsidRDefault="00013EDA" w:rsidP="0046013C">
            <w:pPr>
              <w:widowControl w:val="0"/>
              <w:tabs>
                <w:tab w:val="center" w:pos="8647"/>
              </w:tabs>
              <w:autoSpaceDE w:val="0"/>
              <w:autoSpaceDN w:val="0"/>
              <w:adjustRightInd w:val="0"/>
              <w:jc w:val="center"/>
              <w:rPr>
                <w:sz w:val="18"/>
                <w:szCs w:val="18"/>
                <w:vertAlign w:val="superscript"/>
              </w:rPr>
            </w:pPr>
          </w:p>
          <w:p w14:paraId="0AE85BCF" w14:textId="1F3EA201" w:rsidR="0046013C" w:rsidRPr="0046013C" w:rsidRDefault="0084122D" w:rsidP="0046013C">
            <w:pPr>
              <w:widowControl w:val="0"/>
              <w:tabs>
                <w:tab w:val="center" w:pos="8647"/>
              </w:tabs>
              <w:autoSpaceDE w:val="0"/>
              <w:autoSpaceDN w:val="0"/>
              <w:adjustRightInd w:val="0"/>
              <w:jc w:val="center"/>
              <w:rPr>
                <w:sz w:val="18"/>
                <w:szCs w:val="18"/>
              </w:rPr>
            </w:pPr>
            <w:r>
              <w:rPr>
                <w:sz w:val="18"/>
                <w:szCs w:val="18"/>
              </w:rPr>
              <w:t>0-5</w:t>
            </w:r>
          </w:p>
        </w:tc>
        <w:tc>
          <w:tcPr>
            <w:tcW w:w="992" w:type="dxa"/>
          </w:tcPr>
          <w:p w14:paraId="05DA2342" w14:textId="77777777" w:rsidR="00013EDA" w:rsidRDefault="00013EDA" w:rsidP="0046013C">
            <w:pPr>
              <w:widowControl w:val="0"/>
              <w:tabs>
                <w:tab w:val="center" w:pos="8647"/>
              </w:tabs>
              <w:autoSpaceDE w:val="0"/>
              <w:autoSpaceDN w:val="0"/>
              <w:adjustRightInd w:val="0"/>
              <w:jc w:val="center"/>
              <w:rPr>
                <w:sz w:val="18"/>
                <w:szCs w:val="18"/>
              </w:rPr>
            </w:pPr>
          </w:p>
          <w:p w14:paraId="7A3BAF64" w14:textId="1C874B62" w:rsidR="00013EDA" w:rsidRPr="00D23890" w:rsidRDefault="00013EDA" w:rsidP="0046013C">
            <w:pPr>
              <w:widowControl w:val="0"/>
              <w:tabs>
                <w:tab w:val="center" w:pos="8647"/>
              </w:tabs>
              <w:autoSpaceDE w:val="0"/>
              <w:autoSpaceDN w:val="0"/>
              <w:adjustRightInd w:val="0"/>
              <w:jc w:val="center"/>
              <w:rPr>
                <w:sz w:val="18"/>
                <w:szCs w:val="18"/>
              </w:rPr>
            </w:pPr>
            <w:r>
              <w:rPr>
                <w:sz w:val="18"/>
                <w:szCs w:val="18"/>
              </w:rPr>
              <w:t>0-5</w:t>
            </w:r>
          </w:p>
        </w:tc>
      </w:tr>
      <w:tr w:rsidR="00013EDA" w:rsidRPr="00280EA2" w14:paraId="34821AF2" w14:textId="77777777" w:rsidTr="54F71CB4">
        <w:tc>
          <w:tcPr>
            <w:tcW w:w="2581" w:type="dxa"/>
            <w:vAlign w:val="center"/>
          </w:tcPr>
          <w:p w14:paraId="376C9303" w14:textId="77777777" w:rsidR="00013EDA" w:rsidRPr="00C54DF1" w:rsidRDefault="00013EDA" w:rsidP="00013EDA">
            <w:pPr>
              <w:rPr>
                <w:rFonts w:cs="Verdana"/>
                <w:b/>
                <w:sz w:val="18"/>
                <w:szCs w:val="18"/>
                <w:lang w:eastAsia="en-GB"/>
              </w:rPr>
            </w:pPr>
            <w:r w:rsidRPr="00C54DF1">
              <w:rPr>
                <w:b/>
                <w:sz w:val="18"/>
                <w:szCs w:val="18"/>
              </w:rPr>
              <w:t xml:space="preserve">Dr </w:t>
            </w:r>
            <w:r w:rsidRPr="00C54DF1">
              <w:rPr>
                <w:rFonts w:cs="Verdana"/>
                <w:b/>
                <w:sz w:val="18"/>
                <w:szCs w:val="18"/>
                <w:lang w:eastAsia="en-GB"/>
              </w:rPr>
              <w:t>David Russell</w:t>
            </w:r>
          </w:p>
          <w:p w14:paraId="5B50BE58" w14:textId="77777777" w:rsidR="00013EDA" w:rsidRDefault="00013EDA" w:rsidP="00013EDA">
            <w:pPr>
              <w:rPr>
                <w:rFonts w:cs="Verdana"/>
                <w:sz w:val="18"/>
                <w:szCs w:val="18"/>
                <w:lang w:eastAsia="en-GB"/>
              </w:rPr>
            </w:pPr>
            <w:r w:rsidRPr="00C54DF1">
              <w:rPr>
                <w:rFonts w:cs="Verdana"/>
                <w:sz w:val="18"/>
                <w:szCs w:val="18"/>
                <w:lang w:eastAsia="en-GB"/>
              </w:rPr>
              <w:t xml:space="preserve">Chief Executive </w:t>
            </w:r>
          </w:p>
          <w:p w14:paraId="43A31128" w14:textId="77777777" w:rsidR="00013EDA" w:rsidRDefault="00013EDA" w:rsidP="00013EDA">
            <w:pPr>
              <w:rPr>
                <w:rFonts w:cs="Verdana"/>
                <w:sz w:val="18"/>
                <w:szCs w:val="18"/>
                <w:lang w:eastAsia="en-GB"/>
              </w:rPr>
            </w:pPr>
          </w:p>
          <w:p w14:paraId="61D6078B" w14:textId="77777777" w:rsidR="00013EDA" w:rsidRPr="00C54DF1" w:rsidRDefault="00013EDA" w:rsidP="00013EDA">
            <w:pPr>
              <w:rPr>
                <w:rFonts w:cs="Verdana"/>
                <w:sz w:val="18"/>
                <w:szCs w:val="18"/>
                <w:lang w:eastAsia="en-GB"/>
              </w:rPr>
            </w:pPr>
          </w:p>
        </w:tc>
        <w:tc>
          <w:tcPr>
            <w:tcW w:w="850" w:type="dxa"/>
          </w:tcPr>
          <w:p w14:paraId="6AEC3B6E" w14:textId="77777777" w:rsidR="00013EDA" w:rsidRDefault="00013EDA" w:rsidP="0046013C">
            <w:pPr>
              <w:widowControl w:val="0"/>
              <w:tabs>
                <w:tab w:val="center" w:pos="8647"/>
              </w:tabs>
              <w:autoSpaceDE w:val="0"/>
              <w:autoSpaceDN w:val="0"/>
              <w:adjustRightInd w:val="0"/>
              <w:jc w:val="center"/>
              <w:rPr>
                <w:sz w:val="18"/>
                <w:szCs w:val="18"/>
              </w:rPr>
            </w:pPr>
          </w:p>
          <w:p w14:paraId="03B0E64C" w14:textId="7FD2442A" w:rsidR="00013EDA" w:rsidRPr="00C54DF1" w:rsidRDefault="006B0C96" w:rsidP="0046013C">
            <w:pPr>
              <w:widowControl w:val="0"/>
              <w:tabs>
                <w:tab w:val="center" w:pos="8647"/>
              </w:tabs>
              <w:autoSpaceDE w:val="0"/>
              <w:autoSpaceDN w:val="0"/>
              <w:adjustRightInd w:val="0"/>
              <w:jc w:val="center"/>
              <w:rPr>
                <w:sz w:val="18"/>
                <w:szCs w:val="18"/>
              </w:rPr>
            </w:pPr>
            <w:r>
              <w:rPr>
                <w:sz w:val="18"/>
                <w:szCs w:val="18"/>
              </w:rPr>
              <w:t>85-90</w:t>
            </w:r>
          </w:p>
        </w:tc>
        <w:tc>
          <w:tcPr>
            <w:tcW w:w="851" w:type="dxa"/>
          </w:tcPr>
          <w:p w14:paraId="4A8B62F0" w14:textId="77777777" w:rsidR="00013EDA" w:rsidRDefault="00013EDA" w:rsidP="0046013C">
            <w:pPr>
              <w:widowControl w:val="0"/>
              <w:tabs>
                <w:tab w:val="center" w:pos="8647"/>
              </w:tabs>
              <w:autoSpaceDE w:val="0"/>
              <w:autoSpaceDN w:val="0"/>
              <w:adjustRightInd w:val="0"/>
              <w:jc w:val="center"/>
              <w:rPr>
                <w:sz w:val="18"/>
                <w:szCs w:val="18"/>
              </w:rPr>
            </w:pPr>
          </w:p>
          <w:p w14:paraId="1FD60FB3" w14:textId="5BBAAEC8" w:rsidR="00013EDA" w:rsidRPr="00C54DF1" w:rsidRDefault="00013EDA" w:rsidP="0046013C">
            <w:pPr>
              <w:widowControl w:val="0"/>
              <w:tabs>
                <w:tab w:val="center" w:pos="8647"/>
              </w:tabs>
              <w:autoSpaceDE w:val="0"/>
              <w:autoSpaceDN w:val="0"/>
              <w:adjustRightInd w:val="0"/>
              <w:jc w:val="center"/>
              <w:rPr>
                <w:sz w:val="18"/>
                <w:szCs w:val="18"/>
              </w:rPr>
            </w:pPr>
            <w:r>
              <w:rPr>
                <w:sz w:val="18"/>
                <w:szCs w:val="18"/>
              </w:rPr>
              <w:t>80</w:t>
            </w:r>
            <w:r w:rsidR="00D34FCE">
              <w:rPr>
                <w:sz w:val="18"/>
                <w:szCs w:val="18"/>
              </w:rPr>
              <w:t>-85</w:t>
            </w:r>
          </w:p>
        </w:tc>
        <w:tc>
          <w:tcPr>
            <w:tcW w:w="850" w:type="dxa"/>
          </w:tcPr>
          <w:p w14:paraId="72251A05" w14:textId="77777777" w:rsidR="00013EDA" w:rsidRDefault="00013EDA" w:rsidP="0046013C">
            <w:pPr>
              <w:widowControl w:val="0"/>
              <w:tabs>
                <w:tab w:val="center" w:pos="8647"/>
              </w:tabs>
              <w:autoSpaceDE w:val="0"/>
              <w:autoSpaceDN w:val="0"/>
              <w:adjustRightInd w:val="0"/>
              <w:jc w:val="center"/>
              <w:rPr>
                <w:sz w:val="18"/>
                <w:szCs w:val="18"/>
              </w:rPr>
            </w:pPr>
          </w:p>
          <w:p w14:paraId="14642369" w14:textId="780DA1A6" w:rsidR="00013EDA" w:rsidRPr="00C54DF1"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6E9F4EE9" w14:textId="77777777" w:rsidR="00013EDA" w:rsidRDefault="00013EDA" w:rsidP="0046013C">
            <w:pPr>
              <w:widowControl w:val="0"/>
              <w:tabs>
                <w:tab w:val="center" w:pos="8647"/>
              </w:tabs>
              <w:autoSpaceDE w:val="0"/>
              <w:autoSpaceDN w:val="0"/>
              <w:adjustRightInd w:val="0"/>
              <w:jc w:val="center"/>
              <w:rPr>
                <w:sz w:val="18"/>
                <w:szCs w:val="18"/>
              </w:rPr>
            </w:pPr>
          </w:p>
          <w:p w14:paraId="3C85DB1F" w14:textId="70A326B2" w:rsidR="00013EDA" w:rsidRPr="00C54DF1"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2C8604EF" w14:textId="77777777" w:rsidR="00013EDA" w:rsidRDefault="00013EDA" w:rsidP="0046013C">
            <w:pPr>
              <w:widowControl w:val="0"/>
              <w:tabs>
                <w:tab w:val="center" w:pos="8647"/>
              </w:tabs>
              <w:autoSpaceDE w:val="0"/>
              <w:autoSpaceDN w:val="0"/>
              <w:adjustRightInd w:val="0"/>
              <w:jc w:val="center"/>
              <w:rPr>
                <w:sz w:val="18"/>
                <w:szCs w:val="18"/>
              </w:rPr>
            </w:pPr>
          </w:p>
          <w:p w14:paraId="44DD1AD3" w14:textId="0B388EFA" w:rsidR="003D1DAB" w:rsidRPr="00C54DF1" w:rsidRDefault="003D1DAB" w:rsidP="0046013C">
            <w:pPr>
              <w:widowControl w:val="0"/>
              <w:tabs>
                <w:tab w:val="center" w:pos="8647"/>
              </w:tabs>
              <w:autoSpaceDE w:val="0"/>
              <w:autoSpaceDN w:val="0"/>
              <w:adjustRightInd w:val="0"/>
              <w:jc w:val="center"/>
              <w:rPr>
                <w:sz w:val="18"/>
                <w:szCs w:val="18"/>
              </w:rPr>
            </w:pPr>
          </w:p>
        </w:tc>
        <w:tc>
          <w:tcPr>
            <w:tcW w:w="992" w:type="dxa"/>
          </w:tcPr>
          <w:p w14:paraId="78529B73" w14:textId="77777777" w:rsidR="00013EDA" w:rsidRDefault="00013EDA" w:rsidP="0046013C">
            <w:pPr>
              <w:widowControl w:val="0"/>
              <w:tabs>
                <w:tab w:val="center" w:pos="8647"/>
              </w:tabs>
              <w:autoSpaceDE w:val="0"/>
              <w:autoSpaceDN w:val="0"/>
              <w:adjustRightInd w:val="0"/>
              <w:jc w:val="center"/>
              <w:rPr>
                <w:sz w:val="18"/>
                <w:szCs w:val="18"/>
              </w:rPr>
            </w:pPr>
          </w:p>
          <w:p w14:paraId="4A0A9C9D" w14:textId="6B553327" w:rsidR="00013EDA" w:rsidRPr="00C54DF1" w:rsidRDefault="000D130C" w:rsidP="0046013C">
            <w:pPr>
              <w:widowControl w:val="0"/>
              <w:tabs>
                <w:tab w:val="center" w:pos="8647"/>
              </w:tabs>
              <w:autoSpaceDE w:val="0"/>
              <w:autoSpaceDN w:val="0"/>
              <w:adjustRightInd w:val="0"/>
              <w:jc w:val="center"/>
              <w:rPr>
                <w:sz w:val="18"/>
                <w:szCs w:val="18"/>
              </w:rPr>
            </w:pPr>
            <w:r>
              <w:rPr>
                <w:sz w:val="18"/>
                <w:szCs w:val="18"/>
              </w:rPr>
              <w:t>22</w:t>
            </w:r>
            <w:r w:rsidR="00013EDA">
              <w:rPr>
                <w:sz w:val="18"/>
                <w:szCs w:val="18"/>
              </w:rPr>
              <w:t>,000</w:t>
            </w:r>
          </w:p>
        </w:tc>
        <w:tc>
          <w:tcPr>
            <w:tcW w:w="993" w:type="dxa"/>
          </w:tcPr>
          <w:p w14:paraId="332AB851" w14:textId="77777777" w:rsidR="00013EDA" w:rsidRDefault="00013EDA" w:rsidP="0046013C">
            <w:pPr>
              <w:widowControl w:val="0"/>
              <w:tabs>
                <w:tab w:val="center" w:pos="8647"/>
              </w:tabs>
              <w:autoSpaceDE w:val="0"/>
              <w:autoSpaceDN w:val="0"/>
              <w:adjustRightInd w:val="0"/>
              <w:jc w:val="center"/>
              <w:rPr>
                <w:sz w:val="18"/>
                <w:szCs w:val="18"/>
              </w:rPr>
            </w:pPr>
          </w:p>
          <w:p w14:paraId="3B4226BC" w14:textId="62A91E1F" w:rsidR="0046013C" w:rsidRPr="00C54DF1" w:rsidRDefault="0084122D" w:rsidP="0046013C">
            <w:pPr>
              <w:widowControl w:val="0"/>
              <w:tabs>
                <w:tab w:val="center" w:pos="8647"/>
              </w:tabs>
              <w:autoSpaceDE w:val="0"/>
              <w:autoSpaceDN w:val="0"/>
              <w:adjustRightInd w:val="0"/>
              <w:jc w:val="center"/>
              <w:rPr>
                <w:sz w:val="18"/>
                <w:szCs w:val="18"/>
              </w:rPr>
            </w:pPr>
            <w:r>
              <w:rPr>
                <w:sz w:val="18"/>
                <w:szCs w:val="18"/>
              </w:rPr>
              <w:t>85-90</w:t>
            </w:r>
          </w:p>
        </w:tc>
        <w:tc>
          <w:tcPr>
            <w:tcW w:w="992" w:type="dxa"/>
          </w:tcPr>
          <w:p w14:paraId="4441D46F" w14:textId="77777777" w:rsidR="00013EDA" w:rsidRDefault="00013EDA" w:rsidP="0046013C">
            <w:pPr>
              <w:widowControl w:val="0"/>
              <w:tabs>
                <w:tab w:val="center" w:pos="8647"/>
              </w:tabs>
              <w:autoSpaceDE w:val="0"/>
              <w:autoSpaceDN w:val="0"/>
              <w:adjustRightInd w:val="0"/>
              <w:jc w:val="center"/>
              <w:rPr>
                <w:sz w:val="18"/>
                <w:szCs w:val="18"/>
              </w:rPr>
            </w:pPr>
          </w:p>
          <w:p w14:paraId="45AA6218" w14:textId="37058E7F" w:rsidR="00013EDA" w:rsidRPr="00D8281D" w:rsidRDefault="00013EDA" w:rsidP="0046013C">
            <w:pPr>
              <w:widowControl w:val="0"/>
              <w:tabs>
                <w:tab w:val="center" w:pos="8647"/>
              </w:tabs>
              <w:autoSpaceDE w:val="0"/>
              <w:autoSpaceDN w:val="0"/>
              <w:adjustRightInd w:val="0"/>
              <w:jc w:val="center"/>
              <w:rPr>
                <w:sz w:val="18"/>
                <w:szCs w:val="18"/>
              </w:rPr>
            </w:pPr>
            <w:r>
              <w:rPr>
                <w:sz w:val="18"/>
                <w:szCs w:val="18"/>
              </w:rPr>
              <w:t>1</w:t>
            </w:r>
            <w:r w:rsidR="00840DE0">
              <w:rPr>
                <w:sz w:val="18"/>
                <w:szCs w:val="18"/>
              </w:rPr>
              <w:t>05</w:t>
            </w:r>
            <w:r>
              <w:rPr>
                <w:sz w:val="18"/>
                <w:szCs w:val="18"/>
              </w:rPr>
              <w:t>-11</w:t>
            </w:r>
            <w:r w:rsidR="00840DE0">
              <w:rPr>
                <w:sz w:val="18"/>
                <w:szCs w:val="18"/>
              </w:rPr>
              <w:t>0</w:t>
            </w:r>
          </w:p>
        </w:tc>
      </w:tr>
      <w:tr w:rsidR="00013EDA" w:rsidRPr="00280EA2" w14:paraId="4998433F" w14:textId="77777777" w:rsidTr="54F71CB4">
        <w:tc>
          <w:tcPr>
            <w:tcW w:w="2581" w:type="dxa"/>
            <w:vAlign w:val="center"/>
          </w:tcPr>
          <w:p w14:paraId="7E5082C9" w14:textId="77777777" w:rsidR="00013EDA" w:rsidRPr="001F61FA" w:rsidRDefault="00013EDA" w:rsidP="00013EDA">
            <w:pPr>
              <w:rPr>
                <w:b/>
                <w:sz w:val="18"/>
                <w:szCs w:val="18"/>
              </w:rPr>
            </w:pPr>
            <w:proofErr w:type="spellStart"/>
            <w:r w:rsidRPr="001F61FA">
              <w:rPr>
                <w:b/>
                <w:sz w:val="18"/>
                <w:szCs w:val="18"/>
              </w:rPr>
              <w:t>Mrs</w:t>
            </w:r>
            <w:proofErr w:type="spellEnd"/>
            <w:r w:rsidRPr="001F61FA">
              <w:rPr>
                <w:b/>
                <w:sz w:val="18"/>
                <w:szCs w:val="18"/>
              </w:rPr>
              <w:t xml:space="preserve"> Lorraine Hamill</w:t>
            </w:r>
          </w:p>
          <w:p w14:paraId="71B66728" w14:textId="77777777" w:rsidR="00013EDA" w:rsidRDefault="00013EDA" w:rsidP="00013EDA">
            <w:pPr>
              <w:rPr>
                <w:sz w:val="18"/>
                <w:szCs w:val="18"/>
              </w:rPr>
            </w:pPr>
            <w:r w:rsidRPr="001F61FA">
              <w:rPr>
                <w:sz w:val="18"/>
                <w:szCs w:val="18"/>
              </w:rPr>
              <w:t xml:space="preserve">Director </w:t>
            </w:r>
          </w:p>
          <w:p w14:paraId="7DA05965" w14:textId="77777777" w:rsidR="00013EDA" w:rsidRPr="001F61FA" w:rsidRDefault="00013EDA" w:rsidP="00013EDA">
            <w:pPr>
              <w:rPr>
                <w:sz w:val="18"/>
                <w:szCs w:val="18"/>
              </w:rPr>
            </w:pPr>
          </w:p>
        </w:tc>
        <w:tc>
          <w:tcPr>
            <w:tcW w:w="850" w:type="dxa"/>
          </w:tcPr>
          <w:p w14:paraId="0B927F3D" w14:textId="77777777" w:rsidR="00013EDA" w:rsidRDefault="00013EDA" w:rsidP="0046013C">
            <w:pPr>
              <w:widowControl w:val="0"/>
              <w:tabs>
                <w:tab w:val="center" w:pos="8647"/>
              </w:tabs>
              <w:autoSpaceDE w:val="0"/>
              <w:autoSpaceDN w:val="0"/>
              <w:adjustRightInd w:val="0"/>
              <w:jc w:val="center"/>
              <w:rPr>
                <w:sz w:val="18"/>
                <w:szCs w:val="18"/>
              </w:rPr>
            </w:pPr>
          </w:p>
          <w:p w14:paraId="58AAB962" w14:textId="6CAE3691" w:rsidR="00431AE4" w:rsidRDefault="006B0C96" w:rsidP="0046013C">
            <w:pPr>
              <w:widowControl w:val="0"/>
              <w:tabs>
                <w:tab w:val="center" w:pos="8647"/>
              </w:tabs>
              <w:autoSpaceDE w:val="0"/>
              <w:autoSpaceDN w:val="0"/>
              <w:adjustRightInd w:val="0"/>
              <w:jc w:val="center"/>
              <w:rPr>
                <w:sz w:val="18"/>
                <w:szCs w:val="18"/>
              </w:rPr>
            </w:pPr>
            <w:r>
              <w:rPr>
                <w:sz w:val="18"/>
                <w:szCs w:val="18"/>
              </w:rPr>
              <w:t>65-70</w:t>
            </w:r>
          </w:p>
          <w:p w14:paraId="0E281145" w14:textId="03DE6F7D" w:rsidR="00013EDA" w:rsidRPr="001F61FA" w:rsidRDefault="00013EDA" w:rsidP="0046013C">
            <w:pPr>
              <w:widowControl w:val="0"/>
              <w:tabs>
                <w:tab w:val="center" w:pos="8647"/>
              </w:tabs>
              <w:autoSpaceDE w:val="0"/>
              <w:autoSpaceDN w:val="0"/>
              <w:adjustRightInd w:val="0"/>
              <w:jc w:val="center"/>
              <w:rPr>
                <w:sz w:val="18"/>
                <w:szCs w:val="18"/>
              </w:rPr>
            </w:pPr>
          </w:p>
        </w:tc>
        <w:tc>
          <w:tcPr>
            <w:tcW w:w="851" w:type="dxa"/>
          </w:tcPr>
          <w:p w14:paraId="11890887" w14:textId="77777777" w:rsidR="00013EDA" w:rsidRDefault="00013EDA" w:rsidP="0046013C">
            <w:pPr>
              <w:widowControl w:val="0"/>
              <w:tabs>
                <w:tab w:val="center" w:pos="8647"/>
              </w:tabs>
              <w:autoSpaceDE w:val="0"/>
              <w:autoSpaceDN w:val="0"/>
              <w:adjustRightInd w:val="0"/>
              <w:jc w:val="center"/>
              <w:rPr>
                <w:sz w:val="18"/>
                <w:szCs w:val="18"/>
              </w:rPr>
            </w:pPr>
          </w:p>
          <w:p w14:paraId="3CF098D6" w14:textId="5118E308"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55-60</w:t>
            </w:r>
          </w:p>
        </w:tc>
        <w:tc>
          <w:tcPr>
            <w:tcW w:w="850" w:type="dxa"/>
          </w:tcPr>
          <w:p w14:paraId="75241604" w14:textId="77777777" w:rsidR="00013EDA" w:rsidRDefault="00013EDA" w:rsidP="0046013C">
            <w:pPr>
              <w:widowControl w:val="0"/>
              <w:tabs>
                <w:tab w:val="center" w:pos="8647"/>
              </w:tabs>
              <w:autoSpaceDE w:val="0"/>
              <w:autoSpaceDN w:val="0"/>
              <w:adjustRightInd w:val="0"/>
              <w:jc w:val="center"/>
              <w:rPr>
                <w:sz w:val="18"/>
                <w:szCs w:val="18"/>
              </w:rPr>
            </w:pPr>
          </w:p>
          <w:p w14:paraId="046D9436" w14:textId="3DFF580A" w:rsidR="00013EDA" w:rsidRPr="001F61FA"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1785FC93" w14:textId="77777777" w:rsidR="00013EDA" w:rsidRDefault="00013EDA" w:rsidP="0046013C">
            <w:pPr>
              <w:widowControl w:val="0"/>
              <w:tabs>
                <w:tab w:val="center" w:pos="8647"/>
              </w:tabs>
              <w:autoSpaceDE w:val="0"/>
              <w:autoSpaceDN w:val="0"/>
              <w:adjustRightInd w:val="0"/>
              <w:jc w:val="center"/>
              <w:rPr>
                <w:sz w:val="18"/>
                <w:szCs w:val="18"/>
              </w:rPr>
            </w:pPr>
          </w:p>
          <w:p w14:paraId="568B80AE" w14:textId="0A37441C"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29BF1D40" w14:textId="77777777" w:rsidR="00013EDA" w:rsidRDefault="00013EDA" w:rsidP="0046013C">
            <w:pPr>
              <w:widowControl w:val="0"/>
              <w:tabs>
                <w:tab w:val="center" w:pos="8647"/>
              </w:tabs>
              <w:autoSpaceDE w:val="0"/>
              <w:autoSpaceDN w:val="0"/>
              <w:adjustRightInd w:val="0"/>
              <w:jc w:val="center"/>
              <w:rPr>
                <w:sz w:val="18"/>
                <w:szCs w:val="18"/>
              </w:rPr>
            </w:pPr>
          </w:p>
          <w:p w14:paraId="31375416" w14:textId="589D89E8" w:rsidR="003D1DAB" w:rsidRPr="001F61FA" w:rsidRDefault="003D1DAB" w:rsidP="0046013C">
            <w:pPr>
              <w:widowControl w:val="0"/>
              <w:tabs>
                <w:tab w:val="center" w:pos="8647"/>
              </w:tabs>
              <w:autoSpaceDE w:val="0"/>
              <w:autoSpaceDN w:val="0"/>
              <w:adjustRightInd w:val="0"/>
              <w:jc w:val="center"/>
              <w:rPr>
                <w:sz w:val="18"/>
                <w:szCs w:val="18"/>
              </w:rPr>
            </w:pPr>
          </w:p>
        </w:tc>
        <w:tc>
          <w:tcPr>
            <w:tcW w:w="992" w:type="dxa"/>
          </w:tcPr>
          <w:p w14:paraId="3476637A" w14:textId="77777777" w:rsidR="00013EDA" w:rsidRDefault="00013EDA" w:rsidP="0046013C">
            <w:pPr>
              <w:widowControl w:val="0"/>
              <w:tabs>
                <w:tab w:val="center" w:pos="8647"/>
              </w:tabs>
              <w:autoSpaceDE w:val="0"/>
              <w:autoSpaceDN w:val="0"/>
              <w:adjustRightInd w:val="0"/>
              <w:jc w:val="center"/>
              <w:rPr>
                <w:sz w:val="18"/>
                <w:szCs w:val="18"/>
              </w:rPr>
            </w:pPr>
          </w:p>
          <w:p w14:paraId="7AB31373" w14:textId="5566F726" w:rsidR="00013EDA" w:rsidRPr="001F61FA" w:rsidRDefault="000D130C" w:rsidP="0046013C">
            <w:pPr>
              <w:widowControl w:val="0"/>
              <w:tabs>
                <w:tab w:val="center" w:pos="8647"/>
              </w:tabs>
              <w:autoSpaceDE w:val="0"/>
              <w:autoSpaceDN w:val="0"/>
              <w:adjustRightInd w:val="0"/>
              <w:jc w:val="center"/>
              <w:rPr>
                <w:sz w:val="18"/>
                <w:szCs w:val="18"/>
              </w:rPr>
            </w:pPr>
            <w:r>
              <w:rPr>
                <w:sz w:val="18"/>
                <w:szCs w:val="18"/>
              </w:rPr>
              <w:t>11</w:t>
            </w:r>
            <w:r w:rsidR="00013EDA">
              <w:rPr>
                <w:sz w:val="18"/>
                <w:szCs w:val="18"/>
              </w:rPr>
              <w:t>,000</w:t>
            </w:r>
          </w:p>
        </w:tc>
        <w:tc>
          <w:tcPr>
            <w:tcW w:w="993" w:type="dxa"/>
          </w:tcPr>
          <w:p w14:paraId="48D7086E" w14:textId="77777777" w:rsidR="00013EDA" w:rsidRDefault="00013EDA" w:rsidP="0046013C">
            <w:pPr>
              <w:widowControl w:val="0"/>
              <w:tabs>
                <w:tab w:val="center" w:pos="8647"/>
              </w:tabs>
              <w:autoSpaceDE w:val="0"/>
              <w:autoSpaceDN w:val="0"/>
              <w:adjustRightInd w:val="0"/>
              <w:jc w:val="center"/>
              <w:rPr>
                <w:sz w:val="18"/>
                <w:szCs w:val="18"/>
              </w:rPr>
            </w:pPr>
          </w:p>
          <w:p w14:paraId="2AB34761" w14:textId="523AC81C" w:rsidR="0046013C" w:rsidRPr="001F61FA" w:rsidRDefault="0046013C" w:rsidP="0046013C">
            <w:pPr>
              <w:widowControl w:val="0"/>
              <w:tabs>
                <w:tab w:val="center" w:pos="8647"/>
              </w:tabs>
              <w:autoSpaceDE w:val="0"/>
              <w:autoSpaceDN w:val="0"/>
              <w:adjustRightInd w:val="0"/>
              <w:jc w:val="center"/>
              <w:rPr>
                <w:sz w:val="18"/>
                <w:szCs w:val="18"/>
              </w:rPr>
            </w:pPr>
            <w:r>
              <w:rPr>
                <w:sz w:val="18"/>
                <w:szCs w:val="18"/>
              </w:rPr>
              <w:t>70-75</w:t>
            </w:r>
          </w:p>
        </w:tc>
        <w:tc>
          <w:tcPr>
            <w:tcW w:w="992" w:type="dxa"/>
          </w:tcPr>
          <w:p w14:paraId="52B40F3B" w14:textId="77777777" w:rsidR="00013EDA" w:rsidRDefault="00013EDA" w:rsidP="0046013C">
            <w:pPr>
              <w:widowControl w:val="0"/>
              <w:tabs>
                <w:tab w:val="center" w:pos="8647"/>
              </w:tabs>
              <w:autoSpaceDE w:val="0"/>
              <w:autoSpaceDN w:val="0"/>
              <w:adjustRightInd w:val="0"/>
              <w:jc w:val="center"/>
              <w:rPr>
                <w:sz w:val="18"/>
                <w:szCs w:val="18"/>
              </w:rPr>
            </w:pPr>
          </w:p>
          <w:p w14:paraId="5F332ED3" w14:textId="21E3E44C" w:rsidR="00013EDA" w:rsidRPr="00AF5373" w:rsidRDefault="00840DE0" w:rsidP="0046013C">
            <w:pPr>
              <w:widowControl w:val="0"/>
              <w:tabs>
                <w:tab w:val="center" w:pos="8647"/>
              </w:tabs>
              <w:autoSpaceDE w:val="0"/>
              <w:autoSpaceDN w:val="0"/>
              <w:adjustRightInd w:val="0"/>
              <w:jc w:val="center"/>
              <w:rPr>
                <w:sz w:val="18"/>
                <w:szCs w:val="18"/>
              </w:rPr>
            </w:pPr>
            <w:r>
              <w:rPr>
                <w:sz w:val="18"/>
                <w:szCs w:val="18"/>
              </w:rPr>
              <w:t>70</w:t>
            </w:r>
            <w:r w:rsidR="00013EDA">
              <w:rPr>
                <w:sz w:val="18"/>
                <w:szCs w:val="18"/>
              </w:rPr>
              <w:t>-</w:t>
            </w:r>
            <w:r>
              <w:rPr>
                <w:sz w:val="18"/>
                <w:szCs w:val="18"/>
              </w:rPr>
              <w:t>7</w:t>
            </w:r>
            <w:r w:rsidR="00013EDA">
              <w:rPr>
                <w:sz w:val="18"/>
                <w:szCs w:val="18"/>
              </w:rPr>
              <w:t>5</w:t>
            </w:r>
          </w:p>
        </w:tc>
      </w:tr>
      <w:tr w:rsidR="00013EDA" w:rsidRPr="00280EA2" w14:paraId="330E0BD4" w14:textId="77777777" w:rsidTr="54F71CB4">
        <w:tc>
          <w:tcPr>
            <w:tcW w:w="2581" w:type="dxa"/>
            <w:vAlign w:val="center"/>
          </w:tcPr>
          <w:p w14:paraId="7158A59F" w14:textId="77777777" w:rsidR="00013EDA" w:rsidRPr="001F61FA" w:rsidRDefault="00013EDA" w:rsidP="00013EDA">
            <w:pPr>
              <w:rPr>
                <w:b/>
                <w:sz w:val="18"/>
                <w:szCs w:val="18"/>
              </w:rPr>
            </w:pPr>
            <w:proofErr w:type="spellStart"/>
            <w:r w:rsidRPr="001F61FA">
              <w:rPr>
                <w:b/>
                <w:sz w:val="18"/>
                <w:szCs w:val="18"/>
              </w:rPr>
              <w:t>Ms</w:t>
            </w:r>
            <w:proofErr w:type="spellEnd"/>
            <w:r w:rsidRPr="001F61FA">
              <w:rPr>
                <w:b/>
                <w:sz w:val="18"/>
                <w:szCs w:val="18"/>
              </w:rPr>
              <w:t xml:space="preserve"> Claire Martin</w:t>
            </w:r>
          </w:p>
          <w:p w14:paraId="28708AC3" w14:textId="77777777" w:rsidR="00013EDA" w:rsidRDefault="00013EDA" w:rsidP="00013EDA">
            <w:pPr>
              <w:rPr>
                <w:sz w:val="18"/>
                <w:szCs w:val="18"/>
              </w:rPr>
            </w:pPr>
            <w:r w:rsidRPr="001F61FA">
              <w:rPr>
                <w:sz w:val="18"/>
                <w:szCs w:val="18"/>
              </w:rPr>
              <w:t xml:space="preserve">Director </w:t>
            </w:r>
          </w:p>
          <w:p w14:paraId="70D6A784" w14:textId="77777777" w:rsidR="0046013C" w:rsidRPr="001F61FA" w:rsidRDefault="0046013C" w:rsidP="00013EDA">
            <w:pPr>
              <w:rPr>
                <w:sz w:val="18"/>
                <w:szCs w:val="18"/>
              </w:rPr>
            </w:pPr>
          </w:p>
        </w:tc>
        <w:tc>
          <w:tcPr>
            <w:tcW w:w="850" w:type="dxa"/>
          </w:tcPr>
          <w:p w14:paraId="75E55C60" w14:textId="77777777" w:rsidR="00013EDA" w:rsidRDefault="00013EDA" w:rsidP="0046013C">
            <w:pPr>
              <w:widowControl w:val="0"/>
              <w:tabs>
                <w:tab w:val="center" w:pos="8647"/>
              </w:tabs>
              <w:autoSpaceDE w:val="0"/>
              <w:autoSpaceDN w:val="0"/>
              <w:adjustRightInd w:val="0"/>
              <w:jc w:val="center"/>
              <w:rPr>
                <w:sz w:val="18"/>
                <w:szCs w:val="18"/>
              </w:rPr>
            </w:pPr>
          </w:p>
          <w:p w14:paraId="7B15BE97" w14:textId="51AE1E7F" w:rsidR="00013EDA" w:rsidRPr="001F61FA" w:rsidRDefault="006B0C96" w:rsidP="0046013C">
            <w:pPr>
              <w:widowControl w:val="0"/>
              <w:tabs>
                <w:tab w:val="center" w:pos="8647"/>
              </w:tabs>
              <w:autoSpaceDE w:val="0"/>
              <w:autoSpaceDN w:val="0"/>
              <w:adjustRightInd w:val="0"/>
              <w:jc w:val="center"/>
              <w:rPr>
                <w:sz w:val="18"/>
                <w:szCs w:val="18"/>
              </w:rPr>
            </w:pPr>
            <w:r>
              <w:rPr>
                <w:sz w:val="18"/>
                <w:szCs w:val="18"/>
              </w:rPr>
              <w:t>70-75</w:t>
            </w:r>
          </w:p>
        </w:tc>
        <w:tc>
          <w:tcPr>
            <w:tcW w:w="851" w:type="dxa"/>
          </w:tcPr>
          <w:p w14:paraId="6EDF400A" w14:textId="77777777" w:rsidR="00013EDA" w:rsidRDefault="00013EDA" w:rsidP="0046013C">
            <w:pPr>
              <w:widowControl w:val="0"/>
              <w:tabs>
                <w:tab w:val="center" w:pos="8647"/>
              </w:tabs>
              <w:autoSpaceDE w:val="0"/>
              <w:autoSpaceDN w:val="0"/>
              <w:adjustRightInd w:val="0"/>
              <w:jc w:val="center"/>
              <w:rPr>
                <w:sz w:val="18"/>
                <w:szCs w:val="18"/>
              </w:rPr>
            </w:pPr>
          </w:p>
          <w:p w14:paraId="3341C794" w14:textId="05A8A610"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65-70</w:t>
            </w:r>
          </w:p>
        </w:tc>
        <w:tc>
          <w:tcPr>
            <w:tcW w:w="850" w:type="dxa"/>
          </w:tcPr>
          <w:p w14:paraId="7D924424" w14:textId="77777777" w:rsidR="00013EDA" w:rsidRDefault="00013EDA" w:rsidP="0046013C">
            <w:pPr>
              <w:widowControl w:val="0"/>
              <w:tabs>
                <w:tab w:val="center" w:pos="8647"/>
              </w:tabs>
              <w:autoSpaceDE w:val="0"/>
              <w:autoSpaceDN w:val="0"/>
              <w:adjustRightInd w:val="0"/>
              <w:jc w:val="center"/>
              <w:rPr>
                <w:sz w:val="18"/>
                <w:szCs w:val="18"/>
              </w:rPr>
            </w:pPr>
          </w:p>
          <w:p w14:paraId="6F4D0EF0" w14:textId="07E13F7E" w:rsidR="00013EDA" w:rsidRPr="001F61FA"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01410295" w14:textId="77777777" w:rsidR="00013EDA" w:rsidRDefault="00013EDA" w:rsidP="0046013C">
            <w:pPr>
              <w:widowControl w:val="0"/>
              <w:tabs>
                <w:tab w:val="center" w:pos="8647"/>
              </w:tabs>
              <w:autoSpaceDE w:val="0"/>
              <w:autoSpaceDN w:val="0"/>
              <w:adjustRightInd w:val="0"/>
              <w:jc w:val="center"/>
              <w:rPr>
                <w:sz w:val="18"/>
                <w:szCs w:val="18"/>
              </w:rPr>
            </w:pPr>
          </w:p>
          <w:p w14:paraId="77CD5970" w14:textId="360CCE7E"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09BB2938" w14:textId="77777777" w:rsidR="00013EDA" w:rsidRDefault="00013EDA" w:rsidP="0046013C">
            <w:pPr>
              <w:widowControl w:val="0"/>
              <w:tabs>
                <w:tab w:val="center" w:pos="8647"/>
              </w:tabs>
              <w:autoSpaceDE w:val="0"/>
              <w:autoSpaceDN w:val="0"/>
              <w:adjustRightInd w:val="0"/>
              <w:jc w:val="center"/>
              <w:rPr>
                <w:sz w:val="18"/>
                <w:szCs w:val="18"/>
              </w:rPr>
            </w:pPr>
          </w:p>
          <w:p w14:paraId="6F536B98" w14:textId="07119B62" w:rsidR="00760EB1" w:rsidRPr="001F61FA" w:rsidRDefault="00760EB1" w:rsidP="0046013C">
            <w:pPr>
              <w:widowControl w:val="0"/>
              <w:tabs>
                <w:tab w:val="center" w:pos="8647"/>
              </w:tabs>
              <w:autoSpaceDE w:val="0"/>
              <w:autoSpaceDN w:val="0"/>
              <w:adjustRightInd w:val="0"/>
              <w:jc w:val="center"/>
              <w:rPr>
                <w:sz w:val="18"/>
                <w:szCs w:val="18"/>
              </w:rPr>
            </w:pPr>
          </w:p>
        </w:tc>
        <w:tc>
          <w:tcPr>
            <w:tcW w:w="992" w:type="dxa"/>
          </w:tcPr>
          <w:p w14:paraId="54649A09" w14:textId="77777777" w:rsidR="00013EDA" w:rsidRDefault="00013EDA" w:rsidP="0046013C">
            <w:pPr>
              <w:widowControl w:val="0"/>
              <w:tabs>
                <w:tab w:val="center" w:pos="8647"/>
              </w:tabs>
              <w:autoSpaceDE w:val="0"/>
              <w:autoSpaceDN w:val="0"/>
              <w:adjustRightInd w:val="0"/>
              <w:jc w:val="center"/>
              <w:rPr>
                <w:sz w:val="18"/>
                <w:szCs w:val="18"/>
              </w:rPr>
            </w:pPr>
          </w:p>
          <w:p w14:paraId="18B73F55" w14:textId="045457E4" w:rsidR="00013EDA" w:rsidRPr="001F61FA" w:rsidRDefault="000D130C" w:rsidP="0046013C">
            <w:pPr>
              <w:widowControl w:val="0"/>
              <w:tabs>
                <w:tab w:val="center" w:pos="8647"/>
              </w:tabs>
              <w:autoSpaceDE w:val="0"/>
              <w:autoSpaceDN w:val="0"/>
              <w:adjustRightInd w:val="0"/>
              <w:jc w:val="center"/>
              <w:rPr>
                <w:sz w:val="18"/>
                <w:szCs w:val="18"/>
              </w:rPr>
            </w:pPr>
            <w:r>
              <w:rPr>
                <w:sz w:val="18"/>
                <w:szCs w:val="18"/>
              </w:rPr>
              <w:t>15</w:t>
            </w:r>
            <w:r w:rsidR="00013EDA">
              <w:rPr>
                <w:sz w:val="18"/>
                <w:szCs w:val="18"/>
              </w:rPr>
              <w:t>,000</w:t>
            </w:r>
          </w:p>
        </w:tc>
        <w:tc>
          <w:tcPr>
            <w:tcW w:w="993" w:type="dxa"/>
          </w:tcPr>
          <w:p w14:paraId="7EFBC6B2" w14:textId="77777777" w:rsidR="00013EDA" w:rsidRDefault="00013EDA" w:rsidP="0046013C">
            <w:pPr>
              <w:widowControl w:val="0"/>
              <w:tabs>
                <w:tab w:val="center" w:pos="8647"/>
              </w:tabs>
              <w:autoSpaceDE w:val="0"/>
              <w:autoSpaceDN w:val="0"/>
              <w:adjustRightInd w:val="0"/>
              <w:jc w:val="center"/>
              <w:rPr>
                <w:sz w:val="18"/>
                <w:szCs w:val="18"/>
              </w:rPr>
            </w:pPr>
          </w:p>
          <w:p w14:paraId="6FFEF1D4" w14:textId="2C7BD705" w:rsidR="0046013C" w:rsidRPr="001F61FA" w:rsidRDefault="00A87A01" w:rsidP="0046013C">
            <w:pPr>
              <w:widowControl w:val="0"/>
              <w:tabs>
                <w:tab w:val="center" w:pos="8647"/>
              </w:tabs>
              <w:autoSpaceDE w:val="0"/>
              <w:autoSpaceDN w:val="0"/>
              <w:adjustRightInd w:val="0"/>
              <w:jc w:val="center"/>
              <w:rPr>
                <w:sz w:val="18"/>
                <w:szCs w:val="18"/>
              </w:rPr>
            </w:pPr>
            <w:r>
              <w:rPr>
                <w:sz w:val="18"/>
                <w:szCs w:val="18"/>
              </w:rPr>
              <w:t>70-75</w:t>
            </w:r>
          </w:p>
        </w:tc>
        <w:tc>
          <w:tcPr>
            <w:tcW w:w="992" w:type="dxa"/>
          </w:tcPr>
          <w:p w14:paraId="3ABCB713" w14:textId="77777777" w:rsidR="00013EDA" w:rsidRDefault="00013EDA" w:rsidP="0046013C">
            <w:pPr>
              <w:widowControl w:val="0"/>
              <w:tabs>
                <w:tab w:val="center" w:pos="8647"/>
              </w:tabs>
              <w:autoSpaceDE w:val="0"/>
              <w:autoSpaceDN w:val="0"/>
              <w:adjustRightInd w:val="0"/>
              <w:jc w:val="center"/>
              <w:rPr>
                <w:sz w:val="18"/>
                <w:szCs w:val="18"/>
              </w:rPr>
            </w:pPr>
          </w:p>
          <w:p w14:paraId="66AA6C6A" w14:textId="47B84713" w:rsidR="00013EDA" w:rsidRPr="001F61FA" w:rsidRDefault="00840DE0" w:rsidP="0046013C">
            <w:pPr>
              <w:widowControl w:val="0"/>
              <w:tabs>
                <w:tab w:val="center" w:pos="8647"/>
              </w:tabs>
              <w:autoSpaceDE w:val="0"/>
              <w:autoSpaceDN w:val="0"/>
              <w:adjustRightInd w:val="0"/>
              <w:jc w:val="center"/>
              <w:rPr>
                <w:sz w:val="18"/>
                <w:szCs w:val="18"/>
              </w:rPr>
            </w:pPr>
            <w:r>
              <w:rPr>
                <w:sz w:val="18"/>
                <w:szCs w:val="18"/>
              </w:rPr>
              <w:t>80-85</w:t>
            </w:r>
          </w:p>
        </w:tc>
      </w:tr>
      <w:tr w:rsidR="00013EDA" w:rsidRPr="00280EA2" w14:paraId="6A6C9444" w14:textId="77777777" w:rsidTr="54F71CB4">
        <w:tc>
          <w:tcPr>
            <w:tcW w:w="2581" w:type="dxa"/>
            <w:vAlign w:val="center"/>
          </w:tcPr>
          <w:p w14:paraId="3CE89E61" w14:textId="77777777" w:rsidR="00013EDA" w:rsidRDefault="00013EDA" w:rsidP="00013EDA">
            <w:pPr>
              <w:rPr>
                <w:b/>
                <w:sz w:val="18"/>
                <w:szCs w:val="18"/>
              </w:rPr>
            </w:pPr>
            <w:proofErr w:type="spellStart"/>
            <w:r>
              <w:rPr>
                <w:b/>
                <w:sz w:val="18"/>
                <w:szCs w:val="18"/>
              </w:rPr>
              <w:t>Ms</w:t>
            </w:r>
            <w:proofErr w:type="spellEnd"/>
            <w:r>
              <w:rPr>
                <w:b/>
                <w:sz w:val="18"/>
                <w:szCs w:val="18"/>
              </w:rPr>
              <w:t xml:space="preserve"> Rhyannon Blythe</w:t>
            </w:r>
          </w:p>
          <w:p w14:paraId="4310CB53" w14:textId="77777777" w:rsidR="00013EDA" w:rsidRDefault="00013EDA" w:rsidP="00013EDA">
            <w:pPr>
              <w:rPr>
                <w:sz w:val="18"/>
                <w:szCs w:val="18"/>
              </w:rPr>
            </w:pPr>
            <w:r>
              <w:rPr>
                <w:sz w:val="18"/>
                <w:szCs w:val="18"/>
              </w:rPr>
              <w:t>Director</w:t>
            </w:r>
          </w:p>
          <w:p w14:paraId="7655120E" w14:textId="77777777" w:rsidR="00013EDA" w:rsidRPr="00C34C15" w:rsidRDefault="00013EDA" w:rsidP="00013EDA">
            <w:pPr>
              <w:rPr>
                <w:i/>
                <w:sz w:val="18"/>
                <w:szCs w:val="18"/>
              </w:rPr>
            </w:pPr>
          </w:p>
        </w:tc>
        <w:tc>
          <w:tcPr>
            <w:tcW w:w="850" w:type="dxa"/>
          </w:tcPr>
          <w:p w14:paraId="38A29A4C" w14:textId="77777777" w:rsidR="00013EDA" w:rsidRDefault="00013EDA" w:rsidP="0046013C">
            <w:pPr>
              <w:widowControl w:val="0"/>
              <w:tabs>
                <w:tab w:val="center" w:pos="8647"/>
              </w:tabs>
              <w:autoSpaceDE w:val="0"/>
              <w:autoSpaceDN w:val="0"/>
              <w:adjustRightInd w:val="0"/>
              <w:jc w:val="center"/>
              <w:rPr>
                <w:sz w:val="18"/>
                <w:szCs w:val="18"/>
              </w:rPr>
            </w:pPr>
          </w:p>
          <w:p w14:paraId="0E2A30BB" w14:textId="7A802616" w:rsidR="00431AE4" w:rsidRDefault="007D2D73" w:rsidP="0046013C">
            <w:pPr>
              <w:widowControl w:val="0"/>
              <w:tabs>
                <w:tab w:val="center" w:pos="8647"/>
              </w:tabs>
              <w:autoSpaceDE w:val="0"/>
              <w:autoSpaceDN w:val="0"/>
              <w:adjustRightInd w:val="0"/>
              <w:jc w:val="center"/>
              <w:rPr>
                <w:sz w:val="18"/>
                <w:szCs w:val="18"/>
              </w:rPr>
            </w:pPr>
            <w:r>
              <w:rPr>
                <w:sz w:val="18"/>
                <w:szCs w:val="18"/>
              </w:rPr>
              <w:t>70-75</w:t>
            </w:r>
          </w:p>
          <w:p w14:paraId="51062F26" w14:textId="3465FD8A" w:rsidR="00013EDA" w:rsidRPr="001F61FA" w:rsidRDefault="00013EDA" w:rsidP="0046013C">
            <w:pPr>
              <w:widowControl w:val="0"/>
              <w:tabs>
                <w:tab w:val="center" w:pos="8647"/>
              </w:tabs>
              <w:autoSpaceDE w:val="0"/>
              <w:autoSpaceDN w:val="0"/>
              <w:adjustRightInd w:val="0"/>
              <w:jc w:val="center"/>
              <w:rPr>
                <w:sz w:val="18"/>
                <w:szCs w:val="18"/>
              </w:rPr>
            </w:pPr>
          </w:p>
        </w:tc>
        <w:tc>
          <w:tcPr>
            <w:tcW w:w="851" w:type="dxa"/>
          </w:tcPr>
          <w:p w14:paraId="7D02BF60" w14:textId="77777777" w:rsidR="00013EDA" w:rsidRDefault="00013EDA" w:rsidP="0046013C">
            <w:pPr>
              <w:widowControl w:val="0"/>
              <w:tabs>
                <w:tab w:val="center" w:pos="8647"/>
              </w:tabs>
              <w:autoSpaceDE w:val="0"/>
              <w:autoSpaceDN w:val="0"/>
              <w:adjustRightInd w:val="0"/>
              <w:jc w:val="center"/>
              <w:rPr>
                <w:sz w:val="18"/>
                <w:szCs w:val="18"/>
              </w:rPr>
            </w:pPr>
          </w:p>
          <w:p w14:paraId="716B0D9A" w14:textId="79BC2FF2"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6</w:t>
            </w:r>
            <w:r w:rsidR="00D34FCE">
              <w:rPr>
                <w:sz w:val="18"/>
                <w:szCs w:val="18"/>
              </w:rPr>
              <w:t>5</w:t>
            </w:r>
            <w:r>
              <w:rPr>
                <w:sz w:val="18"/>
                <w:szCs w:val="18"/>
              </w:rPr>
              <w:t>-</w:t>
            </w:r>
            <w:r w:rsidR="00D34FCE">
              <w:rPr>
                <w:sz w:val="18"/>
                <w:szCs w:val="18"/>
              </w:rPr>
              <w:t>70</w:t>
            </w:r>
          </w:p>
        </w:tc>
        <w:tc>
          <w:tcPr>
            <w:tcW w:w="850" w:type="dxa"/>
          </w:tcPr>
          <w:p w14:paraId="32F5C01C" w14:textId="77777777" w:rsidR="00013EDA" w:rsidRDefault="00013EDA" w:rsidP="0046013C">
            <w:pPr>
              <w:widowControl w:val="0"/>
              <w:tabs>
                <w:tab w:val="center" w:pos="8647"/>
              </w:tabs>
              <w:autoSpaceDE w:val="0"/>
              <w:autoSpaceDN w:val="0"/>
              <w:adjustRightInd w:val="0"/>
              <w:jc w:val="center"/>
              <w:rPr>
                <w:sz w:val="18"/>
                <w:szCs w:val="18"/>
              </w:rPr>
            </w:pPr>
          </w:p>
          <w:p w14:paraId="18D7D30F" w14:textId="674D7FAA" w:rsidR="00013EDA"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41BC2F3B" w14:textId="77777777" w:rsidR="00013EDA" w:rsidRDefault="00013EDA" w:rsidP="0046013C">
            <w:pPr>
              <w:widowControl w:val="0"/>
              <w:tabs>
                <w:tab w:val="center" w:pos="8647"/>
              </w:tabs>
              <w:autoSpaceDE w:val="0"/>
              <w:autoSpaceDN w:val="0"/>
              <w:adjustRightInd w:val="0"/>
              <w:jc w:val="center"/>
              <w:rPr>
                <w:sz w:val="18"/>
                <w:szCs w:val="18"/>
              </w:rPr>
            </w:pPr>
          </w:p>
          <w:p w14:paraId="6BF9D3F3" w14:textId="6B6CCAB7"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3EC6F24C" w14:textId="77777777" w:rsidR="00013EDA" w:rsidRDefault="00013EDA" w:rsidP="0046013C">
            <w:pPr>
              <w:widowControl w:val="0"/>
              <w:tabs>
                <w:tab w:val="center" w:pos="8647"/>
              </w:tabs>
              <w:autoSpaceDE w:val="0"/>
              <w:autoSpaceDN w:val="0"/>
              <w:adjustRightInd w:val="0"/>
              <w:jc w:val="center"/>
              <w:rPr>
                <w:sz w:val="18"/>
                <w:szCs w:val="18"/>
              </w:rPr>
            </w:pPr>
          </w:p>
          <w:p w14:paraId="748626FB" w14:textId="00E55B91" w:rsidR="00760EB1" w:rsidRPr="001F61FA" w:rsidRDefault="00760EB1" w:rsidP="0046013C">
            <w:pPr>
              <w:widowControl w:val="0"/>
              <w:tabs>
                <w:tab w:val="center" w:pos="8647"/>
              </w:tabs>
              <w:autoSpaceDE w:val="0"/>
              <w:autoSpaceDN w:val="0"/>
              <w:adjustRightInd w:val="0"/>
              <w:jc w:val="center"/>
              <w:rPr>
                <w:sz w:val="18"/>
                <w:szCs w:val="18"/>
              </w:rPr>
            </w:pPr>
          </w:p>
        </w:tc>
        <w:tc>
          <w:tcPr>
            <w:tcW w:w="992" w:type="dxa"/>
          </w:tcPr>
          <w:p w14:paraId="388261A9" w14:textId="77777777" w:rsidR="00013EDA" w:rsidRDefault="00013EDA" w:rsidP="0046013C">
            <w:pPr>
              <w:widowControl w:val="0"/>
              <w:tabs>
                <w:tab w:val="center" w:pos="8647"/>
              </w:tabs>
              <w:autoSpaceDE w:val="0"/>
              <w:autoSpaceDN w:val="0"/>
              <w:adjustRightInd w:val="0"/>
              <w:jc w:val="center"/>
              <w:rPr>
                <w:sz w:val="18"/>
                <w:szCs w:val="18"/>
              </w:rPr>
            </w:pPr>
          </w:p>
          <w:p w14:paraId="5E62C6FD" w14:textId="7CE9545A" w:rsidR="00013EDA" w:rsidRPr="001F61FA" w:rsidRDefault="00013EDA" w:rsidP="0046013C">
            <w:pPr>
              <w:widowControl w:val="0"/>
              <w:tabs>
                <w:tab w:val="center" w:pos="8647"/>
              </w:tabs>
              <w:autoSpaceDE w:val="0"/>
              <w:autoSpaceDN w:val="0"/>
              <w:adjustRightInd w:val="0"/>
              <w:jc w:val="center"/>
              <w:rPr>
                <w:sz w:val="18"/>
                <w:szCs w:val="18"/>
              </w:rPr>
            </w:pPr>
            <w:r>
              <w:rPr>
                <w:sz w:val="18"/>
                <w:szCs w:val="18"/>
              </w:rPr>
              <w:t>25,000</w:t>
            </w:r>
          </w:p>
        </w:tc>
        <w:tc>
          <w:tcPr>
            <w:tcW w:w="993" w:type="dxa"/>
          </w:tcPr>
          <w:p w14:paraId="6B1FE4BB" w14:textId="77777777" w:rsidR="00013EDA" w:rsidRDefault="00013EDA" w:rsidP="0046013C">
            <w:pPr>
              <w:widowControl w:val="0"/>
              <w:tabs>
                <w:tab w:val="center" w:pos="8647"/>
              </w:tabs>
              <w:autoSpaceDE w:val="0"/>
              <w:autoSpaceDN w:val="0"/>
              <w:adjustRightInd w:val="0"/>
              <w:jc w:val="center"/>
              <w:rPr>
                <w:sz w:val="18"/>
                <w:szCs w:val="18"/>
              </w:rPr>
            </w:pPr>
          </w:p>
          <w:p w14:paraId="47DA7DD3" w14:textId="618AE43E" w:rsidR="0046013C" w:rsidRPr="001F61FA" w:rsidRDefault="00A87A01" w:rsidP="0046013C">
            <w:pPr>
              <w:widowControl w:val="0"/>
              <w:tabs>
                <w:tab w:val="center" w:pos="8647"/>
              </w:tabs>
              <w:autoSpaceDE w:val="0"/>
              <w:autoSpaceDN w:val="0"/>
              <w:adjustRightInd w:val="0"/>
              <w:jc w:val="center"/>
              <w:rPr>
                <w:sz w:val="18"/>
                <w:szCs w:val="18"/>
              </w:rPr>
            </w:pPr>
            <w:r>
              <w:rPr>
                <w:sz w:val="18"/>
                <w:szCs w:val="18"/>
              </w:rPr>
              <w:t>70-75</w:t>
            </w:r>
          </w:p>
        </w:tc>
        <w:tc>
          <w:tcPr>
            <w:tcW w:w="992" w:type="dxa"/>
          </w:tcPr>
          <w:p w14:paraId="3941533D" w14:textId="77777777" w:rsidR="00013EDA" w:rsidRDefault="00013EDA" w:rsidP="0046013C">
            <w:pPr>
              <w:widowControl w:val="0"/>
              <w:tabs>
                <w:tab w:val="center" w:pos="8647"/>
              </w:tabs>
              <w:autoSpaceDE w:val="0"/>
              <w:autoSpaceDN w:val="0"/>
              <w:adjustRightInd w:val="0"/>
              <w:jc w:val="center"/>
              <w:rPr>
                <w:sz w:val="18"/>
                <w:szCs w:val="18"/>
              </w:rPr>
            </w:pPr>
          </w:p>
          <w:p w14:paraId="12DAAEB2" w14:textId="6B4BCB95" w:rsidR="00013EDA" w:rsidRPr="001F61FA" w:rsidRDefault="00840DE0" w:rsidP="0046013C">
            <w:pPr>
              <w:widowControl w:val="0"/>
              <w:tabs>
                <w:tab w:val="center" w:pos="8647"/>
              </w:tabs>
              <w:autoSpaceDE w:val="0"/>
              <w:autoSpaceDN w:val="0"/>
              <w:adjustRightInd w:val="0"/>
              <w:jc w:val="center"/>
              <w:rPr>
                <w:sz w:val="18"/>
                <w:szCs w:val="18"/>
              </w:rPr>
            </w:pPr>
            <w:r>
              <w:rPr>
                <w:sz w:val="18"/>
                <w:szCs w:val="18"/>
              </w:rPr>
              <w:t>90-95</w:t>
            </w:r>
          </w:p>
        </w:tc>
      </w:tr>
      <w:tr w:rsidR="00013EDA" w:rsidRPr="00280EA2" w14:paraId="79600FFD" w14:textId="77777777" w:rsidTr="54F71CB4">
        <w:tc>
          <w:tcPr>
            <w:tcW w:w="2581" w:type="dxa"/>
            <w:vAlign w:val="center"/>
          </w:tcPr>
          <w:p w14:paraId="6280D7FB" w14:textId="77777777" w:rsidR="00013EDA" w:rsidRDefault="00013EDA" w:rsidP="00013EDA">
            <w:pPr>
              <w:rPr>
                <w:b/>
                <w:sz w:val="18"/>
                <w:szCs w:val="18"/>
              </w:rPr>
            </w:pPr>
            <w:proofErr w:type="spellStart"/>
            <w:r>
              <w:rPr>
                <w:b/>
                <w:sz w:val="18"/>
                <w:szCs w:val="18"/>
              </w:rPr>
              <w:t>Ms</w:t>
            </w:r>
            <w:proofErr w:type="spellEnd"/>
            <w:r>
              <w:rPr>
                <w:b/>
                <w:sz w:val="18"/>
                <w:szCs w:val="18"/>
              </w:rPr>
              <w:t xml:space="preserve"> Eilis Haughey</w:t>
            </w:r>
          </w:p>
          <w:p w14:paraId="03EAABE0" w14:textId="77777777" w:rsidR="00013EDA" w:rsidRDefault="00013EDA" w:rsidP="00013EDA">
            <w:pPr>
              <w:rPr>
                <w:sz w:val="18"/>
                <w:szCs w:val="18"/>
              </w:rPr>
            </w:pPr>
            <w:r>
              <w:rPr>
                <w:sz w:val="18"/>
                <w:szCs w:val="18"/>
              </w:rPr>
              <w:t>Director</w:t>
            </w:r>
          </w:p>
          <w:p w14:paraId="5CD0753C" w14:textId="77777777" w:rsidR="00013EDA" w:rsidRDefault="00013EDA" w:rsidP="00013EDA">
            <w:pPr>
              <w:rPr>
                <w:b/>
                <w:sz w:val="18"/>
                <w:szCs w:val="18"/>
              </w:rPr>
            </w:pPr>
          </w:p>
        </w:tc>
        <w:tc>
          <w:tcPr>
            <w:tcW w:w="850" w:type="dxa"/>
          </w:tcPr>
          <w:p w14:paraId="442E55DD" w14:textId="77777777" w:rsidR="00013EDA" w:rsidRDefault="00013EDA" w:rsidP="0046013C">
            <w:pPr>
              <w:widowControl w:val="0"/>
              <w:tabs>
                <w:tab w:val="center" w:pos="8647"/>
              </w:tabs>
              <w:autoSpaceDE w:val="0"/>
              <w:autoSpaceDN w:val="0"/>
              <w:adjustRightInd w:val="0"/>
              <w:jc w:val="center"/>
              <w:rPr>
                <w:sz w:val="18"/>
                <w:szCs w:val="18"/>
              </w:rPr>
            </w:pPr>
          </w:p>
          <w:p w14:paraId="40A0DBAC" w14:textId="4FFF2771" w:rsidR="00013EDA" w:rsidRDefault="007D2D73" w:rsidP="0046013C">
            <w:pPr>
              <w:widowControl w:val="0"/>
              <w:tabs>
                <w:tab w:val="center" w:pos="8647"/>
              </w:tabs>
              <w:autoSpaceDE w:val="0"/>
              <w:autoSpaceDN w:val="0"/>
              <w:adjustRightInd w:val="0"/>
              <w:jc w:val="center"/>
              <w:rPr>
                <w:sz w:val="18"/>
                <w:szCs w:val="18"/>
              </w:rPr>
            </w:pPr>
            <w:r>
              <w:rPr>
                <w:sz w:val="18"/>
                <w:szCs w:val="18"/>
              </w:rPr>
              <w:t>70-75</w:t>
            </w:r>
          </w:p>
        </w:tc>
        <w:tc>
          <w:tcPr>
            <w:tcW w:w="851" w:type="dxa"/>
          </w:tcPr>
          <w:p w14:paraId="7E24859E" w14:textId="77777777" w:rsidR="00013EDA" w:rsidRDefault="00013EDA" w:rsidP="0046013C">
            <w:pPr>
              <w:widowControl w:val="0"/>
              <w:tabs>
                <w:tab w:val="center" w:pos="8647"/>
              </w:tabs>
              <w:autoSpaceDE w:val="0"/>
              <w:autoSpaceDN w:val="0"/>
              <w:adjustRightInd w:val="0"/>
              <w:jc w:val="center"/>
              <w:rPr>
                <w:sz w:val="18"/>
                <w:szCs w:val="18"/>
              </w:rPr>
            </w:pPr>
          </w:p>
          <w:p w14:paraId="18A5B749" w14:textId="5A26FBAD" w:rsidR="00013EDA" w:rsidRDefault="00013EDA" w:rsidP="0046013C">
            <w:pPr>
              <w:widowControl w:val="0"/>
              <w:tabs>
                <w:tab w:val="center" w:pos="8647"/>
              </w:tabs>
              <w:autoSpaceDE w:val="0"/>
              <w:autoSpaceDN w:val="0"/>
              <w:adjustRightInd w:val="0"/>
              <w:jc w:val="center"/>
              <w:rPr>
                <w:sz w:val="18"/>
                <w:szCs w:val="18"/>
              </w:rPr>
            </w:pPr>
            <w:r>
              <w:rPr>
                <w:sz w:val="18"/>
                <w:szCs w:val="18"/>
              </w:rPr>
              <w:t>65-70</w:t>
            </w:r>
          </w:p>
        </w:tc>
        <w:tc>
          <w:tcPr>
            <w:tcW w:w="850" w:type="dxa"/>
          </w:tcPr>
          <w:p w14:paraId="28752032" w14:textId="77777777" w:rsidR="00013EDA" w:rsidRDefault="00013EDA" w:rsidP="0046013C">
            <w:pPr>
              <w:widowControl w:val="0"/>
              <w:tabs>
                <w:tab w:val="center" w:pos="8647"/>
              </w:tabs>
              <w:autoSpaceDE w:val="0"/>
              <w:autoSpaceDN w:val="0"/>
              <w:adjustRightInd w:val="0"/>
              <w:jc w:val="center"/>
              <w:rPr>
                <w:sz w:val="18"/>
                <w:szCs w:val="18"/>
              </w:rPr>
            </w:pPr>
          </w:p>
          <w:p w14:paraId="3060EC3E" w14:textId="2327941F" w:rsidR="00013EDA"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5503E86E" w14:textId="77777777" w:rsidR="00013EDA" w:rsidRDefault="00013EDA" w:rsidP="0046013C">
            <w:pPr>
              <w:widowControl w:val="0"/>
              <w:tabs>
                <w:tab w:val="center" w:pos="8647"/>
              </w:tabs>
              <w:autoSpaceDE w:val="0"/>
              <w:autoSpaceDN w:val="0"/>
              <w:adjustRightInd w:val="0"/>
              <w:jc w:val="center"/>
              <w:rPr>
                <w:sz w:val="18"/>
                <w:szCs w:val="18"/>
              </w:rPr>
            </w:pPr>
          </w:p>
          <w:p w14:paraId="55A011D3" w14:textId="11F8B269"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5CCA2F47" w14:textId="77777777" w:rsidR="00013EDA" w:rsidRDefault="00013EDA" w:rsidP="0046013C">
            <w:pPr>
              <w:widowControl w:val="0"/>
              <w:tabs>
                <w:tab w:val="center" w:pos="8647"/>
              </w:tabs>
              <w:autoSpaceDE w:val="0"/>
              <w:autoSpaceDN w:val="0"/>
              <w:adjustRightInd w:val="0"/>
              <w:jc w:val="center"/>
              <w:rPr>
                <w:sz w:val="18"/>
                <w:szCs w:val="18"/>
              </w:rPr>
            </w:pPr>
          </w:p>
          <w:p w14:paraId="2B431995" w14:textId="4CABAC57" w:rsidR="00760EB1" w:rsidRDefault="00760EB1" w:rsidP="0046013C">
            <w:pPr>
              <w:widowControl w:val="0"/>
              <w:tabs>
                <w:tab w:val="center" w:pos="8647"/>
              </w:tabs>
              <w:autoSpaceDE w:val="0"/>
              <w:autoSpaceDN w:val="0"/>
              <w:adjustRightInd w:val="0"/>
              <w:jc w:val="center"/>
              <w:rPr>
                <w:sz w:val="18"/>
                <w:szCs w:val="18"/>
              </w:rPr>
            </w:pPr>
          </w:p>
        </w:tc>
        <w:tc>
          <w:tcPr>
            <w:tcW w:w="992" w:type="dxa"/>
          </w:tcPr>
          <w:p w14:paraId="62FA7A0F" w14:textId="77777777" w:rsidR="00013EDA" w:rsidRDefault="00013EDA" w:rsidP="0046013C">
            <w:pPr>
              <w:widowControl w:val="0"/>
              <w:tabs>
                <w:tab w:val="center" w:pos="8647"/>
              </w:tabs>
              <w:autoSpaceDE w:val="0"/>
              <w:autoSpaceDN w:val="0"/>
              <w:adjustRightInd w:val="0"/>
              <w:jc w:val="center"/>
              <w:rPr>
                <w:sz w:val="18"/>
                <w:szCs w:val="18"/>
              </w:rPr>
            </w:pPr>
          </w:p>
          <w:p w14:paraId="579CF7D5" w14:textId="7EDBC1F8" w:rsidR="00013EDA" w:rsidRDefault="00013EDA" w:rsidP="0046013C">
            <w:pPr>
              <w:widowControl w:val="0"/>
              <w:tabs>
                <w:tab w:val="center" w:pos="8647"/>
              </w:tabs>
              <w:autoSpaceDE w:val="0"/>
              <w:autoSpaceDN w:val="0"/>
              <w:adjustRightInd w:val="0"/>
              <w:jc w:val="center"/>
              <w:rPr>
                <w:sz w:val="18"/>
                <w:szCs w:val="18"/>
              </w:rPr>
            </w:pPr>
            <w:r>
              <w:rPr>
                <w:sz w:val="18"/>
                <w:szCs w:val="18"/>
              </w:rPr>
              <w:t>2</w:t>
            </w:r>
            <w:r w:rsidR="000D130C">
              <w:rPr>
                <w:sz w:val="18"/>
                <w:szCs w:val="18"/>
              </w:rPr>
              <w:t>6</w:t>
            </w:r>
            <w:r>
              <w:rPr>
                <w:sz w:val="18"/>
                <w:szCs w:val="18"/>
              </w:rPr>
              <w:t>,000</w:t>
            </w:r>
          </w:p>
        </w:tc>
        <w:tc>
          <w:tcPr>
            <w:tcW w:w="993" w:type="dxa"/>
          </w:tcPr>
          <w:p w14:paraId="080464B7" w14:textId="77777777" w:rsidR="00013EDA" w:rsidRDefault="00013EDA" w:rsidP="0046013C">
            <w:pPr>
              <w:widowControl w:val="0"/>
              <w:tabs>
                <w:tab w:val="center" w:pos="8647"/>
              </w:tabs>
              <w:autoSpaceDE w:val="0"/>
              <w:autoSpaceDN w:val="0"/>
              <w:adjustRightInd w:val="0"/>
              <w:jc w:val="center"/>
              <w:rPr>
                <w:sz w:val="18"/>
                <w:szCs w:val="18"/>
              </w:rPr>
            </w:pPr>
          </w:p>
          <w:p w14:paraId="19404734" w14:textId="7A597F61" w:rsidR="0046013C" w:rsidRDefault="00A87A01" w:rsidP="0046013C">
            <w:pPr>
              <w:widowControl w:val="0"/>
              <w:tabs>
                <w:tab w:val="center" w:pos="8647"/>
              </w:tabs>
              <w:autoSpaceDE w:val="0"/>
              <w:autoSpaceDN w:val="0"/>
              <w:adjustRightInd w:val="0"/>
              <w:jc w:val="center"/>
              <w:rPr>
                <w:sz w:val="18"/>
                <w:szCs w:val="18"/>
              </w:rPr>
            </w:pPr>
            <w:r>
              <w:rPr>
                <w:sz w:val="18"/>
                <w:szCs w:val="18"/>
              </w:rPr>
              <w:t>70-75</w:t>
            </w:r>
          </w:p>
        </w:tc>
        <w:tc>
          <w:tcPr>
            <w:tcW w:w="992" w:type="dxa"/>
          </w:tcPr>
          <w:p w14:paraId="0C4FE334" w14:textId="77777777" w:rsidR="00013EDA" w:rsidRDefault="00013EDA" w:rsidP="0046013C">
            <w:pPr>
              <w:widowControl w:val="0"/>
              <w:tabs>
                <w:tab w:val="center" w:pos="8647"/>
              </w:tabs>
              <w:autoSpaceDE w:val="0"/>
              <w:autoSpaceDN w:val="0"/>
              <w:adjustRightInd w:val="0"/>
              <w:jc w:val="center"/>
              <w:rPr>
                <w:sz w:val="18"/>
                <w:szCs w:val="18"/>
              </w:rPr>
            </w:pPr>
          </w:p>
          <w:p w14:paraId="3DB8E619" w14:textId="44350844" w:rsidR="00013EDA" w:rsidRDefault="00840DE0" w:rsidP="0046013C">
            <w:pPr>
              <w:widowControl w:val="0"/>
              <w:tabs>
                <w:tab w:val="center" w:pos="8647"/>
              </w:tabs>
              <w:autoSpaceDE w:val="0"/>
              <w:autoSpaceDN w:val="0"/>
              <w:adjustRightInd w:val="0"/>
              <w:jc w:val="center"/>
              <w:rPr>
                <w:sz w:val="18"/>
                <w:szCs w:val="18"/>
              </w:rPr>
            </w:pPr>
            <w:r>
              <w:rPr>
                <w:sz w:val="18"/>
                <w:szCs w:val="18"/>
              </w:rPr>
              <w:t>95-100</w:t>
            </w:r>
          </w:p>
        </w:tc>
      </w:tr>
      <w:tr w:rsidR="00013EDA" w:rsidRPr="00280EA2" w14:paraId="030F1F16" w14:textId="77777777" w:rsidTr="54F71CB4">
        <w:tc>
          <w:tcPr>
            <w:tcW w:w="2581" w:type="dxa"/>
            <w:vAlign w:val="center"/>
          </w:tcPr>
          <w:p w14:paraId="6B762770" w14:textId="77777777" w:rsidR="00013EDA" w:rsidRDefault="00013EDA" w:rsidP="00013EDA">
            <w:pPr>
              <w:rPr>
                <w:b/>
                <w:sz w:val="18"/>
                <w:szCs w:val="18"/>
              </w:rPr>
            </w:pPr>
            <w:r>
              <w:rPr>
                <w:b/>
                <w:sz w:val="18"/>
                <w:szCs w:val="18"/>
              </w:rPr>
              <w:t>Colin Caughey</w:t>
            </w:r>
          </w:p>
          <w:p w14:paraId="1BD6A65F" w14:textId="77777777" w:rsidR="00013EDA" w:rsidRDefault="00013EDA" w:rsidP="00013EDA">
            <w:pPr>
              <w:rPr>
                <w:bCs/>
                <w:sz w:val="18"/>
                <w:szCs w:val="18"/>
              </w:rPr>
            </w:pPr>
            <w:r>
              <w:rPr>
                <w:bCs/>
                <w:sz w:val="18"/>
                <w:szCs w:val="18"/>
              </w:rPr>
              <w:t>Director</w:t>
            </w:r>
          </w:p>
          <w:p w14:paraId="690DD638" w14:textId="5007F85E" w:rsidR="00DC0FA7" w:rsidRPr="00863A14" w:rsidRDefault="00DC0FA7" w:rsidP="54F71CB4">
            <w:pPr>
              <w:rPr>
                <w:sz w:val="18"/>
                <w:szCs w:val="18"/>
              </w:rPr>
            </w:pPr>
          </w:p>
        </w:tc>
        <w:tc>
          <w:tcPr>
            <w:tcW w:w="850" w:type="dxa"/>
          </w:tcPr>
          <w:p w14:paraId="6DBD4279" w14:textId="77777777" w:rsidR="00013EDA" w:rsidRDefault="00013EDA" w:rsidP="0046013C">
            <w:pPr>
              <w:widowControl w:val="0"/>
              <w:tabs>
                <w:tab w:val="center" w:pos="8647"/>
              </w:tabs>
              <w:autoSpaceDE w:val="0"/>
              <w:autoSpaceDN w:val="0"/>
              <w:adjustRightInd w:val="0"/>
              <w:jc w:val="center"/>
              <w:rPr>
                <w:sz w:val="18"/>
                <w:szCs w:val="18"/>
              </w:rPr>
            </w:pPr>
          </w:p>
          <w:p w14:paraId="52E00027" w14:textId="741C6E59" w:rsidR="0046013C" w:rsidRDefault="007D2D73" w:rsidP="0046013C">
            <w:pPr>
              <w:widowControl w:val="0"/>
              <w:tabs>
                <w:tab w:val="center" w:pos="8647"/>
              </w:tabs>
              <w:autoSpaceDE w:val="0"/>
              <w:autoSpaceDN w:val="0"/>
              <w:adjustRightInd w:val="0"/>
              <w:jc w:val="center"/>
              <w:rPr>
                <w:sz w:val="18"/>
                <w:szCs w:val="18"/>
              </w:rPr>
            </w:pPr>
            <w:r>
              <w:rPr>
                <w:sz w:val="18"/>
                <w:szCs w:val="18"/>
              </w:rPr>
              <w:t>70-75</w:t>
            </w:r>
          </w:p>
        </w:tc>
        <w:tc>
          <w:tcPr>
            <w:tcW w:w="851" w:type="dxa"/>
          </w:tcPr>
          <w:p w14:paraId="07F1A41C" w14:textId="77777777" w:rsidR="00013EDA" w:rsidRDefault="00013EDA" w:rsidP="0046013C">
            <w:pPr>
              <w:widowControl w:val="0"/>
              <w:tabs>
                <w:tab w:val="center" w:pos="8647"/>
              </w:tabs>
              <w:autoSpaceDE w:val="0"/>
              <w:autoSpaceDN w:val="0"/>
              <w:adjustRightInd w:val="0"/>
              <w:jc w:val="center"/>
              <w:rPr>
                <w:sz w:val="18"/>
                <w:szCs w:val="18"/>
              </w:rPr>
            </w:pPr>
          </w:p>
          <w:p w14:paraId="7672C1E4" w14:textId="4B670291" w:rsidR="00013EDA" w:rsidRDefault="00D34FCE" w:rsidP="0046013C">
            <w:pPr>
              <w:widowControl w:val="0"/>
              <w:tabs>
                <w:tab w:val="center" w:pos="8647"/>
              </w:tabs>
              <w:autoSpaceDE w:val="0"/>
              <w:autoSpaceDN w:val="0"/>
              <w:adjustRightInd w:val="0"/>
              <w:jc w:val="center"/>
              <w:rPr>
                <w:sz w:val="18"/>
                <w:szCs w:val="18"/>
              </w:rPr>
            </w:pPr>
            <w:r>
              <w:rPr>
                <w:sz w:val="18"/>
                <w:szCs w:val="18"/>
              </w:rPr>
              <w:t>40-45</w:t>
            </w:r>
            <w:r>
              <w:rPr>
                <w:rStyle w:val="FootnoteReference"/>
                <w:sz w:val="18"/>
                <w:szCs w:val="18"/>
              </w:rPr>
              <w:footnoteReference w:id="8"/>
            </w:r>
          </w:p>
        </w:tc>
        <w:tc>
          <w:tcPr>
            <w:tcW w:w="850" w:type="dxa"/>
          </w:tcPr>
          <w:p w14:paraId="43AB325E" w14:textId="77777777" w:rsidR="00013EDA" w:rsidRDefault="00013EDA" w:rsidP="0046013C">
            <w:pPr>
              <w:widowControl w:val="0"/>
              <w:tabs>
                <w:tab w:val="center" w:pos="8647"/>
              </w:tabs>
              <w:autoSpaceDE w:val="0"/>
              <w:autoSpaceDN w:val="0"/>
              <w:adjustRightInd w:val="0"/>
              <w:jc w:val="center"/>
              <w:rPr>
                <w:sz w:val="18"/>
                <w:szCs w:val="18"/>
              </w:rPr>
            </w:pPr>
          </w:p>
          <w:p w14:paraId="2B852CFC" w14:textId="406A2A4D" w:rsidR="00013EDA" w:rsidRDefault="00EB52CC" w:rsidP="0046013C">
            <w:pPr>
              <w:widowControl w:val="0"/>
              <w:tabs>
                <w:tab w:val="center" w:pos="8647"/>
              </w:tabs>
              <w:autoSpaceDE w:val="0"/>
              <w:autoSpaceDN w:val="0"/>
              <w:adjustRightInd w:val="0"/>
              <w:jc w:val="center"/>
              <w:rPr>
                <w:sz w:val="18"/>
                <w:szCs w:val="18"/>
              </w:rPr>
            </w:pPr>
            <w:r>
              <w:rPr>
                <w:sz w:val="18"/>
                <w:szCs w:val="18"/>
              </w:rPr>
              <w:t>-</w:t>
            </w:r>
          </w:p>
        </w:tc>
        <w:tc>
          <w:tcPr>
            <w:tcW w:w="851" w:type="dxa"/>
          </w:tcPr>
          <w:p w14:paraId="1BA96F83" w14:textId="77777777" w:rsidR="00013EDA" w:rsidRDefault="00013EDA" w:rsidP="0046013C">
            <w:pPr>
              <w:widowControl w:val="0"/>
              <w:tabs>
                <w:tab w:val="center" w:pos="8647"/>
              </w:tabs>
              <w:autoSpaceDE w:val="0"/>
              <w:autoSpaceDN w:val="0"/>
              <w:adjustRightInd w:val="0"/>
              <w:jc w:val="center"/>
              <w:rPr>
                <w:sz w:val="18"/>
                <w:szCs w:val="18"/>
              </w:rPr>
            </w:pPr>
          </w:p>
          <w:p w14:paraId="2F1B7B6A" w14:textId="4E27BAA6" w:rsidR="00013EDA" w:rsidRDefault="00013EDA" w:rsidP="0046013C">
            <w:pPr>
              <w:widowControl w:val="0"/>
              <w:tabs>
                <w:tab w:val="center" w:pos="8647"/>
              </w:tabs>
              <w:autoSpaceDE w:val="0"/>
              <w:autoSpaceDN w:val="0"/>
              <w:adjustRightInd w:val="0"/>
              <w:jc w:val="center"/>
              <w:rPr>
                <w:sz w:val="18"/>
                <w:szCs w:val="18"/>
              </w:rPr>
            </w:pPr>
            <w:r>
              <w:rPr>
                <w:sz w:val="18"/>
                <w:szCs w:val="18"/>
              </w:rPr>
              <w:t>-</w:t>
            </w:r>
          </w:p>
        </w:tc>
        <w:tc>
          <w:tcPr>
            <w:tcW w:w="992" w:type="dxa"/>
          </w:tcPr>
          <w:p w14:paraId="38B60700" w14:textId="77777777" w:rsidR="00013EDA" w:rsidRDefault="00013EDA" w:rsidP="0046013C">
            <w:pPr>
              <w:widowControl w:val="0"/>
              <w:tabs>
                <w:tab w:val="center" w:pos="8647"/>
              </w:tabs>
              <w:autoSpaceDE w:val="0"/>
              <w:autoSpaceDN w:val="0"/>
              <w:adjustRightInd w:val="0"/>
              <w:jc w:val="center"/>
              <w:rPr>
                <w:sz w:val="18"/>
                <w:szCs w:val="18"/>
              </w:rPr>
            </w:pPr>
          </w:p>
          <w:p w14:paraId="4C5A705E" w14:textId="740115D3" w:rsidR="00760EB1" w:rsidRDefault="00760EB1" w:rsidP="0046013C">
            <w:pPr>
              <w:widowControl w:val="0"/>
              <w:tabs>
                <w:tab w:val="center" w:pos="8647"/>
              </w:tabs>
              <w:autoSpaceDE w:val="0"/>
              <w:autoSpaceDN w:val="0"/>
              <w:adjustRightInd w:val="0"/>
              <w:jc w:val="center"/>
              <w:rPr>
                <w:sz w:val="18"/>
                <w:szCs w:val="18"/>
              </w:rPr>
            </w:pPr>
          </w:p>
        </w:tc>
        <w:tc>
          <w:tcPr>
            <w:tcW w:w="992" w:type="dxa"/>
          </w:tcPr>
          <w:p w14:paraId="5C9C4B6D" w14:textId="77777777" w:rsidR="00013EDA" w:rsidRDefault="00013EDA" w:rsidP="0046013C">
            <w:pPr>
              <w:widowControl w:val="0"/>
              <w:tabs>
                <w:tab w:val="center" w:pos="8647"/>
              </w:tabs>
              <w:autoSpaceDE w:val="0"/>
              <w:autoSpaceDN w:val="0"/>
              <w:adjustRightInd w:val="0"/>
              <w:jc w:val="center"/>
              <w:rPr>
                <w:sz w:val="18"/>
                <w:szCs w:val="18"/>
              </w:rPr>
            </w:pPr>
          </w:p>
          <w:p w14:paraId="44959E57" w14:textId="72C4AAF8" w:rsidR="00760EB1" w:rsidRDefault="000D130C" w:rsidP="0046013C">
            <w:pPr>
              <w:widowControl w:val="0"/>
              <w:tabs>
                <w:tab w:val="center" w:pos="8647"/>
              </w:tabs>
              <w:autoSpaceDE w:val="0"/>
              <w:autoSpaceDN w:val="0"/>
              <w:adjustRightInd w:val="0"/>
              <w:jc w:val="center"/>
              <w:rPr>
                <w:sz w:val="18"/>
                <w:szCs w:val="18"/>
              </w:rPr>
            </w:pPr>
            <w:r>
              <w:rPr>
                <w:sz w:val="18"/>
                <w:szCs w:val="18"/>
              </w:rPr>
              <w:t>17,000</w:t>
            </w:r>
          </w:p>
        </w:tc>
        <w:tc>
          <w:tcPr>
            <w:tcW w:w="993" w:type="dxa"/>
          </w:tcPr>
          <w:p w14:paraId="538688C8" w14:textId="77777777" w:rsidR="00013EDA" w:rsidRDefault="00013EDA" w:rsidP="0046013C">
            <w:pPr>
              <w:widowControl w:val="0"/>
              <w:tabs>
                <w:tab w:val="center" w:pos="8647"/>
              </w:tabs>
              <w:autoSpaceDE w:val="0"/>
              <w:autoSpaceDN w:val="0"/>
              <w:adjustRightInd w:val="0"/>
              <w:jc w:val="center"/>
              <w:rPr>
                <w:sz w:val="18"/>
                <w:szCs w:val="18"/>
              </w:rPr>
            </w:pPr>
          </w:p>
          <w:p w14:paraId="3AE8416E" w14:textId="1D47C988" w:rsidR="0046013C" w:rsidRDefault="00A87A01" w:rsidP="0046013C">
            <w:pPr>
              <w:widowControl w:val="0"/>
              <w:tabs>
                <w:tab w:val="center" w:pos="8647"/>
              </w:tabs>
              <w:autoSpaceDE w:val="0"/>
              <w:autoSpaceDN w:val="0"/>
              <w:adjustRightInd w:val="0"/>
              <w:jc w:val="center"/>
              <w:rPr>
                <w:sz w:val="18"/>
                <w:szCs w:val="18"/>
              </w:rPr>
            </w:pPr>
            <w:r>
              <w:rPr>
                <w:sz w:val="18"/>
                <w:szCs w:val="18"/>
              </w:rPr>
              <w:t>70-75</w:t>
            </w:r>
          </w:p>
        </w:tc>
        <w:tc>
          <w:tcPr>
            <w:tcW w:w="992" w:type="dxa"/>
          </w:tcPr>
          <w:p w14:paraId="1A9E6104" w14:textId="77777777" w:rsidR="00013EDA" w:rsidRDefault="00013EDA" w:rsidP="0046013C">
            <w:pPr>
              <w:widowControl w:val="0"/>
              <w:tabs>
                <w:tab w:val="center" w:pos="8647"/>
              </w:tabs>
              <w:autoSpaceDE w:val="0"/>
              <w:autoSpaceDN w:val="0"/>
              <w:adjustRightInd w:val="0"/>
              <w:jc w:val="center"/>
              <w:rPr>
                <w:sz w:val="18"/>
                <w:szCs w:val="18"/>
              </w:rPr>
            </w:pPr>
          </w:p>
          <w:p w14:paraId="7B22D9EC" w14:textId="737F5F77" w:rsidR="0046013C" w:rsidRDefault="00840DE0" w:rsidP="0046013C">
            <w:pPr>
              <w:widowControl w:val="0"/>
              <w:tabs>
                <w:tab w:val="center" w:pos="8647"/>
              </w:tabs>
              <w:autoSpaceDE w:val="0"/>
              <w:autoSpaceDN w:val="0"/>
              <w:adjustRightInd w:val="0"/>
              <w:jc w:val="center"/>
              <w:rPr>
                <w:sz w:val="18"/>
                <w:szCs w:val="18"/>
              </w:rPr>
            </w:pPr>
            <w:r>
              <w:rPr>
                <w:sz w:val="18"/>
                <w:szCs w:val="18"/>
              </w:rPr>
              <w:t>60-65</w:t>
            </w:r>
          </w:p>
        </w:tc>
      </w:tr>
    </w:tbl>
    <w:p w14:paraId="25142AFC" w14:textId="77777777" w:rsidR="00CF03F1" w:rsidRDefault="00CF03F1" w:rsidP="000C2A54">
      <w:pPr>
        <w:widowControl w:val="0"/>
        <w:tabs>
          <w:tab w:val="center" w:pos="8647"/>
        </w:tabs>
        <w:autoSpaceDE w:val="0"/>
        <w:autoSpaceDN w:val="0"/>
        <w:adjustRightInd w:val="0"/>
        <w:rPr>
          <w:color w:val="auto"/>
        </w:rPr>
      </w:pPr>
    </w:p>
    <w:p w14:paraId="11C1D5A6" w14:textId="67241425" w:rsidR="000C2A54" w:rsidRDefault="004C65CF" w:rsidP="000C2A54">
      <w:pPr>
        <w:widowControl w:val="0"/>
        <w:tabs>
          <w:tab w:val="center" w:pos="8647"/>
        </w:tabs>
        <w:autoSpaceDE w:val="0"/>
        <w:autoSpaceDN w:val="0"/>
        <w:adjustRightInd w:val="0"/>
        <w:rPr>
          <w:color w:val="auto"/>
        </w:rPr>
      </w:pPr>
      <w:r w:rsidRPr="009F0840">
        <w:rPr>
          <w:color w:val="auto"/>
        </w:rPr>
        <w:t>No pe</w:t>
      </w:r>
      <w:r w:rsidR="00855C80">
        <w:rPr>
          <w:color w:val="auto"/>
        </w:rPr>
        <w:t>rformance related pay or bonus payments</w:t>
      </w:r>
      <w:r w:rsidRPr="009F0840">
        <w:rPr>
          <w:color w:val="auto"/>
        </w:rPr>
        <w:t xml:space="preserve"> have been </w:t>
      </w:r>
      <w:r w:rsidR="00855C80">
        <w:rPr>
          <w:color w:val="auto"/>
        </w:rPr>
        <w:t>made</w:t>
      </w:r>
      <w:r w:rsidR="005C717D">
        <w:rPr>
          <w:color w:val="auto"/>
        </w:rPr>
        <w:t xml:space="preserve"> in 202</w:t>
      </w:r>
      <w:r w:rsidR="00BB1E98">
        <w:rPr>
          <w:color w:val="auto"/>
        </w:rPr>
        <w:t>3</w:t>
      </w:r>
      <w:r w:rsidR="005C717D">
        <w:rPr>
          <w:color w:val="auto"/>
        </w:rPr>
        <w:t>-2</w:t>
      </w:r>
      <w:r w:rsidR="00BB1E98">
        <w:rPr>
          <w:color w:val="auto"/>
        </w:rPr>
        <w:t>4</w:t>
      </w:r>
      <w:r w:rsidR="008765D5">
        <w:rPr>
          <w:color w:val="auto"/>
        </w:rPr>
        <w:t xml:space="preserve"> (202</w:t>
      </w:r>
      <w:r w:rsidR="00BB1E98">
        <w:rPr>
          <w:color w:val="auto"/>
        </w:rPr>
        <w:t>2</w:t>
      </w:r>
      <w:r w:rsidR="005C717D">
        <w:rPr>
          <w:color w:val="auto"/>
        </w:rPr>
        <w:t>-2</w:t>
      </w:r>
      <w:r w:rsidR="00BB1E98">
        <w:rPr>
          <w:color w:val="auto"/>
        </w:rPr>
        <w:t>3</w:t>
      </w:r>
      <w:r w:rsidRPr="009F0840">
        <w:rPr>
          <w:color w:val="auto"/>
        </w:rPr>
        <w:t xml:space="preserve">: </w:t>
      </w:r>
      <w:r w:rsidR="00856545">
        <w:rPr>
          <w:color w:val="auto"/>
        </w:rPr>
        <w:t>£</w:t>
      </w:r>
      <w:r w:rsidRPr="009F0840">
        <w:rPr>
          <w:color w:val="auto"/>
        </w:rPr>
        <w:t>nil).</w:t>
      </w:r>
    </w:p>
    <w:p w14:paraId="031442D2" w14:textId="77777777" w:rsidR="001E5939" w:rsidRDefault="001E5939" w:rsidP="000C2A54">
      <w:pPr>
        <w:rPr>
          <w:b/>
          <w:sz w:val="22"/>
          <w:szCs w:val="22"/>
        </w:rPr>
      </w:pPr>
    </w:p>
    <w:p w14:paraId="3AC5F5FA" w14:textId="045F33F2" w:rsidR="00283547" w:rsidRPr="00C87C4B" w:rsidRDefault="00283547" w:rsidP="00283547">
      <w:pPr>
        <w:pStyle w:val="Heading4"/>
        <w:spacing w:before="0" w:after="0"/>
        <w:rPr>
          <w:rFonts w:ascii="Verdana" w:hAnsi="Verdana"/>
          <w:b w:val="0"/>
          <w:bCs w:val="0"/>
          <w:snapToGrid w:val="0"/>
          <w:sz w:val="24"/>
          <w:szCs w:val="24"/>
        </w:rPr>
      </w:pPr>
      <w:r w:rsidRPr="005B72C1">
        <w:rPr>
          <w:rFonts w:ascii="Verdana" w:hAnsi="Verdana"/>
          <w:snapToGrid w:val="0"/>
          <w:sz w:val="24"/>
          <w:szCs w:val="24"/>
        </w:rPr>
        <w:t>Salary</w:t>
      </w:r>
      <w:r>
        <w:rPr>
          <w:rFonts w:ascii="Verdana" w:hAnsi="Verdana"/>
          <w:snapToGrid w:val="0"/>
          <w:sz w:val="24"/>
          <w:szCs w:val="24"/>
        </w:rPr>
        <w:t xml:space="preserve"> </w:t>
      </w:r>
    </w:p>
    <w:p w14:paraId="577A48BE" w14:textId="77777777" w:rsidR="00283547" w:rsidRPr="005B72C1" w:rsidRDefault="00283547" w:rsidP="00283547"/>
    <w:p w14:paraId="09458176" w14:textId="0FBBB400" w:rsidR="00283547" w:rsidRDefault="00283547" w:rsidP="00283547">
      <w:pPr>
        <w:pStyle w:val="BodyTextIndent"/>
        <w:spacing w:after="0"/>
        <w:ind w:left="0"/>
      </w:pPr>
      <w:r w:rsidRPr="005B72C1">
        <w:t>‘Salary’ includes gross salary</w:t>
      </w:r>
      <w:r>
        <w:t>;</w:t>
      </w:r>
      <w:r w:rsidRPr="005B72C1">
        <w:t xml:space="preserve"> overtime; and any other allowance </w:t>
      </w:r>
      <w:r>
        <w:t xml:space="preserve">to the extent that is </w:t>
      </w:r>
      <w:r w:rsidRPr="005B72C1">
        <w:t>subject to UK taxation.</w:t>
      </w:r>
      <w:r>
        <w:t xml:space="preserve">  No </w:t>
      </w:r>
      <w:r w:rsidRPr="005B72C1">
        <w:t xml:space="preserve">performance </w:t>
      </w:r>
      <w:r>
        <w:t xml:space="preserve">related </w:t>
      </w:r>
      <w:r w:rsidRPr="005B72C1">
        <w:t xml:space="preserve">pay </w:t>
      </w:r>
      <w:r>
        <w:t>or bonus payments were made in year (202</w:t>
      </w:r>
      <w:r w:rsidR="00BB1E98">
        <w:t>2</w:t>
      </w:r>
      <w:r>
        <w:t>-2</w:t>
      </w:r>
      <w:r w:rsidR="00BB1E98">
        <w:t>3</w:t>
      </w:r>
      <w:r>
        <w:t xml:space="preserve">: £nil).  </w:t>
      </w:r>
      <w:r w:rsidRPr="005B72C1">
        <w:t>This report is based on accrued payments made by the Commission and thus recorded in these accounts.</w:t>
      </w:r>
    </w:p>
    <w:p w14:paraId="4A843693" w14:textId="77777777" w:rsidR="00283547" w:rsidRPr="005B72C1" w:rsidRDefault="00283547" w:rsidP="00283547">
      <w:pPr>
        <w:pStyle w:val="BodyTextIndent"/>
        <w:spacing w:after="0"/>
        <w:ind w:left="0"/>
      </w:pPr>
    </w:p>
    <w:p w14:paraId="4D2E93C5" w14:textId="29ED8596" w:rsidR="00283547" w:rsidRPr="00C87C4B" w:rsidRDefault="00283547" w:rsidP="00283547">
      <w:pPr>
        <w:pStyle w:val="Heading4"/>
        <w:spacing w:before="0" w:after="0"/>
        <w:rPr>
          <w:rFonts w:ascii="Verdana" w:hAnsi="Verdana"/>
          <w:b w:val="0"/>
          <w:bCs w:val="0"/>
          <w:snapToGrid w:val="0"/>
          <w:sz w:val="24"/>
          <w:szCs w:val="24"/>
        </w:rPr>
      </w:pPr>
      <w:r w:rsidRPr="005B72C1">
        <w:rPr>
          <w:rFonts w:ascii="Verdana" w:hAnsi="Verdana"/>
          <w:snapToGrid w:val="0"/>
          <w:sz w:val="24"/>
          <w:szCs w:val="24"/>
        </w:rPr>
        <w:t>Benefits in kind</w:t>
      </w:r>
      <w:r>
        <w:rPr>
          <w:rFonts w:ascii="Verdana" w:hAnsi="Verdana"/>
          <w:snapToGrid w:val="0"/>
          <w:sz w:val="24"/>
          <w:szCs w:val="24"/>
        </w:rPr>
        <w:t xml:space="preserve"> </w:t>
      </w:r>
    </w:p>
    <w:p w14:paraId="0EE7DBC3" w14:textId="77777777" w:rsidR="00283547" w:rsidRPr="005B72C1" w:rsidRDefault="00283547" w:rsidP="00283547">
      <w:pPr>
        <w:rPr>
          <w:lang w:val="en-US"/>
        </w:rPr>
      </w:pPr>
    </w:p>
    <w:p w14:paraId="6FE69098" w14:textId="77777777" w:rsidR="00283547" w:rsidRPr="00D80497" w:rsidRDefault="00283547" w:rsidP="00283547">
      <w:pPr>
        <w:widowControl w:val="0"/>
        <w:tabs>
          <w:tab w:val="left" w:pos="567"/>
          <w:tab w:val="left" w:pos="3075"/>
        </w:tabs>
        <w:autoSpaceDE w:val="0"/>
        <w:autoSpaceDN w:val="0"/>
        <w:adjustRightInd w:val="0"/>
        <w:rPr>
          <w:rFonts w:cs="Arial"/>
        </w:rPr>
      </w:pPr>
      <w:r w:rsidRPr="005B72C1">
        <w:rPr>
          <w:snapToGrid w:val="0"/>
        </w:rPr>
        <w:t xml:space="preserve">The monetary value of benefits in kind covers any benefits provided by the employer and treated by HM Revenue and Customs as a taxable emolument (salary).   </w:t>
      </w:r>
      <w:r w:rsidRPr="005B72C1">
        <w:rPr>
          <w:rFonts w:cs="Arial"/>
        </w:rPr>
        <w:t>Mileage Allowance Payments for Commissioners are classed as a benefit in kind and relate to the use of their own vehicles for travel to the Commission’s office for meetings.</w:t>
      </w:r>
      <w:r w:rsidRPr="00D80497">
        <w:rPr>
          <w:rFonts w:cs="Arial"/>
        </w:rPr>
        <w:t xml:space="preserve">   </w:t>
      </w:r>
    </w:p>
    <w:p w14:paraId="7B45FF5E" w14:textId="77777777" w:rsidR="00283547" w:rsidRPr="00D80497" w:rsidRDefault="00283547" w:rsidP="00283547">
      <w:pPr>
        <w:widowControl w:val="0"/>
        <w:tabs>
          <w:tab w:val="left" w:pos="567"/>
          <w:tab w:val="left" w:pos="3075"/>
        </w:tabs>
        <w:autoSpaceDE w:val="0"/>
        <w:autoSpaceDN w:val="0"/>
        <w:adjustRightInd w:val="0"/>
        <w:rPr>
          <w:snapToGrid w:val="0"/>
        </w:rPr>
      </w:pPr>
    </w:p>
    <w:p w14:paraId="4762A592" w14:textId="493FFD18" w:rsidR="00283547" w:rsidRDefault="00283547" w:rsidP="00283547">
      <w:pPr>
        <w:widowControl w:val="0"/>
        <w:tabs>
          <w:tab w:val="left" w:pos="567"/>
          <w:tab w:val="left" w:pos="3075"/>
        </w:tabs>
        <w:autoSpaceDE w:val="0"/>
        <w:autoSpaceDN w:val="0"/>
        <w:adjustRightInd w:val="0"/>
      </w:pPr>
      <w:r w:rsidRPr="006269AD">
        <w:t>Benefits in kind paid</w:t>
      </w:r>
      <w:r>
        <w:t xml:space="preserve"> during the 202</w:t>
      </w:r>
      <w:r w:rsidR="00BB1E98">
        <w:t>3</w:t>
      </w:r>
      <w:r>
        <w:t>-2</w:t>
      </w:r>
      <w:r w:rsidR="00BB1E98">
        <w:t>4</w:t>
      </w:r>
      <w:r w:rsidRPr="006269AD">
        <w:t xml:space="preserve"> financial year were </w:t>
      </w:r>
      <w:r>
        <w:t>£1</w:t>
      </w:r>
      <w:r w:rsidR="00777E5A">
        <w:t>67</w:t>
      </w:r>
      <w:r>
        <w:t xml:space="preserve"> (202</w:t>
      </w:r>
      <w:r w:rsidR="00BB1E98">
        <w:t>2</w:t>
      </w:r>
      <w:r>
        <w:t>-2</w:t>
      </w:r>
      <w:r w:rsidR="00BB1E98">
        <w:t>3</w:t>
      </w:r>
      <w:r w:rsidRPr="006269AD">
        <w:t>: £</w:t>
      </w:r>
      <w:r>
        <w:t>1</w:t>
      </w:r>
      <w:r w:rsidR="00BB1E98">
        <w:t>05</w:t>
      </w:r>
      <w:r w:rsidRPr="006269AD">
        <w:t>).</w:t>
      </w:r>
    </w:p>
    <w:p w14:paraId="2E76A596" w14:textId="77777777" w:rsidR="00283547" w:rsidRDefault="00283547" w:rsidP="00283547">
      <w:pPr>
        <w:widowControl w:val="0"/>
        <w:tabs>
          <w:tab w:val="left" w:pos="567"/>
          <w:tab w:val="left" w:pos="3075"/>
        </w:tabs>
        <w:autoSpaceDE w:val="0"/>
        <w:autoSpaceDN w:val="0"/>
        <w:adjustRightInd w:val="0"/>
      </w:pPr>
    </w:p>
    <w:p w14:paraId="18BB3347" w14:textId="53DA48CA" w:rsidR="00283547" w:rsidRDefault="00283547" w:rsidP="00283547">
      <w:pPr>
        <w:widowControl w:val="0"/>
        <w:tabs>
          <w:tab w:val="left" w:pos="567"/>
          <w:tab w:val="left" w:pos="3075"/>
        </w:tabs>
        <w:autoSpaceDE w:val="0"/>
        <w:autoSpaceDN w:val="0"/>
        <w:adjustRightInd w:val="0"/>
      </w:pPr>
      <w:r>
        <w:t>There were no non-cash benefits made during the 202</w:t>
      </w:r>
      <w:r w:rsidR="00F15A23">
        <w:t>3</w:t>
      </w:r>
      <w:r>
        <w:t>-2</w:t>
      </w:r>
      <w:r w:rsidR="00F15A23">
        <w:t>4</w:t>
      </w:r>
      <w:r>
        <w:t xml:space="preserve"> financial year (202</w:t>
      </w:r>
      <w:r w:rsidR="00F15A23">
        <w:t>2</w:t>
      </w:r>
      <w:r>
        <w:t>-2</w:t>
      </w:r>
      <w:r w:rsidR="00F15A23">
        <w:t>3</w:t>
      </w:r>
      <w:r>
        <w:t>: None).</w:t>
      </w:r>
    </w:p>
    <w:p w14:paraId="6E2194FE" w14:textId="77777777" w:rsidR="00AE29C3" w:rsidRDefault="00AE29C3" w:rsidP="00283547">
      <w:pPr>
        <w:widowControl w:val="0"/>
        <w:tabs>
          <w:tab w:val="left" w:pos="567"/>
          <w:tab w:val="left" w:pos="3075"/>
        </w:tabs>
        <w:autoSpaceDE w:val="0"/>
        <w:autoSpaceDN w:val="0"/>
        <w:adjustRightInd w:val="0"/>
      </w:pPr>
    </w:p>
    <w:p w14:paraId="6BD6E9FF" w14:textId="528B0DA1" w:rsidR="00AE29C3" w:rsidRDefault="00AE29C3" w:rsidP="00283547">
      <w:pPr>
        <w:widowControl w:val="0"/>
        <w:tabs>
          <w:tab w:val="left" w:pos="567"/>
          <w:tab w:val="left" w:pos="3075"/>
        </w:tabs>
        <w:autoSpaceDE w:val="0"/>
        <w:autoSpaceDN w:val="0"/>
        <w:adjustRightInd w:val="0"/>
      </w:pPr>
      <w:r>
        <w:rPr>
          <w:b/>
          <w:bCs/>
        </w:rPr>
        <w:t>Bonuses</w:t>
      </w:r>
    </w:p>
    <w:p w14:paraId="4F6D67D9" w14:textId="77777777" w:rsidR="00AE29C3" w:rsidRDefault="00AE29C3" w:rsidP="00283547">
      <w:pPr>
        <w:widowControl w:val="0"/>
        <w:tabs>
          <w:tab w:val="left" w:pos="567"/>
          <w:tab w:val="left" w:pos="3075"/>
        </w:tabs>
        <w:autoSpaceDE w:val="0"/>
        <w:autoSpaceDN w:val="0"/>
        <w:adjustRightInd w:val="0"/>
      </w:pPr>
    </w:p>
    <w:p w14:paraId="14EE4C12" w14:textId="7564EB36" w:rsidR="00431AE4" w:rsidRDefault="00AE29C3" w:rsidP="000C2A54">
      <w:pPr>
        <w:rPr>
          <w:b/>
          <w:sz w:val="22"/>
          <w:szCs w:val="22"/>
        </w:rPr>
      </w:pPr>
      <w:r>
        <w:t>The Commission does not make bonus payments in respect of staff performance.  No bonuses were payable to staff or to senior managers in respect of the year ended 31 March 202</w:t>
      </w:r>
      <w:r w:rsidR="00F15A23">
        <w:t>4</w:t>
      </w:r>
      <w:r>
        <w:t xml:space="preserve"> (nil for the year ended 31 March 202</w:t>
      </w:r>
      <w:r w:rsidR="00F15A23">
        <w:t>3</w:t>
      </w:r>
      <w:r>
        <w:t>).</w:t>
      </w:r>
    </w:p>
    <w:p w14:paraId="41EDAC33" w14:textId="77777777" w:rsidR="00431AE4" w:rsidRDefault="00431AE4" w:rsidP="000C2A54">
      <w:pPr>
        <w:rPr>
          <w:b/>
          <w:sz w:val="22"/>
          <w:szCs w:val="22"/>
        </w:rPr>
      </w:pPr>
    </w:p>
    <w:p w14:paraId="7B87C65E" w14:textId="77777777" w:rsidR="00022DC6" w:rsidRDefault="00022DC6">
      <w:pPr>
        <w:rPr>
          <w:b/>
          <w:sz w:val="22"/>
          <w:szCs w:val="22"/>
        </w:rPr>
      </w:pPr>
      <w:r>
        <w:rPr>
          <w:b/>
          <w:sz w:val="22"/>
          <w:szCs w:val="22"/>
        </w:rPr>
        <w:br w:type="page"/>
      </w:r>
    </w:p>
    <w:p w14:paraId="3B54362D" w14:textId="5329895E" w:rsidR="000C2A54" w:rsidRDefault="00E80A5B" w:rsidP="000C2A54">
      <w:pPr>
        <w:rPr>
          <w:b/>
          <w:sz w:val="22"/>
          <w:szCs w:val="22"/>
        </w:rPr>
      </w:pPr>
      <w:r>
        <w:rPr>
          <w:b/>
          <w:sz w:val="22"/>
          <w:szCs w:val="22"/>
        </w:rPr>
        <w:t>Fair Pay Disclosure – (audited information)</w:t>
      </w:r>
    </w:p>
    <w:p w14:paraId="728C3DA5" w14:textId="7CEBA691" w:rsidR="00DC7D8F" w:rsidRDefault="00DC7D8F" w:rsidP="000C2A54">
      <w:pPr>
        <w:rPr>
          <w:color w:val="auto"/>
          <w:lang w:val="en-US"/>
        </w:rPr>
      </w:pPr>
    </w:p>
    <w:tbl>
      <w:tblPr>
        <w:tblStyle w:val="TableGrid"/>
        <w:tblW w:w="0" w:type="auto"/>
        <w:tblLook w:val="04A0" w:firstRow="1" w:lastRow="0" w:firstColumn="1" w:lastColumn="0" w:noHBand="0" w:noVBand="1"/>
      </w:tblPr>
      <w:tblGrid>
        <w:gridCol w:w="3020"/>
        <w:gridCol w:w="3020"/>
        <w:gridCol w:w="3021"/>
      </w:tblGrid>
      <w:tr w:rsidR="00A14CED" w14:paraId="58F70778" w14:textId="77777777" w:rsidTr="00ED406F">
        <w:tc>
          <w:tcPr>
            <w:tcW w:w="3020" w:type="dxa"/>
          </w:tcPr>
          <w:p w14:paraId="07640700" w14:textId="77777777" w:rsidR="00ED406F" w:rsidRDefault="00ED406F" w:rsidP="000C2A54">
            <w:pPr>
              <w:rPr>
                <w:color w:val="auto"/>
              </w:rPr>
            </w:pPr>
          </w:p>
        </w:tc>
        <w:tc>
          <w:tcPr>
            <w:tcW w:w="3020" w:type="dxa"/>
          </w:tcPr>
          <w:p w14:paraId="1D25970A" w14:textId="68D1586E" w:rsidR="00ED406F" w:rsidRDefault="00ED406F" w:rsidP="000C2A54">
            <w:pPr>
              <w:rPr>
                <w:color w:val="auto"/>
              </w:rPr>
            </w:pPr>
            <w:r>
              <w:rPr>
                <w:color w:val="auto"/>
              </w:rPr>
              <w:t>202</w:t>
            </w:r>
            <w:r w:rsidR="00096E7B">
              <w:rPr>
                <w:color w:val="auto"/>
              </w:rPr>
              <w:t>3</w:t>
            </w:r>
            <w:r>
              <w:rPr>
                <w:color w:val="auto"/>
              </w:rPr>
              <w:t>-2</w:t>
            </w:r>
            <w:r w:rsidR="00096E7B">
              <w:rPr>
                <w:color w:val="auto"/>
              </w:rPr>
              <w:t>4</w:t>
            </w:r>
          </w:p>
          <w:p w14:paraId="236D47FE" w14:textId="1ADCA152" w:rsidR="00D75ECC" w:rsidRDefault="00D75ECC" w:rsidP="000C2A54">
            <w:pPr>
              <w:rPr>
                <w:color w:val="auto"/>
              </w:rPr>
            </w:pPr>
          </w:p>
        </w:tc>
        <w:tc>
          <w:tcPr>
            <w:tcW w:w="3021" w:type="dxa"/>
          </w:tcPr>
          <w:p w14:paraId="326FAF92" w14:textId="020D4475" w:rsidR="00ED406F" w:rsidRDefault="00ED406F" w:rsidP="000C2A54">
            <w:pPr>
              <w:rPr>
                <w:color w:val="auto"/>
              </w:rPr>
            </w:pPr>
            <w:r>
              <w:rPr>
                <w:color w:val="auto"/>
              </w:rPr>
              <w:t>202</w:t>
            </w:r>
            <w:r w:rsidR="006F7D57">
              <w:rPr>
                <w:color w:val="auto"/>
              </w:rPr>
              <w:t>2</w:t>
            </w:r>
            <w:r>
              <w:rPr>
                <w:color w:val="auto"/>
              </w:rPr>
              <w:t>-2</w:t>
            </w:r>
            <w:r w:rsidR="006F7D57">
              <w:rPr>
                <w:color w:val="auto"/>
              </w:rPr>
              <w:t>3</w:t>
            </w:r>
          </w:p>
        </w:tc>
      </w:tr>
      <w:tr w:rsidR="00A14CED" w14:paraId="027A28FF" w14:textId="77777777" w:rsidTr="00ED406F">
        <w:tc>
          <w:tcPr>
            <w:tcW w:w="3020" w:type="dxa"/>
          </w:tcPr>
          <w:p w14:paraId="2B624CF5" w14:textId="77777777" w:rsidR="00ED406F" w:rsidRDefault="00ED406F" w:rsidP="000C2A54">
            <w:pPr>
              <w:rPr>
                <w:color w:val="auto"/>
              </w:rPr>
            </w:pPr>
            <w:r>
              <w:rPr>
                <w:color w:val="auto"/>
              </w:rPr>
              <w:t>Band of Highest Paid Director FTE Total Remuneration</w:t>
            </w:r>
          </w:p>
          <w:p w14:paraId="7729A972" w14:textId="42394D96" w:rsidR="00D75ECC" w:rsidRDefault="00D75ECC" w:rsidP="000C2A54">
            <w:pPr>
              <w:rPr>
                <w:color w:val="auto"/>
              </w:rPr>
            </w:pPr>
          </w:p>
        </w:tc>
        <w:tc>
          <w:tcPr>
            <w:tcW w:w="3020" w:type="dxa"/>
          </w:tcPr>
          <w:p w14:paraId="14568110" w14:textId="052F3EF5" w:rsidR="00ED406F" w:rsidRDefault="0046013C" w:rsidP="000C2A54">
            <w:pPr>
              <w:rPr>
                <w:color w:val="auto"/>
              </w:rPr>
            </w:pPr>
            <w:r>
              <w:rPr>
                <w:color w:val="auto"/>
              </w:rPr>
              <w:t>£8</w:t>
            </w:r>
            <w:r w:rsidR="00096E7B">
              <w:rPr>
                <w:color w:val="auto"/>
              </w:rPr>
              <w:t>5</w:t>
            </w:r>
            <w:r>
              <w:rPr>
                <w:color w:val="auto"/>
              </w:rPr>
              <w:t>,000-£</w:t>
            </w:r>
            <w:r w:rsidR="00096E7B">
              <w:rPr>
                <w:color w:val="auto"/>
              </w:rPr>
              <w:t>90</w:t>
            </w:r>
            <w:r>
              <w:rPr>
                <w:color w:val="auto"/>
              </w:rPr>
              <w:t>,000</w:t>
            </w:r>
          </w:p>
        </w:tc>
        <w:tc>
          <w:tcPr>
            <w:tcW w:w="3021" w:type="dxa"/>
          </w:tcPr>
          <w:p w14:paraId="55A20606" w14:textId="3F7E3738" w:rsidR="00ED406F" w:rsidRDefault="00863804" w:rsidP="000C2A54">
            <w:pPr>
              <w:rPr>
                <w:color w:val="auto"/>
              </w:rPr>
            </w:pPr>
            <w:r>
              <w:rPr>
                <w:color w:val="auto"/>
              </w:rPr>
              <w:t>£</w:t>
            </w:r>
            <w:r w:rsidR="006F7D57">
              <w:rPr>
                <w:color w:val="auto"/>
              </w:rPr>
              <w:t>80</w:t>
            </w:r>
            <w:r>
              <w:rPr>
                <w:color w:val="auto"/>
              </w:rPr>
              <w:t>,000-£8</w:t>
            </w:r>
            <w:r w:rsidR="006F7D57">
              <w:rPr>
                <w:color w:val="auto"/>
              </w:rPr>
              <w:t>5</w:t>
            </w:r>
            <w:r>
              <w:rPr>
                <w:color w:val="auto"/>
              </w:rPr>
              <w:t>,000</w:t>
            </w:r>
          </w:p>
        </w:tc>
      </w:tr>
      <w:tr w:rsidR="00A14CED" w14:paraId="4B00B6AF" w14:textId="77777777" w:rsidTr="00ED406F">
        <w:tc>
          <w:tcPr>
            <w:tcW w:w="3020" w:type="dxa"/>
          </w:tcPr>
          <w:p w14:paraId="787AE5CD" w14:textId="144E5A8A" w:rsidR="00D75ECC" w:rsidRDefault="00950FF1" w:rsidP="000C2A54">
            <w:pPr>
              <w:rPr>
                <w:color w:val="auto"/>
              </w:rPr>
            </w:pPr>
            <w:r>
              <w:rPr>
                <w:color w:val="auto"/>
              </w:rPr>
              <w:t>Me</w:t>
            </w:r>
            <w:r w:rsidR="00A054D0">
              <w:rPr>
                <w:color w:val="auto"/>
              </w:rPr>
              <w:t>di</w:t>
            </w:r>
            <w:r>
              <w:rPr>
                <w:color w:val="auto"/>
              </w:rPr>
              <w:t xml:space="preserve">an </w:t>
            </w:r>
            <w:proofErr w:type="gramStart"/>
            <w:r w:rsidR="002A2679">
              <w:rPr>
                <w:color w:val="auto"/>
              </w:rPr>
              <w:t>total</w:t>
            </w:r>
            <w:proofErr w:type="gramEnd"/>
            <w:r w:rsidR="002A2679">
              <w:rPr>
                <w:color w:val="auto"/>
              </w:rPr>
              <w:t xml:space="preserve"> pay and benefits</w:t>
            </w:r>
            <w:r w:rsidR="008E5580">
              <w:rPr>
                <w:color w:val="auto"/>
              </w:rPr>
              <w:t xml:space="preserve"> </w:t>
            </w:r>
            <w:r w:rsidR="002A2679">
              <w:rPr>
                <w:color w:val="auto"/>
              </w:rPr>
              <w:t>r</w:t>
            </w:r>
            <w:r w:rsidR="008E5580">
              <w:rPr>
                <w:color w:val="auto"/>
              </w:rPr>
              <w:t>atio</w:t>
            </w:r>
          </w:p>
        </w:tc>
        <w:tc>
          <w:tcPr>
            <w:tcW w:w="3020" w:type="dxa"/>
          </w:tcPr>
          <w:p w14:paraId="413CDA46" w14:textId="443E9CE8" w:rsidR="00A054D0" w:rsidRDefault="0046013C" w:rsidP="000C2A54">
            <w:pPr>
              <w:rPr>
                <w:color w:val="auto"/>
              </w:rPr>
            </w:pPr>
            <w:r>
              <w:rPr>
                <w:color w:val="auto"/>
              </w:rPr>
              <w:t>1.</w:t>
            </w:r>
            <w:r w:rsidR="009E2DE6">
              <w:rPr>
                <w:color w:val="auto"/>
              </w:rPr>
              <w:t>58</w:t>
            </w:r>
          </w:p>
          <w:p w14:paraId="329A0BBE" w14:textId="77777777" w:rsidR="0046013C" w:rsidRDefault="0046013C" w:rsidP="000C2A54">
            <w:pPr>
              <w:rPr>
                <w:color w:val="auto"/>
              </w:rPr>
            </w:pPr>
          </w:p>
          <w:p w14:paraId="1DCEF478" w14:textId="6CD5D0AB" w:rsidR="0046013C" w:rsidRDefault="0046013C" w:rsidP="000C2A54">
            <w:pPr>
              <w:rPr>
                <w:color w:val="auto"/>
              </w:rPr>
            </w:pPr>
          </w:p>
        </w:tc>
        <w:tc>
          <w:tcPr>
            <w:tcW w:w="3021" w:type="dxa"/>
          </w:tcPr>
          <w:p w14:paraId="48824F8B" w14:textId="2C711DB4" w:rsidR="00A50DA8" w:rsidRDefault="00572615" w:rsidP="000C2A54">
            <w:pPr>
              <w:rPr>
                <w:color w:val="auto"/>
              </w:rPr>
            </w:pPr>
            <w:r>
              <w:rPr>
                <w:color w:val="auto"/>
              </w:rPr>
              <w:t>1.9</w:t>
            </w:r>
            <w:r w:rsidR="006F7D57">
              <w:rPr>
                <w:color w:val="auto"/>
              </w:rPr>
              <w:t>5</w:t>
            </w:r>
          </w:p>
          <w:p w14:paraId="7212B4C6" w14:textId="77777777" w:rsidR="00A054D0" w:rsidRDefault="00A054D0" w:rsidP="000C2A54">
            <w:pPr>
              <w:rPr>
                <w:color w:val="auto"/>
              </w:rPr>
            </w:pPr>
          </w:p>
          <w:p w14:paraId="278550F9" w14:textId="2FEA8D93" w:rsidR="00950FF1" w:rsidRDefault="00950FF1" w:rsidP="000C2A54">
            <w:pPr>
              <w:rPr>
                <w:color w:val="auto"/>
              </w:rPr>
            </w:pPr>
          </w:p>
        </w:tc>
      </w:tr>
      <w:tr w:rsidR="008E5580" w14:paraId="77E880BD" w14:textId="77777777" w:rsidTr="00ED406F">
        <w:tc>
          <w:tcPr>
            <w:tcW w:w="3020" w:type="dxa"/>
          </w:tcPr>
          <w:p w14:paraId="668B50B0" w14:textId="7AC3D057" w:rsidR="008E5580" w:rsidRDefault="008E5580" w:rsidP="000C2A54">
            <w:pPr>
              <w:rPr>
                <w:color w:val="auto"/>
              </w:rPr>
            </w:pPr>
            <w:r>
              <w:rPr>
                <w:color w:val="auto"/>
              </w:rPr>
              <w:t xml:space="preserve">Median </w:t>
            </w:r>
            <w:proofErr w:type="gramStart"/>
            <w:r w:rsidR="002A2679">
              <w:rPr>
                <w:color w:val="auto"/>
              </w:rPr>
              <w:t>total</w:t>
            </w:r>
            <w:proofErr w:type="gramEnd"/>
            <w:r w:rsidR="002A2679">
              <w:rPr>
                <w:color w:val="auto"/>
              </w:rPr>
              <w:t xml:space="preserve"> pay and benefits</w:t>
            </w:r>
          </w:p>
          <w:p w14:paraId="5FE1C30E" w14:textId="0F9D8199" w:rsidR="008E5580" w:rsidRDefault="008E5580" w:rsidP="000C2A54">
            <w:pPr>
              <w:rPr>
                <w:color w:val="auto"/>
              </w:rPr>
            </w:pPr>
          </w:p>
        </w:tc>
        <w:tc>
          <w:tcPr>
            <w:tcW w:w="3020" w:type="dxa"/>
          </w:tcPr>
          <w:p w14:paraId="7304E01A" w14:textId="7F6D75EB" w:rsidR="008E5580" w:rsidRDefault="008E5580" w:rsidP="000C2A54">
            <w:pPr>
              <w:rPr>
                <w:color w:val="auto"/>
              </w:rPr>
            </w:pPr>
            <w:r>
              <w:rPr>
                <w:color w:val="auto"/>
              </w:rPr>
              <w:t>£</w:t>
            </w:r>
            <w:r w:rsidR="00096E7B">
              <w:rPr>
                <w:color w:val="auto"/>
              </w:rPr>
              <w:t>55</w:t>
            </w:r>
            <w:r>
              <w:rPr>
                <w:color w:val="auto"/>
              </w:rPr>
              <w:t>,2</w:t>
            </w:r>
            <w:r w:rsidR="00096E7B">
              <w:rPr>
                <w:color w:val="auto"/>
              </w:rPr>
              <w:t>0</w:t>
            </w:r>
            <w:r>
              <w:rPr>
                <w:color w:val="auto"/>
              </w:rPr>
              <w:t>7</w:t>
            </w:r>
          </w:p>
        </w:tc>
        <w:tc>
          <w:tcPr>
            <w:tcW w:w="3021" w:type="dxa"/>
          </w:tcPr>
          <w:p w14:paraId="1D16347E" w14:textId="3091BBEB" w:rsidR="008E5580" w:rsidRDefault="008E5580" w:rsidP="000C2A54">
            <w:pPr>
              <w:rPr>
                <w:color w:val="auto"/>
              </w:rPr>
            </w:pPr>
            <w:r>
              <w:rPr>
                <w:color w:val="auto"/>
              </w:rPr>
              <w:t>£4</w:t>
            </w:r>
            <w:r w:rsidR="00AF6E34">
              <w:rPr>
                <w:color w:val="auto"/>
              </w:rPr>
              <w:t>2,227</w:t>
            </w:r>
          </w:p>
        </w:tc>
      </w:tr>
      <w:tr w:rsidR="00A14CED" w14:paraId="7D21D80A" w14:textId="77777777" w:rsidTr="00ED406F">
        <w:tc>
          <w:tcPr>
            <w:tcW w:w="3020" w:type="dxa"/>
          </w:tcPr>
          <w:p w14:paraId="70CB206F" w14:textId="28DC42EE" w:rsidR="00A50DA8" w:rsidRDefault="00566B25" w:rsidP="000C2A54">
            <w:pPr>
              <w:rPr>
                <w:color w:val="auto"/>
              </w:rPr>
            </w:pPr>
            <w:r>
              <w:rPr>
                <w:color w:val="auto"/>
              </w:rPr>
              <w:t xml:space="preserve">Median </w:t>
            </w:r>
            <w:proofErr w:type="gramStart"/>
            <w:r>
              <w:rPr>
                <w:color w:val="auto"/>
              </w:rPr>
              <w:t>total</w:t>
            </w:r>
            <w:proofErr w:type="gramEnd"/>
            <w:r>
              <w:rPr>
                <w:color w:val="auto"/>
              </w:rPr>
              <w:t xml:space="preserve"> pay and benefits range</w:t>
            </w:r>
          </w:p>
          <w:p w14:paraId="00028E8E" w14:textId="42EBF2B7" w:rsidR="00D75ECC" w:rsidRDefault="00D75ECC" w:rsidP="000C2A54">
            <w:pPr>
              <w:rPr>
                <w:color w:val="auto"/>
              </w:rPr>
            </w:pPr>
          </w:p>
        </w:tc>
        <w:tc>
          <w:tcPr>
            <w:tcW w:w="3020" w:type="dxa"/>
          </w:tcPr>
          <w:p w14:paraId="7D23940E" w14:textId="58505796" w:rsidR="00A50DA8" w:rsidRDefault="0046013C" w:rsidP="000C2A54">
            <w:pPr>
              <w:rPr>
                <w:color w:val="auto"/>
              </w:rPr>
            </w:pPr>
            <w:r>
              <w:rPr>
                <w:color w:val="auto"/>
              </w:rPr>
              <w:t>£2</w:t>
            </w:r>
            <w:r w:rsidR="00096E7B">
              <w:rPr>
                <w:color w:val="auto"/>
              </w:rPr>
              <w:t>4</w:t>
            </w:r>
            <w:r>
              <w:rPr>
                <w:color w:val="auto"/>
              </w:rPr>
              <w:t>,000-£8</w:t>
            </w:r>
            <w:r w:rsidR="00096E7B">
              <w:rPr>
                <w:color w:val="auto"/>
              </w:rPr>
              <w:t>8</w:t>
            </w:r>
            <w:r>
              <w:rPr>
                <w:color w:val="auto"/>
              </w:rPr>
              <w:t>,000</w:t>
            </w:r>
          </w:p>
        </w:tc>
        <w:tc>
          <w:tcPr>
            <w:tcW w:w="3021" w:type="dxa"/>
          </w:tcPr>
          <w:p w14:paraId="58F3DF50" w14:textId="61A92F03" w:rsidR="00A50DA8" w:rsidRDefault="00950FF1" w:rsidP="000C2A54">
            <w:pPr>
              <w:rPr>
                <w:color w:val="auto"/>
              </w:rPr>
            </w:pPr>
            <w:r>
              <w:rPr>
                <w:color w:val="auto"/>
              </w:rPr>
              <w:t>£2</w:t>
            </w:r>
            <w:r w:rsidR="00AF6E34">
              <w:rPr>
                <w:color w:val="auto"/>
              </w:rPr>
              <w:t>3</w:t>
            </w:r>
            <w:r>
              <w:rPr>
                <w:color w:val="auto"/>
              </w:rPr>
              <w:t>,000-£</w:t>
            </w:r>
            <w:r w:rsidR="0046013C">
              <w:rPr>
                <w:color w:val="auto"/>
              </w:rPr>
              <w:t>8</w:t>
            </w:r>
            <w:r w:rsidR="00AF6E34">
              <w:rPr>
                <w:color w:val="auto"/>
              </w:rPr>
              <w:t>2</w:t>
            </w:r>
            <w:r>
              <w:rPr>
                <w:color w:val="auto"/>
              </w:rPr>
              <w:t>,000</w:t>
            </w:r>
          </w:p>
        </w:tc>
      </w:tr>
      <w:tr w:rsidR="00A14CED" w14:paraId="4319F37D" w14:textId="77777777" w:rsidTr="00ED406F">
        <w:tc>
          <w:tcPr>
            <w:tcW w:w="3020" w:type="dxa"/>
          </w:tcPr>
          <w:p w14:paraId="427EAF05" w14:textId="6738D6B2" w:rsidR="00CA3328" w:rsidRDefault="00950FF1" w:rsidP="000C2A54">
            <w:pPr>
              <w:rPr>
                <w:color w:val="auto"/>
              </w:rPr>
            </w:pPr>
            <w:r>
              <w:rPr>
                <w:color w:val="auto"/>
              </w:rPr>
              <w:t xml:space="preserve">Percentage change in Director </w:t>
            </w:r>
            <w:r w:rsidR="00F734F0">
              <w:rPr>
                <w:color w:val="auto"/>
              </w:rPr>
              <w:t>total pay and benefits</w:t>
            </w:r>
          </w:p>
          <w:p w14:paraId="0B2F3537" w14:textId="128CE6CB" w:rsidR="00D75ECC" w:rsidRDefault="00D75ECC" w:rsidP="000C2A54">
            <w:pPr>
              <w:rPr>
                <w:color w:val="auto"/>
              </w:rPr>
            </w:pPr>
          </w:p>
        </w:tc>
        <w:tc>
          <w:tcPr>
            <w:tcW w:w="3020" w:type="dxa"/>
          </w:tcPr>
          <w:p w14:paraId="2D1934A1" w14:textId="2EC3A377" w:rsidR="00CA3328" w:rsidRDefault="00096E7B" w:rsidP="000C2A54">
            <w:pPr>
              <w:rPr>
                <w:color w:val="auto"/>
              </w:rPr>
            </w:pPr>
            <w:r>
              <w:rPr>
                <w:color w:val="auto"/>
              </w:rPr>
              <w:t>6</w:t>
            </w:r>
            <w:r w:rsidR="0046013C">
              <w:rPr>
                <w:color w:val="auto"/>
              </w:rPr>
              <w:t>.</w:t>
            </w:r>
            <w:r>
              <w:rPr>
                <w:color w:val="auto"/>
              </w:rPr>
              <w:t>97</w:t>
            </w:r>
            <w:r w:rsidR="0046013C">
              <w:rPr>
                <w:color w:val="auto"/>
              </w:rPr>
              <w:t>%</w:t>
            </w:r>
          </w:p>
        </w:tc>
        <w:tc>
          <w:tcPr>
            <w:tcW w:w="3021" w:type="dxa"/>
          </w:tcPr>
          <w:p w14:paraId="3B04E06D" w14:textId="30B9ECB5" w:rsidR="00CA3328" w:rsidRDefault="00AF6E34" w:rsidP="000C2A54">
            <w:pPr>
              <w:rPr>
                <w:color w:val="auto"/>
              </w:rPr>
            </w:pPr>
            <w:r>
              <w:rPr>
                <w:color w:val="auto"/>
              </w:rPr>
              <w:t>2.63</w:t>
            </w:r>
            <w:r w:rsidR="0046013C">
              <w:rPr>
                <w:color w:val="auto"/>
              </w:rPr>
              <w:t>%</w:t>
            </w:r>
          </w:p>
        </w:tc>
      </w:tr>
      <w:tr w:rsidR="00A14CED" w14:paraId="71DED2BB" w14:textId="77777777" w:rsidTr="00ED406F">
        <w:tc>
          <w:tcPr>
            <w:tcW w:w="3020" w:type="dxa"/>
          </w:tcPr>
          <w:p w14:paraId="5B81D2FF" w14:textId="7880F3BD" w:rsidR="00CA3328" w:rsidRDefault="00950FF1" w:rsidP="000C2A54">
            <w:pPr>
              <w:rPr>
                <w:color w:val="auto"/>
              </w:rPr>
            </w:pPr>
            <w:r>
              <w:rPr>
                <w:color w:val="auto"/>
              </w:rPr>
              <w:t>Ratio between highest paid director and 25</w:t>
            </w:r>
            <w:r w:rsidRPr="00950FF1">
              <w:rPr>
                <w:color w:val="auto"/>
                <w:vertAlign w:val="superscript"/>
              </w:rPr>
              <w:t>th</w:t>
            </w:r>
            <w:r>
              <w:rPr>
                <w:color w:val="auto"/>
              </w:rPr>
              <w:t xml:space="preserve"> Percentile</w:t>
            </w:r>
          </w:p>
          <w:p w14:paraId="142D7FD6" w14:textId="279A0A17" w:rsidR="00D75ECC" w:rsidRDefault="00D75ECC" w:rsidP="000C2A54">
            <w:pPr>
              <w:rPr>
                <w:color w:val="auto"/>
              </w:rPr>
            </w:pPr>
          </w:p>
        </w:tc>
        <w:tc>
          <w:tcPr>
            <w:tcW w:w="3020" w:type="dxa"/>
          </w:tcPr>
          <w:p w14:paraId="308DF76E" w14:textId="013BF8D6" w:rsidR="00CA3328" w:rsidRDefault="0046013C" w:rsidP="000C2A54">
            <w:pPr>
              <w:rPr>
                <w:color w:val="auto"/>
              </w:rPr>
            </w:pPr>
            <w:r>
              <w:rPr>
                <w:color w:val="auto"/>
              </w:rPr>
              <w:t>2.</w:t>
            </w:r>
            <w:r w:rsidR="001F3B52">
              <w:rPr>
                <w:color w:val="auto"/>
              </w:rPr>
              <w:t>5</w:t>
            </w:r>
            <w:r w:rsidR="00A45A8F">
              <w:rPr>
                <w:color w:val="auto"/>
              </w:rPr>
              <w:t>3</w:t>
            </w:r>
          </w:p>
        </w:tc>
        <w:tc>
          <w:tcPr>
            <w:tcW w:w="3021" w:type="dxa"/>
          </w:tcPr>
          <w:p w14:paraId="515A03C3" w14:textId="6A162663" w:rsidR="00CA3328" w:rsidRDefault="00572615" w:rsidP="000C2A54">
            <w:pPr>
              <w:rPr>
                <w:color w:val="auto"/>
              </w:rPr>
            </w:pPr>
            <w:r>
              <w:rPr>
                <w:color w:val="auto"/>
              </w:rPr>
              <w:t>2.</w:t>
            </w:r>
            <w:r w:rsidR="00AF6E34">
              <w:rPr>
                <w:color w:val="auto"/>
              </w:rPr>
              <w:t>51</w:t>
            </w:r>
          </w:p>
        </w:tc>
      </w:tr>
      <w:tr w:rsidR="00A14CED" w14:paraId="5F0F1512" w14:textId="77777777" w:rsidTr="00ED406F">
        <w:tc>
          <w:tcPr>
            <w:tcW w:w="3020" w:type="dxa"/>
          </w:tcPr>
          <w:p w14:paraId="1571E876" w14:textId="11F6F3DB" w:rsidR="00CA3328" w:rsidRDefault="00950FF1" w:rsidP="000C2A54">
            <w:pPr>
              <w:rPr>
                <w:color w:val="auto"/>
              </w:rPr>
            </w:pPr>
            <w:r>
              <w:rPr>
                <w:color w:val="auto"/>
              </w:rPr>
              <w:t>25</w:t>
            </w:r>
            <w:r w:rsidRPr="00950FF1">
              <w:rPr>
                <w:color w:val="auto"/>
                <w:vertAlign w:val="superscript"/>
              </w:rPr>
              <w:t>th</w:t>
            </w:r>
            <w:r>
              <w:rPr>
                <w:color w:val="auto"/>
              </w:rPr>
              <w:t xml:space="preserve"> Percentile </w:t>
            </w:r>
            <w:r w:rsidR="00F734F0">
              <w:rPr>
                <w:color w:val="auto"/>
              </w:rPr>
              <w:t>total pay and benefits</w:t>
            </w:r>
          </w:p>
          <w:p w14:paraId="3B008A32" w14:textId="257505F2" w:rsidR="00D75ECC" w:rsidRDefault="00D75ECC" w:rsidP="000C2A54">
            <w:pPr>
              <w:rPr>
                <w:color w:val="auto"/>
              </w:rPr>
            </w:pPr>
          </w:p>
        </w:tc>
        <w:tc>
          <w:tcPr>
            <w:tcW w:w="3020" w:type="dxa"/>
          </w:tcPr>
          <w:p w14:paraId="1EC26CD1" w14:textId="5E1C49C5" w:rsidR="00CA3328" w:rsidRDefault="0046013C" w:rsidP="000C2A54">
            <w:pPr>
              <w:rPr>
                <w:color w:val="auto"/>
              </w:rPr>
            </w:pPr>
            <w:r>
              <w:rPr>
                <w:color w:val="auto"/>
              </w:rPr>
              <w:t>£3</w:t>
            </w:r>
            <w:r w:rsidR="001F3B52">
              <w:rPr>
                <w:color w:val="auto"/>
              </w:rPr>
              <w:t>4</w:t>
            </w:r>
            <w:r>
              <w:rPr>
                <w:color w:val="auto"/>
              </w:rPr>
              <w:t>,</w:t>
            </w:r>
            <w:r w:rsidR="001F3B52">
              <w:rPr>
                <w:color w:val="auto"/>
              </w:rPr>
              <w:t>524</w:t>
            </w:r>
          </w:p>
        </w:tc>
        <w:tc>
          <w:tcPr>
            <w:tcW w:w="3021" w:type="dxa"/>
          </w:tcPr>
          <w:p w14:paraId="23D560CC" w14:textId="36A574E8" w:rsidR="00CA3328" w:rsidRDefault="00572615" w:rsidP="000C2A54">
            <w:pPr>
              <w:rPr>
                <w:color w:val="auto"/>
              </w:rPr>
            </w:pPr>
            <w:r>
              <w:rPr>
                <w:color w:val="auto"/>
              </w:rPr>
              <w:t>£3</w:t>
            </w:r>
            <w:r w:rsidR="0046013C">
              <w:rPr>
                <w:color w:val="auto"/>
              </w:rPr>
              <w:t>2,</w:t>
            </w:r>
            <w:r w:rsidR="00354DBE">
              <w:rPr>
                <w:color w:val="auto"/>
              </w:rPr>
              <w:t>880</w:t>
            </w:r>
          </w:p>
        </w:tc>
      </w:tr>
      <w:tr w:rsidR="00A14CED" w14:paraId="69508802" w14:textId="77777777" w:rsidTr="00ED406F">
        <w:tc>
          <w:tcPr>
            <w:tcW w:w="3020" w:type="dxa"/>
          </w:tcPr>
          <w:p w14:paraId="29D1B0A7" w14:textId="10A53C1E" w:rsidR="00664580" w:rsidRDefault="00950FF1" w:rsidP="000C2A54">
            <w:pPr>
              <w:rPr>
                <w:color w:val="auto"/>
              </w:rPr>
            </w:pPr>
            <w:r>
              <w:rPr>
                <w:color w:val="auto"/>
              </w:rPr>
              <w:t>Ratio between highest paid director and 75</w:t>
            </w:r>
            <w:r w:rsidRPr="00950FF1">
              <w:rPr>
                <w:color w:val="auto"/>
                <w:vertAlign w:val="superscript"/>
              </w:rPr>
              <w:t>th</w:t>
            </w:r>
            <w:r>
              <w:rPr>
                <w:color w:val="auto"/>
              </w:rPr>
              <w:t xml:space="preserve"> Percentile </w:t>
            </w:r>
          </w:p>
          <w:p w14:paraId="529E6C44" w14:textId="338253B2" w:rsidR="00D75ECC" w:rsidRDefault="00D75ECC" w:rsidP="000C2A54">
            <w:pPr>
              <w:rPr>
                <w:color w:val="auto"/>
              </w:rPr>
            </w:pPr>
          </w:p>
        </w:tc>
        <w:tc>
          <w:tcPr>
            <w:tcW w:w="3020" w:type="dxa"/>
          </w:tcPr>
          <w:p w14:paraId="22AC6172" w14:textId="6E57FF6E" w:rsidR="00664580" w:rsidRDefault="0046013C" w:rsidP="000C2A54">
            <w:pPr>
              <w:rPr>
                <w:color w:val="auto"/>
              </w:rPr>
            </w:pPr>
            <w:r>
              <w:rPr>
                <w:color w:val="auto"/>
              </w:rPr>
              <w:t>1.5</w:t>
            </w:r>
            <w:r w:rsidR="00096E7B">
              <w:rPr>
                <w:color w:val="auto"/>
              </w:rPr>
              <w:t>1</w:t>
            </w:r>
          </w:p>
        </w:tc>
        <w:tc>
          <w:tcPr>
            <w:tcW w:w="3021" w:type="dxa"/>
          </w:tcPr>
          <w:p w14:paraId="4A2305BD" w14:textId="01579DCE" w:rsidR="00664580" w:rsidRDefault="00572615" w:rsidP="000C2A54">
            <w:pPr>
              <w:rPr>
                <w:color w:val="auto"/>
              </w:rPr>
            </w:pPr>
            <w:r>
              <w:rPr>
                <w:color w:val="auto"/>
              </w:rPr>
              <w:t>1.</w:t>
            </w:r>
            <w:r w:rsidR="00354DBE">
              <w:rPr>
                <w:color w:val="auto"/>
              </w:rPr>
              <w:t>53</w:t>
            </w:r>
          </w:p>
        </w:tc>
      </w:tr>
      <w:tr w:rsidR="00950FF1" w14:paraId="5FF661E9" w14:textId="77777777" w:rsidTr="00ED406F">
        <w:tc>
          <w:tcPr>
            <w:tcW w:w="3020" w:type="dxa"/>
          </w:tcPr>
          <w:p w14:paraId="1B644822" w14:textId="447A70F7" w:rsidR="00950FF1" w:rsidRDefault="00950FF1" w:rsidP="000C2A54">
            <w:pPr>
              <w:rPr>
                <w:color w:val="auto"/>
              </w:rPr>
            </w:pPr>
            <w:r>
              <w:rPr>
                <w:color w:val="auto"/>
              </w:rPr>
              <w:t>75</w:t>
            </w:r>
            <w:r w:rsidRPr="00950FF1">
              <w:rPr>
                <w:color w:val="auto"/>
                <w:vertAlign w:val="superscript"/>
              </w:rPr>
              <w:t>th</w:t>
            </w:r>
            <w:r>
              <w:rPr>
                <w:color w:val="auto"/>
              </w:rPr>
              <w:t xml:space="preserve"> Percentile </w:t>
            </w:r>
            <w:r w:rsidR="0028726E">
              <w:rPr>
                <w:color w:val="auto"/>
              </w:rPr>
              <w:t>total pay and benefits</w:t>
            </w:r>
          </w:p>
        </w:tc>
        <w:tc>
          <w:tcPr>
            <w:tcW w:w="3020" w:type="dxa"/>
          </w:tcPr>
          <w:p w14:paraId="712FEEBB" w14:textId="63072BF9" w:rsidR="00950FF1" w:rsidRDefault="0046013C" w:rsidP="000C2A54">
            <w:pPr>
              <w:rPr>
                <w:color w:val="auto"/>
              </w:rPr>
            </w:pPr>
            <w:r>
              <w:rPr>
                <w:color w:val="auto"/>
              </w:rPr>
              <w:t>£5</w:t>
            </w:r>
            <w:r w:rsidR="009003D9">
              <w:rPr>
                <w:color w:val="auto"/>
              </w:rPr>
              <w:t>8</w:t>
            </w:r>
            <w:r>
              <w:rPr>
                <w:color w:val="auto"/>
              </w:rPr>
              <w:t>,</w:t>
            </w:r>
            <w:r w:rsidR="009003D9">
              <w:rPr>
                <w:color w:val="auto"/>
              </w:rPr>
              <w:t>089</w:t>
            </w:r>
          </w:p>
        </w:tc>
        <w:tc>
          <w:tcPr>
            <w:tcW w:w="3021" w:type="dxa"/>
          </w:tcPr>
          <w:p w14:paraId="56E6667B" w14:textId="321DBEC6" w:rsidR="00950FF1" w:rsidRDefault="00572615" w:rsidP="000C2A54">
            <w:pPr>
              <w:rPr>
                <w:color w:val="auto"/>
              </w:rPr>
            </w:pPr>
            <w:r>
              <w:rPr>
                <w:color w:val="auto"/>
              </w:rPr>
              <w:t>£5</w:t>
            </w:r>
            <w:r w:rsidR="00354DBE">
              <w:rPr>
                <w:color w:val="auto"/>
              </w:rPr>
              <w:t>3,797</w:t>
            </w:r>
          </w:p>
        </w:tc>
      </w:tr>
    </w:tbl>
    <w:p w14:paraId="7761F206" w14:textId="77777777" w:rsidR="00592635" w:rsidRPr="002265A4" w:rsidRDefault="00592635" w:rsidP="000C2A54">
      <w:pPr>
        <w:rPr>
          <w:color w:val="auto"/>
          <w:lang w:val="en-US"/>
        </w:rPr>
      </w:pPr>
    </w:p>
    <w:p w14:paraId="35311519" w14:textId="443F65D4" w:rsidR="005109F1" w:rsidRDefault="005109F1" w:rsidP="005109F1">
      <w:pPr>
        <w:rPr>
          <w:color w:val="auto"/>
          <w:lang w:val="en-US"/>
        </w:rPr>
      </w:pPr>
      <w:r>
        <w:rPr>
          <w:color w:val="auto"/>
          <w:lang w:val="en-US"/>
        </w:rPr>
        <w:t>For the Northern Ireland Human Rights Commission there is no difference between total pay and benefits and the salary component of total pay and benefits</w:t>
      </w:r>
      <w:r w:rsidR="007D38B3">
        <w:rPr>
          <w:color w:val="auto"/>
          <w:lang w:val="en-US"/>
        </w:rPr>
        <w:t>.</w:t>
      </w:r>
    </w:p>
    <w:p w14:paraId="108567EC" w14:textId="77777777" w:rsidR="009003D9" w:rsidRDefault="009003D9" w:rsidP="005109F1">
      <w:pPr>
        <w:rPr>
          <w:color w:val="auto"/>
          <w:lang w:val="en-US"/>
        </w:rPr>
      </w:pPr>
    </w:p>
    <w:p w14:paraId="09AE6354" w14:textId="2FEA1CC3" w:rsidR="00150E9A" w:rsidRDefault="000C2A54" w:rsidP="000C2A54">
      <w:pPr>
        <w:rPr>
          <w:color w:val="auto"/>
          <w:lang w:val="en-US"/>
        </w:rPr>
      </w:pPr>
      <w:r w:rsidRPr="005B72C1">
        <w:rPr>
          <w:color w:val="auto"/>
          <w:lang w:val="en-US"/>
        </w:rPr>
        <w:t xml:space="preserve">Reporting bodies are required to disclose the relationship between the remuneration of the highest-paid </w:t>
      </w:r>
      <w:r w:rsidR="005D25E3">
        <w:rPr>
          <w:color w:val="auto"/>
          <w:lang w:val="en-US"/>
        </w:rPr>
        <w:t>director</w:t>
      </w:r>
      <w:r w:rsidR="005D25E3" w:rsidRPr="005B72C1">
        <w:rPr>
          <w:color w:val="auto"/>
          <w:lang w:val="en-US"/>
        </w:rPr>
        <w:t xml:space="preserve"> </w:t>
      </w:r>
      <w:r w:rsidRPr="005B72C1">
        <w:rPr>
          <w:color w:val="auto"/>
          <w:lang w:val="en-US"/>
        </w:rPr>
        <w:t xml:space="preserve">in their organisation and the median remuneration of the </w:t>
      </w:r>
      <w:proofErr w:type="spellStart"/>
      <w:r w:rsidRPr="005B72C1">
        <w:rPr>
          <w:color w:val="auto"/>
          <w:lang w:val="en-US"/>
        </w:rPr>
        <w:t>organisation’s</w:t>
      </w:r>
      <w:proofErr w:type="spellEnd"/>
      <w:r w:rsidRPr="005B72C1">
        <w:rPr>
          <w:color w:val="auto"/>
          <w:lang w:val="en-US"/>
        </w:rPr>
        <w:t xml:space="preserve"> workforce.</w:t>
      </w:r>
    </w:p>
    <w:p w14:paraId="0225548D" w14:textId="1073EE99" w:rsidR="00150E9A" w:rsidRDefault="00150E9A" w:rsidP="000C2A54">
      <w:pPr>
        <w:rPr>
          <w:color w:val="auto"/>
          <w:lang w:val="en-US"/>
        </w:rPr>
      </w:pPr>
      <w:r>
        <w:rPr>
          <w:color w:val="auto"/>
          <w:lang w:val="en-US"/>
        </w:rPr>
        <w:t xml:space="preserve">The calculations exclude the remuneration to the part-time Commissioners as their employment terms and conditions, including rates of remuneration are determined by the United Kingdom </w:t>
      </w:r>
      <w:r w:rsidR="00D33D70">
        <w:rPr>
          <w:color w:val="auto"/>
          <w:lang w:val="en-US"/>
        </w:rPr>
        <w:t>Government</w:t>
      </w:r>
      <w:r>
        <w:rPr>
          <w:color w:val="auto"/>
          <w:lang w:val="en-US"/>
        </w:rPr>
        <w:t xml:space="preserve"> and the </w:t>
      </w:r>
      <w:r w:rsidR="0097191B">
        <w:rPr>
          <w:color w:val="auto"/>
          <w:lang w:val="en-US"/>
        </w:rPr>
        <w:t>Northern Ireland Human Rights</w:t>
      </w:r>
      <w:r>
        <w:rPr>
          <w:color w:val="auto"/>
          <w:lang w:val="en-US"/>
        </w:rPr>
        <w:t xml:space="preserve"> Commission is unable to influence those rates</w:t>
      </w:r>
      <w:r w:rsidR="00FF1FA8">
        <w:rPr>
          <w:color w:val="auto"/>
          <w:lang w:val="en-US"/>
        </w:rPr>
        <w:t xml:space="preserve">. </w:t>
      </w:r>
      <w:r>
        <w:rPr>
          <w:color w:val="auto"/>
          <w:lang w:val="en-US"/>
        </w:rPr>
        <w:t>Details of their remuneration are provided above.</w:t>
      </w:r>
    </w:p>
    <w:p w14:paraId="6D296030" w14:textId="77777777" w:rsidR="005D25E3" w:rsidRDefault="005D25E3" w:rsidP="000C2A54">
      <w:pPr>
        <w:rPr>
          <w:color w:val="auto"/>
          <w:lang w:val="en-US"/>
        </w:rPr>
      </w:pPr>
    </w:p>
    <w:p w14:paraId="675C0FC4" w14:textId="17C9692E" w:rsidR="005D25E3" w:rsidRDefault="005D25E3" w:rsidP="000C2A54">
      <w:pPr>
        <w:rPr>
          <w:color w:val="auto"/>
          <w:lang w:val="en-US"/>
        </w:rPr>
      </w:pPr>
      <w:r>
        <w:rPr>
          <w:color w:val="auto"/>
          <w:lang w:val="en-US"/>
        </w:rPr>
        <w:t xml:space="preserve">The banded remuneration of the highest-paid director in the organisation in the financial year </w:t>
      </w:r>
      <w:r w:rsidR="005C717D">
        <w:rPr>
          <w:color w:val="auto"/>
          <w:lang w:val="en-US"/>
        </w:rPr>
        <w:t>202</w:t>
      </w:r>
      <w:r w:rsidR="009003D9">
        <w:rPr>
          <w:color w:val="auto"/>
          <w:lang w:val="en-US"/>
        </w:rPr>
        <w:t>3</w:t>
      </w:r>
      <w:r w:rsidR="005C717D">
        <w:rPr>
          <w:color w:val="auto"/>
          <w:lang w:val="en-US"/>
        </w:rPr>
        <w:t>-2</w:t>
      </w:r>
      <w:r w:rsidR="009003D9">
        <w:rPr>
          <w:color w:val="auto"/>
          <w:lang w:val="en-US"/>
        </w:rPr>
        <w:t>4</w:t>
      </w:r>
      <w:r w:rsidR="005C717D">
        <w:rPr>
          <w:color w:val="auto"/>
          <w:lang w:val="en-US"/>
        </w:rPr>
        <w:t xml:space="preserve"> was £</w:t>
      </w:r>
      <w:r w:rsidR="0046013C">
        <w:rPr>
          <w:color w:val="auto"/>
          <w:lang w:val="en-US"/>
        </w:rPr>
        <w:t>8</w:t>
      </w:r>
      <w:r w:rsidR="009003D9">
        <w:rPr>
          <w:color w:val="auto"/>
          <w:lang w:val="en-US"/>
        </w:rPr>
        <w:t>5</w:t>
      </w:r>
      <w:r w:rsidR="005C717D">
        <w:rPr>
          <w:color w:val="auto"/>
          <w:lang w:val="en-US"/>
        </w:rPr>
        <w:t>,000-£</w:t>
      </w:r>
      <w:r w:rsidR="009003D9">
        <w:rPr>
          <w:color w:val="auto"/>
          <w:lang w:val="en-US"/>
        </w:rPr>
        <w:t>90</w:t>
      </w:r>
      <w:r w:rsidR="005C717D">
        <w:rPr>
          <w:color w:val="auto"/>
          <w:lang w:val="en-US"/>
        </w:rPr>
        <w:t>,000 (</w:t>
      </w:r>
      <w:r>
        <w:rPr>
          <w:color w:val="auto"/>
          <w:lang w:val="en-US"/>
        </w:rPr>
        <w:t>20</w:t>
      </w:r>
      <w:r w:rsidR="00C34C15">
        <w:rPr>
          <w:color w:val="auto"/>
          <w:lang w:val="en-US"/>
        </w:rPr>
        <w:t>2</w:t>
      </w:r>
      <w:r w:rsidR="009003D9">
        <w:rPr>
          <w:color w:val="auto"/>
          <w:lang w:val="en-US"/>
        </w:rPr>
        <w:t>2</w:t>
      </w:r>
      <w:r w:rsidR="008765D5">
        <w:rPr>
          <w:color w:val="auto"/>
          <w:lang w:val="en-US"/>
        </w:rPr>
        <w:t>-2</w:t>
      </w:r>
      <w:r w:rsidR="009003D9">
        <w:rPr>
          <w:color w:val="auto"/>
          <w:lang w:val="en-US"/>
        </w:rPr>
        <w:t>3</w:t>
      </w:r>
      <w:r w:rsidR="005C717D">
        <w:rPr>
          <w:color w:val="auto"/>
          <w:lang w:val="en-US"/>
        </w:rPr>
        <w:t xml:space="preserve">: </w:t>
      </w:r>
      <w:r w:rsidR="00DE3AEE">
        <w:rPr>
          <w:color w:val="auto"/>
          <w:lang w:val="en-US"/>
        </w:rPr>
        <w:t>£</w:t>
      </w:r>
      <w:r w:rsidR="009003D9">
        <w:rPr>
          <w:color w:val="auto"/>
          <w:lang w:val="en-US"/>
        </w:rPr>
        <w:t>80</w:t>
      </w:r>
      <w:r w:rsidR="008765D5">
        <w:rPr>
          <w:color w:val="auto"/>
          <w:lang w:val="en-US"/>
        </w:rPr>
        <w:t>,000-£8</w:t>
      </w:r>
      <w:r w:rsidR="009003D9">
        <w:rPr>
          <w:color w:val="auto"/>
          <w:lang w:val="en-US"/>
        </w:rPr>
        <w:t>5</w:t>
      </w:r>
      <w:r w:rsidR="00023AAA">
        <w:rPr>
          <w:color w:val="auto"/>
          <w:lang w:val="en-US"/>
        </w:rPr>
        <w:t>,000</w:t>
      </w:r>
      <w:r w:rsidR="00A044E4">
        <w:rPr>
          <w:color w:val="auto"/>
          <w:lang w:val="en-US"/>
        </w:rPr>
        <w:t>)</w:t>
      </w:r>
      <w:r w:rsidR="000A30FB">
        <w:rPr>
          <w:color w:val="auto"/>
          <w:lang w:val="en-US"/>
        </w:rPr>
        <w:t xml:space="preserve">. </w:t>
      </w:r>
      <w:r w:rsidR="00F60144">
        <w:rPr>
          <w:color w:val="auto"/>
          <w:lang w:val="en-US"/>
        </w:rPr>
        <w:t xml:space="preserve">This was </w:t>
      </w:r>
      <w:r w:rsidR="005C717D">
        <w:rPr>
          <w:color w:val="auto"/>
          <w:lang w:val="en-US"/>
        </w:rPr>
        <w:t>1.</w:t>
      </w:r>
      <w:r w:rsidR="00DC5B92">
        <w:rPr>
          <w:color w:val="auto"/>
          <w:lang w:val="en-US"/>
        </w:rPr>
        <w:t>58</w:t>
      </w:r>
      <w:r w:rsidR="005C717D">
        <w:rPr>
          <w:color w:val="auto"/>
          <w:lang w:val="en-US"/>
        </w:rPr>
        <w:t xml:space="preserve"> times </w:t>
      </w:r>
      <w:r w:rsidR="00F60144">
        <w:rPr>
          <w:color w:val="auto"/>
          <w:lang w:val="en-US"/>
        </w:rPr>
        <w:t xml:space="preserve">the median remuneration of the workforce, which was </w:t>
      </w:r>
      <w:r w:rsidR="005C717D">
        <w:rPr>
          <w:color w:val="auto"/>
          <w:lang w:val="en-US"/>
        </w:rPr>
        <w:t>£</w:t>
      </w:r>
      <w:r w:rsidR="009003D9">
        <w:rPr>
          <w:color w:val="auto"/>
          <w:lang w:val="en-US"/>
        </w:rPr>
        <w:t>55</w:t>
      </w:r>
      <w:r w:rsidR="00572615">
        <w:rPr>
          <w:color w:val="auto"/>
          <w:lang w:val="en-US"/>
        </w:rPr>
        <w:t>,</w:t>
      </w:r>
      <w:r w:rsidR="00196F98">
        <w:rPr>
          <w:color w:val="auto"/>
          <w:lang w:val="en-US"/>
        </w:rPr>
        <w:t>2</w:t>
      </w:r>
      <w:r w:rsidR="009003D9">
        <w:rPr>
          <w:color w:val="auto"/>
          <w:lang w:val="en-US"/>
        </w:rPr>
        <w:t>0</w:t>
      </w:r>
      <w:r w:rsidR="00196F98">
        <w:rPr>
          <w:color w:val="auto"/>
          <w:lang w:val="en-US"/>
        </w:rPr>
        <w:t>7</w:t>
      </w:r>
      <w:r w:rsidR="00572615">
        <w:rPr>
          <w:color w:val="auto"/>
          <w:lang w:val="en-US"/>
        </w:rPr>
        <w:t xml:space="preserve"> (202</w:t>
      </w:r>
      <w:r w:rsidR="009003D9">
        <w:rPr>
          <w:color w:val="auto"/>
          <w:lang w:val="en-US"/>
        </w:rPr>
        <w:t>2</w:t>
      </w:r>
      <w:r w:rsidR="00572615">
        <w:rPr>
          <w:color w:val="auto"/>
          <w:lang w:val="en-US"/>
        </w:rPr>
        <w:t>-2</w:t>
      </w:r>
      <w:r w:rsidR="009003D9">
        <w:rPr>
          <w:color w:val="auto"/>
          <w:lang w:val="en-US"/>
        </w:rPr>
        <w:t>3</w:t>
      </w:r>
      <w:r w:rsidR="00FA395A">
        <w:rPr>
          <w:color w:val="auto"/>
          <w:lang w:val="en-US"/>
        </w:rPr>
        <w:t>:</w:t>
      </w:r>
      <w:r w:rsidR="00572615">
        <w:rPr>
          <w:color w:val="auto"/>
          <w:lang w:val="en-US"/>
        </w:rPr>
        <w:t xml:space="preserve"> 1.9</w:t>
      </w:r>
      <w:r w:rsidR="009003D9">
        <w:rPr>
          <w:color w:val="auto"/>
          <w:lang w:val="en-US"/>
        </w:rPr>
        <w:t>5</w:t>
      </w:r>
      <w:r w:rsidR="00572615">
        <w:rPr>
          <w:color w:val="auto"/>
          <w:lang w:val="en-US"/>
        </w:rPr>
        <w:t xml:space="preserve"> times and £</w:t>
      </w:r>
      <w:r w:rsidR="00196F98">
        <w:rPr>
          <w:color w:val="auto"/>
          <w:lang w:val="en-US"/>
        </w:rPr>
        <w:t>4</w:t>
      </w:r>
      <w:r w:rsidR="009003D9">
        <w:rPr>
          <w:color w:val="auto"/>
          <w:lang w:val="en-US"/>
        </w:rPr>
        <w:t>2</w:t>
      </w:r>
      <w:r w:rsidR="00572615">
        <w:rPr>
          <w:color w:val="auto"/>
          <w:lang w:val="en-US"/>
        </w:rPr>
        <w:t>,</w:t>
      </w:r>
      <w:r w:rsidR="009003D9">
        <w:rPr>
          <w:color w:val="auto"/>
          <w:lang w:val="en-US"/>
        </w:rPr>
        <w:t>227</w:t>
      </w:r>
      <w:r w:rsidR="00572615">
        <w:rPr>
          <w:color w:val="auto"/>
          <w:lang w:val="en-US"/>
        </w:rPr>
        <w:t>)</w:t>
      </w:r>
      <w:r w:rsidR="00FF1FA8">
        <w:rPr>
          <w:color w:val="auto"/>
          <w:lang w:val="en-US"/>
        </w:rPr>
        <w:t xml:space="preserve">. </w:t>
      </w:r>
      <w:r w:rsidR="008E5580">
        <w:rPr>
          <w:color w:val="auto"/>
          <w:lang w:val="en-US"/>
        </w:rPr>
        <w:t>The pay multiple of 1.</w:t>
      </w:r>
      <w:r w:rsidR="00684D46">
        <w:rPr>
          <w:color w:val="auto"/>
          <w:lang w:val="en-US"/>
        </w:rPr>
        <w:t>58</w:t>
      </w:r>
      <w:r w:rsidR="008E5580">
        <w:rPr>
          <w:color w:val="auto"/>
          <w:lang w:val="en-US"/>
        </w:rPr>
        <w:t xml:space="preserve"> was almost the same as the 1.9</w:t>
      </w:r>
      <w:r w:rsidR="009003D9">
        <w:rPr>
          <w:color w:val="auto"/>
          <w:lang w:val="en-US"/>
        </w:rPr>
        <w:t>5</w:t>
      </w:r>
      <w:r w:rsidR="008E5580">
        <w:rPr>
          <w:color w:val="auto"/>
          <w:lang w:val="en-US"/>
        </w:rPr>
        <w:t xml:space="preserve"> in the year ended 31 March 202</w:t>
      </w:r>
      <w:r w:rsidR="009003D9">
        <w:rPr>
          <w:color w:val="auto"/>
          <w:lang w:val="en-US"/>
        </w:rPr>
        <w:t>3</w:t>
      </w:r>
      <w:r w:rsidR="008E5580">
        <w:rPr>
          <w:color w:val="auto"/>
          <w:lang w:val="en-US"/>
        </w:rPr>
        <w:t>.  The reason for this is that the changes in pay in the NICS arrangements and the Commission were in keeping with one another and the profile of staff has remained largely consistent with the previous year.</w:t>
      </w:r>
    </w:p>
    <w:p w14:paraId="51D5CC8F" w14:textId="77777777" w:rsidR="006D4EB9" w:rsidRDefault="006D4EB9" w:rsidP="000C2A54">
      <w:pPr>
        <w:rPr>
          <w:color w:val="auto"/>
          <w:lang w:val="en-US"/>
        </w:rPr>
      </w:pPr>
    </w:p>
    <w:p w14:paraId="6602E3B1" w14:textId="1D6F9E98" w:rsidR="00F618FC" w:rsidRDefault="008E5580" w:rsidP="000C2A54">
      <w:pPr>
        <w:rPr>
          <w:color w:val="auto"/>
          <w:lang w:val="en-US"/>
        </w:rPr>
      </w:pPr>
      <w:r>
        <w:rPr>
          <w:color w:val="auto"/>
          <w:lang w:val="en-US"/>
        </w:rPr>
        <w:t>Staff in the Commission hold a range of posts.  The level of remuneration varies according to the post that is held.  The range of r</w:t>
      </w:r>
      <w:r w:rsidR="006D4EB9">
        <w:rPr>
          <w:color w:val="auto"/>
          <w:lang w:val="en-US"/>
        </w:rPr>
        <w:t>emuneration</w:t>
      </w:r>
      <w:r>
        <w:rPr>
          <w:color w:val="auto"/>
          <w:lang w:val="en-US"/>
        </w:rPr>
        <w:t xml:space="preserve"> on a </w:t>
      </w:r>
      <w:proofErr w:type="gramStart"/>
      <w:r>
        <w:rPr>
          <w:color w:val="auto"/>
          <w:lang w:val="en-US"/>
        </w:rPr>
        <w:t>full time</w:t>
      </w:r>
      <w:proofErr w:type="gramEnd"/>
      <w:r>
        <w:rPr>
          <w:color w:val="auto"/>
          <w:lang w:val="en-US"/>
        </w:rPr>
        <w:t xml:space="preserve"> equivalent basis within the Commission is</w:t>
      </w:r>
      <w:r w:rsidR="0040697A">
        <w:rPr>
          <w:color w:val="auto"/>
          <w:lang w:val="en-US"/>
        </w:rPr>
        <w:t xml:space="preserve"> £2</w:t>
      </w:r>
      <w:r w:rsidR="007F7A27">
        <w:rPr>
          <w:color w:val="auto"/>
          <w:lang w:val="en-US"/>
        </w:rPr>
        <w:t>4</w:t>
      </w:r>
      <w:r w:rsidR="0040697A">
        <w:rPr>
          <w:color w:val="auto"/>
          <w:lang w:val="en-US"/>
        </w:rPr>
        <w:t>,000</w:t>
      </w:r>
      <w:r w:rsidR="00A054D0">
        <w:rPr>
          <w:color w:val="auto"/>
          <w:lang w:val="en-US"/>
        </w:rPr>
        <w:t>-£8</w:t>
      </w:r>
      <w:r w:rsidR="007F7A27">
        <w:rPr>
          <w:color w:val="auto"/>
          <w:lang w:val="en-US"/>
        </w:rPr>
        <w:t>8</w:t>
      </w:r>
      <w:r w:rsidR="0040697A">
        <w:rPr>
          <w:color w:val="auto"/>
          <w:lang w:val="en-US"/>
        </w:rPr>
        <w:t>,000</w:t>
      </w:r>
      <w:r w:rsidR="003404D0">
        <w:rPr>
          <w:color w:val="auto"/>
          <w:lang w:val="en-US"/>
        </w:rPr>
        <w:t xml:space="preserve"> </w:t>
      </w:r>
      <w:r w:rsidR="00C0695B">
        <w:rPr>
          <w:color w:val="auto"/>
          <w:lang w:val="en-US"/>
        </w:rPr>
        <w:t>(202</w:t>
      </w:r>
      <w:r w:rsidR="007F7A27">
        <w:rPr>
          <w:color w:val="auto"/>
          <w:lang w:val="en-US"/>
        </w:rPr>
        <w:t>2</w:t>
      </w:r>
      <w:r w:rsidR="00C0695B">
        <w:rPr>
          <w:color w:val="auto"/>
          <w:lang w:val="en-US"/>
        </w:rPr>
        <w:t>-2</w:t>
      </w:r>
      <w:r w:rsidR="007F7A27">
        <w:rPr>
          <w:color w:val="auto"/>
          <w:lang w:val="en-US"/>
        </w:rPr>
        <w:t>3</w:t>
      </w:r>
      <w:r w:rsidR="00C0695B">
        <w:rPr>
          <w:color w:val="auto"/>
          <w:lang w:val="en-US"/>
        </w:rPr>
        <w:t xml:space="preserve">: </w:t>
      </w:r>
      <w:r w:rsidR="00804A8F">
        <w:rPr>
          <w:color w:val="auto"/>
          <w:lang w:val="en-US"/>
        </w:rPr>
        <w:t>£2</w:t>
      </w:r>
      <w:r w:rsidR="007F7A27">
        <w:rPr>
          <w:color w:val="auto"/>
          <w:lang w:val="en-US"/>
        </w:rPr>
        <w:t>3</w:t>
      </w:r>
      <w:r w:rsidR="00804A8F">
        <w:rPr>
          <w:color w:val="auto"/>
          <w:lang w:val="en-US"/>
        </w:rPr>
        <w:t>,000</w:t>
      </w:r>
      <w:r w:rsidR="00A054D0">
        <w:rPr>
          <w:color w:val="auto"/>
          <w:lang w:val="en-US"/>
        </w:rPr>
        <w:t>-</w:t>
      </w:r>
      <w:r w:rsidR="0040697A">
        <w:rPr>
          <w:color w:val="auto"/>
          <w:lang w:val="en-US"/>
        </w:rPr>
        <w:t>£</w:t>
      </w:r>
      <w:r w:rsidR="00196F98">
        <w:rPr>
          <w:color w:val="auto"/>
          <w:lang w:val="en-US"/>
        </w:rPr>
        <w:t>8</w:t>
      </w:r>
      <w:r w:rsidR="007F7A27">
        <w:rPr>
          <w:color w:val="auto"/>
          <w:lang w:val="en-US"/>
        </w:rPr>
        <w:t>2</w:t>
      </w:r>
      <w:r w:rsidR="0040697A">
        <w:rPr>
          <w:color w:val="auto"/>
          <w:lang w:val="en-US"/>
        </w:rPr>
        <w:t>,000</w:t>
      </w:r>
      <w:r w:rsidR="00804A8F">
        <w:rPr>
          <w:color w:val="auto"/>
          <w:lang w:val="en-US"/>
        </w:rPr>
        <w:t>)</w:t>
      </w:r>
      <w:r w:rsidR="006D4EB9">
        <w:rPr>
          <w:color w:val="auto"/>
          <w:lang w:val="en-US"/>
        </w:rPr>
        <w:t>.</w:t>
      </w:r>
    </w:p>
    <w:p w14:paraId="50582992" w14:textId="77777777" w:rsidR="00F46CF5" w:rsidRDefault="00F46CF5" w:rsidP="000C2A54">
      <w:pPr>
        <w:rPr>
          <w:color w:val="auto"/>
          <w:lang w:val="en-US"/>
        </w:rPr>
      </w:pPr>
    </w:p>
    <w:p w14:paraId="45D0C30C" w14:textId="5AA1FC5B" w:rsidR="00F618FC" w:rsidRDefault="00F618FC" w:rsidP="000C2A54">
      <w:pPr>
        <w:rPr>
          <w:color w:val="auto"/>
          <w:lang w:val="en-US"/>
        </w:rPr>
      </w:pPr>
      <w:r>
        <w:rPr>
          <w:color w:val="auto"/>
          <w:lang w:val="en-US"/>
        </w:rPr>
        <w:t xml:space="preserve">The percentage change </w:t>
      </w:r>
      <w:r w:rsidR="00D455AF">
        <w:rPr>
          <w:color w:val="auto"/>
          <w:lang w:val="en-US"/>
        </w:rPr>
        <w:t xml:space="preserve">from the previous financial year in respect of </w:t>
      </w:r>
      <w:r>
        <w:rPr>
          <w:color w:val="auto"/>
          <w:lang w:val="en-US"/>
        </w:rPr>
        <w:t xml:space="preserve">the highest paid director’s salary was </w:t>
      </w:r>
      <w:r w:rsidR="00874636">
        <w:rPr>
          <w:color w:val="auto"/>
          <w:lang w:val="en-US"/>
        </w:rPr>
        <w:t>6.97</w:t>
      </w:r>
      <w:r w:rsidR="005B20B7">
        <w:rPr>
          <w:color w:val="auto"/>
          <w:lang w:val="en-US"/>
        </w:rPr>
        <w:t xml:space="preserve"> per cent.</w:t>
      </w:r>
      <w:r w:rsidR="00DB0B31">
        <w:rPr>
          <w:color w:val="auto"/>
          <w:lang w:val="en-US"/>
        </w:rPr>
        <w:t xml:space="preserve"> </w:t>
      </w:r>
      <w:r w:rsidR="00EC2157">
        <w:rPr>
          <w:color w:val="auto"/>
          <w:lang w:val="en-US"/>
        </w:rPr>
        <w:t xml:space="preserve"> </w:t>
      </w:r>
      <w:r w:rsidR="00D455AF">
        <w:rPr>
          <w:color w:val="auto"/>
          <w:lang w:val="en-US"/>
        </w:rPr>
        <w:t xml:space="preserve">The average percentage change from the previous financial year in respect of the </w:t>
      </w:r>
      <w:r w:rsidR="00751592">
        <w:rPr>
          <w:color w:val="auto"/>
          <w:lang w:val="en-US"/>
        </w:rPr>
        <w:t>employees of the organi</w:t>
      </w:r>
      <w:r w:rsidR="0086754F">
        <w:rPr>
          <w:color w:val="auto"/>
          <w:lang w:val="en-US"/>
        </w:rPr>
        <w:t>s</w:t>
      </w:r>
      <w:r w:rsidR="00751592">
        <w:rPr>
          <w:color w:val="auto"/>
          <w:lang w:val="en-US"/>
        </w:rPr>
        <w:t xml:space="preserve">ation </w:t>
      </w:r>
      <w:proofErr w:type="gramStart"/>
      <w:r w:rsidR="00751592">
        <w:rPr>
          <w:color w:val="auto"/>
          <w:lang w:val="en-US"/>
        </w:rPr>
        <w:t>as a whole</w:t>
      </w:r>
      <w:r w:rsidR="00D455AF">
        <w:rPr>
          <w:color w:val="auto"/>
          <w:lang w:val="en-US"/>
        </w:rPr>
        <w:t xml:space="preserve"> was</w:t>
      </w:r>
      <w:proofErr w:type="gramEnd"/>
      <w:r w:rsidR="00D455AF">
        <w:rPr>
          <w:color w:val="auto"/>
          <w:lang w:val="en-US"/>
        </w:rPr>
        <w:t xml:space="preserve"> </w:t>
      </w:r>
      <w:r w:rsidR="00BE5012">
        <w:rPr>
          <w:color w:val="auto"/>
          <w:lang w:val="en-US"/>
        </w:rPr>
        <w:t>5.</w:t>
      </w:r>
      <w:r w:rsidR="0094468A">
        <w:rPr>
          <w:color w:val="auto"/>
          <w:lang w:val="en-US"/>
        </w:rPr>
        <w:t>62</w:t>
      </w:r>
      <w:r w:rsidR="00D455AF">
        <w:rPr>
          <w:color w:val="auto"/>
          <w:lang w:val="en-US"/>
        </w:rPr>
        <w:t xml:space="preserve"> per cent.  </w:t>
      </w:r>
      <w:r w:rsidR="00EC2157">
        <w:rPr>
          <w:color w:val="auto"/>
          <w:lang w:val="en-US"/>
        </w:rPr>
        <w:t xml:space="preserve">There was no performance pay and bonuses payable </w:t>
      </w:r>
      <w:r w:rsidR="00460FDF">
        <w:rPr>
          <w:color w:val="auto"/>
          <w:lang w:val="en-US"/>
        </w:rPr>
        <w:t>in 202</w:t>
      </w:r>
      <w:r w:rsidR="00BE5012">
        <w:rPr>
          <w:color w:val="auto"/>
          <w:lang w:val="en-US"/>
        </w:rPr>
        <w:t>3</w:t>
      </w:r>
      <w:r w:rsidR="00460FDF">
        <w:rPr>
          <w:color w:val="auto"/>
          <w:lang w:val="en-US"/>
        </w:rPr>
        <w:t>-2</w:t>
      </w:r>
      <w:r w:rsidR="00BE5012">
        <w:rPr>
          <w:color w:val="auto"/>
          <w:lang w:val="en-US"/>
        </w:rPr>
        <w:t>4</w:t>
      </w:r>
      <w:r w:rsidR="00460FDF">
        <w:rPr>
          <w:color w:val="auto"/>
          <w:lang w:val="en-US"/>
        </w:rPr>
        <w:t xml:space="preserve"> (202</w:t>
      </w:r>
      <w:r w:rsidR="00BE5012">
        <w:rPr>
          <w:color w:val="auto"/>
          <w:lang w:val="en-US"/>
        </w:rPr>
        <w:t>2</w:t>
      </w:r>
      <w:r w:rsidR="00460FDF">
        <w:rPr>
          <w:color w:val="auto"/>
          <w:lang w:val="en-US"/>
        </w:rPr>
        <w:t>-2</w:t>
      </w:r>
      <w:r w:rsidR="00BE5012">
        <w:rPr>
          <w:color w:val="auto"/>
          <w:lang w:val="en-US"/>
        </w:rPr>
        <w:t>3</w:t>
      </w:r>
      <w:r w:rsidR="00460FDF">
        <w:rPr>
          <w:color w:val="auto"/>
          <w:lang w:val="en-US"/>
        </w:rPr>
        <w:t>: £nil).</w:t>
      </w:r>
      <w:r w:rsidR="00DB0B31">
        <w:rPr>
          <w:color w:val="auto"/>
          <w:lang w:val="en-US"/>
        </w:rPr>
        <w:t xml:space="preserve"> </w:t>
      </w:r>
    </w:p>
    <w:p w14:paraId="2BDD2B9B" w14:textId="303F6E67" w:rsidR="008C2357" w:rsidRDefault="008C2357" w:rsidP="000C2A54">
      <w:pPr>
        <w:rPr>
          <w:color w:val="auto"/>
          <w:lang w:val="en-US"/>
        </w:rPr>
      </w:pPr>
    </w:p>
    <w:p w14:paraId="0C7B29E8" w14:textId="7150EC03" w:rsidR="008C2357" w:rsidRDefault="008C2357" w:rsidP="000C2A54">
      <w:pPr>
        <w:rPr>
          <w:color w:val="auto"/>
          <w:lang w:val="en-US"/>
        </w:rPr>
      </w:pPr>
      <w:r w:rsidRPr="00BF7C54">
        <w:rPr>
          <w:color w:val="auto"/>
          <w:lang w:val="en-US"/>
        </w:rPr>
        <w:t>The ratio between the highest paid director</w:t>
      </w:r>
      <w:r w:rsidR="00CF7F78" w:rsidRPr="00BF7C54">
        <w:rPr>
          <w:color w:val="auto"/>
          <w:lang w:val="en-US"/>
        </w:rPr>
        <w:t xml:space="preserve">’s remuneration </w:t>
      </w:r>
      <w:r w:rsidR="00952D79" w:rsidRPr="00BF7C54">
        <w:rPr>
          <w:color w:val="auto"/>
          <w:lang w:val="en-US"/>
        </w:rPr>
        <w:t>and the pay of the employee on the 25</w:t>
      </w:r>
      <w:r w:rsidR="00952D79" w:rsidRPr="00BF7C54">
        <w:rPr>
          <w:color w:val="auto"/>
          <w:vertAlign w:val="superscript"/>
          <w:lang w:val="en-US"/>
        </w:rPr>
        <w:t>th</w:t>
      </w:r>
      <w:r w:rsidR="00952D79" w:rsidRPr="00BF7C54">
        <w:rPr>
          <w:color w:val="auto"/>
          <w:lang w:val="en-US"/>
        </w:rPr>
        <w:t xml:space="preserve"> percentile of pay of the </w:t>
      </w:r>
      <w:proofErr w:type="spellStart"/>
      <w:r w:rsidR="00952D79" w:rsidRPr="00BF7C54">
        <w:rPr>
          <w:color w:val="auto"/>
          <w:lang w:val="en-US"/>
        </w:rPr>
        <w:t>organisation’s</w:t>
      </w:r>
      <w:proofErr w:type="spellEnd"/>
      <w:r w:rsidR="00952D79" w:rsidRPr="00BF7C54">
        <w:rPr>
          <w:color w:val="auto"/>
          <w:lang w:val="en-US"/>
        </w:rPr>
        <w:t xml:space="preserve"> employees for the financial year was</w:t>
      </w:r>
      <w:r w:rsidR="002774EB" w:rsidRPr="00BF7C54">
        <w:rPr>
          <w:color w:val="auto"/>
          <w:lang w:val="en-US"/>
        </w:rPr>
        <w:t xml:space="preserve"> </w:t>
      </w:r>
      <w:r w:rsidR="00572615" w:rsidRPr="00BF7C54">
        <w:rPr>
          <w:color w:val="auto"/>
          <w:lang w:val="en-US"/>
        </w:rPr>
        <w:t>2.</w:t>
      </w:r>
      <w:r w:rsidR="000A53B8">
        <w:rPr>
          <w:color w:val="auto"/>
          <w:lang w:val="en-US"/>
        </w:rPr>
        <w:t>5</w:t>
      </w:r>
      <w:r w:rsidR="00636C50">
        <w:rPr>
          <w:color w:val="auto"/>
          <w:lang w:val="en-US"/>
        </w:rPr>
        <w:t>3</w:t>
      </w:r>
      <w:r w:rsidR="002774EB" w:rsidRPr="00BF7C54">
        <w:rPr>
          <w:color w:val="auto"/>
          <w:lang w:val="en-US"/>
        </w:rPr>
        <w:t>:</w:t>
      </w:r>
      <w:r w:rsidR="00301976" w:rsidRPr="00BF7C54">
        <w:rPr>
          <w:color w:val="auto"/>
          <w:lang w:val="en-US"/>
        </w:rPr>
        <w:t>1 (202</w:t>
      </w:r>
      <w:r w:rsidR="002A2875">
        <w:rPr>
          <w:color w:val="auto"/>
          <w:lang w:val="en-US"/>
        </w:rPr>
        <w:t>2</w:t>
      </w:r>
      <w:r w:rsidR="00301976" w:rsidRPr="00BF7C54">
        <w:rPr>
          <w:color w:val="auto"/>
          <w:lang w:val="en-US"/>
        </w:rPr>
        <w:t>-2</w:t>
      </w:r>
      <w:r w:rsidR="002A2875">
        <w:rPr>
          <w:color w:val="auto"/>
          <w:lang w:val="en-US"/>
        </w:rPr>
        <w:t>3</w:t>
      </w:r>
      <w:r w:rsidR="00301976" w:rsidRPr="00BF7C54">
        <w:rPr>
          <w:color w:val="auto"/>
          <w:lang w:val="en-US"/>
        </w:rPr>
        <w:t xml:space="preserve">: </w:t>
      </w:r>
      <w:r w:rsidR="00FA395A" w:rsidRPr="00BF7C54">
        <w:rPr>
          <w:color w:val="auto"/>
          <w:lang w:val="en-US"/>
        </w:rPr>
        <w:t>2.</w:t>
      </w:r>
      <w:r w:rsidR="002A2875">
        <w:rPr>
          <w:color w:val="auto"/>
          <w:lang w:val="en-US"/>
        </w:rPr>
        <w:t>51</w:t>
      </w:r>
      <w:r w:rsidR="00301976" w:rsidRPr="00BF7C54">
        <w:rPr>
          <w:color w:val="auto"/>
          <w:lang w:val="en-US"/>
        </w:rPr>
        <w:t>:1)</w:t>
      </w:r>
      <w:r w:rsidR="005F342F" w:rsidRPr="00BF7C54">
        <w:rPr>
          <w:color w:val="auto"/>
          <w:lang w:val="en-US"/>
        </w:rPr>
        <w:t>.  The ratio between the highest paid director’s remuneration and the pay and benefits of the employee on the 75</w:t>
      </w:r>
      <w:r w:rsidR="005F342F" w:rsidRPr="00BF7C54">
        <w:rPr>
          <w:color w:val="auto"/>
          <w:vertAlign w:val="superscript"/>
          <w:lang w:val="en-US"/>
        </w:rPr>
        <w:t>th</w:t>
      </w:r>
      <w:r w:rsidR="005F342F" w:rsidRPr="00BF7C54">
        <w:rPr>
          <w:color w:val="auto"/>
          <w:lang w:val="en-US"/>
        </w:rPr>
        <w:t xml:space="preserve"> percentile of pay of the </w:t>
      </w:r>
      <w:proofErr w:type="spellStart"/>
      <w:r w:rsidR="005F342F" w:rsidRPr="00BF7C54">
        <w:rPr>
          <w:color w:val="auto"/>
          <w:lang w:val="en-US"/>
        </w:rPr>
        <w:t>organisation’s</w:t>
      </w:r>
      <w:proofErr w:type="spellEnd"/>
      <w:r w:rsidR="005F342F" w:rsidRPr="00BF7C54">
        <w:rPr>
          <w:color w:val="auto"/>
          <w:lang w:val="en-US"/>
        </w:rPr>
        <w:t xml:space="preserve"> employees for the financial year was </w:t>
      </w:r>
      <w:r w:rsidR="00FA395A" w:rsidRPr="00BF7C54">
        <w:rPr>
          <w:color w:val="auto"/>
          <w:lang w:val="en-US"/>
        </w:rPr>
        <w:t>1.</w:t>
      </w:r>
      <w:r w:rsidR="00196F98" w:rsidRPr="00BF7C54">
        <w:rPr>
          <w:color w:val="auto"/>
          <w:lang w:val="en-US"/>
        </w:rPr>
        <w:t>5</w:t>
      </w:r>
      <w:r w:rsidR="002A2875">
        <w:rPr>
          <w:color w:val="auto"/>
          <w:lang w:val="en-US"/>
        </w:rPr>
        <w:t>1</w:t>
      </w:r>
      <w:r w:rsidR="002774EB" w:rsidRPr="00BF7C54">
        <w:rPr>
          <w:color w:val="auto"/>
          <w:lang w:val="en-US"/>
        </w:rPr>
        <w:t>:</w:t>
      </w:r>
      <w:r w:rsidR="005F342F" w:rsidRPr="00BF7C54">
        <w:rPr>
          <w:color w:val="auto"/>
          <w:lang w:val="en-US"/>
        </w:rPr>
        <w:t>1 (202</w:t>
      </w:r>
      <w:r w:rsidR="002A2875">
        <w:rPr>
          <w:color w:val="auto"/>
          <w:lang w:val="en-US"/>
        </w:rPr>
        <w:t>2</w:t>
      </w:r>
      <w:r w:rsidR="005F342F" w:rsidRPr="00BF7C54">
        <w:rPr>
          <w:color w:val="auto"/>
          <w:lang w:val="en-US"/>
        </w:rPr>
        <w:t>-2</w:t>
      </w:r>
      <w:r w:rsidR="002A2875">
        <w:rPr>
          <w:color w:val="auto"/>
          <w:lang w:val="en-US"/>
        </w:rPr>
        <w:t>3</w:t>
      </w:r>
      <w:r w:rsidR="005F342F" w:rsidRPr="00BF7C54">
        <w:rPr>
          <w:color w:val="auto"/>
          <w:lang w:val="en-US"/>
        </w:rPr>
        <w:t xml:space="preserve">: </w:t>
      </w:r>
      <w:r w:rsidR="00FA395A" w:rsidRPr="00BF7C54">
        <w:rPr>
          <w:color w:val="auto"/>
          <w:lang w:val="en-US"/>
        </w:rPr>
        <w:t>1.</w:t>
      </w:r>
      <w:r w:rsidR="002A2875">
        <w:rPr>
          <w:color w:val="auto"/>
          <w:lang w:val="en-US"/>
        </w:rPr>
        <w:t>53</w:t>
      </w:r>
      <w:r w:rsidR="005F342F" w:rsidRPr="00BF7C54">
        <w:rPr>
          <w:color w:val="auto"/>
          <w:lang w:val="en-US"/>
        </w:rPr>
        <w:t>:1)</w:t>
      </w:r>
      <w:r w:rsidR="006A16F8" w:rsidRPr="00BF7C54">
        <w:rPr>
          <w:color w:val="auto"/>
          <w:lang w:val="en-US"/>
        </w:rPr>
        <w:t>.  The lower quartile remuneration (representing the 25</w:t>
      </w:r>
      <w:r w:rsidR="006A16F8" w:rsidRPr="00BF7C54">
        <w:rPr>
          <w:color w:val="auto"/>
          <w:vertAlign w:val="superscript"/>
          <w:lang w:val="en-US"/>
        </w:rPr>
        <w:t>th</w:t>
      </w:r>
      <w:r w:rsidR="006A16F8" w:rsidRPr="00BF7C54">
        <w:rPr>
          <w:color w:val="auto"/>
          <w:lang w:val="en-US"/>
        </w:rPr>
        <w:t xml:space="preserve"> percentile of the linear distribution) was £</w:t>
      </w:r>
      <w:r w:rsidR="00FA395A" w:rsidRPr="00BF7C54">
        <w:rPr>
          <w:color w:val="auto"/>
          <w:lang w:val="en-US"/>
        </w:rPr>
        <w:t>3</w:t>
      </w:r>
      <w:r w:rsidR="000A53B8">
        <w:rPr>
          <w:color w:val="auto"/>
          <w:lang w:val="en-US"/>
        </w:rPr>
        <w:t>4</w:t>
      </w:r>
      <w:r w:rsidR="00FA395A" w:rsidRPr="00BF7C54">
        <w:rPr>
          <w:color w:val="auto"/>
          <w:lang w:val="en-US"/>
        </w:rPr>
        <w:t>,</w:t>
      </w:r>
      <w:r w:rsidR="000A53B8">
        <w:rPr>
          <w:color w:val="auto"/>
          <w:lang w:val="en-US"/>
        </w:rPr>
        <w:t>524</w:t>
      </w:r>
      <w:r w:rsidR="003F655A" w:rsidRPr="00BF7C54">
        <w:rPr>
          <w:color w:val="auto"/>
          <w:lang w:val="en-US"/>
        </w:rPr>
        <w:t xml:space="preserve"> </w:t>
      </w:r>
      <w:r w:rsidR="00196F98" w:rsidRPr="00BF7C54">
        <w:rPr>
          <w:color w:val="auto"/>
          <w:lang w:val="en-US"/>
        </w:rPr>
        <w:t>(202</w:t>
      </w:r>
      <w:r w:rsidR="002A2875">
        <w:rPr>
          <w:color w:val="auto"/>
          <w:lang w:val="en-US"/>
        </w:rPr>
        <w:t>2</w:t>
      </w:r>
      <w:r w:rsidR="00196F98" w:rsidRPr="00BF7C54">
        <w:rPr>
          <w:color w:val="auto"/>
          <w:lang w:val="en-US"/>
        </w:rPr>
        <w:t>-2</w:t>
      </w:r>
      <w:r w:rsidR="002A2875">
        <w:rPr>
          <w:color w:val="auto"/>
          <w:lang w:val="en-US"/>
        </w:rPr>
        <w:t>3</w:t>
      </w:r>
      <w:r w:rsidR="00196F98" w:rsidRPr="00BF7C54">
        <w:rPr>
          <w:color w:val="auto"/>
          <w:lang w:val="en-US"/>
        </w:rPr>
        <w:t xml:space="preserve"> £</w:t>
      </w:r>
      <w:r w:rsidR="00DC043C" w:rsidRPr="00BF7C54">
        <w:rPr>
          <w:color w:val="auto"/>
          <w:lang w:val="en-US"/>
        </w:rPr>
        <w:t>32,</w:t>
      </w:r>
      <w:r w:rsidR="002A2875">
        <w:rPr>
          <w:color w:val="auto"/>
          <w:lang w:val="en-US"/>
        </w:rPr>
        <w:t>880</w:t>
      </w:r>
      <w:r w:rsidR="00DC043C" w:rsidRPr="00BF7C54">
        <w:rPr>
          <w:color w:val="auto"/>
          <w:lang w:val="en-US"/>
        </w:rPr>
        <w:t xml:space="preserve">) </w:t>
      </w:r>
      <w:r w:rsidR="006C1168" w:rsidRPr="00BF7C54">
        <w:rPr>
          <w:color w:val="auto"/>
          <w:lang w:val="en-US"/>
        </w:rPr>
        <w:t xml:space="preserve">(salary component) </w:t>
      </w:r>
      <w:r w:rsidR="003F655A" w:rsidRPr="00BF7C54">
        <w:rPr>
          <w:color w:val="auto"/>
          <w:lang w:val="en-US"/>
        </w:rPr>
        <w:t>and the upper quartile remuneration (representing the 75th percentile of the linear distribution) was £</w:t>
      </w:r>
      <w:r w:rsidR="00FA395A" w:rsidRPr="00BF7C54">
        <w:rPr>
          <w:color w:val="auto"/>
          <w:lang w:val="en-US"/>
        </w:rPr>
        <w:t>5</w:t>
      </w:r>
      <w:r w:rsidR="003A1C8B">
        <w:rPr>
          <w:color w:val="auto"/>
          <w:lang w:val="en-US"/>
        </w:rPr>
        <w:t>8</w:t>
      </w:r>
      <w:r w:rsidR="00196F98" w:rsidRPr="00BF7C54">
        <w:rPr>
          <w:color w:val="auto"/>
          <w:lang w:val="en-US"/>
        </w:rPr>
        <w:t>,</w:t>
      </w:r>
      <w:r w:rsidR="003A1C8B">
        <w:rPr>
          <w:color w:val="auto"/>
          <w:lang w:val="en-US"/>
        </w:rPr>
        <w:t>089</w:t>
      </w:r>
      <w:r w:rsidR="006C1168" w:rsidRPr="00BF7C54">
        <w:rPr>
          <w:color w:val="auto"/>
          <w:lang w:val="en-US"/>
        </w:rPr>
        <w:t xml:space="preserve"> </w:t>
      </w:r>
      <w:r w:rsidR="00DC043C" w:rsidRPr="00BF7C54">
        <w:rPr>
          <w:color w:val="auto"/>
          <w:lang w:val="en-US"/>
        </w:rPr>
        <w:t>(202</w:t>
      </w:r>
      <w:r w:rsidR="003A1C8B">
        <w:rPr>
          <w:color w:val="auto"/>
          <w:lang w:val="en-US"/>
        </w:rPr>
        <w:t>2</w:t>
      </w:r>
      <w:r w:rsidR="00DC043C" w:rsidRPr="00BF7C54">
        <w:rPr>
          <w:color w:val="auto"/>
          <w:lang w:val="en-US"/>
        </w:rPr>
        <w:t>-2</w:t>
      </w:r>
      <w:r w:rsidR="003A1C8B">
        <w:rPr>
          <w:color w:val="auto"/>
          <w:lang w:val="en-US"/>
        </w:rPr>
        <w:t>3</w:t>
      </w:r>
      <w:r w:rsidR="00DC043C" w:rsidRPr="00BF7C54">
        <w:rPr>
          <w:color w:val="auto"/>
          <w:lang w:val="en-US"/>
        </w:rPr>
        <w:t xml:space="preserve"> £5</w:t>
      </w:r>
      <w:r w:rsidR="003A1C8B">
        <w:rPr>
          <w:color w:val="auto"/>
          <w:lang w:val="en-US"/>
        </w:rPr>
        <w:t>3</w:t>
      </w:r>
      <w:r w:rsidR="00DC043C" w:rsidRPr="00BF7C54">
        <w:rPr>
          <w:color w:val="auto"/>
          <w:lang w:val="en-US"/>
        </w:rPr>
        <w:t>,</w:t>
      </w:r>
      <w:r w:rsidR="003A1C8B">
        <w:rPr>
          <w:color w:val="auto"/>
          <w:lang w:val="en-US"/>
        </w:rPr>
        <w:t>797</w:t>
      </w:r>
      <w:r w:rsidR="00DC043C" w:rsidRPr="00BF7C54">
        <w:rPr>
          <w:color w:val="auto"/>
          <w:lang w:val="en-US"/>
        </w:rPr>
        <w:t xml:space="preserve">) </w:t>
      </w:r>
      <w:r w:rsidR="006C1168" w:rsidRPr="00BF7C54">
        <w:rPr>
          <w:color w:val="auto"/>
          <w:lang w:val="en-US"/>
        </w:rPr>
        <w:t>(salary component)</w:t>
      </w:r>
      <w:r w:rsidR="00793D52" w:rsidRPr="00BF7C54">
        <w:rPr>
          <w:color w:val="auto"/>
          <w:lang w:val="en-US"/>
        </w:rPr>
        <w:t>.</w:t>
      </w:r>
    </w:p>
    <w:p w14:paraId="5D31450F" w14:textId="77777777" w:rsidR="000C2A54" w:rsidRPr="005B72C1" w:rsidRDefault="000C2A54" w:rsidP="000C2A54">
      <w:pPr>
        <w:rPr>
          <w:color w:val="auto"/>
          <w:lang w:val="en-US"/>
        </w:rPr>
      </w:pPr>
    </w:p>
    <w:p w14:paraId="463327D1" w14:textId="6589A714" w:rsidR="000C2A54" w:rsidRDefault="000C2A54" w:rsidP="000C2A54">
      <w:pPr>
        <w:rPr>
          <w:color w:val="auto"/>
          <w:lang w:val="en-US"/>
        </w:rPr>
      </w:pPr>
      <w:r w:rsidRPr="005B72C1">
        <w:rPr>
          <w:color w:val="auto"/>
          <w:lang w:val="en-US"/>
        </w:rPr>
        <w:t>Total remuneration includes salary, non-consol</w:t>
      </w:r>
      <w:r w:rsidR="00CD2C51">
        <w:rPr>
          <w:color w:val="auto"/>
          <w:lang w:val="en-US"/>
        </w:rPr>
        <w:t xml:space="preserve">idated performance-related pay and </w:t>
      </w:r>
      <w:r w:rsidRPr="005B72C1">
        <w:rPr>
          <w:color w:val="auto"/>
          <w:lang w:val="en-US"/>
        </w:rPr>
        <w:t>benefits in kind</w:t>
      </w:r>
      <w:r w:rsidR="00FF1FA8" w:rsidRPr="005B72C1">
        <w:rPr>
          <w:color w:val="auto"/>
          <w:lang w:val="en-US"/>
        </w:rPr>
        <w:t xml:space="preserve">. </w:t>
      </w:r>
      <w:r w:rsidRPr="005B72C1">
        <w:rPr>
          <w:color w:val="auto"/>
          <w:lang w:val="en-US"/>
        </w:rPr>
        <w:t>It does not include employer pension contributions and the cash equivalent transfer value of pensions.</w:t>
      </w:r>
    </w:p>
    <w:p w14:paraId="338B4ED3" w14:textId="77777777" w:rsidR="00BC2A47" w:rsidRPr="005B72C1" w:rsidRDefault="00BC2A47" w:rsidP="000C2A54">
      <w:pPr>
        <w:rPr>
          <w:color w:val="auto"/>
          <w:lang w:val="en-US"/>
        </w:rPr>
      </w:pPr>
    </w:p>
    <w:p w14:paraId="025BBC96" w14:textId="78FECDB2" w:rsidR="00731FD6" w:rsidRDefault="00731FD6" w:rsidP="000C2A54">
      <w:pPr>
        <w:rPr>
          <w:color w:val="auto"/>
          <w:lang w:val="en-US"/>
        </w:rPr>
      </w:pPr>
      <w:r w:rsidRPr="005B72C1">
        <w:rPr>
          <w:color w:val="auto"/>
          <w:lang w:val="en-US"/>
        </w:rPr>
        <w:t>The</w:t>
      </w:r>
      <w:r w:rsidR="003404D0">
        <w:rPr>
          <w:color w:val="auto"/>
          <w:lang w:val="en-US"/>
        </w:rPr>
        <w:t xml:space="preserve">re was no severance pay in </w:t>
      </w:r>
      <w:r w:rsidR="00C0695B">
        <w:rPr>
          <w:color w:val="auto"/>
          <w:lang w:val="en-US"/>
        </w:rPr>
        <w:t>202</w:t>
      </w:r>
      <w:r w:rsidR="00E93CDA">
        <w:rPr>
          <w:color w:val="auto"/>
          <w:lang w:val="en-US"/>
        </w:rPr>
        <w:t>3</w:t>
      </w:r>
      <w:r w:rsidR="00C0695B">
        <w:rPr>
          <w:color w:val="auto"/>
          <w:lang w:val="en-US"/>
        </w:rPr>
        <w:t>-2</w:t>
      </w:r>
      <w:r w:rsidR="00E93CDA">
        <w:rPr>
          <w:color w:val="auto"/>
          <w:lang w:val="en-US"/>
        </w:rPr>
        <w:t>4</w:t>
      </w:r>
      <w:r w:rsidR="00C0695B">
        <w:rPr>
          <w:color w:val="auto"/>
          <w:lang w:val="en-US"/>
        </w:rPr>
        <w:t xml:space="preserve"> (</w:t>
      </w:r>
      <w:r w:rsidR="003404D0">
        <w:rPr>
          <w:color w:val="auto"/>
          <w:lang w:val="en-US"/>
        </w:rPr>
        <w:t>20</w:t>
      </w:r>
      <w:r w:rsidR="00C34C15">
        <w:rPr>
          <w:color w:val="auto"/>
          <w:lang w:val="en-US"/>
        </w:rPr>
        <w:t>2</w:t>
      </w:r>
      <w:r w:rsidR="00E93CDA">
        <w:rPr>
          <w:color w:val="auto"/>
          <w:lang w:val="en-US"/>
        </w:rPr>
        <w:t>2</w:t>
      </w:r>
      <w:r w:rsidR="003404D0">
        <w:rPr>
          <w:color w:val="auto"/>
          <w:lang w:val="en-US"/>
        </w:rPr>
        <w:t>-2</w:t>
      </w:r>
      <w:r w:rsidR="00E93CDA">
        <w:rPr>
          <w:color w:val="auto"/>
          <w:lang w:val="en-US"/>
        </w:rPr>
        <w:t>3</w:t>
      </w:r>
      <w:r w:rsidR="00C0695B">
        <w:rPr>
          <w:color w:val="auto"/>
          <w:lang w:val="en-US"/>
        </w:rPr>
        <w:t>: £nil).</w:t>
      </w:r>
    </w:p>
    <w:p w14:paraId="145E885B" w14:textId="77777777" w:rsidR="00C34C15" w:rsidRDefault="00C34C15" w:rsidP="000C2A54">
      <w:pPr>
        <w:rPr>
          <w:color w:val="auto"/>
          <w:lang w:val="en-US"/>
        </w:rPr>
      </w:pPr>
    </w:p>
    <w:p w14:paraId="4696C0A0" w14:textId="77777777" w:rsidR="000C2A54" w:rsidRPr="006269AD" w:rsidRDefault="000C2A54" w:rsidP="000C2A54">
      <w:pPr>
        <w:pStyle w:val="Heading4"/>
        <w:spacing w:before="0" w:after="0"/>
        <w:rPr>
          <w:rFonts w:ascii="Verdana" w:hAnsi="Verdana"/>
          <w:b w:val="0"/>
          <w:sz w:val="24"/>
          <w:szCs w:val="24"/>
        </w:rPr>
      </w:pPr>
      <w:r w:rsidRPr="006269AD">
        <w:rPr>
          <w:rFonts w:ascii="Verdana" w:hAnsi="Verdana"/>
          <w:snapToGrid w:val="0"/>
          <w:sz w:val="24"/>
          <w:szCs w:val="24"/>
        </w:rPr>
        <w:t xml:space="preserve">Pension benefits </w:t>
      </w:r>
      <w:r w:rsidRPr="006269AD">
        <w:rPr>
          <w:rFonts w:ascii="Verdana" w:hAnsi="Verdana"/>
          <w:b w:val="0"/>
          <w:sz w:val="24"/>
          <w:szCs w:val="24"/>
        </w:rPr>
        <w:t>(audited information)</w:t>
      </w:r>
    </w:p>
    <w:p w14:paraId="2068A1AE" w14:textId="77777777" w:rsidR="000C2A54" w:rsidRPr="006269AD" w:rsidRDefault="000C2A54" w:rsidP="000C2A54">
      <w:pPr>
        <w:pStyle w:val="Heading4"/>
        <w:spacing w:before="0" w:after="0"/>
        <w:rPr>
          <w:rFonts w:ascii="Verdana" w:hAnsi="Verdana"/>
          <w:b w:val="0"/>
          <w:sz w:val="24"/>
          <w:szCs w:val="24"/>
        </w:rPr>
      </w:pPr>
    </w:p>
    <w:p w14:paraId="690F44BC" w14:textId="77777777" w:rsidR="000C2A54" w:rsidRPr="006269AD" w:rsidRDefault="000C2A54" w:rsidP="000C2A54">
      <w:pPr>
        <w:pStyle w:val="Heading4"/>
        <w:spacing w:before="0" w:after="0"/>
        <w:rPr>
          <w:rFonts w:ascii="Verdana" w:hAnsi="Verdana"/>
          <w:b w:val="0"/>
          <w:sz w:val="24"/>
          <w:szCs w:val="24"/>
          <w:u w:val="single"/>
        </w:rPr>
      </w:pPr>
      <w:r w:rsidRPr="006269AD">
        <w:rPr>
          <w:rFonts w:ascii="Verdana" w:hAnsi="Verdana"/>
          <w:b w:val="0"/>
          <w:sz w:val="24"/>
          <w:szCs w:val="24"/>
          <w:u w:val="single"/>
        </w:rPr>
        <w:t>Commissioners</w:t>
      </w:r>
    </w:p>
    <w:p w14:paraId="09CCC6CD" w14:textId="77777777" w:rsidR="000C2A54" w:rsidRPr="006269AD" w:rsidRDefault="000C2A54" w:rsidP="000C2A54">
      <w:pPr>
        <w:widowControl w:val="0"/>
        <w:tabs>
          <w:tab w:val="right" w:pos="5103"/>
          <w:tab w:val="right" w:pos="7371"/>
        </w:tabs>
        <w:autoSpaceDE w:val="0"/>
        <w:autoSpaceDN w:val="0"/>
        <w:adjustRightInd w:val="0"/>
      </w:pPr>
    </w:p>
    <w:p w14:paraId="0FF36C89" w14:textId="775ED7F4" w:rsidR="000C2A54" w:rsidRPr="00D80497" w:rsidRDefault="000C2A54" w:rsidP="000C2A54">
      <w:pPr>
        <w:widowControl w:val="0"/>
        <w:tabs>
          <w:tab w:val="right" w:pos="5103"/>
          <w:tab w:val="right" w:pos="7371"/>
        </w:tabs>
        <w:autoSpaceDE w:val="0"/>
        <w:autoSpaceDN w:val="0"/>
        <w:adjustRightInd w:val="0"/>
      </w:pPr>
      <w:r>
        <w:t>The Chief Commissioner is eligible to join the Principal Civil Service Pension Scheme and the Commission paid employer pension contributions of</w:t>
      </w:r>
      <w:r w:rsidR="0048363E">
        <w:t xml:space="preserve"> £2</w:t>
      </w:r>
      <w:r w:rsidR="00036A25">
        <w:t>4</w:t>
      </w:r>
      <w:r w:rsidR="0048363E">
        <w:t>,</w:t>
      </w:r>
      <w:r w:rsidR="001B25DA">
        <w:t>2</w:t>
      </w:r>
      <w:r w:rsidR="00D358C8">
        <w:t>05</w:t>
      </w:r>
      <w:r w:rsidR="0048363E">
        <w:t xml:space="preserve"> </w:t>
      </w:r>
      <w:r w:rsidR="00C0695B">
        <w:t>(202</w:t>
      </w:r>
      <w:r w:rsidR="00B01FDF">
        <w:t>2</w:t>
      </w:r>
      <w:r w:rsidR="00C0695B">
        <w:t>-2</w:t>
      </w:r>
      <w:r w:rsidR="00B01FDF">
        <w:t>3</w:t>
      </w:r>
      <w:r w:rsidR="00C0695B">
        <w:t>: £21,</w:t>
      </w:r>
      <w:r w:rsidR="00B01FDF">
        <w:t>288).</w:t>
      </w:r>
    </w:p>
    <w:p w14:paraId="089770E1" w14:textId="77777777" w:rsidR="000C2A54" w:rsidRPr="00D80497" w:rsidRDefault="000C2A54" w:rsidP="000C2A54">
      <w:pPr>
        <w:widowControl w:val="0"/>
        <w:tabs>
          <w:tab w:val="right" w:pos="5103"/>
          <w:tab w:val="right" w:pos="7371"/>
        </w:tabs>
        <w:autoSpaceDE w:val="0"/>
        <w:autoSpaceDN w:val="0"/>
        <w:adjustRightInd w:val="0"/>
      </w:pPr>
    </w:p>
    <w:p w14:paraId="34D2288D" w14:textId="0BD69D59" w:rsidR="000C2A54" w:rsidRPr="005B72C1" w:rsidRDefault="000C2A54" w:rsidP="000C2A54">
      <w:pPr>
        <w:widowControl w:val="0"/>
        <w:tabs>
          <w:tab w:val="right" w:pos="5103"/>
          <w:tab w:val="right" w:pos="7371"/>
        </w:tabs>
        <w:autoSpaceDE w:val="0"/>
        <w:autoSpaceDN w:val="0"/>
        <w:adjustRightInd w:val="0"/>
      </w:pPr>
      <w:r>
        <w:t>No further pension contributions were made for Commissioner</w:t>
      </w:r>
      <w:r w:rsidR="0057710A">
        <w:t xml:space="preserve">s in the year ended 31 March </w:t>
      </w:r>
      <w:r w:rsidR="00C0695B">
        <w:t>202</w:t>
      </w:r>
      <w:r w:rsidR="00D358C8">
        <w:t>4</w:t>
      </w:r>
      <w:r w:rsidR="0057710A">
        <w:t xml:space="preserve"> (</w:t>
      </w:r>
      <w:r w:rsidR="00C0695B">
        <w:t>202</w:t>
      </w:r>
      <w:r w:rsidR="00D358C8">
        <w:t>2</w:t>
      </w:r>
      <w:r w:rsidR="00C0695B">
        <w:t>-2</w:t>
      </w:r>
      <w:r w:rsidR="00D358C8">
        <w:t>3</w:t>
      </w:r>
      <w:r>
        <w:t>: £nil).</w:t>
      </w:r>
    </w:p>
    <w:p w14:paraId="6C021B7E" w14:textId="77777777" w:rsidR="00827D54" w:rsidRDefault="00827D54" w:rsidP="000C2A54">
      <w:pPr>
        <w:widowControl w:val="0"/>
        <w:tabs>
          <w:tab w:val="right" w:pos="5103"/>
          <w:tab w:val="right" w:pos="7371"/>
        </w:tabs>
        <w:autoSpaceDE w:val="0"/>
        <w:autoSpaceDN w:val="0"/>
        <w:adjustRightInd w:val="0"/>
        <w:rPr>
          <w:u w:val="single"/>
        </w:rPr>
      </w:pPr>
    </w:p>
    <w:p w14:paraId="1780B2B1" w14:textId="77777777" w:rsidR="00AB04A7" w:rsidRDefault="00AB04A7" w:rsidP="000C2A54">
      <w:pPr>
        <w:widowControl w:val="0"/>
        <w:tabs>
          <w:tab w:val="right" w:pos="5103"/>
          <w:tab w:val="right" w:pos="7371"/>
        </w:tabs>
        <w:autoSpaceDE w:val="0"/>
        <w:autoSpaceDN w:val="0"/>
        <w:adjustRightInd w:val="0"/>
        <w:rPr>
          <w:u w:val="single"/>
        </w:rPr>
      </w:pPr>
    </w:p>
    <w:p w14:paraId="7AE22698" w14:textId="4C87F9A3" w:rsidR="000C2A54" w:rsidRPr="005B72C1" w:rsidRDefault="000C2A54" w:rsidP="000C2A54">
      <w:pPr>
        <w:widowControl w:val="0"/>
        <w:tabs>
          <w:tab w:val="right" w:pos="5103"/>
          <w:tab w:val="right" w:pos="7371"/>
        </w:tabs>
        <w:autoSpaceDE w:val="0"/>
        <w:autoSpaceDN w:val="0"/>
        <w:adjustRightInd w:val="0"/>
        <w:rPr>
          <w:u w:val="single"/>
        </w:rPr>
      </w:pPr>
      <w:r w:rsidRPr="005B72C1">
        <w:rPr>
          <w:u w:val="single"/>
        </w:rPr>
        <w:t>Chairperson of the Audit and Risk Management Committee</w:t>
      </w:r>
    </w:p>
    <w:p w14:paraId="50EF7FD7" w14:textId="77777777" w:rsidR="000C2A54" w:rsidRPr="005B72C1" w:rsidRDefault="000C2A54" w:rsidP="000C2A54">
      <w:pPr>
        <w:widowControl w:val="0"/>
        <w:tabs>
          <w:tab w:val="right" w:pos="5103"/>
          <w:tab w:val="right" w:pos="7371"/>
        </w:tabs>
        <w:autoSpaceDE w:val="0"/>
        <w:autoSpaceDN w:val="0"/>
        <w:adjustRightInd w:val="0"/>
      </w:pPr>
    </w:p>
    <w:p w14:paraId="0F08473B" w14:textId="4D26BA47" w:rsidR="000C2A54" w:rsidRPr="00D80497" w:rsidRDefault="000C2A54" w:rsidP="000C2A54">
      <w:pPr>
        <w:widowControl w:val="0"/>
        <w:tabs>
          <w:tab w:val="right" w:pos="5103"/>
          <w:tab w:val="right" w:pos="7371"/>
        </w:tabs>
        <w:autoSpaceDE w:val="0"/>
        <w:autoSpaceDN w:val="0"/>
        <w:adjustRightInd w:val="0"/>
      </w:pPr>
      <w:r>
        <w:t>No pension contributions were made for the Chairperson of the Audit and Risk Management Committee</w:t>
      </w:r>
      <w:r w:rsidR="0057710A">
        <w:t xml:space="preserve"> in the year ended 31 March </w:t>
      </w:r>
      <w:r w:rsidR="00C0695B">
        <w:t>202</w:t>
      </w:r>
      <w:r w:rsidR="00241BA0">
        <w:t>4</w:t>
      </w:r>
      <w:r>
        <w:t xml:space="preserve"> (</w:t>
      </w:r>
      <w:r w:rsidR="00C0695B">
        <w:t>20</w:t>
      </w:r>
      <w:r w:rsidR="1042EFCD">
        <w:t>2</w:t>
      </w:r>
      <w:r w:rsidR="00241BA0">
        <w:t>2</w:t>
      </w:r>
      <w:r w:rsidR="00C0695B">
        <w:t>-2</w:t>
      </w:r>
      <w:r w:rsidR="00241BA0">
        <w:t>3</w:t>
      </w:r>
      <w:r>
        <w:t>: £nil).</w:t>
      </w:r>
    </w:p>
    <w:p w14:paraId="0807B635" w14:textId="25E8146E" w:rsidR="009C75DA" w:rsidRDefault="009C75DA">
      <w:pPr>
        <w:rPr>
          <w:snapToGrid w:val="0"/>
          <w:u w:val="single"/>
        </w:rPr>
      </w:pPr>
    </w:p>
    <w:p w14:paraId="2AE5C5CE" w14:textId="77777777" w:rsidR="000C2A54" w:rsidRDefault="000C2A54" w:rsidP="00D04316">
      <w:pPr>
        <w:rPr>
          <w:b/>
          <w:snapToGrid w:val="0"/>
          <w:u w:val="single"/>
        </w:rPr>
      </w:pPr>
      <w:r w:rsidRPr="00D04316">
        <w:rPr>
          <w:snapToGrid w:val="0"/>
          <w:u w:val="single"/>
        </w:rPr>
        <w:t>Management Team</w:t>
      </w:r>
      <w:r w:rsidR="0057710A">
        <w:rPr>
          <w:b/>
          <w:snapToGrid w:val="0"/>
          <w:u w:val="single"/>
        </w:rPr>
        <w:t xml:space="preserve"> </w:t>
      </w:r>
    </w:p>
    <w:p w14:paraId="68EC5C91" w14:textId="77777777" w:rsidR="00A87A01" w:rsidRDefault="00A87A01" w:rsidP="00D04316">
      <w:pPr>
        <w:rPr>
          <w:b/>
          <w:snapToGrid w:val="0"/>
          <w:u w:val="single"/>
        </w:rPr>
      </w:pPr>
    </w:p>
    <w:p w14:paraId="2310C11D" w14:textId="30A74A0C" w:rsidR="00A87A01" w:rsidRPr="001A5161" w:rsidRDefault="001A5161" w:rsidP="00D04316">
      <w:pPr>
        <w:rPr>
          <w:bCs/>
          <w:snapToGrid w:val="0"/>
          <w:color w:val="auto"/>
          <w:u w:val="single"/>
        </w:rPr>
      </w:pPr>
      <w:r w:rsidRPr="001A5161">
        <w:rPr>
          <w:color w:val="auto"/>
          <w:lang w:eastAsia="en-GB"/>
        </w:rPr>
        <w:t>Accrued pension benefits for directors are not included in this table for 2023</w:t>
      </w:r>
      <w:r w:rsidR="002547B0">
        <w:rPr>
          <w:color w:val="auto"/>
          <w:lang w:eastAsia="en-GB"/>
        </w:rPr>
        <w:t>-</w:t>
      </w:r>
      <w:r w:rsidRPr="001A5161">
        <w:rPr>
          <w:color w:val="auto"/>
          <w:lang w:eastAsia="en-GB"/>
        </w:rPr>
        <w:t>24 due to an exceptional delay in the calculation of these figures following the application of the public service pensions remedy.</w:t>
      </w:r>
    </w:p>
    <w:p w14:paraId="4BE22C4D" w14:textId="77777777" w:rsidR="000C2A54" w:rsidRPr="00D80497" w:rsidRDefault="000C2A54" w:rsidP="000C2A54">
      <w:pPr>
        <w:rPr>
          <w:snapToGrid w:val="0"/>
        </w:rPr>
      </w:pP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8"/>
        <w:gridCol w:w="1670"/>
        <w:gridCol w:w="1497"/>
        <w:gridCol w:w="1046"/>
        <w:gridCol w:w="1046"/>
        <w:gridCol w:w="1162"/>
      </w:tblGrid>
      <w:tr w:rsidR="00A7412A" w:rsidRPr="00A6153B" w14:paraId="4E676418" w14:textId="77777777" w:rsidTr="54F71CB4">
        <w:trPr>
          <w:jc w:val="center"/>
        </w:trPr>
        <w:tc>
          <w:tcPr>
            <w:tcW w:w="1858" w:type="dxa"/>
          </w:tcPr>
          <w:p w14:paraId="3ECA7637" w14:textId="77777777" w:rsidR="00A7412A" w:rsidRPr="00CF446E" w:rsidRDefault="00A7412A" w:rsidP="000C2A54">
            <w:pPr>
              <w:pStyle w:val="Heading4"/>
              <w:spacing w:before="0" w:after="0"/>
              <w:ind w:left="57"/>
              <w:jc w:val="center"/>
              <w:rPr>
                <w:rFonts w:ascii="Verdana" w:hAnsi="Verdana"/>
                <w:b w:val="0"/>
                <w:sz w:val="18"/>
                <w:szCs w:val="18"/>
                <w:highlight w:val="yellow"/>
              </w:rPr>
            </w:pPr>
          </w:p>
        </w:tc>
        <w:tc>
          <w:tcPr>
            <w:tcW w:w="1670" w:type="dxa"/>
          </w:tcPr>
          <w:p w14:paraId="7825F990" w14:textId="3E47131C" w:rsidR="00A7412A" w:rsidRPr="00E25F90" w:rsidRDefault="00A7412A" w:rsidP="000C2A54">
            <w:pPr>
              <w:jc w:val="center"/>
              <w:rPr>
                <w:color w:val="auto"/>
                <w:sz w:val="18"/>
                <w:szCs w:val="18"/>
              </w:rPr>
            </w:pPr>
            <w:r w:rsidRPr="00E25F90">
              <w:rPr>
                <w:color w:val="auto"/>
                <w:sz w:val="18"/>
                <w:szCs w:val="18"/>
              </w:rPr>
              <w:t>Accrued pensi</w:t>
            </w:r>
            <w:r w:rsidR="3686CB26" w:rsidRPr="00E25F90">
              <w:rPr>
                <w:color w:val="auto"/>
                <w:sz w:val="18"/>
                <w:szCs w:val="18"/>
              </w:rPr>
              <w:t>on at pension age as at 31/</w:t>
            </w:r>
            <w:r w:rsidR="001B25DA" w:rsidRPr="00E25F90">
              <w:rPr>
                <w:color w:val="auto"/>
                <w:sz w:val="18"/>
                <w:szCs w:val="18"/>
              </w:rPr>
              <w:t>0</w:t>
            </w:r>
            <w:r w:rsidR="3686CB26" w:rsidRPr="00E25F90">
              <w:rPr>
                <w:color w:val="auto"/>
                <w:sz w:val="18"/>
                <w:szCs w:val="18"/>
              </w:rPr>
              <w:t>3/2</w:t>
            </w:r>
            <w:r w:rsidR="00DF2194" w:rsidRPr="00E25F90">
              <w:rPr>
                <w:color w:val="auto"/>
                <w:sz w:val="18"/>
                <w:szCs w:val="18"/>
              </w:rPr>
              <w:t>3</w:t>
            </w:r>
          </w:p>
          <w:p w14:paraId="63E4047E" w14:textId="77777777" w:rsidR="00A7412A" w:rsidRPr="00E25F90" w:rsidRDefault="00A7412A" w:rsidP="000C2A54">
            <w:pPr>
              <w:jc w:val="center"/>
              <w:rPr>
                <w:color w:val="auto"/>
                <w:sz w:val="18"/>
                <w:szCs w:val="18"/>
              </w:rPr>
            </w:pPr>
          </w:p>
        </w:tc>
        <w:tc>
          <w:tcPr>
            <w:tcW w:w="1497" w:type="dxa"/>
          </w:tcPr>
          <w:p w14:paraId="6FF4C2D6" w14:textId="1B6006C2" w:rsidR="00A7412A" w:rsidRPr="00E25F90" w:rsidRDefault="00A7412A" w:rsidP="00DD765C">
            <w:pPr>
              <w:pStyle w:val="FootnoteText"/>
              <w:jc w:val="center"/>
              <w:rPr>
                <w:rFonts w:ascii="Verdana" w:hAnsi="Verdana"/>
                <w:snapToGrid w:val="0"/>
                <w:sz w:val="18"/>
                <w:szCs w:val="18"/>
              </w:rPr>
            </w:pPr>
            <w:r w:rsidRPr="00E25F90">
              <w:rPr>
                <w:rFonts w:ascii="Verdana" w:hAnsi="Verdana"/>
                <w:snapToGrid w:val="0"/>
                <w:sz w:val="18"/>
                <w:szCs w:val="18"/>
              </w:rPr>
              <w:t xml:space="preserve">Real increase in pension </w:t>
            </w:r>
            <w:r w:rsidR="001B25DA" w:rsidRPr="00E25F90">
              <w:rPr>
                <w:rFonts w:ascii="Verdana" w:hAnsi="Verdana"/>
                <w:snapToGrid w:val="0"/>
                <w:sz w:val="18"/>
                <w:szCs w:val="18"/>
              </w:rPr>
              <w:t>and related lump sum at pension age</w:t>
            </w:r>
          </w:p>
        </w:tc>
        <w:tc>
          <w:tcPr>
            <w:tcW w:w="1046" w:type="dxa"/>
          </w:tcPr>
          <w:p w14:paraId="1BE38D98" w14:textId="04EF7F5A" w:rsidR="00A7412A" w:rsidRPr="00E25F90" w:rsidRDefault="3686CB26" w:rsidP="000C2A54">
            <w:pPr>
              <w:jc w:val="center"/>
              <w:rPr>
                <w:color w:val="auto"/>
                <w:sz w:val="18"/>
                <w:szCs w:val="18"/>
              </w:rPr>
            </w:pPr>
            <w:r w:rsidRPr="00E25F90">
              <w:rPr>
                <w:color w:val="auto"/>
                <w:sz w:val="18"/>
                <w:szCs w:val="18"/>
              </w:rPr>
              <w:t>CETV at 31/</w:t>
            </w:r>
            <w:r w:rsidR="001B25DA" w:rsidRPr="00E25F90">
              <w:rPr>
                <w:color w:val="auto"/>
                <w:sz w:val="18"/>
                <w:szCs w:val="18"/>
              </w:rPr>
              <w:t>0</w:t>
            </w:r>
            <w:r w:rsidRPr="00E25F90">
              <w:rPr>
                <w:color w:val="auto"/>
                <w:sz w:val="18"/>
                <w:szCs w:val="18"/>
              </w:rPr>
              <w:t>3/2</w:t>
            </w:r>
            <w:r w:rsidR="00DF2194" w:rsidRPr="00E25F90">
              <w:rPr>
                <w:color w:val="auto"/>
                <w:sz w:val="18"/>
                <w:szCs w:val="18"/>
              </w:rPr>
              <w:t>3</w:t>
            </w:r>
          </w:p>
          <w:p w14:paraId="03BBD1D2" w14:textId="77777777" w:rsidR="00A7412A" w:rsidRPr="00E25F90" w:rsidRDefault="00A7412A" w:rsidP="000C2A54">
            <w:pPr>
              <w:jc w:val="center"/>
              <w:rPr>
                <w:color w:val="auto"/>
                <w:sz w:val="18"/>
                <w:szCs w:val="18"/>
              </w:rPr>
            </w:pPr>
          </w:p>
          <w:p w14:paraId="576D1159" w14:textId="77777777" w:rsidR="00A7412A" w:rsidRPr="00E25F90" w:rsidRDefault="00A7412A" w:rsidP="000C2A54">
            <w:pPr>
              <w:jc w:val="center"/>
              <w:rPr>
                <w:color w:val="auto"/>
                <w:sz w:val="18"/>
                <w:szCs w:val="18"/>
              </w:rPr>
            </w:pPr>
          </w:p>
          <w:p w14:paraId="0E3F55AE" w14:textId="77777777" w:rsidR="00A7412A" w:rsidRPr="00E25F90" w:rsidRDefault="00A7412A" w:rsidP="000C2A54">
            <w:pPr>
              <w:rPr>
                <w:color w:val="auto"/>
                <w:sz w:val="18"/>
                <w:szCs w:val="18"/>
              </w:rPr>
            </w:pPr>
          </w:p>
        </w:tc>
        <w:tc>
          <w:tcPr>
            <w:tcW w:w="1046" w:type="dxa"/>
          </w:tcPr>
          <w:p w14:paraId="2EC6BF97" w14:textId="37BA39CD" w:rsidR="00A7412A" w:rsidRPr="00E25F90" w:rsidRDefault="00A7412A" w:rsidP="0057710A">
            <w:pPr>
              <w:jc w:val="center"/>
              <w:rPr>
                <w:color w:val="auto"/>
                <w:sz w:val="18"/>
                <w:szCs w:val="18"/>
              </w:rPr>
            </w:pPr>
            <w:r w:rsidRPr="00E25F90">
              <w:rPr>
                <w:color w:val="auto"/>
                <w:sz w:val="18"/>
                <w:szCs w:val="18"/>
              </w:rPr>
              <w:t>CETV at 31/</w:t>
            </w:r>
            <w:r w:rsidR="001B25DA" w:rsidRPr="00E25F90">
              <w:rPr>
                <w:color w:val="auto"/>
                <w:sz w:val="18"/>
                <w:szCs w:val="18"/>
              </w:rPr>
              <w:t>0</w:t>
            </w:r>
            <w:r w:rsidRPr="00E25F90">
              <w:rPr>
                <w:color w:val="auto"/>
                <w:sz w:val="18"/>
                <w:szCs w:val="18"/>
              </w:rPr>
              <w:t>3/2</w:t>
            </w:r>
            <w:r w:rsidR="00DF2194" w:rsidRPr="00E25F90">
              <w:rPr>
                <w:color w:val="auto"/>
                <w:sz w:val="18"/>
                <w:szCs w:val="18"/>
              </w:rPr>
              <w:t>2</w:t>
            </w:r>
          </w:p>
        </w:tc>
        <w:tc>
          <w:tcPr>
            <w:tcW w:w="1162" w:type="dxa"/>
          </w:tcPr>
          <w:p w14:paraId="19B0D35B" w14:textId="77777777" w:rsidR="00A7412A" w:rsidRPr="00E25F90" w:rsidRDefault="00A7412A" w:rsidP="000C2A54">
            <w:pPr>
              <w:jc w:val="center"/>
              <w:rPr>
                <w:color w:val="auto"/>
                <w:sz w:val="18"/>
                <w:szCs w:val="18"/>
              </w:rPr>
            </w:pPr>
            <w:r w:rsidRPr="00E25F90">
              <w:rPr>
                <w:color w:val="auto"/>
                <w:sz w:val="18"/>
                <w:szCs w:val="18"/>
              </w:rPr>
              <w:t>Real increase in CETV</w:t>
            </w:r>
          </w:p>
          <w:p w14:paraId="2FA9192F" w14:textId="77777777" w:rsidR="00A7412A" w:rsidRPr="00E25F90" w:rsidRDefault="00A7412A" w:rsidP="000C2A54">
            <w:pPr>
              <w:jc w:val="center"/>
              <w:rPr>
                <w:color w:val="auto"/>
                <w:sz w:val="18"/>
                <w:szCs w:val="18"/>
              </w:rPr>
            </w:pPr>
          </w:p>
          <w:p w14:paraId="0537F2B9" w14:textId="77777777" w:rsidR="00A7412A" w:rsidRPr="00E25F90" w:rsidRDefault="00A7412A" w:rsidP="000C2A54">
            <w:pPr>
              <w:rPr>
                <w:color w:val="auto"/>
                <w:sz w:val="18"/>
                <w:szCs w:val="18"/>
              </w:rPr>
            </w:pPr>
          </w:p>
        </w:tc>
      </w:tr>
      <w:tr w:rsidR="00A7412A" w:rsidRPr="00A6153B" w14:paraId="0E263E5D" w14:textId="77777777" w:rsidTr="54F71CB4">
        <w:trPr>
          <w:jc w:val="center"/>
        </w:trPr>
        <w:tc>
          <w:tcPr>
            <w:tcW w:w="1858" w:type="dxa"/>
            <w:vAlign w:val="center"/>
          </w:tcPr>
          <w:p w14:paraId="6F77D218" w14:textId="77777777" w:rsidR="00A7412A" w:rsidRPr="00CF446E" w:rsidRDefault="00A7412A" w:rsidP="000C2A54">
            <w:pPr>
              <w:ind w:left="57"/>
              <w:rPr>
                <w:sz w:val="18"/>
                <w:szCs w:val="18"/>
                <w:highlight w:val="yellow"/>
              </w:rPr>
            </w:pPr>
          </w:p>
          <w:p w14:paraId="62C3D9B4" w14:textId="77777777" w:rsidR="00A7412A" w:rsidRPr="00CF446E" w:rsidRDefault="00A7412A" w:rsidP="000C2A54">
            <w:pPr>
              <w:ind w:left="57"/>
              <w:rPr>
                <w:sz w:val="18"/>
                <w:szCs w:val="18"/>
                <w:highlight w:val="yellow"/>
              </w:rPr>
            </w:pPr>
          </w:p>
        </w:tc>
        <w:tc>
          <w:tcPr>
            <w:tcW w:w="1670" w:type="dxa"/>
            <w:vAlign w:val="center"/>
          </w:tcPr>
          <w:p w14:paraId="0E83B951" w14:textId="77777777" w:rsidR="00A7412A" w:rsidRPr="00E25F90" w:rsidRDefault="00A7412A" w:rsidP="000C2A54">
            <w:pPr>
              <w:jc w:val="center"/>
              <w:rPr>
                <w:color w:val="auto"/>
                <w:sz w:val="18"/>
                <w:szCs w:val="18"/>
              </w:rPr>
            </w:pPr>
            <w:r w:rsidRPr="00E25F90">
              <w:rPr>
                <w:color w:val="auto"/>
                <w:sz w:val="18"/>
                <w:szCs w:val="18"/>
              </w:rPr>
              <w:t>£’000</w:t>
            </w:r>
          </w:p>
          <w:p w14:paraId="6E69139E" w14:textId="77777777" w:rsidR="00A7412A" w:rsidRPr="00E25F90" w:rsidRDefault="00A7412A" w:rsidP="000C2A54">
            <w:pPr>
              <w:jc w:val="center"/>
              <w:rPr>
                <w:color w:val="auto"/>
                <w:sz w:val="18"/>
                <w:szCs w:val="18"/>
              </w:rPr>
            </w:pPr>
          </w:p>
        </w:tc>
        <w:tc>
          <w:tcPr>
            <w:tcW w:w="1497" w:type="dxa"/>
            <w:vAlign w:val="center"/>
          </w:tcPr>
          <w:p w14:paraId="50228145" w14:textId="77777777" w:rsidR="00A7412A" w:rsidRPr="00E25F90" w:rsidRDefault="00A7412A" w:rsidP="000C2A54">
            <w:pPr>
              <w:jc w:val="center"/>
              <w:rPr>
                <w:color w:val="auto"/>
                <w:sz w:val="18"/>
                <w:szCs w:val="18"/>
              </w:rPr>
            </w:pPr>
            <w:r w:rsidRPr="00E25F90">
              <w:rPr>
                <w:color w:val="auto"/>
                <w:sz w:val="18"/>
                <w:szCs w:val="18"/>
              </w:rPr>
              <w:t>£’000</w:t>
            </w:r>
          </w:p>
          <w:p w14:paraId="56C60B0F" w14:textId="77777777" w:rsidR="00A7412A" w:rsidRPr="00E25F90" w:rsidRDefault="00A7412A" w:rsidP="000C2A54">
            <w:pPr>
              <w:jc w:val="center"/>
              <w:rPr>
                <w:color w:val="auto"/>
                <w:sz w:val="18"/>
                <w:szCs w:val="18"/>
              </w:rPr>
            </w:pPr>
          </w:p>
        </w:tc>
        <w:tc>
          <w:tcPr>
            <w:tcW w:w="1046" w:type="dxa"/>
            <w:vAlign w:val="center"/>
          </w:tcPr>
          <w:p w14:paraId="06A313DF" w14:textId="77777777" w:rsidR="00A7412A" w:rsidRPr="00E25F90" w:rsidRDefault="00A7412A" w:rsidP="000C2A54">
            <w:pPr>
              <w:jc w:val="center"/>
              <w:rPr>
                <w:color w:val="auto"/>
                <w:sz w:val="18"/>
                <w:szCs w:val="18"/>
              </w:rPr>
            </w:pPr>
            <w:r w:rsidRPr="00E25F90">
              <w:rPr>
                <w:color w:val="auto"/>
                <w:sz w:val="18"/>
                <w:szCs w:val="18"/>
              </w:rPr>
              <w:t>£’000</w:t>
            </w:r>
          </w:p>
          <w:p w14:paraId="393E0830" w14:textId="77777777" w:rsidR="00A7412A" w:rsidRPr="00E25F90" w:rsidRDefault="00A7412A" w:rsidP="000C2A54">
            <w:pPr>
              <w:jc w:val="center"/>
              <w:rPr>
                <w:color w:val="auto"/>
                <w:sz w:val="18"/>
                <w:szCs w:val="18"/>
              </w:rPr>
            </w:pPr>
          </w:p>
        </w:tc>
        <w:tc>
          <w:tcPr>
            <w:tcW w:w="1046" w:type="dxa"/>
            <w:vAlign w:val="center"/>
          </w:tcPr>
          <w:p w14:paraId="1BCCD96E" w14:textId="77777777" w:rsidR="00A7412A" w:rsidRPr="00E25F90" w:rsidRDefault="00A7412A" w:rsidP="000C2A54">
            <w:pPr>
              <w:jc w:val="center"/>
              <w:rPr>
                <w:color w:val="auto"/>
                <w:sz w:val="18"/>
                <w:szCs w:val="18"/>
              </w:rPr>
            </w:pPr>
            <w:r w:rsidRPr="00E25F90">
              <w:rPr>
                <w:color w:val="auto"/>
                <w:sz w:val="18"/>
                <w:szCs w:val="18"/>
              </w:rPr>
              <w:t>£’000</w:t>
            </w:r>
          </w:p>
          <w:p w14:paraId="1CBE0916" w14:textId="77777777" w:rsidR="00A7412A" w:rsidRPr="00E25F90" w:rsidRDefault="00A7412A" w:rsidP="000C2A54">
            <w:pPr>
              <w:jc w:val="center"/>
              <w:rPr>
                <w:color w:val="auto"/>
                <w:sz w:val="18"/>
                <w:szCs w:val="18"/>
              </w:rPr>
            </w:pPr>
          </w:p>
        </w:tc>
        <w:tc>
          <w:tcPr>
            <w:tcW w:w="1162" w:type="dxa"/>
            <w:vAlign w:val="center"/>
          </w:tcPr>
          <w:p w14:paraId="416F4657" w14:textId="77777777" w:rsidR="00A7412A" w:rsidRPr="00E25F90" w:rsidRDefault="00A7412A" w:rsidP="000C2A54">
            <w:pPr>
              <w:jc w:val="center"/>
              <w:rPr>
                <w:color w:val="auto"/>
                <w:sz w:val="18"/>
                <w:szCs w:val="18"/>
              </w:rPr>
            </w:pPr>
            <w:r w:rsidRPr="00E25F90">
              <w:rPr>
                <w:color w:val="auto"/>
                <w:sz w:val="18"/>
                <w:szCs w:val="18"/>
              </w:rPr>
              <w:t>£’000</w:t>
            </w:r>
          </w:p>
          <w:p w14:paraId="64EA5E08" w14:textId="77777777" w:rsidR="00A7412A" w:rsidRPr="00E25F90" w:rsidRDefault="00A7412A" w:rsidP="000C2A54">
            <w:pPr>
              <w:jc w:val="center"/>
              <w:rPr>
                <w:color w:val="auto"/>
                <w:sz w:val="18"/>
                <w:szCs w:val="18"/>
              </w:rPr>
            </w:pPr>
          </w:p>
        </w:tc>
      </w:tr>
      <w:tr w:rsidR="001D0DE7" w:rsidRPr="003C1FD4" w14:paraId="770BE057" w14:textId="77777777" w:rsidTr="54F71CB4">
        <w:trPr>
          <w:jc w:val="center"/>
        </w:trPr>
        <w:tc>
          <w:tcPr>
            <w:tcW w:w="1858" w:type="dxa"/>
            <w:vAlign w:val="center"/>
          </w:tcPr>
          <w:p w14:paraId="181648D1" w14:textId="77777777" w:rsidR="001D0DE7" w:rsidRPr="00E25F90" w:rsidRDefault="001D0DE7" w:rsidP="000C2A54">
            <w:pPr>
              <w:ind w:left="57"/>
              <w:rPr>
                <w:sz w:val="20"/>
                <w:szCs w:val="20"/>
              </w:rPr>
            </w:pPr>
            <w:r w:rsidRPr="00E25F90">
              <w:rPr>
                <w:sz w:val="20"/>
                <w:szCs w:val="20"/>
              </w:rPr>
              <w:t>Alyson Kilpatrick</w:t>
            </w:r>
          </w:p>
          <w:p w14:paraId="29F439C4" w14:textId="77777777" w:rsidR="001D0DE7" w:rsidRPr="00E25F90" w:rsidRDefault="001D0DE7" w:rsidP="000C2A54">
            <w:pPr>
              <w:ind w:left="57"/>
              <w:rPr>
                <w:sz w:val="20"/>
                <w:szCs w:val="20"/>
              </w:rPr>
            </w:pPr>
            <w:r w:rsidRPr="00E25F90">
              <w:rPr>
                <w:sz w:val="20"/>
                <w:szCs w:val="20"/>
              </w:rPr>
              <w:t>Chief Commissioner</w:t>
            </w:r>
          </w:p>
          <w:p w14:paraId="1958E4C1" w14:textId="77777777" w:rsidR="001D0DE7" w:rsidRPr="00E25F90" w:rsidRDefault="001D0DE7" w:rsidP="000C2A54">
            <w:pPr>
              <w:ind w:left="57"/>
              <w:rPr>
                <w:sz w:val="20"/>
                <w:szCs w:val="20"/>
              </w:rPr>
            </w:pPr>
          </w:p>
        </w:tc>
        <w:tc>
          <w:tcPr>
            <w:tcW w:w="1670" w:type="dxa"/>
            <w:vAlign w:val="center"/>
          </w:tcPr>
          <w:p w14:paraId="024C7DB5" w14:textId="77777777" w:rsidR="001D0DE7" w:rsidRPr="00E25F90" w:rsidRDefault="001D0DE7" w:rsidP="000C2A54">
            <w:pPr>
              <w:jc w:val="center"/>
              <w:rPr>
                <w:color w:val="auto"/>
                <w:sz w:val="20"/>
                <w:szCs w:val="20"/>
              </w:rPr>
            </w:pPr>
            <w:r w:rsidRPr="00E25F90">
              <w:rPr>
                <w:color w:val="auto"/>
                <w:sz w:val="20"/>
                <w:szCs w:val="20"/>
              </w:rPr>
              <w:t>0-5</w:t>
            </w:r>
          </w:p>
        </w:tc>
        <w:tc>
          <w:tcPr>
            <w:tcW w:w="1497" w:type="dxa"/>
            <w:vAlign w:val="center"/>
          </w:tcPr>
          <w:p w14:paraId="4B7F4811" w14:textId="77777777" w:rsidR="001D0DE7" w:rsidRPr="00E25F90" w:rsidRDefault="001D0DE7" w:rsidP="000C2A54">
            <w:pPr>
              <w:jc w:val="center"/>
              <w:rPr>
                <w:color w:val="auto"/>
                <w:sz w:val="20"/>
                <w:szCs w:val="20"/>
              </w:rPr>
            </w:pPr>
            <w:r w:rsidRPr="00E25F90">
              <w:rPr>
                <w:color w:val="auto"/>
                <w:sz w:val="20"/>
                <w:szCs w:val="20"/>
              </w:rPr>
              <w:t>0-2.5</w:t>
            </w:r>
          </w:p>
        </w:tc>
        <w:tc>
          <w:tcPr>
            <w:tcW w:w="1046" w:type="dxa"/>
            <w:vAlign w:val="center"/>
          </w:tcPr>
          <w:p w14:paraId="6CFCA0AC" w14:textId="5784AE0C" w:rsidR="001D0DE7" w:rsidRPr="00E25F90" w:rsidRDefault="001B25DA" w:rsidP="000C2A54">
            <w:pPr>
              <w:jc w:val="center"/>
              <w:rPr>
                <w:color w:val="auto"/>
                <w:sz w:val="20"/>
                <w:szCs w:val="20"/>
              </w:rPr>
            </w:pPr>
            <w:r w:rsidRPr="00E25F90">
              <w:rPr>
                <w:color w:val="auto"/>
                <w:sz w:val="20"/>
                <w:szCs w:val="20"/>
              </w:rPr>
              <w:t>38</w:t>
            </w:r>
          </w:p>
        </w:tc>
        <w:tc>
          <w:tcPr>
            <w:tcW w:w="1046" w:type="dxa"/>
            <w:vAlign w:val="center"/>
          </w:tcPr>
          <w:p w14:paraId="32ACD7ED" w14:textId="1F7910E5" w:rsidR="001D0DE7" w:rsidRPr="00E25F90" w:rsidRDefault="001B25DA" w:rsidP="000C2A54">
            <w:pPr>
              <w:jc w:val="center"/>
              <w:rPr>
                <w:color w:val="auto"/>
                <w:sz w:val="20"/>
                <w:szCs w:val="20"/>
              </w:rPr>
            </w:pPr>
            <w:r w:rsidRPr="00E25F90">
              <w:rPr>
                <w:color w:val="auto"/>
                <w:sz w:val="20"/>
                <w:szCs w:val="20"/>
              </w:rPr>
              <w:t>13</w:t>
            </w:r>
          </w:p>
        </w:tc>
        <w:tc>
          <w:tcPr>
            <w:tcW w:w="1162" w:type="dxa"/>
            <w:vAlign w:val="center"/>
          </w:tcPr>
          <w:p w14:paraId="2BE4793D" w14:textId="7EF7FB89" w:rsidR="001D0DE7" w:rsidRPr="00E25F90" w:rsidRDefault="001D0DE7" w:rsidP="000C2A54">
            <w:pPr>
              <w:jc w:val="center"/>
              <w:rPr>
                <w:color w:val="auto"/>
                <w:sz w:val="20"/>
                <w:szCs w:val="20"/>
              </w:rPr>
            </w:pPr>
            <w:r w:rsidRPr="00E25F90">
              <w:rPr>
                <w:color w:val="auto"/>
                <w:sz w:val="20"/>
                <w:szCs w:val="20"/>
              </w:rPr>
              <w:t>1</w:t>
            </w:r>
            <w:r w:rsidR="001B25DA" w:rsidRPr="00E25F90">
              <w:rPr>
                <w:color w:val="auto"/>
                <w:sz w:val="20"/>
                <w:szCs w:val="20"/>
              </w:rPr>
              <w:t>8</w:t>
            </w:r>
          </w:p>
        </w:tc>
      </w:tr>
      <w:tr w:rsidR="00A7412A" w:rsidRPr="003C1FD4" w14:paraId="01DCA7B4" w14:textId="77777777" w:rsidTr="54F71CB4">
        <w:trPr>
          <w:jc w:val="center"/>
        </w:trPr>
        <w:tc>
          <w:tcPr>
            <w:tcW w:w="1858" w:type="dxa"/>
            <w:vAlign w:val="center"/>
          </w:tcPr>
          <w:p w14:paraId="1DAA58E0" w14:textId="77777777" w:rsidR="00A7412A" w:rsidRPr="00E25F90" w:rsidRDefault="00A7412A" w:rsidP="000C2A54">
            <w:pPr>
              <w:ind w:left="57"/>
              <w:rPr>
                <w:sz w:val="20"/>
                <w:szCs w:val="20"/>
              </w:rPr>
            </w:pPr>
            <w:r w:rsidRPr="00E25F90">
              <w:rPr>
                <w:sz w:val="20"/>
                <w:szCs w:val="20"/>
              </w:rPr>
              <w:t>David Russell</w:t>
            </w:r>
          </w:p>
          <w:p w14:paraId="2B20592D" w14:textId="77777777" w:rsidR="00A7412A" w:rsidRPr="00E25F90" w:rsidRDefault="00A7412A" w:rsidP="00CA6B5D">
            <w:pPr>
              <w:ind w:left="57"/>
              <w:rPr>
                <w:sz w:val="20"/>
                <w:szCs w:val="20"/>
              </w:rPr>
            </w:pPr>
            <w:r w:rsidRPr="00E25F90">
              <w:rPr>
                <w:sz w:val="20"/>
                <w:szCs w:val="20"/>
              </w:rPr>
              <w:t xml:space="preserve">Chief Executive </w:t>
            </w:r>
            <w:r w:rsidRPr="00E25F90">
              <w:rPr>
                <w:i/>
                <w:sz w:val="20"/>
                <w:szCs w:val="20"/>
              </w:rPr>
              <w:br/>
            </w:r>
          </w:p>
        </w:tc>
        <w:tc>
          <w:tcPr>
            <w:tcW w:w="1670" w:type="dxa"/>
            <w:vAlign w:val="center"/>
          </w:tcPr>
          <w:p w14:paraId="1309D7FC" w14:textId="77777777" w:rsidR="00A7412A" w:rsidRPr="00E25F90" w:rsidRDefault="001D0DE7" w:rsidP="000C2A54">
            <w:pPr>
              <w:jc w:val="center"/>
              <w:rPr>
                <w:color w:val="auto"/>
                <w:sz w:val="20"/>
                <w:szCs w:val="20"/>
              </w:rPr>
            </w:pPr>
            <w:r w:rsidRPr="00E25F90">
              <w:rPr>
                <w:color w:val="auto"/>
                <w:sz w:val="20"/>
                <w:szCs w:val="20"/>
              </w:rPr>
              <w:t>25-30</w:t>
            </w:r>
          </w:p>
        </w:tc>
        <w:tc>
          <w:tcPr>
            <w:tcW w:w="1497" w:type="dxa"/>
            <w:vAlign w:val="center"/>
          </w:tcPr>
          <w:p w14:paraId="7BAFA0B5" w14:textId="77777777" w:rsidR="00A7412A" w:rsidRPr="00E25F90" w:rsidRDefault="00CA6B5D" w:rsidP="000C2A54">
            <w:pPr>
              <w:jc w:val="center"/>
              <w:rPr>
                <w:color w:val="auto"/>
                <w:sz w:val="20"/>
                <w:szCs w:val="20"/>
              </w:rPr>
            </w:pPr>
            <w:r w:rsidRPr="00E25F90">
              <w:rPr>
                <w:color w:val="auto"/>
                <w:sz w:val="20"/>
                <w:szCs w:val="20"/>
              </w:rPr>
              <w:t>0-2.5</w:t>
            </w:r>
          </w:p>
        </w:tc>
        <w:tc>
          <w:tcPr>
            <w:tcW w:w="1046" w:type="dxa"/>
            <w:vAlign w:val="center"/>
          </w:tcPr>
          <w:p w14:paraId="1BB52882" w14:textId="7C2BDFCB" w:rsidR="00A7412A" w:rsidRPr="00E25F90" w:rsidRDefault="001D0DE7" w:rsidP="000C2A54">
            <w:pPr>
              <w:jc w:val="center"/>
              <w:rPr>
                <w:color w:val="auto"/>
                <w:sz w:val="20"/>
                <w:szCs w:val="20"/>
              </w:rPr>
            </w:pPr>
            <w:r w:rsidRPr="00E25F90">
              <w:rPr>
                <w:color w:val="auto"/>
                <w:sz w:val="20"/>
                <w:szCs w:val="20"/>
              </w:rPr>
              <w:t>3</w:t>
            </w:r>
            <w:r w:rsidR="001B25DA" w:rsidRPr="00E25F90">
              <w:rPr>
                <w:color w:val="auto"/>
                <w:sz w:val="20"/>
                <w:szCs w:val="20"/>
              </w:rPr>
              <w:t>43</w:t>
            </w:r>
          </w:p>
        </w:tc>
        <w:tc>
          <w:tcPr>
            <w:tcW w:w="1046" w:type="dxa"/>
            <w:vAlign w:val="center"/>
          </w:tcPr>
          <w:p w14:paraId="0FDFB44F" w14:textId="72AC753F" w:rsidR="00A7412A" w:rsidRPr="00E25F90" w:rsidRDefault="001B25DA" w:rsidP="000C2A54">
            <w:pPr>
              <w:jc w:val="center"/>
              <w:rPr>
                <w:color w:val="auto"/>
                <w:sz w:val="20"/>
                <w:szCs w:val="20"/>
              </w:rPr>
            </w:pPr>
            <w:r w:rsidRPr="00E25F90">
              <w:rPr>
                <w:color w:val="auto"/>
                <w:sz w:val="20"/>
                <w:szCs w:val="20"/>
              </w:rPr>
              <w:t>306</w:t>
            </w:r>
          </w:p>
        </w:tc>
        <w:tc>
          <w:tcPr>
            <w:tcW w:w="1162" w:type="dxa"/>
            <w:vAlign w:val="center"/>
          </w:tcPr>
          <w:p w14:paraId="1414ED34" w14:textId="39D19E08" w:rsidR="00A7412A" w:rsidRPr="00E25F90" w:rsidRDefault="001B25DA" w:rsidP="000C2A54">
            <w:pPr>
              <w:jc w:val="center"/>
              <w:rPr>
                <w:color w:val="auto"/>
                <w:sz w:val="20"/>
                <w:szCs w:val="20"/>
              </w:rPr>
            </w:pPr>
            <w:r w:rsidRPr="00E25F90">
              <w:rPr>
                <w:color w:val="auto"/>
                <w:sz w:val="20"/>
                <w:szCs w:val="20"/>
              </w:rPr>
              <w:t>9</w:t>
            </w:r>
          </w:p>
        </w:tc>
      </w:tr>
      <w:tr w:rsidR="00A7412A" w:rsidRPr="003C1FD4" w14:paraId="3AA999A8" w14:textId="77777777" w:rsidTr="54F71CB4">
        <w:trPr>
          <w:jc w:val="center"/>
        </w:trPr>
        <w:tc>
          <w:tcPr>
            <w:tcW w:w="1858" w:type="dxa"/>
            <w:vAlign w:val="center"/>
          </w:tcPr>
          <w:p w14:paraId="091A66A2" w14:textId="77777777" w:rsidR="00A7412A" w:rsidRPr="00E25F90" w:rsidRDefault="00A7412A" w:rsidP="000C2A54">
            <w:pPr>
              <w:ind w:left="57"/>
              <w:rPr>
                <w:sz w:val="20"/>
                <w:szCs w:val="20"/>
              </w:rPr>
            </w:pPr>
            <w:r w:rsidRPr="00E25F90">
              <w:rPr>
                <w:sz w:val="20"/>
                <w:szCs w:val="20"/>
              </w:rPr>
              <w:t>Lorraine Hamill</w:t>
            </w:r>
          </w:p>
          <w:p w14:paraId="54DFF7D8" w14:textId="77777777" w:rsidR="00A7412A" w:rsidRPr="00E25F90" w:rsidRDefault="00A7412A" w:rsidP="00DE3AEE">
            <w:pPr>
              <w:ind w:left="57"/>
              <w:rPr>
                <w:sz w:val="20"/>
                <w:szCs w:val="20"/>
              </w:rPr>
            </w:pPr>
            <w:r w:rsidRPr="00E25F90">
              <w:rPr>
                <w:sz w:val="20"/>
                <w:szCs w:val="20"/>
              </w:rPr>
              <w:t xml:space="preserve">Director </w:t>
            </w:r>
            <w:r w:rsidRPr="00E25F90">
              <w:rPr>
                <w:i/>
                <w:sz w:val="20"/>
                <w:szCs w:val="20"/>
              </w:rPr>
              <w:br/>
            </w:r>
          </w:p>
        </w:tc>
        <w:tc>
          <w:tcPr>
            <w:tcW w:w="1670" w:type="dxa"/>
            <w:vAlign w:val="center"/>
          </w:tcPr>
          <w:p w14:paraId="2F3403A2" w14:textId="77777777" w:rsidR="00A7412A" w:rsidRPr="00E25F90" w:rsidRDefault="00A7412A" w:rsidP="000C2A54">
            <w:pPr>
              <w:jc w:val="center"/>
              <w:rPr>
                <w:sz w:val="20"/>
                <w:szCs w:val="20"/>
              </w:rPr>
            </w:pPr>
          </w:p>
          <w:p w14:paraId="797C372A" w14:textId="1AA45DB6" w:rsidR="00CA6B5D" w:rsidRPr="00E25F90" w:rsidRDefault="001B25DA" w:rsidP="000C2A54">
            <w:pPr>
              <w:jc w:val="center"/>
              <w:rPr>
                <w:sz w:val="20"/>
                <w:szCs w:val="20"/>
              </w:rPr>
            </w:pPr>
            <w:r w:rsidRPr="00E25F90">
              <w:rPr>
                <w:sz w:val="20"/>
                <w:szCs w:val="20"/>
              </w:rPr>
              <w:t>15-20</w:t>
            </w:r>
          </w:p>
        </w:tc>
        <w:tc>
          <w:tcPr>
            <w:tcW w:w="1497" w:type="dxa"/>
            <w:vAlign w:val="center"/>
          </w:tcPr>
          <w:p w14:paraId="2D5D33E1" w14:textId="77777777" w:rsidR="00A7412A" w:rsidRPr="00E25F90" w:rsidRDefault="00A7412A" w:rsidP="000C2A54">
            <w:pPr>
              <w:jc w:val="center"/>
              <w:rPr>
                <w:sz w:val="20"/>
                <w:szCs w:val="20"/>
              </w:rPr>
            </w:pPr>
          </w:p>
          <w:p w14:paraId="6B9C0EAF" w14:textId="77777777" w:rsidR="00CA6B5D" w:rsidRPr="00E25F90" w:rsidRDefault="00CA6B5D" w:rsidP="000C2A54">
            <w:pPr>
              <w:jc w:val="center"/>
              <w:rPr>
                <w:sz w:val="20"/>
                <w:szCs w:val="20"/>
              </w:rPr>
            </w:pPr>
            <w:r w:rsidRPr="00E25F90">
              <w:rPr>
                <w:sz w:val="20"/>
                <w:szCs w:val="20"/>
              </w:rPr>
              <w:t>0-2.5</w:t>
            </w:r>
          </w:p>
        </w:tc>
        <w:tc>
          <w:tcPr>
            <w:tcW w:w="1046" w:type="dxa"/>
            <w:vAlign w:val="center"/>
          </w:tcPr>
          <w:p w14:paraId="5CEC4882" w14:textId="77777777" w:rsidR="00CA6B5D" w:rsidRPr="00E25F90" w:rsidRDefault="00CA6B5D" w:rsidP="000C2A54">
            <w:pPr>
              <w:jc w:val="center"/>
              <w:rPr>
                <w:sz w:val="20"/>
                <w:szCs w:val="20"/>
              </w:rPr>
            </w:pPr>
          </w:p>
          <w:p w14:paraId="6FA683A8" w14:textId="433EBD40" w:rsidR="001D0DE7" w:rsidRPr="00E25F90" w:rsidRDefault="001D0DE7" w:rsidP="000C2A54">
            <w:pPr>
              <w:jc w:val="center"/>
              <w:rPr>
                <w:sz w:val="20"/>
                <w:szCs w:val="20"/>
              </w:rPr>
            </w:pPr>
            <w:r w:rsidRPr="00E25F90">
              <w:rPr>
                <w:sz w:val="20"/>
                <w:szCs w:val="20"/>
              </w:rPr>
              <w:t>2</w:t>
            </w:r>
            <w:r w:rsidR="001B25DA" w:rsidRPr="00E25F90">
              <w:rPr>
                <w:sz w:val="20"/>
                <w:szCs w:val="20"/>
              </w:rPr>
              <w:t>64</w:t>
            </w:r>
          </w:p>
        </w:tc>
        <w:tc>
          <w:tcPr>
            <w:tcW w:w="1046" w:type="dxa"/>
            <w:vAlign w:val="center"/>
          </w:tcPr>
          <w:p w14:paraId="6215BB77" w14:textId="77777777" w:rsidR="00CA6B5D" w:rsidRPr="00E25F90" w:rsidRDefault="00CA6B5D" w:rsidP="000C2A54">
            <w:pPr>
              <w:jc w:val="center"/>
              <w:rPr>
                <w:sz w:val="20"/>
                <w:szCs w:val="20"/>
              </w:rPr>
            </w:pPr>
          </w:p>
          <w:p w14:paraId="76C5B2BF" w14:textId="3B52F208" w:rsidR="001D0DE7" w:rsidRPr="00E25F90" w:rsidRDefault="001D0DE7" w:rsidP="000C2A54">
            <w:pPr>
              <w:jc w:val="center"/>
              <w:rPr>
                <w:sz w:val="20"/>
                <w:szCs w:val="20"/>
              </w:rPr>
            </w:pPr>
            <w:r w:rsidRPr="00E25F90">
              <w:rPr>
                <w:sz w:val="20"/>
                <w:szCs w:val="20"/>
              </w:rPr>
              <w:t>2</w:t>
            </w:r>
            <w:r w:rsidR="001B25DA" w:rsidRPr="00E25F90">
              <w:rPr>
                <w:sz w:val="20"/>
                <w:szCs w:val="20"/>
              </w:rPr>
              <w:t>35</w:t>
            </w:r>
          </w:p>
        </w:tc>
        <w:tc>
          <w:tcPr>
            <w:tcW w:w="1162" w:type="dxa"/>
            <w:vAlign w:val="center"/>
          </w:tcPr>
          <w:p w14:paraId="19674685" w14:textId="77777777" w:rsidR="00CA6B5D" w:rsidRPr="00E25F90" w:rsidRDefault="00CA6B5D" w:rsidP="000C2A54">
            <w:pPr>
              <w:jc w:val="center"/>
              <w:rPr>
                <w:sz w:val="20"/>
                <w:szCs w:val="20"/>
              </w:rPr>
            </w:pPr>
          </w:p>
          <w:p w14:paraId="2A091CFB" w14:textId="5B81D9CE" w:rsidR="001D0DE7" w:rsidRPr="00E25F90" w:rsidRDefault="001B25DA" w:rsidP="000C2A54">
            <w:pPr>
              <w:jc w:val="center"/>
              <w:rPr>
                <w:sz w:val="20"/>
                <w:szCs w:val="20"/>
              </w:rPr>
            </w:pPr>
            <w:r w:rsidRPr="00E25F90">
              <w:rPr>
                <w:sz w:val="20"/>
                <w:szCs w:val="20"/>
              </w:rPr>
              <w:t>3</w:t>
            </w:r>
          </w:p>
        </w:tc>
      </w:tr>
      <w:tr w:rsidR="00A7412A" w:rsidRPr="003C1FD4" w14:paraId="6447905C" w14:textId="77777777" w:rsidTr="54F71CB4">
        <w:trPr>
          <w:jc w:val="center"/>
        </w:trPr>
        <w:tc>
          <w:tcPr>
            <w:tcW w:w="1858" w:type="dxa"/>
            <w:vAlign w:val="center"/>
          </w:tcPr>
          <w:p w14:paraId="17789F05" w14:textId="77777777" w:rsidR="00A7412A" w:rsidRPr="00E25F90" w:rsidRDefault="00A7412A" w:rsidP="000C2A54">
            <w:pPr>
              <w:ind w:left="57"/>
              <w:rPr>
                <w:sz w:val="20"/>
                <w:szCs w:val="20"/>
              </w:rPr>
            </w:pPr>
            <w:r w:rsidRPr="00E25F90">
              <w:rPr>
                <w:sz w:val="20"/>
                <w:szCs w:val="20"/>
              </w:rPr>
              <w:t>Claire Martin</w:t>
            </w:r>
          </w:p>
          <w:p w14:paraId="09794641" w14:textId="77777777" w:rsidR="00A7412A" w:rsidRPr="00E25F90" w:rsidRDefault="00A7412A" w:rsidP="00DE3AEE">
            <w:pPr>
              <w:ind w:left="57"/>
              <w:rPr>
                <w:sz w:val="20"/>
                <w:szCs w:val="20"/>
              </w:rPr>
            </w:pPr>
            <w:r w:rsidRPr="00E25F90">
              <w:rPr>
                <w:sz w:val="20"/>
                <w:szCs w:val="20"/>
              </w:rPr>
              <w:t xml:space="preserve">Director </w:t>
            </w:r>
            <w:r w:rsidRPr="00E25F90">
              <w:rPr>
                <w:i/>
                <w:sz w:val="20"/>
                <w:szCs w:val="20"/>
              </w:rPr>
              <w:br/>
            </w:r>
          </w:p>
        </w:tc>
        <w:tc>
          <w:tcPr>
            <w:tcW w:w="1670" w:type="dxa"/>
            <w:vAlign w:val="center"/>
          </w:tcPr>
          <w:p w14:paraId="0C88F160" w14:textId="77777777" w:rsidR="00A7412A" w:rsidRPr="00E25F90" w:rsidRDefault="001D0DE7" w:rsidP="000C2A54">
            <w:pPr>
              <w:jc w:val="center"/>
              <w:rPr>
                <w:sz w:val="20"/>
                <w:szCs w:val="20"/>
              </w:rPr>
            </w:pPr>
            <w:r w:rsidRPr="00E25F90">
              <w:rPr>
                <w:sz w:val="20"/>
                <w:szCs w:val="20"/>
              </w:rPr>
              <w:t>15-20</w:t>
            </w:r>
          </w:p>
        </w:tc>
        <w:tc>
          <w:tcPr>
            <w:tcW w:w="1497" w:type="dxa"/>
            <w:vAlign w:val="center"/>
          </w:tcPr>
          <w:p w14:paraId="7CA0A778" w14:textId="77777777" w:rsidR="00A7412A" w:rsidRPr="00E25F90" w:rsidRDefault="00CA6B5D" w:rsidP="000C2A54">
            <w:pPr>
              <w:jc w:val="center"/>
              <w:rPr>
                <w:sz w:val="20"/>
                <w:szCs w:val="20"/>
              </w:rPr>
            </w:pPr>
            <w:r w:rsidRPr="00E25F90">
              <w:rPr>
                <w:sz w:val="20"/>
                <w:szCs w:val="20"/>
              </w:rPr>
              <w:t>0-2.5</w:t>
            </w:r>
          </w:p>
        </w:tc>
        <w:tc>
          <w:tcPr>
            <w:tcW w:w="1046" w:type="dxa"/>
            <w:vAlign w:val="center"/>
          </w:tcPr>
          <w:p w14:paraId="3A459E41" w14:textId="42B0F22F" w:rsidR="00A7412A" w:rsidRPr="00E25F90" w:rsidRDefault="001B25DA" w:rsidP="000C2A54">
            <w:pPr>
              <w:jc w:val="center"/>
              <w:rPr>
                <w:sz w:val="20"/>
                <w:szCs w:val="20"/>
              </w:rPr>
            </w:pPr>
            <w:r w:rsidRPr="00E25F90">
              <w:rPr>
                <w:sz w:val="20"/>
                <w:szCs w:val="20"/>
              </w:rPr>
              <w:t>223</w:t>
            </w:r>
          </w:p>
        </w:tc>
        <w:tc>
          <w:tcPr>
            <w:tcW w:w="1046" w:type="dxa"/>
            <w:vAlign w:val="center"/>
          </w:tcPr>
          <w:p w14:paraId="1BD5009A" w14:textId="65C87D3B" w:rsidR="00A7412A" w:rsidRPr="00E25F90" w:rsidRDefault="001D0DE7" w:rsidP="000C2A54">
            <w:pPr>
              <w:jc w:val="center"/>
              <w:rPr>
                <w:sz w:val="20"/>
                <w:szCs w:val="20"/>
              </w:rPr>
            </w:pPr>
            <w:r w:rsidRPr="00E25F90">
              <w:rPr>
                <w:sz w:val="20"/>
                <w:szCs w:val="20"/>
              </w:rPr>
              <w:t>1</w:t>
            </w:r>
            <w:r w:rsidR="001B25DA" w:rsidRPr="00E25F90">
              <w:rPr>
                <w:sz w:val="20"/>
                <w:szCs w:val="20"/>
              </w:rPr>
              <w:t>97</w:t>
            </w:r>
          </w:p>
        </w:tc>
        <w:tc>
          <w:tcPr>
            <w:tcW w:w="1162" w:type="dxa"/>
            <w:vAlign w:val="center"/>
          </w:tcPr>
          <w:p w14:paraId="5584D761" w14:textId="4E47CEF5" w:rsidR="00A7412A" w:rsidRPr="00E25F90" w:rsidRDefault="001B25DA" w:rsidP="000C2A54">
            <w:pPr>
              <w:jc w:val="center"/>
              <w:rPr>
                <w:sz w:val="20"/>
                <w:szCs w:val="20"/>
              </w:rPr>
            </w:pPr>
            <w:r w:rsidRPr="00E25F90">
              <w:rPr>
                <w:sz w:val="20"/>
                <w:szCs w:val="20"/>
              </w:rPr>
              <w:t>2</w:t>
            </w:r>
          </w:p>
        </w:tc>
      </w:tr>
      <w:tr w:rsidR="00A7412A" w:rsidRPr="003C1FD4" w14:paraId="21841256" w14:textId="77777777" w:rsidTr="54F71CB4">
        <w:trPr>
          <w:jc w:val="center"/>
        </w:trPr>
        <w:tc>
          <w:tcPr>
            <w:tcW w:w="1858" w:type="dxa"/>
            <w:vAlign w:val="center"/>
          </w:tcPr>
          <w:p w14:paraId="2879F762" w14:textId="77777777" w:rsidR="00A7412A" w:rsidRPr="00E25F90" w:rsidRDefault="00A7412A" w:rsidP="000C2A54">
            <w:pPr>
              <w:ind w:left="57"/>
              <w:rPr>
                <w:sz w:val="20"/>
                <w:szCs w:val="20"/>
              </w:rPr>
            </w:pPr>
            <w:r w:rsidRPr="00E25F90">
              <w:rPr>
                <w:sz w:val="20"/>
                <w:szCs w:val="20"/>
              </w:rPr>
              <w:t>Rhyannon Blythe</w:t>
            </w:r>
          </w:p>
          <w:p w14:paraId="6A143BE6" w14:textId="77777777" w:rsidR="00A7412A" w:rsidRPr="00E25F90" w:rsidRDefault="00A7412A" w:rsidP="000C2A54">
            <w:pPr>
              <w:ind w:left="57"/>
              <w:rPr>
                <w:sz w:val="20"/>
                <w:szCs w:val="20"/>
              </w:rPr>
            </w:pPr>
            <w:r w:rsidRPr="00E25F90">
              <w:rPr>
                <w:sz w:val="20"/>
                <w:szCs w:val="20"/>
              </w:rPr>
              <w:t>Director</w:t>
            </w:r>
          </w:p>
          <w:p w14:paraId="254AC378" w14:textId="77777777" w:rsidR="00A7412A" w:rsidRPr="00E25F90" w:rsidRDefault="00A7412A" w:rsidP="00DE3AEE">
            <w:pPr>
              <w:ind w:left="57"/>
              <w:rPr>
                <w:sz w:val="20"/>
                <w:szCs w:val="20"/>
              </w:rPr>
            </w:pPr>
          </w:p>
        </w:tc>
        <w:tc>
          <w:tcPr>
            <w:tcW w:w="1670" w:type="dxa"/>
            <w:vAlign w:val="center"/>
          </w:tcPr>
          <w:p w14:paraId="40398F10" w14:textId="62F0CBF5" w:rsidR="00A7412A" w:rsidRPr="00E25F90" w:rsidRDefault="001B25DA" w:rsidP="000C2A54">
            <w:pPr>
              <w:jc w:val="center"/>
              <w:rPr>
                <w:sz w:val="20"/>
                <w:szCs w:val="20"/>
              </w:rPr>
            </w:pPr>
            <w:r w:rsidRPr="00E25F90">
              <w:rPr>
                <w:sz w:val="20"/>
                <w:szCs w:val="20"/>
              </w:rPr>
              <w:t>10-15</w:t>
            </w:r>
          </w:p>
        </w:tc>
        <w:tc>
          <w:tcPr>
            <w:tcW w:w="1497" w:type="dxa"/>
            <w:vAlign w:val="center"/>
          </w:tcPr>
          <w:p w14:paraId="7B3222B0" w14:textId="77777777" w:rsidR="00A7412A" w:rsidRPr="00E25F90" w:rsidRDefault="00CA6B5D" w:rsidP="000C2A54">
            <w:pPr>
              <w:jc w:val="center"/>
              <w:rPr>
                <w:sz w:val="20"/>
                <w:szCs w:val="20"/>
              </w:rPr>
            </w:pPr>
            <w:r w:rsidRPr="00E25F90">
              <w:rPr>
                <w:sz w:val="20"/>
                <w:szCs w:val="20"/>
              </w:rPr>
              <w:t>0-2.5</w:t>
            </w:r>
          </w:p>
        </w:tc>
        <w:tc>
          <w:tcPr>
            <w:tcW w:w="1046" w:type="dxa"/>
            <w:vAlign w:val="center"/>
          </w:tcPr>
          <w:p w14:paraId="4D69BDE3" w14:textId="3BCD39EA" w:rsidR="00A7412A" w:rsidRPr="00E25F90" w:rsidRDefault="001B25DA" w:rsidP="000C2A54">
            <w:pPr>
              <w:jc w:val="center"/>
              <w:rPr>
                <w:sz w:val="20"/>
                <w:szCs w:val="20"/>
              </w:rPr>
            </w:pPr>
            <w:r w:rsidRPr="00E25F90">
              <w:rPr>
                <w:sz w:val="20"/>
                <w:szCs w:val="20"/>
              </w:rPr>
              <w:t>100</w:t>
            </w:r>
          </w:p>
        </w:tc>
        <w:tc>
          <w:tcPr>
            <w:tcW w:w="1046" w:type="dxa"/>
            <w:vAlign w:val="center"/>
          </w:tcPr>
          <w:p w14:paraId="6CA6825B" w14:textId="420C462F" w:rsidR="00A7412A" w:rsidRPr="00E25F90" w:rsidRDefault="001B25DA" w:rsidP="000C2A54">
            <w:pPr>
              <w:jc w:val="center"/>
              <w:rPr>
                <w:sz w:val="20"/>
                <w:szCs w:val="20"/>
              </w:rPr>
            </w:pPr>
            <w:r w:rsidRPr="00E25F90">
              <w:rPr>
                <w:sz w:val="20"/>
                <w:szCs w:val="20"/>
              </w:rPr>
              <w:t>83</w:t>
            </w:r>
          </w:p>
        </w:tc>
        <w:tc>
          <w:tcPr>
            <w:tcW w:w="1162" w:type="dxa"/>
            <w:vAlign w:val="center"/>
          </w:tcPr>
          <w:p w14:paraId="4AE3D58B" w14:textId="77777777" w:rsidR="00A7412A" w:rsidRPr="00E25F90" w:rsidRDefault="00CA6B5D" w:rsidP="000C2A54">
            <w:pPr>
              <w:jc w:val="center"/>
              <w:rPr>
                <w:sz w:val="20"/>
                <w:szCs w:val="20"/>
              </w:rPr>
            </w:pPr>
            <w:r w:rsidRPr="00E25F90">
              <w:rPr>
                <w:sz w:val="20"/>
                <w:szCs w:val="20"/>
              </w:rPr>
              <w:t>8</w:t>
            </w:r>
          </w:p>
        </w:tc>
      </w:tr>
      <w:tr w:rsidR="00A7412A" w:rsidRPr="003C1FD4" w14:paraId="5E9E96C0" w14:textId="77777777" w:rsidTr="54F71CB4">
        <w:trPr>
          <w:jc w:val="center"/>
        </w:trPr>
        <w:tc>
          <w:tcPr>
            <w:tcW w:w="1858" w:type="dxa"/>
            <w:vAlign w:val="center"/>
          </w:tcPr>
          <w:p w14:paraId="62C022BD" w14:textId="77777777" w:rsidR="00A7412A" w:rsidRPr="00E25F90" w:rsidRDefault="00A7412A" w:rsidP="3285EAFF">
            <w:pPr>
              <w:rPr>
                <w:color w:val="000000" w:themeColor="text1"/>
                <w:sz w:val="20"/>
                <w:szCs w:val="20"/>
              </w:rPr>
            </w:pPr>
            <w:r w:rsidRPr="00E25F90">
              <w:rPr>
                <w:color w:val="000000" w:themeColor="text1"/>
                <w:sz w:val="20"/>
                <w:szCs w:val="20"/>
              </w:rPr>
              <w:t>Eilis Haughey</w:t>
            </w:r>
          </w:p>
          <w:p w14:paraId="1E8F8E10" w14:textId="77777777" w:rsidR="00A7412A" w:rsidRPr="00E25F90" w:rsidRDefault="001B25DA" w:rsidP="001B25DA">
            <w:pPr>
              <w:rPr>
                <w:color w:val="000000" w:themeColor="text1"/>
                <w:sz w:val="20"/>
                <w:szCs w:val="20"/>
              </w:rPr>
            </w:pPr>
            <w:r w:rsidRPr="00E25F90">
              <w:rPr>
                <w:color w:val="000000" w:themeColor="text1"/>
                <w:sz w:val="20"/>
                <w:szCs w:val="20"/>
              </w:rPr>
              <w:t>Director</w:t>
            </w:r>
          </w:p>
          <w:p w14:paraId="0001A107" w14:textId="5D156D88" w:rsidR="001B25DA" w:rsidRPr="00E25F90" w:rsidRDefault="001B25DA" w:rsidP="001B25DA">
            <w:pPr>
              <w:rPr>
                <w:sz w:val="20"/>
                <w:szCs w:val="20"/>
              </w:rPr>
            </w:pPr>
          </w:p>
        </w:tc>
        <w:tc>
          <w:tcPr>
            <w:tcW w:w="1670" w:type="dxa"/>
            <w:vAlign w:val="center"/>
          </w:tcPr>
          <w:p w14:paraId="598B4064" w14:textId="77777777" w:rsidR="00A7412A" w:rsidRPr="00E25F90" w:rsidRDefault="00CA6B5D" w:rsidP="000C2A54">
            <w:pPr>
              <w:jc w:val="center"/>
              <w:rPr>
                <w:sz w:val="20"/>
                <w:szCs w:val="20"/>
              </w:rPr>
            </w:pPr>
            <w:r w:rsidRPr="00E25F90">
              <w:rPr>
                <w:sz w:val="20"/>
                <w:szCs w:val="20"/>
              </w:rPr>
              <w:t>0-5</w:t>
            </w:r>
          </w:p>
        </w:tc>
        <w:tc>
          <w:tcPr>
            <w:tcW w:w="1497" w:type="dxa"/>
            <w:vAlign w:val="center"/>
          </w:tcPr>
          <w:p w14:paraId="4E3214AB" w14:textId="77777777" w:rsidR="00A7412A" w:rsidRPr="00E25F90" w:rsidRDefault="00CA6B5D" w:rsidP="000C2A54">
            <w:pPr>
              <w:jc w:val="center"/>
              <w:rPr>
                <w:sz w:val="20"/>
                <w:szCs w:val="20"/>
              </w:rPr>
            </w:pPr>
            <w:r w:rsidRPr="00E25F90">
              <w:rPr>
                <w:sz w:val="20"/>
                <w:szCs w:val="20"/>
              </w:rPr>
              <w:t>0-2.5</w:t>
            </w:r>
          </w:p>
        </w:tc>
        <w:tc>
          <w:tcPr>
            <w:tcW w:w="1046" w:type="dxa"/>
            <w:vAlign w:val="center"/>
          </w:tcPr>
          <w:p w14:paraId="724FD1BD" w14:textId="5CD3C4AD" w:rsidR="00A7412A" w:rsidRPr="00E25F90" w:rsidRDefault="001B25DA" w:rsidP="000C2A54">
            <w:pPr>
              <w:jc w:val="center"/>
              <w:rPr>
                <w:sz w:val="20"/>
                <w:szCs w:val="20"/>
              </w:rPr>
            </w:pPr>
            <w:r w:rsidRPr="00E25F90">
              <w:rPr>
                <w:sz w:val="20"/>
                <w:szCs w:val="20"/>
              </w:rPr>
              <w:t>40</w:t>
            </w:r>
          </w:p>
        </w:tc>
        <w:tc>
          <w:tcPr>
            <w:tcW w:w="1046" w:type="dxa"/>
            <w:vAlign w:val="center"/>
          </w:tcPr>
          <w:p w14:paraId="7B2E35E5" w14:textId="18E5043A" w:rsidR="00A7412A" w:rsidRPr="00E25F90" w:rsidRDefault="001B25DA" w:rsidP="000C2A54">
            <w:pPr>
              <w:jc w:val="center"/>
              <w:rPr>
                <w:sz w:val="20"/>
                <w:szCs w:val="20"/>
              </w:rPr>
            </w:pPr>
            <w:r w:rsidRPr="00E25F90">
              <w:rPr>
                <w:sz w:val="20"/>
                <w:szCs w:val="20"/>
              </w:rPr>
              <w:t>20</w:t>
            </w:r>
          </w:p>
        </w:tc>
        <w:tc>
          <w:tcPr>
            <w:tcW w:w="1162" w:type="dxa"/>
            <w:vAlign w:val="center"/>
          </w:tcPr>
          <w:p w14:paraId="36D6844F" w14:textId="3BAB5736" w:rsidR="00A7412A" w:rsidRPr="00E25F90" w:rsidRDefault="001D0DE7" w:rsidP="000C2A54">
            <w:pPr>
              <w:jc w:val="center"/>
              <w:rPr>
                <w:sz w:val="20"/>
                <w:szCs w:val="20"/>
              </w:rPr>
            </w:pPr>
            <w:r w:rsidRPr="00E25F90">
              <w:rPr>
                <w:sz w:val="20"/>
                <w:szCs w:val="20"/>
              </w:rPr>
              <w:t>1</w:t>
            </w:r>
            <w:r w:rsidR="001B25DA" w:rsidRPr="00E25F90">
              <w:rPr>
                <w:sz w:val="20"/>
                <w:szCs w:val="20"/>
              </w:rPr>
              <w:t>4</w:t>
            </w:r>
          </w:p>
        </w:tc>
      </w:tr>
      <w:tr w:rsidR="001B25DA" w:rsidRPr="003C1FD4" w14:paraId="2E758AF7" w14:textId="77777777" w:rsidTr="54F71CB4">
        <w:trPr>
          <w:jc w:val="center"/>
        </w:trPr>
        <w:tc>
          <w:tcPr>
            <w:tcW w:w="1858" w:type="dxa"/>
            <w:vAlign w:val="center"/>
          </w:tcPr>
          <w:p w14:paraId="0108282B" w14:textId="77777777" w:rsidR="001B25DA" w:rsidRPr="00E25F90" w:rsidRDefault="001B25DA" w:rsidP="3285EAFF">
            <w:pPr>
              <w:rPr>
                <w:color w:val="000000" w:themeColor="text1"/>
                <w:sz w:val="20"/>
                <w:szCs w:val="20"/>
              </w:rPr>
            </w:pPr>
            <w:r w:rsidRPr="00E25F90">
              <w:rPr>
                <w:color w:val="000000" w:themeColor="text1"/>
                <w:sz w:val="20"/>
                <w:szCs w:val="20"/>
              </w:rPr>
              <w:t>Colin Caughey</w:t>
            </w:r>
          </w:p>
          <w:p w14:paraId="1B186D13" w14:textId="0D005038" w:rsidR="001B25DA" w:rsidRPr="00E25F90" w:rsidRDefault="001B25DA" w:rsidP="3285EAFF">
            <w:pPr>
              <w:rPr>
                <w:color w:val="000000" w:themeColor="text1"/>
                <w:sz w:val="20"/>
                <w:szCs w:val="20"/>
              </w:rPr>
            </w:pPr>
            <w:r w:rsidRPr="00E25F90">
              <w:rPr>
                <w:color w:val="000000" w:themeColor="text1"/>
                <w:sz w:val="20"/>
                <w:szCs w:val="20"/>
              </w:rPr>
              <w:t>Director</w:t>
            </w:r>
            <w:r w:rsidR="001F14BB">
              <w:rPr>
                <w:color w:val="000000" w:themeColor="text1"/>
                <w:sz w:val="20"/>
                <w:szCs w:val="20"/>
              </w:rPr>
              <w:t xml:space="preserve"> (from 1 August 2022)</w:t>
            </w:r>
          </w:p>
          <w:p w14:paraId="4B2C8F2B" w14:textId="4345E9E3" w:rsidR="001B25DA" w:rsidRPr="00E25F90" w:rsidRDefault="001B25DA" w:rsidP="3285EAFF">
            <w:pPr>
              <w:rPr>
                <w:color w:val="000000" w:themeColor="text1"/>
                <w:sz w:val="20"/>
                <w:szCs w:val="20"/>
              </w:rPr>
            </w:pPr>
          </w:p>
        </w:tc>
        <w:tc>
          <w:tcPr>
            <w:tcW w:w="1670" w:type="dxa"/>
            <w:vAlign w:val="center"/>
          </w:tcPr>
          <w:p w14:paraId="077D3399" w14:textId="3FEB29FA" w:rsidR="001B25DA" w:rsidRPr="00E25F90" w:rsidRDefault="001B25DA" w:rsidP="000C2A54">
            <w:pPr>
              <w:jc w:val="center"/>
              <w:rPr>
                <w:sz w:val="20"/>
                <w:szCs w:val="20"/>
              </w:rPr>
            </w:pPr>
            <w:r w:rsidRPr="00E25F90">
              <w:rPr>
                <w:sz w:val="20"/>
                <w:szCs w:val="20"/>
              </w:rPr>
              <w:t>5-10</w:t>
            </w:r>
          </w:p>
        </w:tc>
        <w:tc>
          <w:tcPr>
            <w:tcW w:w="1497" w:type="dxa"/>
            <w:vAlign w:val="center"/>
          </w:tcPr>
          <w:p w14:paraId="6931394A" w14:textId="6A69A768" w:rsidR="001B25DA" w:rsidRPr="00E25F90" w:rsidRDefault="001B25DA" w:rsidP="000C2A54">
            <w:pPr>
              <w:jc w:val="center"/>
              <w:rPr>
                <w:sz w:val="20"/>
                <w:szCs w:val="20"/>
              </w:rPr>
            </w:pPr>
            <w:r w:rsidRPr="00E25F90">
              <w:rPr>
                <w:sz w:val="20"/>
                <w:szCs w:val="20"/>
              </w:rPr>
              <w:t>0-2.5</w:t>
            </w:r>
          </w:p>
        </w:tc>
        <w:tc>
          <w:tcPr>
            <w:tcW w:w="1046" w:type="dxa"/>
            <w:vAlign w:val="center"/>
          </w:tcPr>
          <w:p w14:paraId="206FBB61" w14:textId="587EDA64" w:rsidR="001B25DA" w:rsidRPr="00E25F90" w:rsidRDefault="001B25DA" w:rsidP="000C2A54">
            <w:pPr>
              <w:jc w:val="center"/>
              <w:rPr>
                <w:sz w:val="20"/>
                <w:szCs w:val="20"/>
              </w:rPr>
            </w:pPr>
            <w:r w:rsidRPr="00E25F90">
              <w:rPr>
                <w:sz w:val="20"/>
                <w:szCs w:val="20"/>
              </w:rPr>
              <w:t>81</w:t>
            </w:r>
          </w:p>
        </w:tc>
        <w:tc>
          <w:tcPr>
            <w:tcW w:w="1046" w:type="dxa"/>
            <w:vAlign w:val="center"/>
          </w:tcPr>
          <w:p w14:paraId="79743680" w14:textId="60289827" w:rsidR="001B25DA" w:rsidRPr="00E25F90" w:rsidRDefault="001B25DA" w:rsidP="000C2A54">
            <w:pPr>
              <w:jc w:val="center"/>
              <w:rPr>
                <w:sz w:val="20"/>
                <w:szCs w:val="20"/>
              </w:rPr>
            </w:pPr>
            <w:r w:rsidRPr="00E25F90">
              <w:rPr>
                <w:sz w:val="20"/>
                <w:szCs w:val="20"/>
              </w:rPr>
              <w:t>69</w:t>
            </w:r>
          </w:p>
        </w:tc>
        <w:tc>
          <w:tcPr>
            <w:tcW w:w="1162" w:type="dxa"/>
            <w:vAlign w:val="center"/>
          </w:tcPr>
          <w:p w14:paraId="7A5BCA87" w14:textId="1061ED75" w:rsidR="001B25DA" w:rsidRPr="00E25F90" w:rsidRDefault="001B25DA" w:rsidP="000C2A54">
            <w:pPr>
              <w:jc w:val="center"/>
              <w:rPr>
                <w:sz w:val="20"/>
                <w:szCs w:val="20"/>
              </w:rPr>
            </w:pPr>
            <w:r w:rsidRPr="00E25F90">
              <w:rPr>
                <w:sz w:val="20"/>
                <w:szCs w:val="20"/>
              </w:rPr>
              <w:t>6</w:t>
            </w:r>
          </w:p>
        </w:tc>
      </w:tr>
    </w:tbl>
    <w:p w14:paraId="050A2B9B" w14:textId="77777777" w:rsidR="00251E9E" w:rsidRDefault="00251E9E" w:rsidP="000C2A54">
      <w:pPr>
        <w:rPr>
          <w:snapToGrid w:val="0"/>
        </w:rPr>
      </w:pPr>
    </w:p>
    <w:p w14:paraId="72378357" w14:textId="2C276ACE" w:rsidR="000C2A54" w:rsidRDefault="000C2A54" w:rsidP="000C2A54">
      <w:r w:rsidRPr="00D80497">
        <w:rPr>
          <w:snapToGrid w:val="0"/>
        </w:rPr>
        <w:t>The pension information for the senior management team follows guidance in the Employer</w:t>
      </w:r>
      <w:r>
        <w:rPr>
          <w:snapToGrid w:val="0"/>
        </w:rPr>
        <w:t xml:space="preserve"> Pension Notice</w:t>
      </w:r>
      <w:r w:rsidR="00CF6FC4">
        <w:rPr>
          <w:snapToGrid w:val="0"/>
        </w:rPr>
        <w:t>s</w:t>
      </w:r>
      <w:r>
        <w:rPr>
          <w:snapToGrid w:val="0"/>
        </w:rPr>
        <w:t xml:space="preserve"> </w:t>
      </w:r>
      <w:r w:rsidR="0049092B">
        <w:rPr>
          <w:snapToGrid w:val="0"/>
        </w:rPr>
        <w:t>EPN</w:t>
      </w:r>
      <w:r w:rsidR="00AC7F50">
        <w:rPr>
          <w:snapToGrid w:val="0"/>
        </w:rPr>
        <w:t>706</w:t>
      </w:r>
      <w:r w:rsidR="00CF6FC4">
        <w:rPr>
          <w:snapToGrid w:val="0"/>
        </w:rPr>
        <w:t xml:space="preserve"> and EPN710</w:t>
      </w:r>
      <w:r w:rsidR="00A83114">
        <w:rPr>
          <w:snapToGrid w:val="0"/>
        </w:rPr>
        <w:t xml:space="preserve"> </w:t>
      </w:r>
      <w:r w:rsidRPr="00D80497">
        <w:rPr>
          <w:snapToGrid w:val="0"/>
        </w:rPr>
        <w:t>issued by the Civil Service Pensions.</w:t>
      </w:r>
    </w:p>
    <w:p w14:paraId="4C512235" w14:textId="77777777" w:rsidR="00F61A65" w:rsidRDefault="00F61A65" w:rsidP="00827D54">
      <w:pPr>
        <w:rPr>
          <w:b/>
        </w:rPr>
      </w:pPr>
    </w:p>
    <w:p w14:paraId="406529D5" w14:textId="77777777" w:rsidR="005719A6" w:rsidRDefault="00E07F54" w:rsidP="00827D54">
      <w:r>
        <w:t xml:space="preserve">Pension benefits are provided through the Civil Service pension arrangements. Before 1 April 2015, the only scheme was the Principal Civil Service Pension Scheme (PCSPS), which is divided into a few different sections – classic, premium, and classic plus provide benefits on a final salary basis, whilst </w:t>
      </w:r>
      <w:proofErr w:type="spellStart"/>
      <w:r>
        <w:t>nuvos</w:t>
      </w:r>
      <w:proofErr w:type="spellEnd"/>
      <w:r>
        <w:t xml:space="preserve"> provides benefits on a career average basis. From 1 April 2015 a new pension scheme for civil servants was introduced – the Civil Servants and Others Pension Scheme or </w:t>
      </w:r>
      <w:r w:rsidRPr="005719A6">
        <w:rPr>
          <w:b/>
          <w:bCs/>
        </w:rPr>
        <w:t>alpha</w:t>
      </w:r>
      <w:r>
        <w:t xml:space="preserve">, which provides benefits on a career average basis. All newly appointed civil servants, and the majority of those already in service, joined the new scheme. </w:t>
      </w:r>
    </w:p>
    <w:p w14:paraId="746E81D7" w14:textId="77777777" w:rsidR="005719A6" w:rsidRDefault="005719A6" w:rsidP="00827D54"/>
    <w:p w14:paraId="37615C72" w14:textId="77777777" w:rsidR="003B17F4" w:rsidRDefault="00E07F54" w:rsidP="00827D54">
      <w:r>
        <w:t xml:space="preserve">The PCSPS and </w:t>
      </w:r>
      <w:r w:rsidRPr="005719A6">
        <w:rPr>
          <w:b/>
          <w:bCs/>
        </w:rPr>
        <w:t>alpha</w:t>
      </w:r>
      <w:r>
        <w:t xml:space="preserve"> are unfunded statutory schemes. Employees and employers make contributions (employee contributions range between 4.6% and 8.05%, depending on salary). The balance of the cost of benefits in payment is met by monies voted by Parliament each year. Pensions in payment are increased annually in line with the Pensions Increase legislation. Instead of the defined benefit arrangements, employees may opt for a defined contribution pension with an employer contribution, the </w:t>
      </w:r>
      <w:r w:rsidRPr="003B17F4">
        <w:rPr>
          <w:b/>
          <w:bCs/>
        </w:rPr>
        <w:t>partnership</w:t>
      </w:r>
      <w:r>
        <w:t xml:space="preserve"> pension account. </w:t>
      </w:r>
    </w:p>
    <w:p w14:paraId="67AAF453" w14:textId="77777777" w:rsidR="003B17F4" w:rsidRDefault="003B17F4" w:rsidP="00827D54"/>
    <w:p w14:paraId="60485312" w14:textId="77777777" w:rsidR="00565355" w:rsidRDefault="00E07F54" w:rsidP="00827D54">
      <w:r>
        <w:t xml:space="preserve">In </w:t>
      </w:r>
      <w:r w:rsidRPr="003B17F4">
        <w:rPr>
          <w:b/>
          <w:bCs/>
        </w:rPr>
        <w:t>alpha</w:t>
      </w:r>
      <w:r>
        <w:t xml:space="preserve">, pension builds up at a rate of 2.32% of pensionable earnings each year, and the total amount accrued is adjusted annually in line with a rate set by HM Treasury. Members may opt to give up (commute) pension for a lump sum up to the limits set by the Finance Act 2004. All members who switched to </w:t>
      </w:r>
      <w:r w:rsidRPr="00137F0E">
        <w:rPr>
          <w:b/>
          <w:bCs/>
        </w:rPr>
        <w:t>alpha</w:t>
      </w:r>
      <w:r>
        <w:t xml:space="preserve"> from the PCSPS had their PCSPS benefits ‘banked’, with those with earlier benefits in one of the final salary sections of the PCSPS having those benefits based on their final salary when they leave </w:t>
      </w:r>
      <w:r w:rsidRPr="00565355">
        <w:rPr>
          <w:b/>
          <w:bCs/>
        </w:rPr>
        <w:t>alpha</w:t>
      </w:r>
      <w:r>
        <w:t xml:space="preserve">. </w:t>
      </w:r>
    </w:p>
    <w:p w14:paraId="2DE37082" w14:textId="77777777" w:rsidR="00565355" w:rsidRDefault="00565355" w:rsidP="00827D54"/>
    <w:p w14:paraId="157E3752" w14:textId="77777777" w:rsidR="002A274B" w:rsidRDefault="00E07F54" w:rsidP="00827D54">
      <w:r>
        <w:t xml:space="preserve">The accrued pensions shown in this report are the pension the member is entitled to receive when they reach normal pension age, or immediately on ceasing to be an active member of the scheme if they are already at or over normal pension age. Normal pension age is 60 for members of </w:t>
      </w:r>
      <w:r w:rsidRPr="002A274B">
        <w:rPr>
          <w:b/>
          <w:bCs/>
        </w:rPr>
        <w:t>classic</w:t>
      </w:r>
      <w:r>
        <w:t xml:space="preserve">, </w:t>
      </w:r>
      <w:r w:rsidRPr="002A274B">
        <w:rPr>
          <w:b/>
          <w:bCs/>
        </w:rPr>
        <w:t>premium</w:t>
      </w:r>
      <w:r>
        <w:t xml:space="preserve">, and </w:t>
      </w:r>
      <w:r w:rsidRPr="002A274B">
        <w:rPr>
          <w:b/>
          <w:bCs/>
        </w:rPr>
        <w:t>classic plus</w:t>
      </w:r>
      <w:r>
        <w:t xml:space="preserve">, 65 for members of </w:t>
      </w:r>
      <w:proofErr w:type="spellStart"/>
      <w:r w:rsidRPr="002A274B">
        <w:rPr>
          <w:b/>
          <w:bCs/>
        </w:rPr>
        <w:t>nuvos</w:t>
      </w:r>
      <w:proofErr w:type="spellEnd"/>
      <w:r>
        <w:t xml:space="preserve">, and the higher of 65 or State Pension Age for members of </w:t>
      </w:r>
      <w:r w:rsidRPr="003709D0">
        <w:rPr>
          <w:b/>
          <w:bCs/>
        </w:rPr>
        <w:t>alpha</w:t>
      </w:r>
      <w:r>
        <w:t xml:space="preserve">. The pension figures in this report show pension earned in PCSPS or </w:t>
      </w:r>
      <w:r w:rsidRPr="003709D0">
        <w:rPr>
          <w:b/>
          <w:bCs/>
        </w:rPr>
        <w:t>alpha</w:t>
      </w:r>
      <w:r>
        <w:t xml:space="preserve"> – as appropriate. Where a member has benefits in both the PCSPS and </w:t>
      </w:r>
      <w:r w:rsidRPr="003709D0">
        <w:rPr>
          <w:b/>
          <w:bCs/>
        </w:rPr>
        <w:t>alpha</w:t>
      </w:r>
      <w:r>
        <w:t xml:space="preserve">, the figures show the combined value of their benefits in the two schemes but note that the constituent parts of that pension may be payable from different ages. </w:t>
      </w:r>
    </w:p>
    <w:p w14:paraId="3F64A646" w14:textId="77777777" w:rsidR="002A274B" w:rsidRDefault="002A274B" w:rsidP="00827D54"/>
    <w:p w14:paraId="57526246" w14:textId="77777777" w:rsidR="002A274B" w:rsidRDefault="00E07F54" w:rsidP="00827D54">
      <w:r>
        <w:t xml:space="preserve">When the Government introduced new public service pension schemes in 2015, there were transitional arrangements which treated existing scheme members differently based on their age. Older members of the PCSPS remained in that scheme, rather than moving to </w:t>
      </w:r>
      <w:r w:rsidRPr="003709D0">
        <w:rPr>
          <w:b/>
          <w:bCs/>
        </w:rPr>
        <w:t>alpha</w:t>
      </w:r>
      <w:r>
        <w:t xml:space="preserve">. In 2018, the Court of Appeal found that the transitional arrangements in the public service pension schemes unlawfully discriminated against younger members. </w:t>
      </w:r>
    </w:p>
    <w:p w14:paraId="69F7B090" w14:textId="77777777" w:rsidR="002A274B" w:rsidRDefault="002A274B" w:rsidP="00827D54"/>
    <w:p w14:paraId="281CB1EB" w14:textId="77AAD5F2" w:rsidR="003709D0" w:rsidRDefault="00E07F54" w:rsidP="00827D54">
      <w:r>
        <w:t>As a result, steps are being taken to remedy those 2015 reforms, making the pension scheme provisions fair to all members. The public service pensions remedy</w:t>
      </w:r>
      <w:r w:rsidR="00D16421">
        <w:rPr>
          <w:rStyle w:val="FootnoteReference"/>
        </w:rPr>
        <w:footnoteReference w:id="9"/>
      </w:r>
      <w:r>
        <w:t xml:space="preserve"> is made up of two parts. The first part closed the PCSPS on 31 March 2022, with all active members becoming members of </w:t>
      </w:r>
      <w:r w:rsidRPr="003709D0">
        <w:rPr>
          <w:b/>
          <w:bCs/>
        </w:rPr>
        <w:t>alpha</w:t>
      </w:r>
      <w:r>
        <w:t xml:space="preserve"> from 1 April 2022. The second part removes the age discrimination for the remedy period, between 1 April 2015 and 31 March 2022, by moving the membership of eligible members during this period back into the PCSPS on 1 October 2023. This is known as “rollback”. </w:t>
      </w:r>
    </w:p>
    <w:p w14:paraId="55DB621D" w14:textId="77777777" w:rsidR="003709D0" w:rsidRDefault="003709D0" w:rsidP="00827D54"/>
    <w:p w14:paraId="41C6E3D1" w14:textId="77777777" w:rsidR="00B575AB" w:rsidRDefault="00E07F54" w:rsidP="00827D54">
      <w:r>
        <w:t xml:space="preserve">For members who are in scope of the public service pension remedy, the calculation of their benefits for the purpose of calculating their Cash Equivalent Transfer Value and their single total figure of remuneration, as of 31 March 2023 and 31 March 2024, reflects the fact that membership between 1 April 2015 and 31 March 2022 has been rolled back into the PCSPS. Although members will in due course get an option to decide whether that period should count towards PCSPS or </w:t>
      </w:r>
      <w:r w:rsidRPr="00B575AB">
        <w:rPr>
          <w:b/>
          <w:bCs/>
        </w:rPr>
        <w:t>alpha</w:t>
      </w:r>
      <w:r>
        <w:t xml:space="preserve"> benefits, the figures show the rolled back position i.e., PCSPS benefits for that period. </w:t>
      </w:r>
    </w:p>
    <w:p w14:paraId="5E20C45A" w14:textId="77777777" w:rsidR="00B575AB" w:rsidRDefault="00B575AB" w:rsidP="00827D54"/>
    <w:p w14:paraId="31C1D17C" w14:textId="77777777" w:rsidR="00B575AB" w:rsidRDefault="00E07F54" w:rsidP="00827D54">
      <w:r>
        <w:t xml:space="preserve">The </w:t>
      </w:r>
      <w:r w:rsidRPr="00B575AB">
        <w:rPr>
          <w:b/>
          <w:bCs/>
        </w:rPr>
        <w:t>partnership</w:t>
      </w:r>
      <w:r>
        <w:t xml:space="preserve"> pension account is an occupational defined contribution pension arrangement which is part of the Legal &amp; General </w:t>
      </w:r>
      <w:proofErr w:type="spellStart"/>
      <w:r>
        <w:t>Mastertrust</w:t>
      </w:r>
      <w:proofErr w:type="spellEnd"/>
      <w:r>
        <w:t xml:space="preserve">. The employer makes a basic contribution of between 8% and 14.75% (depending on the age of the member). The employee does not have to contribute but, where they do make contributions, the employer will match these up to a limit of 3% of pensionable salary (in addition to the employer’s basic contribution). Employers also contribute a further 0.5% of pensionable salary to cover the cost of centrally provided risk benefit cover (death in service and ill health retirement). </w:t>
      </w:r>
    </w:p>
    <w:p w14:paraId="35C717E4" w14:textId="77777777" w:rsidR="00B575AB" w:rsidRDefault="00B575AB" w:rsidP="00827D54"/>
    <w:p w14:paraId="51A0D181" w14:textId="466E3E99" w:rsidR="00B575AB" w:rsidRDefault="00E07F54" w:rsidP="00827D54">
      <w:r>
        <w:t xml:space="preserve">Further details about the Civil Service pension arrangements can be found at the website </w:t>
      </w:r>
      <w:hyperlink r:id="rId32" w:history="1">
        <w:r w:rsidR="00B575AB" w:rsidRPr="00917C4B">
          <w:rPr>
            <w:rStyle w:val="Hyperlink"/>
          </w:rPr>
          <w:t>www.civilservicepensionscheme.org.uk</w:t>
        </w:r>
      </w:hyperlink>
      <w:r>
        <w:t xml:space="preserve"> </w:t>
      </w:r>
    </w:p>
    <w:p w14:paraId="5B620633" w14:textId="77777777" w:rsidR="00B575AB" w:rsidRDefault="00B575AB" w:rsidP="00827D54"/>
    <w:p w14:paraId="59D572DA" w14:textId="77777777" w:rsidR="005F25C2" w:rsidRPr="005F25C2" w:rsidRDefault="00E07F54" w:rsidP="00827D54">
      <w:pPr>
        <w:rPr>
          <w:b/>
          <w:bCs/>
          <w:u w:val="single"/>
        </w:rPr>
      </w:pPr>
      <w:r w:rsidRPr="005F25C2">
        <w:rPr>
          <w:b/>
          <w:bCs/>
          <w:u w:val="single"/>
        </w:rPr>
        <w:t xml:space="preserve">Cash Equivalent Transfer Values </w:t>
      </w:r>
    </w:p>
    <w:p w14:paraId="678084AA" w14:textId="77777777" w:rsidR="005F25C2" w:rsidRDefault="005F25C2" w:rsidP="00827D54"/>
    <w:p w14:paraId="3C1ABBF2" w14:textId="77777777" w:rsidR="00DE2E63" w:rsidRDefault="00E07F54" w:rsidP="00827D54">
      <w:r>
        <w:t xml:space="preserve">A Cash Equivalent Transfer Value (CETV) is the actuarially assessed capitalised value of the pension scheme benefits accrued by a member at a particular point in time. The benefits valued are the member’s accrued benefits and any contingent spouse’s pension payable from the scheme. A CETV is a payment made by a pension scheme or arrangement to secure pension benefits in another pension scheme or arrangement when the member leaves a scheme and chooses to transfer the benefits accrued in their former scheme. The pension figures shown relate to the benefits that the individual has accrued </w:t>
      </w:r>
      <w:proofErr w:type="gramStart"/>
      <w:r>
        <w:t>as a consequence of</w:t>
      </w:r>
      <w:proofErr w:type="gramEnd"/>
      <w:r>
        <w:t xml:space="preserve"> their total membership of the pension scheme, not just their service in a senior capacity to which disclosure applies. </w:t>
      </w:r>
    </w:p>
    <w:p w14:paraId="3A40E3EE" w14:textId="77777777" w:rsidR="00DE2E63" w:rsidRDefault="00DE2E63" w:rsidP="00827D54"/>
    <w:p w14:paraId="2FE535A3" w14:textId="77777777" w:rsidR="00DE2E63" w:rsidRDefault="00E07F54" w:rsidP="00827D54">
      <w:r>
        <w:t xml:space="preserve">The figures include the value of any pension benefit in another scheme or arrangement which the member has transferred to the Civil Service pension arrangements. They also include any additional pension benefit accrued to the member </w:t>
      </w:r>
      <w:proofErr w:type="gramStart"/>
      <w:r>
        <w:t>as a result of</w:t>
      </w:r>
      <w:proofErr w:type="gramEnd"/>
      <w:r>
        <w:t xml:space="preserve"> their buying additional pension benefits at their own cost. </w:t>
      </w:r>
    </w:p>
    <w:p w14:paraId="5EEAAADE" w14:textId="77777777" w:rsidR="00DE2E63" w:rsidRDefault="00DE2E63" w:rsidP="00827D54"/>
    <w:p w14:paraId="7196F03D" w14:textId="77777777" w:rsidR="00DE2E63" w:rsidRDefault="00E07F54" w:rsidP="00827D54">
      <w:r>
        <w:t xml:space="preserve">CETVs are worked out in accordance with The Occupational Pension Schemes (Transfer Values) (Amendment) Regulations 2008 and do not take account of any actual or potential reduction to benefits resulting from Lifetime Allowance Tax which may be due when pension benefits are taken. </w:t>
      </w:r>
    </w:p>
    <w:p w14:paraId="6A640334" w14:textId="77777777" w:rsidR="00DE2E63" w:rsidRDefault="00DE2E63" w:rsidP="00827D54"/>
    <w:p w14:paraId="1F1996F6" w14:textId="77777777" w:rsidR="00DE2E63" w:rsidRPr="00DE2E63" w:rsidRDefault="00E07F54" w:rsidP="00827D54">
      <w:pPr>
        <w:rPr>
          <w:b/>
          <w:bCs/>
          <w:u w:val="single"/>
        </w:rPr>
      </w:pPr>
      <w:r w:rsidRPr="00DE2E63">
        <w:rPr>
          <w:b/>
          <w:bCs/>
          <w:u w:val="single"/>
        </w:rPr>
        <w:t xml:space="preserve">Real increase in CETV </w:t>
      </w:r>
    </w:p>
    <w:p w14:paraId="1054E6CA" w14:textId="77777777" w:rsidR="00DE2E63" w:rsidRDefault="00DE2E63" w:rsidP="00827D54"/>
    <w:p w14:paraId="305525AD" w14:textId="33C10E78" w:rsidR="007330CB" w:rsidRDefault="00E07F54" w:rsidP="00827D54">
      <w:pPr>
        <w:rPr>
          <w:b/>
        </w:rPr>
      </w:pPr>
      <w:r>
        <w:t>This reflects the increase in CETV that is funded by the employer. It does not include the increase in accrued pension due to inflation, contributions paid by the employee (including the value of any benefits transferred from another pension scheme or arrangement) and uses common market valuation factors for the start and end of the period.</w:t>
      </w:r>
    </w:p>
    <w:p w14:paraId="23E04BB5" w14:textId="77777777" w:rsidR="007330CB" w:rsidRDefault="007330CB" w:rsidP="00827D54">
      <w:pPr>
        <w:rPr>
          <w:b/>
        </w:rPr>
      </w:pPr>
    </w:p>
    <w:p w14:paraId="5F9A3BB8" w14:textId="0ACB0408" w:rsidR="000C2A54" w:rsidRDefault="000C2A54" w:rsidP="005A5017">
      <w:pPr>
        <w:rPr>
          <w:b/>
        </w:rPr>
      </w:pPr>
      <w:bookmarkStart w:id="27" w:name="StaffReport"/>
      <w:r w:rsidRPr="00582E77">
        <w:rPr>
          <w:b/>
        </w:rPr>
        <w:t>Staff Report</w:t>
      </w:r>
      <w:r w:rsidR="0057710A">
        <w:rPr>
          <w:b/>
        </w:rPr>
        <w:t xml:space="preserve"> </w:t>
      </w:r>
    </w:p>
    <w:bookmarkEnd w:id="27"/>
    <w:p w14:paraId="3AF1F456" w14:textId="77777777" w:rsidR="000C2A54" w:rsidRDefault="000C2A54" w:rsidP="000C2A54">
      <w:pPr>
        <w:ind w:left="567" w:hanging="567"/>
        <w:rPr>
          <w:b/>
        </w:rPr>
      </w:pPr>
    </w:p>
    <w:p w14:paraId="6F374FB2" w14:textId="77777777" w:rsidR="000C2A54" w:rsidRPr="00D73014" w:rsidRDefault="000C2A54" w:rsidP="000C2A54">
      <w:pPr>
        <w:ind w:left="567" w:hanging="567"/>
      </w:pPr>
      <w:r w:rsidRPr="00F97E5F">
        <w:rPr>
          <w:b/>
        </w:rPr>
        <w:t>Staff numbers and related costs</w:t>
      </w:r>
      <w:r>
        <w:rPr>
          <w:b/>
        </w:rPr>
        <w:t xml:space="preserve"> </w:t>
      </w:r>
      <w:r>
        <w:t>(audited information)</w:t>
      </w:r>
    </w:p>
    <w:p w14:paraId="37F9524E" w14:textId="77777777" w:rsidR="000C2A54" w:rsidRPr="00832258" w:rsidRDefault="000C2A54" w:rsidP="000C2A54"/>
    <w:tbl>
      <w:tblPr>
        <w:tblW w:w="10655" w:type="dxa"/>
        <w:jc w:val="center"/>
        <w:tblLayout w:type="fixed"/>
        <w:tblLook w:val="01E0" w:firstRow="1" w:lastRow="1" w:firstColumn="1" w:lastColumn="1" w:noHBand="0" w:noVBand="0"/>
      </w:tblPr>
      <w:tblGrid>
        <w:gridCol w:w="2461"/>
        <w:gridCol w:w="1534"/>
        <w:gridCol w:w="1980"/>
        <w:gridCol w:w="1800"/>
        <w:gridCol w:w="1440"/>
        <w:gridCol w:w="1440"/>
      </w:tblGrid>
      <w:tr w:rsidR="000C2A54" w:rsidRPr="00A95808" w14:paraId="658323D8" w14:textId="77777777" w:rsidTr="3285EAFF">
        <w:trPr>
          <w:jc w:val="center"/>
        </w:trPr>
        <w:tc>
          <w:tcPr>
            <w:tcW w:w="2461" w:type="dxa"/>
          </w:tcPr>
          <w:p w14:paraId="72D750E0" w14:textId="77777777" w:rsidR="000C2A54" w:rsidRPr="00730E98" w:rsidRDefault="000C2A54" w:rsidP="000C2A54">
            <w:pPr>
              <w:jc w:val="right"/>
              <w:rPr>
                <w:sz w:val="20"/>
                <w:szCs w:val="20"/>
              </w:rPr>
            </w:pPr>
          </w:p>
        </w:tc>
        <w:tc>
          <w:tcPr>
            <w:tcW w:w="1534" w:type="dxa"/>
          </w:tcPr>
          <w:p w14:paraId="494699B6" w14:textId="16914CED" w:rsidR="000C2A54" w:rsidRPr="00A95808" w:rsidRDefault="00403C79" w:rsidP="3285EAFF">
            <w:pPr>
              <w:jc w:val="right"/>
              <w:rPr>
                <w:b/>
                <w:bCs/>
                <w:sz w:val="20"/>
                <w:szCs w:val="20"/>
              </w:rPr>
            </w:pPr>
            <w:r>
              <w:rPr>
                <w:b/>
                <w:bCs/>
                <w:sz w:val="20"/>
                <w:szCs w:val="20"/>
              </w:rPr>
              <w:t>20</w:t>
            </w:r>
            <w:r w:rsidR="0423F75E" w:rsidRPr="3285EAFF">
              <w:rPr>
                <w:b/>
                <w:bCs/>
                <w:sz w:val="20"/>
                <w:szCs w:val="20"/>
              </w:rPr>
              <w:t>2</w:t>
            </w:r>
            <w:r w:rsidR="003B35C4">
              <w:rPr>
                <w:b/>
                <w:bCs/>
                <w:sz w:val="20"/>
                <w:szCs w:val="20"/>
              </w:rPr>
              <w:t>3</w:t>
            </w:r>
            <w:r>
              <w:rPr>
                <w:b/>
                <w:bCs/>
                <w:sz w:val="20"/>
                <w:szCs w:val="20"/>
              </w:rPr>
              <w:t>-2</w:t>
            </w:r>
            <w:r w:rsidR="003B35C4">
              <w:rPr>
                <w:b/>
                <w:bCs/>
                <w:sz w:val="20"/>
                <w:szCs w:val="20"/>
              </w:rPr>
              <w:t>4</w:t>
            </w:r>
          </w:p>
          <w:p w14:paraId="3483AA2B" w14:textId="561E1345" w:rsidR="000C2A54" w:rsidRPr="00A95808" w:rsidRDefault="003B35C4" w:rsidP="000C2A54">
            <w:pPr>
              <w:jc w:val="right"/>
              <w:rPr>
                <w:b/>
                <w:sz w:val="20"/>
                <w:szCs w:val="20"/>
              </w:rPr>
            </w:pPr>
            <w:r w:rsidRPr="00A95808">
              <w:rPr>
                <w:b/>
                <w:sz w:val="20"/>
                <w:szCs w:val="20"/>
              </w:rPr>
              <w:t>T</w:t>
            </w:r>
            <w:r w:rsidR="000C2A54" w:rsidRPr="00A95808">
              <w:rPr>
                <w:b/>
                <w:sz w:val="20"/>
                <w:szCs w:val="20"/>
              </w:rPr>
              <w:t>otal</w:t>
            </w:r>
          </w:p>
        </w:tc>
        <w:tc>
          <w:tcPr>
            <w:tcW w:w="1980" w:type="dxa"/>
          </w:tcPr>
          <w:p w14:paraId="3A23FF4D" w14:textId="77777777" w:rsidR="000C2A54" w:rsidRPr="00A95808" w:rsidRDefault="000C2A54" w:rsidP="000C2A54">
            <w:pPr>
              <w:jc w:val="right"/>
              <w:rPr>
                <w:b/>
                <w:sz w:val="20"/>
                <w:szCs w:val="20"/>
              </w:rPr>
            </w:pPr>
            <w:r w:rsidRPr="00A95808">
              <w:rPr>
                <w:b/>
                <w:sz w:val="20"/>
                <w:szCs w:val="20"/>
              </w:rPr>
              <w:t>Commissioners</w:t>
            </w:r>
          </w:p>
        </w:tc>
        <w:tc>
          <w:tcPr>
            <w:tcW w:w="1800" w:type="dxa"/>
          </w:tcPr>
          <w:p w14:paraId="1205F1FC" w14:textId="77777777" w:rsidR="000C2A54" w:rsidRPr="00A95808" w:rsidRDefault="000C2A54" w:rsidP="000C2A54">
            <w:pPr>
              <w:jc w:val="right"/>
              <w:rPr>
                <w:b/>
                <w:sz w:val="20"/>
                <w:szCs w:val="20"/>
              </w:rPr>
            </w:pPr>
            <w:r w:rsidRPr="00A95808">
              <w:rPr>
                <w:b/>
                <w:sz w:val="20"/>
                <w:szCs w:val="20"/>
              </w:rPr>
              <w:t>Permanently</w:t>
            </w:r>
          </w:p>
          <w:p w14:paraId="09210F31" w14:textId="77777777" w:rsidR="0072512F" w:rsidRPr="00A95808" w:rsidRDefault="000C2A54" w:rsidP="0072512F">
            <w:pPr>
              <w:jc w:val="right"/>
              <w:rPr>
                <w:b/>
                <w:sz w:val="20"/>
                <w:szCs w:val="20"/>
              </w:rPr>
            </w:pPr>
            <w:r w:rsidRPr="00A95808">
              <w:rPr>
                <w:b/>
                <w:sz w:val="20"/>
                <w:szCs w:val="20"/>
              </w:rPr>
              <w:t xml:space="preserve">Employed </w:t>
            </w:r>
          </w:p>
          <w:p w14:paraId="54507895" w14:textId="77777777" w:rsidR="000C2A54" w:rsidRPr="00A95808" w:rsidRDefault="000C2A54" w:rsidP="000C2A54">
            <w:pPr>
              <w:jc w:val="right"/>
              <w:rPr>
                <w:b/>
                <w:sz w:val="20"/>
                <w:szCs w:val="20"/>
              </w:rPr>
            </w:pPr>
          </w:p>
        </w:tc>
        <w:tc>
          <w:tcPr>
            <w:tcW w:w="1440" w:type="dxa"/>
          </w:tcPr>
          <w:p w14:paraId="2E2EC54C" w14:textId="77777777" w:rsidR="000C2A54" w:rsidRPr="00A95808" w:rsidRDefault="000C2A54" w:rsidP="000C2A54">
            <w:pPr>
              <w:jc w:val="right"/>
              <w:rPr>
                <w:b/>
                <w:sz w:val="20"/>
                <w:szCs w:val="20"/>
              </w:rPr>
            </w:pPr>
            <w:r w:rsidRPr="00A95808">
              <w:rPr>
                <w:b/>
                <w:sz w:val="20"/>
                <w:szCs w:val="20"/>
              </w:rPr>
              <w:t>Others</w:t>
            </w:r>
          </w:p>
          <w:p w14:paraId="5353ADEE" w14:textId="77777777" w:rsidR="000C2A54" w:rsidRPr="00A95808" w:rsidRDefault="000C2A54" w:rsidP="000C2A54">
            <w:pPr>
              <w:jc w:val="right"/>
              <w:rPr>
                <w:b/>
                <w:sz w:val="20"/>
                <w:szCs w:val="20"/>
              </w:rPr>
            </w:pPr>
          </w:p>
        </w:tc>
        <w:tc>
          <w:tcPr>
            <w:tcW w:w="1440" w:type="dxa"/>
          </w:tcPr>
          <w:p w14:paraId="4C445B94" w14:textId="38CAB260" w:rsidR="000C2A54" w:rsidRPr="00A95808" w:rsidRDefault="00403C79" w:rsidP="00E029DB">
            <w:pPr>
              <w:spacing w:line="259" w:lineRule="auto"/>
              <w:jc w:val="right"/>
              <w:rPr>
                <w:color w:val="000000" w:themeColor="text1"/>
              </w:rPr>
            </w:pPr>
            <w:r>
              <w:rPr>
                <w:b/>
                <w:bCs/>
                <w:sz w:val="20"/>
                <w:szCs w:val="20"/>
              </w:rPr>
              <w:t>20</w:t>
            </w:r>
            <w:r w:rsidR="5C9227F9" w:rsidRPr="3285EAFF">
              <w:rPr>
                <w:b/>
                <w:bCs/>
                <w:sz w:val="20"/>
                <w:szCs w:val="20"/>
              </w:rPr>
              <w:t>2</w:t>
            </w:r>
            <w:r w:rsidR="003B35C4">
              <w:rPr>
                <w:b/>
                <w:bCs/>
                <w:sz w:val="20"/>
                <w:szCs w:val="20"/>
              </w:rPr>
              <w:t>2</w:t>
            </w:r>
            <w:r>
              <w:rPr>
                <w:b/>
                <w:bCs/>
                <w:sz w:val="20"/>
                <w:szCs w:val="20"/>
              </w:rPr>
              <w:t>-2</w:t>
            </w:r>
            <w:r w:rsidR="003B35C4">
              <w:rPr>
                <w:b/>
                <w:bCs/>
                <w:sz w:val="20"/>
                <w:szCs w:val="20"/>
              </w:rPr>
              <w:t>3</w:t>
            </w:r>
          </w:p>
          <w:p w14:paraId="757A079E" w14:textId="0AD51D06" w:rsidR="000C2A54" w:rsidRPr="00A95808" w:rsidRDefault="003B35C4" w:rsidP="000C2A54">
            <w:pPr>
              <w:jc w:val="right"/>
              <w:rPr>
                <w:b/>
                <w:sz w:val="20"/>
                <w:szCs w:val="20"/>
              </w:rPr>
            </w:pPr>
            <w:r w:rsidRPr="00A95808">
              <w:rPr>
                <w:b/>
                <w:sz w:val="20"/>
                <w:szCs w:val="20"/>
              </w:rPr>
              <w:t>T</w:t>
            </w:r>
            <w:r w:rsidR="000C2A54" w:rsidRPr="00A95808">
              <w:rPr>
                <w:b/>
                <w:sz w:val="20"/>
                <w:szCs w:val="20"/>
              </w:rPr>
              <w:t>otal</w:t>
            </w:r>
          </w:p>
        </w:tc>
      </w:tr>
      <w:tr w:rsidR="000C2A54" w:rsidRPr="00A95808" w14:paraId="4B301F0A" w14:textId="77777777" w:rsidTr="3285EAFF">
        <w:trPr>
          <w:jc w:val="center"/>
        </w:trPr>
        <w:tc>
          <w:tcPr>
            <w:tcW w:w="2461" w:type="dxa"/>
          </w:tcPr>
          <w:p w14:paraId="73030196" w14:textId="77777777" w:rsidR="000C2A54" w:rsidRPr="00A95808" w:rsidRDefault="000C2A54" w:rsidP="000C2A54">
            <w:pPr>
              <w:jc w:val="right"/>
              <w:rPr>
                <w:sz w:val="20"/>
                <w:szCs w:val="20"/>
              </w:rPr>
            </w:pPr>
          </w:p>
        </w:tc>
        <w:tc>
          <w:tcPr>
            <w:tcW w:w="1534" w:type="dxa"/>
          </w:tcPr>
          <w:p w14:paraId="5560DBD1"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980" w:type="dxa"/>
          </w:tcPr>
          <w:p w14:paraId="7FDDB25F"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800" w:type="dxa"/>
          </w:tcPr>
          <w:p w14:paraId="7710D15B"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440" w:type="dxa"/>
          </w:tcPr>
          <w:p w14:paraId="5B3C9129"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c>
          <w:tcPr>
            <w:tcW w:w="1440" w:type="dxa"/>
          </w:tcPr>
          <w:p w14:paraId="3D99AA89" w14:textId="77777777" w:rsidR="000C2A54" w:rsidRPr="00A9580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A95808">
              <w:rPr>
                <w:b/>
                <w:sz w:val="20"/>
                <w:szCs w:val="20"/>
              </w:rPr>
              <w:t>£</w:t>
            </w:r>
          </w:p>
        </w:tc>
      </w:tr>
      <w:tr w:rsidR="000C2A54" w:rsidRPr="00A95808" w14:paraId="472408E5" w14:textId="77777777" w:rsidTr="3285EAFF">
        <w:trPr>
          <w:jc w:val="center"/>
        </w:trPr>
        <w:tc>
          <w:tcPr>
            <w:tcW w:w="2461" w:type="dxa"/>
          </w:tcPr>
          <w:p w14:paraId="1023913C" w14:textId="77777777" w:rsidR="000C2A54" w:rsidRPr="00A95808" w:rsidRDefault="000C2A54" w:rsidP="000C2A54">
            <w:pPr>
              <w:rPr>
                <w:sz w:val="20"/>
                <w:szCs w:val="20"/>
              </w:rPr>
            </w:pPr>
            <w:r w:rsidRPr="00A95808">
              <w:rPr>
                <w:sz w:val="20"/>
                <w:szCs w:val="20"/>
              </w:rPr>
              <w:t>Wages and salaries</w:t>
            </w:r>
          </w:p>
        </w:tc>
        <w:tc>
          <w:tcPr>
            <w:tcW w:w="1534" w:type="dxa"/>
          </w:tcPr>
          <w:p w14:paraId="3F877307" w14:textId="59BC904C" w:rsidR="000C2A54" w:rsidRPr="00A95808" w:rsidRDefault="00403C79" w:rsidP="000C2A54">
            <w:pPr>
              <w:jc w:val="right"/>
              <w:rPr>
                <w:sz w:val="20"/>
                <w:szCs w:val="20"/>
              </w:rPr>
            </w:pPr>
            <w:r>
              <w:rPr>
                <w:sz w:val="20"/>
                <w:szCs w:val="20"/>
              </w:rPr>
              <w:t>1,</w:t>
            </w:r>
            <w:r w:rsidR="003B35C4">
              <w:rPr>
                <w:sz w:val="20"/>
                <w:szCs w:val="20"/>
              </w:rPr>
              <w:t>384,212</w:t>
            </w:r>
          </w:p>
        </w:tc>
        <w:tc>
          <w:tcPr>
            <w:tcW w:w="1980" w:type="dxa"/>
          </w:tcPr>
          <w:p w14:paraId="4A54B147" w14:textId="7F512518" w:rsidR="000C2A54" w:rsidRPr="00A95808" w:rsidDel="006E56F3" w:rsidRDefault="00403C79" w:rsidP="00737A8F">
            <w:pPr>
              <w:jc w:val="right"/>
              <w:rPr>
                <w:sz w:val="20"/>
                <w:szCs w:val="20"/>
              </w:rPr>
            </w:pPr>
            <w:r>
              <w:rPr>
                <w:sz w:val="20"/>
                <w:szCs w:val="20"/>
              </w:rPr>
              <w:t>1</w:t>
            </w:r>
            <w:r w:rsidR="003B35C4">
              <w:rPr>
                <w:sz w:val="20"/>
                <w:szCs w:val="20"/>
              </w:rPr>
              <w:t>22,764</w:t>
            </w:r>
          </w:p>
        </w:tc>
        <w:tc>
          <w:tcPr>
            <w:tcW w:w="1800" w:type="dxa"/>
          </w:tcPr>
          <w:p w14:paraId="2E21D38D" w14:textId="5377E596" w:rsidR="000C2A54" w:rsidRPr="00A95808" w:rsidRDefault="008215DC" w:rsidP="008215DC">
            <w:pPr>
              <w:jc w:val="center"/>
              <w:rPr>
                <w:sz w:val="20"/>
                <w:szCs w:val="20"/>
              </w:rPr>
            </w:pPr>
            <w:r>
              <w:rPr>
                <w:sz w:val="20"/>
                <w:szCs w:val="20"/>
              </w:rPr>
              <w:t xml:space="preserve">    </w:t>
            </w:r>
            <w:r w:rsidR="002F779F">
              <w:rPr>
                <w:sz w:val="20"/>
                <w:szCs w:val="20"/>
              </w:rPr>
              <w:t>1,</w:t>
            </w:r>
            <w:r w:rsidR="003B35C4">
              <w:rPr>
                <w:sz w:val="20"/>
                <w:szCs w:val="20"/>
              </w:rPr>
              <w:t>183,354</w:t>
            </w:r>
          </w:p>
        </w:tc>
        <w:tc>
          <w:tcPr>
            <w:tcW w:w="1440" w:type="dxa"/>
          </w:tcPr>
          <w:p w14:paraId="62BD8B22" w14:textId="43AA39E3" w:rsidR="000C2A54" w:rsidRPr="00A95808" w:rsidRDefault="003B35C4" w:rsidP="000C2A54">
            <w:pPr>
              <w:jc w:val="right"/>
              <w:rPr>
                <w:sz w:val="20"/>
                <w:szCs w:val="20"/>
              </w:rPr>
            </w:pPr>
            <w:r>
              <w:rPr>
                <w:sz w:val="20"/>
                <w:szCs w:val="20"/>
              </w:rPr>
              <w:t>78,094</w:t>
            </w:r>
          </w:p>
        </w:tc>
        <w:tc>
          <w:tcPr>
            <w:tcW w:w="1440" w:type="dxa"/>
          </w:tcPr>
          <w:p w14:paraId="1C8F790F" w14:textId="258F454D" w:rsidR="000C2A54" w:rsidRPr="00A95808" w:rsidRDefault="002F779F" w:rsidP="000C2A54">
            <w:pPr>
              <w:jc w:val="right"/>
              <w:rPr>
                <w:sz w:val="20"/>
                <w:szCs w:val="20"/>
              </w:rPr>
            </w:pPr>
            <w:r>
              <w:rPr>
                <w:sz w:val="20"/>
                <w:szCs w:val="20"/>
              </w:rPr>
              <w:t>1,</w:t>
            </w:r>
            <w:r w:rsidR="003B35C4">
              <w:rPr>
                <w:sz w:val="20"/>
                <w:szCs w:val="20"/>
              </w:rPr>
              <w:t>210,899</w:t>
            </w:r>
          </w:p>
        </w:tc>
      </w:tr>
      <w:tr w:rsidR="000C2A54" w:rsidRPr="00A95808" w14:paraId="32E58D04" w14:textId="77777777" w:rsidTr="3285EAFF">
        <w:trPr>
          <w:jc w:val="center"/>
        </w:trPr>
        <w:tc>
          <w:tcPr>
            <w:tcW w:w="2461" w:type="dxa"/>
          </w:tcPr>
          <w:p w14:paraId="4C7607DE" w14:textId="77777777" w:rsidR="000C2A54" w:rsidRPr="00A95808" w:rsidRDefault="000C2A54" w:rsidP="000C2A54">
            <w:pPr>
              <w:rPr>
                <w:sz w:val="20"/>
                <w:szCs w:val="20"/>
              </w:rPr>
            </w:pPr>
            <w:r w:rsidRPr="00A95808">
              <w:rPr>
                <w:sz w:val="20"/>
                <w:szCs w:val="20"/>
              </w:rPr>
              <w:t>Social security costs</w:t>
            </w:r>
          </w:p>
        </w:tc>
        <w:tc>
          <w:tcPr>
            <w:tcW w:w="1534" w:type="dxa"/>
          </w:tcPr>
          <w:p w14:paraId="67189ED8" w14:textId="626D7DD3" w:rsidR="002F779F" w:rsidRPr="00A95808" w:rsidRDefault="00403C79" w:rsidP="002F779F">
            <w:pPr>
              <w:jc w:val="right"/>
              <w:rPr>
                <w:sz w:val="20"/>
                <w:szCs w:val="20"/>
              </w:rPr>
            </w:pPr>
            <w:r>
              <w:rPr>
                <w:sz w:val="20"/>
                <w:szCs w:val="20"/>
              </w:rPr>
              <w:t>1</w:t>
            </w:r>
            <w:r w:rsidR="003B35C4">
              <w:rPr>
                <w:sz w:val="20"/>
                <w:szCs w:val="20"/>
              </w:rPr>
              <w:t>49,70</w:t>
            </w:r>
            <w:r w:rsidR="00C24199">
              <w:rPr>
                <w:sz w:val="20"/>
                <w:szCs w:val="20"/>
              </w:rPr>
              <w:t>0</w:t>
            </w:r>
          </w:p>
        </w:tc>
        <w:tc>
          <w:tcPr>
            <w:tcW w:w="1980" w:type="dxa"/>
          </w:tcPr>
          <w:p w14:paraId="3692C472" w14:textId="45A57877" w:rsidR="000C2A54" w:rsidRPr="00A95808" w:rsidRDefault="003B35C4" w:rsidP="000C2A54">
            <w:pPr>
              <w:jc w:val="right"/>
              <w:rPr>
                <w:sz w:val="20"/>
                <w:szCs w:val="20"/>
              </w:rPr>
            </w:pPr>
            <w:r>
              <w:rPr>
                <w:sz w:val="20"/>
                <w:szCs w:val="20"/>
              </w:rPr>
              <w:t>10,05</w:t>
            </w:r>
            <w:r w:rsidR="00C24199">
              <w:rPr>
                <w:sz w:val="20"/>
                <w:szCs w:val="20"/>
              </w:rPr>
              <w:t>3</w:t>
            </w:r>
          </w:p>
        </w:tc>
        <w:tc>
          <w:tcPr>
            <w:tcW w:w="1800" w:type="dxa"/>
          </w:tcPr>
          <w:p w14:paraId="37872C8C" w14:textId="4FB30C4B" w:rsidR="000C2A54" w:rsidRPr="00A95808" w:rsidRDefault="008215DC" w:rsidP="008215DC">
            <w:pPr>
              <w:jc w:val="center"/>
              <w:rPr>
                <w:sz w:val="20"/>
                <w:szCs w:val="20"/>
              </w:rPr>
            </w:pPr>
            <w:r>
              <w:rPr>
                <w:sz w:val="20"/>
                <w:szCs w:val="20"/>
              </w:rPr>
              <w:t xml:space="preserve">      </w:t>
            </w:r>
            <w:r w:rsidR="00403C79">
              <w:rPr>
                <w:sz w:val="20"/>
                <w:szCs w:val="20"/>
              </w:rPr>
              <w:t>1</w:t>
            </w:r>
            <w:r w:rsidR="003B35C4">
              <w:rPr>
                <w:sz w:val="20"/>
                <w:szCs w:val="20"/>
              </w:rPr>
              <w:t>32,918</w:t>
            </w:r>
          </w:p>
        </w:tc>
        <w:tc>
          <w:tcPr>
            <w:tcW w:w="1440" w:type="dxa"/>
          </w:tcPr>
          <w:p w14:paraId="57C4B63F" w14:textId="16E7C9F7" w:rsidR="000C2A54" w:rsidRPr="00A95808" w:rsidRDefault="003B35C4" w:rsidP="000C2A54">
            <w:pPr>
              <w:jc w:val="right"/>
              <w:rPr>
                <w:sz w:val="20"/>
                <w:szCs w:val="20"/>
              </w:rPr>
            </w:pPr>
            <w:r>
              <w:rPr>
                <w:sz w:val="20"/>
                <w:szCs w:val="20"/>
              </w:rPr>
              <w:t>6,729</w:t>
            </w:r>
          </w:p>
        </w:tc>
        <w:tc>
          <w:tcPr>
            <w:tcW w:w="1440" w:type="dxa"/>
          </w:tcPr>
          <w:p w14:paraId="3090825A" w14:textId="37E59B1C" w:rsidR="000C2A54" w:rsidRPr="00A95808" w:rsidRDefault="002F779F" w:rsidP="000C2A54">
            <w:pPr>
              <w:jc w:val="right"/>
              <w:rPr>
                <w:sz w:val="20"/>
                <w:szCs w:val="20"/>
              </w:rPr>
            </w:pPr>
            <w:r>
              <w:rPr>
                <w:sz w:val="20"/>
                <w:szCs w:val="20"/>
              </w:rPr>
              <w:t>1</w:t>
            </w:r>
            <w:r w:rsidR="003B35C4">
              <w:rPr>
                <w:sz w:val="20"/>
                <w:szCs w:val="20"/>
              </w:rPr>
              <w:t>34,199</w:t>
            </w:r>
          </w:p>
        </w:tc>
      </w:tr>
      <w:tr w:rsidR="000C2A54" w:rsidRPr="00A95808" w14:paraId="4BFE9BB9" w14:textId="77777777" w:rsidTr="3285EAFF">
        <w:trPr>
          <w:jc w:val="center"/>
        </w:trPr>
        <w:tc>
          <w:tcPr>
            <w:tcW w:w="2461" w:type="dxa"/>
          </w:tcPr>
          <w:p w14:paraId="2B5F8F85" w14:textId="77777777" w:rsidR="000C2A54" w:rsidRPr="00A95808" w:rsidRDefault="000C2A54" w:rsidP="000C2A54">
            <w:pPr>
              <w:rPr>
                <w:sz w:val="20"/>
                <w:szCs w:val="20"/>
              </w:rPr>
            </w:pPr>
            <w:r w:rsidRPr="00A95808">
              <w:rPr>
                <w:sz w:val="20"/>
                <w:szCs w:val="20"/>
              </w:rPr>
              <w:t>Other pension costs</w:t>
            </w:r>
          </w:p>
        </w:tc>
        <w:tc>
          <w:tcPr>
            <w:tcW w:w="1534" w:type="dxa"/>
            <w:tcBorders>
              <w:bottom w:val="single" w:sz="4" w:space="0" w:color="auto"/>
            </w:tcBorders>
          </w:tcPr>
          <w:p w14:paraId="0C11BC95" w14:textId="5C9688E9" w:rsidR="000C2A54" w:rsidRPr="00A95808" w:rsidRDefault="00403C79" w:rsidP="00E029DB">
            <w:pPr>
              <w:spacing w:line="259" w:lineRule="auto"/>
              <w:jc w:val="right"/>
              <w:rPr>
                <w:sz w:val="20"/>
                <w:szCs w:val="20"/>
              </w:rPr>
            </w:pPr>
            <w:r>
              <w:rPr>
                <w:sz w:val="20"/>
                <w:szCs w:val="20"/>
              </w:rPr>
              <w:t>3</w:t>
            </w:r>
            <w:r w:rsidR="003B35C4">
              <w:rPr>
                <w:sz w:val="20"/>
                <w:szCs w:val="20"/>
              </w:rPr>
              <w:t>47,440</w:t>
            </w:r>
          </w:p>
        </w:tc>
        <w:tc>
          <w:tcPr>
            <w:tcW w:w="1980" w:type="dxa"/>
            <w:tcBorders>
              <w:bottom w:val="single" w:sz="4" w:space="0" w:color="auto"/>
            </w:tcBorders>
          </w:tcPr>
          <w:p w14:paraId="1F7C5CC0" w14:textId="23A70068" w:rsidR="000C2A54" w:rsidRPr="00A95808" w:rsidRDefault="00403C79" w:rsidP="000C2A54">
            <w:pPr>
              <w:jc w:val="right"/>
              <w:rPr>
                <w:sz w:val="20"/>
                <w:szCs w:val="20"/>
              </w:rPr>
            </w:pPr>
            <w:r>
              <w:rPr>
                <w:sz w:val="20"/>
                <w:szCs w:val="20"/>
              </w:rPr>
              <w:t>2</w:t>
            </w:r>
            <w:r w:rsidR="003B35C4">
              <w:rPr>
                <w:sz w:val="20"/>
                <w:szCs w:val="20"/>
              </w:rPr>
              <w:t>3,818</w:t>
            </w:r>
          </w:p>
        </w:tc>
        <w:tc>
          <w:tcPr>
            <w:tcW w:w="1800" w:type="dxa"/>
            <w:tcBorders>
              <w:bottom w:val="single" w:sz="4" w:space="0" w:color="auto"/>
            </w:tcBorders>
          </w:tcPr>
          <w:p w14:paraId="00FEE335" w14:textId="64062B91" w:rsidR="000C2A54" w:rsidRPr="00A95808" w:rsidRDefault="008215DC" w:rsidP="008215DC">
            <w:pPr>
              <w:jc w:val="center"/>
              <w:rPr>
                <w:sz w:val="20"/>
                <w:szCs w:val="20"/>
              </w:rPr>
            </w:pPr>
            <w:r>
              <w:rPr>
                <w:sz w:val="20"/>
                <w:szCs w:val="20"/>
              </w:rPr>
              <w:t xml:space="preserve">      </w:t>
            </w:r>
            <w:r w:rsidR="003B35C4">
              <w:rPr>
                <w:sz w:val="20"/>
                <w:szCs w:val="20"/>
              </w:rPr>
              <w:t>306,154</w:t>
            </w:r>
          </w:p>
        </w:tc>
        <w:tc>
          <w:tcPr>
            <w:tcW w:w="1440" w:type="dxa"/>
            <w:tcBorders>
              <w:bottom w:val="single" w:sz="4" w:space="0" w:color="auto"/>
            </w:tcBorders>
          </w:tcPr>
          <w:p w14:paraId="4D5F173C" w14:textId="49442ACD" w:rsidR="000C2A54" w:rsidRPr="00A95808" w:rsidRDefault="002F779F" w:rsidP="000C2A54">
            <w:pPr>
              <w:jc w:val="right"/>
              <w:rPr>
                <w:sz w:val="20"/>
                <w:szCs w:val="20"/>
              </w:rPr>
            </w:pPr>
            <w:r>
              <w:rPr>
                <w:sz w:val="20"/>
                <w:szCs w:val="20"/>
              </w:rPr>
              <w:t>17,</w:t>
            </w:r>
            <w:r w:rsidR="003B35C4">
              <w:rPr>
                <w:sz w:val="20"/>
                <w:szCs w:val="20"/>
              </w:rPr>
              <w:t>468</w:t>
            </w:r>
          </w:p>
        </w:tc>
        <w:tc>
          <w:tcPr>
            <w:tcW w:w="1440" w:type="dxa"/>
            <w:tcBorders>
              <w:bottom w:val="single" w:sz="4" w:space="0" w:color="auto"/>
            </w:tcBorders>
          </w:tcPr>
          <w:p w14:paraId="540B2E5E" w14:textId="23AABC0C" w:rsidR="000C2A54" w:rsidRPr="00A95808" w:rsidRDefault="002F779F" w:rsidP="000C2A54">
            <w:pPr>
              <w:jc w:val="right"/>
              <w:rPr>
                <w:sz w:val="20"/>
                <w:szCs w:val="20"/>
              </w:rPr>
            </w:pPr>
            <w:r>
              <w:rPr>
                <w:sz w:val="20"/>
                <w:szCs w:val="20"/>
              </w:rPr>
              <w:t>3</w:t>
            </w:r>
            <w:r w:rsidR="003B35C4">
              <w:rPr>
                <w:sz w:val="20"/>
                <w:szCs w:val="20"/>
              </w:rPr>
              <w:t>23,618</w:t>
            </w:r>
          </w:p>
        </w:tc>
      </w:tr>
      <w:tr w:rsidR="000C2A54" w:rsidRPr="004A68BF" w14:paraId="7BC542B7" w14:textId="77777777" w:rsidTr="3285EAFF">
        <w:trPr>
          <w:jc w:val="center"/>
        </w:trPr>
        <w:tc>
          <w:tcPr>
            <w:tcW w:w="2461" w:type="dxa"/>
          </w:tcPr>
          <w:p w14:paraId="01A8DE4E" w14:textId="77777777" w:rsidR="000C2A54" w:rsidRPr="00A95808" w:rsidRDefault="000C2A54" w:rsidP="000C2A54">
            <w:pPr>
              <w:rPr>
                <w:b/>
                <w:sz w:val="20"/>
                <w:szCs w:val="20"/>
              </w:rPr>
            </w:pPr>
            <w:r w:rsidRPr="00A95808">
              <w:rPr>
                <w:b/>
                <w:sz w:val="20"/>
                <w:szCs w:val="20"/>
              </w:rPr>
              <w:t>Total Staff Costs</w:t>
            </w:r>
          </w:p>
        </w:tc>
        <w:tc>
          <w:tcPr>
            <w:tcW w:w="1534" w:type="dxa"/>
            <w:tcBorders>
              <w:top w:val="single" w:sz="4" w:space="0" w:color="auto"/>
              <w:bottom w:val="single" w:sz="4" w:space="0" w:color="auto"/>
            </w:tcBorders>
          </w:tcPr>
          <w:p w14:paraId="4664FE7F" w14:textId="3662C085" w:rsidR="003B35C4" w:rsidRPr="00A95808" w:rsidRDefault="00403C79" w:rsidP="003B35C4">
            <w:pPr>
              <w:jc w:val="right"/>
              <w:rPr>
                <w:b/>
                <w:sz w:val="20"/>
                <w:szCs w:val="20"/>
              </w:rPr>
            </w:pPr>
            <w:r>
              <w:rPr>
                <w:b/>
                <w:sz w:val="20"/>
                <w:szCs w:val="20"/>
              </w:rPr>
              <w:t>1,</w:t>
            </w:r>
            <w:r w:rsidR="003B35C4">
              <w:rPr>
                <w:b/>
                <w:sz w:val="20"/>
                <w:szCs w:val="20"/>
              </w:rPr>
              <w:t>881,35</w:t>
            </w:r>
            <w:r w:rsidR="00C24199">
              <w:rPr>
                <w:b/>
                <w:sz w:val="20"/>
                <w:szCs w:val="20"/>
              </w:rPr>
              <w:t>2</w:t>
            </w:r>
          </w:p>
        </w:tc>
        <w:tc>
          <w:tcPr>
            <w:tcW w:w="1980" w:type="dxa"/>
            <w:tcBorders>
              <w:top w:val="single" w:sz="4" w:space="0" w:color="auto"/>
              <w:bottom w:val="single" w:sz="4" w:space="0" w:color="auto"/>
            </w:tcBorders>
          </w:tcPr>
          <w:p w14:paraId="2B8435C4" w14:textId="2881606E" w:rsidR="000C2A54" w:rsidRPr="00A95808" w:rsidDel="006E56F3" w:rsidRDefault="00403C79" w:rsidP="000C2A54">
            <w:pPr>
              <w:jc w:val="right"/>
              <w:rPr>
                <w:b/>
                <w:sz w:val="20"/>
                <w:szCs w:val="20"/>
              </w:rPr>
            </w:pPr>
            <w:r>
              <w:rPr>
                <w:b/>
                <w:sz w:val="20"/>
                <w:szCs w:val="20"/>
              </w:rPr>
              <w:t>1</w:t>
            </w:r>
            <w:r w:rsidR="003B35C4">
              <w:rPr>
                <w:b/>
                <w:sz w:val="20"/>
                <w:szCs w:val="20"/>
              </w:rPr>
              <w:t>56,63</w:t>
            </w:r>
            <w:r w:rsidR="00086B4D">
              <w:rPr>
                <w:b/>
                <w:sz w:val="20"/>
                <w:szCs w:val="20"/>
              </w:rPr>
              <w:t>5</w:t>
            </w:r>
          </w:p>
        </w:tc>
        <w:tc>
          <w:tcPr>
            <w:tcW w:w="1800" w:type="dxa"/>
            <w:tcBorders>
              <w:top w:val="single" w:sz="4" w:space="0" w:color="auto"/>
              <w:bottom w:val="single" w:sz="4" w:space="0" w:color="auto"/>
            </w:tcBorders>
          </w:tcPr>
          <w:p w14:paraId="0A0F672A" w14:textId="376AFD91" w:rsidR="000C2A54" w:rsidRPr="00A95808" w:rsidRDefault="00403C79" w:rsidP="000C2A54">
            <w:pPr>
              <w:jc w:val="right"/>
              <w:rPr>
                <w:b/>
                <w:sz w:val="20"/>
                <w:szCs w:val="20"/>
              </w:rPr>
            </w:pPr>
            <w:r>
              <w:rPr>
                <w:b/>
                <w:sz w:val="20"/>
                <w:szCs w:val="20"/>
              </w:rPr>
              <w:t>1,</w:t>
            </w:r>
            <w:r w:rsidR="003B35C4">
              <w:rPr>
                <w:b/>
                <w:sz w:val="20"/>
                <w:szCs w:val="20"/>
              </w:rPr>
              <w:t>622,426</w:t>
            </w:r>
            <w:r w:rsidR="00A415F6">
              <w:rPr>
                <w:rStyle w:val="FootnoteReference"/>
                <w:b/>
                <w:sz w:val="20"/>
                <w:szCs w:val="20"/>
              </w:rPr>
              <w:footnoteReference w:id="10"/>
            </w:r>
          </w:p>
        </w:tc>
        <w:tc>
          <w:tcPr>
            <w:tcW w:w="1440" w:type="dxa"/>
            <w:tcBorders>
              <w:top w:val="single" w:sz="4" w:space="0" w:color="auto"/>
              <w:bottom w:val="single" w:sz="4" w:space="0" w:color="auto"/>
            </w:tcBorders>
            <w:shd w:val="clear" w:color="auto" w:fill="auto"/>
          </w:tcPr>
          <w:p w14:paraId="0BF56A43" w14:textId="7BD2C600" w:rsidR="000C2A54" w:rsidRPr="00A95808" w:rsidRDefault="002F779F" w:rsidP="000C2A54">
            <w:pPr>
              <w:jc w:val="right"/>
              <w:rPr>
                <w:b/>
                <w:sz w:val="20"/>
                <w:szCs w:val="20"/>
              </w:rPr>
            </w:pPr>
            <w:r>
              <w:rPr>
                <w:b/>
                <w:sz w:val="20"/>
                <w:szCs w:val="20"/>
              </w:rPr>
              <w:t>1</w:t>
            </w:r>
            <w:r w:rsidR="003B35C4">
              <w:rPr>
                <w:b/>
                <w:sz w:val="20"/>
                <w:szCs w:val="20"/>
              </w:rPr>
              <w:t>02,291</w:t>
            </w:r>
          </w:p>
        </w:tc>
        <w:tc>
          <w:tcPr>
            <w:tcW w:w="1440" w:type="dxa"/>
            <w:tcBorders>
              <w:top w:val="single" w:sz="4" w:space="0" w:color="auto"/>
              <w:bottom w:val="single" w:sz="4" w:space="0" w:color="auto"/>
            </w:tcBorders>
          </w:tcPr>
          <w:p w14:paraId="60FA4210" w14:textId="360DA2FB" w:rsidR="000C2A54" w:rsidRPr="00A95808" w:rsidRDefault="002F779F" w:rsidP="000C2A54">
            <w:pPr>
              <w:jc w:val="right"/>
              <w:rPr>
                <w:b/>
                <w:sz w:val="20"/>
                <w:szCs w:val="20"/>
              </w:rPr>
            </w:pPr>
            <w:r>
              <w:rPr>
                <w:b/>
                <w:sz w:val="20"/>
                <w:szCs w:val="20"/>
              </w:rPr>
              <w:t>1,</w:t>
            </w:r>
            <w:r w:rsidR="003B35C4">
              <w:rPr>
                <w:b/>
                <w:sz w:val="20"/>
                <w:szCs w:val="20"/>
              </w:rPr>
              <w:t>668,716</w:t>
            </w:r>
          </w:p>
        </w:tc>
      </w:tr>
    </w:tbl>
    <w:p w14:paraId="599D5DB1" w14:textId="77777777" w:rsidR="000C2A54" w:rsidRDefault="000C2A54" w:rsidP="000C2A54">
      <w:pPr>
        <w:autoSpaceDE w:val="0"/>
        <w:autoSpaceDN w:val="0"/>
        <w:adjustRightInd w:val="0"/>
        <w:ind w:left="567"/>
      </w:pPr>
    </w:p>
    <w:p w14:paraId="052028D8" w14:textId="0374EBAC" w:rsidR="005B72C1" w:rsidRDefault="000C2A54" w:rsidP="00C54DF1">
      <w:pPr>
        <w:autoSpaceDE w:val="0"/>
        <w:autoSpaceDN w:val="0"/>
        <w:adjustRightInd w:val="0"/>
      </w:pPr>
      <w:r>
        <w:t>There were no inward secon</w:t>
      </w:r>
      <w:r w:rsidR="0057710A">
        <w:t xml:space="preserve">ded staff during </w:t>
      </w:r>
      <w:r w:rsidR="00403C79">
        <w:t>20</w:t>
      </w:r>
      <w:r w:rsidR="5B581C4D">
        <w:t>2</w:t>
      </w:r>
      <w:r w:rsidR="003B35C4">
        <w:t>3</w:t>
      </w:r>
      <w:r w:rsidR="00403C79">
        <w:t>-2</w:t>
      </w:r>
      <w:r w:rsidR="003B35C4">
        <w:t>4</w:t>
      </w:r>
      <w:r w:rsidR="00DE3AEE">
        <w:t xml:space="preserve"> (</w:t>
      </w:r>
      <w:r w:rsidR="00403C79">
        <w:t>202</w:t>
      </w:r>
      <w:r w:rsidR="003B35C4">
        <w:t>2</w:t>
      </w:r>
      <w:r w:rsidR="00403C79">
        <w:t>-2</w:t>
      </w:r>
      <w:r w:rsidR="003B35C4">
        <w:t>3</w:t>
      </w:r>
      <w:r w:rsidR="005B72C1">
        <w:t>: None)</w:t>
      </w:r>
      <w:r>
        <w:t>.</w:t>
      </w:r>
      <w:r w:rsidR="00731FD6">
        <w:t xml:space="preserve">  </w:t>
      </w:r>
    </w:p>
    <w:p w14:paraId="3DCB9C45" w14:textId="77777777" w:rsidR="00F824B3" w:rsidRDefault="00F824B3" w:rsidP="00C54DF1">
      <w:pPr>
        <w:autoSpaceDE w:val="0"/>
        <w:autoSpaceDN w:val="0"/>
        <w:adjustRightInd w:val="0"/>
      </w:pPr>
    </w:p>
    <w:p w14:paraId="4736C694" w14:textId="77777777" w:rsidR="000C2A54" w:rsidRPr="00F97E5F" w:rsidRDefault="00F824B3" w:rsidP="000F5ED9">
      <w:pPr>
        <w:autoSpaceDE w:val="0"/>
        <w:autoSpaceDN w:val="0"/>
        <w:adjustRightInd w:val="0"/>
      </w:pPr>
      <w:r>
        <w:t>Staff detailed as ‘Others’ includes temporary staff directly employed by the Commission, temporary agency staff and the Chair of the Commission’s Audit and Risk Management Committee</w:t>
      </w:r>
      <w:r w:rsidR="00C606DC">
        <w:t>.</w:t>
      </w:r>
    </w:p>
    <w:p w14:paraId="1B6CE87F" w14:textId="77777777" w:rsidR="00737A8F" w:rsidRDefault="00737A8F" w:rsidP="00B61C59">
      <w:pPr>
        <w:autoSpaceDE w:val="0"/>
        <w:autoSpaceDN w:val="0"/>
        <w:adjustRightInd w:val="0"/>
      </w:pPr>
    </w:p>
    <w:p w14:paraId="3C20039D" w14:textId="790120B4" w:rsidR="000C2A54" w:rsidRPr="00F97E5F" w:rsidRDefault="000C2A54" w:rsidP="00B61C59">
      <w:pPr>
        <w:autoSpaceDE w:val="0"/>
        <w:autoSpaceDN w:val="0"/>
        <w:adjustRightInd w:val="0"/>
      </w:pPr>
      <w:r>
        <w:t>Details o</w:t>
      </w:r>
      <w:r w:rsidR="00C141C6">
        <w:t xml:space="preserve">f the pension contributions of </w:t>
      </w:r>
      <w:r w:rsidR="00C02487">
        <w:t>£</w:t>
      </w:r>
      <w:r w:rsidR="00403C79">
        <w:t>2</w:t>
      </w:r>
      <w:r w:rsidR="00FD0DCA">
        <w:t>3</w:t>
      </w:r>
      <w:r w:rsidR="00403C79">
        <w:t>,</w:t>
      </w:r>
      <w:r w:rsidR="00FD0DCA">
        <w:t>818</w:t>
      </w:r>
      <w:r>
        <w:t xml:space="preserve"> payable i</w:t>
      </w:r>
      <w:r w:rsidR="00DE3AEE">
        <w:t>n respect of Commissioners (</w:t>
      </w:r>
      <w:r w:rsidR="00403C79">
        <w:t>202</w:t>
      </w:r>
      <w:r w:rsidR="004D73D1">
        <w:t>2</w:t>
      </w:r>
      <w:r w:rsidR="00403C79">
        <w:t>-2</w:t>
      </w:r>
      <w:r w:rsidR="003B35C4">
        <w:t>3</w:t>
      </w:r>
      <w:r>
        <w:t>: £</w:t>
      </w:r>
      <w:r w:rsidR="00403C79">
        <w:t>21,</w:t>
      </w:r>
      <w:r w:rsidR="003B35C4">
        <w:t>288</w:t>
      </w:r>
      <w:r>
        <w:t xml:space="preserve">) are described </w:t>
      </w:r>
      <w:r w:rsidR="001B7925">
        <w:t>above</w:t>
      </w:r>
      <w:r>
        <w:t>.</w:t>
      </w:r>
    </w:p>
    <w:p w14:paraId="33376FB5" w14:textId="77777777" w:rsidR="000C2A54" w:rsidRPr="00F97E5F" w:rsidRDefault="000C2A54" w:rsidP="00B61C59">
      <w:pPr>
        <w:autoSpaceDE w:val="0"/>
        <w:autoSpaceDN w:val="0"/>
        <w:adjustRightInd w:val="0"/>
      </w:pPr>
    </w:p>
    <w:p w14:paraId="70C54C24" w14:textId="1C6ACB54" w:rsidR="000C2A54" w:rsidRPr="00077C90" w:rsidRDefault="000C2A54" w:rsidP="00B61C59">
      <w:pPr>
        <w:autoSpaceDE w:val="0"/>
        <w:autoSpaceDN w:val="0"/>
        <w:adjustRightInd w:val="0"/>
      </w:pPr>
      <w:r w:rsidRPr="00F97E5F">
        <w:t>The Commission’s staff are covered by the Principal Civil Service Pension Scheme (PCSPS)</w:t>
      </w:r>
      <w:r w:rsidR="00077C90">
        <w:t xml:space="preserve"> and the Civil Servant and Other Pension Scheme (CSOPS) – known as ‘</w:t>
      </w:r>
      <w:r w:rsidR="00281F8F">
        <w:t>a</w:t>
      </w:r>
      <w:r w:rsidR="00077C90">
        <w:t>lpha’</w:t>
      </w:r>
      <w:r w:rsidRPr="00F97E5F">
        <w:t>.  PCSPS</w:t>
      </w:r>
      <w:r w:rsidR="00077C90">
        <w:t xml:space="preserve"> and CSOPS are</w:t>
      </w:r>
      <w:r w:rsidRPr="00F97E5F">
        <w:t xml:space="preserve"> unfunded multi–employer defined benefit </w:t>
      </w:r>
      <w:proofErr w:type="gramStart"/>
      <w:r w:rsidRPr="00F97E5F">
        <w:t>scheme</w:t>
      </w:r>
      <w:r w:rsidR="00077C90">
        <w:t>s</w:t>
      </w:r>
      <w:proofErr w:type="gramEnd"/>
      <w:r w:rsidRPr="00F97E5F">
        <w:t xml:space="preserve"> but </w:t>
      </w:r>
      <w:r w:rsidRPr="00F97E5F">
        <w:rPr>
          <w:rFonts w:cs="Arial"/>
          <w:lang w:val="en-US"/>
        </w:rPr>
        <w:t xml:space="preserve">the Commission </w:t>
      </w:r>
      <w:r w:rsidR="002A501C">
        <w:t xml:space="preserve">is unable to </w:t>
      </w:r>
      <w:r w:rsidRPr="00F97E5F">
        <w:t>identify its share of the underlying assets and liabilities.  The scheme actuary value</w:t>
      </w:r>
      <w:r w:rsidR="0072512F">
        <w:t xml:space="preserve">d the scheme as </w:t>
      </w:r>
      <w:proofErr w:type="gramStart"/>
      <w:r w:rsidR="0072512F">
        <w:t>at</w:t>
      </w:r>
      <w:proofErr w:type="gramEnd"/>
      <w:r w:rsidR="0072512F">
        <w:t xml:space="preserve"> 31 March 20</w:t>
      </w:r>
      <w:r w:rsidR="003B35C4">
        <w:t>20</w:t>
      </w:r>
      <w:r w:rsidRPr="00F97E5F">
        <w:t>.  Details can be found in the resource accounts of the Cabinet Office: Civil Superannuation (</w:t>
      </w:r>
      <w:hyperlink r:id="rId33" w:history="1">
        <w:r w:rsidR="00BB74EA">
          <w:rPr>
            <w:rStyle w:val="Hyperlink"/>
          </w:rPr>
          <w:t>Scheme valuations - Civil Service Pension Scheme</w:t>
        </w:r>
      </w:hyperlink>
      <w:r w:rsidRPr="00F97E5F">
        <w:t>).</w:t>
      </w:r>
    </w:p>
    <w:p w14:paraId="5C06F5AA" w14:textId="77777777" w:rsidR="000C2A54" w:rsidRPr="00F97E5F" w:rsidRDefault="000C2A54" w:rsidP="00B61C59">
      <w:pPr>
        <w:autoSpaceDE w:val="0"/>
        <w:autoSpaceDN w:val="0"/>
        <w:adjustRightInd w:val="0"/>
        <w:rPr>
          <w:rFonts w:cs="Arial"/>
          <w:lang w:val="en-US"/>
        </w:rPr>
      </w:pPr>
    </w:p>
    <w:p w14:paraId="120B6CE0" w14:textId="599C7C45" w:rsidR="000C2A54" w:rsidRPr="00F97E5F" w:rsidRDefault="000C2A54" w:rsidP="00B61C59">
      <w:pPr>
        <w:autoSpaceDE w:val="0"/>
        <w:autoSpaceDN w:val="0"/>
        <w:adjustRightInd w:val="0"/>
        <w:rPr>
          <w:rFonts w:cs="Arial"/>
          <w:lang w:val="en-US"/>
        </w:rPr>
      </w:pPr>
      <w:r w:rsidRPr="3285EAFF">
        <w:rPr>
          <w:rFonts w:cs="Arial"/>
          <w:lang w:val="en-US"/>
        </w:rPr>
        <w:t xml:space="preserve">For </w:t>
      </w:r>
      <w:r w:rsidR="00DF762B">
        <w:t>2023-24</w:t>
      </w:r>
      <w:r w:rsidRPr="3285EAFF">
        <w:rPr>
          <w:rFonts w:cs="Arial"/>
          <w:lang w:val="en-US"/>
        </w:rPr>
        <w:t xml:space="preserve">, employers’ contributions of </w:t>
      </w:r>
      <w:r w:rsidR="00636AA4" w:rsidRPr="3285EAFF">
        <w:rPr>
          <w:rFonts w:cs="Arial"/>
          <w:lang w:val="en-US"/>
        </w:rPr>
        <w:t>£</w:t>
      </w:r>
      <w:r w:rsidR="00403C79">
        <w:rPr>
          <w:rFonts w:cs="Arial"/>
          <w:lang w:val="en-US"/>
        </w:rPr>
        <w:t>3</w:t>
      </w:r>
      <w:r w:rsidR="00234AF5">
        <w:rPr>
          <w:rFonts w:cs="Arial"/>
          <w:lang w:val="en-US"/>
        </w:rPr>
        <w:t>47</w:t>
      </w:r>
      <w:r w:rsidR="00403C79">
        <w:rPr>
          <w:rFonts w:cs="Arial"/>
          <w:lang w:val="en-US"/>
        </w:rPr>
        <w:t>,</w:t>
      </w:r>
      <w:r w:rsidR="00234AF5">
        <w:rPr>
          <w:rFonts w:cs="Arial"/>
          <w:lang w:val="en-US"/>
        </w:rPr>
        <w:t>440</w:t>
      </w:r>
      <w:r w:rsidR="008215DC">
        <w:rPr>
          <w:rStyle w:val="FootnoteReference"/>
          <w:rFonts w:cs="Arial"/>
          <w:lang w:val="en-US"/>
        </w:rPr>
        <w:footnoteReference w:id="11"/>
      </w:r>
      <w:r w:rsidR="00403C79">
        <w:rPr>
          <w:rFonts w:cs="Arial"/>
          <w:lang w:val="en-US"/>
        </w:rPr>
        <w:t xml:space="preserve"> </w:t>
      </w:r>
      <w:r w:rsidR="005D69D1" w:rsidRPr="3285EAFF">
        <w:rPr>
          <w:rFonts w:cs="Arial"/>
          <w:lang w:val="en-US"/>
        </w:rPr>
        <w:t>were payable to PCSPS (</w:t>
      </w:r>
      <w:r w:rsidR="00403C79">
        <w:rPr>
          <w:rFonts w:cs="Arial"/>
          <w:lang w:val="en-US"/>
        </w:rPr>
        <w:t>20</w:t>
      </w:r>
      <w:r w:rsidR="6775F563" w:rsidRPr="3285EAFF">
        <w:rPr>
          <w:rFonts w:cs="Arial"/>
          <w:lang w:val="en-US"/>
        </w:rPr>
        <w:t>2</w:t>
      </w:r>
      <w:r w:rsidR="00234AF5">
        <w:rPr>
          <w:rFonts w:cs="Arial"/>
          <w:lang w:val="en-US"/>
        </w:rPr>
        <w:t>2</w:t>
      </w:r>
      <w:r w:rsidR="00403C79">
        <w:rPr>
          <w:rFonts w:cs="Arial"/>
          <w:lang w:val="en-US"/>
        </w:rPr>
        <w:t>-2</w:t>
      </w:r>
      <w:r w:rsidR="00234AF5">
        <w:rPr>
          <w:rFonts w:cs="Arial"/>
          <w:lang w:val="en-US"/>
        </w:rPr>
        <w:t>3</w:t>
      </w:r>
      <w:r w:rsidRPr="3285EAFF">
        <w:rPr>
          <w:rFonts w:cs="Arial"/>
          <w:lang w:val="en-US"/>
        </w:rPr>
        <w:t>: £</w:t>
      </w:r>
      <w:r w:rsidR="00C4616A">
        <w:rPr>
          <w:rFonts w:cs="Arial"/>
          <w:lang w:val="en-US"/>
        </w:rPr>
        <w:t>3</w:t>
      </w:r>
      <w:r w:rsidR="00234AF5">
        <w:rPr>
          <w:rFonts w:cs="Arial"/>
          <w:lang w:val="en-US"/>
        </w:rPr>
        <w:t>23</w:t>
      </w:r>
      <w:r w:rsidR="00403C79">
        <w:rPr>
          <w:rFonts w:cs="Arial"/>
          <w:lang w:val="en-US"/>
        </w:rPr>
        <w:t>,</w:t>
      </w:r>
      <w:r w:rsidR="00234AF5">
        <w:rPr>
          <w:rFonts w:cs="Arial"/>
          <w:lang w:val="en-US"/>
        </w:rPr>
        <w:t>618</w:t>
      </w:r>
      <w:r w:rsidRPr="3285EAFF">
        <w:rPr>
          <w:rFonts w:cs="Arial"/>
          <w:lang w:val="en-US"/>
        </w:rPr>
        <w:t>) at one of four rates in the range 2</w:t>
      </w:r>
      <w:r w:rsidR="00C4616A">
        <w:rPr>
          <w:rFonts w:cs="Arial"/>
          <w:lang w:val="en-US"/>
        </w:rPr>
        <w:t>6.6</w:t>
      </w:r>
      <w:r w:rsidRPr="3285EAFF">
        <w:rPr>
          <w:rFonts w:cs="Arial"/>
          <w:lang w:val="en-US"/>
        </w:rPr>
        <w:t xml:space="preserve"> per cent to </w:t>
      </w:r>
      <w:r w:rsidR="00C4616A">
        <w:rPr>
          <w:rFonts w:cs="Arial"/>
          <w:lang w:val="en-US"/>
        </w:rPr>
        <w:t>30.3</w:t>
      </w:r>
      <w:r w:rsidRPr="3285EAFF">
        <w:rPr>
          <w:rFonts w:cs="Arial"/>
          <w:lang w:val="en-US"/>
        </w:rPr>
        <w:t xml:space="preserve"> per cent of pensionable pay, based on salary bands</w:t>
      </w:r>
      <w:r w:rsidR="00FF1FA8" w:rsidRPr="3285EAFF">
        <w:rPr>
          <w:rFonts w:cs="Arial"/>
          <w:lang w:val="en-US"/>
        </w:rPr>
        <w:t xml:space="preserve">. </w:t>
      </w:r>
      <w:r w:rsidRPr="3285EAFF">
        <w:rPr>
          <w:rFonts w:cs="Arial"/>
          <w:lang w:val="en-US"/>
        </w:rPr>
        <w:t>The Scheme Actuary reviews employer contributions usually every four years following a full scheme valuation</w:t>
      </w:r>
      <w:r w:rsidR="00FF1FA8" w:rsidRPr="3285EAFF">
        <w:rPr>
          <w:rFonts w:cs="Arial"/>
          <w:lang w:val="en-US"/>
        </w:rPr>
        <w:t xml:space="preserve">. </w:t>
      </w:r>
      <w:r w:rsidRPr="3285EAFF">
        <w:rPr>
          <w:rFonts w:cs="Arial"/>
          <w:lang w:val="en-US"/>
        </w:rPr>
        <w:t xml:space="preserve">The contribution rates are set to meet the cost of the benefits accruing during </w:t>
      </w:r>
      <w:r w:rsidR="00E865B2">
        <w:t>202</w:t>
      </w:r>
      <w:r w:rsidR="00234AF5">
        <w:t>3</w:t>
      </w:r>
      <w:r w:rsidR="00E865B2">
        <w:t>-2</w:t>
      </w:r>
      <w:r w:rsidR="00234AF5">
        <w:t>4</w:t>
      </w:r>
      <w:r>
        <w:t xml:space="preserve"> </w:t>
      </w:r>
      <w:r w:rsidRPr="3285EAFF">
        <w:rPr>
          <w:rFonts w:cs="Arial"/>
          <w:lang w:val="en-US"/>
        </w:rPr>
        <w:t xml:space="preserve">to be paid when the member retires and not the benefits paid during this period to existing pensioners. </w:t>
      </w:r>
    </w:p>
    <w:p w14:paraId="5B5C995A" w14:textId="77777777" w:rsidR="000C2A54" w:rsidRPr="00BE16D9" w:rsidRDefault="000C2A54" w:rsidP="00B61C59">
      <w:pPr>
        <w:rPr>
          <w:sz w:val="22"/>
          <w:szCs w:val="22"/>
          <w:lang w:val="en-US"/>
        </w:rPr>
      </w:pPr>
    </w:p>
    <w:p w14:paraId="0A73F295" w14:textId="17299A41" w:rsidR="000C2A54" w:rsidRDefault="000C2A54" w:rsidP="00B61C59">
      <w:r w:rsidRPr="3285EAFF">
        <w:rPr>
          <w:lang w:val="en-US"/>
        </w:rPr>
        <w:t>Employees can opt to open a partnership pension account, a stakeholder pension with an employer contribution</w:t>
      </w:r>
      <w:r w:rsidR="00FF1FA8" w:rsidRPr="3285EAFF">
        <w:rPr>
          <w:lang w:val="en-US"/>
        </w:rPr>
        <w:t xml:space="preserve">. </w:t>
      </w:r>
      <w:r w:rsidRPr="3285EAFF">
        <w:rPr>
          <w:lang w:val="en-US"/>
        </w:rPr>
        <w:t xml:space="preserve">There were no employers’ contributions made to one or more of the </w:t>
      </w:r>
      <w:r w:rsidR="000A30FB" w:rsidRPr="3285EAFF">
        <w:rPr>
          <w:lang w:val="en-US"/>
        </w:rPr>
        <w:t>panels</w:t>
      </w:r>
      <w:r w:rsidRPr="3285EAFF">
        <w:rPr>
          <w:lang w:val="en-US"/>
        </w:rPr>
        <w:t xml:space="preserve"> of three appointed stakeholder pension providers </w:t>
      </w:r>
      <w:r>
        <w:t>(</w:t>
      </w:r>
      <w:r w:rsidR="00E865B2">
        <w:rPr>
          <w:rFonts w:cs="Arial"/>
          <w:lang w:val="en-US"/>
        </w:rPr>
        <w:t>20</w:t>
      </w:r>
      <w:r w:rsidR="3137565D" w:rsidRPr="3285EAFF">
        <w:rPr>
          <w:rFonts w:cs="Arial"/>
          <w:lang w:val="en-US"/>
        </w:rPr>
        <w:t>2</w:t>
      </w:r>
      <w:r w:rsidR="00234AF5">
        <w:rPr>
          <w:rFonts w:cs="Arial"/>
          <w:lang w:val="en-US"/>
        </w:rPr>
        <w:t>2</w:t>
      </w:r>
      <w:r w:rsidR="00E865B2">
        <w:rPr>
          <w:rFonts w:cs="Arial"/>
          <w:lang w:val="en-US"/>
        </w:rPr>
        <w:t>-2</w:t>
      </w:r>
      <w:r w:rsidR="00234AF5">
        <w:rPr>
          <w:rFonts w:cs="Arial"/>
          <w:lang w:val="en-US"/>
        </w:rPr>
        <w:t>3</w:t>
      </w:r>
      <w:r>
        <w:t>: £</w:t>
      </w:r>
      <w:r w:rsidRPr="3285EAFF">
        <w:rPr>
          <w:lang w:val="en-US"/>
        </w:rPr>
        <w:t>Nil</w:t>
      </w:r>
      <w:r>
        <w:t>)</w:t>
      </w:r>
      <w:r w:rsidR="00FF1FA8">
        <w:t xml:space="preserve">. </w:t>
      </w:r>
      <w:r w:rsidRPr="3285EAFF">
        <w:rPr>
          <w:lang w:val="en-US"/>
        </w:rPr>
        <w:t>Employer contributions are age</w:t>
      </w:r>
      <w:r w:rsidRPr="3285EAFF">
        <w:rPr>
          <w:rFonts w:cs="Arial"/>
          <w:lang w:val="en-US"/>
        </w:rPr>
        <w:t>–</w:t>
      </w:r>
      <w:r w:rsidRPr="3285EAFF">
        <w:rPr>
          <w:lang w:val="en-US"/>
        </w:rPr>
        <w:t>related and ranged from 8 per cent to 14.75 per cent (depending on the age of the member)</w:t>
      </w:r>
      <w:r w:rsidR="00FF1FA8" w:rsidRPr="3285EAFF">
        <w:rPr>
          <w:lang w:val="en-US"/>
        </w:rPr>
        <w:t xml:space="preserve">. </w:t>
      </w:r>
      <w:r w:rsidRPr="3285EAFF">
        <w:rPr>
          <w:lang w:val="en-US"/>
        </w:rPr>
        <w:t>Employers also match employee contributions up to 3 per cent of pensionable pay</w:t>
      </w:r>
      <w:r w:rsidR="00FF1FA8" w:rsidRPr="3285EAFF">
        <w:rPr>
          <w:lang w:val="en-US"/>
        </w:rPr>
        <w:t xml:space="preserve">. </w:t>
      </w:r>
      <w:r w:rsidRPr="3285EAFF">
        <w:rPr>
          <w:lang w:val="en-US"/>
        </w:rPr>
        <w:t xml:space="preserve">There were no additional employer contributions at 0.5 per cent of pensionable salary to cover the cost of </w:t>
      </w:r>
      <w:proofErr w:type="gramStart"/>
      <w:r w:rsidRPr="3285EAFF">
        <w:rPr>
          <w:lang w:val="en-US"/>
        </w:rPr>
        <w:t>centrally-provided</w:t>
      </w:r>
      <w:proofErr w:type="gramEnd"/>
      <w:r w:rsidRPr="3285EAFF">
        <w:rPr>
          <w:lang w:val="en-US"/>
        </w:rPr>
        <w:t xml:space="preserve"> risk benefit cover (death in service and ill-health retirement) </w:t>
      </w:r>
      <w:r>
        <w:t>(</w:t>
      </w:r>
      <w:r w:rsidR="00E865B2">
        <w:rPr>
          <w:rFonts w:cs="Arial"/>
          <w:lang w:val="en-US"/>
        </w:rPr>
        <w:t>20</w:t>
      </w:r>
      <w:r w:rsidR="0084B063" w:rsidRPr="3285EAFF">
        <w:rPr>
          <w:rFonts w:cs="Arial"/>
          <w:lang w:val="en-US"/>
        </w:rPr>
        <w:t>2</w:t>
      </w:r>
      <w:r w:rsidR="00234AF5">
        <w:rPr>
          <w:rFonts w:cs="Arial"/>
          <w:lang w:val="en-US"/>
        </w:rPr>
        <w:t>2</w:t>
      </w:r>
      <w:r w:rsidR="00E865B2">
        <w:rPr>
          <w:rFonts w:cs="Arial"/>
          <w:lang w:val="en-US"/>
        </w:rPr>
        <w:t>-2</w:t>
      </w:r>
      <w:r w:rsidR="00234AF5">
        <w:rPr>
          <w:rFonts w:cs="Arial"/>
          <w:lang w:val="en-US"/>
        </w:rPr>
        <w:t>3</w:t>
      </w:r>
      <w:r>
        <w:t>: £</w:t>
      </w:r>
      <w:r w:rsidRPr="3285EAFF">
        <w:rPr>
          <w:lang w:val="en-US"/>
        </w:rPr>
        <w:t>Nil</w:t>
      </w:r>
      <w:r>
        <w:t>).</w:t>
      </w:r>
    </w:p>
    <w:p w14:paraId="1D2DEC4A" w14:textId="77777777" w:rsidR="00FC5374" w:rsidRPr="00F97E5F" w:rsidRDefault="00FC5374" w:rsidP="00B61C59"/>
    <w:p w14:paraId="05CE822B" w14:textId="1846E8F3" w:rsidR="000C2A54" w:rsidRPr="005D69D1" w:rsidRDefault="000C2A54" w:rsidP="54F71CB4">
      <w:pPr>
        <w:rPr>
          <w:i/>
          <w:iCs/>
        </w:rPr>
      </w:pPr>
      <w:r>
        <w:t>The expected employer pension contributions to the Principal Civil</w:t>
      </w:r>
      <w:r w:rsidR="00A80575">
        <w:t xml:space="preserve"> Service Pension Scheme for </w:t>
      </w:r>
      <w:r w:rsidR="00C95D1D">
        <w:t>2024-25</w:t>
      </w:r>
      <w:r>
        <w:t xml:space="preserve"> is </w:t>
      </w:r>
      <w:r w:rsidR="00FA0FFC">
        <w:t xml:space="preserve">estimated at </w:t>
      </w:r>
      <w:r w:rsidR="008215DC">
        <w:t>£</w:t>
      </w:r>
      <w:r w:rsidR="5B843A42">
        <w:t>469,806</w:t>
      </w:r>
      <w:r w:rsidR="00FA0FFC">
        <w:t xml:space="preserve"> </w:t>
      </w:r>
    </w:p>
    <w:p w14:paraId="5E645056" w14:textId="77777777" w:rsidR="000C2A54" w:rsidRPr="00F97E5F" w:rsidRDefault="000C2A54" w:rsidP="00B61C59"/>
    <w:p w14:paraId="496ACD3B" w14:textId="75678AFE" w:rsidR="000C2A54" w:rsidRPr="00F97E5F" w:rsidRDefault="00912417" w:rsidP="00B61C59">
      <w:r>
        <w:t>There were</w:t>
      </w:r>
      <w:r w:rsidR="000C2A54">
        <w:t xml:space="preserve"> no staff who retired early on</w:t>
      </w:r>
      <w:r w:rsidR="005D69D1">
        <w:t xml:space="preserve"> ill-health grounds during </w:t>
      </w:r>
      <w:r w:rsidR="00E865B2">
        <w:t>20</w:t>
      </w:r>
      <w:r w:rsidR="3EF6A621">
        <w:t>2</w:t>
      </w:r>
      <w:r w:rsidR="00234AF5">
        <w:t>3</w:t>
      </w:r>
      <w:r w:rsidR="00E865B2">
        <w:t>-2</w:t>
      </w:r>
      <w:r w:rsidR="00234AF5">
        <w:t>4</w:t>
      </w:r>
      <w:r w:rsidR="004A68BF">
        <w:t xml:space="preserve"> (</w:t>
      </w:r>
      <w:r w:rsidR="00E865B2">
        <w:t>20</w:t>
      </w:r>
      <w:r w:rsidR="7B7D4706">
        <w:t>2</w:t>
      </w:r>
      <w:r w:rsidR="00234AF5">
        <w:t>2</w:t>
      </w:r>
      <w:r w:rsidR="00E865B2">
        <w:t>-2</w:t>
      </w:r>
      <w:r w:rsidR="00234AF5">
        <w:t>3</w:t>
      </w:r>
      <w:r w:rsidR="004A68BF">
        <w:t>: None).</w:t>
      </w:r>
    </w:p>
    <w:p w14:paraId="2150300B" w14:textId="77777777" w:rsidR="000C2A54" w:rsidRPr="00BE16D9" w:rsidRDefault="000C2A54" w:rsidP="000C2A54">
      <w:pPr>
        <w:autoSpaceDE w:val="0"/>
        <w:autoSpaceDN w:val="0"/>
        <w:adjustRightInd w:val="0"/>
        <w:jc w:val="both"/>
        <w:rPr>
          <w:rFonts w:cs="Arial"/>
          <w:b/>
          <w:bCs/>
          <w:sz w:val="22"/>
          <w:szCs w:val="22"/>
          <w:lang w:val="en-US"/>
        </w:rPr>
      </w:pPr>
    </w:p>
    <w:p w14:paraId="1C4FE725" w14:textId="77777777" w:rsidR="003D5134" w:rsidRDefault="00D14957" w:rsidP="00D14957">
      <w:pPr>
        <w:autoSpaceDE w:val="0"/>
        <w:autoSpaceDN w:val="0"/>
        <w:adjustRightInd w:val="0"/>
        <w:jc w:val="both"/>
        <w:rPr>
          <w:rFonts w:cs="Arial"/>
          <w:b/>
          <w:bCs/>
          <w:lang w:val="en-US"/>
        </w:rPr>
      </w:pPr>
      <w:r>
        <w:rPr>
          <w:rFonts w:cs="Arial"/>
          <w:b/>
          <w:bCs/>
          <w:lang w:val="en-US"/>
        </w:rPr>
        <w:t>Number of Senior Civil Service Staff</w:t>
      </w:r>
    </w:p>
    <w:p w14:paraId="4063456B" w14:textId="77777777" w:rsidR="00D14957" w:rsidRDefault="00D14957" w:rsidP="00D14957">
      <w:pPr>
        <w:autoSpaceDE w:val="0"/>
        <w:autoSpaceDN w:val="0"/>
        <w:adjustRightInd w:val="0"/>
        <w:jc w:val="both"/>
        <w:rPr>
          <w:rFonts w:cs="Arial"/>
          <w:b/>
          <w:bCs/>
          <w:lang w:val="en-US"/>
        </w:rPr>
      </w:pPr>
    </w:p>
    <w:tbl>
      <w:tblPr>
        <w:tblStyle w:val="TableGrid"/>
        <w:tblW w:w="0" w:type="auto"/>
        <w:tblLook w:val="04A0" w:firstRow="1" w:lastRow="0" w:firstColumn="1" w:lastColumn="0" w:noHBand="0" w:noVBand="1"/>
      </w:tblPr>
      <w:tblGrid>
        <w:gridCol w:w="3020"/>
        <w:gridCol w:w="3020"/>
        <w:gridCol w:w="3021"/>
      </w:tblGrid>
      <w:tr w:rsidR="00D14957" w14:paraId="6FFB0976" w14:textId="77777777" w:rsidTr="3285EAFF">
        <w:tc>
          <w:tcPr>
            <w:tcW w:w="3020" w:type="dxa"/>
          </w:tcPr>
          <w:p w14:paraId="3B6ADE95" w14:textId="77777777" w:rsidR="00D14957" w:rsidRDefault="00D14957" w:rsidP="00D14957">
            <w:pPr>
              <w:autoSpaceDE w:val="0"/>
              <w:autoSpaceDN w:val="0"/>
              <w:adjustRightInd w:val="0"/>
              <w:jc w:val="center"/>
              <w:rPr>
                <w:rFonts w:cs="Arial"/>
                <w:b/>
                <w:bCs/>
              </w:rPr>
            </w:pPr>
            <w:r>
              <w:rPr>
                <w:rFonts w:cs="Arial"/>
                <w:b/>
                <w:bCs/>
              </w:rPr>
              <w:t>Grade of Senior Civil Servant</w:t>
            </w:r>
          </w:p>
        </w:tc>
        <w:tc>
          <w:tcPr>
            <w:tcW w:w="3020" w:type="dxa"/>
          </w:tcPr>
          <w:p w14:paraId="0DE9C343" w14:textId="6F522BCD" w:rsidR="00D14957" w:rsidRDefault="00E865B2" w:rsidP="00D14957">
            <w:pPr>
              <w:autoSpaceDE w:val="0"/>
              <w:autoSpaceDN w:val="0"/>
              <w:adjustRightInd w:val="0"/>
              <w:jc w:val="center"/>
              <w:rPr>
                <w:rFonts w:cs="Arial"/>
                <w:b/>
                <w:bCs/>
              </w:rPr>
            </w:pPr>
            <w:r>
              <w:rPr>
                <w:rFonts w:cs="Arial"/>
                <w:b/>
                <w:bCs/>
              </w:rPr>
              <w:t>202</w:t>
            </w:r>
            <w:r w:rsidR="00931324">
              <w:rPr>
                <w:rFonts w:cs="Arial"/>
                <w:b/>
                <w:bCs/>
              </w:rPr>
              <w:t>3</w:t>
            </w:r>
            <w:r>
              <w:rPr>
                <w:rFonts w:cs="Arial"/>
                <w:b/>
                <w:bCs/>
              </w:rPr>
              <w:t>-2</w:t>
            </w:r>
            <w:r w:rsidR="00931324">
              <w:rPr>
                <w:rFonts w:cs="Arial"/>
                <w:b/>
                <w:bCs/>
              </w:rPr>
              <w:t>4</w:t>
            </w:r>
            <w:r w:rsidR="00D14957" w:rsidRPr="3285EAFF">
              <w:rPr>
                <w:rFonts w:cs="Arial"/>
                <w:b/>
                <w:bCs/>
              </w:rPr>
              <w:t xml:space="preserve"> </w:t>
            </w:r>
          </w:p>
          <w:p w14:paraId="5BF49F9B" w14:textId="77777777" w:rsidR="00D14957" w:rsidRDefault="00D14957" w:rsidP="00D14957">
            <w:pPr>
              <w:autoSpaceDE w:val="0"/>
              <w:autoSpaceDN w:val="0"/>
              <w:adjustRightInd w:val="0"/>
              <w:jc w:val="center"/>
              <w:rPr>
                <w:rFonts w:cs="Arial"/>
                <w:b/>
                <w:bCs/>
              </w:rPr>
            </w:pPr>
            <w:r>
              <w:rPr>
                <w:rFonts w:cs="Arial"/>
                <w:b/>
                <w:bCs/>
              </w:rPr>
              <w:t>Number of Staff</w:t>
            </w:r>
          </w:p>
        </w:tc>
        <w:tc>
          <w:tcPr>
            <w:tcW w:w="3021" w:type="dxa"/>
          </w:tcPr>
          <w:p w14:paraId="529BD4F9" w14:textId="1B94EE56" w:rsidR="00D14957" w:rsidRDefault="00E865B2" w:rsidP="00D14957">
            <w:pPr>
              <w:autoSpaceDE w:val="0"/>
              <w:autoSpaceDN w:val="0"/>
              <w:adjustRightInd w:val="0"/>
              <w:jc w:val="center"/>
              <w:rPr>
                <w:rFonts w:cs="Arial"/>
                <w:b/>
                <w:bCs/>
              </w:rPr>
            </w:pPr>
            <w:r>
              <w:rPr>
                <w:rFonts w:cs="Arial"/>
                <w:b/>
                <w:bCs/>
              </w:rPr>
              <w:t>202</w:t>
            </w:r>
            <w:r w:rsidR="00931324">
              <w:rPr>
                <w:rFonts w:cs="Arial"/>
                <w:b/>
                <w:bCs/>
              </w:rPr>
              <w:t>2</w:t>
            </w:r>
            <w:r>
              <w:rPr>
                <w:rFonts w:cs="Arial"/>
                <w:b/>
                <w:bCs/>
              </w:rPr>
              <w:t>-2</w:t>
            </w:r>
            <w:r w:rsidR="00931324">
              <w:rPr>
                <w:rFonts w:cs="Arial"/>
                <w:b/>
                <w:bCs/>
              </w:rPr>
              <w:t>3</w:t>
            </w:r>
          </w:p>
          <w:p w14:paraId="3F46423A" w14:textId="77777777" w:rsidR="00D14957" w:rsidRDefault="00D14957" w:rsidP="00D14957">
            <w:pPr>
              <w:autoSpaceDE w:val="0"/>
              <w:autoSpaceDN w:val="0"/>
              <w:adjustRightInd w:val="0"/>
              <w:jc w:val="center"/>
              <w:rPr>
                <w:rFonts w:cs="Arial"/>
                <w:b/>
                <w:bCs/>
              </w:rPr>
            </w:pPr>
            <w:r>
              <w:rPr>
                <w:rFonts w:cs="Arial"/>
                <w:b/>
                <w:bCs/>
              </w:rPr>
              <w:t>Number of Staff</w:t>
            </w:r>
          </w:p>
          <w:p w14:paraId="056788E2" w14:textId="77777777" w:rsidR="00D14957" w:rsidRDefault="00D14957" w:rsidP="00D14957">
            <w:pPr>
              <w:autoSpaceDE w:val="0"/>
              <w:autoSpaceDN w:val="0"/>
              <w:adjustRightInd w:val="0"/>
              <w:jc w:val="center"/>
              <w:rPr>
                <w:rFonts w:cs="Arial"/>
                <w:b/>
                <w:bCs/>
              </w:rPr>
            </w:pPr>
          </w:p>
        </w:tc>
      </w:tr>
      <w:tr w:rsidR="00D14957" w14:paraId="09E37B69" w14:textId="77777777" w:rsidTr="3285EAFF">
        <w:tc>
          <w:tcPr>
            <w:tcW w:w="3020" w:type="dxa"/>
          </w:tcPr>
          <w:p w14:paraId="0CA6D906" w14:textId="77777777" w:rsidR="00D14957" w:rsidRPr="00D14957" w:rsidRDefault="00D14957" w:rsidP="00D14957">
            <w:pPr>
              <w:autoSpaceDE w:val="0"/>
              <w:autoSpaceDN w:val="0"/>
              <w:adjustRightInd w:val="0"/>
              <w:jc w:val="center"/>
              <w:rPr>
                <w:rFonts w:cs="Arial"/>
                <w:bCs/>
              </w:rPr>
            </w:pPr>
            <w:r>
              <w:rPr>
                <w:rFonts w:cs="Arial"/>
                <w:bCs/>
              </w:rPr>
              <w:t>5</w:t>
            </w:r>
          </w:p>
        </w:tc>
        <w:tc>
          <w:tcPr>
            <w:tcW w:w="3020" w:type="dxa"/>
          </w:tcPr>
          <w:p w14:paraId="77E0770B" w14:textId="77777777" w:rsidR="00D14957" w:rsidRPr="00D14957" w:rsidRDefault="00A80575" w:rsidP="00D14957">
            <w:pPr>
              <w:autoSpaceDE w:val="0"/>
              <w:autoSpaceDN w:val="0"/>
              <w:adjustRightInd w:val="0"/>
              <w:jc w:val="center"/>
              <w:rPr>
                <w:rFonts w:cs="Arial"/>
                <w:bCs/>
              </w:rPr>
            </w:pPr>
            <w:r>
              <w:rPr>
                <w:rFonts w:cs="Arial"/>
                <w:bCs/>
              </w:rPr>
              <w:t>2</w:t>
            </w:r>
          </w:p>
        </w:tc>
        <w:tc>
          <w:tcPr>
            <w:tcW w:w="3021" w:type="dxa"/>
          </w:tcPr>
          <w:p w14:paraId="7943E637" w14:textId="77777777" w:rsidR="00D14957" w:rsidRDefault="00D14957" w:rsidP="000F5ED9">
            <w:pPr>
              <w:autoSpaceDE w:val="0"/>
              <w:autoSpaceDN w:val="0"/>
              <w:adjustRightInd w:val="0"/>
              <w:jc w:val="center"/>
              <w:rPr>
                <w:rFonts w:cs="Arial"/>
                <w:bCs/>
              </w:rPr>
            </w:pPr>
            <w:r>
              <w:rPr>
                <w:rFonts w:cs="Arial"/>
                <w:bCs/>
              </w:rPr>
              <w:t>2</w:t>
            </w:r>
          </w:p>
          <w:p w14:paraId="3CE3CAAF" w14:textId="77777777" w:rsidR="000F5ED9" w:rsidRPr="00D14957" w:rsidRDefault="000F5ED9" w:rsidP="000F5ED9">
            <w:pPr>
              <w:autoSpaceDE w:val="0"/>
              <w:autoSpaceDN w:val="0"/>
              <w:adjustRightInd w:val="0"/>
              <w:jc w:val="center"/>
              <w:rPr>
                <w:rFonts w:cs="Arial"/>
                <w:bCs/>
              </w:rPr>
            </w:pPr>
          </w:p>
        </w:tc>
      </w:tr>
    </w:tbl>
    <w:p w14:paraId="77022AD5" w14:textId="77777777" w:rsidR="000F5ED9" w:rsidRDefault="000F5ED9" w:rsidP="00D14957">
      <w:pPr>
        <w:autoSpaceDE w:val="0"/>
        <w:autoSpaceDN w:val="0"/>
        <w:adjustRightInd w:val="0"/>
        <w:jc w:val="both"/>
        <w:rPr>
          <w:rFonts w:cs="Arial"/>
          <w:b/>
          <w:bCs/>
          <w:lang w:val="en-US"/>
        </w:rPr>
      </w:pPr>
    </w:p>
    <w:p w14:paraId="2932165B" w14:textId="77777777" w:rsidR="000C2A54" w:rsidRPr="00D73014" w:rsidRDefault="000C2A54" w:rsidP="00D14957">
      <w:pPr>
        <w:autoSpaceDE w:val="0"/>
        <w:autoSpaceDN w:val="0"/>
        <w:adjustRightInd w:val="0"/>
        <w:jc w:val="both"/>
        <w:rPr>
          <w:rFonts w:cs="Arial"/>
          <w:lang w:val="en-US"/>
        </w:rPr>
      </w:pPr>
      <w:r w:rsidRPr="00F97E5F">
        <w:rPr>
          <w:rFonts w:cs="Arial"/>
          <w:b/>
          <w:bCs/>
          <w:lang w:val="en-US"/>
        </w:rPr>
        <w:t>Average number of persons employed</w:t>
      </w:r>
      <w:r>
        <w:rPr>
          <w:rFonts w:cs="Arial"/>
          <w:b/>
          <w:bCs/>
          <w:lang w:val="en-US"/>
        </w:rPr>
        <w:t xml:space="preserve"> </w:t>
      </w:r>
      <w:r>
        <w:rPr>
          <w:rFonts w:cs="Arial"/>
          <w:bCs/>
          <w:lang w:val="en-US"/>
        </w:rPr>
        <w:t>(audited information)</w:t>
      </w:r>
    </w:p>
    <w:p w14:paraId="019066F9" w14:textId="77777777" w:rsidR="000C2A54" w:rsidRPr="00F97E5F" w:rsidRDefault="000C2A54" w:rsidP="000C2A54">
      <w:pPr>
        <w:ind w:left="567"/>
        <w:rPr>
          <w:rFonts w:cs="Arial"/>
          <w:lang w:val="en-US"/>
        </w:rPr>
      </w:pPr>
    </w:p>
    <w:p w14:paraId="5570D28B" w14:textId="4688F4E4" w:rsidR="007D0485" w:rsidRDefault="000C2A54" w:rsidP="00F04493">
      <w:pPr>
        <w:rPr>
          <w:rFonts w:cs="Arial"/>
          <w:lang w:val="en-US"/>
        </w:rPr>
      </w:pPr>
      <w:r w:rsidRPr="00F97E5F">
        <w:rPr>
          <w:rFonts w:cs="Arial"/>
          <w:lang w:val="en-US"/>
        </w:rPr>
        <w:t>The average number of whole-time equivalent persons employed during the year was as follows:</w:t>
      </w:r>
    </w:p>
    <w:tbl>
      <w:tblPr>
        <w:tblW w:w="8995" w:type="dxa"/>
        <w:tblInd w:w="392" w:type="dxa"/>
        <w:tblLook w:val="01E0" w:firstRow="1" w:lastRow="1" w:firstColumn="1" w:lastColumn="1" w:noHBand="0" w:noVBand="0"/>
      </w:tblPr>
      <w:tblGrid>
        <w:gridCol w:w="2126"/>
        <w:gridCol w:w="1134"/>
        <w:gridCol w:w="1985"/>
        <w:gridCol w:w="1648"/>
        <w:gridCol w:w="971"/>
        <w:gridCol w:w="1131"/>
      </w:tblGrid>
      <w:tr w:rsidR="000C2A54" w:rsidRPr="00D60995" w14:paraId="225A62D1" w14:textId="77777777" w:rsidTr="3285EAFF">
        <w:tc>
          <w:tcPr>
            <w:tcW w:w="2126" w:type="dxa"/>
          </w:tcPr>
          <w:p w14:paraId="644A07A8" w14:textId="77777777" w:rsidR="000C2A54" w:rsidRPr="003C274D" w:rsidRDefault="000C2A54" w:rsidP="000C2A54">
            <w:pPr>
              <w:jc w:val="right"/>
              <w:rPr>
                <w:b/>
                <w:sz w:val="20"/>
                <w:szCs w:val="20"/>
              </w:rPr>
            </w:pPr>
          </w:p>
        </w:tc>
        <w:tc>
          <w:tcPr>
            <w:tcW w:w="1134" w:type="dxa"/>
          </w:tcPr>
          <w:p w14:paraId="0714A26F" w14:textId="23B60116" w:rsidR="000C2A54" w:rsidRPr="00563D4A" w:rsidRDefault="00E865B2" w:rsidP="00E029DB">
            <w:pPr>
              <w:spacing w:line="259" w:lineRule="auto"/>
              <w:ind w:left="-137" w:hanging="40"/>
              <w:jc w:val="right"/>
              <w:rPr>
                <w:color w:val="000000" w:themeColor="text1"/>
              </w:rPr>
            </w:pPr>
            <w:r>
              <w:rPr>
                <w:b/>
                <w:bCs/>
                <w:sz w:val="20"/>
                <w:szCs w:val="20"/>
              </w:rPr>
              <w:t>20</w:t>
            </w:r>
            <w:r w:rsidR="415A16E6" w:rsidRPr="3285EAFF">
              <w:rPr>
                <w:b/>
                <w:bCs/>
                <w:sz w:val="20"/>
                <w:szCs w:val="20"/>
              </w:rPr>
              <w:t>2</w:t>
            </w:r>
            <w:r w:rsidR="00D223CE">
              <w:rPr>
                <w:b/>
                <w:bCs/>
                <w:sz w:val="20"/>
                <w:szCs w:val="20"/>
              </w:rPr>
              <w:t>3</w:t>
            </w:r>
            <w:r>
              <w:rPr>
                <w:b/>
                <w:bCs/>
                <w:sz w:val="20"/>
                <w:szCs w:val="20"/>
              </w:rPr>
              <w:t>-2</w:t>
            </w:r>
            <w:r w:rsidR="00D223CE">
              <w:rPr>
                <w:b/>
                <w:bCs/>
                <w:sz w:val="20"/>
                <w:szCs w:val="20"/>
              </w:rPr>
              <w:t>4</w:t>
            </w:r>
          </w:p>
          <w:p w14:paraId="3DA82D1A" w14:textId="0B830501" w:rsidR="000C2A54" w:rsidRPr="00563D4A" w:rsidRDefault="00FA48BC" w:rsidP="000C2A54">
            <w:pPr>
              <w:jc w:val="right"/>
              <w:rPr>
                <w:b/>
                <w:sz w:val="20"/>
                <w:szCs w:val="20"/>
              </w:rPr>
            </w:pPr>
            <w:r w:rsidRPr="00563D4A">
              <w:rPr>
                <w:b/>
                <w:sz w:val="20"/>
                <w:szCs w:val="20"/>
              </w:rPr>
              <w:t>T</w:t>
            </w:r>
            <w:r w:rsidR="000C2A54" w:rsidRPr="00563D4A">
              <w:rPr>
                <w:b/>
                <w:sz w:val="20"/>
                <w:szCs w:val="20"/>
              </w:rPr>
              <w:t>otal</w:t>
            </w:r>
          </w:p>
        </w:tc>
        <w:tc>
          <w:tcPr>
            <w:tcW w:w="1985" w:type="dxa"/>
          </w:tcPr>
          <w:p w14:paraId="77D721CC" w14:textId="77777777" w:rsidR="000C2A54" w:rsidRPr="00563D4A" w:rsidRDefault="000C2A54" w:rsidP="000C2A54">
            <w:pPr>
              <w:jc w:val="right"/>
              <w:rPr>
                <w:b/>
                <w:sz w:val="20"/>
                <w:szCs w:val="20"/>
              </w:rPr>
            </w:pPr>
            <w:r w:rsidRPr="00563D4A">
              <w:rPr>
                <w:b/>
                <w:sz w:val="20"/>
                <w:szCs w:val="20"/>
              </w:rPr>
              <w:t>Commissioners</w:t>
            </w:r>
          </w:p>
        </w:tc>
        <w:tc>
          <w:tcPr>
            <w:tcW w:w="1648" w:type="dxa"/>
          </w:tcPr>
          <w:p w14:paraId="133889C5" w14:textId="77777777" w:rsidR="000C2A54" w:rsidRPr="00563D4A" w:rsidRDefault="000C2A54" w:rsidP="000C2A54">
            <w:pPr>
              <w:jc w:val="right"/>
              <w:rPr>
                <w:b/>
                <w:sz w:val="20"/>
                <w:szCs w:val="20"/>
              </w:rPr>
            </w:pPr>
            <w:r w:rsidRPr="00563D4A">
              <w:rPr>
                <w:b/>
                <w:sz w:val="20"/>
                <w:szCs w:val="20"/>
              </w:rPr>
              <w:t>Permanently</w:t>
            </w:r>
          </w:p>
          <w:p w14:paraId="7B0A0B60" w14:textId="77777777" w:rsidR="00CC02A7" w:rsidRPr="00563D4A" w:rsidRDefault="000C2A54" w:rsidP="00CC02A7">
            <w:pPr>
              <w:jc w:val="right"/>
              <w:rPr>
                <w:b/>
                <w:sz w:val="20"/>
                <w:szCs w:val="20"/>
              </w:rPr>
            </w:pPr>
            <w:r w:rsidRPr="00563D4A">
              <w:rPr>
                <w:b/>
                <w:sz w:val="20"/>
                <w:szCs w:val="20"/>
              </w:rPr>
              <w:t xml:space="preserve">Employed </w:t>
            </w:r>
          </w:p>
          <w:p w14:paraId="4B6366A6" w14:textId="77777777" w:rsidR="000C2A54" w:rsidRPr="00563D4A" w:rsidRDefault="000C2A54" w:rsidP="000C2A54">
            <w:pPr>
              <w:jc w:val="right"/>
              <w:rPr>
                <w:b/>
                <w:sz w:val="20"/>
                <w:szCs w:val="20"/>
              </w:rPr>
            </w:pPr>
          </w:p>
        </w:tc>
        <w:tc>
          <w:tcPr>
            <w:tcW w:w="971" w:type="dxa"/>
          </w:tcPr>
          <w:p w14:paraId="3F65C30D" w14:textId="77777777" w:rsidR="000C2A54" w:rsidRPr="00563D4A" w:rsidRDefault="000C2A54" w:rsidP="000C2A54">
            <w:pPr>
              <w:jc w:val="right"/>
              <w:rPr>
                <w:b/>
                <w:sz w:val="20"/>
                <w:szCs w:val="20"/>
              </w:rPr>
            </w:pPr>
            <w:r w:rsidRPr="00563D4A">
              <w:rPr>
                <w:b/>
                <w:sz w:val="20"/>
                <w:szCs w:val="20"/>
              </w:rPr>
              <w:t>Others</w:t>
            </w:r>
          </w:p>
          <w:p w14:paraId="3DF88DE8" w14:textId="77777777" w:rsidR="000C2A54" w:rsidRPr="00563D4A" w:rsidRDefault="000C2A54" w:rsidP="000C2A54">
            <w:pPr>
              <w:jc w:val="center"/>
              <w:rPr>
                <w:b/>
                <w:sz w:val="20"/>
                <w:szCs w:val="20"/>
              </w:rPr>
            </w:pPr>
          </w:p>
        </w:tc>
        <w:tc>
          <w:tcPr>
            <w:tcW w:w="1131" w:type="dxa"/>
          </w:tcPr>
          <w:p w14:paraId="0368E25D" w14:textId="6A0F9C5C" w:rsidR="000C2A54" w:rsidRPr="00563D4A" w:rsidRDefault="66483038" w:rsidP="00E029DB">
            <w:pPr>
              <w:spacing w:line="259" w:lineRule="auto"/>
              <w:ind w:left="-286" w:right="-327" w:firstLine="142"/>
              <w:jc w:val="center"/>
              <w:rPr>
                <w:color w:val="000000" w:themeColor="text1"/>
              </w:rPr>
            </w:pPr>
            <w:r w:rsidRPr="3285EAFF">
              <w:rPr>
                <w:b/>
                <w:bCs/>
                <w:sz w:val="20"/>
                <w:szCs w:val="20"/>
              </w:rPr>
              <w:t>2</w:t>
            </w:r>
            <w:r w:rsidR="00E865B2">
              <w:rPr>
                <w:b/>
                <w:bCs/>
                <w:sz w:val="20"/>
                <w:szCs w:val="20"/>
              </w:rPr>
              <w:t>02</w:t>
            </w:r>
            <w:r w:rsidR="00D223CE">
              <w:rPr>
                <w:b/>
                <w:bCs/>
                <w:sz w:val="20"/>
                <w:szCs w:val="20"/>
              </w:rPr>
              <w:t>2</w:t>
            </w:r>
            <w:r w:rsidR="00E865B2">
              <w:rPr>
                <w:b/>
                <w:bCs/>
                <w:sz w:val="20"/>
                <w:szCs w:val="20"/>
              </w:rPr>
              <w:t>-2</w:t>
            </w:r>
            <w:r w:rsidR="00D223CE">
              <w:rPr>
                <w:b/>
                <w:bCs/>
                <w:sz w:val="20"/>
                <w:szCs w:val="20"/>
              </w:rPr>
              <w:t>3</w:t>
            </w:r>
          </w:p>
          <w:p w14:paraId="69C0BE88" w14:textId="77777777" w:rsidR="000C2A54" w:rsidRPr="00563D4A" w:rsidRDefault="00992457" w:rsidP="000C2A54">
            <w:pPr>
              <w:jc w:val="right"/>
              <w:rPr>
                <w:b/>
                <w:sz w:val="20"/>
                <w:szCs w:val="20"/>
              </w:rPr>
            </w:pPr>
            <w:r w:rsidRPr="00563D4A">
              <w:rPr>
                <w:b/>
                <w:sz w:val="20"/>
                <w:szCs w:val="20"/>
              </w:rPr>
              <w:t>T</w:t>
            </w:r>
            <w:r w:rsidR="000C2A54" w:rsidRPr="00563D4A">
              <w:rPr>
                <w:b/>
                <w:sz w:val="20"/>
                <w:szCs w:val="20"/>
              </w:rPr>
              <w:t>otal</w:t>
            </w:r>
          </w:p>
        </w:tc>
      </w:tr>
      <w:tr w:rsidR="000C2A54" w:rsidRPr="00D60995" w14:paraId="1004854D" w14:textId="77777777" w:rsidTr="3285EAFF">
        <w:tc>
          <w:tcPr>
            <w:tcW w:w="2126" w:type="dxa"/>
          </w:tcPr>
          <w:p w14:paraId="008DA5A0" w14:textId="77777777" w:rsidR="000C2A54" w:rsidRPr="00863EC6" w:rsidRDefault="000C2A54" w:rsidP="000C2A54">
            <w:pPr>
              <w:rPr>
                <w:sz w:val="20"/>
                <w:szCs w:val="20"/>
              </w:rPr>
            </w:pPr>
            <w:r w:rsidRPr="00863EC6">
              <w:rPr>
                <w:sz w:val="20"/>
                <w:szCs w:val="20"/>
              </w:rPr>
              <w:t>Directly employed</w:t>
            </w:r>
          </w:p>
        </w:tc>
        <w:tc>
          <w:tcPr>
            <w:tcW w:w="1134" w:type="dxa"/>
          </w:tcPr>
          <w:p w14:paraId="5517995B" w14:textId="7EDAAB94" w:rsidR="000C2A54" w:rsidRPr="00563D4A" w:rsidRDefault="00FA48BC" w:rsidP="00E029DB">
            <w:pPr>
              <w:spacing w:line="259" w:lineRule="auto"/>
              <w:jc w:val="right"/>
              <w:rPr>
                <w:color w:val="000000" w:themeColor="text1"/>
              </w:rPr>
            </w:pPr>
            <w:r w:rsidRPr="00FA48BC">
              <w:rPr>
                <w:sz w:val="20"/>
                <w:szCs w:val="20"/>
              </w:rPr>
              <w:t>32</w:t>
            </w:r>
          </w:p>
        </w:tc>
        <w:tc>
          <w:tcPr>
            <w:tcW w:w="1985" w:type="dxa"/>
          </w:tcPr>
          <w:p w14:paraId="056314AD" w14:textId="78692DE2" w:rsidR="000C2A54" w:rsidRPr="00563D4A" w:rsidRDefault="00D223CE" w:rsidP="000C2A54">
            <w:pPr>
              <w:jc w:val="right"/>
              <w:rPr>
                <w:sz w:val="20"/>
                <w:szCs w:val="20"/>
              </w:rPr>
            </w:pPr>
            <w:r>
              <w:rPr>
                <w:sz w:val="20"/>
                <w:szCs w:val="20"/>
              </w:rPr>
              <w:t>6</w:t>
            </w:r>
          </w:p>
        </w:tc>
        <w:tc>
          <w:tcPr>
            <w:tcW w:w="1648" w:type="dxa"/>
          </w:tcPr>
          <w:p w14:paraId="451CDCE8" w14:textId="7A5DF9A0" w:rsidR="000C2A54" w:rsidRPr="00563D4A" w:rsidRDefault="00915B65" w:rsidP="00E029DB">
            <w:pPr>
              <w:spacing w:line="259" w:lineRule="auto"/>
              <w:jc w:val="right"/>
              <w:rPr>
                <w:color w:val="000000" w:themeColor="text1"/>
              </w:rPr>
            </w:pPr>
            <w:r>
              <w:rPr>
                <w:sz w:val="20"/>
                <w:szCs w:val="20"/>
              </w:rPr>
              <w:t>2</w:t>
            </w:r>
            <w:r w:rsidR="00D223CE">
              <w:rPr>
                <w:sz w:val="20"/>
                <w:szCs w:val="20"/>
              </w:rPr>
              <w:t>4</w:t>
            </w:r>
          </w:p>
        </w:tc>
        <w:tc>
          <w:tcPr>
            <w:tcW w:w="971" w:type="dxa"/>
          </w:tcPr>
          <w:p w14:paraId="7F5382A0" w14:textId="69EBC903" w:rsidR="000C2A54" w:rsidRPr="00563D4A" w:rsidRDefault="00FA48BC" w:rsidP="00E029DB">
            <w:pPr>
              <w:spacing w:line="259" w:lineRule="auto"/>
              <w:jc w:val="right"/>
              <w:rPr>
                <w:color w:val="000000" w:themeColor="text1"/>
              </w:rPr>
            </w:pPr>
            <w:r w:rsidRPr="00FA48BC">
              <w:rPr>
                <w:sz w:val="20"/>
                <w:szCs w:val="20"/>
              </w:rPr>
              <w:t>2</w:t>
            </w:r>
          </w:p>
        </w:tc>
        <w:tc>
          <w:tcPr>
            <w:tcW w:w="1131" w:type="dxa"/>
          </w:tcPr>
          <w:p w14:paraId="41C725DE" w14:textId="411516CE" w:rsidR="000C2A54" w:rsidRPr="00563D4A" w:rsidRDefault="00D223CE" w:rsidP="00E029DB">
            <w:pPr>
              <w:spacing w:line="259" w:lineRule="auto"/>
              <w:jc w:val="right"/>
              <w:rPr>
                <w:sz w:val="20"/>
                <w:szCs w:val="20"/>
              </w:rPr>
            </w:pPr>
            <w:r>
              <w:rPr>
                <w:sz w:val="20"/>
                <w:szCs w:val="20"/>
              </w:rPr>
              <w:t>32</w:t>
            </w:r>
          </w:p>
        </w:tc>
      </w:tr>
      <w:tr w:rsidR="000C2A54" w:rsidRPr="00D60995" w14:paraId="75C3A81D" w14:textId="77777777" w:rsidTr="3285EAFF">
        <w:tc>
          <w:tcPr>
            <w:tcW w:w="2126" w:type="dxa"/>
          </w:tcPr>
          <w:p w14:paraId="187A91AC" w14:textId="77777777" w:rsidR="000C2A54" w:rsidRPr="00863EC6" w:rsidRDefault="000C2A54" w:rsidP="000C2A54">
            <w:pPr>
              <w:rPr>
                <w:sz w:val="20"/>
                <w:szCs w:val="20"/>
              </w:rPr>
            </w:pPr>
            <w:r w:rsidRPr="00863EC6">
              <w:rPr>
                <w:sz w:val="20"/>
                <w:szCs w:val="20"/>
              </w:rPr>
              <w:t>Other</w:t>
            </w:r>
          </w:p>
        </w:tc>
        <w:tc>
          <w:tcPr>
            <w:tcW w:w="1134" w:type="dxa"/>
          </w:tcPr>
          <w:p w14:paraId="31333DE4" w14:textId="77777777" w:rsidR="000C2A54" w:rsidRPr="00563D4A" w:rsidRDefault="00E865B2" w:rsidP="00E029DB">
            <w:pPr>
              <w:spacing w:line="259" w:lineRule="auto"/>
              <w:jc w:val="right"/>
              <w:rPr>
                <w:color w:val="000000" w:themeColor="text1"/>
              </w:rPr>
            </w:pPr>
            <w:r>
              <w:rPr>
                <w:sz w:val="20"/>
                <w:szCs w:val="20"/>
              </w:rPr>
              <w:t>1</w:t>
            </w:r>
          </w:p>
        </w:tc>
        <w:tc>
          <w:tcPr>
            <w:tcW w:w="1985" w:type="dxa"/>
          </w:tcPr>
          <w:p w14:paraId="15DA1578" w14:textId="77777777" w:rsidR="000C2A54" w:rsidRPr="00563D4A" w:rsidRDefault="00C141C6" w:rsidP="000C2A54">
            <w:pPr>
              <w:jc w:val="right"/>
              <w:rPr>
                <w:sz w:val="20"/>
                <w:szCs w:val="20"/>
              </w:rPr>
            </w:pPr>
            <w:r>
              <w:rPr>
                <w:sz w:val="20"/>
                <w:szCs w:val="20"/>
              </w:rPr>
              <w:t>0</w:t>
            </w:r>
          </w:p>
        </w:tc>
        <w:tc>
          <w:tcPr>
            <w:tcW w:w="1648" w:type="dxa"/>
          </w:tcPr>
          <w:p w14:paraId="6A765490" w14:textId="77777777" w:rsidR="000C2A54" w:rsidRPr="00563D4A" w:rsidRDefault="00C141C6" w:rsidP="000C2A54">
            <w:pPr>
              <w:jc w:val="right"/>
              <w:rPr>
                <w:sz w:val="20"/>
                <w:szCs w:val="20"/>
              </w:rPr>
            </w:pPr>
            <w:r>
              <w:rPr>
                <w:sz w:val="20"/>
                <w:szCs w:val="20"/>
              </w:rPr>
              <w:t>0</w:t>
            </w:r>
          </w:p>
        </w:tc>
        <w:tc>
          <w:tcPr>
            <w:tcW w:w="971" w:type="dxa"/>
          </w:tcPr>
          <w:p w14:paraId="58970C73" w14:textId="77777777" w:rsidR="000C2A54" w:rsidRPr="00563D4A" w:rsidRDefault="00E865B2" w:rsidP="00E029DB">
            <w:pPr>
              <w:spacing w:line="259" w:lineRule="auto"/>
              <w:jc w:val="right"/>
              <w:rPr>
                <w:color w:val="000000" w:themeColor="text1"/>
              </w:rPr>
            </w:pPr>
            <w:r>
              <w:rPr>
                <w:sz w:val="20"/>
                <w:szCs w:val="20"/>
              </w:rPr>
              <w:t>1</w:t>
            </w:r>
          </w:p>
        </w:tc>
        <w:tc>
          <w:tcPr>
            <w:tcW w:w="1131" w:type="dxa"/>
          </w:tcPr>
          <w:p w14:paraId="35C58673" w14:textId="0863323C" w:rsidR="000C2A54" w:rsidRPr="00563D4A" w:rsidRDefault="00FA48BC" w:rsidP="000C2A54">
            <w:pPr>
              <w:jc w:val="right"/>
              <w:rPr>
                <w:sz w:val="20"/>
                <w:szCs w:val="20"/>
              </w:rPr>
            </w:pPr>
            <w:r>
              <w:rPr>
                <w:sz w:val="20"/>
                <w:szCs w:val="20"/>
              </w:rPr>
              <w:t>1</w:t>
            </w:r>
          </w:p>
        </w:tc>
      </w:tr>
      <w:tr w:rsidR="000C2A54" w:rsidRPr="00D60995" w14:paraId="197802A6" w14:textId="77777777" w:rsidTr="3285EAFF">
        <w:tc>
          <w:tcPr>
            <w:tcW w:w="2126" w:type="dxa"/>
          </w:tcPr>
          <w:p w14:paraId="6E156588" w14:textId="77777777" w:rsidR="000C2A54" w:rsidRPr="00863EC6" w:rsidRDefault="000C2A54" w:rsidP="000C2A54">
            <w:pPr>
              <w:rPr>
                <w:b/>
                <w:sz w:val="20"/>
                <w:szCs w:val="20"/>
              </w:rPr>
            </w:pPr>
            <w:r w:rsidRPr="00863EC6">
              <w:rPr>
                <w:b/>
                <w:sz w:val="20"/>
                <w:szCs w:val="20"/>
              </w:rPr>
              <w:t>Total</w:t>
            </w:r>
          </w:p>
        </w:tc>
        <w:tc>
          <w:tcPr>
            <w:tcW w:w="1134" w:type="dxa"/>
            <w:tcBorders>
              <w:top w:val="single" w:sz="4" w:space="0" w:color="auto"/>
              <w:bottom w:val="single" w:sz="4" w:space="0" w:color="auto"/>
            </w:tcBorders>
          </w:tcPr>
          <w:p w14:paraId="45E4FC21" w14:textId="3E69DDC6" w:rsidR="000C2A54" w:rsidRPr="00563D4A" w:rsidRDefault="00915B65" w:rsidP="00E029DB">
            <w:pPr>
              <w:spacing w:line="259" w:lineRule="auto"/>
              <w:jc w:val="right"/>
              <w:rPr>
                <w:color w:val="000000" w:themeColor="text1"/>
              </w:rPr>
            </w:pPr>
            <w:r>
              <w:rPr>
                <w:b/>
                <w:bCs/>
                <w:sz w:val="20"/>
                <w:szCs w:val="20"/>
              </w:rPr>
              <w:t>3</w:t>
            </w:r>
            <w:r w:rsidR="00FA48BC">
              <w:rPr>
                <w:b/>
                <w:bCs/>
                <w:sz w:val="20"/>
                <w:szCs w:val="20"/>
              </w:rPr>
              <w:t>3</w:t>
            </w:r>
          </w:p>
        </w:tc>
        <w:tc>
          <w:tcPr>
            <w:tcW w:w="1985" w:type="dxa"/>
            <w:tcBorders>
              <w:top w:val="single" w:sz="4" w:space="0" w:color="auto"/>
              <w:bottom w:val="single" w:sz="4" w:space="0" w:color="auto"/>
            </w:tcBorders>
          </w:tcPr>
          <w:p w14:paraId="7CA96337" w14:textId="31345BDD" w:rsidR="000C2A54" w:rsidRPr="00563D4A" w:rsidRDefault="00D223CE" w:rsidP="000C2A54">
            <w:pPr>
              <w:jc w:val="right"/>
              <w:rPr>
                <w:b/>
                <w:sz w:val="20"/>
                <w:szCs w:val="20"/>
              </w:rPr>
            </w:pPr>
            <w:r>
              <w:rPr>
                <w:b/>
                <w:sz w:val="20"/>
                <w:szCs w:val="20"/>
              </w:rPr>
              <w:t>6</w:t>
            </w:r>
          </w:p>
        </w:tc>
        <w:tc>
          <w:tcPr>
            <w:tcW w:w="1648" w:type="dxa"/>
            <w:tcBorders>
              <w:top w:val="single" w:sz="4" w:space="0" w:color="auto"/>
              <w:bottom w:val="single" w:sz="4" w:space="0" w:color="auto"/>
            </w:tcBorders>
          </w:tcPr>
          <w:p w14:paraId="09501E09" w14:textId="2CB56422" w:rsidR="000C2A54" w:rsidRPr="00563D4A" w:rsidRDefault="003B2CCE" w:rsidP="00E029DB">
            <w:pPr>
              <w:spacing w:line="259" w:lineRule="auto"/>
              <w:jc w:val="right"/>
              <w:rPr>
                <w:color w:val="000000" w:themeColor="text1"/>
              </w:rPr>
            </w:pPr>
            <w:r>
              <w:rPr>
                <w:b/>
                <w:bCs/>
                <w:sz w:val="20"/>
                <w:szCs w:val="20"/>
              </w:rPr>
              <w:t>2</w:t>
            </w:r>
            <w:r w:rsidR="00D223CE">
              <w:rPr>
                <w:b/>
                <w:bCs/>
                <w:sz w:val="20"/>
                <w:szCs w:val="20"/>
              </w:rPr>
              <w:t>4</w:t>
            </w:r>
          </w:p>
        </w:tc>
        <w:tc>
          <w:tcPr>
            <w:tcW w:w="971" w:type="dxa"/>
            <w:tcBorders>
              <w:top w:val="single" w:sz="4" w:space="0" w:color="auto"/>
              <w:bottom w:val="single" w:sz="4" w:space="0" w:color="auto"/>
            </w:tcBorders>
          </w:tcPr>
          <w:p w14:paraId="619CE5DB" w14:textId="0EFAC9DC" w:rsidR="000C2A54" w:rsidRPr="00BB74EA" w:rsidRDefault="00FA48BC" w:rsidP="00E029DB">
            <w:pPr>
              <w:spacing w:line="259" w:lineRule="auto"/>
              <w:jc w:val="right"/>
              <w:rPr>
                <w:b/>
                <w:bCs/>
                <w:color w:val="000000" w:themeColor="text1"/>
              </w:rPr>
            </w:pPr>
            <w:r w:rsidRPr="00BB74EA">
              <w:rPr>
                <w:b/>
                <w:bCs/>
                <w:sz w:val="20"/>
                <w:szCs w:val="20"/>
              </w:rPr>
              <w:t>3</w:t>
            </w:r>
          </w:p>
        </w:tc>
        <w:tc>
          <w:tcPr>
            <w:tcW w:w="1131" w:type="dxa"/>
            <w:tcBorders>
              <w:top w:val="single" w:sz="4" w:space="0" w:color="auto"/>
              <w:bottom w:val="single" w:sz="4" w:space="0" w:color="auto"/>
            </w:tcBorders>
          </w:tcPr>
          <w:p w14:paraId="5B2AF14D" w14:textId="3D546B8D" w:rsidR="000C2A54" w:rsidRPr="00563D4A" w:rsidRDefault="00D223CE" w:rsidP="00E029DB">
            <w:pPr>
              <w:spacing w:line="259" w:lineRule="auto"/>
              <w:jc w:val="right"/>
              <w:rPr>
                <w:b/>
                <w:bCs/>
                <w:sz w:val="20"/>
                <w:szCs w:val="20"/>
              </w:rPr>
            </w:pPr>
            <w:r>
              <w:rPr>
                <w:b/>
                <w:bCs/>
                <w:sz w:val="20"/>
                <w:szCs w:val="20"/>
              </w:rPr>
              <w:t>33</w:t>
            </w:r>
          </w:p>
        </w:tc>
      </w:tr>
    </w:tbl>
    <w:p w14:paraId="67339519" w14:textId="77777777" w:rsidR="00283547" w:rsidRDefault="00283547" w:rsidP="004A60FF">
      <w:pPr>
        <w:widowControl w:val="0"/>
        <w:tabs>
          <w:tab w:val="right" w:pos="7371"/>
          <w:tab w:val="right" w:pos="9356"/>
        </w:tabs>
        <w:autoSpaceDE w:val="0"/>
        <w:autoSpaceDN w:val="0"/>
        <w:adjustRightInd w:val="0"/>
      </w:pPr>
    </w:p>
    <w:p w14:paraId="658D3151" w14:textId="1CE70EE8" w:rsidR="001B791D" w:rsidRDefault="000C2A54" w:rsidP="004A60FF">
      <w:pPr>
        <w:widowControl w:val="0"/>
        <w:tabs>
          <w:tab w:val="right" w:pos="7371"/>
          <w:tab w:val="right" w:pos="9356"/>
        </w:tabs>
        <w:autoSpaceDE w:val="0"/>
        <w:autoSpaceDN w:val="0"/>
        <w:adjustRightInd w:val="0"/>
      </w:pPr>
      <w:r w:rsidRPr="00F97E5F">
        <w:t xml:space="preserve">The Commissioners are expected to devote approximately </w:t>
      </w:r>
      <w:r w:rsidR="00D60995">
        <w:t>three</w:t>
      </w:r>
      <w:r w:rsidR="00871DB1">
        <w:t xml:space="preserve"> days per</w:t>
      </w:r>
      <w:r w:rsidR="002A501C">
        <w:t xml:space="preserve"> </w:t>
      </w:r>
      <w:r w:rsidRPr="00F97E5F">
        <w:t xml:space="preserve">month to Commission business over the course of a year. </w:t>
      </w:r>
    </w:p>
    <w:p w14:paraId="454B7ADD" w14:textId="77777777" w:rsidR="004A60FF" w:rsidRDefault="004A60FF" w:rsidP="004A60FF">
      <w:pPr>
        <w:widowControl w:val="0"/>
        <w:tabs>
          <w:tab w:val="right" w:pos="7371"/>
          <w:tab w:val="right" w:pos="9356"/>
        </w:tabs>
        <w:autoSpaceDE w:val="0"/>
        <w:autoSpaceDN w:val="0"/>
        <w:adjustRightInd w:val="0"/>
        <w:rPr>
          <w:b/>
        </w:rPr>
      </w:pPr>
    </w:p>
    <w:p w14:paraId="6C8DAAB6" w14:textId="77777777" w:rsidR="00AB04A7" w:rsidRDefault="00AB04A7">
      <w:pPr>
        <w:rPr>
          <w:b/>
        </w:rPr>
      </w:pPr>
      <w:r>
        <w:rPr>
          <w:b/>
        </w:rPr>
        <w:br w:type="page"/>
      </w:r>
    </w:p>
    <w:p w14:paraId="74A9E22A" w14:textId="1ECE5488" w:rsidR="004A68BF" w:rsidRDefault="004A68BF" w:rsidP="000C2A54">
      <w:pPr>
        <w:widowControl w:val="0"/>
        <w:tabs>
          <w:tab w:val="left" w:pos="567"/>
          <w:tab w:val="right" w:pos="7371"/>
          <w:tab w:val="right" w:pos="9356"/>
        </w:tabs>
        <w:autoSpaceDE w:val="0"/>
        <w:autoSpaceDN w:val="0"/>
        <w:adjustRightInd w:val="0"/>
        <w:ind w:left="567" w:hanging="567"/>
        <w:rPr>
          <w:b/>
        </w:rPr>
      </w:pPr>
      <w:r>
        <w:rPr>
          <w:b/>
        </w:rPr>
        <w:t>Staff composition</w:t>
      </w:r>
    </w:p>
    <w:p w14:paraId="34565B1F" w14:textId="77777777" w:rsidR="004A68BF" w:rsidRDefault="004A68BF" w:rsidP="000C2A54">
      <w:pPr>
        <w:widowControl w:val="0"/>
        <w:tabs>
          <w:tab w:val="left" w:pos="567"/>
          <w:tab w:val="right" w:pos="7371"/>
          <w:tab w:val="right" w:pos="9356"/>
        </w:tabs>
        <w:autoSpaceDE w:val="0"/>
        <w:autoSpaceDN w:val="0"/>
        <w:adjustRightInd w:val="0"/>
        <w:ind w:left="567" w:hanging="567"/>
        <w:rPr>
          <w:b/>
        </w:rPr>
      </w:pPr>
    </w:p>
    <w:tbl>
      <w:tblPr>
        <w:tblStyle w:val="TableGrid"/>
        <w:tblW w:w="0" w:type="auto"/>
        <w:tblInd w:w="-5" w:type="dxa"/>
        <w:tblLook w:val="04A0" w:firstRow="1" w:lastRow="0" w:firstColumn="1" w:lastColumn="0" w:noHBand="0" w:noVBand="1"/>
      </w:tblPr>
      <w:tblGrid>
        <w:gridCol w:w="1936"/>
        <w:gridCol w:w="1196"/>
        <w:gridCol w:w="1196"/>
        <w:gridCol w:w="1196"/>
        <w:gridCol w:w="1178"/>
        <w:gridCol w:w="1182"/>
        <w:gridCol w:w="1182"/>
      </w:tblGrid>
      <w:tr w:rsidR="004A68BF" w14:paraId="0807D552" w14:textId="77777777" w:rsidTr="3285EAFF">
        <w:tc>
          <w:tcPr>
            <w:tcW w:w="2055" w:type="dxa"/>
          </w:tcPr>
          <w:p w14:paraId="6FF28375" w14:textId="77777777" w:rsidR="004A68BF" w:rsidRPr="004A68BF" w:rsidRDefault="004A68BF" w:rsidP="000C2A54">
            <w:pPr>
              <w:widowControl w:val="0"/>
              <w:tabs>
                <w:tab w:val="left" w:pos="567"/>
                <w:tab w:val="right" w:pos="7371"/>
                <w:tab w:val="right" w:pos="9356"/>
              </w:tabs>
              <w:autoSpaceDE w:val="0"/>
              <w:autoSpaceDN w:val="0"/>
              <w:adjustRightInd w:val="0"/>
              <w:rPr>
                <w:sz w:val="20"/>
                <w:szCs w:val="20"/>
              </w:rPr>
            </w:pPr>
          </w:p>
        </w:tc>
        <w:tc>
          <w:tcPr>
            <w:tcW w:w="4120" w:type="dxa"/>
            <w:gridSpan w:val="3"/>
          </w:tcPr>
          <w:p w14:paraId="45AA1F7B" w14:textId="62B8F27F" w:rsidR="004A68BF" w:rsidRPr="004A68BF" w:rsidRDefault="00E865B2" w:rsidP="3285EAFF">
            <w:pPr>
              <w:widowControl w:val="0"/>
              <w:tabs>
                <w:tab w:val="left" w:pos="567"/>
                <w:tab w:val="right" w:pos="7371"/>
                <w:tab w:val="right" w:pos="9356"/>
              </w:tabs>
              <w:autoSpaceDE w:val="0"/>
              <w:autoSpaceDN w:val="0"/>
              <w:adjustRightInd w:val="0"/>
              <w:jc w:val="center"/>
              <w:rPr>
                <w:b/>
                <w:bCs/>
                <w:sz w:val="20"/>
                <w:szCs w:val="20"/>
              </w:rPr>
            </w:pPr>
            <w:r>
              <w:rPr>
                <w:b/>
                <w:bCs/>
                <w:sz w:val="20"/>
                <w:szCs w:val="20"/>
              </w:rPr>
              <w:t>202</w:t>
            </w:r>
            <w:r w:rsidR="00077077">
              <w:rPr>
                <w:b/>
                <w:bCs/>
                <w:sz w:val="20"/>
                <w:szCs w:val="20"/>
              </w:rPr>
              <w:t>3</w:t>
            </w:r>
            <w:r>
              <w:rPr>
                <w:b/>
                <w:bCs/>
                <w:sz w:val="20"/>
                <w:szCs w:val="20"/>
              </w:rPr>
              <w:t>-2</w:t>
            </w:r>
            <w:r w:rsidR="00077077">
              <w:rPr>
                <w:b/>
                <w:bCs/>
                <w:sz w:val="20"/>
                <w:szCs w:val="20"/>
              </w:rPr>
              <w:t>4</w:t>
            </w:r>
          </w:p>
        </w:tc>
        <w:tc>
          <w:tcPr>
            <w:tcW w:w="2891" w:type="dxa"/>
            <w:gridSpan w:val="3"/>
          </w:tcPr>
          <w:p w14:paraId="2A8694D1" w14:textId="71A62208" w:rsidR="004A68BF" w:rsidRPr="004A68BF" w:rsidRDefault="00E865B2" w:rsidP="00E029DB">
            <w:pPr>
              <w:tabs>
                <w:tab w:val="left" w:pos="567"/>
                <w:tab w:val="right" w:pos="7371"/>
                <w:tab w:val="right" w:pos="9356"/>
              </w:tabs>
              <w:spacing w:line="259" w:lineRule="auto"/>
              <w:jc w:val="center"/>
              <w:rPr>
                <w:b/>
                <w:bCs/>
                <w:sz w:val="20"/>
                <w:szCs w:val="20"/>
              </w:rPr>
            </w:pPr>
            <w:r>
              <w:rPr>
                <w:b/>
                <w:bCs/>
                <w:sz w:val="20"/>
                <w:szCs w:val="20"/>
              </w:rPr>
              <w:t>202</w:t>
            </w:r>
            <w:r w:rsidR="00077077">
              <w:rPr>
                <w:b/>
                <w:bCs/>
                <w:sz w:val="20"/>
                <w:szCs w:val="20"/>
              </w:rPr>
              <w:t>2</w:t>
            </w:r>
            <w:r>
              <w:rPr>
                <w:b/>
                <w:bCs/>
                <w:sz w:val="20"/>
                <w:szCs w:val="20"/>
              </w:rPr>
              <w:t>-2</w:t>
            </w:r>
            <w:r w:rsidR="00077077">
              <w:rPr>
                <w:b/>
                <w:bCs/>
                <w:sz w:val="20"/>
                <w:szCs w:val="20"/>
              </w:rPr>
              <w:t>3</w:t>
            </w:r>
          </w:p>
        </w:tc>
      </w:tr>
      <w:tr w:rsidR="004A68BF" w14:paraId="21401A81" w14:textId="77777777" w:rsidTr="3285EAFF">
        <w:tc>
          <w:tcPr>
            <w:tcW w:w="2055" w:type="dxa"/>
          </w:tcPr>
          <w:p w14:paraId="2F8F5187" w14:textId="77777777" w:rsidR="004A68BF" w:rsidRPr="004A68BF" w:rsidRDefault="004A68BF" w:rsidP="004A68BF">
            <w:pPr>
              <w:widowControl w:val="0"/>
              <w:tabs>
                <w:tab w:val="left" w:pos="567"/>
                <w:tab w:val="right" w:pos="7371"/>
                <w:tab w:val="right" w:pos="9356"/>
              </w:tabs>
              <w:autoSpaceDE w:val="0"/>
              <w:autoSpaceDN w:val="0"/>
              <w:adjustRightInd w:val="0"/>
              <w:rPr>
                <w:sz w:val="20"/>
                <w:szCs w:val="20"/>
              </w:rPr>
            </w:pPr>
          </w:p>
        </w:tc>
        <w:tc>
          <w:tcPr>
            <w:tcW w:w="1370" w:type="dxa"/>
          </w:tcPr>
          <w:p w14:paraId="28377E5D"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T</w:t>
            </w:r>
            <w:r>
              <w:rPr>
                <w:b/>
                <w:sz w:val="20"/>
                <w:szCs w:val="20"/>
              </w:rPr>
              <w:t>otal average number of Persons E</w:t>
            </w:r>
            <w:r w:rsidRPr="004A68BF">
              <w:rPr>
                <w:b/>
                <w:sz w:val="20"/>
                <w:szCs w:val="20"/>
              </w:rPr>
              <w:t>ngaged</w:t>
            </w:r>
          </w:p>
        </w:tc>
        <w:tc>
          <w:tcPr>
            <w:tcW w:w="1375" w:type="dxa"/>
          </w:tcPr>
          <w:p w14:paraId="73F772D9"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Female Persons Engaged</w:t>
            </w:r>
          </w:p>
        </w:tc>
        <w:tc>
          <w:tcPr>
            <w:tcW w:w="1375" w:type="dxa"/>
          </w:tcPr>
          <w:p w14:paraId="76FDF074"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Male Persons Engaged</w:t>
            </w:r>
          </w:p>
        </w:tc>
        <w:tc>
          <w:tcPr>
            <w:tcW w:w="963" w:type="dxa"/>
          </w:tcPr>
          <w:p w14:paraId="06FE9BA3"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Total average number of Persons engaged</w:t>
            </w:r>
          </w:p>
        </w:tc>
        <w:tc>
          <w:tcPr>
            <w:tcW w:w="964" w:type="dxa"/>
          </w:tcPr>
          <w:p w14:paraId="70A57BAD"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Female Persons Engaged</w:t>
            </w:r>
          </w:p>
        </w:tc>
        <w:tc>
          <w:tcPr>
            <w:tcW w:w="964" w:type="dxa"/>
          </w:tcPr>
          <w:p w14:paraId="17869649"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sidRPr="004A68BF">
              <w:rPr>
                <w:b/>
                <w:sz w:val="20"/>
                <w:szCs w:val="20"/>
              </w:rPr>
              <w:t>Average number of Male Persons Engaged</w:t>
            </w:r>
          </w:p>
        </w:tc>
      </w:tr>
      <w:tr w:rsidR="004A68BF" w14:paraId="226C8A04" w14:textId="77777777" w:rsidTr="3285EAFF">
        <w:tc>
          <w:tcPr>
            <w:tcW w:w="2055" w:type="dxa"/>
          </w:tcPr>
          <w:p w14:paraId="3345923E" w14:textId="77777777" w:rsidR="004A68BF" w:rsidRP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Commissioners</w:t>
            </w:r>
          </w:p>
        </w:tc>
        <w:tc>
          <w:tcPr>
            <w:tcW w:w="1370" w:type="dxa"/>
          </w:tcPr>
          <w:p w14:paraId="0F082407" w14:textId="512ED7E6" w:rsidR="004A68BF" w:rsidRPr="005C2E30" w:rsidRDefault="00077077" w:rsidP="004A68BF">
            <w:pPr>
              <w:widowControl w:val="0"/>
              <w:tabs>
                <w:tab w:val="left" w:pos="567"/>
                <w:tab w:val="right" w:pos="7371"/>
                <w:tab w:val="right" w:pos="9356"/>
              </w:tabs>
              <w:autoSpaceDE w:val="0"/>
              <w:autoSpaceDN w:val="0"/>
              <w:adjustRightInd w:val="0"/>
              <w:jc w:val="center"/>
              <w:rPr>
                <w:sz w:val="20"/>
                <w:szCs w:val="20"/>
              </w:rPr>
            </w:pPr>
            <w:r>
              <w:rPr>
                <w:sz w:val="20"/>
                <w:szCs w:val="20"/>
              </w:rPr>
              <w:t>6</w:t>
            </w:r>
          </w:p>
        </w:tc>
        <w:tc>
          <w:tcPr>
            <w:tcW w:w="1375" w:type="dxa"/>
          </w:tcPr>
          <w:p w14:paraId="465AC94E" w14:textId="3208316D" w:rsidR="004A68BF" w:rsidRPr="005C2E30" w:rsidRDefault="00077077" w:rsidP="004A68BF">
            <w:pPr>
              <w:widowControl w:val="0"/>
              <w:tabs>
                <w:tab w:val="left" w:pos="567"/>
                <w:tab w:val="right" w:pos="7371"/>
                <w:tab w:val="right" w:pos="9356"/>
              </w:tabs>
              <w:autoSpaceDE w:val="0"/>
              <w:autoSpaceDN w:val="0"/>
              <w:adjustRightInd w:val="0"/>
              <w:jc w:val="center"/>
              <w:rPr>
                <w:sz w:val="20"/>
                <w:szCs w:val="20"/>
              </w:rPr>
            </w:pPr>
            <w:r>
              <w:rPr>
                <w:sz w:val="20"/>
                <w:szCs w:val="20"/>
              </w:rPr>
              <w:t>2</w:t>
            </w:r>
          </w:p>
        </w:tc>
        <w:tc>
          <w:tcPr>
            <w:tcW w:w="1375" w:type="dxa"/>
          </w:tcPr>
          <w:p w14:paraId="23E987FC" w14:textId="2D1F286E" w:rsidR="004A68BF" w:rsidRPr="005C2E30" w:rsidRDefault="00077077" w:rsidP="004A68BF">
            <w:pPr>
              <w:widowControl w:val="0"/>
              <w:tabs>
                <w:tab w:val="left" w:pos="567"/>
                <w:tab w:val="right" w:pos="7371"/>
                <w:tab w:val="right" w:pos="9356"/>
              </w:tabs>
              <w:autoSpaceDE w:val="0"/>
              <w:autoSpaceDN w:val="0"/>
              <w:adjustRightInd w:val="0"/>
              <w:jc w:val="center"/>
              <w:rPr>
                <w:sz w:val="20"/>
                <w:szCs w:val="20"/>
              </w:rPr>
            </w:pPr>
            <w:r>
              <w:rPr>
                <w:sz w:val="20"/>
                <w:szCs w:val="20"/>
              </w:rPr>
              <w:t>4</w:t>
            </w:r>
          </w:p>
        </w:tc>
        <w:tc>
          <w:tcPr>
            <w:tcW w:w="963" w:type="dxa"/>
          </w:tcPr>
          <w:p w14:paraId="51128F6F" w14:textId="49EEED29" w:rsidR="004A68BF" w:rsidRPr="005C2E30" w:rsidRDefault="00077077" w:rsidP="004A68BF">
            <w:pPr>
              <w:widowControl w:val="0"/>
              <w:tabs>
                <w:tab w:val="left" w:pos="567"/>
                <w:tab w:val="right" w:pos="7371"/>
                <w:tab w:val="right" w:pos="9356"/>
              </w:tabs>
              <w:autoSpaceDE w:val="0"/>
              <w:autoSpaceDN w:val="0"/>
              <w:adjustRightInd w:val="0"/>
              <w:jc w:val="center"/>
              <w:rPr>
                <w:sz w:val="20"/>
                <w:szCs w:val="20"/>
              </w:rPr>
            </w:pPr>
            <w:r>
              <w:rPr>
                <w:sz w:val="20"/>
                <w:szCs w:val="20"/>
              </w:rPr>
              <w:t>7</w:t>
            </w:r>
          </w:p>
        </w:tc>
        <w:tc>
          <w:tcPr>
            <w:tcW w:w="964" w:type="dxa"/>
          </w:tcPr>
          <w:p w14:paraId="50157AB4" w14:textId="77777777" w:rsidR="004A68BF" w:rsidRPr="005C2E30" w:rsidRDefault="004A68BF" w:rsidP="004A68BF">
            <w:pPr>
              <w:widowControl w:val="0"/>
              <w:tabs>
                <w:tab w:val="left" w:pos="567"/>
                <w:tab w:val="right" w:pos="7371"/>
                <w:tab w:val="right" w:pos="9356"/>
              </w:tabs>
              <w:autoSpaceDE w:val="0"/>
              <w:autoSpaceDN w:val="0"/>
              <w:adjustRightInd w:val="0"/>
              <w:jc w:val="center"/>
              <w:rPr>
                <w:sz w:val="20"/>
                <w:szCs w:val="20"/>
              </w:rPr>
            </w:pPr>
            <w:r w:rsidRPr="005C2E30">
              <w:rPr>
                <w:sz w:val="20"/>
                <w:szCs w:val="20"/>
              </w:rPr>
              <w:t>2</w:t>
            </w:r>
          </w:p>
        </w:tc>
        <w:tc>
          <w:tcPr>
            <w:tcW w:w="964" w:type="dxa"/>
          </w:tcPr>
          <w:p w14:paraId="63111C03" w14:textId="060F8796" w:rsidR="004A68BF" w:rsidRPr="005C2E30" w:rsidRDefault="00077077" w:rsidP="004A68BF">
            <w:pPr>
              <w:widowControl w:val="0"/>
              <w:tabs>
                <w:tab w:val="left" w:pos="567"/>
                <w:tab w:val="right" w:pos="7371"/>
                <w:tab w:val="right" w:pos="9356"/>
              </w:tabs>
              <w:autoSpaceDE w:val="0"/>
              <w:autoSpaceDN w:val="0"/>
              <w:adjustRightInd w:val="0"/>
              <w:jc w:val="center"/>
              <w:rPr>
                <w:sz w:val="20"/>
                <w:szCs w:val="20"/>
              </w:rPr>
            </w:pPr>
            <w:r>
              <w:rPr>
                <w:sz w:val="20"/>
                <w:szCs w:val="20"/>
              </w:rPr>
              <w:t>5</w:t>
            </w:r>
          </w:p>
        </w:tc>
      </w:tr>
      <w:tr w:rsidR="004A68BF" w14:paraId="02B59DCB" w14:textId="77777777" w:rsidTr="3285EAFF">
        <w:tc>
          <w:tcPr>
            <w:tcW w:w="2055" w:type="dxa"/>
          </w:tcPr>
          <w:p w14:paraId="38F776A6"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Permanently Employed</w:t>
            </w:r>
          </w:p>
        </w:tc>
        <w:tc>
          <w:tcPr>
            <w:tcW w:w="1370" w:type="dxa"/>
          </w:tcPr>
          <w:p w14:paraId="088F84D1" w14:textId="77777777" w:rsidR="004A68BF" w:rsidRDefault="004A68BF" w:rsidP="004A68BF">
            <w:pPr>
              <w:widowControl w:val="0"/>
              <w:tabs>
                <w:tab w:val="left" w:pos="567"/>
                <w:tab w:val="right" w:pos="7371"/>
                <w:tab w:val="right" w:pos="9356"/>
              </w:tabs>
              <w:autoSpaceDE w:val="0"/>
              <w:autoSpaceDN w:val="0"/>
              <w:adjustRightInd w:val="0"/>
              <w:jc w:val="center"/>
              <w:rPr>
                <w:sz w:val="20"/>
                <w:szCs w:val="20"/>
              </w:rPr>
            </w:pPr>
          </w:p>
          <w:p w14:paraId="04E6F67C" w14:textId="13C6664A" w:rsidR="00E865B2" w:rsidRPr="005C2E30" w:rsidRDefault="00E865B2" w:rsidP="004A68BF">
            <w:pPr>
              <w:widowControl w:val="0"/>
              <w:tabs>
                <w:tab w:val="left" w:pos="567"/>
                <w:tab w:val="right" w:pos="7371"/>
                <w:tab w:val="right" w:pos="9356"/>
              </w:tabs>
              <w:autoSpaceDE w:val="0"/>
              <w:autoSpaceDN w:val="0"/>
              <w:adjustRightInd w:val="0"/>
              <w:jc w:val="center"/>
              <w:rPr>
                <w:sz w:val="20"/>
                <w:szCs w:val="20"/>
              </w:rPr>
            </w:pPr>
            <w:r>
              <w:rPr>
                <w:sz w:val="20"/>
                <w:szCs w:val="20"/>
              </w:rPr>
              <w:t>2</w:t>
            </w:r>
            <w:r w:rsidR="00077077">
              <w:rPr>
                <w:sz w:val="20"/>
                <w:szCs w:val="20"/>
              </w:rPr>
              <w:t>4</w:t>
            </w:r>
          </w:p>
        </w:tc>
        <w:tc>
          <w:tcPr>
            <w:tcW w:w="1375" w:type="dxa"/>
          </w:tcPr>
          <w:p w14:paraId="2B8A9B23" w14:textId="77777777" w:rsidR="004A68BF" w:rsidRDefault="004A68BF" w:rsidP="00E029DB">
            <w:pPr>
              <w:tabs>
                <w:tab w:val="left" w:pos="567"/>
                <w:tab w:val="right" w:pos="7371"/>
                <w:tab w:val="right" w:pos="9356"/>
              </w:tabs>
              <w:spacing w:line="259" w:lineRule="auto"/>
              <w:jc w:val="center"/>
              <w:rPr>
                <w:sz w:val="20"/>
                <w:szCs w:val="20"/>
              </w:rPr>
            </w:pPr>
          </w:p>
          <w:p w14:paraId="7F6E4801" w14:textId="14285A99" w:rsidR="00E865B2" w:rsidRPr="00FA48BC" w:rsidRDefault="00A876B2" w:rsidP="00E029DB">
            <w:pPr>
              <w:tabs>
                <w:tab w:val="left" w:pos="567"/>
                <w:tab w:val="right" w:pos="7371"/>
                <w:tab w:val="right" w:pos="9356"/>
              </w:tabs>
              <w:spacing w:line="259" w:lineRule="auto"/>
              <w:jc w:val="center"/>
              <w:rPr>
                <w:color w:val="000000" w:themeColor="text1"/>
                <w:sz w:val="20"/>
                <w:szCs w:val="20"/>
              </w:rPr>
            </w:pPr>
            <w:r>
              <w:rPr>
                <w:color w:val="000000" w:themeColor="text1"/>
                <w:sz w:val="20"/>
                <w:szCs w:val="20"/>
              </w:rPr>
              <w:t>1</w:t>
            </w:r>
            <w:r w:rsidR="00077077">
              <w:rPr>
                <w:color w:val="000000" w:themeColor="text1"/>
                <w:sz w:val="20"/>
                <w:szCs w:val="20"/>
              </w:rPr>
              <w:t>9</w:t>
            </w:r>
          </w:p>
        </w:tc>
        <w:tc>
          <w:tcPr>
            <w:tcW w:w="1375" w:type="dxa"/>
          </w:tcPr>
          <w:p w14:paraId="44CD5AB4" w14:textId="77777777" w:rsidR="004A68BF" w:rsidRDefault="004A68BF" w:rsidP="00E029DB">
            <w:pPr>
              <w:tabs>
                <w:tab w:val="left" w:pos="567"/>
                <w:tab w:val="right" w:pos="7371"/>
                <w:tab w:val="right" w:pos="9356"/>
              </w:tabs>
              <w:spacing w:line="259" w:lineRule="auto"/>
              <w:jc w:val="center"/>
              <w:rPr>
                <w:sz w:val="20"/>
                <w:szCs w:val="20"/>
              </w:rPr>
            </w:pPr>
          </w:p>
          <w:p w14:paraId="151D8D7A" w14:textId="064929A4" w:rsidR="00E865B2" w:rsidRPr="00A876B2" w:rsidRDefault="00077077" w:rsidP="00A876B2">
            <w:pPr>
              <w:tabs>
                <w:tab w:val="left" w:pos="567"/>
                <w:tab w:val="right" w:pos="7371"/>
                <w:tab w:val="right" w:pos="9356"/>
              </w:tabs>
              <w:spacing w:line="259" w:lineRule="auto"/>
              <w:jc w:val="center"/>
              <w:rPr>
                <w:sz w:val="20"/>
                <w:szCs w:val="20"/>
              </w:rPr>
            </w:pPr>
            <w:r>
              <w:rPr>
                <w:sz w:val="20"/>
                <w:szCs w:val="20"/>
              </w:rPr>
              <w:t>5</w:t>
            </w:r>
          </w:p>
        </w:tc>
        <w:tc>
          <w:tcPr>
            <w:tcW w:w="963" w:type="dxa"/>
          </w:tcPr>
          <w:p w14:paraId="29C92BE2" w14:textId="77777777" w:rsidR="004A68BF" w:rsidRDefault="004A68BF" w:rsidP="00E029DB">
            <w:pPr>
              <w:tabs>
                <w:tab w:val="left" w:pos="567"/>
                <w:tab w:val="right" w:pos="7371"/>
                <w:tab w:val="right" w:pos="9356"/>
              </w:tabs>
              <w:spacing w:line="259" w:lineRule="auto"/>
              <w:jc w:val="center"/>
              <w:rPr>
                <w:sz w:val="20"/>
                <w:szCs w:val="20"/>
              </w:rPr>
            </w:pPr>
          </w:p>
          <w:p w14:paraId="25A5372C" w14:textId="6CB45B28" w:rsidR="00E865B2" w:rsidRPr="005C2E30" w:rsidRDefault="00FA48BC" w:rsidP="00E029DB">
            <w:pPr>
              <w:tabs>
                <w:tab w:val="left" w:pos="567"/>
                <w:tab w:val="right" w:pos="7371"/>
                <w:tab w:val="right" w:pos="9356"/>
              </w:tabs>
              <w:spacing w:line="259" w:lineRule="auto"/>
              <w:jc w:val="center"/>
              <w:rPr>
                <w:color w:val="000000" w:themeColor="text1"/>
              </w:rPr>
            </w:pPr>
            <w:r w:rsidRPr="00FA48BC">
              <w:rPr>
                <w:sz w:val="20"/>
                <w:szCs w:val="20"/>
              </w:rPr>
              <w:t>23</w:t>
            </w:r>
          </w:p>
        </w:tc>
        <w:tc>
          <w:tcPr>
            <w:tcW w:w="964" w:type="dxa"/>
          </w:tcPr>
          <w:p w14:paraId="4E42640E" w14:textId="77777777" w:rsidR="00E14AE5" w:rsidRDefault="00E14AE5" w:rsidP="00E029DB">
            <w:pPr>
              <w:tabs>
                <w:tab w:val="left" w:pos="567"/>
                <w:tab w:val="right" w:pos="7371"/>
                <w:tab w:val="right" w:pos="9356"/>
              </w:tabs>
              <w:spacing w:line="259" w:lineRule="auto"/>
              <w:jc w:val="center"/>
              <w:rPr>
                <w:sz w:val="20"/>
                <w:szCs w:val="20"/>
              </w:rPr>
            </w:pPr>
          </w:p>
          <w:p w14:paraId="64055B74" w14:textId="22410B3B" w:rsidR="00E865B2" w:rsidRPr="005C2E30" w:rsidRDefault="00E865B2" w:rsidP="00E029DB">
            <w:pPr>
              <w:tabs>
                <w:tab w:val="left" w:pos="567"/>
                <w:tab w:val="right" w:pos="7371"/>
                <w:tab w:val="right" w:pos="9356"/>
              </w:tabs>
              <w:spacing w:line="259" w:lineRule="auto"/>
              <w:jc w:val="center"/>
              <w:rPr>
                <w:color w:val="000000" w:themeColor="text1"/>
              </w:rPr>
            </w:pPr>
            <w:r>
              <w:rPr>
                <w:sz w:val="20"/>
                <w:szCs w:val="20"/>
              </w:rPr>
              <w:t>1</w:t>
            </w:r>
            <w:r w:rsidR="00077077">
              <w:rPr>
                <w:sz w:val="20"/>
                <w:szCs w:val="20"/>
              </w:rPr>
              <w:t>7</w:t>
            </w:r>
          </w:p>
        </w:tc>
        <w:tc>
          <w:tcPr>
            <w:tcW w:w="964" w:type="dxa"/>
          </w:tcPr>
          <w:p w14:paraId="3C926056" w14:textId="77777777" w:rsidR="00E14AE5" w:rsidRDefault="00E14AE5" w:rsidP="004A68BF">
            <w:pPr>
              <w:widowControl w:val="0"/>
              <w:tabs>
                <w:tab w:val="left" w:pos="567"/>
                <w:tab w:val="right" w:pos="7371"/>
                <w:tab w:val="right" w:pos="9356"/>
              </w:tabs>
              <w:autoSpaceDE w:val="0"/>
              <w:autoSpaceDN w:val="0"/>
              <w:adjustRightInd w:val="0"/>
              <w:jc w:val="center"/>
              <w:rPr>
                <w:sz w:val="20"/>
                <w:szCs w:val="20"/>
              </w:rPr>
            </w:pPr>
          </w:p>
          <w:p w14:paraId="56868BFF" w14:textId="48D9C5D4" w:rsidR="00E865B2" w:rsidRPr="005C2E30" w:rsidRDefault="00077077" w:rsidP="004A68BF">
            <w:pPr>
              <w:widowControl w:val="0"/>
              <w:tabs>
                <w:tab w:val="left" w:pos="567"/>
                <w:tab w:val="right" w:pos="7371"/>
                <w:tab w:val="right" w:pos="9356"/>
              </w:tabs>
              <w:autoSpaceDE w:val="0"/>
              <w:autoSpaceDN w:val="0"/>
              <w:adjustRightInd w:val="0"/>
              <w:jc w:val="center"/>
              <w:rPr>
                <w:sz w:val="20"/>
                <w:szCs w:val="20"/>
              </w:rPr>
            </w:pPr>
            <w:r>
              <w:rPr>
                <w:sz w:val="20"/>
                <w:szCs w:val="20"/>
              </w:rPr>
              <w:t>6</w:t>
            </w:r>
          </w:p>
        </w:tc>
      </w:tr>
      <w:tr w:rsidR="004A68BF" w14:paraId="2F1B86B0" w14:textId="77777777" w:rsidTr="3285EAFF">
        <w:tc>
          <w:tcPr>
            <w:tcW w:w="2055" w:type="dxa"/>
          </w:tcPr>
          <w:p w14:paraId="0C73144B"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Others</w:t>
            </w:r>
          </w:p>
        </w:tc>
        <w:tc>
          <w:tcPr>
            <w:tcW w:w="1370" w:type="dxa"/>
          </w:tcPr>
          <w:p w14:paraId="35DE46C8" w14:textId="6E15CEB8" w:rsidR="004A68BF" w:rsidRPr="005C2E30" w:rsidRDefault="00BB74EA" w:rsidP="00E029DB">
            <w:pPr>
              <w:tabs>
                <w:tab w:val="left" w:pos="567"/>
                <w:tab w:val="right" w:pos="7371"/>
                <w:tab w:val="right" w:pos="9356"/>
              </w:tabs>
              <w:spacing w:line="259" w:lineRule="auto"/>
              <w:jc w:val="center"/>
              <w:rPr>
                <w:color w:val="000000" w:themeColor="text1"/>
              </w:rPr>
            </w:pPr>
            <w:r>
              <w:rPr>
                <w:sz w:val="20"/>
                <w:szCs w:val="20"/>
              </w:rPr>
              <w:t>3</w:t>
            </w:r>
          </w:p>
        </w:tc>
        <w:tc>
          <w:tcPr>
            <w:tcW w:w="1375" w:type="dxa"/>
          </w:tcPr>
          <w:p w14:paraId="2B4E46B5" w14:textId="09A06959" w:rsidR="004A68BF" w:rsidRPr="00FA48BC" w:rsidRDefault="00077077" w:rsidP="00E029DB">
            <w:pPr>
              <w:tabs>
                <w:tab w:val="left" w:pos="567"/>
                <w:tab w:val="right" w:pos="7371"/>
                <w:tab w:val="right" w:pos="9356"/>
              </w:tabs>
              <w:spacing w:line="259" w:lineRule="auto"/>
              <w:jc w:val="center"/>
              <w:rPr>
                <w:color w:val="000000" w:themeColor="text1"/>
                <w:sz w:val="20"/>
                <w:szCs w:val="20"/>
              </w:rPr>
            </w:pPr>
            <w:r>
              <w:rPr>
                <w:color w:val="000000" w:themeColor="text1"/>
                <w:sz w:val="20"/>
                <w:szCs w:val="20"/>
              </w:rPr>
              <w:t>2</w:t>
            </w:r>
          </w:p>
        </w:tc>
        <w:tc>
          <w:tcPr>
            <w:tcW w:w="1375" w:type="dxa"/>
          </w:tcPr>
          <w:p w14:paraId="74FB530F" w14:textId="2537C3D2" w:rsidR="004A68BF" w:rsidRPr="00FA48BC" w:rsidRDefault="00077077" w:rsidP="00E029DB">
            <w:pPr>
              <w:tabs>
                <w:tab w:val="left" w:pos="567"/>
                <w:tab w:val="right" w:pos="7371"/>
                <w:tab w:val="right" w:pos="9356"/>
              </w:tabs>
              <w:spacing w:line="259" w:lineRule="auto"/>
              <w:jc w:val="center"/>
              <w:rPr>
                <w:color w:val="000000" w:themeColor="text1"/>
                <w:sz w:val="20"/>
                <w:szCs w:val="20"/>
              </w:rPr>
            </w:pPr>
            <w:r>
              <w:rPr>
                <w:color w:val="000000" w:themeColor="text1"/>
                <w:sz w:val="20"/>
                <w:szCs w:val="20"/>
              </w:rPr>
              <w:t>1</w:t>
            </w:r>
          </w:p>
        </w:tc>
        <w:tc>
          <w:tcPr>
            <w:tcW w:w="963" w:type="dxa"/>
          </w:tcPr>
          <w:p w14:paraId="68AE6753" w14:textId="0BD1126D" w:rsidR="004A68BF" w:rsidRPr="005C2E30" w:rsidRDefault="00077077" w:rsidP="004A68BF">
            <w:pPr>
              <w:widowControl w:val="0"/>
              <w:tabs>
                <w:tab w:val="left" w:pos="567"/>
                <w:tab w:val="right" w:pos="7371"/>
                <w:tab w:val="right" w:pos="9356"/>
              </w:tabs>
              <w:autoSpaceDE w:val="0"/>
              <w:autoSpaceDN w:val="0"/>
              <w:adjustRightInd w:val="0"/>
              <w:jc w:val="center"/>
              <w:rPr>
                <w:sz w:val="20"/>
                <w:szCs w:val="20"/>
              </w:rPr>
            </w:pPr>
            <w:r>
              <w:rPr>
                <w:sz w:val="20"/>
                <w:szCs w:val="20"/>
              </w:rPr>
              <w:t>3</w:t>
            </w:r>
          </w:p>
        </w:tc>
        <w:tc>
          <w:tcPr>
            <w:tcW w:w="964" w:type="dxa"/>
          </w:tcPr>
          <w:p w14:paraId="05BEC52E" w14:textId="55B8F6AC" w:rsidR="004A68BF" w:rsidRPr="005C2E30" w:rsidRDefault="00077077" w:rsidP="00E029DB">
            <w:pPr>
              <w:tabs>
                <w:tab w:val="left" w:pos="567"/>
                <w:tab w:val="right" w:pos="7371"/>
                <w:tab w:val="right" w:pos="9356"/>
              </w:tabs>
              <w:spacing w:line="259" w:lineRule="auto"/>
              <w:jc w:val="center"/>
              <w:rPr>
                <w:sz w:val="20"/>
                <w:szCs w:val="20"/>
              </w:rPr>
            </w:pPr>
            <w:r>
              <w:rPr>
                <w:sz w:val="20"/>
                <w:szCs w:val="20"/>
              </w:rPr>
              <w:t>3</w:t>
            </w:r>
          </w:p>
        </w:tc>
        <w:tc>
          <w:tcPr>
            <w:tcW w:w="964" w:type="dxa"/>
          </w:tcPr>
          <w:p w14:paraId="029F2A04" w14:textId="77777777" w:rsidR="004A68BF" w:rsidRPr="005C2E30" w:rsidRDefault="00E865B2" w:rsidP="00E029DB">
            <w:pPr>
              <w:tabs>
                <w:tab w:val="left" w:pos="567"/>
                <w:tab w:val="right" w:pos="7371"/>
                <w:tab w:val="right" w:pos="9356"/>
              </w:tabs>
              <w:spacing w:line="259" w:lineRule="auto"/>
              <w:jc w:val="center"/>
              <w:rPr>
                <w:color w:val="000000" w:themeColor="text1"/>
              </w:rPr>
            </w:pPr>
            <w:r>
              <w:rPr>
                <w:sz w:val="20"/>
                <w:szCs w:val="20"/>
              </w:rPr>
              <w:t>0</w:t>
            </w:r>
          </w:p>
        </w:tc>
      </w:tr>
      <w:tr w:rsidR="004A68BF" w14:paraId="73AE29C2" w14:textId="77777777" w:rsidTr="3285EAFF">
        <w:tc>
          <w:tcPr>
            <w:tcW w:w="2055" w:type="dxa"/>
          </w:tcPr>
          <w:p w14:paraId="4E0AE05C" w14:textId="77777777" w:rsidR="004A68BF" w:rsidRDefault="004A68BF" w:rsidP="004A68BF">
            <w:pPr>
              <w:widowControl w:val="0"/>
              <w:tabs>
                <w:tab w:val="left" w:pos="567"/>
                <w:tab w:val="right" w:pos="7371"/>
                <w:tab w:val="right" w:pos="9356"/>
              </w:tabs>
              <w:autoSpaceDE w:val="0"/>
              <w:autoSpaceDN w:val="0"/>
              <w:adjustRightInd w:val="0"/>
              <w:rPr>
                <w:b/>
                <w:sz w:val="20"/>
                <w:szCs w:val="20"/>
              </w:rPr>
            </w:pPr>
            <w:r>
              <w:rPr>
                <w:b/>
                <w:sz w:val="20"/>
                <w:szCs w:val="20"/>
              </w:rPr>
              <w:t>Total</w:t>
            </w:r>
          </w:p>
        </w:tc>
        <w:tc>
          <w:tcPr>
            <w:tcW w:w="1370" w:type="dxa"/>
          </w:tcPr>
          <w:p w14:paraId="124E12C6" w14:textId="1A6E0C18" w:rsidR="004A68BF" w:rsidRPr="004A68BF" w:rsidRDefault="003B2CCE" w:rsidP="00E029DB">
            <w:pPr>
              <w:tabs>
                <w:tab w:val="left" w:pos="567"/>
                <w:tab w:val="right" w:pos="7371"/>
                <w:tab w:val="right" w:pos="9356"/>
              </w:tabs>
              <w:spacing w:line="259" w:lineRule="auto"/>
              <w:jc w:val="center"/>
              <w:rPr>
                <w:color w:val="000000" w:themeColor="text1"/>
              </w:rPr>
            </w:pPr>
            <w:r>
              <w:rPr>
                <w:b/>
                <w:bCs/>
                <w:sz w:val="20"/>
                <w:szCs w:val="20"/>
              </w:rPr>
              <w:t>3</w:t>
            </w:r>
            <w:r w:rsidR="00BB74EA">
              <w:rPr>
                <w:b/>
                <w:bCs/>
                <w:sz w:val="20"/>
                <w:szCs w:val="20"/>
              </w:rPr>
              <w:t>3</w:t>
            </w:r>
          </w:p>
        </w:tc>
        <w:tc>
          <w:tcPr>
            <w:tcW w:w="1375" w:type="dxa"/>
          </w:tcPr>
          <w:p w14:paraId="5832F83D" w14:textId="6C08CBD6" w:rsidR="004A68BF" w:rsidRPr="004A68BF" w:rsidRDefault="003B2CCE" w:rsidP="00E029DB">
            <w:pPr>
              <w:tabs>
                <w:tab w:val="left" w:pos="567"/>
                <w:tab w:val="right" w:pos="7371"/>
                <w:tab w:val="right" w:pos="9356"/>
              </w:tabs>
              <w:spacing w:line="259" w:lineRule="auto"/>
              <w:jc w:val="center"/>
              <w:rPr>
                <w:color w:val="000000" w:themeColor="text1"/>
              </w:rPr>
            </w:pPr>
            <w:r>
              <w:rPr>
                <w:b/>
                <w:bCs/>
                <w:sz w:val="20"/>
                <w:szCs w:val="20"/>
              </w:rPr>
              <w:t>2</w:t>
            </w:r>
            <w:r w:rsidR="00077077">
              <w:rPr>
                <w:b/>
                <w:bCs/>
                <w:sz w:val="20"/>
                <w:szCs w:val="20"/>
              </w:rPr>
              <w:t>3</w:t>
            </w:r>
          </w:p>
        </w:tc>
        <w:tc>
          <w:tcPr>
            <w:tcW w:w="1375" w:type="dxa"/>
          </w:tcPr>
          <w:p w14:paraId="366A32D9" w14:textId="6C4D9A2A" w:rsidR="004A68BF" w:rsidRPr="00A876B2" w:rsidRDefault="00A876B2" w:rsidP="00E029DB">
            <w:pPr>
              <w:tabs>
                <w:tab w:val="left" w:pos="567"/>
                <w:tab w:val="right" w:pos="7371"/>
                <w:tab w:val="right" w:pos="9356"/>
              </w:tabs>
              <w:spacing w:line="259" w:lineRule="auto"/>
              <w:jc w:val="center"/>
              <w:rPr>
                <w:b/>
                <w:bCs/>
                <w:color w:val="000000" w:themeColor="text1"/>
              </w:rPr>
            </w:pPr>
            <w:r w:rsidRPr="00A876B2">
              <w:rPr>
                <w:b/>
                <w:bCs/>
                <w:sz w:val="20"/>
                <w:szCs w:val="20"/>
              </w:rPr>
              <w:t>1</w:t>
            </w:r>
            <w:r w:rsidR="00077077">
              <w:rPr>
                <w:b/>
                <w:bCs/>
                <w:sz w:val="20"/>
                <w:szCs w:val="20"/>
              </w:rPr>
              <w:t>0</w:t>
            </w:r>
          </w:p>
        </w:tc>
        <w:tc>
          <w:tcPr>
            <w:tcW w:w="963" w:type="dxa"/>
          </w:tcPr>
          <w:p w14:paraId="232D7DE2" w14:textId="1D72DCE4" w:rsidR="004A68BF" w:rsidRPr="004A68BF" w:rsidRDefault="00FA48BC" w:rsidP="00E029DB">
            <w:pPr>
              <w:tabs>
                <w:tab w:val="left" w:pos="567"/>
                <w:tab w:val="right" w:pos="7371"/>
                <w:tab w:val="right" w:pos="9356"/>
              </w:tabs>
              <w:spacing w:line="259" w:lineRule="auto"/>
              <w:jc w:val="center"/>
              <w:rPr>
                <w:b/>
                <w:bCs/>
                <w:sz w:val="20"/>
                <w:szCs w:val="20"/>
              </w:rPr>
            </w:pPr>
            <w:r>
              <w:rPr>
                <w:b/>
                <w:bCs/>
                <w:sz w:val="20"/>
                <w:szCs w:val="20"/>
              </w:rPr>
              <w:t>3</w:t>
            </w:r>
            <w:r w:rsidR="00077077">
              <w:rPr>
                <w:b/>
                <w:bCs/>
                <w:sz w:val="20"/>
                <w:szCs w:val="20"/>
              </w:rPr>
              <w:t>3</w:t>
            </w:r>
          </w:p>
        </w:tc>
        <w:tc>
          <w:tcPr>
            <w:tcW w:w="964" w:type="dxa"/>
          </w:tcPr>
          <w:p w14:paraId="234312C8" w14:textId="018B0E8B" w:rsidR="004A68BF" w:rsidRPr="004A68BF" w:rsidRDefault="00FA48BC" w:rsidP="3285EAFF">
            <w:pPr>
              <w:widowControl w:val="0"/>
              <w:tabs>
                <w:tab w:val="left" w:pos="567"/>
                <w:tab w:val="right" w:pos="7371"/>
                <w:tab w:val="right" w:pos="9356"/>
              </w:tabs>
              <w:autoSpaceDE w:val="0"/>
              <w:autoSpaceDN w:val="0"/>
              <w:adjustRightInd w:val="0"/>
              <w:jc w:val="center"/>
              <w:rPr>
                <w:b/>
                <w:bCs/>
                <w:sz w:val="20"/>
                <w:szCs w:val="20"/>
              </w:rPr>
            </w:pPr>
            <w:r>
              <w:rPr>
                <w:b/>
                <w:bCs/>
                <w:sz w:val="20"/>
                <w:szCs w:val="20"/>
              </w:rPr>
              <w:t>2</w:t>
            </w:r>
            <w:r w:rsidR="00077077">
              <w:rPr>
                <w:b/>
                <w:bCs/>
                <w:sz w:val="20"/>
                <w:szCs w:val="20"/>
              </w:rPr>
              <w:t>2</w:t>
            </w:r>
          </w:p>
        </w:tc>
        <w:tc>
          <w:tcPr>
            <w:tcW w:w="964" w:type="dxa"/>
          </w:tcPr>
          <w:p w14:paraId="5F3447AA" w14:textId="2612FB3E" w:rsidR="004A68BF" w:rsidRPr="00FA48BC" w:rsidRDefault="00077077" w:rsidP="00E029DB">
            <w:pPr>
              <w:tabs>
                <w:tab w:val="left" w:pos="567"/>
                <w:tab w:val="right" w:pos="7371"/>
                <w:tab w:val="right" w:pos="9356"/>
              </w:tabs>
              <w:spacing w:line="259" w:lineRule="auto"/>
              <w:jc w:val="center"/>
              <w:rPr>
                <w:b/>
                <w:bCs/>
                <w:color w:val="000000" w:themeColor="text1"/>
              </w:rPr>
            </w:pPr>
            <w:r>
              <w:rPr>
                <w:b/>
                <w:bCs/>
                <w:sz w:val="20"/>
                <w:szCs w:val="20"/>
              </w:rPr>
              <w:t>11</w:t>
            </w:r>
          </w:p>
        </w:tc>
      </w:tr>
    </w:tbl>
    <w:p w14:paraId="7B84F1FB" w14:textId="77777777" w:rsidR="004A68BF" w:rsidRDefault="004A68BF" w:rsidP="000C2A54">
      <w:pPr>
        <w:widowControl w:val="0"/>
        <w:tabs>
          <w:tab w:val="left" w:pos="567"/>
          <w:tab w:val="right" w:pos="7371"/>
          <w:tab w:val="right" w:pos="9356"/>
        </w:tabs>
        <w:autoSpaceDE w:val="0"/>
        <w:autoSpaceDN w:val="0"/>
        <w:adjustRightInd w:val="0"/>
        <w:ind w:left="567" w:hanging="567"/>
      </w:pPr>
    </w:p>
    <w:p w14:paraId="364429CA" w14:textId="77777777" w:rsidR="00370541" w:rsidRDefault="00370541" w:rsidP="00370541">
      <w:r w:rsidRPr="00370541">
        <w:rPr>
          <w:b/>
        </w:rPr>
        <w:t>Staff Turnover</w:t>
      </w:r>
    </w:p>
    <w:p w14:paraId="7003EABE" w14:textId="77777777" w:rsidR="00370541" w:rsidRDefault="00370541" w:rsidP="00370541"/>
    <w:p w14:paraId="61517C59" w14:textId="201BF490" w:rsidR="00370541" w:rsidRDefault="00370541" w:rsidP="00370541">
      <w:pPr>
        <w:rPr>
          <w:rFonts w:ascii="Calibri" w:hAnsi="Calibri"/>
          <w:color w:val="auto"/>
          <w:sz w:val="22"/>
          <w:szCs w:val="22"/>
        </w:rPr>
      </w:pPr>
      <w:r>
        <w:t>The annual turnover rate of staff for the period</w:t>
      </w:r>
      <w:r w:rsidR="00E865B2">
        <w:t xml:space="preserve"> 202</w:t>
      </w:r>
      <w:r w:rsidR="00077077">
        <w:t>3</w:t>
      </w:r>
      <w:r w:rsidR="00E865B2">
        <w:t>-2</w:t>
      </w:r>
      <w:r w:rsidR="00077077">
        <w:t>4</w:t>
      </w:r>
      <w:r w:rsidR="00E865B2">
        <w:t xml:space="preserve"> was </w:t>
      </w:r>
      <w:r w:rsidR="007472F5">
        <w:t>1</w:t>
      </w:r>
      <w:r w:rsidR="00077077">
        <w:t>2</w:t>
      </w:r>
      <w:r w:rsidR="00391EFD">
        <w:t>.</w:t>
      </w:r>
      <w:r w:rsidR="00077077">
        <w:t>1</w:t>
      </w:r>
      <w:r w:rsidR="00391EFD">
        <w:t>%</w:t>
      </w:r>
      <w:r>
        <w:t xml:space="preserve"> </w:t>
      </w:r>
      <w:r w:rsidR="00E865B2">
        <w:t>(202</w:t>
      </w:r>
      <w:r w:rsidR="00077077">
        <w:t>2</w:t>
      </w:r>
      <w:r w:rsidR="00E865B2">
        <w:t>-</w:t>
      </w:r>
      <w:r>
        <w:t>2</w:t>
      </w:r>
      <w:r w:rsidR="00077077">
        <w:t>3</w:t>
      </w:r>
      <w:r w:rsidR="00E865B2">
        <w:t>:</w:t>
      </w:r>
      <w:r>
        <w:t xml:space="preserve"> 1</w:t>
      </w:r>
      <w:r w:rsidR="00077077">
        <w:t>8</w:t>
      </w:r>
      <w:r>
        <w:t>.</w:t>
      </w:r>
      <w:r w:rsidR="00077077">
        <w:t>7</w:t>
      </w:r>
      <w:r>
        <w:t>%</w:t>
      </w:r>
      <w:r w:rsidR="00E865B2">
        <w:t>)</w:t>
      </w:r>
      <w:r>
        <w:t xml:space="preserve">.  </w:t>
      </w:r>
      <w:r w:rsidR="00391EFD">
        <w:t xml:space="preserve">During the year </w:t>
      </w:r>
      <w:r w:rsidR="007472F5">
        <w:t>six</w:t>
      </w:r>
      <w:r w:rsidR="00391EFD">
        <w:t xml:space="preserve"> members of staff left the Commission to take up posts elsewhere.  </w:t>
      </w:r>
    </w:p>
    <w:p w14:paraId="1AF4E24D" w14:textId="77777777" w:rsidR="00AB04A7" w:rsidRDefault="00AB04A7" w:rsidP="007330CB">
      <w:pPr>
        <w:widowControl w:val="0"/>
        <w:tabs>
          <w:tab w:val="left" w:pos="567"/>
          <w:tab w:val="right" w:pos="7371"/>
          <w:tab w:val="right" w:pos="9356"/>
        </w:tabs>
        <w:autoSpaceDE w:val="0"/>
        <w:autoSpaceDN w:val="0"/>
        <w:adjustRightInd w:val="0"/>
        <w:rPr>
          <w:b/>
        </w:rPr>
      </w:pPr>
    </w:p>
    <w:p w14:paraId="6F341383" w14:textId="11DB08FF" w:rsidR="00D049A2" w:rsidRDefault="00871DB1" w:rsidP="007330CB">
      <w:pPr>
        <w:widowControl w:val="0"/>
        <w:tabs>
          <w:tab w:val="left" w:pos="567"/>
          <w:tab w:val="right" w:pos="7371"/>
          <w:tab w:val="right" w:pos="9356"/>
        </w:tabs>
        <w:autoSpaceDE w:val="0"/>
        <w:autoSpaceDN w:val="0"/>
        <w:adjustRightInd w:val="0"/>
        <w:rPr>
          <w:b/>
        </w:rPr>
      </w:pPr>
      <w:r>
        <w:rPr>
          <w:b/>
        </w:rPr>
        <w:t>Managing Attendance</w:t>
      </w:r>
    </w:p>
    <w:p w14:paraId="3BDD7A8E" w14:textId="77777777" w:rsidR="00871DB1" w:rsidRDefault="00871DB1" w:rsidP="000C2A54">
      <w:pPr>
        <w:widowControl w:val="0"/>
        <w:tabs>
          <w:tab w:val="left" w:pos="567"/>
          <w:tab w:val="right" w:pos="7371"/>
          <w:tab w:val="right" w:pos="9356"/>
        </w:tabs>
        <w:autoSpaceDE w:val="0"/>
        <w:autoSpaceDN w:val="0"/>
        <w:adjustRightInd w:val="0"/>
        <w:ind w:left="567" w:hanging="567"/>
        <w:rPr>
          <w:b/>
        </w:rPr>
      </w:pPr>
    </w:p>
    <w:p w14:paraId="3AB37E11" w14:textId="58365627" w:rsidR="00871DB1" w:rsidRDefault="00871DB1" w:rsidP="00871DB1">
      <w:pPr>
        <w:widowControl w:val="0"/>
        <w:tabs>
          <w:tab w:val="right" w:pos="7371"/>
          <w:tab w:val="right" w:pos="9356"/>
        </w:tabs>
        <w:autoSpaceDE w:val="0"/>
        <w:autoSpaceDN w:val="0"/>
        <w:adjustRightInd w:val="0"/>
      </w:pPr>
      <w:r>
        <w:t xml:space="preserve">Staff absence arising </w:t>
      </w:r>
      <w:proofErr w:type="gramStart"/>
      <w:r>
        <w:t>as a result of</w:t>
      </w:r>
      <w:proofErr w:type="gramEnd"/>
      <w:r>
        <w:t xml:space="preserve"> illness, including injuries, disability or other health problems, was approximatel</w:t>
      </w:r>
      <w:r w:rsidR="00A80575">
        <w:t xml:space="preserve">y </w:t>
      </w:r>
      <w:r w:rsidR="007472F5">
        <w:t>4.</w:t>
      </w:r>
      <w:r w:rsidR="00836EA3">
        <w:t>46</w:t>
      </w:r>
      <w:r w:rsidR="00A80575">
        <w:t xml:space="preserve"> days per employee in </w:t>
      </w:r>
      <w:r w:rsidR="00993DB0">
        <w:t>20</w:t>
      </w:r>
      <w:r w:rsidR="51CE5292">
        <w:t>2</w:t>
      </w:r>
      <w:r w:rsidR="00077077">
        <w:t>3</w:t>
      </w:r>
      <w:r w:rsidR="00993DB0">
        <w:t>-2</w:t>
      </w:r>
      <w:r w:rsidR="00077077">
        <w:t>4</w:t>
      </w:r>
      <w:r w:rsidR="00A80575">
        <w:t xml:space="preserve"> (</w:t>
      </w:r>
      <w:r w:rsidR="00993DB0">
        <w:t>20</w:t>
      </w:r>
      <w:r w:rsidR="212EBF91">
        <w:t>2</w:t>
      </w:r>
      <w:r w:rsidR="00077077">
        <w:t>2</w:t>
      </w:r>
      <w:r w:rsidR="00993DB0">
        <w:t>-2</w:t>
      </w:r>
      <w:r w:rsidR="00077077">
        <w:t>3</w:t>
      </w:r>
      <w:r w:rsidR="005D69D1">
        <w:t xml:space="preserve">: </w:t>
      </w:r>
      <w:r w:rsidR="00077077">
        <w:t>4.98</w:t>
      </w:r>
      <w:r w:rsidR="66D421E8">
        <w:t xml:space="preserve"> </w:t>
      </w:r>
      <w:r>
        <w:t xml:space="preserve">days).  </w:t>
      </w:r>
    </w:p>
    <w:p w14:paraId="12F81BE9" w14:textId="77777777" w:rsidR="00E14AE5" w:rsidRDefault="00E14AE5" w:rsidP="00871DB1">
      <w:pPr>
        <w:widowControl w:val="0"/>
        <w:tabs>
          <w:tab w:val="right" w:pos="7371"/>
          <w:tab w:val="right" w:pos="9356"/>
        </w:tabs>
        <w:autoSpaceDE w:val="0"/>
        <w:autoSpaceDN w:val="0"/>
        <w:adjustRightInd w:val="0"/>
      </w:pPr>
    </w:p>
    <w:p w14:paraId="535362EE" w14:textId="77777777" w:rsidR="00E14AE5" w:rsidRDefault="00E14AE5" w:rsidP="00871DB1">
      <w:pPr>
        <w:widowControl w:val="0"/>
        <w:tabs>
          <w:tab w:val="right" w:pos="7371"/>
          <w:tab w:val="right" w:pos="9356"/>
        </w:tabs>
        <w:autoSpaceDE w:val="0"/>
        <w:autoSpaceDN w:val="0"/>
        <w:adjustRightInd w:val="0"/>
      </w:pPr>
      <w:r>
        <w:rPr>
          <w:b/>
        </w:rPr>
        <w:t>Disabled Employees</w:t>
      </w:r>
    </w:p>
    <w:p w14:paraId="41072186" w14:textId="77777777" w:rsidR="00E14AE5" w:rsidRDefault="00E14AE5" w:rsidP="00871DB1">
      <w:pPr>
        <w:widowControl w:val="0"/>
        <w:tabs>
          <w:tab w:val="right" w:pos="7371"/>
          <w:tab w:val="right" w:pos="9356"/>
        </w:tabs>
        <w:autoSpaceDE w:val="0"/>
        <w:autoSpaceDN w:val="0"/>
        <w:adjustRightInd w:val="0"/>
      </w:pPr>
    </w:p>
    <w:p w14:paraId="499DDC15" w14:textId="77777777" w:rsidR="00E14AE5" w:rsidRDefault="00E14AE5" w:rsidP="00871DB1">
      <w:pPr>
        <w:widowControl w:val="0"/>
        <w:tabs>
          <w:tab w:val="right" w:pos="7371"/>
          <w:tab w:val="right" w:pos="9356"/>
        </w:tabs>
        <w:autoSpaceDE w:val="0"/>
        <w:autoSpaceDN w:val="0"/>
        <w:adjustRightInd w:val="0"/>
      </w:pPr>
      <w:r>
        <w:t>The Commission aims to ensure that there is no discrimination on the grounds of disability and that access to employment and career advancement in the Commission is based solely on ability, qualifications and suitability for the post.  All disabled applicants who meet the essential criteria for posts advertised at the Commission are guaranteed an interview.</w:t>
      </w:r>
      <w:r w:rsidR="00835B2C">
        <w:t xml:space="preserve">  The Commission complies with all existing legislation </w:t>
      </w:r>
      <w:proofErr w:type="gramStart"/>
      <w:r w:rsidR="00835B2C">
        <w:t>in regard to</w:t>
      </w:r>
      <w:proofErr w:type="gramEnd"/>
      <w:r w:rsidR="00835B2C">
        <w:t xml:space="preserve"> its disabled employees.</w:t>
      </w:r>
    </w:p>
    <w:p w14:paraId="4810F9A1" w14:textId="77777777" w:rsidR="00835B2C" w:rsidRDefault="00835B2C" w:rsidP="00871DB1">
      <w:pPr>
        <w:widowControl w:val="0"/>
        <w:tabs>
          <w:tab w:val="right" w:pos="7371"/>
          <w:tab w:val="right" w:pos="9356"/>
        </w:tabs>
        <w:autoSpaceDE w:val="0"/>
        <w:autoSpaceDN w:val="0"/>
        <w:adjustRightInd w:val="0"/>
      </w:pPr>
    </w:p>
    <w:p w14:paraId="4E4573D3" w14:textId="77777777" w:rsidR="00835B2C" w:rsidRDefault="00835B2C" w:rsidP="00871DB1">
      <w:pPr>
        <w:widowControl w:val="0"/>
        <w:tabs>
          <w:tab w:val="right" w:pos="7371"/>
          <w:tab w:val="right" w:pos="9356"/>
        </w:tabs>
        <w:autoSpaceDE w:val="0"/>
        <w:autoSpaceDN w:val="0"/>
        <w:adjustRightInd w:val="0"/>
      </w:pPr>
      <w:r>
        <w:rPr>
          <w:b/>
        </w:rPr>
        <w:t>Equal Opportunities</w:t>
      </w:r>
    </w:p>
    <w:p w14:paraId="5979336D" w14:textId="77777777" w:rsidR="00835B2C" w:rsidRDefault="00835B2C" w:rsidP="00871DB1">
      <w:pPr>
        <w:widowControl w:val="0"/>
        <w:tabs>
          <w:tab w:val="right" w:pos="7371"/>
          <w:tab w:val="right" w:pos="9356"/>
        </w:tabs>
        <w:autoSpaceDE w:val="0"/>
        <w:autoSpaceDN w:val="0"/>
        <w:adjustRightInd w:val="0"/>
      </w:pPr>
    </w:p>
    <w:p w14:paraId="19B6CB45" w14:textId="77777777" w:rsidR="00835B2C" w:rsidRDefault="00835B2C" w:rsidP="00871DB1">
      <w:pPr>
        <w:widowControl w:val="0"/>
        <w:tabs>
          <w:tab w:val="right" w:pos="7371"/>
          <w:tab w:val="right" w:pos="9356"/>
        </w:tabs>
        <w:autoSpaceDE w:val="0"/>
        <w:autoSpaceDN w:val="0"/>
        <w:adjustRightInd w:val="0"/>
      </w:pPr>
      <w:r>
        <w:t xml:space="preserve">The Commission is committed to equality of opportunity and promoting good relations in accordance with our Equality Scheme, prepared in compliance with Section 75 of the Northern Ireland Act 1998.  We strive to promote equality of opportunity and good relations within the organisation as well as in our activities.  The Commission complies fully with its statutory </w:t>
      </w:r>
      <w:proofErr w:type="gramStart"/>
      <w:r>
        <w:t>obligations</w:t>
      </w:r>
      <w:proofErr w:type="gramEnd"/>
      <w:r>
        <w:t xml:space="preserve"> and we liaise closely with the Equality Commission for Northern Ireland to ensure we work together effectively.</w:t>
      </w:r>
    </w:p>
    <w:p w14:paraId="0845B393" w14:textId="77777777" w:rsidR="00250101" w:rsidRDefault="00250101" w:rsidP="00871DB1">
      <w:pPr>
        <w:widowControl w:val="0"/>
        <w:tabs>
          <w:tab w:val="right" w:pos="7371"/>
          <w:tab w:val="right" w:pos="9356"/>
        </w:tabs>
        <w:autoSpaceDE w:val="0"/>
        <w:autoSpaceDN w:val="0"/>
        <w:adjustRightInd w:val="0"/>
        <w:rPr>
          <w:b/>
        </w:rPr>
      </w:pPr>
    </w:p>
    <w:p w14:paraId="7901786A" w14:textId="40F4BEBA" w:rsidR="00835B2C" w:rsidRDefault="00835B2C" w:rsidP="00871DB1">
      <w:pPr>
        <w:widowControl w:val="0"/>
        <w:tabs>
          <w:tab w:val="right" w:pos="7371"/>
          <w:tab w:val="right" w:pos="9356"/>
        </w:tabs>
        <w:autoSpaceDE w:val="0"/>
        <w:autoSpaceDN w:val="0"/>
        <w:adjustRightInd w:val="0"/>
      </w:pPr>
      <w:r>
        <w:rPr>
          <w:b/>
        </w:rPr>
        <w:t>Employee Consultation</w:t>
      </w:r>
    </w:p>
    <w:p w14:paraId="48756428" w14:textId="77777777" w:rsidR="00835B2C" w:rsidRDefault="00835B2C" w:rsidP="00871DB1">
      <w:pPr>
        <w:widowControl w:val="0"/>
        <w:tabs>
          <w:tab w:val="right" w:pos="7371"/>
          <w:tab w:val="right" w:pos="9356"/>
        </w:tabs>
        <w:autoSpaceDE w:val="0"/>
        <w:autoSpaceDN w:val="0"/>
        <w:adjustRightInd w:val="0"/>
      </w:pPr>
    </w:p>
    <w:p w14:paraId="5A9030DD" w14:textId="6314DA7A" w:rsidR="00835B2C" w:rsidRDefault="00835B2C" w:rsidP="00871DB1">
      <w:pPr>
        <w:widowControl w:val="0"/>
        <w:tabs>
          <w:tab w:val="right" w:pos="7371"/>
          <w:tab w:val="right" w:pos="9356"/>
        </w:tabs>
        <w:autoSpaceDE w:val="0"/>
        <w:autoSpaceDN w:val="0"/>
        <w:adjustRightInd w:val="0"/>
      </w:pPr>
      <w:r>
        <w:t xml:space="preserve">The Commission recognises the benefits of keeping employees informed of the progress of the business and of involving them in the Commission’s performance.  During the </w:t>
      </w:r>
      <w:r w:rsidR="00176472">
        <w:t>year,</w:t>
      </w:r>
      <w:r>
        <w:t xml:space="preserve"> employees were regularly provided with information regarding the financial and economic factors affecting the performance of the Commission and on other matters of concern to them, as employees</w:t>
      </w:r>
      <w:r w:rsidR="003F0DB2">
        <w:t>,</w:t>
      </w:r>
      <w:r>
        <w:t xml:space="preserve"> through regular staff meetings.  Meetings were also held with employees on the drafting of the Commission’s business plan objectives for </w:t>
      </w:r>
      <w:r w:rsidR="00993DB0">
        <w:t>20</w:t>
      </w:r>
      <w:r w:rsidR="6A3DDA2E">
        <w:t>2</w:t>
      </w:r>
      <w:r w:rsidR="00836EA3">
        <w:t>3</w:t>
      </w:r>
      <w:r w:rsidR="00993DB0">
        <w:t>-2</w:t>
      </w:r>
      <w:r w:rsidR="00836EA3">
        <w:t>4</w:t>
      </w:r>
      <w:r w:rsidR="00993DB0">
        <w:t xml:space="preserve"> as well as the Commission’s Strategic Plan for 2022-25</w:t>
      </w:r>
      <w:r>
        <w:t>.</w:t>
      </w:r>
    </w:p>
    <w:p w14:paraId="68AF826C" w14:textId="77777777" w:rsidR="003F0DB2" w:rsidRDefault="003F0DB2" w:rsidP="00871DB1">
      <w:pPr>
        <w:widowControl w:val="0"/>
        <w:tabs>
          <w:tab w:val="right" w:pos="7371"/>
          <w:tab w:val="right" w:pos="9356"/>
        </w:tabs>
        <w:autoSpaceDE w:val="0"/>
        <w:autoSpaceDN w:val="0"/>
        <w:adjustRightInd w:val="0"/>
      </w:pPr>
    </w:p>
    <w:p w14:paraId="302B57E8" w14:textId="77777777" w:rsidR="003F0DB2" w:rsidRDefault="003F0DB2" w:rsidP="00871DB1">
      <w:pPr>
        <w:widowControl w:val="0"/>
        <w:tabs>
          <w:tab w:val="right" w:pos="7371"/>
          <w:tab w:val="right" w:pos="9356"/>
        </w:tabs>
        <w:autoSpaceDE w:val="0"/>
        <w:autoSpaceDN w:val="0"/>
        <w:adjustRightInd w:val="0"/>
        <w:rPr>
          <w:b/>
        </w:rPr>
      </w:pPr>
      <w:r>
        <w:rPr>
          <w:b/>
        </w:rPr>
        <w:t>Health and Safety</w:t>
      </w:r>
    </w:p>
    <w:p w14:paraId="09D81DA0" w14:textId="77777777" w:rsidR="003F0DB2" w:rsidRDefault="003F0DB2" w:rsidP="00871DB1">
      <w:pPr>
        <w:widowControl w:val="0"/>
        <w:tabs>
          <w:tab w:val="right" w:pos="7371"/>
          <w:tab w:val="right" w:pos="9356"/>
        </w:tabs>
        <w:autoSpaceDE w:val="0"/>
        <w:autoSpaceDN w:val="0"/>
        <w:adjustRightInd w:val="0"/>
        <w:rPr>
          <w:b/>
        </w:rPr>
      </w:pPr>
    </w:p>
    <w:p w14:paraId="42F53B65" w14:textId="77777777" w:rsidR="003F0DB2" w:rsidRPr="003F0DB2" w:rsidRDefault="003F0DB2" w:rsidP="00871DB1">
      <w:pPr>
        <w:widowControl w:val="0"/>
        <w:tabs>
          <w:tab w:val="right" w:pos="7371"/>
          <w:tab w:val="right" w:pos="9356"/>
        </w:tabs>
        <w:autoSpaceDE w:val="0"/>
        <w:autoSpaceDN w:val="0"/>
        <w:adjustRightInd w:val="0"/>
      </w:pPr>
      <w:r>
        <w:t xml:space="preserve">We recognise and accept our legal responsibilities in relation to the health, safety and welfare of our employees and for all people using our premises.  In line with this </w:t>
      </w:r>
      <w:r w:rsidR="00176472">
        <w:t>commitment,</w:t>
      </w:r>
      <w:r>
        <w:t xml:space="preserve"> the Commission has complied with the relevant legislation.</w:t>
      </w:r>
    </w:p>
    <w:p w14:paraId="54F47B57" w14:textId="77777777" w:rsidR="00871DB1" w:rsidRDefault="00871DB1" w:rsidP="00871DB1">
      <w:pPr>
        <w:widowControl w:val="0"/>
        <w:tabs>
          <w:tab w:val="right" w:pos="7371"/>
          <w:tab w:val="right" w:pos="9356"/>
        </w:tabs>
        <w:autoSpaceDE w:val="0"/>
        <w:autoSpaceDN w:val="0"/>
        <w:adjustRightInd w:val="0"/>
      </w:pPr>
    </w:p>
    <w:p w14:paraId="422C96CA" w14:textId="77777777" w:rsidR="00871DB1" w:rsidRDefault="00871DB1" w:rsidP="00871DB1">
      <w:pPr>
        <w:widowControl w:val="0"/>
        <w:tabs>
          <w:tab w:val="right" w:pos="7371"/>
          <w:tab w:val="right" w:pos="9356"/>
        </w:tabs>
        <w:autoSpaceDE w:val="0"/>
        <w:autoSpaceDN w:val="0"/>
        <w:adjustRightInd w:val="0"/>
        <w:rPr>
          <w:b/>
        </w:rPr>
      </w:pPr>
      <w:r>
        <w:rPr>
          <w:b/>
        </w:rPr>
        <w:t>Expenditure on Consultancy</w:t>
      </w:r>
    </w:p>
    <w:p w14:paraId="43A1A996" w14:textId="77777777" w:rsidR="00871DB1" w:rsidRDefault="00871DB1" w:rsidP="00871DB1">
      <w:pPr>
        <w:widowControl w:val="0"/>
        <w:tabs>
          <w:tab w:val="right" w:pos="7371"/>
          <w:tab w:val="right" w:pos="9356"/>
        </w:tabs>
        <w:autoSpaceDE w:val="0"/>
        <w:autoSpaceDN w:val="0"/>
        <w:adjustRightInd w:val="0"/>
        <w:rPr>
          <w:b/>
        </w:rPr>
      </w:pPr>
    </w:p>
    <w:p w14:paraId="2BF3B00B" w14:textId="3CFEA9EE" w:rsidR="00871DB1" w:rsidRDefault="00871DB1" w:rsidP="00871DB1">
      <w:pPr>
        <w:widowControl w:val="0"/>
        <w:tabs>
          <w:tab w:val="right" w:pos="7371"/>
          <w:tab w:val="right" w:pos="9356"/>
        </w:tabs>
        <w:autoSpaceDE w:val="0"/>
        <w:autoSpaceDN w:val="0"/>
        <w:adjustRightInd w:val="0"/>
      </w:pPr>
      <w:r>
        <w:t>There was no exp</w:t>
      </w:r>
      <w:r w:rsidR="00A80575">
        <w:t xml:space="preserve">enditure on consultancy in </w:t>
      </w:r>
      <w:r w:rsidR="00993DB0">
        <w:t>20</w:t>
      </w:r>
      <w:r w:rsidR="519F0027">
        <w:t>2</w:t>
      </w:r>
      <w:r w:rsidR="00836EA3">
        <w:t>3</w:t>
      </w:r>
      <w:r w:rsidR="00993DB0">
        <w:t>-2</w:t>
      </w:r>
      <w:r w:rsidR="00836EA3">
        <w:t>4</w:t>
      </w:r>
      <w:r w:rsidR="00A80575">
        <w:t xml:space="preserve"> (</w:t>
      </w:r>
      <w:r w:rsidR="00993DB0">
        <w:t>202</w:t>
      </w:r>
      <w:r w:rsidR="00836EA3">
        <w:t>2</w:t>
      </w:r>
      <w:r w:rsidR="00993DB0">
        <w:t>-2</w:t>
      </w:r>
      <w:r w:rsidR="00836EA3">
        <w:t>3</w:t>
      </w:r>
      <w:r>
        <w:t>: £nil)</w:t>
      </w:r>
      <w:r w:rsidR="00C606DC">
        <w:t>.</w:t>
      </w:r>
    </w:p>
    <w:p w14:paraId="3EB55396" w14:textId="77777777" w:rsidR="00C606DC" w:rsidRDefault="00C606DC" w:rsidP="00871DB1">
      <w:pPr>
        <w:widowControl w:val="0"/>
        <w:tabs>
          <w:tab w:val="right" w:pos="7371"/>
          <w:tab w:val="right" w:pos="9356"/>
        </w:tabs>
        <w:autoSpaceDE w:val="0"/>
        <w:autoSpaceDN w:val="0"/>
        <w:adjustRightInd w:val="0"/>
      </w:pPr>
    </w:p>
    <w:p w14:paraId="4D54872B" w14:textId="77777777" w:rsidR="00871DB1" w:rsidRDefault="00871DB1" w:rsidP="00871DB1">
      <w:pPr>
        <w:widowControl w:val="0"/>
        <w:tabs>
          <w:tab w:val="right" w:pos="7371"/>
          <w:tab w:val="right" w:pos="9356"/>
        </w:tabs>
        <w:autoSpaceDE w:val="0"/>
        <w:autoSpaceDN w:val="0"/>
        <w:adjustRightInd w:val="0"/>
      </w:pPr>
      <w:r>
        <w:rPr>
          <w:b/>
        </w:rPr>
        <w:t>Off-payroll engagements</w:t>
      </w:r>
    </w:p>
    <w:p w14:paraId="3ED2691E" w14:textId="77777777" w:rsidR="00871DB1" w:rsidRDefault="00871DB1" w:rsidP="00871DB1">
      <w:pPr>
        <w:widowControl w:val="0"/>
        <w:tabs>
          <w:tab w:val="right" w:pos="7371"/>
          <w:tab w:val="right" w:pos="9356"/>
        </w:tabs>
        <w:autoSpaceDE w:val="0"/>
        <w:autoSpaceDN w:val="0"/>
        <w:adjustRightInd w:val="0"/>
      </w:pPr>
    </w:p>
    <w:p w14:paraId="29177E57" w14:textId="57BF7DD2" w:rsidR="00871DB1" w:rsidRDefault="00871DB1" w:rsidP="00871DB1">
      <w:pPr>
        <w:widowControl w:val="0"/>
        <w:tabs>
          <w:tab w:val="right" w:pos="7371"/>
          <w:tab w:val="right" w:pos="9356"/>
        </w:tabs>
        <w:autoSpaceDE w:val="0"/>
        <w:autoSpaceDN w:val="0"/>
        <w:adjustRightInd w:val="0"/>
      </w:pPr>
      <w:r>
        <w:t xml:space="preserve">There were no </w:t>
      </w:r>
      <w:r w:rsidR="00A80575">
        <w:t xml:space="preserve">off-payroll engagements in </w:t>
      </w:r>
      <w:r w:rsidR="00993DB0">
        <w:t>20</w:t>
      </w:r>
      <w:r w:rsidR="5D652406">
        <w:t>2</w:t>
      </w:r>
      <w:r w:rsidR="00836EA3">
        <w:t>3</w:t>
      </w:r>
      <w:r w:rsidR="00993DB0">
        <w:t>-2</w:t>
      </w:r>
      <w:r w:rsidR="00836EA3">
        <w:t>4</w:t>
      </w:r>
      <w:r w:rsidR="00A80575">
        <w:t xml:space="preserve"> (</w:t>
      </w:r>
      <w:r w:rsidR="00993DB0">
        <w:t>20</w:t>
      </w:r>
      <w:r w:rsidR="0700DF38">
        <w:t>2</w:t>
      </w:r>
      <w:r w:rsidR="00836EA3">
        <w:t>2</w:t>
      </w:r>
      <w:r w:rsidR="00993DB0">
        <w:t>-2</w:t>
      </w:r>
      <w:r w:rsidR="00836EA3">
        <w:t>3</w:t>
      </w:r>
      <w:r>
        <w:t>: £nil)</w:t>
      </w:r>
      <w:r w:rsidR="00737D30">
        <w:t>.</w:t>
      </w:r>
    </w:p>
    <w:p w14:paraId="05568C4D" w14:textId="77777777" w:rsidR="00737D30" w:rsidRPr="00871DB1" w:rsidRDefault="00737D30" w:rsidP="00871DB1">
      <w:pPr>
        <w:widowControl w:val="0"/>
        <w:tabs>
          <w:tab w:val="right" w:pos="7371"/>
          <w:tab w:val="right" w:pos="9356"/>
        </w:tabs>
        <w:autoSpaceDE w:val="0"/>
        <w:autoSpaceDN w:val="0"/>
        <w:adjustRightInd w:val="0"/>
      </w:pPr>
    </w:p>
    <w:p w14:paraId="64511E64" w14:textId="77777777" w:rsidR="000C2A54" w:rsidRPr="00D619EC" w:rsidRDefault="00D619EC" w:rsidP="00D619EC">
      <w:pPr>
        <w:widowControl w:val="0"/>
        <w:tabs>
          <w:tab w:val="left" w:pos="0"/>
          <w:tab w:val="right" w:pos="7371"/>
          <w:tab w:val="right" w:pos="9356"/>
        </w:tabs>
        <w:autoSpaceDE w:val="0"/>
        <w:autoSpaceDN w:val="0"/>
        <w:adjustRightInd w:val="0"/>
        <w:ind w:hanging="567"/>
        <w:rPr>
          <w:b/>
          <w:bCs/>
        </w:rPr>
      </w:pPr>
      <w:r>
        <w:rPr>
          <w:b/>
          <w:bCs/>
        </w:rPr>
        <w:tab/>
      </w:r>
      <w:r w:rsidR="000C2A54" w:rsidRPr="00F97E5F">
        <w:rPr>
          <w:b/>
          <w:bCs/>
        </w:rPr>
        <w:t>Reporting of Civil Service and other compensation schemes – exit packages</w:t>
      </w:r>
      <w:r w:rsidR="000C2A54">
        <w:rPr>
          <w:bCs/>
        </w:rPr>
        <w:t xml:space="preserve"> (audited information)</w:t>
      </w:r>
    </w:p>
    <w:p w14:paraId="1707D9EB" w14:textId="77777777" w:rsidR="000C2A54" w:rsidRPr="00F97E5F" w:rsidRDefault="000C2A54" w:rsidP="000C2A54">
      <w:pPr>
        <w:widowControl w:val="0"/>
        <w:tabs>
          <w:tab w:val="left" w:pos="567"/>
          <w:tab w:val="right" w:pos="7371"/>
          <w:tab w:val="right" w:pos="9356"/>
        </w:tabs>
        <w:autoSpaceDE w:val="0"/>
        <w:autoSpaceDN w:val="0"/>
        <w:adjustRightInd w:val="0"/>
        <w:rPr>
          <w:b/>
        </w:rPr>
      </w:pPr>
    </w:p>
    <w:p w14:paraId="233FBBF4" w14:textId="2C21E1CF" w:rsidR="000C2A54" w:rsidRPr="00F97E5F" w:rsidRDefault="000C2A54" w:rsidP="00871DB1">
      <w:pPr>
        <w:widowControl w:val="0"/>
        <w:tabs>
          <w:tab w:val="left" w:pos="567"/>
          <w:tab w:val="right" w:pos="7371"/>
          <w:tab w:val="right" w:pos="9356"/>
        </w:tabs>
        <w:autoSpaceDE w:val="0"/>
        <w:autoSpaceDN w:val="0"/>
        <w:adjustRightInd w:val="0"/>
      </w:pPr>
      <w:r>
        <w:t>Ther</w:t>
      </w:r>
      <w:r w:rsidR="005D69D1">
        <w:t xml:space="preserve">e were no exit packages in </w:t>
      </w:r>
      <w:r w:rsidR="00993DB0">
        <w:t>20</w:t>
      </w:r>
      <w:r w:rsidR="4A33703B">
        <w:t>2</w:t>
      </w:r>
      <w:r w:rsidR="00836EA3">
        <w:t>3</w:t>
      </w:r>
      <w:r w:rsidR="00993DB0">
        <w:t>-2</w:t>
      </w:r>
      <w:r w:rsidR="00836EA3">
        <w:t>4</w:t>
      </w:r>
      <w:r w:rsidR="005D69D1">
        <w:t xml:space="preserve"> (</w:t>
      </w:r>
      <w:r w:rsidR="00993DB0">
        <w:t>20</w:t>
      </w:r>
      <w:r w:rsidR="16BA5364">
        <w:t>2</w:t>
      </w:r>
      <w:r w:rsidR="00836EA3">
        <w:t>2</w:t>
      </w:r>
      <w:r w:rsidR="00993DB0">
        <w:t>-2</w:t>
      </w:r>
      <w:r w:rsidR="00836EA3">
        <w:t>3</w:t>
      </w:r>
      <w:r w:rsidR="007B768A">
        <w:t>: £n</w:t>
      </w:r>
      <w:r>
        <w:t xml:space="preserve">il).  </w:t>
      </w:r>
    </w:p>
    <w:p w14:paraId="5F1A403A" w14:textId="77777777" w:rsidR="000C2A54" w:rsidRDefault="000C2A54" w:rsidP="000C2A54">
      <w:pPr>
        <w:autoSpaceDE w:val="0"/>
        <w:autoSpaceDN w:val="0"/>
        <w:adjustRightInd w:val="0"/>
        <w:rPr>
          <w:noProof/>
          <w:lang w:eastAsia="en-GB"/>
        </w:rPr>
      </w:pPr>
    </w:p>
    <w:p w14:paraId="0D1EE0F1" w14:textId="43CF88BC" w:rsidR="001E24FD" w:rsidRDefault="00D94BED" w:rsidP="000C2A54">
      <w:pPr>
        <w:autoSpaceDE w:val="0"/>
        <w:autoSpaceDN w:val="0"/>
        <w:adjustRightInd w:val="0"/>
        <w:rPr>
          <w:noProof/>
          <w:lang w:eastAsia="en-GB"/>
        </w:rPr>
      </w:pPr>
      <w:r>
        <w:rPr>
          <w:noProof/>
        </w:rPr>
        <w:drawing>
          <wp:inline distT="0" distB="0" distL="0" distR="0" wp14:anchorId="0BBD799A" wp14:editId="54157F79">
            <wp:extent cx="1627770" cy="452438"/>
            <wp:effectExtent l="0" t="0" r="0" b="5080"/>
            <wp:docPr id="342244682" name="Picture 342244682"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44682" name="Picture 342244682" descr="A blue signature on a white background&#10;&#10;Description automatically generated"/>
                    <pic:cNvPicPr/>
                  </pic:nvPicPr>
                  <pic:blipFill rotWithShape="1">
                    <a:blip r:embed="rId28" cstate="print">
                      <a:extLst>
                        <a:ext uri="{28A0092B-C50C-407E-A947-70E740481C1C}">
                          <a14:useLocalDpi xmlns:a14="http://schemas.microsoft.com/office/drawing/2010/main" val="0"/>
                        </a:ext>
                      </a:extLst>
                    </a:blip>
                    <a:srcRect t="27943" b="23685"/>
                    <a:stretch/>
                  </pic:blipFill>
                  <pic:spPr bwMode="auto">
                    <a:xfrm>
                      <a:off x="0" y="0"/>
                      <a:ext cx="1718836" cy="477750"/>
                    </a:xfrm>
                    <a:prstGeom prst="rect">
                      <a:avLst/>
                    </a:prstGeom>
                    <a:ln>
                      <a:noFill/>
                    </a:ln>
                    <a:extLst>
                      <a:ext uri="{53640926-AAD7-44D8-BBD7-CCE9431645EC}">
                        <a14:shadowObscured xmlns:a14="http://schemas.microsoft.com/office/drawing/2010/main"/>
                      </a:ext>
                    </a:extLst>
                  </pic:spPr>
                </pic:pic>
              </a:graphicData>
            </a:graphic>
          </wp:inline>
        </w:drawing>
      </w:r>
    </w:p>
    <w:p w14:paraId="324F956C" w14:textId="77777777" w:rsidR="00D94BED" w:rsidRDefault="00D94BED" w:rsidP="000C2A54">
      <w:pPr>
        <w:autoSpaceDE w:val="0"/>
        <w:autoSpaceDN w:val="0"/>
        <w:adjustRightInd w:val="0"/>
        <w:rPr>
          <w:noProof/>
          <w:lang w:eastAsia="en-GB"/>
        </w:rPr>
      </w:pPr>
    </w:p>
    <w:p w14:paraId="74A8384B" w14:textId="77777777" w:rsidR="000C2A54" w:rsidRPr="00D80497" w:rsidRDefault="000C2A54" w:rsidP="000C2A54">
      <w:pPr>
        <w:widowControl w:val="0"/>
        <w:autoSpaceDE w:val="0"/>
        <w:autoSpaceDN w:val="0"/>
        <w:adjustRightInd w:val="0"/>
        <w:rPr>
          <w:b/>
        </w:rPr>
      </w:pPr>
      <w:bookmarkStart w:id="28" w:name="SW0003"/>
      <w:r>
        <w:rPr>
          <w:b/>
        </w:rPr>
        <w:t>Dr David Russell</w:t>
      </w:r>
    </w:p>
    <w:p w14:paraId="74847EAB" w14:textId="77777777" w:rsidR="000C2A54" w:rsidRPr="00D80497" w:rsidRDefault="000C2A54" w:rsidP="000C2A54">
      <w:pPr>
        <w:widowControl w:val="0"/>
        <w:autoSpaceDE w:val="0"/>
        <w:autoSpaceDN w:val="0"/>
        <w:adjustRightInd w:val="0"/>
        <w:rPr>
          <w:b/>
        </w:rPr>
      </w:pPr>
      <w:r w:rsidRPr="00D80497">
        <w:rPr>
          <w:b/>
        </w:rPr>
        <w:t>Accounting Officer</w:t>
      </w:r>
    </w:p>
    <w:p w14:paraId="19FC55D8" w14:textId="77777777" w:rsidR="000C2A54" w:rsidRPr="00D80497" w:rsidRDefault="000C2A54" w:rsidP="000C2A54">
      <w:pPr>
        <w:widowControl w:val="0"/>
        <w:tabs>
          <w:tab w:val="left" w:pos="2802"/>
        </w:tabs>
        <w:autoSpaceDE w:val="0"/>
        <w:autoSpaceDN w:val="0"/>
        <w:adjustRightInd w:val="0"/>
      </w:pPr>
    </w:p>
    <w:p w14:paraId="0075EC5B" w14:textId="6BFE7B31" w:rsidR="000C2A54" w:rsidRPr="00D80497" w:rsidRDefault="000C2A54" w:rsidP="000C2A54">
      <w:pPr>
        <w:widowControl w:val="0"/>
        <w:tabs>
          <w:tab w:val="left" w:pos="851"/>
        </w:tabs>
        <w:autoSpaceDE w:val="0"/>
        <w:autoSpaceDN w:val="0"/>
        <w:adjustRightInd w:val="0"/>
        <w:rPr>
          <w:b/>
        </w:rPr>
      </w:pPr>
      <w:r w:rsidRPr="00D80497">
        <w:rPr>
          <w:b/>
        </w:rPr>
        <w:t xml:space="preserve">Date: </w:t>
      </w:r>
      <w:r w:rsidR="00AE1FB0">
        <w:rPr>
          <w:b/>
        </w:rPr>
        <w:t>18 July</w:t>
      </w:r>
      <w:r w:rsidR="00953497">
        <w:rPr>
          <w:b/>
        </w:rPr>
        <w:t xml:space="preserve"> 20</w:t>
      </w:r>
      <w:r w:rsidR="005E6D62">
        <w:rPr>
          <w:b/>
        </w:rPr>
        <w:t>2</w:t>
      </w:r>
      <w:r w:rsidR="00836EA3">
        <w:rPr>
          <w:b/>
        </w:rPr>
        <w:t>4</w:t>
      </w:r>
    </w:p>
    <w:bookmarkEnd w:id="28"/>
    <w:p w14:paraId="46F90AF7" w14:textId="77777777" w:rsidR="000C2A54" w:rsidRPr="00503D7F" w:rsidRDefault="000C2A54" w:rsidP="008C73A2">
      <w:pPr>
        <w:jc w:val="center"/>
        <w:rPr>
          <w:b/>
          <w:sz w:val="28"/>
          <w:szCs w:val="28"/>
        </w:rPr>
      </w:pPr>
      <w:r>
        <w:rPr>
          <w:b/>
        </w:rPr>
        <w:br w:type="page"/>
      </w:r>
      <w:bookmarkStart w:id="29" w:name="ParliamentaryAccountability"/>
      <w:r w:rsidR="0045027A">
        <w:rPr>
          <w:rFonts w:cs="Arial"/>
          <w:b/>
          <w:color w:val="77328A"/>
          <w:sz w:val="30"/>
          <w:szCs w:val="30"/>
        </w:rPr>
        <w:t>Parliamentary Accountability and Audit Report</w:t>
      </w:r>
    </w:p>
    <w:bookmarkEnd w:id="29"/>
    <w:p w14:paraId="5B269081" w14:textId="77777777" w:rsidR="000C2A54" w:rsidRDefault="000C2A54" w:rsidP="000C2A54">
      <w:pPr>
        <w:rPr>
          <w:b/>
        </w:rPr>
      </w:pPr>
    </w:p>
    <w:p w14:paraId="718283F2" w14:textId="088A9328" w:rsidR="00F0089C" w:rsidRDefault="00F0089C" w:rsidP="00310B25">
      <w:pPr>
        <w:pStyle w:val="BodyText"/>
        <w:numPr>
          <w:ilvl w:val="1"/>
          <w:numId w:val="16"/>
        </w:numPr>
        <w:spacing w:after="284" w:line="300" w:lineRule="atLeast"/>
      </w:pPr>
      <w:r w:rsidRPr="00E16658">
        <w:t xml:space="preserve">The accounts of the </w:t>
      </w:r>
      <w:r w:rsidR="00941C81">
        <w:t>Northern Ireland Human Rights Commission</w:t>
      </w:r>
      <w:r w:rsidRPr="00E16658">
        <w:t xml:space="preserve"> are audited by the Comptroller and Auditor General under </w:t>
      </w:r>
      <w:r w:rsidR="00941C81">
        <w:t xml:space="preserve">the Northern Ireland Act 1998. </w:t>
      </w:r>
      <w:r w:rsidRPr="00E16658">
        <w:t>The audit fee charged was £</w:t>
      </w:r>
      <w:r w:rsidR="001C7349">
        <w:t>2</w:t>
      </w:r>
      <w:r w:rsidR="002474A1">
        <w:t>6</w:t>
      </w:r>
      <w:r w:rsidR="005D69D1">
        <w:t>,</w:t>
      </w:r>
      <w:r w:rsidR="002474A1">
        <w:t>250</w:t>
      </w:r>
      <w:r w:rsidR="00993DB0">
        <w:t xml:space="preserve"> (£</w:t>
      </w:r>
      <w:r w:rsidR="002474A1">
        <w:t>21</w:t>
      </w:r>
      <w:r w:rsidR="00737D30">
        <w:t>,</w:t>
      </w:r>
      <w:r w:rsidR="002474A1">
        <w:t>875</w:t>
      </w:r>
      <w:r w:rsidR="00737D30">
        <w:t xml:space="preserve"> in 202</w:t>
      </w:r>
      <w:r w:rsidR="002474A1">
        <w:t>2</w:t>
      </w:r>
      <w:r w:rsidR="00993DB0">
        <w:t>-2</w:t>
      </w:r>
      <w:r w:rsidR="002474A1">
        <w:t>3</w:t>
      </w:r>
      <w:r>
        <w:t>)</w:t>
      </w:r>
      <w:r w:rsidRPr="00E16658">
        <w:t>. The auditors received no fees for non-audit services</w:t>
      </w:r>
      <w:r w:rsidR="007B768A">
        <w:t xml:space="preserve"> (</w:t>
      </w:r>
      <w:r w:rsidR="00993DB0">
        <w:t>20</w:t>
      </w:r>
      <w:r w:rsidR="00737D30">
        <w:t>2</w:t>
      </w:r>
      <w:r w:rsidR="002474A1">
        <w:t>2</w:t>
      </w:r>
      <w:r w:rsidR="00993DB0">
        <w:t>-2</w:t>
      </w:r>
      <w:r w:rsidR="002474A1">
        <w:t>3</w:t>
      </w:r>
      <w:r w:rsidR="007B768A">
        <w:t>: £nil</w:t>
      </w:r>
      <w:r w:rsidR="0072512F">
        <w:t>)</w:t>
      </w:r>
      <w:r w:rsidRPr="00E16658">
        <w:t>. The auditors have been provided with all relevant audit information necessary to complete their audit and the Accounting Officer has taken all the necessary steps to ensure that the auditors are aware of any relevant information.</w:t>
      </w:r>
    </w:p>
    <w:p w14:paraId="1EE80736" w14:textId="1A416465" w:rsidR="001C7663" w:rsidRDefault="001C7663" w:rsidP="00310B25">
      <w:pPr>
        <w:pStyle w:val="BodyText"/>
        <w:numPr>
          <w:ilvl w:val="1"/>
          <w:numId w:val="16"/>
        </w:numPr>
        <w:spacing w:after="284" w:line="300" w:lineRule="atLeast"/>
      </w:pPr>
      <w:r>
        <w:t>As part of the Commission’s commitment to support continuous improvement, we are working with our sponsor department to understand which of the government f</w:t>
      </w:r>
      <w:r w:rsidR="00D80963">
        <w:t>unctional</w:t>
      </w:r>
      <w:r>
        <w:t xml:space="preserve"> standards are most appropriate for our size and scope, and best meet our business needs.  Once we have agreed with our sponsor department which standards are relevant to our organisation, then we will work to embed the appropriate standards into our business processes.</w:t>
      </w:r>
    </w:p>
    <w:p w14:paraId="370CC803" w14:textId="77777777" w:rsidR="00F0089C" w:rsidRDefault="00F0089C" w:rsidP="00310B25">
      <w:pPr>
        <w:pStyle w:val="BodyText"/>
        <w:numPr>
          <w:ilvl w:val="1"/>
          <w:numId w:val="16"/>
        </w:numPr>
        <w:spacing w:after="284" w:line="300" w:lineRule="atLeast"/>
      </w:pPr>
      <w:r>
        <w:t>All expenditure was applied to the purpose intended by Parliament (audited).</w:t>
      </w:r>
    </w:p>
    <w:p w14:paraId="0061E08D" w14:textId="08B16299" w:rsidR="00F0089C" w:rsidRDefault="00F0089C" w:rsidP="00310B25">
      <w:pPr>
        <w:pStyle w:val="BodyText"/>
        <w:numPr>
          <w:ilvl w:val="1"/>
          <w:numId w:val="16"/>
        </w:numPr>
        <w:spacing w:after="284" w:line="300" w:lineRule="atLeast"/>
      </w:pPr>
      <w:r>
        <w:t xml:space="preserve">No fees or charges were </w:t>
      </w:r>
      <w:r w:rsidR="003C45FA">
        <w:t xml:space="preserve">collected </w:t>
      </w:r>
      <w:r>
        <w:t xml:space="preserve">by </w:t>
      </w:r>
      <w:r w:rsidR="00941C81">
        <w:t>the</w:t>
      </w:r>
      <w:r w:rsidR="00941C81" w:rsidRPr="00E16658">
        <w:t xml:space="preserve"> </w:t>
      </w:r>
      <w:r w:rsidR="00941C81">
        <w:t>Northern Ireland Human Rights Commission</w:t>
      </w:r>
      <w:r>
        <w:t xml:space="preserve"> (audited)</w:t>
      </w:r>
      <w:r w:rsidR="00993DB0">
        <w:t xml:space="preserve"> (20</w:t>
      </w:r>
      <w:r w:rsidR="00A7412A">
        <w:t>2</w:t>
      </w:r>
      <w:r w:rsidR="002474A1">
        <w:t>2</w:t>
      </w:r>
      <w:r w:rsidR="00993DB0">
        <w:t>-2</w:t>
      </w:r>
      <w:r w:rsidR="002474A1">
        <w:t>3</w:t>
      </w:r>
      <w:r w:rsidR="00A7412A">
        <w:t>: £nil)</w:t>
      </w:r>
      <w:r>
        <w:t>.</w:t>
      </w:r>
    </w:p>
    <w:p w14:paraId="45F0434F" w14:textId="186C4EBB" w:rsidR="00F0089C" w:rsidRDefault="00F0089C" w:rsidP="00310B25">
      <w:pPr>
        <w:pStyle w:val="BodyText"/>
        <w:numPr>
          <w:ilvl w:val="1"/>
          <w:numId w:val="16"/>
        </w:numPr>
        <w:spacing w:after="284" w:line="300" w:lineRule="atLeast"/>
      </w:pPr>
      <w:r>
        <w:t xml:space="preserve">The </w:t>
      </w:r>
      <w:r w:rsidR="00941C81">
        <w:t>Northern Ireland Human Rights Commission</w:t>
      </w:r>
      <w:r>
        <w:t xml:space="preserve"> has </w:t>
      </w:r>
      <w:r w:rsidR="00BB74EA">
        <w:t>no</w:t>
      </w:r>
      <w:r w:rsidR="00DC0FA7">
        <w:t xml:space="preserve"> </w:t>
      </w:r>
      <w:r w:rsidR="00BB74EA">
        <w:t xml:space="preserve">remote </w:t>
      </w:r>
      <w:r w:rsidR="00DC0FA7">
        <w:t>contingent liabilit</w:t>
      </w:r>
      <w:r w:rsidR="00BB74EA">
        <w:t>ies</w:t>
      </w:r>
      <w:r w:rsidR="00DC0FA7">
        <w:t xml:space="preserve"> </w:t>
      </w:r>
      <w:r>
        <w:t>(audited)</w:t>
      </w:r>
      <w:r w:rsidR="00993DB0">
        <w:t xml:space="preserve"> (20</w:t>
      </w:r>
      <w:r w:rsidR="00A7412A">
        <w:t>2</w:t>
      </w:r>
      <w:r w:rsidR="002474A1">
        <w:t>2</w:t>
      </w:r>
      <w:r w:rsidR="00993DB0">
        <w:t>-2</w:t>
      </w:r>
      <w:r w:rsidR="002474A1">
        <w:t>3</w:t>
      </w:r>
      <w:r w:rsidR="00A7412A">
        <w:t>: £nil)</w:t>
      </w:r>
      <w:r>
        <w:t>.</w:t>
      </w:r>
    </w:p>
    <w:p w14:paraId="2D530F7C" w14:textId="1DA21F41" w:rsidR="001C06AC" w:rsidRDefault="001C06AC" w:rsidP="00310B25">
      <w:pPr>
        <w:pStyle w:val="BodyText"/>
        <w:numPr>
          <w:ilvl w:val="1"/>
          <w:numId w:val="16"/>
        </w:numPr>
        <w:spacing w:after="284" w:line="300" w:lineRule="atLeast"/>
      </w:pPr>
      <w:r>
        <w:t>The Commission had no losses or special payments (audited)</w:t>
      </w:r>
      <w:r w:rsidR="00993DB0">
        <w:t xml:space="preserve"> (202</w:t>
      </w:r>
      <w:r w:rsidR="002474A1">
        <w:t>2</w:t>
      </w:r>
      <w:r w:rsidR="00993DB0">
        <w:t>-2</w:t>
      </w:r>
      <w:r w:rsidR="002474A1">
        <w:t>3</w:t>
      </w:r>
      <w:r w:rsidR="00A7412A">
        <w:t>: £nil)</w:t>
      </w:r>
      <w:r>
        <w:t>.</w:t>
      </w:r>
    </w:p>
    <w:p w14:paraId="6685CB7B" w14:textId="27D24064" w:rsidR="00F0089C" w:rsidRDefault="00F0089C" w:rsidP="00310B25">
      <w:pPr>
        <w:pStyle w:val="BodyText"/>
        <w:numPr>
          <w:ilvl w:val="1"/>
          <w:numId w:val="16"/>
        </w:numPr>
        <w:spacing w:after="284" w:line="300" w:lineRule="atLeast"/>
      </w:pPr>
      <w:r>
        <w:t xml:space="preserve">The </w:t>
      </w:r>
      <w:r w:rsidR="00941C81">
        <w:t>Northern Ireland Human Rights Commission’s</w:t>
      </w:r>
      <w:r w:rsidR="00737D30">
        <w:t xml:space="preserve"> total </w:t>
      </w:r>
      <w:r w:rsidR="003D2736">
        <w:t xml:space="preserve">gross operating </w:t>
      </w:r>
      <w:r w:rsidR="00737D30">
        <w:t>expenditure in 202</w:t>
      </w:r>
      <w:r w:rsidR="002474A1">
        <w:t>3</w:t>
      </w:r>
      <w:r w:rsidR="00993DB0">
        <w:t>-2</w:t>
      </w:r>
      <w:r w:rsidR="002474A1">
        <w:t>4</w:t>
      </w:r>
      <w:r>
        <w:t xml:space="preserve"> was</w:t>
      </w:r>
      <w:r w:rsidR="00CA7A47">
        <w:t xml:space="preserve"> £</w:t>
      </w:r>
      <w:r w:rsidR="00F643C2">
        <w:t>2,</w:t>
      </w:r>
      <w:r w:rsidR="002474A1">
        <w:t>733</w:t>
      </w:r>
      <w:r w:rsidR="00F643C2">
        <w:t>,</w:t>
      </w:r>
      <w:r w:rsidR="002474A1">
        <w:t>618</w:t>
      </w:r>
      <w:r>
        <w:t>. The net expenditure for prior years was as follows:</w:t>
      </w:r>
    </w:p>
    <w:p w14:paraId="359ACEFF" w14:textId="77777777" w:rsidR="00560F25" w:rsidRDefault="00560F25">
      <w:pPr>
        <w:rPr>
          <w:rFonts w:eastAsiaTheme="minorHAnsi" w:cstheme="minorBidi"/>
          <w:b/>
          <w:color w:val="auto"/>
        </w:rPr>
      </w:pPr>
      <w:r>
        <w:rPr>
          <w:b/>
          <w:color w:val="auto"/>
        </w:rPr>
        <w:br w:type="page"/>
      </w:r>
    </w:p>
    <w:p w14:paraId="35DC19CE" w14:textId="35A9291B" w:rsidR="00F0089C" w:rsidRPr="004A26CC" w:rsidRDefault="00F0089C" w:rsidP="001730DC">
      <w:pPr>
        <w:pStyle w:val="TableHeading"/>
        <w:rPr>
          <w:rFonts w:ascii="Verdana" w:hAnsi="Verdana"/>
          <w:b/>
          <w:color w:val="auto"/>
          <w:sz w:val="24"/>
        </w:rPr>
      </w:pPr>
      <w:r w:rsidRPr="004A26CC">
        <w:rPr>
          <w:rFonts w:ascii="Verdana" w:hAnsi="Verdana"/>
          <w:b/>
          <w:color w:val="auto"/>
          <w:sz w:val="24"/>
        </w:rPr>
        <w:t>Expenditure and income</w:t>
      </w:r>
    </w:p>
    <w:p w14:paraId="57D6D1CB" w14:textId="77777777" w:rsidR="008474EF" w:rsidRDefault="008474EF" w:rsidP="008474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3"/>
      </w:tblGrid>
      <w:tr w:rsidR="008474EF" w14:paraId="623A0FC9" w14:textId="77777777" w:rsidTr="008474EF">
        <w:tc>
          <w:tcPr>
            <w:tcW w:w="1812" w:type="dxa"/>
          </w:tcPr>
          <w:p w14:paraId="673B5068" w14:textId="77777777" w:rsidR="008474EF" w:rsidRDefault="008474EF" w:rsidP="008474EF"/>
        </w:tc>
        <w:tc>
          <w:tcPr>
            <w:tcW w:w="1812" w:type="dxa"/>
          </w:tcPr>
          <w:p w14:paraId="698882B1" w14:textId="59397932" w:rsidR="008474EF" w:rsidRDefault="00EF4DE1" w:rsidP="008474EF">
            <w:pPr>
              <w:jc w:val="right"/>
              <w:rPr>
                <w:b/>
                <w:sz w:val="20"/>
                <w:szCs w:val="20"/>
              </w:rPr>
            </w:pPr>
            <w:r>
              <w:rPr>
                <w:b/>
                <w:sz w:val="20"/>
                <w:szCs w:val="20"/>
              </w:rPr>
              <w:t>202</w:t>
            </w:r>
            <w:r w:rsidR="002474A1">
              <w:rPr>
                <w:b/>
                <w:sz w:val="20"/>
                <w:szCs w:val="20"/>
              </w:rPr>
              <w:t>3</w:t>
            </w:r>
            <w:r>
              <w:rPr>
                <w:b/>
                <w:sz w:val="20"/>
                <w:szCs w:val="20"/>
              </w:rPr>
              <w:t>-2</w:t>
            </w:r>
            <w:r w:rsidR="002474A1">
              <w:rPr>
                <w:b/>
                <w:sz w:val="20"/>
                <w:szCs w:val="20"/>
              </w:rPr>
              <w:t>4</w:t>
            </w:r>
          </w:p>
          <w:p w14:paraId="350AA322" w14:textId="77777777" w:rsidR="008474EF" w:rsidRPr="008474EF" w:rsidRDefault="008474EF" w:rsidP="008474EF">
            <w:pPr>
              <w:jc w:val="right"/>
              <w:rPr>
                <w:b/>
                <w:sz w:val="20"/>
                <w:szCs w:val="20"/>
              </w:rPr>
            </w:pPr>
            <w:r w:rsidRPr="008474EF">
              <w:rPr>
                <w:b/>
                <w:sz w:val="20"/>
                <w:szCs w:val="20"/>
              </w:rPr>
              <w:t>£000</w:t>
            </w:r>
          </w:p>
        </w:tc>
        <w:tc>
          <w:tcPr>
            <w:tcW w:w="1812" w:type="dxa"/>
          </w:tcPr>
          <w:p w14:paraId="7421193A" w14:textId="59586F8D" w:rsidR="008474EF" w:rsidRDefault="005D69D1" w:rsidP="008474EF">
            <w:pPr>
              <w:jc w:val="right"/>
              <w:rPr>
                <w:b/>
                <w:sz w:val="20"/>
                <w:szCs w:val="20"/>
              </w:rPr>
            </w:pPr>
            <w:r>
              <w:rPr>
                <w:b/>
                <w:sz w:val="20"/>
                <w:szCs w:val="20"/>
              </w:rPr>
              <w:t>20</w:t>
            </w:r>
            <w:r w:rsidR="00EF4DE1">
              <w:rPr>
                <w:b/>
                <w:sz w:val="20"/>
                <w:szCs w:val="20"/>
              </w:rPr>
              <w:t>2</w:t>
            </w:r>
            <w:r w:rsidR="002474A1">
              <w:rPr>
                <w:b/>
                <w:sz w:val="20"/>
                <w:szCs w:val="20"/>
              </w:rPr>
              <w:t>2</w:t>
            </w:r>
            <w:r w:rsidR="00EF4DE1">
              <w:rPr>
                <w:b/>
                <w:sz w:val="20"/>
                <w:szCs w:val="20"/>
              </w:rPr>
              <w:t>-2</w:t>
            </w:r>
            <w:r w:rsidR="002474A1">
              <w:rPr>
                <w:b/>
                <w:sz w:val="20"/>
                <w:szCs w:val="20"/>
              </w:rPr>
              <w:t>3</w:t>
            </w:r>
            <w:r w:rsidR="008474EF" w:rsidRPr="008474EF">
              <w:rPr>
                <w:b/>
                <w:sz w:val="20"/>
                <w:szCs w:val="20"/>
              </w:rPr>
              <w:t xml:space="preserve"> </w:t>
            </w:r>
          </w:p>
          <w:p w14:paraId="34D1CA05" w14:textId="77777777" w:rsidR="008474EF" w:rsidRPr="008474EF" w:rsidRDefault="008474EF" w:rsidP="008474EF">
            <w:pPr>
              <w:jc w:val="right"/>
              <w:rPr>
                <w:b/>
                <w:sz w:val="20"/>
                <w:szCs w:val="20"/>
              </w:rPr>
            </w:pPr>
            <w:r w:rsidRPr="008474EF">
              <w:rPr>
                <w:b/>
                <w:sz w:val="20"/>
                <w:szCs w:val="20"/>
              </w:rPr>
              <w:t>£000</w:t>
            </w:r>
          </w:p>
        </w:tc>
        <w:tc>
          <w:tcPr>
            <w:tcW w:w="1812" w:type="dxa"/>
          </w:tcPr>
          <w:p w14:paraId="6F3FF6B5" w14:textId="7FB73F46" w:rsidR="008474EF" w:rsidRDefault="005D69D1" w:rsidP="008474EF">
            <w:pPr>
              <w:jc w:val="right"/>
              <w:rPr>
                <w:b/>
                <w:sz w:val="20"/>
                <w:szCs w:val="20"/>
              </w:rPr>
            </w:pPr>
            <w:r>
              <w:rPr>
                <w:b/>
                <w:sz w:val="20"/>
                <w:szCs w:val="20"/>
              </w:rPr>
              <w:t>20</w:t>
            </w:r>
            <w:r w:rsidR="001C7349">
              <w:rPr>
                <w:b/>
                <w:sz w:val="20"/>
                <w:szCs w:val="20"/>
              </w:rPr>
              <w:t>2</w:t>
            </w:r>
            <w:r w:rsidR="002474A1">
              <w:rPr>
                <w:b/>
                <w:sz w:val="20"/>
                <w:szCs w:val="20"/>
              </w:rPr>
              <w:t>1</w:t>
            </w:r>
            <w:r w:rsidR="00EF4DE1">
              <w:rPr>
                <w:b/>
                <w:sz w:val="20"/>
                <w:szCs w:val="20"/>
              </w:rPr>
              <w:t>-2</w:t>
            </w:r>
            <w:r w:rsidR="002474A1">
              <w:rPr>
                <w:b/>
                <w:sz w:val="20"/>
                <w:szCs w:val="20"/>
              </w:rPr>
              <w:t>2</w:t>
            </w:r>
          </w:p>
          <w:p w14:paraId="03E8763E" w14:textId="77777777" w:rsidR="008474EF" w:rsidRPr="008474EF" w:rsidRDefault="008474EF" w:rsidP="008474EF">
            <w:pPr>
              <w:jc w:val="right"/>
              <w:rPr>
                <w:b/>
                <w:sz w:val="20"/>
                <w:szCs w:val="20"/>
              </w:rPr>
            </w:pPr>
            <w:r w:rsidRPr="008474EF">
              <w:rPr>
                <w:b/>
                <w:sz w:val="20"/>
                <w:szCs w:val="20"/>
              </w:rPr>
              <w:t>£000</w:t>
            </w:r>
          </w:p>
        </w:tc>
        <w:tc>
          <w:tcPr>
            <w:tcW w:w="1813" w:type="dxa"/>
          </w:tcPr>
          <w:p w14:paraId="080CDF00" w14:textId="79B9006A" w:rsidR="008474EF" w:rsidRDefault="00EF4DE1" w:rsidP="008474EF">
            <w:pPr>
              <w:jc w:val="right"/>
              <w:rPr>
                <w:b/>
                <w:sz w:val="20"/>
                <w:szCs w:val="20"/>
              </w:rPr>
            </w:pPr>
            <w:r>
              <w:rPr>
                <w:b/>
                <w:sz w:val="20"/>
                <w:szCs w:val="20"/>
              </w:rPr>
              <w:t>20</w:t>
            </w:r>
            <w:r w:rsidR="002474A1">
              <w:rPr>
                <w:b/>
                <w:sz w:val="20"/>
                <w:szCs w:val="20"/>
              </w:rPr>
              <w:t>20</w:t>
            </w:r>
            <w:r>
              <w:rPr>
                <w:b/>
                <w:sz w:val="20"/>
                <w:szCs w:val="20"/>
              </w:rPr>
              <w:t>-</w:t>
            </w:r>
            <w:r w:rsidR="001C7349">
              <w:rPr>
                <w:b/>
                <w:sz w:val="20"/>
                <w:szCs w:val="20"/>
              </w:rPr>
              <w:t>2</w:t>
            </w:r>
            <w:r w:rsidR="002474A1">
              <w:rPr>
                <w:b/>
                <w:sz w:val="20"/>
                <w:szCs w:val="20"/>
              </w:rPr>
              <w:t>1</w:t>
            </w:r>
            <w:r w:rsidR="008474EF" w:rsidRPr="008474EF">
              <w:rPr>
                <w:b/>
                <w:sz w:val="20"/>
                <w:szCs w:val="20"/>
              </w:rPr>
              <w:t xml:space="preserve"> </w:t>
            </w:r>
          </w:p>
          <w:p w14:paraId="70D3B87F" w14:textId="77777777" w:rsidR="008474EF" w:rsidRPr="008474EF" w:rsidRDefault="008474EF" w:rsidP="008474EF">
            <w:pPr>
              <w:jc w:val="right"/>
              <w:rPr>
                <w:b/>
                <w:sz w:val="20"/>
                <w:szCs w:val="20"/>
              </w:rPr>
            </w:pPr>
            <w:r w:rsidRPr="008474EF">
              <w:rPr>
                <w:b/>
                <w:sz w:val="20"/>
                <w:szCs w:val="20"/>
              </w:rPr>
              <w:t>£000</w:t>
            </w:r>
          </w:p>
          <w:p w14:paraId="0559D481" w14:textId="77777777" w:rsidR="008474EF" w:rsidRPr="008474EF" w:rsidRDefault="008474EF" w:rsidP="008474EF">
            <w:pPr>
              <w:jc w:val="right"/>
              <w:rPr>
                <w:b/>
                <w:sz w:val="20"/>
                <w:szCs w:val="20"/>
              </w:rPr>
            </w:pPr>
          </w:p>
        </w:tc>
      </w:tr>
      <w:tr w:rsidR="00BE1714" w14:paraId="487553B8" w14:textId="77777777" w:rsidTr="008474EF">
        <w:tc>
          <w:tcPr>
            <w:tcW w:w="1812" w:type="dxa"/>
          </w:tcPr>
          <w:p w14:paraId="687C7154" w14:textId="77777777" w:rsidR="00BE1714" w:rsidRPr="008474EF" w:rsidRDefault="00BE1714" w:rsidP="00BE1714">
            <w:pPr>
              <w:rPr>
                <w:sz w:val="20"/>
                <w:szCs w:val="20"/>
              </w:rPr>
            </w:pPr>
            <w:r w:rsidRPr="008474EF">
              <w:rPr>
                <w:sz w:val="20"/>
                <w:szCs w:val="20"/>
              </w:rPr>
              <w:t>Expenditure</w:t>
            </w:r>
          </w:p>
        </w:tc>
        <w:tc>
          <w:tcPr>
            <w:tcW w:w="1812" w:type="dxa"/>
          </w:tcPr>
          <w:p w14:paraId="09147F28" w14:textId="29E98956" w:rsidR="00BE1714" w:rsidRPr="005C2E30" w:rsidRDefault="00F643C2" w:rsidP="00BE1714">
            <w:pPr>
              <w:jc w:val="right"/>
              <w:rPr>
                <w:sz w:val="20"/>
                <w:szCs w:val="20"/>
              </w:rPr>
            </w:pPr>
            <w:r>
              <w:rPr>
                <w:sz w:val="20"/>
                <w:szCs w:val="20"/>
              </w:rPr>
              <w:t>2,</w:t>
            </w:r>
            <w:r w:rsidR="002474A1">
              <w:rPr>
                <w:sz w:val="20"/>
                <w:szCs w:val="20"/>
              </w:rPr>
              <w:t>734</w:t>
            </w:r>
          </w:p>
        </w:tc>
        <w:tc>
          <w:tcPr>
            <w:tcW w:w="1812" w:type="dxa"/>
          </w:tcPr>
          <w:p w14:paraId="725EDAA0" w14:textId="2949B8D4" w:rsidR="00BE1714" w:rsidRPr="008474EF" w:rsidRDefault="001C7349" w:rsidP="00BE1714">
            <w:pPr>
              <w:jc w:val="right"/>
              <w:rPr>
                <w:sz w:val="20"/>
                <w:szCs w:val="20"/>
              </w:rPr>
            </w:pPr>
            <w:r>
              <w:rPr>
                <w:sz w:val="20"/>
                <w:szCs w:val="20"/>
              </w:rPr>
              <w:t>2,</w:t>
            </w:r>
            <w:r w:rsidR="002474A1">
              <w:rPr>
                <w:sz w:val="20"/>
                <w:szCs w:val="20"/>
              </w:rPr>
              <w:t>480</w:t>
            </w:r>
          </w:p>
        </w:tc>
        <w:tc>
          <w:tcPr>
            <w:tcW w:w="1812" w:type="dxa"/>
          </w:tcPr>
          <w:p w14:paraId="3BF615B3" w14:textId="47D90296" w:rsidR="00BE1714" w:rsidRPr="008474EF" w:rsidRDefault="002474A1" w:rsidP="00BE1714">
            <w:pPr>
              <w:jc w:val="right"/>
              <w:rPr>
                <w:sz w:val="20"/>
                <w:szCs w:val="20"/>
              </w:rPr>
            </w:pPr>
            <w:r>
              <w:rPr>
                <w:sz w:val="20"/>
                <w:szCs w:val="20"/>
              </w:rPr>
              <w:t>2,333</w:t>
            </w:r>
          </w:p>
        </w:tc>
        <w:tc>
          <w:tcPr>
            <w:tcW w:w="1813" w:type="dxa"/>
          </w:tcPr>
          <w:p w14:paraId="6AAB4B51" w14:textId="08401159" w:rsidR="00BE1714" w:rsidRPr="008474EF" w:rsidRDefault="00EF4DE1" w:rsidP="00BE1714">
            <w:pPr>
              <w:jc w:val="right"/>
              <w:rPr>
                <w:sz w:val="20"/>
                <w:szCs w:val="20"/>
              </w:rPr>
            </w:pPr>
            <w:r>
              <w:rPr>
                <w:sz w:val="20"/>
                <w:szCs w:val="20"/>
              </w:rPr>
              <w:t>1</w:t>
            </w:r>
            <w:r w:rsidR="001C7349">
              <w:rPr>
                <w:sz w:val="20"/>
                <w:szCs w:val="20"/>
              </w:rPr>
              <w:t>,</w:t>
            </w:r>
            <w:r w:rsidR="002474A1">
              <w:rPr>
                <w:sz w:val="20"/>
                <w:szCs w:val="20"/>
              </w:rPr>
              <w:t>636</w:t>
            </w:r>
          </w:p>
        </w:tc>
      </w:tr>
      <w:tr w:rsidR="00BE1714" w14:paraId="7BF01B3A" w14:textId="77777777" w:rsidTr="008474EF">
        <w:tc>
          <w:tcPr>
            <w:tcW w:w="1812" w:type="dxa"/>
          </w:tcPr>
          <w:p w14:paraId="581985E5" w14:textId="77777777" w:rsidR="00BE1714" w:rsidRPr="008474EF" w:rsidRDefault="00BE1714" w:rsidP="00BE1714">
            <w:pPr>
              <w:rPr>
                <w:sz w:val="20"/>
                <w:szCs w:val="20"/>
              </w:rPr>
            </w:pPr>
            <w:r w:rsidRPr="008474EF">
              <w:rPr>
                <w:sz w:val="20"/>
                <w:szCs w:val="20"/>
              </w:rPr>
              <w:t>Income</w:t>
            </w:r>
          </w:p>
        </w:tc>
        <w:tc>
          <w:tcPr>
            <w:tcW w:w="1812" w:type="dxa"/>
          </w:tcPr>
          <w:p w14:paraId="66328A0A" w14:textId="5C550800" w:rsidR="00BE1714" w:rsidRPr="008474EF" w:rsidRDefault="002B1B93" w:rsidP="00737D30">
            <w:pPr>
              <w:jc w:val="right"/>
              <w:rPr>
                <w:sz w:val="20"/>
                <w:szCs w:val="20"/>
                <w:u w:val="single"/>
              </w:rPr>
            </w:pPr>
            <w:r>
              <w:rPr>
                <w:sz w:val="20"/>
                <w:szCs w:val="20"/>
                <w:u w:val="single"/>
              </w:rPr>
              <w:t xml:space="preserve">    </w:t>
            </w:r>
            <w:r w:rsidR="00AD5952">
              <w:rPr>
                <w:sz w:val="20"/>
                <w:szCs w:val="20"/>
                <w:u w:val="single"/>
              </w:rPr>
              <w:t>(</w:t>
            </w:r>
            <w:r w:rsidR="002474A1">
              <w:rPr>
                <w:sz w:val="20"/>
                <w:szCs w:val="20"/>
                <w:u w:val="single"/>
              </w:rPr>
              <w:t>11)</w:t>
            </w:r>
          </w:p>
        </w:tc>
        <w:tc>
          <w:tcPr>
            <w:tcW w:w="1812" w:type="dxa"/>
          </w:tcPr>
          <w:p w14:paraId="3BE69865" w14:textId="126E9853" w:rsidR="00BE1714" w:rsidRPr="008474EF" w:rsidRDefault="001C06AC" w:rsidP="00EF4DE1">
            <w:pPr>
              <w:jc w:val="right"/>
              <w:rPr>
                <w:sz w:val="20"/>
                <w:szCs w:val="20"/>
                <w:u w:val="single"/>
              </w:rPr>
            </w:pPr>
            <w:r>
              <w:rPr>
                <w:sz w:val="20"/>
                <w:szCs w:val="20"/>
                <w:u w:val="single"/>
              </w:rPr>
              <w:t>__</w:t>
            </w:r>
            <w:proofErr w:type="gramStart"/>
            <w:r>
              <w:rPr>
                <w:sz w:val="20"/>
                <w:szCs w:val="20"/>
                <w:u w:val="single"/>
              </w:rPr>
              <w:t>_</w:t>
            </w:r>
            <w:r w:rsidR="002474A1">
              <w:rPr>
                <w:sz w:val="20"/>
                <w:szCs w:val="20"/>
                <w:u w:val="single"/>
              </w:rPr>
              <w:t>(</w:t>
            </w:r>
            <w:proofErr w:type="gramEnd"/>
            <w:r w:rsidR="002474A1">
              <w:rPr>
                <w:sz w:val="20"/>
                <w:szCs w:val="20"/>
                <w:u w:val="single"/>
              </w:rPr>
              <w:t>8)</w:t>
            </w:r>
          </w:p>
        </w:tc>
        <w:tc>
          <w:tcPr>
            <w:tcW w:w="1812" w:type="dxa"/>
          </w:tcPr>
          <w:p w14:paraId="187130B6" w14:textId="308E485A" w:rsidR="00BE1714" w:rsidRPr="008474EF" w:rsidRDefault="001C06AC" w:rsidP="00BE1714">
            <w:pPr>
              <w:jc w:val="right"/>
              <w:rPr>
                <w:sz w:val="20"/>
                <w:szCs w:val="20"/>
              </w:rPr>
            </w:pPr>
            <w:r>
              <w:rPr>
                <w:sz w:val="20"/>
                <w:szCs w:val="20"/>
                <w:u w:val="single"/>
              </w:rPr>
              <w:t>_</w:t>
            </w:r>
            <w:proofErr w:type="gramStart"/>
            <w:r>
              <w:rPr>
                <w:sz w:val="20"/>
                <w:szCs w:val="20"/>
                <w:u w:val="single"/>
              </w:rPr>
              <w:t>_</w:t>
            </w:r>
            <w:r w:rsidR="001C7349">
              <w:rPr>
                <w:sz w:val="20"/>
                <w:szCs w:val="20"/>
                <w:u w:val="single"/>
              </w:rPr>
              <w:t xml:space="preserve">  0</w:t>
            </w:r>
            <w:proofErr w:type="gramEnd"/>
          </w:p>
        </w:tc>
        <w:tc>
          <w:tcPr>
            <w:tcW w:w="1813" w:type="dxa"/>
          </w:tcPr>
          <w:p w14:paraId="49667DAC" w14:textId="5CE0E545" w:rsidR="00BE1714" w:rsidRPr="008474EF" w:rsidRDefault="00BE1714" w:rsidP="00BE1714">
            <w:pPr>
              <w:jc w:val="right"/>
              <w:rPr>
                <w:sz w:val="20"/>
                <w:szCs w:val="20"/>
                <w:u w:val="single"/>
              </w:rPr>
            </w:pPr>
            <w:r w:rsidRPr="008474EF">
              <w:rPr>
                <w:sz w:val="20"/>
                <w:szCs w:val="20"/>
              </w:rPr>
              <w:softHyphen/>
            </w:r>
            <w:r w:rsidRPr="008474EF">
              <w:rPr>
                <w:sz w:val="20"/>
                <w:szCs w:val="20"/>
              </w:rPr>
              <w:softHyphen/>
            </w:r>
            <w:r w:rsidR="001C06AC">
              <w:rPr>
                <w:sz w:val="20"/>
                <w:szCs w:val="20"/>
                <w:u w:val="single"/>
              </w:rPr>
              <w:t>___</w:t>
            </w:r>
            <w:r w:rsidR="002474A1">
              <w:rPr>
                <w:sz w:val="20"/>
                <w:szCs w:val="20"/>
                <w:u w:val="single"/>
              </w:rPr>
              <w:t>0</w:t>
            </w:r>
          </w:p>
        </w:tc>
      </w:tr>
      <w:tr w:rsidR="00BE1714" w14:paraId="4ABE7E2E" w14:textId="77777777" w:rsidTr="008474EF">
        <w:tc>
          <w:tcPr>
            <w:tcW w:w="1812" w:type="dxa"/>
          </w:tcPr>
          <w:p w14:paraId="455187EA" w14:textId="77777777" w:rsidR="00BE1714" w:rsidRPr="008474EF" w:rsidRDefault="00BE1714" w:rsidP="00BE1714">
            <w:pPr>
              <w:rPr>
                <w:sz w:val="20"/>
                <w:szCs w:val="20"/>
              </w:rPr>
            </w:pPr>
          </w:p>
          <w:p w14:paraId="63D801FC" w14:textId="7D8EF9FF" w:rsidR="00BE1714" w:rsidRPr="008474EF" w:rsidRDefault="00BE1714" w:rsidP="00BE1714">
            <w:pPr>
              <w:rPr>
                <w:sz w:val="20"/>
                <w:szCs w:val="20"/>
              </w:rPr>
            </w:pPr>
            <w:r w:rsidRPr="008474EF">
              <w:rPr>
                <w:sz w:val="20"/>
                <w:szCs w:val="20"/>
              </w:rPr>
              <w:t xml:space="preserve">Net </w:t>
            </w:r>
            <w:r w:rsidR="00D80963">
              <w:rPr>
                <w:sz w:val="20"/>
                <w:szCs w:val="20"/>
              </w:rPr>
              <w:t xml:space="preserve">Operating </w:t>
            </w:r>
            <w:r w:rsidRPr="008474EF">
              <w:rPr>
                <w:sz w:val="20"/>
                <w:szCs w:val="20"/>
              </w:rPr>
              <w:t>Expenditure</w:t>
            </w:r>
          </w:p>
        </w:tc>
        <w:tc>
          <w:tcPr>
            <w:tcW w:w="1812" w:type="dxa"/>
          </w:tcPr>
          <w:p w14:paraId="70D1028D" w14:textId="77777777" w:rsidR="005D69D1" w:rsidRDefault="005D69D1" w:rsidP="005D69D1">
            <w:pPr>
              <w:jc w:val="right"/>
              <w:rPr>
                <w:sz w:val="20"/>
                <w:szCs w:val="20"/>
              </w:rPr>
            </w:pPr>
          </w:p>
          <w:p w14:paraId="1D5BCB8B" w14:textId="77777777" w:rsidR="002B1B93" w:rsidRDefault="002B1B93" w:rsidP="005D69D1">
            <w:pPr>
              <w:jc w:val="right"/>
              <w:rPr>
                <w:sz w:val="20"/>
                <w:szCs w:val="20"/>
              </w:rPr>
            </w:pPr>
          </w:p>
          <w:p w14:paraId="659C51C2" w14:textId="25019EAC" w:rsidR="002B1B93" w:rsidRPr="008474EF" w:rsidRDefault="00F643C2" w:rsidP="005D69D1">
            <w:pPr>
              <w:jc w:val="right"/>
              <w:rPr>
                <w:sz w:val="20"/>
                <w:szCs w:val="20"/>
              </w:rPr>
            </w:pPr>
            <w:r>
              <w:rPr>
                <w:sz w:val="20"/>
                <w:szCs w:val="20"/>
              </w:rPr>
              <w:t>2,</w:t>
            </w:r>
            <w:r w:rsidR="002474A1">
              <w:rPr>
                <w:sz w:val="20"/>
                <w:szCs w:val="20"/>
              </w:rPr>
              <w:t>723</w:t>
            </w:r>
          </w:p>
        </w:tc>
        <w:tc>
          <w:tcPr>
            <w:tcW w:w="1812" w:type="dxa"/>
          </w:tcPr>
          <w:p w14:paraId="38F97D82" w14:textId="77777777" w:rsidR="00BE1714" w:rsidRDefault="00BE1714" w:rsidP="00BE1714">
            <w:pPr>
              <w:jc w:val="right"/>
              <w:rPr>
                <w:sz w:val="20"/>
                <w:szCs w:val="20"/>
                <w:u w:val="single"/>
              </w:rPr>
            </w:pPr>
          </w:p>
          <w:p w14:paraId="5650ABA2" w14:textId="77777777" w:rsidR="00BE1714" w:rsidRPr="008474EF" w:rsidRDefault="00BE1714" w:rsidP="00BE1714">
            <w:pPr>
              <w:jc w:val="right"/>
              <w:rPr>
                <w:sz w:val="20"/>
                <w:szCs w:val="20"/>
                <w:u w:val="single"/>
              </w:rPr>
            </w:pPr>
          </w:p>
          <w:p w14:paraId="6FD543A9" w14:textId="733D5BE5" w:rsidR="00BE1714" w:rsidRDefault="001C7349" w:rsidP="00BE1714">
            <w:pPr>
              <w:jc w:val="right"/>
              <w:rPr>
                <w:sz w:val="20"/>
                <w:szCs w:val="20"/>
              </w:rPr>
            </w:pPr>
            <w:r>
              <w:rPr>
                <w:sz w:val="20"/>
                <w:szCs w:val="20"/>
              </w:rPr>
              <w:t>2,</w:t>
            </w:r>
            <w:r w:rsidR="002474A1">
              <w:rPr>
                <w:sz w:val="20"/>
                <w:szCs w:val="20"/>
              </w:rPr>
              <w:t>472</w:t>
            </w:r>
          </w:p>
          <w:p w14:paraId="6391941E" w14:textId="77777777" w:rsidR="005D69D1" w:rsidRPr="008474EF" w:rsidRDefault="005D69D1" w:rsidP="00BE1714">
            <w:pPr>
              <w:jc w:val="right"/>
              <w:rPr>
                <w:sz w:val="20"/>
                <w:szCs w:val="20"/>
              </w:rPr>
            </w:pPr>
          </w:p>
        </w:tc>
        <w:tc>
          <w:tcPr>
            <w:tcW w:w="1812" w:type="dxa"/>
          </w:tcPr>
          <w:p w14:paraId="62EC2820" w14:textId="77777777" w:rsidR="00BE1714" w:rsidRPr="008474EF" w:rsidRDefault="00BE1714" w:rsidP="00BE1714">
            <w:pPr>
              <w:jc w:val="right"/>
              <w:rPr>
                <w:sz w:val="20"/>
                <w:szCs w:val="20"/>
                <w:u w:val="single"/>
              </w:rPr>
            </w:pPr>
          </w:p>
          <w:p w14:paraId="18CC3CAD" w14:textId="77777777" w:rsidR="00BE1714" w:rsidRPr="008474EF" w:rsidRDefault="00BE1714" w:rsidP="00BE1714">
            <w:pPr>
              <w:jc w:val="right"/>
              <w:rPr>
                <w:sz w:val="20"/>
                <w:szCs w:val="20"/>
                <w:u w:val="single"/>
              </w:rPr>
            </w:pPr>
          </w:p>
          <w:p w14:paraId="6E4085A6" w14:textId="615862DE" w:rsidR="00BE1714" w:rsidRPr="008474EF" w:rsidRDefault="002474A1" w:rsidP="00BE1714">
            <w:pPr>
              <w:jc w:val="right"/>
              <w:rPr>
                <w:sz w:val="20"/>
                <w:szCs w:val="20"/>
              </w:rPr>
            </w:pPr>
            <w:r>
              <w:rPr>
                <w:sz w:val="20"/>
                <w:szCs w:val="20"/>
              </w:rPr>
              <w:t>2,333</w:t>
            </w:r>
          </w:p>
        </w:tc>
        <w:tc>
          <w:tcPr>
            <w:tcW w:w="1813" w:type="dxa"/>
          </w:tcPr>
          <w:p w14:paraId="3C54121D" w14:textId="77777777" w:rsidR="00BE1714" w:rsidRPr="008474EF" w:rsidRDefault="00BE1714" w:rsidP="00BE1714">
            <w:pPr>
              <w:jc w:val="right"/>
              <w:rPr>
                <w:sz w:val="20"/>
                <w:szCs w:val="20"/>
              </w:rPr>
            </w:pPr>
          </w:p>
          <w:p w14:paraId="0047B017" w14:textId="77777777" w:rsidR="00BE1714" w:rsidRPr="008474EF" w:rsidRDefault="00BE1714" w:rsidP="00BE1714">
            <w:pPr>
              <w:jc w:val="right"/>
              <w:rPr>
                <w:sz w:val="20"/>
                <w:szCs w:val="20"/>
              </w:rPr>
            </w:pPr>
          </w:p>
          <w:p w14:paraId="593B15C1" w14:textId="303EF1CD" w:rsidR="00BE1714" w:rsidRPr="008474EF" w:rsidRDefault="00EF4DE1" w:rsidP="00BE1714">
            <w:pPr>
              <w:jc w:val="right"/>
              <w:rPr>
                <w:sz w:val="20"/>
                <w:szCs w:val="20"/>
              </w:rPr>
            </w:pPr>
            <w:r>
              <w:rPr>
                <w:sz w:val="20"/>
                <w:szCs w:val="20"/>
              </w:rPr>
              <w:t>1,</w:t>
            </w:r>
            <w:r w:rsidR="002474A1">
              <w:rPr>
                <w:sz w:val="20"/>
                <w:szCs w:val="20"/>
              </w:rPr>
              <w:t>636</w:t>
            </w:r>
          </w:p>
        </w:tc>
      </w:tr>
    </w:tbl>
    <w:p w14:paraId="36CDA7BA" w14:textId="77777777" w:rsidR="001E24FD" w:rsidRDefault="00DD7949" w:rsidP="00DD7949">
      <w:pPr>
        <w:rPr>
          <w:noProof/>
          <w:lang w:eastAsia="en-GB"/>
        </w:rPr>
      </w:pPr>
      <w:r>
        <w:rPr>
          <w:noProof/>
          <w:lang w:eastAsia="en-GB"/>
        </w:rPr>
        <w:drawing>
          <wp:inline distT="0" distB="0" distL="0" distR="0" wp14:anchorId="3FFDA949" wp14:editId="01541B82">
            <wp:extent cx="2057399" cy="1182188"/>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4">
                      <a:extLst>
                        <a:ext uri="{28A0092B-C50C-407E-A947-70E740481C1C}">
                          <a14:useLocalDpi xmlns:a14="http://schemas.microsoft.com/office/drawing/2010/main" val="0"/>
                        </a:ext>
                      </a:extLst>
                    </a:blip>
                    <a:stretch>
                      <a:fillRect/>
                    </a:stretch>
                  </pic:blipFill>
                  <pic:spPr>
                    <a:xfrm>
                      <a:off x="0" y="0"/>
                      <a:ext cx="2057399" cy="1182188"/>
                    </a:xfrm>
                    <a:prstGeom prst="rect">
                      <a:avLst/>
                    </a:prstGeom>
                  </pic:spPr>
                </pic:pic>
              </a:graphicData>
            </a:graphic>
          </wp:inline>
        </w:drawing>
      </w:r>
    </w:p>
    <w:p w14:paraId="0AA8683C" w14:textId="77777777" w:rsidR="00866B98" w:rsidRPr="00D80497" w:rsidRDefault="00866B98" w:rsidP="00866B98">
      <w:pPr>
        <w:widowControl w:val="0"/>
        <w:autoSpaceDE w:val="0"/>
        <w:autoSpaceDN w:val="0"/>
        <w:adjustRightInd w:val="0"/>
        <w:rPr>
          <w:b/>
        </w:rPr>
      </w:pPr>
      <w:r>
        <w:rPr>
          <w:b/>
        </w:rPr>
        <w:t>Dr David Russell</w:t>
      </w:r>
    </w:p>
    <w:p w14:paraId="79B37B38" w14:textId="77777777" w:rsidR="00866B98" w:rsidRPr="00D80497" w:rsidRDefault="00866B98" w:rsidP="00866B98">
      <w:pPr>
        <w:widowControl w:val="0"/>
        <w:autoSpaceDE w:val="0"/>
        <w:autoSpaceDN w:val="0"/>
        <w:adjustRightInd w:val="0"/>
        <w:rPr>
          <w:b/>
        </w:rPr>
      </w:pPr>
      <w:r w:rsidRPr="00D80497">
        <w:rPr>
          <w:b/>
        </w:rPr>
        <w:t>Accounting Officer</w:t>
      </w:r>
    </w:p>
    <w:p w14:paraId="758B00BC" w14:textId="77777777" w:rsidR="00866B98" w:rsidRPr="00D80497" w:rsidRDefault="00866B98" w:rsidP="00866B98">
      <w:pPr>
        <w:widowControl w:val="0"/>
        <w:tabs>
          <w:tab w:val="left" w:pos="2802"/>
        </w:tabs>
        <w:autoSpaceDE w:val="0"/>
        <w:autoSpaceDN w:val="0"/>
        <w:adjustRightInd w:val="0"/>
      </w:pPr>
    </w:p>
    <w:p w14:paraId="70A833FD" w14:textId="1093A841" w:rsidR="00866B98" w:rsidRDefault="00866B98" w:rsidP="00866B98">
      <w:pPr>
        <w:widowControl w:val="0"/>
        <w:tabs>
          <w:tab w:val="left" w:pos="851"/>
        </w:tabs>
        <w:autoSpaceDE w:val="0"/>
        <w:autoSpaceDN w:val="0"/>
        <w:adjustRightInd w:val="0"/>
        <w:rPr>
          <w:b/>
        </w:rPr>
      </w:pPr>
      <w:r w:rsidRPr="00D80497">
        <w:rPr>
          <w:b/>
        </w:rPr>
        <w:t xml:space="preserve">Date: </w:t>
      </w:r>
      <w:r w:rsidR="00AE1FB0">
        <w:rPr>
          <w:b/>
        </w:rPr>
        <w:t>18 July</w:t>
      </w:r>
      <w:r w:rsidR="00953497">
        <w:rPr>
          <w:b/>
        </w:rPr>
        <w:t xml:space="preserve"> 20</w:t>
      </w:r>
      <w:r w:rsidR="005E6D62">
        <w:rPr>
          <w:b/>
        </w:rPr>
        <w:t>2</w:t>
      </w:r>
      <w:r w:rsidR="002474A1">
        <w:rPr>
          <w:b/>
        </w:rPr>
        <w:t>4</w:t>
      </w:r>
    </w:p>
    <w:p w14:paraId="6C8695E0" w14:textId="77777777" w:rsidR="00F04493" w:rsidRDefault="00F04493" w:rsidP="00866B98">
      <w:pPr>
        <w:widowControl w:val="0"/>
        <w:tabs>
          <w:tab w:val="left" w:pos="851"/>
        </w:tabs>
        <w:autoSpaceDE w:val="0"/>
        <w:autoSpaceDN w:val="0"/>
        <w:adjustRightInd w:val="0"/>
        <w:rPr>
          <w:b/>
        </w:rPr>
      </w:pPr>
    </w:p>
    <w:p w14:paraId="0C5F85D6" w14:textId="77777777" w:rsidR="00F04493" w:rsidRDefault="00F04493" w:rsidP="00866B98">
      <w:pPr>
        <w:widowControl w:val="0"/>
        <w:tabs>
          <w:tab w:val="left" w:pos="851"/>
        </w:tabs>
        <w:autoSpaceDE w:val="0"/>
        <w:autoSpaceDN w:val="0"/>
        <w:adjustRightInd w:val="0"/>
        <w:rPr>
          <w:b/>
        </w:rPr>
      </w:pPr>
    </w:p>
    <w:p w14:paraId="08944C67" w14:textId="77777777" w:rsidR="00F04493" w:rsidRDefault="00F04493" w:rsidP="00866B98">
      <w:pPr>
        <w:widowControl w:val="0"/>
        <w:tabs>
          <w:tab w:val="left" w:pos="851"/>
        </w:tabs>
        <w:autoSpaceDE w:val="0"/>
        <w:autoSpaceDN w:val="0"/>
        <w:adjustRightInd w:val="0"/>
        <w:rPr>
          <w:b/>
        </w:rPr>
      </w:pPr>
    </w:p>
    <w:p w14:paraId="31761B0B" w14:textId="77777777" w:rsidR="00F04493" w:rsidRDefault="00F04493" w:rsidP="00866B98">
      <w:pPr>
        <w:widowControl w:val="0"/>
        <w:tabs>
          <w:tab w:val="left" w:pos="851"/>
        </w:tabs>
        <w:autoSpaceDE w:val="0"/>
        <w:autoSpaceDN w:val="0"/>
        <w:adjustRightInd w:val="0"/>
        <w:rPr>
          <w:b/>
        </w:rPr>
      </w:pPr>
    </w:p>
    <w:p w14:paraId="39E7FF89" w14:textId="77777777" w:rsidR="00F04493" w:rsidRDefault="00F04493" w:rsidP="00866B98">
      <w:pPr>
        <w:widowControl w:val="0"/>
        <w:tabs>
          <w:tab w:val="left" w:pos="851"/>
        </w:tabs>
        <w:autoSpaceDE w:val="0"/>
        <w:autoSpaceDN w:val="0"/>
        <w:adjustRightInd w:val="0"/>
        <w:rPr>
          <w:b/>
        </w:rPr>
      </w:pPr>
    </w:p>
    <w:p w14:paraId="05727210" w14:textId="77777777" w:rsidR="00F04493" w:rsidRDefault="00F04493" w:rsidP="00866B98">
      <w:pPr>
        <w:widowControl w:val="0"/>
        <w:tabs>
          <w:tab w:val="left" w:pos="851"/>
        </w:tabs>
        <w:autoSpaceDE w:val="0"/>
        <w:autoSpaceDN w:val="0"/>
        <w:adjustRightInd w:val="0"/>
        <w:rPr>
          <w:b/>
        </w:rPr>
      </w:pPr>
    </w:p>
    <w:p w14:paraId="44778985" w14:textId="77777777" w:rsidR="00F04493" w:rsidRDefault="00F04493" w:rsidP="00866B98">
      <w:pPr>
        <w:widowControl w:val="0"/>
        <w:tabs>
          <w:tab w:val="left" w:pos="851"/>
        </w:tabs>
        <w:autoSpaceDE w:val="0"/>
        <w:autoSpaceDN w:val="0"/>
        <w:adjustRightInd w:val="0"/>
        <w:rPr>
          <w:b/>
        </w:rPr>
      </w:pPr>
    </w:p>
    <w:p w14:paraId="77665135" w14:textId="77777777" w:rsidR="00F04493" w:rsidRDefault="00F04493" w:rsidP="00866B98">
      <w:pPr>
        <w:widowControl w:val="0"/>
        <w:tabs>
          <w:tab w:val="left" w:pos="851"/>
        </w:tabs>
        <w:autoSpaceDE w:val="0"/>
        <w:autoSpaceDN w:val="0"/>
        <w:adjustRightInd w:val="0"/>
        <w:rPr>
          <w:b/>
        </w:rPr>
      </w:pPr>
    </w:p>
    <w:p w14:paraId="13A31B1D" w14:textId="77777777" w:rsidR="00F04493" w:rsidRDefault="00F04493" w:rsidP="00866B98">
      <w:pPr>
        <w:widowControl w:val="0"/>
        <w:tabs>
          <w:tab w:val="left" w:pos="851"/>
        </w:tabs>
        <w:autoSpaceDE w:val="0"/>
        <w:autoSpaceDN w:val="0"/>
        <w:adjustRightInd w:val="0"/>
        <w:rPr>
          <w:b/>
        </w:rPr>
      </w:pPr>
    </w:p>
    <w:p w14:paraId="6FEECE44" w14:textId="77777777" w:rsidR="00F04493" w:rsidRDefault="00F04493" w:rsidP="00866B98">
      <w:pPr>
        <w:widowControl w:val="0"/>
        <w:tabs>
          <w:tab w:val="left" w:pos="851"/>
        </w:tabs>
        <w:autoSpaceDE w:val="0"/>
        <w:autoSpaceDN w:val="0"/>
        <w:adjustRightInd w:val="0"/>
        <w:rPr>
          <w:b/>
        </w:rPr>
      </w:pPr>
    </w:p>
    <w:p w14:paraId="797F4D9F" w14:textId="77777777" w:rsidR="00F04493" w:rsidRDefault="00F04493" w:rsidP="00866B98">
      <w:pPr>
        <w:widowControl w:val="0"/>
        <w:tabs>
          <w:tab w:val="left" w:pos="851"/>
        </w:tabs>
        <w:autoSpaceDE w:val="0"/>
        <w:autoSpaceDN w:val="0"/>
        <w:adjustRightInd w:val="0"/>
        <w:rPr>
          <w:b/>
        </w:rPr>
      </w:pPr>
    </w:p>
    <w:p w14:paraId="0C518E9E" w14:textId="77777777" w:rsidR="00F04493" w:rsidRDefault="00F04493" w:rsidP="00866B98">
      <w:pPr>
        <w:widowControl w:val="0"/>
        <w:tabs>
          <w:tab w:val="left" w:pos="851"/>
        </w:tabs>
        <w:autoSpaceDE w:val="0"/>
        <w:autoSpaceDN w:val="0"/>
        <w:adjustRightInd w:val="0"/>
        <w:rPr>
          <w:b/>
        </w:rPr>
      </w:pPr>
    </w:p>
    <w:p w14:paraId="26A89829" w14:textId="77777777" w:rsidR="00F04493" w:rsidRDefault="00F04493" w:rsidP="00866B98">
      <w:pPr>
        <w:widowControl w:val="0"/>
        <w:tabs>
          <w:tab w:val="left" w:pos="851"/>
        </w:tabs>
        <w:autoSpaceDE w:val="0"/>
        <w:autoSpaceDN w:val="0"/>
        <w:adjustRightInd w:val="0"/>
        <w:rPr>
          <w:b/>
        </w:rPr>
      </w:pPr>
    </w:p>
    <w:p w14:paraId="12C80F04" w14:textId="77777777" w:rsidR="00F04493" w:rsidRDefault="00F04493" w:rsidP="00866B98">
      <w:pPr>
        <w:widowControl w:val="0"/>
        <w:tabs>
          <w:tab w:val="left" w:pos="851"/>
        </w:tabs>
        <w:autoSpaceDE w:val="0"/>
        <w:autoSpaceDN w:val="0"/>
        <w:adjustRightInd w:val="0"/>
        <w:rPr>
          <w:b/>
        </w:rPr>
      </w:pPr>
    </w:p>
    <w:p w14:paraId="1AAB0159" w14:textId="77777777" w:rsidR="00F04493" w:rsidRDefault="00F04493" w:rsidP="00866B98">
      <w:pPr>
        <w:widowControl w:val="0"/>
        <w:tabs>
          <w:tab w:val="left" w:pos="851"/>
        </w:tabs>
        <w:autoSpaceDE w:val="0"/>
        <w:autoSpaceDN w:val="0"/>
        <w:adjustRightInd w:val="0"/>
        <w:rPr>
          <w:b/>
        </w:rPr>
      </w:pPr>
    </w:p>
    <w:p w14:paraId="6803E153" w14:textId="77777777" w:rsidR="00F04493" w:rsidRDefault="00F04493" w:rsidP="00866B98">
      <w:pPr>
        <w:widowControl w:val="0"/>
        <w:tabs>
          <w:tab w:val="left" w:pos="851"/>
        </w:tabs>
        <w:autoSpaceDE w:val="0"/>
        <w:autoSpaceDN w:val="0"/>
        <w:adjustRightInd w:val="0"/>
        <w:rPr>
          <w:b/>
        </w:rPr>
      </w:pPr>
    </w:p>
    <w:p w14:paraId="30C46851" w14:textId="77777777" w:rsidR="00F04493" w:rsidRDefault="00F04493" w:rsidP="00866B98">
      <w:pPr>
        <w:widowControl w:val="0"/>
        <w:tabs>
          <w:tab w:val="left" w:pos="851"/>
        </w:tabs>
        <w:autoSpaceDE w:val="0"/>
        <w:autoSpaceDN w:val="0"/>
        <w:adjustRightInd w:val="0"/>
        <w:rPr>
          <w:b/>
        </w:rPr>
      </w:pPr>
    </w:p>
    <w:p w14:paraId="0477C902" w14:textId="77777777" w:rsidR="00F04493" w:rsidRDefault="00F04493" w:rsidP="00866B98">
      <w:pPr>
        <w:widowControl w:val="0"/>
        <w:tabs>
          <w:tab w:val="left" w:pos="851"/>
        </w:tabs>
        <w:autoSpaceDE w:val="0"/>
        <w:autoSpaceDN w:val="0"/>
        <w:adjustRightInd w:val="0"/>
        <w:rPr>
          <w:b/>
        </w:rPr>
      </w:pPr>
    </w:p>
    <w:p w14:paraId="4EB5FCF4" w14:textId="77777777" w:rsidR="00F04493" w:rsidRDefault="00F04493" w:rsidP="00866B98">
      <w:pPr>
        <w:widowControl w:val="0"/>
        <w:tabs>
          <w:tab w:val="left" w:pos="851"/>
        </w:tabs>
        <w:autoSpaceDE w:val="0"/>
        <w:autoSpaceDN w:val="0"/>
        <w:adjustRightInd w:val="0"/>
        <w:rPr>
          <w:b/>
        </w:rPr>
      </w:pPr>
    </w:p>
    <w:p w14:paraId="39415805" w14:textId="77777777" w:rsidR="00F04493" w:rsidRDefault="00F04493" w:rsidP="00866B98">
      <w:pPr>
        <w:widowControl w:val="0"/>
        <w:tabs>
          <w:tab w:val="left" w:pos="851"/>
        </w:tabs>
        <w:autoSpaceDE w:val="0"/>
        <w:autoSpaceDN w:val="0"/>
        <w:adjustRightInd w:val="0"/>
        <w:rPr>
          <w:b/>
        </w:rPr>
      </w:pPr>
    </w:p>
    <w:p w14:paraId="1EE7D156" w14:textId="77777777" w:rsidR="00DC2DA5" w:rsidRPr="00DC2DA5" w:rsidRDefault="00DC2DA5" w:rsidP="00827D54">
      <w:pPr>
        <w:pStyle w:val="Heading1"/>
        <w:rPr>
          <w:rFonts w:ascii="Verdana" w:hAnsi="Verdana"/>
          <w:b w:val="0"/>
          <w:bCs w:val="0"/>
          <w:color w:val="auto"/>
        </w:rPr>
      </w:pPr>
      <w:bookmarkStart w:id="30" w:name="CertificateandReportofComp"/>
      <w:r w:rsidRPr="00DC2DA5">
        <w:rPr>
          <w:rFonts w:ascii="Verdana" w:hAnsi="Verdana"/>
          <w:color w:val="auto"/>
        </w:rPr>
        <w:t>THE CERTIFICATE AND REPORT OF THE COMPTROLLER AND AUDITOR GENERAL TO THE HOUSES OF PARLIAMENT</w:t>
      </w:r>
    </w:p>
    <w:bookmarkEnd w:id="30"/>
    <w:p w14:paraId="10F062F1" w14:textId="07C66712" w:rsidR="00DC2DA5" w:rsidRPr="00CE4F1A" w:rsidRDefault="00DC2DA5" w:rsidP="00827D54">
      <w:pPr>
        <w:pStyle w:val="Heading2"/>
        <w:spacing w:before="100" w:beforeAutospacing="1" w:after="100" w:afterAutospacing="1"/>
        <w:rPr>
          <w:rFonts w:ascii="Verdana" w:hAnsi="Verdana"/>
          <w:color w:val="auto"/>
          <w:sz w:val="24"/>
          <w:szCs w:val="24"/>
        </w:rPr>
      </w:pPr>
      <w:r w:rsidRPr="00CE4F1A">
        <w:rPr>
          <w:rStyle w:val="SubtleEmphasis"/>
          <w:rFonts w:ascii="Verdana" w:hAnsi="Verdana"/>
          <w:color w:val="auto"/>
          <w:sz w:val="24"/>
          <w:szCs w:val="24"/>
        </w:rPr>
        <w:t xml:space="preserve">Opinion on financial statements </w:t>
      </w:r>
    </w:p>
    <w:p w14:paraId="71107FA1" w14:textId="63246BAC" w:rsidR="00DC2DA5" w:rsidRPr="00DC2DA5" w:rsidRDefault="00DC2DA5" w:rsidP="00827D54">
      <w:pPr>
        <w:spacing w:before="100" w:beforeAutospacing="1" w:after="100" w:afterAutospacing="1"/>
      </w:pPr>
      <w:r w:rsidRPr="00DC2DA5">
        <w:t>I have audited the financial statements of the Northern Ireland Human Rights Commission for the year ended 31 March 202</w:t>
      </w:r>
      <w:r w:rsidR="002552F7">
        <w:t>4</w:t>
      </w:r>
      <w:r w:rsidRPr="00DC2DA5">
        <w:t xml:space="preserve"> under the Northern Ireland Act 1998.</w:t>
      </w:r>
    </w:p>
    <w:p w14:paraId="20FD39A7" w14:textId="77777777" w:rsidR="00DC2DA5" w:rsidRPr="00DC2DA5" w:rsidRDefault="00DC2DA5" w:rsidP="00827D54">
      <w:pPr>
        <w:spacing w:before="100" w:beforeAutospacing="1" w:after="100" w:afterAutospacing="1"/>
      </w:pPr>
      <w:r w:rsidRPr="00DC2DA5">
        <w:t>The financial statements comprise the Northern Ireland Human Rights Commission’s</w:t>
      </w:r>
    </w:p>
    <w:p w14:paraId="2D998061" w14:textId="43A382E2" w:rsidR="00DC2DA5" w:rsidRPr="00DC2DA5" w:rsidRDefault="00DC2DA5" w:rsidP="00827D54">
      <w:pPr>
        <w:pStyle w:val="BodyText"/>
        <w:numPr>
          <w:ilvl w:val="0"/>
          <w:numId w:val="20"/>
        </w:numPr>
        <w:spacing w:before="100" w:beforeAutospacing="1" w:after="100" w:afterAutospacing="1"/>
      </w:pPr>
      <w:r w:rsidRPr="00DC2DA5">
        <w:t xml:space="preserve">Statement of Financial Position as </w:t>
      </w:r>
      <w:proofErr w:type="gramStart"/>
      <w:r w:rsidRPr="00DC2DA5">
        <w:t>at</w:t>
      </w:r>
      <w:proofErr w:type="gramEnd"/>
      <w:r w:rsidRPr="00DC2DA5">
        <w:t xml:space="preserve"> 31 March 202</w:t>
      </w:r>
      <w:r w:rsidR="002552F7">
        <w:t>4</w:t>
      </w:r>
      <w:r w:rsidRPr="00DC2DA5">
        <w:t xml:space="preserve">;  </w:t>
      </w:r>
    </w:p>
    <w:p w14:paraId="74DED25E" w14:textId="77777777" w:rsidR="00DC2DA5" w:rsidRPr="00DC2DA5" w:rsidRDefault="00DC2DA5" w:rsidP="00827D54">
      <w:pPr>
        <w:pStyle w:val="BodyText"/>
        <w:numPr>
          <w:ilvl w:val="0"/>
          <w:numId w:val="20"/>
        </w:numPr>
        <w:spacing w:before="100" w:beforeAutospacing="1" w:after="100" w:afterAutospacing="1"/>
      </w:pPr>
      <w:r w:rsidRPr="00DC2DA5">
        <w:t xml:space="preserve">Statement of Comprehensive Net Expenditure, Statement of Cash Flows and Statement of Changes in Taxpayers’ Equity for the year then ended; and </w:t>
      </w:r>
    </w:p>
    <w:p w14:paraId="233944C7" w14:textId="77777777" w:rsidR="00DC2DA5" w:rsidRPr="00DC2DA5" w:rsidRDefault="00DC2DA5" w:rsidP="00827D54">
      <w:pPr>
        <w:pStyle w:val="BodyText"/>
        <w:numPr>
          <w:ilvl w:val="0"/>
          <w:numId w:val="20"/>
        </w:numPr>
        <w:spacing w:before="100" w:beforeAutospacing="1" w:after="100" w:afterAutospacing="1"/>
      </w:pPr>
      <w:r w:rsidRPr="00DC2DA5">
        <w:t>the related notes including the significant accounting policies.</w:t>
      </w:r>
    </w:p>
    <w:p w14:paraId="67105E08" w14:textId="46879774" w:rsidR="00DC2DA5" w:rsidRPr="00DC2DA5" w:rsidRDefault="00DC2DA5" w:rsidP="00827D54">
      <w:pPr>
        <w:pStyle w:val="BodyText"/>
        <w:spacing w:before="100" w:beforeAutospacing="1" w:after="100" w:afterAutospacing="1"/>
      </w:pPr>
      <w:r w:rsidRPr="00DC2DA5">
        <w:t xml:space="preserve">The financial reporting framework that has been applied in the preparation of the financial statements is </w:t>
      </w:r>
      <w:r w:rsidRPr="00DC2DA5">
        <w:rPr>
          <w:rFonts w:cs="Arial"/>
        </w:rPr>
        <w:t>applicable law and UK adopted</w:t>
      </w:r>
      <w:r w:rsidRPr="00DC2DA5">
        <w:t xml:space="preserve"> International Accounting Standards.  </w:t>
      </w:r>
    </w:p>
    <w:p w14:paraId="79F44DA4" w14:textId="77777777" w:rsidR="00DC2DA5" w:rsidRPr="00DC2DA5" w:rsidRDefault="00DC2DA5" w:rsidP="00827D54">
      <w:pPr>
        <w:spacing w:before="100" w:beforeAutospacing="1" w:after="100" w:afterAutospacing="1"/>
      </w:pPr>
      <w:r w:rsidRPr="00DC2DA5">
        <w:t>In my opinion, the financial statements:</w:t>
      </w:r>
    </w:p>
    <w:p w14:paraId="2C538CA2" w14:textId="27789573" w:rsidR="00DC2DA5" w:rsidRPr="00DC2DA5" w:rsidRDefault="00DC2DA5" w:rsidP="00827D54">
      <w:pPr>
        <w:numPr>
          <w:ilvl w:val="0"/>
          <w:numId w:val="19"/>
        </w:numPr>
        <w:spacing w:before="100" w:beforeAutospacing="1" w:after="100" w:afterAutospacing="1"/>
      </w:pPr>
      <w:r w:rsidRPr="00DC2DA5">
        <w:t xml:space="preserve">give a true and fair view of the state of the Northern Ireland Human Rights Commission’s affairs as </w:t>
      </w:r>
      <w:proofErr w:type="gramStart"/>
      <w:r w:rsidRPr="00DC2DA5">
        <w:t>at</w:t>
      </w:r>
      <w:proofErr w:type="gramEnd"/>
      <w:r w:rsidRPr="00DC2DA5">
        <w:t xml:space="preserve"> 31 March 202</w:t>
      </w:r>
      <w:r w:rsidR="002552F7">
        <w:t>4</w:t>
      </w:r>
      <w:r w:rsidRPr="00DC2DA5">
        <w:t xml:space="preserve"> and its net</w:t>
      </w:r>
      <w:r w:rsidR="00BF7ED8">
        <w:t xml:space="preserve"> </w:t>
      </w:r>
      <w:r w:rsidR="000D5D96">
        <w:t xml:space="preserve">operating </w:t>
      </w:r>
      <w:r w:rsidRPr="00DC2DA5">
        <w:t>expenditure for the year then ended; and</w:t>
      </w:r>
    </w:p>
    <w:p w14:paraId="1C46E6AA" w14:textId="77777777" w:rsidR="00DC2DA5" w:rsidRPr="00DC2DA5" w:rsidRDefault="00DC2DA5" w:rsidP="00827D54">
      <w:pPr>
        <w:numPr>
          <w:ilvl w:val="0"/>
          <w:numId w:val="19"/>
        </w:numPr>
        <w:spacing w:before="100" w:beforeAutospacing="1" w:after="100" w:afterAutospacing="1"/>
      </w:pPr>
      <w:r w:rsidRPr="00DC2DA5">
        <w:t>have been properly prepared in accordance with the Northern Ireland Act 1998 and Secretary of State directions issued thereunder.</w:t>
      </w:r>
    </w:p>
    <w:p w14:paraId="4A5104FE" w14:textId="36818DDB" w:rsidR="00DC2DA5" w:rsidRPr="00CE4F1A" w:rsidRDefault="00DC2DA5" w:rsidP="00632319">
      <w:pPr>
        <w:pStyle w:val="Heading2"/>
        <w:spacing w:before="100" w:beforeAutospacing="1" w:after="100" w:afterAutospacing="1"/>
        <w:rPr>
          <w:rFonts w:ascii="Verdana" w:hAnsi="Verdana"/>
          <w:b w:val="0"/>
          <w:bCs w:val="0"/>
          <w:i w:val="0"/>
          <w:iCs w:val="0"/>
          <w:color w:val="auto"/>
          <w:sz w:val="24"/>
          <w:szCs w:val="24"/>
        </w:rPr>
      </w:pPr>
      <w:r w:rsidRPr="00CE4F1A">
        <w:rPr>
          <w:rFonts w:ascii="Verdana" w:hAnsi="Verdana"/>
          <w:i w:val="0"/>
          <w:iCs w:val="0"/>
          <w:color w:val="auto"/>
          <w:sz w:val="24"/>
          <w:szCs w:val="24"/>
        </w:rPr>
        <w:t>Opinion on regularity</w:t>
      </w:r>
    </w:p>
    <w:p w14:paraId="21395772" w14:textId="77777777" w:rsidR="00DC2DA5" w:rsidRPr="00DC2DA5" w:rsidRDefault="00DC2DA5" w:rsidP="00827D54">
      <w:pPr>
        <w:spacing w:before="100" w:beforeAutospacing="1" w:after="100" w:afterAutospacing="1"/>
      </w:pPr>
      <w:r w:rsidRPr="00DC2DA5">
        <w:t>In my opinion, in all material respects, the income and expenditure recorded in the financial statements have been applied to the purposes intended by Parliament and the financial transactions recorded in the financial statements conform to the authorities which govern them.</w:t>
      </w:r>
    </w:p>
    <w:p w14:paraId="38830A60" w14:textId="232BCF32" w:rsidR="00DC2DA5" w:rsidRPr="00CE4F1A" w:rsidRDefault="00DC2DA5" w:rsidP="00632319">
      <w:pPr>
        <w:pStyle w:val="Heading2"/>
        <w:spacing w:before="100" w:beforeAutospacing="1" w:after="100" w:afterAutospacing="1"/>
        <w:rPr>
          <w:rFonts w:ascii="Verdana" w:hAnsi="Verdana"/>
          <w:b w:val="0"/>
          <w:bCs w:val="0"/>
          <w:i w:val="0"/>
          <w:iCs w:val="0"/>
          <w:color w:val="auto"/>
          <w:sz w:val="24"/>
          <w:szCs w:val="24"/>
        </w:rPr>
      </w:pPr>
      <w:r w:rsidRPr="00CE4F1A">
        <w:rPr>
          <w:rFonts w:ascii="Verdana" w:hAnsi="Verdana"/>
          <w:i w:val="0"/>
          <w:iCs w:val="0"/>
          <w:color w:val="auto"/>
          <w:sz w:val="24"/>
          <w:szCs w:val="24"/>
        </w:rPr>
        <w:t>Basis for opinions</w:t>
      </w:r>
    </w:p>
    <w:p w14:paraId="1631D820" w14:textId="0091FA03" w:rsidR="00DC2DA5" w:rsidRPr="00DC2DA5" w:rsidRDefault="00DC2DA5" w:rsidP="00827D54">
      <w:pPr>
        <w:spacing w:before="100" w:beforeAutospacing="1" w:after="100" w:afterAutospacing="1"/>
      </w:pPr>
      <w:bookmarkStart w:id="31" w:name="_Hlk535919225"/>
      <w:r w:rsidRPr="00DC2DA5">
        <w:t xml:space="preserve">I conducted my audit in accordance with International Standards on Auditing (UK) (ISAs UK), applicable law and Practice Note 10 </w:t>
      </w:r>
      <w:r w:rsidRPr="00DC2DA5">
        <w:rPr>
          <w:i/>
          <w:iCs/>
        </w:rPr>
        <w:t xml:space="preserve">Audit of Financial Statements and </w:t>
      </w:r>
      <w:r w:rsidR="00EE402C">
        <w:rPr>
          <w:i/>
          <w:iCs/>
        </w:rPr>
        <w:t>R</w:t>
      </w:r>
      <w:r w:rsidRPr="00DC2DA5">
        <w:rPr>
          <w:i/>
          <w:iCs/>
        </w:rPr>
        <w:t xml:space="preserve">egularity of Public Sector </w:t>
      </w:r>
      <w:r w:rsidR="000345BC">
        <w:rPr>
          <w:i/>
          <w:iCs/>
        </w:rPr>
        <w:t>Bodies</w:t>
      </w:r>
      <w:r w:rsidRPr="00DC2DA5">
        <w:rPr>
          <w:i/>
          <w:iCs/>
        </w:rPr>
        <w:t xml:space="preserve"> in the United Kingdom</w:t>
      </w:r>
      <w:r w:rsidR="00CE4F1A">
        <w:rPr>
          <w:i/>
          <w:iCs/>
        </w:rPr>
        <w:t xml:space="preserve"> (2022)</w:t>
      </w:r>
      <w:r w:rsidRPr="00DC2DA5">
        <w:t xml:space="preserve">. My responsibilities under those standards are further described in the </w:t>
      </w:r>
      <w:r w:rsidRPr="00DC2DA5">
        <w:rPr>
          <w:i/>
          <w:iCs/>
        </w:rPr>
        <w:t>Auditor’s responsibilities for the audit of the financial statements</w:t>
      </w:r>
      <w:r w:rsidRPr="00DC2DA5">
        <w:t xml:space="preserve"> section of my </w:t>
      </w:r>
      <w:r w:rsidR="000345BC">
        <w:t>report</w:t>
      </w:r>
      <w:r w:rsidRPr="00DC2DA5">
        <w:t>.</w:t>
      </w:r>
    </w:p>
    <w:p w14:paraId="113CEF89" w14:textId="65178870" w:rsidR="00DC2DA5" w:rsidRPr="00DC2DA5" w:rsidRDefault="00DC2DA5" w:rsidP="00827D54">
      <w:pPr>
        <w:spacing w:before="100" w:beforeAutospacing="1" w:after="100" w:afterAutospacing="1"/>
      </w:pPr>
      <w:r w:rsidRPr="00DC2DA5">
        <w:t xml:space="preserve">Those standards require me and my staff to comply with the Financial Reporting Council’s </w:t>
      </w:r>
      <w:r w:rsidRPr="00DC2DA5">
        <w:rPr>
          <w:i/>
          <w:iCs/>
        </w:rPr>
        <w:t>Revised Ethical Standard 2019</w:t>
      </w:r>
      <w:r w:rsidRPr="00DC2DA5">
        <w:t xml:space="preserve">. I am independent of the Northern Ireland Human Rights Commission in accordance with the ethical requirements that are relevant to my audit of the financial statements in the UK. My staff and I have fulfilled our other ethical responsibilities in accordance with these requirements. </w:t>
      </w:r>
    </w:p>
    <w:p w14:paraId="69BE1F2D" w14:textId="77777777" w:rsidR="00DC2DA5" w:rsidRPr="00DC2DA5" w:rsidRDefault="00DC2DA5" w:rsidP="00827D54">
      <w:pPr>
        <w:spacing w:before="100" w:beforeAutospacing="1" w:after="100" w:afterAutospacing="1"/>
      </w:pPr>
      <w:r w:rsidRPr="00DC2DA5">
        <w:t>I believe that the audit evidence I have obtained is sufficient and appropriate to provide a basis for my opinion.</w:t>
      </w:r>
    </w:p>
    <w:p w14:paraId="62BCBAA0" w14:textId="62B87353" w:rsidR="00DC2DA5" w:rsidRPr="00CE4F1A" w:rsidRDefault="00DC2DA5" w:rsidP="00632319">
      <w:pPr>
        <w:pStyle w:val="Heading2"/>
        <w:spacing w:before="100" w:beforeAutospacing="1" w:after="100" w:afterAutospacing="1"/>
        <w:rPr>
          <w:rFonts w:ascii="Verdana" w:hAnsi="Verdana"/>
          <w:b w:val="0"/>
          <w:i w:val="0"/>
          <w:iCs w:val="0"/>
          <w:color w:val="auto"/>
          <w:sz w:val="24"/>
          <w:szCs w:val="24"/>
        </w:rPr>
      </w:pPr>
      <w:r w:rsidRPr="00CE4F1A">
        <w:rPr>
          <w:rFonts w:ascii="Verdana" w:hAnsi="Verdana"/>
          <w:i w:val="0"/>
          <w:iCs w:val="0"/>
          <w:color w:val="auto"/>
          <w:sz w:val="24"/>
          <w:szCs w:val="24"/>
        </w:rPr>
        <w:t xml:space="preserve">Conclusions relating to going concern </w:t>
      </w:r>
    </w:p>
    <w:p w14:paraId="7D5088A7" w14:textId="77777777" w:rsidR="00DC2DA5" w:rsidRPr="00DC2DA5" w:rsidRDefault="00DC2DA5" w:rsidP="00827D54">
      <w:pPr>
        <w:pStyle w:val="BodyText"/>
        <w:spacing w:before="100" w:beforeAutospacing="1" w:after="100" w:afterAutospacing="1"/>
      </w:pPr>
      <w:r w:rsidRPr="00DC2DA5">
        <w:t xml:space="preserve">In auditing the financial statements, I have concluded that the Northern Ireland Human Right Commission’s use of the going concern basis of accounting in the preparation of the financial statements is appropriate. </w:t>
      </w:r>
    </w:p>
    <w:p w14:paraId="15976A87" w14:textId="77777777" w:rsidR="00DC2DA5" w:rsidRPr="00DC2DA5" w:rsidRDefault="00DC2DA5" w:rsidP="00827D54">
      <w:pPr>
        <w:pStyle w:val="BodyText"/>
        <w:spacing w:before="100" w:beforeAutospacing="1" w:after="100" w:afterAutospacing="1"/>
      </w:pPr>
      <w:r w:rsidRPr="00DC2DA5">
        <w:t xml:space="preserve">Based on the work I have performed, I have not identified any material uncertainties relating to events or conditions that, individually or collectively, may cast significant doubt on the Northern Ireland Human Rights Commission’s ability to continue as a going concern for a period of at least twelve months from when the financial statements are authorised for issue. </w:t>
      </w:r>
    </w:p>
    <w:p w14:paraId="6CDE7A42" w14:textId="584CFBE7" w:rsidR="00DC2DA5" w:rsidRPr="00DC2DA5" w:rsidRDefault="00DC2DA5" w:rsidP="00827D54">
      <w:pPr>
        <w:pStyle w:val="BodyText"/>
        <w:spacing w:before="100" w:beforeAutospacing="1" w:after="100" w:afterAutospacing="1"/>
      </w:pPr>
      <w:r w:rsidRPr="00DC2DA5">
        <w:t>My responsibilities and the responsibilities of the Accounting Officer</w:t>
      </w:r>
      <w:r w:rsidRPr="00DC2DA5">
        <w:rPr>
          <w:b/>
          <w:bCs/>
        </w:rPr>
        <w:t xml:space="preserve"> </w:t>
      </w:r>
      <w:r w:rsidRPr="00DC2DA5">
        <w:t xml:space="preserve">with respect to going concern are described in the relevant sections of this </w:t>
      </w:r>
      <w:r w:rsidR="00FE52E6">
        <w:t>report</w:t>
      </w:r>
      <w:r w:rsidRPr="00DC2DA5">
        <w:t>.</w:t>
      </w:r>
    </w:p>
    <w:p w14:paraId="2E051F2D" w14:textId="26EB4946" w:rsidR="00DC2DA5" w:rsidRPr="00DC2DA5" w:rsidRDefault="00DC2DA5" w:rsidP="00827D54">
      <w:pPr>
        <w:pStyle w:val="BodyText"/>
        <w:spacing w:before="100" w:beforeAutospacing="1" w:after="100" w:afterAutospacing="1"/>
        <w:rPr>
          <w:iCs/>
          <w:vertAlign w:val="superscript"/>
        </w:rPr>
      </w:pPr>
      <w:r w:rsidRPr="00DC2DA5">
        <w:t>The going concern basis of accounting for the Northern Ireland Human Rights Commission is adopted in consideration of the requirements set out in HM Treasury’s Government Financial Reporting Manual, which require</w:t>
      </w:r>
      <w:r w:rsidR="009011FC">
        <w:t>s</w:t>
      </w:r>
      <w:r w:rsidRPr="00DC2DA5">
        <w:t xml:space="preserve"> entities to adopt the going concern basis of accounting in the preparation of the financial statements where it </w:t>
      </w:r>
      <w:r w:rsidR="00844592">
        <w:t xml:space="preserve">is </w:t>
      </w:r>
      <w:r w:rsidRPr="00DC2DA5">
        <w:t xml:space="preserve">anticipated that the services which they provide will </w:t>
      </w:r>
      <w:proofErr w:type="gramStart"/>
      <w:r w:rsidRPr="00DC2DA5">
        <w:t>continue into the future</w:t>
      </w:r>
      <w:proofErr w:type="gramEnd"/>
      <w:r w:rsidRPr="00DC2DA5">
        <w:t>.</w:t>
      </w:r>
    </w:p>
    <w:p w14:paraId="64CD108E" w14:textId="592D1FE7" w:rsidR="00DC2DA5" w:rsidRPr="00CE4F1A" w:rsidRDefault="00DC2DA5" w:rsidP="00632319">
      <w:pPr>
        <w:pStyle w:val="Heading2"/>
        <w:spacing w:before="100" w:beforeAutospacing="1" w:after="100" w:afterAutospacing="1"/>
        <w:rPr>
          <w:rFonts w:ascii="Verdana" w:hAnsi="Verdana"/>
          <w:b w:val="0"/>
          <w:i w:val="0"/>
          <w:iCs w:val="0"/>
          <w:color w:val="auto"/>
          <w:sz w:val="24"/>
          <w:szCs w:val="24"/>
        </w:rPr>
      </w:pPr>
      <w:r w:rsidRPr="00CE4F1A">
        <w:rPr>
          <w:rFonts w:ascii="Verdana" w:hAnsi="Verdana"/>
          <w:i w:val="0"/>
          <w:iCs w:val="0"/>
          <w:color w:val="auto"/>
          <w:sz w:val="24"/>
          <w:szCs w:val="24"/>
        </w:rPr>
        <w:t>Other Information</w:t>
      </w:r>
    </w:p>
    <w:bookmarkEnd w:id="31"/>
    <w:p w14:paraId="2A010C40" w14:textId="0469CC38" w:rsidR="00DC2DA5" w:rsidRPr="00DC2DA5" w:rsidRDefault="00DC2DA5" w:rsidP="00827D54">
      <w:pPr>
        <w:pStyle w:val="BodyText"/>
        <w:spacing w:before="100" w:beforeAutospacing="1" w:after="100" w:afterAutospacing="1"/>
      </w:pPr>
      <w:r w:rsidRPr="00DC2DA5">
        <w:t xml:space="preserve">The other information comprises information included in the Annual </w:t>
      </w:r>
      <w:proofErr w:type="gramStart"/>
      <w:r w:rsidRPr="00DC2DA5">
        <w:t>Report</w:t>
      </w:r>
      <w:r w:rsidR="00CE4F1A">
        <w:t>,</w:t>
      </w:r>
      <w:r w:rsidRPr="00DC2DA5">
        <w:t xml:space="preserve"> but</w:t>
      </w:r>
      <w:proofErr w:type="gramEnd"/>
      <w:r w:rsidRPr="00DC2DA5">
        <w:t xml:space="preserve"> does not include the financial statements nor my auditor’s </w:t>
      </w:r>
      <w:r w:rsidR="00CE4F1A">
        <w:t>report</w:t>
      </w:r>
      <w:r w:rsidRPr="00DC2DA5">
        <w:t>. The Accounting Officer is responsible for the other information.</w:t>
      </w:r>
    </w:p>
    <w:p w14:paraId="053FC5FA" w14:textId="0121C356" w:rsidR="00DC2DA5" w:rsidRPr="00DC2DA5" w:rsidRDefault="00DC2DA5" w:rsidP="00827D54">
      <w:pPr>
        <w:pStyle w:val="BodyText"/>
        <w:spacing w:before="100" w:beforeAutospacing="1" w:after="100" w:afterAutospacing="1"/>
      </w:pPr>
      <w:r w:rsidRPr="00DC2DA5">
        <w:t xml:space="preserve">My opinion on the financial statements does not cover the other information and, except to the extent otherwise explicitly stated in my </w:t>
      </w:r>
      <w:r w:rsidR="003C130F">
        <w:t>report</w:t>
      </w:r>
      <w:r w:rsidRPr="00DC2DA5">
        <w:t xml:space="preserve">, I do not express any form of assurance conclusion thereon. </w:t>
      </w:r>
    </w:p>
    <w:p w14:paraId="7A9AA94F" w14:textId="4798C4FD" w:rsidR="00DC2DA5" w:rsidRPr="00DC2DA5" w:rsidRDefault="00CE4F1A" w:rsidP="00827D54">
      <w:pPr>
        <w:pStyle w:val="BodyText"/>
        <w:spacing w:before="100" w:beforeAutospacing="1" w:after="100" w:afterAutospacing="1"/>
      </w:pPr>
      <w:r>
        <w:t>M</w:t>
      </w:r>
      <w:r w:rsidR="00DC2DA5" w:rsidRPr="00DC2DA5">
        <w:t>y responsibility is to read the other information and, in doing so, consider whether the other information is materially inconsistent with the financial statements</w:t>
      </w:r>
      <w:r>
        <w:t>,</w:t>
      </w:r>
      <w:r w:rsidR="00DC2DA5" w:rsidRPr="00DC2DA5">
        <w:t xml:space="preserve"> or my knowledge obtained in the audit</w:t>
      </w:r>
      <w:r>
        <w:t>,</w:t>
      </w:r>
      <w:r w:rsidR="00DC2DA5" w:rsidRPr="00DC2DA5">
        <w:t xml:space="preserve"> or otherwise appears to be materially misstated. </w:t>
      </w:r>
    </w:p>
    <w:p w14:paraId="1A5E4352" w14:textId="77777777" w:rsidR="00DC2DA5" w:rsidRPr="00DC2DA5" w:rsidRDefault="00DC2DA5" w:rsidP="00827D54">
      <w:pPr>
        <w:pStyle w:val="BodyText"/>
        <w:spacing w:before="100" w:beforeAutospacing="1" w:after="100" w:afterAutospacing="1"/>
      </w:pPr>
      <w:r w:rsidRPr="00DC2DA5">
        <w:t xml:space="preserve">If I identify such material inconsistencies or apparent material misstatements, I am required to determine whether this gives rise to a material misstatement in the financial statements themselves. If, based on the work I have performed, I conclude that there is a material misstatement of this other information, I am required to report that fact. </w:t>
      </w:r>
    </w:p>
    <w:p w14:paraId="2D4971F0" w14:textId="7488DC33" w:rsidR="00DC2DA5" w:rsidRPr="00DC2DA5" w:rsidRDefault="00DC2DA5" w:rsidP="00827D54">
      <w:pPr>
        <w:pStyle w:val="BodyText"/>
        <w:spacing w:before="100" w:beforeAutospacing="1" w:after="100" w:afterAutospacing="1"/>
      </w:pPr>
      <w:r w:rsidRPr="00DC2DA5">
        <w:t>I have nothing to report in this regard</w:t>
      </w:r>
      <w:r w:rsidR="00CE4F1A">
        <w:t>.</w:t>
      </w:r>
    </w:p>
    <w:p w14:paraId="4F45B6F7" w14:textId="430158E9" w:rsidR="00DC2DA5" w:rsidRPr="00CE4F1A" w:rsidRDefault="00DC2DA5" w:rsidP="00632319">
      <w:pPr>
        <w:pStyle w:val="Heading2"/>
        <w:spacing w:before="100" w:beforeAutospacing="1" w:after="100" w:afterAutospacing="1"/>
        <w:rPr>
          <w:rFonts w:ascii="Verdana" w:hAnsi="Verdana"/>
          <w:b w:val="0"/>
          <w:i w:val="0"/>
          <w:iCs w:val="0"/>
          <w:color w:val="auto"/>
          <w:sz w:val="24"/>
          <w:szCs w:val="24"/>
        </w:rPr>
      </w:pPr>
      <w:r w:rsidRPr="00CE4F1A">
        <w:rPr>
          <w:rFonts w:ascii="Verdana" w:hAnsi="Verdana"/>
          <w:i w:val="0"/>
          <w:iCs w:val="0"/>
          <w:color w:val="auto"/>
          <w:sz w:val="24"/>
          <w:szCs w:val="24"/>
        </w:rPr>
        <w:t>Opinion on other matters</w:t>
      </w:r>
    </w:p>
    <w:p w14:paraId="4089114D" w14:textId="77777777" w:rsidR="00DC2DA5" w:rsidRPr="00DC2DA5" w:rsidRDefault="00DC2DA5" w:rsidP="00827D54">
      <w:pPr>
        <w:spacing w:before="100" w:beforeAutospacing="1" w:after="100" w:afterAutospacing="1"/>
      </w:pPr>
      <w:r w:rsidRPr="00DC2DA5">
        <w:t xml:space="preserve">In my opinion the part of the Remuneration and Staff Report to be audited has been properly prepared in accordance with Secretary of State </w:t>
      </w:r>
      <w:r w:rsidRPr="00DC2DA5">
        <w:rPr>
          <w:rFonts w:cs="Arial"/>
        </w:rPr>
        <w:t xml:space="preserve">directions issued under the Northern Ireland Act 1998: </w:t>
      </w:r>
      <w:r w:rsidRPr="00DC2DA5">
        <w:rPr>
          <w:highlight w:val="lightGray"/>
        </w:rPr>
        <w:t xml:space="preserve"> </w:t>
      </w:r>
    </w:p>
    <w:p w14:paraId="65697C34" w14:textId="77777777" w:rsidR="00DC2DA5" w:rsidRPr="00DC2DA5" w:rsidRDefault="00DC2DA5" w:rsidP="00827D54">
      <w:pPr>
        <w:spacing w:before="100" w:beforeAutospacing="1" w:after="100" w:afterAutospacing="1"/>
      </w:pPr>
      <w:r w:rsidRPr="00DC2DA5">
        <w:t xml:space="preserve">In my opinion, based on the work undertaken </w:t>
      </w:r>
      <w:proofErr w:type="gramStart"/>
      <w:r w:rsidRPr="00DC2DA5">
        <w:t>in the course of</w:t>
      </w:r>
      <w:proofErr w:type="gramEnd"/>
      <w:r w:rsidRPr="00DC2DA5">
        <w:t xml:space="preserve"> the audit:</w:t>
      </w:r>
    </w:p>
    <w:p w14:paraId="1ACED0CD" w14:textId="77777777" w:rsidR="00DC2DA5" w:rsidRPr="00DC2DA5" w:rsidRDefault="00DC2DA5" w:rsidP="00827D54">
      <w:pPr>
        <w:pStyle w:val="BodyText"/>
        <w:numPr>
          <w:ilvl w:val="0"/>
          <w:numId w:val="21"/>
        </w:numPr>
        <w:spacing w:before="100" w:beforeAutospacing="1" w:after="100" w:afterAutospacing="1"/>
      </w:pPr>
      <w:r w:rsidRPr="00DC2DA5">
        <w:t>the parts of the Accountability Report subject to audit</w:t>
      </w:r>
      <w:r w:rsidRPr="00DC2DA5">
        <w:rPr>
          <w:rStyle w:val="FootnoteReference"/>
        </w:rPr>
        <w:t xml:space="preserve"> </w:t>
      </w:r>
      <w:r w:rsidRPr="00DC2DA5">
        <w:t xml:space="preserve">have been properly prepared in accordance with Secretary of State directions made under the Northern Ireland Act 1998; and </w:t>
      </w:r>
    </w:p>
    <w:p w14:paraId="5AD567E7" w14:textId="1DBBF84A" w:rsidR="00DC2DA5" w:rsidRPr="00DC2DA5" w:rsidRDefault="00DC2DA5" w:rsidP="00827D54">
      <w:pPr>
        <w:pStyle w:val="BodyText"/>
        <w:numPr>
          <w:ilvl w:val="0"/>
          <w:numId w:val="21"/>
        </w:numPr>
        <w:spacing w:before="100" w:beforeAutospacing="1" w:after="100" w:afterAutospacing="1"/>
      </w:pPr>
      <w:r w:rsidRPr="00DC2DA5">
        <w:rPr>
          <w:rFonts w:cs="Arial"/>
        </w:rPr>
        <w:t xml:space="preserve">the information given in the Performance </w:t>
      </w:r>
      <w:r w:rsidR="00064883">
        <w:rPr>
          <w:rFonts w:cs="Arial"/>
        </w:rPr>
        <w:t xml:space="preserve">Report </w:t>
      </w:r>
      <w:r w:rsidRPr="00DC2DA5">
        <w:rPr>
          <w:rFonts w:cs="Arial"/>
        </w:rPr>
        <w:t xml:space="preserve">and </w:t>
      </w:r>
      <w:r w:rsidR="00064883">
        <w:rPr>
          <w:rFonts w:cs="Arial"/>
        </w:rPr>
        <w:t xml:space="preserve">the </w:t>
      </w:r>
      <w:r w:rsidRPr="00DC2DA5">
        <w:rPr>
          <w:rFonts w:cs="Arial"/>
        </w:rPr>
        <w:t>Accountability Report</w:t>
      </w:r>
      <w:r w:rsidR="000F49DE">
        <w:rPr>
          <w:rFonts w:cs="Arial"/>
        </w:rPr>
        <w:t>s</w:t>
      </w:r>
      <w:r w:rsidRPr="00DC2DA5">
        <w:rPr>
          <w:rFonts w:cs="Arial"/>
        </w:rPr>
        <w:t xml:space="preserve"> for the financial year for which the financial statements are prepared is consistent with the financial statements and is in accordance with the applicable legal requirements. </w:t>
      </w:r>
    </w:p>
    <w:p w14:paraId="3DF5E64C" w14:textId="25BCCA92" w:rsidR="00DC2DA5" w:rsidRPr="00FD79AD" w:rsidRDefault="00DC2DA5" w:rsidP="00632319">
      <w:pPr>
        <w:pStyle w:val="Heading2"/>
        <w:spacing w:before="100" w:beforeAutospacing="1" w:after="100" w:afterAutospacing="1"/>
        <w:rPr>
          <w:rFonts w:ascii="Verdana" w:hAnsi="Verdana"/>
          <w:b w:val="0"/>
          <w:i w:val="0"/>
          <w:iCs w:val="0"/>
          <w:color w:val="auto"/>
          <w:sz w:val="24"/>
          <w:szCs w:val="24"/>
        </w:rPr>
      </w:pPr>
      <w:r w:rsidRPr="00FD79AD">
        <w:rPr>
          <w:rFonts w:ascii="Verdana" w:hAnsi="Verdana"/>
          <w:i w:val="0"/>
          <w:iCs w:val="0"/>
          <w:color w:val="auto"/>
          <w:sz w:val="24"/>
          <w:szCs w:val="24"/>
        </w:rPr>
        <w:t>Matters on which I report by exception</w:t>
      </w:r>
    </w:p>
    <w:p w14:paraId="1D90C216" w14:textId="644E5AE2" w:rsidR="00DC2DA5" w:rsidRPr="00DC2DA5" w:rsidRDefault="00DC2DA5" w:rsidP="00827D54">
      <w:pPr>
        <w:pStyle w:val="BodyText"/>
        <w:spacing w:before="100" w:beforeAutospacing="1" w:after="100" w:afterAutospacing="1"/>
        <w:rPr>
          <w:highlight w:val="lightGray"/>
        </w:rPr>
      </w:pPr>
      <w:r w:rsidRPr="00DC2DA5">
        <w:t xml:space="preserve">In the light of the knowledge and understanding of the Northern Ireland Human Rights Commission and its environment obtained </w:t>
      </w:r>
      <w:proofErr w:type="gramStart"/>
      <w:r w:rsidRPr="00DC2DA5">
        <w:t>in the course of</w:t>
      </w:r>
      <w:proofErr w:type="gramEnd"/>
      <w:r w:rsidRPr="00DC2DA5">
        <w:t xml:space="preserve"> the audit, I have not identified material misstatements in the </w:t>
      </w:r>
      <w:r w:rsidR="00E24397">
        <w:t xml:space="preserve">Statutory </w:t>
      </w:r>
      <w:r w:rsidRPr="00DC2DA5">
        <w:t>Performance</w:t>
      </w:r>
      <w:r w:rsidR="00E24397">
        <w:t xml:space="preserve"> Report</w:t>
      </w:r>
      <w:r w:rsidRPr="00DC2DA5">
        <w:t xml:space="preserve"> and Accountability Report</w:t>
      </w:r>
      <w:r w:rsidR="001E7E4C">
        <w:t>s</w:t>
      </w:r>
      <w:r w:rsidRPr="00DC2DA5">
        <w:t>.</w:t>
      </w:r>
    </w:p>
    <w:p w14:paraId="55727C9D" w14:textId="77777777" w:rsidR="00DC2DA5" w:rsidRPr="00DC2DA5" w:rsidRDefault="00DC2DA5" w:rsidP="00827D54">
      <w:pPr>
        <w:pStyle w:val="BodyText"/>
        <w:spacing w:before="100" w:beforeAutospacing="1" w:after="100" w:afterAutospacing="1"/>
      </w:pPr>
      <w:r w:rsidRPr="00DC2DA5">
        <w:t>I have nothing to report in respect of the following matters which I report to you if, in my opinion:</w:t>
      </w:r>
    </w:p>
    <w:p w14:paraId="53FE09A7" w14:textId="4BF48DEF" w:rsidR="00FD79AD" w:rsidRDefault="00FD79AD" w:rsidP="00827D54">
      <w:pPr>
        <w:pStyle w:val="BodyText"/>
        <w:numPr>
          <w:ilvl w:val="0"/>
          <w:numId w:val="22"/>
        </w:numPr>
        <w:spacing w:before="100" w:beforeAutospacing="1" w:after="100" w:afterAutospacing="1"/>
      </w:pPr>
      <w:r>
        <w:t>Adequate accounting records have not been kept by the Northern Ireland Human Rights Commission or returns adequate for my audit have not been received from branches not visited by my staff; or</w:t>
      </w:r>
    </w:p>
    <w:p w14:paraId="24237CD6" w14:textId="29198B34" w:rsidR="00DC2DA5" w:rsidRPr="00DC2DA5" w:rsidRDefault="00DC2DA5" w:rsidP="00827D54">
      <w:pPr>
        <w:pStyle w:val="BodyText"/>
        <w:numPr>
          <w:ilvl w:val="0"/>
          <w:numId w:val="22"/>
        </w:numPr>
        <w:spacing w:before="100" w:beforeAutospacing="1" w:after="100" w:afterAutospacing="1"/>
      </w:pPr>
      <w:r w:rsidRPr="00DC2DA5">
        <w:t xml:space="preserve">I have not received </w:t>
      </w:r>
      <w:proofErr w:type="gramStart"/>
      <w:r w:rsidRPr="00DC2DA5">
        <w:t>all of</w:t>
      </w:r>
      <w:proofErr w:type="gramEnd"/>
      <w:r w:rsidRPr="00DC2DA5">
        <w:t xml:space="preserve"> the information and explanations I require for my audit; or</w:t>
      </w:r>
    </w:p>
    <w:p w14:paraId="38BC8376" w14:textId="77777777" w:rsidR="00DC2DA5" w:rsidRPr="00DC2DA5" w:rsidRDefault="00DC2DA5" w:rsidP="00827D54">
      <w:pPr>
        <w:pStyle w:val="BodyText"/>
        <w:numPr>
          <w:ilvl w:val="0"/>
          <w:numId w:val="22"/>
        </w:numPr>
        <w:spacing w:before="100" w:beforeAutospacing="1" w:after="100" w:afterAutospacing="1"/>
      </w:pPr>
      <w:r w:rsidRPr="00DC2DA5">
        <w:t>the financial statements and the parts of the Accountability Report subject to audit are not in agreement with the accounting records and returns; or</w:t>
      </w:r>
    </w:p>
    <w:p w14:paraId="7C741666" w14:textId="20437CC0" w:rsidR="00FD79AD" w:rsidRPr="00DC2DA5" w:rsidRDefault="00DC2DA5" w:rsidP="00FD79AD">
      <w:pPr>
        <w:pStyle w:val="BodyText"/>
        <w:numPr>
          <w:ilvl w:val="0"/>
          <w:numId w:val="22"/>
        </w:numPr>
        <w:spacing w:before="100" w:beforeAutospacing="1" w:after="100" w:afterAutospacing="1"/>
      </w:pPr>
      <w:r w:rsidRPr="00DC2DA5">
        <w:rPr>
          <w:rFonts w:cs="Arial"/>
        </w:rPr>
        <w:t xml:space="preserve">certain disclosures of remuneration specified by HM Treasury’s Government Financial Reporting Manual have not been made or parts of the Remuneration and Staff Report to be audited </w:t>
      </w:r>
      <w:r w:rsidR="00B170B8">
        <w:rPr>
          <w:rFonts w:cs="Arial"/>
        </w:rPr>
        <w:t>is</w:t>
      </w:r>
      <w:r w:rsidRPr="00DC2DA5">
        <w:rPr>
          <w:rFonts w:cs="Arial"/>
        </w:rPr>
        <w:t xml:space="preserve"> not in agreement with the accounting records and returns; or</w:t>
      </w:r>
    </w:p>
    <w:p w14:paraId="7529B7A9" w14:textId="540F4D64" w:rsidR="00DC2DA5" w:rsidRPr="00632319" w:rsidRDefault="00DC2DA5" w:rsidP="00FD79AD">
      <w:pPr>
        <w:pStyle w:val="BodyText"/>
        <w:numPr>
          <w:ilvl w:val="0"/>
          <w:numId w:val="22"/>
        </w:numPr>
        <w:spacing w:before="100" w:beforeAutospacing="1" w:after="100" w:afterAutospacing="1"/>
      </w:pPr>
      <w:r w:rsidRPr="00DC2DA5">
        <w:t>the Governance Statement does not reflect compliance with HM Treasury’s guidance.</w:t>
      </w:r>
    </w:p>
    <w:p w14:paraId="7C180B7F" w14:textId="6A18E51E" w:rsidR="00DC2DA5" w:rsidRPr="00FD79AD" w:rsidRDefault="00DC2DA5" w:rsidP="00632319">
      <w:pPr>
        <w:pStyle w:val="Heading2"/>
        <w:spacing w:before="100" w:beforeAutospacing="1" w:after="100" w:afterAutospacing="1"/>
        <w:rPr>
          <w:rFonts w:ascii="Verdana" w:hAnsi="Verdana"/>
          <w:b w:val="0"/>
          <w:bCs w:val="0"/>
          <w:i w:val="0"/>
          <w:iCs w:val="0"/>
          <w:color w:val="auto"/>
          <w:sz w:val="24"/>
          <w:szCs w:val="24"/>
        </w:rPr>
      </w:pPr>
      <w:r w:rsidRPr="00FD79AD">
        <w:rPr>
          <w:rFonts w:ascii="Verdana" w:hAnsi="Verdana"/>
          <w:i w:val="0"/>
          <w:iCs w:val="0"/>
          <w:color w:val="auto"/>
          <w:sz w:val="24"/>
          <w:szCs w:val="24"/>
        </w:rPr>
        <w:t>Responsibilities of the Accounting Officer for the financial statements</w:t>
      </w:r>
    </w:p>
    <w:p w14:paraId="417E0790" w14:textId="77777777" w:rsidR="00DC2DA5" w:rsidRPr="00DC2DA5" w:rsidRDefault="00DC2DA5" w:rsidP="00827D54">
      <w:pPr>
        <w:pStyle w:val="BodyText"/>
        <w:spacing w:before="100" w:beforeAutospacing="1" w:after="100" w:afterAutospacing="1"/>
      </w:pPr>
      <w:r w:rsidRPr="00DC2DA5">
        <w:t xml:space="preserve">As explained more fully in the Statement of Accounting Officer’s Responsibilities, the Accounting Officer is responsible for:  </w:t>
      </w:r>
    </w:p>
    <w:p w14:paraId="1AF5060B" w14:textId="77777777" w:rsidR="00DC2DA5" w:rsidRDefault="00DC2DA5" w:rsidP="00827D54">
      <w:pPr>
        <w:pStyle w:val="BodyText"/>
        <w:numPr>
          <w:ilvl w:val="0"/>
          <w:numId w:val="24"/>
        </w:numPr>
        <w:spacing w:before="100" w:beforeAutospacing="1" w:after="100" w:afterAutospacing="1"/>
      </w:pPr>
      <w:r w:rsidRPr="00DC2DA5">
        <w:t xml:space="preserve">maintaining proper accounting </w:t>
      </w:r>
      <w:proofErr w:type="gramStart"/>
      <w:r w:rsidRPr="00DC2DA5">
        <w:t>records;</w:t>
      </w:r>
      <w:proofErr w:type="gramEnd"/>
      <w:r w:rsidRPr="00DC2DA5">
        <w:t xml:space="preserve"> </w:t>
      </w:r>
    </w:p>
    <w:p w14:paraId="57D3CC91" w14:textId="1843C33F" w:rsidR="00FD79AD" w:rsidRDefault="00FD79AD" w:rsidP="00827D54">
      <w:pPr>
        <w:pStyle w:val="BodyText"/>
        <w:numPr>
          <w:ilvl w:val="0"/>
          <w:numId w:val="24"/>
        </w:numPr>
        <w:spacing w:before="100" w:beforeAutospacing="1" w:after="100" w:afterAutospacing="1"/>
      </w:pPr>
      <w:r>
        <w:t xml:space="preserve">providing the C&amp;AG with access to all information of which management is aware that is relevant to the preparation of the financial statements such as records, documentation and other </w:t>
      </w:r>
      <w:proofErr w:type="gramStart"/>
      <w:r>
        <w:t>matters;</w:t>
      </w:r>
      <w:proofErr w:type="gramEnd"/>
    </w:p>
    <w:p w14:paraId="41829EE5" w14:textId="5BFE5A34" w:rsidR="00FD79AD" w:rsidRDefault="00FD79AD" w:rsidP="00827D54">
      <w:pPr>
        <w:pStyle w:val="BodyText"/>
        <w:numPr>
          <w:ilvl w:val="0"/>
          <w:numId w:val="24"/>
        </w:numPr>
        <w:spacing w:before="100" w:beforeAutospacing="1" w:after="100" w:afterAutospacing="1"/>
      </w:pPr>
      <w:r>
        <w:t xml:space="preserve">providing the C&amp;AG with additional information and explanations needed for his </w:t>
      </w:r>
      <w:proofErr w:type="gramStart"/>
      <w:r>
        <w:t>audit;</w:t>
      </w:r>
      <w:proofErr w:type="gramEnd"/>
    </w:p>
    <w:p w14:paraId="472D2586" w14:textId="18569DE9" w:rsidR="00FD79AD" w:rsidRDefault="00FD79AD" w:rsidP="00827D54">
      <w:pPr>
        <w:pStyle w:val="BodyText"/>
        <w:numPr>
          <w:ilvl w:val="0"/>
          <w:numId w:val="24"/>
        </w:numPr>
        <w:spacing w:before="100" w:beforeAutospacing="1" w:after="100" w:afterAutospacing="1"/>
      </w:pPr>
      <w:r>
        <w:t xml:space="preserve">providing the C&amp;AG with unrestricted access to persons within the Northern Ireland Human Rights Commission from whom the auditor determines it necessary to obtain audit </w:t>
      </w:r>
      <w:proofErr w:type="gramStart"/>
      <w:r>
        <w:t>evidence;</w:t>
      </w:r>
      <w:proofErr w:type="gramEnd"/>
    </w:p>
    <w:p w14:paraId="71775024" w14:textId="72086A07" w:rsidR="00FD79AD" w:rsidRDefault="00FD79AD" w:rsidP="00827D54">
      <w:pPr>
        <w:pStyle w:val="BodyText"/>
        <w:numPr>
          <w:ilvl w:val="0"/>
          <w:numId w:val="24"/>
        </w:numPr>
        <w:spacing w:before="100" w:beforeAutospacing="1" w:after="100" w:afterAutospacing="1"/>
      </w:pPr>
      <w:r>
        <w:t xml:space="preserve">ensuring such internal controls are in place as deemed necessary to enable the preparation of financial statements to be free from material misstatement, whether due to fraud or </w:t>
      </w:r>
      <w:proofErr w:type="gramStart"/>
      <w:r>
        <w:t>error;</w:t>
      </w:r>
      <w:proofErr w:type="gramEnd"/>
    </w:p>
    <w:p w14:paraId="73C87213" w14:textId="15F822C8" w:rsidR="00FD79AD" w:rsidRDefault="005C26D2" w:rsidP="00827D54">
      <w:pPr>
        <w:pStyle w:val="BodyText"/>
        <w:numPr>
          <w:ilvl w:val="0"/>
          <w:numId w:val="24"/>
        </w:numPr>
        <w:spacing w:before="100" w:beforeAutospacing="1" w:after="100" w:afterAutospacing="1"/>
      </w:pPr>
      <w:r>
        <w:t>preparing</w:t>
      </w:r>
      <w:r w:rsidR="00FD79AD">
        <w:t xml:space="preserve"> financial statements</w:t>
      </w:r>
      <w:r w:rsidR="00DD1E90">
        <w:t xml:space="preserve"> which</w:t>
      </w:r>
      <w:r w:rsidR="00FD79AD">
        <w:t xml:space="preserve"> give a true and fair view in accordance with Secretary of State directions made under the Northern Ireland Act </w:t>
      </w:r>
      <w:proofErr w:type="gramStart"/>
      <w:r w:rsidR="00FD79AD">
        <w:t>1998;</w:t>
      </w:r>
      <w:proofErr w:type="gramEnd"/>
    </w:p>
    <w:p w14:paraId="22D4776D" w14:textId="3A783F0E" w:rsidR="00FD79AD" w:rsidRPr="00DC2DA5" w:rsidRDefault="007F0D37" w:rsidP="00827D54">
      <w:pPr>
        <w:pStyle w:val="BodyText"/>
        <w:numPr>
          <w:ilvl w:val="0"/>
          <w:numId w:val="24"/>
        </w:numPr>
        <w:spacing w:before="100" w:beforeAutospacing="1" w:after="100" w:afterAutospacing="1"/>
      </w:pPr>
      <w:r>
        <w:t>preparing</w:t>
      </w:r>
      <w:r w:rsidR="00FD79AD">
        <w:t xml:space="preserve"> the annual report, which includes the Remuneration and Staff Report, in accordance with Secretary of State directions made under the Northern Ireland Act 1998; and</w:t>
      </w:r>
    </w:p>
    <w:p w14:paraId="1D563605" w14:textId="3D4EA62A" w:rsidR="00DC2DA5" w:rsidRPr="00DC2DA5" w:rsidRDefault="00DC2DA5" w:rsidP="00827D54">
      <w:pPr>
        <w:numPr>
          <w:ilvl w:val="0"/>
          <w:numId w:val="24"/>
        </w:numPr>
        <w:spacing w:before="100" w:beforeAutospacing="1" w:after="100" w:afterAutospacing="1"/>
        <w:ind w:left="1134"/>
      </w:pPr>
      <w:r w:rsidRPr="00DC2DA5">
        <w:t>assessing the Northern Ireland Human Rights Commission’s ability to continue as a going concern, disclosing, as applicable, matters related to going concern and using the going concern basis of accounting unless the Accounting Officer anticipates that the services provided by the Northern Ireland Human Rights Commission will not continue to be provided in the future</w:t>
      </w:r>
      <w:r w:rsidR="00FD79AD">
        <w:t>.</w:t>
      </w:r>
    </w:p>
    <w:p w14:paraId="69F3D560" w14:textId="17585B68" w:rsidR="00DC2DA5" w:rsidRPr="00FD79AD" w:rsidRDefault="00DC2DA5" w:rsidP="00632319">
      <w:pPr>
        <w:pStyle w:val="Heading2"/>
        <w:spacing w:before="100" w:beforeAutospacing="1" w:after="100" w:afterAutospacing="1"/>
        <w:rPr>
          <w:rFonts w:ascii="Verdana" w:hAnsi="Verdana"/>
          <w:b w:val="0"/>
          <w:i w:val="0"/>
          <w:iCs w:val="0"/>
          <w:color w:val="auto"/>
          <w:sz w:val="24"/>
          <w:szCs w:val="24"/>
        </w:rPr>
      </w:pPr>
      <w:r w:rsidRPr="00FD79AD">
        <w:rPr>
          <w:rFonts w:ascii="Verdana" w:hAnsi="Verdana"/>
          <w:i w:val="0"/>
          <w:iCs w:val="0"/>
          <w:color w:val="auto"/>
          <w:sz w:val="24"/>
          <w:szCs w:val="24"/>
        </w:rPr>
        <w:t>Auditor’s responsibilities for the audit of the financial statements</w:t>
      </w:r>
    </w:p>
    <w:p w14:paraId="4A4DC32E" w14:textId="77777777" w:rsidR="00DC2DA5" w:rsidRPr="00DC2DA5" w:rsidRDefault="00DC2DA5" w:rsidP="00827D54">
      <w:pPr>
        <w:pStyle w:val="BodyText"/>
        <w:spacing w:before="100" w:beforeAutospacing="1" w:after="100" w:afterAutospacing="1"/>
      </w:pPr>
      <w:r w:rsidRPr="00DC2DA5">
        <w:t>My responsibility is to audit, certify and report on the financial statements in accordance with the Northern Ireland Act 1998.</w:t>
      </w:r>
    </w:p>
    <w:p w14:paraId="1BE9EBD7" w14:textId="76A88274" w:rsidR="00632319" w:rsidRDefault="00DC2DA5" w:rsidP="00FD79AD">
      <w:pPr>
        <w:pStyle w:val="BodyText"/>
        <w:spacing w:before="100" w:beforeAutospacing="1" w:after="100" w:afterAutospacing="1"/>
      </w:pPr>
      <w:r w:rsidRPr="00DC2DA5">
        <w:t xml:space="preserve">My objectives are to obtain reasonable assurance about whether the financial statements </w:t>
      </w:r>
      <w:proofErr w:type="gramStart"/>
      <w:r w:rsidRPr="00DC2DA5">
        <w:t>as a whole are</w:t>
      </w:r>
      <w:proofErr w:type="gramEnd"/>
      <w:r w:rsidRPr="00DC2DA5">
        <w:t xml:space="preserve"> free from material misstatement, whether due to fraud or error, and to issue a certificate that includes my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DC2DA5">
        <w:t>on the basis of</w:t>
      </w:r>
      <w:proofErr w:type="gramEnd"/>
      <w:r w:rsidRPr="00DC2DA5">
        <w:t xml:space="preserve"> these financial statements.</w:t>
      </w:r>
    </w:p>
    <w:p w14:paraId="1A454DE4" w14:textId="33B7594F" w:rsidR="00DC2DA5" w:rsidRPr="0054495E" w:rsidRDefault="00DC2DA5" w:rsidP="00827D54">
      <w:pPr>
        <w:pStyle w:val="Subtitle"/>
        <w:spacing w:before="100" w:beforeAutospacing="1" w:after="100" w:afterAutospacing="1"/>
        <w:rPr>
          <w:rFonts w:ascii="Verdana" w:hAnsi="Verdana"/>
          <w:b/>
          <w:bCs/>
          <w:color w:val="auto"/>
          <w:sz w:val="24"/>
          <w:szCs w:val="24"/>
        </w:rPr>
      </w:pPr>
      <w:r w:rsidRPr="0054495E">
        <w:rPr>
          <w:rFonts w:ascii="Verdana" w:eastAsia="Times New Roman" w:hAnsi="Verdana" w:cs="Arial"/>
          <w:b/>
          <w:bCs/>
          <w:color w:val="auto"/>
          <w:spacing w:val="0"/>
          <w:sz w:val="24"/>
          <w:szCs w:val="24"/>
        </w:rPr>
        <w:t>Extent to which the audit was considered capable of detecting non-compliance with laws and regulations including fraud</w:t>
      </w:r>
    </w:p>
    <w:p w14:paraId="30AB5699" w14:textId="78095D29" w:rsidR="00DC2DA5" w:rsidRPr="00DC2DA5" w:rsidRDefault="00DC2DA5" w:rsidP="00827D54">
      <w:pPr>
        <w:pStyle w:val="BodyText"/>
        <w:spacing w:before="100" w:beforeAutospacing="1" w:after="100" w:afterAutospacing="1"/>
        <w:rPr>
          <w:rFonts w:cs="Arial"/>
        </w:rPr>
      </w:pPr>
      <w:r w:rsidRPr="00DC2DA5">
        <w:rPr>
          <w:rFonts w:cs="Arial"/>
        </w:rPr>
        <w:t xml:space="preserve">I design procedures in line with my responsibilities, outlined above, to detect material misstatements in respect of non-compliance with laws and regulations, including fraud. The extent to which my procedures </w:t>
      </w:r>
      <w:proofErr w:type="gramStart"/>
      <w:r w:rsidRPr="00DC2DA5">
        <w:rPr>
          <w:rFonts w:cs="Arial"/>
        </w:rPr>
        <w:t>are capable of detecting</w:t>
      </w:r>
      <w:proofErr w:type="gramEnd"/>
      <w:r w:rsidRPr="00DC2DA5">
        <w:rPr>
          <w:rFonts w:cs="Arial"/>
        </w:rPr>
        <w:t xml:space="preserve"> non-compliance with laws and regulations, including fraud is detailed below.</w:t>
      </w:r>
    </w:p>
    <w:p w14:paraId="382608B8" w14:textId="77777777" w:rsidR="00DC2DA5" w:rsidRPr="0054495E" w:rsidRDefault="00DC2DA5" w:rsidP="00827D54">
      <w:pPr>
        <w:pStyle w:val="Subtitle"/>
        <w:spacing w:before="100" w:beforeAutospacing="1" w:after="100" w:afterAutospacing="1"/>
        <w:rPr>
          <w:rFonts w:ascii="Verdana" w:eastAsia="Times New Roman" w:hAnsi="Verdana" w:cs="Arial"/>
          <w:b/>
          <w:bCs/>
          <w:color w:val="auto"/>
          <w:spacing w:val="0"/>
          <w:sz w:val="24"/>
          <w:szCs w:val="24"/>
        </w:rPr>
      </w:pPr>
      <w:r w:rsidRPr="0054495E">
        <w:rPr>
          <w:rFonts w:ascii="Verdana" w:eastAsia="Times New Roman" w:hAnsi="Verdana" w:cs="Arial"/>
          <w:b/>
          <w:bCs/>
          <w:color w:val="auto"/>
          <w:spacing w:val="0"/>
          <w:sz w:val="24"/>
          <w:szCs w:val="24"/>
        </w:rPr>
        <w:t xml:space="preserve">Identifying and assessing potential risks related to non-compliance with laws and regulations, including fraud </w:t>
      </w:r>
    </w:p>
    <w:p w14:paraId="014D21FD" w14:textId="77777777" w:rsidR="00FD79AD" w:rsidRDefault="00DC2DA5" w:rsidP="00827D54">
      <w:pPr>
        <w:pStyle w:val="BodyText"/>
        <w:spacing w:before="100" w:beforeAutospacing="1" w:after="100" w:afterAutospacing="1"/>
        <w:rPr>
          <w:rFonts w:cs="Arial"/>
        </w:rPr>
      </w:pPr>
      <w:r w:rsidRPr="00DC2DA5">
        <w:rPr>
          <w:rFonts w:cs="Arial"/>
        </w:rPr>
        <w:t xml:space="preserve">In identifying and assessing risks of material misstatement in respect of non-compliance with laws and regulations, including fraud, </w:t>
      </w:r>
      <w:r w:rsidR="00FD79AD">
        <w:rPr>
          <w:rFonts w:cs="Arial"/>
        </w:rPr>
        <w:t>I:</w:t>
      </w:r>
    </w:p>
    <w:p w14:paraId="01209A8D" w14:textId="560B0646" w:rsidR="00FD79AD" w:rsidRPr="00FD79AD" w:rsidRDefault="00FD79AD" w:rsidP="00FD79AD">
      <w:pPr>
        <w:pStyle w:val="BodyText"/>
        <w:numPr>
          <w:ilvl w:val="0"/>
          <w:numId w:val="26"/>
        </w:numPr>
        <w:spacing w:before="100" w:beforeAutospacing="1" w:after="100" w:afterAutospacing="1"/>
        <w:rPr>
          <w:rFonts w:cs="Arial"/>
        </w:rPr>
      </w:pPr>
      <w:r>
        <w:rPr>
          <w:rFonts w:cs="Arial"/>
        </w:rPr>
        <w:t xml:space="preserve">considered </w:t>
      </w:r>
      <w:r w:rsidR="00DC2DA5" w:rsidRPr="00DC2DA5">
        <w:rPr>
          <w:rFonts w:cs="Arial"/>
        </w:rPr>
        <w:t xml:space="preserve">the nature of the sector, control environment and operational performance including the design of the Northern Ireland Human Rights Commission’s accounting </w:t>
      </w:r>
      <w:proofErr w:type="gramStart"/>
      <w:r w:rsidR="00DC2DA5" w:rsidRPr="00DC2DA5">
        <w:rPr>
          <w:rFonts w:cs="Arial"/>
        </w:rPr>
        <w:t>policies</w:t>
      </w:r>
      <w:r>
        <w:rPr>
          <w:rFonts w:cs="Arial"/>
        </w:rPr>
        <w:t>;</w:t>
      </w:r>
      <w:proofErr w:type="gramEnd"/>
      <w:r w:rsidR="00DC2DA5" w:rsidRPr="00DC2DA5">
        <w:rPr>
          <w:rFonts w:cs="Arial"/>
          <w:highlight w:val="lightGray"/>
        </w:rPr>
        <w:t xml:space="preserve">  </w:t>
      </w:r>
    </w:p>
    <w:p w14:paraId="3C497FA2" w14:textId="021B6434" w:rsidR="00DC2DA5" w:rsidRPr="00DC2DA5" w:rsidRDefault="00205BCD" w:rsidP="00827D54">
      <w:pPr>
        <w:pStyle w:val="BodyText"/>
        <w:numPr>
          <w:ilvl w:val="0"/>
          <w:numId w:val="26"/>
        </w:numPr>
        <w:spacing w:before="100" w:beforeAutospacing="1" w:after="100" w:afterAutospacing="1"/>
        <w:rPr>
          <w:rFonts w:cs="Arial"/>
        </w:rPr>
      </w:pPr>
      <w:r>
        <w:rPr>
          <w:rFonts w:cs="Arial"/>
        </w:rPr>
        <w:t>i</w:t>
      </w:r>
      <w:r w:rsidR="00DC2DA5" w:rsidRPr="00DC2DA5">
        <w:rPr>
          <w:rFonts w:cs="Arial"/>
        </w:rPr>
        <w:t>nquir</w:t>
      </w:r>
      <w:r w:rsidR="000C1E05">
        <w:rPr>
          <w:rFonts w:cs="Arial"/>
        </w:rPr>
        <w:t>ed</w:t>
      </w:r>
      <w:r w:rsidR="00DC2DA5" w:rsidRPr="00DC2DA5">
        <w:rPr>
          <w:rFonts w:cs="Arial"/>
        </w:rPr>
        <w:t xml:space="preserve"> of management, </w:t>
      </w:r>
      <w:r w:rsidR="000C1E05">
        <w:rPr>
          <w:rFonts w:cs="Arial"/>
        </w:rPr>
        <w:t xml:space="preserve">the </w:t>
      </w:r>
      <w:r w:rsidR="00DC2DA5" w:rsidRPr="00DC2DA5">
        <w:t>Northern Ireland Human Rights Commission</w:t>
      </w:r>
      <w:r w:rsidR="00DC2DA5" w:rsidRPr="00DC2DA5">
        <w:rPr>
          <w:rFonts w:cs="Arial"/>
        </w:rPr>
        <w:t xml:space="preserve">’s head of internal audit and those charged with governance, including obtaining and reviewing supporting documentation relating to the </w:t>
      </w:r>
      <w:r w:rsidR="00DC2DA5" w:rsidRPr="00DC2DA5">
        <w:t>Northern Ireland Human Rights Commission</w:t>
      </w:r>
      <w:r w:rsidR="00DC2DA5" w:rsidRPr="00DC2DA5">
        <w:rPr>
          <w:rFonts w:cs="Arial"/>
        </w:rPr>
        <w:t xml:space="preserve">’s policies and procedures </w:t>
      </w:r>
      <w:r w:rsidR="00FD79AD">
        <w:rPr>
          <w:rFonts w:cs="Arial"/>
        </w:rPr>
        <w:t>on</w:t>
      </w:r>
      <w:r w:rsidR="00DC2DA5" w:rsidRPr="00DC2DA5">
        <w:rPr>
          <w:rFonts w:cs="Arial"/>
        </w:rPr>
        <w:t xml:space="preserve">: </w:t>
      </w:r>
    </w:p>
    <w:p w14:paraId="6AB2341A" w14:textId="0E9DF064" w:rsidR="00DC2DA5" w:rsidRPr="00DC2DA5" w:rsidRDefault="00DC2DA5" w:rsidP="00827D54">
      <w:pPr>
        <w:pStyle w:val="BodyText"/>
        <w:numPr>
          <w:ilvl w:val="1"/>
          <w:numId w:val="26"/>
        </w:numPr>
        <w:spacing w:before="100" w:beforeAutospacing="1" w:after="100" w:afterAutospacing="1"/>
        <w:rPr>
          <w:rFonts w:cs="Arial"/>
        </w:rPr>
      </w:pPr>
      <w:r w:rsidRPr="00DC2DA5">
        <w:rPr>
          <w:rFonts w:cs="Arial"/>
        </w:rPr>
        <w:t>identifying, evaluating and complying with laws and regulations</w:t>
      </w:r>
    </w:p>
    <w:p w14:paraId="5185C9DF" w14:textId="5C1BDC5B" w:rsidR="00DC2DA5" w:rsidRPr="00DC2DA5" w:rsidRDefault="00DC2DA5" w:rsidP="00827D54">
      <w:pPr>
        <w:pStyle w:val="BodyText"/>
        <w:numPr>
          <w:ilvl w:val="1"/>
          <w:numId w:val="26"/>
        </w:numPr>
        <w:spacing w:before="100" w:beforeAutospacing="1" w:after="100" w:afterAutospacing="1"/>
        <w:rPr>
          <w:rFonts w:cs="Arial"/>
        </w:rPr>
      </w:pPr>
      <w:r w:rsidRPr="00DC2DA5">
        <w:rPr>
          <w:rFonts w:cs="Arial"/>
        </w:rPr>
        <w:t>detecting and responding to the risks of fraud; and</w:t>
      </w:r>
    </w:p>
    <w:p w14:paraId="149E5697" w14:textId="7F4F51D0" w:rsidR="00DC2DA5" w:rsidRDefault="00DC2DA5" w:rsidP="00827D54">
      <w:pPr>
        <w:pStyle w:val="BodyText"/>
        <w:numPr>
          <w:ilvl w:val="1"/>
          <w:numId w:val="26"/>
        </w:numPr>
        <w:spacing w:before="100" w:beforeAutospacing="1" w:after="100" w:afterAutospacing="1"/>
        <w:rPr>
          <w:rFonts w:cs="Arial"/>
        </w:rPr>
      </w:pPr>
      <w:r w:rsidRPr="00DC2DA5">
        <w:rPr>
          <w:rFonts w:cs="Arial"/>
        </w:rPr>
        <w:t xml:space="preserve">the internal controls established to mitigate risks related to fraud or non-compliance with laws and regulations including </w:t>
      </w:r>
      <w:r w:rsidR="00742BD7">
        <w:rPr>
          <w:rFonts w:cs="Arial"/>
        </w:rPr>
        <w:t xml:space="preserve">the Northern Ireland Human Rights Commission’s controls relating to the Northern Ireland Human Rights Commission’s compliance with </w:t>
      </w:r>
      <w:r w:rsidRPr="00DC2DA5">
        <w:rPr>
          <w:rFonts w:cs="Arial"/>
        </w:rPr>
        <w:t xml:space="preserve">the </w:t>
      </w:r>
      <w:r w:rsidRPr="00DC2DA5">
        <w:t>Northern Ireland Act 1998</w:t>
      </w:r>
      <w:r w:rsidRPr="00DC2DA5">
        <w:rPr>
          <w:rFonts w:cs="Arial"/>
        </w:rPr>
        <w:t xml:space="preserve"> and Managing Public </w:t>
      </w:r>
      <w:proofErr w:type="gramStart"/>
      <w:r w:rsidRPr="00DC2DA5">
        <w:rPr>
          <w:rFonts w:cs="Arial"/>
        </w:rPr>
        <w:t>Money;</w:t>
      </w:r>
      <w:proofErr w:type="gramEnd"/>
    </w:p>
    <w:p w14:paraId="751CABA6" w14:textId="7C9012E7" w:rsidR="00742BD7" w:rsidRDefault="00C53A2B" w:rsidP="00742BD7">
      <w:pPr>
        <w:pStyle w:val="BodyText"/>
        <w:numPr>
          <w:ilvl w:val="0"/>
          <w:numId w:val="26"/>
        </w:numPr>
        <w:spacing w:before="100" w:beforeAutospacing="1" w:after="100" w:afterAutospacing="1"/>
        <w:rPr>
          <w:rFonts w:cs="Arial"/>
        </w:rPr>
      </w:pPr>
      <w:r>
        <w:rPr>
          <w:rFonts w:cs="Arial"/>
        </w:rPr>
        <w:t>i</w:t>
      </w:r>
      <w:r w:rsidR="00742BD7">
        <w:rPr>
          <w:rFonts w:cs="Arial"/>
        </w:rPr>
        <w:t>nquired o</w:t>
      </w:r>
      <w:r w:rsidR="000C1E05">
        <w:rPr>
          <w:rFonts w:cs="Arial"/>
        </w:rPr>
        <w:t>f</w:t>
      </w:r>
      <w:r w:rsidR="00742BD7">
        <w:rPr>
          <w:rFonts w:cs="Arial"/>
        </w:rPr>
        <w:t xml:space="preserve"> management, the Northern Ireland Human Rights Commission’s head of internal audit and those charged with governance whether:</w:t>
      </w:r>
    </w:p>
    <w:p w14:paraId="33C29163" w14:textId="3D34B59B" w:rsidR="00742BD7" w:rsidRDefault="00363543" w:rsidP="00742BD7">
      <w:pPr>
        <w:pStyle w:val="BodyText"/>
        <w:numPr>
          <w:ilvl w:val="1"/>
          <w:numId w:val="26"/>
        </w:numPr>
        <w:spacing w:before="100" w:beforeAutospacing="1" w:after="100" w:afterAutospacing="1"/>
        <w:rPr>
          <w:rFonts w:cs="Arial"/>
        </w:rPr>
      </w:pPr>
      <w:r>
        <w:rPr>
          <w:rFonts w:cs="Arial"/>
        </w:rPr>
        <w:t>t</w:t>
      </w:r>
      <w:r w:rsidR="00742BD7">
        <w:rPr>
          <w:rFonts w:cs="Arial"/>
        </w:rPr>
        <w:t xml:space="preserve">hey were aware of any instances of non-compliance with laws and regulations; and </w:t>
      </w:r>
    </w:p>
    <w:p w14:paraId="47B4E0DE" w14:textId="56FA8F86" w:rsidR="00742BD7" w:rsidRPr="00DC2DA5" w:rsidRDefault="00363543" w:rsidP="00742BD7">
      <w:pPr>
        <w:pStyle w:val="BodyText"/>
        <w:numPr>
          <w:ilvl w:val="1"/>
          <w:numId w:val="26"/>
        </w:numPr>
        <w:spacing w:before="100" w:beforeAutospacing="1" w:after="100" w:afterAutospacing="1"/>
        <w:rPr>
          <w:rFonts w:cs="Arial"/>
        </w:rPr>
      </w:pPr>
      <w:r>
        <w:rPr>
          <w:rFonts w:cs="Arial"/>
        </w:rPr>
        <w:t>t</w:t>
      </w:r>
      <w:r w:rsidR="00742BD7">
        <w:rPr>
          <w:rFonts w:cs="Arial"/>
        </w:rPr>
        <w:t xml:space="preserve">hey had any knowledge of any actual, suspected, or alleged </w:t>
      </w:r>
      <w:proofErr w:type="gramStart"/>
      <w:r w:rsidR="00742BD7">
        <w:rPr>
          <w:rFonts w:cs="Arial"/>
        </w:rPr>
        <w:t>fraud;</w:t>
      </w:r>
      <w:proofErr w:type="gramEnd"/>
    </w:p>
    <w:p w14:paraId="196CABE2" w14:textId="30193344" w:rsidR="00DC2DA5" w:rsidRPr="00DC2DA5" w:rsidRDefault="00DC2DA5" w:rsidP="00827D54">
      <w:pPr>
        <w:pStyle w:val="BodyText"/>
        <w:numPr>
          <w:ilvl w:val="0"/>
          <w:numId w:val="27"/>
        </w:numPr>
        <w:spacing w:before="100" w:beforeAutospacing="1" w:after="100" w:afterAutospacing="1"/>
        <w:rPr>
          <w:rFonts w:cs="Arial"/>
        </w:rPr>
      </w:pPr>
      <w:r w:rsidRPr="00DC2DA5">
        <w:rPr>
          <w:rFonts w:cs="Arial"/>
        </w:rPr>
        <w:t>discuss</w:t>
      </w:r>
      <w:r w:rsidR="000C1E05">
        <w:rPr>
          <w:rFonts w:cs="Arial"/>
        </w:rPr>
        <w:t>ed</w:t>
      </w:r>
      <w:r w:rsidRPr="00DC2DA5">
        <w:rPr>
          <w:rFonts w:cs="Arial"/>
        </w:rPr>
        <w:t xml:space="preserve"> </w:t>
      </w:r>
      <w:r w:rsidR="008460F6">
        <w:rPr>
          <w:rFonts w:cs="Arial"/>
        </w:rPr>
        <w:t>with</w:t>
      </w:r>
      <w:r w:rsidRPr="00DC2DA5">
        <w:rPr>
          <w:rFonts w:cs="Arial"/>
        </w:rPr>
        <w:t xml:space="preserve"> the engagement team </w:t>
      </w:r>
      <w:r w:rsidR="00742BD7">
        <w:rPr>
          <w:rFonts w:cs="Arial"/>
        </w:rPr>
        <w:t xml:space="preserve">regarding </w:t>
      </w:r>
      <w:r w:rsidRPr="00DC2DA5">
        <w:rPr>
          <w:rFonts w:cs="Arial"/>
        </w:rPr>
        <w:t xml:space="preserve">how and where fraud might occur in the financial statements and any potential indicators of fraud. </w:t>
      </w:r>
    </w:p>
    <w:p w14:paraId="790ACC73" w14:textId="05982272" w:rsidR="00DC2DA5" w:rsidRPr="00DC2DA5" w:rsidRDefault="00DC2DA5" w:rsidP="00827D54">
      <w:pPr>
        <w:pStyle w:val="BodyText"/>
        <w:spacing w:before="100" w:beforeAutospacing="1" w:after="100" w:afterAutospacing="1"/>
        <w:rPr>
          <w:rFonts w:cs="Arial"/>
        </w:rPr>
      </w:pPr>
      <w:r w:rsidRPr="00DC2DA5">
        <w:rPr>
          <w:rFonts w:cs="Arial"/>
        </w:rPr>
        <w:t xml:space="preserve">As a result of these procedures, I considered the opportunities and incentives that may exist within the Northern Ireland Human Rights Commission for fraud and identified the greatest potential for fraud in the following areas: </w:t>
      </w:r>
      <w:r w:rsidR="002420AB">
        <w:rPr>
          <w:rFonts w:cs="Arial"/>
        </w:rPr>
        <w:t xml:space="preserve">revenue recognition, </w:t>
      </w:r>
      <w:r w:rsidRPr="00DC2DA5">
        <w:rPr>
          <w:rFonts w:cs="Arial"/>
        </w:rPr>
        <w:t>posting of unusual journals, complex transactions</w:t>
      </w:r>
      <w:r w:rsidR="000C1E05">
        <w:rPr>
          <w:rFonts w:cs="Arial"/>
        </w:rPr>
        <w:t xml:space="preserve"> and</w:t>
      </w:r>
      <w:r w:rsidRPr="00DC2DA5">
        <w:rPr>
          <w:rFonts w:cs="Arial"/>
        </w:rPr>
        <w:t xml:space="preserve"> bias in management estimates. In common with all audits under ISAs (UK), I am required to perform specific procedures to respond to the risk of management override.</w:t>
      </w:r>
    </w:p>
    <w:p w14:paraId="2454548E" w14:textId="0AFDB954" w:rsidR="00DC2DA5" w:rsidRPr="00DC2DA5" w:rsidRDefault="00DC2DA5" w:rsidP="00827D54">
      <w:pPr>
        <w:pStyle w:val="BodyText"/>
        <w:spacing w:before="100" w:beforeAutospacing="1" w:after="100" w:afterAutospacing="1"/>
        <w:rPr>
          <w:rFonts w:cs="Arial"/>
        </w:rPr>
      </w:pPr>
      <w:r w:rsidRPr="00DC2DA5">
        <w:rPr>
          <w:rFonts w:cs="Arial"/>
        </w:rPr>
        <w:t>I obtained an understanding of the Northern Ireland Human Rights Commission’s framework of authority a</w:t>
      </w:r>
      <w:r w:rsidR="00742BD7">
        <w:rPr>
          <w:rFonts w:cs="Arial"/>
        </w:rPr>
        <w:t>nd</w:t>
      </w:r>
      <w:r w:rsidRPr="00DC2DA5">
        <w:rPr>
          <w:rFonts w:cs="Arial"/>
        </w:rPr>
        <w:t xml:space="preserve"> other legal and regulatory frameworks in which the Northern Ireland Human Rights Commission operates</w:t>
      </w:r>
      <w:r w:rsidR="00742BD7">
        <w:rPr>
          <w:rFonts w:cs="Arial"/>
        </w:rPr>
        <w:t>. I</w:t>
      </w:r>
      <w:r w:rsidRPr="00DC2DA5">
        <w:rPr>
          <w:rFonts w:cs="Arial"/>
        </w:rPr>
        <w:t xml:space="preserve"> focus</w:t>
      </w:r>
      <w:r w:rsidR="00742BD7">
        <w:rPr>
          <w:rFonts w:cs="Arial"/>
        </w:rPr>
        <w:t>ed</w:t>
      </w:r>
      <w:r w:rsidRPr="00DC2DA5">
        <w:rPr>
          <w:rFonts w:cs="Arial"/>
        </w:rPr>
        <w:t xml:space="preserve"> on those laws and regulations that had a direct effect on material amounts and disclosures in the financial statements or that had a fundamental effect on the operations of the Northern Ireland Human Rights Commission. The key laws and regulations I considered in this context included </w:t>
      </w:r>
      <w:r w:rsidRPr="00DC2DA5">
        <w:t>Northern Ireland Act 1998,</w:t>
      </w:r>
      <w:r w:rsidR="000C1E05">
        <w:t xml:space="preserve"> </w:t>
      </w:r>
      <w:r w:rsidRPr="00DC2DA5">
        <w:rPr>
          <w:rFonts w:cs="Arial"/>
        </w:rPr>
        <w:t>Managing Public Money, employment law</w:t>
      </w:r>
      <w:r w:rsidR="000C1E05">
        <w:rPr>
          <w:rFonts w:cs="Arial"/>
        </w:rPr>
        <w:t>, pension legislation and</w:t>
      </w:r>
      <w:r w:rsidRPr="00DC2DA5">
        <w:rPr>
          <w:rFonts w:cs="Arial"/>
        </w:rPr>
        <w:t xml:space="preserve"> tax </w:t>
      </w:r>
      <w:r w:rsidR="00742BD7">
        <w:rPr>
          <w:rFonts w:cs="Arial"/>
        </w:rPr>
        <w:t>l</w:t>
      </w:r>
      <w:r w:rsidRPr="00DC2DA5">
        <w:rPr>
          <w:rFonts w:cs="Arial"/>
        </w:rPr>
        <w:t>egislation.</w:t>
      </w:r>
    </w:p>
    <w:p w14:paraId="523C99A9" w14:textId="77777777" w:rsidR="00DC2DA5" w:rsidRPr="00AD0821" w:rsidRDefault="00DC2DA5" w:rsidP="00827D54">
      <w:pPr>
        <w:pStyle w:val="Subtitle"/>
        <w:spacing w:before="100" w:beforeAutospacing="1" w:after="100" w:afterAutospacing="1"/>
        <w:rPr>
          <w:rFonts w:ascii="Verdana" w:eastAsia="Times New Roman" w:hAnsi="Verdana" w:cs="Arial"/>
          <w:b/>
          <w:bCs/>
          <w:color w:val="auto"/>
          <w:spacing w:val="0"/>
          <w:sz w:val="24"/>
          <w:szCs w:val="24"/>
        </w:rPr>
      </w:pPr>
      <w:r w:rsidRPr="00AD0821">
        <w:rPr>
          <w:rFonts w:ascii="Verdana" w:eastAsia="Times New Roman" w:hAnsi="Verdana" w:cs="Arial"/>
          <w:b/>
          <w:bCs/>
          <w:color w:val="auto"/>
          <w:spacing w:val="0"/>
          <w:sz w:val="24"/>
          <w:szCs w:val="24"/>
        </w:rPr>
        <w:t xml:space="preserve">Audit response to identified risk </w:t>
      </w:r>
    </w:p>
    <w:p w14:paraId="79DFCC92" w14:textId="2C712355" w:rsidR="00DC2DA5" w:rsidRPr="00DC2DA5" w:rsidRDefault="00742BD7" w:rsidP="00827D54">
      <w:pPr>
        <w:spacing w:before="100" w:beforeAutospacing="1" w:after="100" w:afterAutospacing="1"/>
        <w:rPr>
          <w:rFonts w:cs="Arial"/>
        </w:rPr>
      </w:pPr>
      <w:r>
        <w:rPr>
          <w:rFonts w:cs="Arial"/>
        </w:rPr>
        <w:t>T</w:t>
      </w:r>
      <w:r w:rsidR="00DC2DA5" w:rsidRPr="00DC2DA5">
        <w:rPr>
          <w:rFonts w:cs="Arial"/>
        </w:rPr>
        <w:t xml:space="preserve">o respond to identified risks </w:t>
      </w:r>
      <w:r>
        <w:rPr>
          <w:rFonts w:cs="Arial"/>
        </w:rPr>
        <w:t>resulting from the above procedures</w:t>
      </w:r>
      <w:r w:rsidR="00DC2DA5" w:rsidRPr="00DC2DA5">
        <w:rPr>
          <w:rFonts w:cs="Arial"/>
        </w:rPr>
        <w:t xml:space="preserve">: </w:t>
      </w:r>
    </w:p>
    <w:p w14:paraId="19B7F7A0" w14:textId="1F2B8552" w:rsidR="00DC2DA5" w:rsidRPr="00DC2DA5" w:rsidRDefault="00742BD7" w:rsidP="00827D54">
      <w:pPr>
        <w:pStyle w:val="BodyText"/>
        <w:numPr>
          <w:ilvl w:val="0"/>
          <w:numId w:val="25"/>
        </w:numPr>
        <w:spacing w:before="100" w:beforeAutospacing="1" w:after="100" w:afterAutospacing="1"/>
        <w:rPr>
          <w:rFonts w:cs="Arial"/>
        </w:rPr>
      </w:pPr>
      <w:r>
        <w:rPr>
          <w:rFonts w:cs="Arial"/>
        </w:rPr>
        <w:t xml:space="preserve">I </w:t>
      </w:r>
      <w:r w:rsidR="00DC2DA5" w:rsidRPr="00DC2DA5">
        <w:rPr>
          <w:rFonts w:cs="Arial"/>
        </w:rPr>
        <w:t>review</w:t>
      </w:r>
      <w:r>
        <w:rPr>
          <w:rFonts w:cs="Arial"/>
        </w:rPr>
        <w:t>ed</w:t>
      </w:r>
      <w:r w:rsidR="00DC2DA5" w:rsidRPr="00DC2DA5">
        <w:rPr>
          <w:rFonts w:cs="Arial"/>
        </w:rPr>
        <w:t xml:space="preserve"> the financial statement disclosures and test</w:t>
      </w:r>
      <w:r w:rsidR="000C1E05">
        <w:rPr>
          <w:rFonts w:cs="Arial"/>
        </w:rPr>
        <w:t>ed</w:t>
      </w:r>
      <w:r w:rsidR="00DC2DA5" w:rsidRPr="00DC2DA5">
        <w:rPr>
          <w:rFonts w:cs="Arial"/>
        </w:rPr>
        <w:t xml:space="preserve"> to supporting documentation to assess compliance with provisions of relevant laws and regulations described above as having direct effect on the financial </w:t>
      </w:r>
      <w:proofErr w:type="gramStart"/>
      <w:r w:rsidR="00DC2DA5" w:rsidRPr="00DC2DA5">
        <w:rPr>
          <w:rFonts w:cs="Arial"/>
        </w:rPr>
        <w:t>statements;</w:t>
      </w:r>
      <w:proofErr w:type="gramEnd"/>
    </w:p>
    <w:p w14:paraId="41A36EE5" w14:textId="37E2FBEF" w:rsidR="00DC2DA5" w:rsidRPr="00DC2DA5" w:rsidRDefault="00742BD7" w:rsidP="00827D54">
      <w:pPr>
        <w:pStyle w:val="BodyText"/>
        <w:numPr>
          <w:ilvl w:val="0"/>
          <w:numId w:val="25"/>
        </w:numPr>
        <w:spacing w:before="100" w:beforeAutospacing="1" w:after="100" w:afterAutospacing="1"/>
        <w:rPr>
          <w:rFonts w:cs="Arial"/>
        </w:rPr>
      </w:pPr>
      <w:r>
        <w:rPr>
          <w:rFonts w:cs="Arial"/>
        </w:rPr>
        <w:t xml:space="preserve">I </w:t>
      </w:r>
      <w:r w:rsidR="00DC2DA5" w:rsidRPr="00DC2DA5">
        <w:rPr>
          <w:rFonts w:cs="Arial"/>
        </w:rPr>
        <w:t>enquir</w:t>
      </w:r>
      <w:r>
        <w:rPr>
          <w:rFonts w:cs="Arial"/>
        </w:rPr>
        <w:t>ed</w:t>
      </w:r>
      <w:r w:rsidR="00DC2DA5" w:rsidRPr="00DC2DA5">
        <w:rPr>
          <w:rFonts w:cs="Arial"/>
        </w:rPr>
        <w:t xml:space="preserve"> of management, the Audit and Risk Committee</w:t>
      </w:r>
      <w:r w:rsidR="00FF4B97">
        <w:rPr>
          <w:rFonts w:cs="Arial"/>
        </w:rPr>
        <w:t xml:space="preserve"> </w:t>
      </w:r>
      <w:r w:rsidR="00DC2DA5" w:rsidRPr="00DC2DA5">
        <w:rPr>
          <w:rFonts w:cs="Arial"/>
        </w:rPr>
        <w:t xml:space="preserve">concerning actual and potential litigation and </w:t>
      </w:r>
      <w:proofErr w:type="gramStart"/>
      <w:r w:rsidR="00DC2DA5" w:rsidRPr="00DC2DA5">
        <w:rPr>
          <w:rFonts w:cs="Arial"/>
        </w:rPr>
        <w:t>claims;</w:t>
      </w:r>
      <w:proofErr w:type="gramEnd"/>
      <w:r w:rsidR="00DC2DA5" w:rsidRPr="00DC2DA5">
        <w:rPr>
          <w:rFonts w:cs="Arial"/>
        </w:rPr>
        <w:t xml:space="preserve"> </w:t>
      </w:r>
    </w:p>
    <w:p w14:paraId="35E222C1" w14:textId="423BE59D" w:rsidR="00DC2DA5" w:rsidRPr="00DC2DA5" w:rsidRDefault="00742BD7" w:rsidP="00827D54">
      <w:pPr>
        <w:pStyle w:val="BodyText"/>
        <w:numPr>
          <w:ilvl w:val="0"/>
          <w:numId w:val="25"/>
        </w:numPr>
        <w:spacing w:before="100" w:beforeAutospacing="1" w:after="100" w:afterAutospacing="1"/>
        <w:rPr>
          <w:rFonts w:cs="Arial"/>
        </w:rPr>
      </w:pPr>
      <w:r>
        <w:rPr>
          <w:rFonts w:cs="Arial"/>
        </w:rPr>
        <w:t xml:space="preserve">I </w:t>
      </w:r>
      <w:r w:rsidR="00DC2DA5" w:rsidRPr="00DC2DA5">
        <w:rPr>
          <w:rFonts w:cs="Arial"/>
        </w:rPr>
        <w:t>review</w:t>
      </w:r>
      <w:r>
        <w:rPr>
          <w:rFonts w:cs="Arial"/>
        </w:rPr>
        <w:t>ed</w:t>
      </w:r>
      <w:r w:rsidR="00DC2DA5" w:rsidRPr="00DC2DA5">
        <w:rPr>
          <w:rFonts w:cs="Arial"/>
        </w:rPr>
        <w:t xml:space="preserve"> minutes of meetings of those charged with governance and the </w:t>
      </w:r>
      <w:r w:rsidR="00714871">
        <w:rPr>
          <w:rFonts w:cs="Arial"/>
        </w:rPr>
        <w:t>Commission</w:t>
      </w:r>
      <w:r>
        <w:rPr>
          <w:rFonts w:cs="Arial"/>
        </w:rPr>
        <w:t xml:space="preserve"> </w:t>
      </w:r>
      <w:r w:rsidR="00DC2DA5" w:rsidRPr="00DC2DA5">
        <w:rPr>
          <w:rFonts w:cs="Arial"/>
        </w:rPr>
        <w:t>and internal audit reports; and</w:t>
      </w:r>
    </w:p>
    <w:p w14:paraId="3F5C1E9B" w14:textId="56E9EA52" w:rsidR="00DC2DA5" w:rsidRDefault="00F32285" w:rsidP="00827D54">
      <w:pPr>
        <w:pStyle w:val="BodyText"/>
        <w:numPr>
          <w:ilvl w:val="0"/>
          <w:numId w:val="25"/>
        </w:numPr>
        <w:spacing w:before="100" w:beforeAutospacing="1" w:after="100" w:afterAutospacing="1"/>
        <w:rPr>
          <w:rFonts w:cs="Arial"/>
        </w:rPr>
      </w:pPr>
      <w:r>
        <w:rPr>
          <w:rFonts w:cs="Arial"/>
        </w:rPr>
        <w:t xml:space="preserve">I </w:t>
      </w:r>
      <w:r w:rsidR="00DC2DA5" w:rsidRPr="00DC2DA5">
        <w:rPr>
          <w:rFonts w:cs="Arial"/>
        </w:rPr>
        <w:t>address</w:t>
      </w:r>
      <w:r>
        <w:rPr>
          <w:rFonts w:cs="Arial"/>
        </w:rPr>
        <w:t>ed</w:t>
      </w:r>
      <w:r w:rsidR="00DC2DA5" w:rsidRPr="00DC2DA5">
        <w:rPr>
          <w:rFonts w:cs="Arial"/>
        </w:rPr>
        <w:t xml:space="preserve"> the risk of fraud through management override of controls</w:t>
      </w:r>
      <w:r>
        <w:rPr>
          <w:rFonts w:cs="Arial"/>
        </w:rPr>
        <w:t xml:space="preserve"> by</w:t>
      </w:r>
      <w:r w:rsidR="00742BD7">
        <w:rPr>
          <w:rFonts w:cs="Arial"/>
        </w:rPr>
        <w:t xml:space="preserve"> </w:t>
      </w:r>
      <w:r w:rsidR="00DC2DA5" w:rsidRPr="00DC2DA5">
        <w:rPr>
          <w:rFonts w:cs="Arial"/>
        </w:rPr>
        <w:t>test</w:t>
      </w:r>
      <w:r>
        <w:rPr>
          <w:rFonts w:cs="Arial"/>
        </w:rPr>
        <w:t>ing</w:t>
      </w:r>
      <w:r w:rsidR="00DC2DA5" w:rsidRPr="00DC2DA5">
        <w:rPr>
          <w:rFonts w:cs="Arial"/>
        </w:rPr>
        <w:t xml:space="preserve"> the appropriateness of journal entries and other adjustments; assess</w:t>
      </w:r>
      <w:r w:rsidR="000C1E05">
        <w:rPr>
          <w:rFonts w:cs="Arial"/>
        </w:rPr>
        <w:t>ed</w:t>
      </w:r>
      <w:r w:rsidR="00DC2DA5" w:rsidRPr="00DC2DA5">
        <w:rPr>
          <w:rFonts w:cs="Arial"/>
        </w:rPr>
        <w:t xml:space="preserve"> whether the judgements </w:t>
      </w:r>
      <w:r w:rsidR="003C726F">
        <w:rPr>
          <w:rFonts w:cs="Arial"/>
        </w:rPr>
        <w:t xml:space="preserve">on </w:t>
      </w:r>
      <w:r w:rsidR="00DC2DA5" w:rsidRPr="00DC2DA5">
        <w:rPr>
          <w:rFonts w:cs="Arial"/>
        </w:rPr>
        <w:t>estimates are indicative of a potential bias; and evaluat</w:t>
      </w:r>
      <w:r w:rsidR="009E695E">
        <w:rPr>
          <w:rFonts w:cs="Arial"/>
        </w:rPr>
        <w:t>ing</w:t>
      </w:r>
      <w:r w:rsidR="00DC2DA5" w:rsidRPr="00DC2DA5">
        <w:rPr>
          <w:rFonts w:cs="Arial"/>
        </w:rPr>
        <w:t xml:space="preserve"> the business rationale of any significant transactions that are unusual or outside the normal course of business.</w:t>
      </w:r>
    </w:p>
    <w:p w14:paraId="2AB22724" w14:textId="69B6E65B" w:rsidR="005A53F8" w:rsidRPr="005A53F8" w:rsidRDefault="001F3AD0" w:rsidP="001F3AD0">
      <w:pPr>
        <w:pStyle w:val="BodyText"/>
      </w:pPr>
      <w:r>
        <w:t xml:space="preserve">I </w:t>
      </w:r>
      <w:r w:rsidR="005A53F8">
        <w:t xml:space="preserve">communicated relevant identified laws and regulations and potential </w:t>
      </w:r>
      <w:r w:rsidR="009B1E4A">
        <w:t xml:space="preserve">risks of </w:t>
      </w:r>
      <w:r w:rsidR="005A53F8">
        <w:t xml:space="preserve">fraud to all engagement team members and remained alert to any indicators of fraud or non-compliance with laws and regulations throughout the audit. </w:t>
      </w:r>
    </w:p>
    <w:p w14:paraId="72D9556B" w14:textId="72C8147C" w:rsidR="00DC2DA5" w:rsidRDefault="00DC2DA5" w:rsidP="00827D54">
      <w:pPr>
        <w:pStyle w:val="BodyText"/>
        <w:spacing w:before="100" w:beforeAutospacing="1" w:after="100" w:afterAutospacing="1"/>
      </w:pPr>
      <w:r w:rsidRPr="00DC2DA5">
        <w:t xml:space="preserve">A further description of my responsibilities for the audit of the financial statements is located on the Financial Reporting Council’s website at: </w:t>
      </w:r>
      <w:hyperlink r:id="rId35" w:history="1">
        <w:r w:rsidRPr="00DC2DA5">
          <w:rPr>
            <w:rStyle w:val="Hyperlink"/>
            <w:rFonts w:cs="Arial"/>
            <w:color w:val="auto"/>
          </w:rPr>
          <w:t>www.frc.org.uk/auditorsresponsibilities</w:t>
        </w:r>
      </w:hyperlink>
      <w:r w:rsidRPr="00DC2DA5">
        <w:t xml:space="preserve">. This description forms part of my certificate. </w:t>
      </w:r>
    </w:p>
    <w:p w14:paraId="4E038D89" w14:textId="7B751A8B" w:rsidR="000C1E05" w:rsidRPr="00C82898" w:rsidRDefault="000C1E05" w:rsidP="000C1E05">
      <w:pPr>
        <w:pStyle w:val="Subtitle"/>
        <w:spacing w:before="100" w:beforeAutospacing="1" w:after="100" w:afterAutospacing="1"/>
        <w:rPr>
          <w:rFonts w:ascii="Verdana" w:eastAsia="Times New Roman" w:hAnsi="Verdana" w:cs="Arial"/>
          <w:b/>
          <w:bCs/>
          <w:color w:val="auto"/>
          <w:spacing w:val="0"/>
          <w:sz w:val="24"/>
          <w:szCs w:val="24"/>
        </w:rPr>
      </w:pPr>
      <w:r w:rsidRPr="00C82898">
        <w:rPr>
          <w:rFonts w:ascii="Verdana" w:eastAsia="Times New Roman" w:hAnsi="Verdana" w:cs="Arial"/>
          <w:b/>
          <w:bCs/>
          <w:color w:val="auto"/>
          <w:spacing w:val="0"/>
          <w:sz w:val="24"/>
          <w:szCs w:val="24"/>
        </w:rPr>
        <w:t>Other auditor’s responsibilities</w:t>
      </w:r>
    </w:p>
    <w:p w14:paraId="02C1A057" w14:textId="01ED4E08" w:rsidR="000C1E05" w:rsidRDefault="000C1E05" w:rsidP="000C1E05">
      <w:pPr>
        <w:rPr>
          <w:lang w:eastAsia="en-GB" w:bidi="ne-NP"/>
        </w:rPr>
      </w:pPr>
      <w:r>
        <w:rPr>
          <w:lang w:eastAsia="en-GB" w:bidi="ne-NP"/>
        </w:rPr>
        <w:t xml:space="preserve">I am required to obtain </w:t>
      </w:r>
      <w:r w:rsidR="005A5842">
        <w:rPr>
          <w:lang w:eastAsia="en-GB" w:bidi="ne-NP"/>
        </w:rPr>
        <w:t xml:space="preserve">appropriate audit </w:t>
      </w:r>
      <w:r>
        <w:rPr>
          <w:lang w:eastAsia="en-GB" w:bidi="ne-NP"/>
        </w:rPr>
        <w:t>evidence sufficient to give reasonable assurance that the expenditure and income recorded in the financial statements have been applied to the purposes intended by Parliament and the financial transaction</w:t>
      </w:r>
      <w:r w:rsidR="00EA6094">
        <w:rPr>
          <w:lang w:eastAsia="en-GB" w:bidi="ne-NP"/>
        </w:rPr>
        <w:t>s</w:t>
      </w:r>
      <w:r>
        <w:rPr>
          <w:lang w:eastAsia="en-GB" w:bidi="ne-NP"/>
        </w:rPr>
        <w:t xml:space="preserve"> recorded in the financial statements conform to the authorities which govern them.</w:t>
      </w:r>
    </w:p>
    <w:p w14:paraId="00C6C5D9" w14:textId="73A04390" w:rsidR="000C1E05" w:rsidRPr="000C1E05" w:rsidRDefault="000C1E05" w:rsidP="000C1E05">
      <w:pPr>
        <w:rPr>
          <w:lang w:eastAsia="en-GB" w:bidi="ne-NP"/>
        </w:rPr>
      </w:pPr>
      <w:r>
        <w:rPr>
          <w:lang w:eastAsia="en-GB" w:bidi="ne-NP"/>
        </w:rPr>
        <w:t>I communicate with those charged with governance regarding, among other matters, the planned scope and timing of the audit and significant audit findings, including any significant deficiencies in internal control I identify during my audit</w:t>
      </w:r>
      <w:r w:rsidR="00521110">
        <w:rPr>
          <w:lang w:eastAsia="en-GB" w:bidi="ne-NP"/>
        </w:rPr>
        <w:t>.</w:t>
      </w:r>
    </w:p>
    <w:p w14:paraId="007E4342" w14:textId="0DD818A9" w:rsidR="00DC2DA5" w:rsidRPr="001F3AD0" w:rsidRDefault="00DC2DA5" w:rsidP="00827D54">
      <w:pPr>
        <w:pStyle w:val="Heading2"/>
        <w:spacing w:before="100" w:beforeAutospacing="1" w:after="100" w:afterAutospacing="1"/>
        <w:rPr>
          <w:rFonts w:ascii="Verdana" w:hAnsi="Verdana"/>
          <w:b w:val="0"/>
          <w:bCs w:val="0"/>
          <w:i w:val="0"/>
          <w:iCs w:val="0"/>
          <w:color w:val="auto"/>
          <w:sz w:val="24"/>
          <w:szCs w:val="24"/>
        </w:rPr>
      </w:pPr>
      <w:r w:rsidRPr="001F3AD0">
        <w:rPr>
          <w:rFonts w:ascii="Verdana" w:hAnsi="Verdana"/>
          <w:i w:val="0"/>
          <w:iCs w:val="0"/>
          <w:color w:val="auto"/>
          <w:sz w:val="24"/>
          <w:szCs w:val="24"/>
        </w:rPr>
        <w:t xml:space="preserve">Report  </w:t>
      </w:r>
    </w:p>
    <w:p w14:paraId="3A5E7B41" w14:textId="77777777" w:rsidR="00DC2DA5" w:rsidRPr="00822CD0" w:rsidRDefault="00DC2DA5" w:rsidP="00DC2DA5"/>
    <w:p w14:paraId="55AB3F2F" w14:textId="466D938C" w:rsidR="00DC2DA5" w:rsidRPr="00822CD0" w:rsidRDefault="00DC2DA5" w:rsidP="00DC2DA5">
      <w:pPr>
        <w:rPr>
          <w:b/>
        </w:rPr>
      </w:pPr>
      <w:r w:rsidRPr="00822CD0">
        <w:rPr>
          <w:b/>
        </w:rPr>
        <w:t>Gareth Davies</w:t>
      </w:r>
      <w:r w:rsidRPr="00822CD0">
        <w:rPr>
          <w:b/>
        </w:rPr>
        <w:tab/>
      </w:r>
      <w:r w:rsidRPr="00822CD0">
        <w:rPr>
          <w:b/>
        </w:rPr>
        <w:tab/>
      </w:r>
      <w:r w:rsidRPr="00822CD0">
        <w:rPr>
          <w:b/>
        </w:rPr>
        <w:tab/>
      </w:r>
      <w:r w:rsidRPr="00822CD0">
        <w:rPr>
          <w:b/>
        </w:rPr>
        <w:tab/>
      </w:r>
      <w:r w:rsidRPr="00822CD0">
        <w:rPr>
          <w:b/>
        </w:rPr>
        <w:tab/>
      </w:r>
      <w:r w:rsidRPr="00822CD0">
        <w:rPr>
          <w:b/>
        </w:rPr>
        <w:tab/>
        <w:t>Date</w:t>
      </w:r>
      <w:r w:rsidR="004A60FF">
        <w:rPr>
          <w:b/>
        </w:rPr>
        <w:t xml:space="preserve"> </w:t>
      </w:r>
      <w:r w:rsidR="009867A9">
        <w:rPr>
          <w:b/>
        </w:rPr>
        <w:t>19 July</w:t>
      </w:r>
      <w:r w:rsidR="00671DA5">
        <w:rPr>
          <w:b/>
        </w:rPr>
        <w:t xml:space="preserve"> 20</w:t>
      </w:r>
      <w:r w:rsidR="001F3AD0">
        <w:rPr>
          <w:b/>
        </w:rPr>
        <w:t>2</w:t>
      </w:r>
      <w:r w:rsidR="00751518">
        <w:rPr>
          <w:b/>
        </w:rPr>
        <w:t>4</w:t>
      </w:r>
    </w:p>
    <w:p w14:paraId="25A3CE5C" w14:textId="77777777" w:rsidR="00DC2DA5" w:rsidRPr="00822CD0" w:rsidRDefault="00DC2DA5" w:rsidP="00DC2DA5">
      <w:pPr>
        <w:rPr>
          <w:b/>
        </w:rPr>
      </w:pPr>
      <w:r w:rsidRPr="00822CD0">
        <w:rPr>
          <w:b/>
        </w:rPr>
        <w:t>Comptroller and Auditor General</w:t>
      </w:r>
    </w:p>
    <w:p w14:paraId="1830628F" w14:textId="77777777" w:rsidR="00DC2DA5" w:rsidRPr="00822CD0" w:rsidRDefault="00DC2DA5" w:rsidP="00DC2DA5"/>
    <w:p w14:paraId="1341D833" w14:textId="77777777" w:rsidR="00DC2DA5" w:rsidRPr="00822CD0" w:rsidRDefault="00DC2DA5" w:rsidP="00DC2DA5">
      <w:r w:rsidRPr="00822CD0">
        <w:t>National Audit Office</w:t>
      </w:r>
    </w:p>
    <w:p w14:paraId="600FE49B" w14:textId="77777777" w:rsidR="00DC2DA5" w:rsidRPr="00822CD0" w:rsidRDefault="00DC2DA5" w:rsidP="00DC2DA5">
      <w:r w:rsidRPr="00822CD0">
        <w:t>157-197 Buckingham Palace Road</w:t>
      </w:r>
    </w:p>
    <w:p w14:paraId="5CC20478" w14:textId="77777777" w:rsidR="00DC2DA5" w:rsidRPr="00822CD0" w:rsidRDefault="00DC2DA5" w:rsidP="00DC2DA5">
      <w:r w:rsidRPr="00822CD0">
        <w:t>Victoria</w:t>
      </w:r>
    </w:p>
    <w:p w14:paraId="1A325A98" w14:textId="77777777" w:rsidR="00DC2DA5" w:rsidRPr="00822CD0" w:rsidRDefault="00DC2DA5" w:rsidP="00DC2DA5">
      <w:r w:rsidRPr="00822CD0">
        <w:t>London</w:t>
      </w:r>
    </w:p>
    <w:p w14:paraId="18CA3B62" w14:textId="77777777" w:rsidR="00DC2DA5" w:rsidRPr="00822CD0" w:rsidRDefault="00DC2DA5" w:rsidP="00DC2DA5">
      <w:r w:rsidRPr="00822CD0">
        <w:t>SW1W 9SP</w:t>
      </w:r>
    </w:p>
    <w:p w14:paraId="2154E0FD" w14:textId="77777777" w:rsidR="00DC2DA5" w:rsidRPr="00822CD0" w:rsidRDefault="00DC2DA5" w:rsidP="00DC2DA5">
      <w:pPr>
        <w:spacing w:after="120" w:line="276" w:lineRule="auto"/>
        <w:jc w:val="both"/>
      </w:pPr>
    </w:p>
    <w:p w14:paraId="50482133" w14:textId="77777777" w:rsidR="00DC2DA5" w:rsidRPr="00822CD0" w:rsidRDefault="00DC2DA5" w:rsidP="00DC2DA5">
      <w:pPr>
        <w:spacing w:after="120" w:line="276" w:lineRule="auto"/>
        <w:jc w:val="both"/>
      </w:pPr>
    </w:p>
    <w:p w14:paraId="7A2E92D1" w14:textId="77777777" w:rsidR="00DC2DA5" w:rsidRPr="00822CD0" w:rsidRDefault="00DC2DA5" w:rsidP="00DC2DA5">
      <w:pPr>
        <w:spacing w:after="120" w:line="276" w:lineRule="auto"/>
        <w:jc w:val="both"/>
      </w:pPr>
    </w:p>
    <w:p w14:paraId="67C34E57" w14:textId="77777777" w:rsidR="00DC2DA5" w:rsidRPr="00822CD0" w:rsidRDefault="00DC2DA5" w:rsidP="00DC2DA5">
      <w:pPr>
        <w:spacing w:after="120" w:line="276" w:lineRule="auto"/>
        <w:jc w:val="both"/>
      </w:pPr>
    </w:p>
    <w:p w14:paraId="2ED4BBD9" w14:textId="77777777" w:rsidR="000C2A54" w:rsidRDefault="000C2A54" w:rsidP="000C2A54">
      <w:pPr>
        <w:jc w:val="center"/>
        <w:rPr>
          <w:b/>
          <w:color w:val="auto"/>
          <w:sz w:val="28"/>
          <w:szCs w:val="28"/>
        </w:rPr>
        <w:sectPr w:rsidR="000C2A54" w:rsidSect="00AE0E5D">
          <w:headerReference w:type="even" r:id="rId36"/>
          <w:headerReference w:type="default" r:id="rId37"/>
          <w:footerReference w:type="even" r:id="rId38"/>
          <w:footerReference w:type="default" r:id="rId39"/>
          <w:headerReference w:type="first" r:id="rId40"/>
          <w:pgSz w:w="11907" w:h="16840" w:code="9"/>
          <w:pgMar w:top="1418" w:right="1418" w:bottom="851" w:left="1418" w:header="709" w:footer="709" w:gutter="0"/>
          <w:pgNumType w:start="5"/>
          <w:cols w:space="708"/>
          <w:docGrid w:linePitch="360"/>
        </w:sectPr>
      </w:pPr>
    </w:p>
    <w:p w14:paraId="3E282C2A" w14:textId="56B712FE" w:rsidR="004A14D8" w:rsidRPr="004A14D8" w:rsidRDefault="000C2A54" w:rsidP="004A14D8">
      <w:pPr>
        <w:widowControl w:val="0"/>
        <w:autoSpaceDE w:val="0"/>
        <w:autoSpaceDN w:val="0"/>
        <w:adjustRightInd w:val="0"/>
        <w:ind w:left="-567" w:right="-567"/>
        <w:jc w:val="center"/>
        <w:rPr>
          <w:rFonts w:cs="Arial"/>
          <w:b/>
          <w:color w:val="77328A"/>
          <w:sz w:val="30"/>
          <w:szCs w:val="30"/>
        </w:rPr>
      </w:pPr>
      <w:r w:rsidRPr="001C4D92">
        <w:rPr>
          <w:b/>
          <w:sz w:val="32"/>
          <w:szCs w:val="32"/>
        </w:rPr>
        <w:t xml:space="preserve"> </w:t>
      </w:r>
      <w:bookmarkStart w:id="32" w:name="FinancialStatements"/>
      <w:r w:rsidR="008C73A2">
        <w:rPr>
          <w:rFonts w:cs="Arial"/>
          <w:b/>
          <w:color w:val="77328A"/>
          <w:sz w:val="30"/>
          <w:szCs w:val="30"/>
        </w:rPr>
        <w:t>Financial Statements</w:t>
      </w:r>
      <w:r w:rsidR="008D0E8C">
        <w:rPr>
          <w:rFonts w:cs="Arial"/>
          <w:b/>
          <w:color w:val="77328A"/>
          <w:sz w:val="30"/>
          <w:szCs w:val="30"/>
        </w:rPr>
        <w:t xml:space="preserve"> for the Year Ended 31 March 202</w:t>
      </w:r>
      <w:r w:rsidR="00CA4EDC">
        <w:rPr>
          <w:rFonts w:cs="Arial"/>
          <w:b/>
          <w:color w:val="77328A"/>
          <w:sz w:val="30"/>
          <w:szCs w:val="30"/>
        </w:rPr>
        <w:t>4</w:t>
      </w:r>
      <w:bookmarkEnd w:id="32"/>
    </w:p>
    <w:p w14:paraId="09CEE928" w14:textId="77777777" w:rsidR="000C2A54" w:rsidRDefault="000C2A54" w:rsidP="000C2A54">
      <w:pPr>
        <w:widowControl w:val="0"/>
        <w:autoSpaceDE w:val="0"/>
        <w:autoSpaceDN w:val="0"/>
        <w:adjustRightInd w:val="0"/>
        <w:ind w:left="-567" w:right="-567"/>
        <w:jc w:val="center"/>
      </w:pPr>
    </w:p>
    <w:p w14:paraId="61D36A43" w14:textId="367BB7E8" w:rsidR="000C2A54" w:rsidRDefault="008C73A2" w:rsidP="000C2A54">
      <w:pPr>
        <w:widowControl w:val="0"/>
        <w:autoSpaceDE w:val="0"/>
        <w:autoSpaceDN w:val="0"/>
        <w:adjustRightInd w:val="0"/>
        <w:ind w:left="-567" w:right="-567"/>
        <w:jc w:val="center"/>
        <w:rPr>
          <w:b/>
          <w:sz w:val="28"/>
          <w:szCs w:val="28"/>
        </w:rPr>
      </w:pPr>
      <w:bookmarkStart w:id="33" w:name="StatementofComprehensiveNetExpenditure"/>
      <w:r>
        <w:rPr>
          <w:rFonts w:cs="Arial"/>
          <w:b/>
          <w:color w:val="77328A"/>
          <w:sz w:val="30"/>
          <w:szCs w:val="30"/>
        </w:rPr>
        <w:t>Statement of Comprehensive Net Expenditure for the Year End</w:t>
      </w:r>
      <w:r w:rsidR="008D0E8C">
        <w:rPr>
          <w:rFonts w:cs="Arial"/>
          <w:b/>
          <w:color w:val="77328A"/>
          <w:sz w:val="30"/>
          <w:szCs w:val="30"/>
        </w:rPr>
        <w:t>ed 31 March 202</w:t>
      </w:r>
      <w:r w:rsidR="00CA4EDC">
        <w:rPr>
          <w:rFonts w:cs="Arial"/>
          <w:b/>
          <w:color w:val="77328A"/>
          <w:sz w:val="30"/>
          <w:szCs w:val="30"/>
        </w:rPr>
        <w:t>4</w:t>
      </w:r>
    </w:p>
    <w:bookmarkEnd w:id="33"/>
    <w:p w14:paraId="06A0782A" w14:textId="77777777" w:rsidR="000C2A54" w:rsidRPr="00AC49A1" w:rsidRDefault="000C2A54" w:rsidP="000C2A54">
      <w:pPr>
        <w:widowControl w:val="0"/>
        <w:tabs>
          <w:tab w:val="right" w:pos="7371"/>
          <w:tab w:val="right" w:pos="9071"/>
        </w:tabs>
        <w:autoSpaceDE w:val="0"/>
        <w:autoSpaceDN w:val="0"/>
        <w:adjustRightInd w:val="0"/>
        <w:rPr>
          <w:rFonts w:cs="Arial"/>
          <w:b/>
          <w:bCs/>
          <w:sz w:val="22"/>
          <w:szCs w:val="22"/>
        </w:rPr>
      </w:pPr>
    </w:p>
    <w:p w14:paraId="552EA558" w14:textId="04965E71" w:rsidR="000C2A54" w:rsidRPr="003061F1" w:rsidRDefault="000C2A54" w:rsidP="000C2A54">
      <w:pPr>
        <w:widowControl w:val="0"/>
        <w:tabs>
          <w:tab w:val="right" w:pos="7371"/>
          <w:tab w:val="right" w:pos="9071"/>
        </w:tabs>
        <w:autoSpaceDE w:val="0"/>
        <w:autoSpaceDN w:val="0"/>
        <w:adjustRightInd w:val="0"/>
        <w:rPr>
          <w:rFonts w:cs="Arial"/>
          <w:b/>
          <w:bCs/>
          <w:sz w:val="20"/>
          <w:szCs w:val="20"/>
        </w:rPr>
      </w:pPr>
      <w:r w:rsidRPr="00AC49A1">
        <w:rPr>
          <w:rFonts w:cs="Arial"/>
          <w:b/>
          <w:bCs/>
          <w:sz w:val="22"/>
          <w:szCs w:val="22"/>
        </w:rPr>
        <w:tab/>
      </w:r>
      <w:r w:rsidR="003A3109">
        <w:rPr>
          <w:rFonts w:cs="Arial"/>
          <w:b/>
          <w:bCs/>
          <w:sz w:val="20"/>
          <w:szCs w:val="20"/>
        </w:rPr>
        <w:t>202</w:t>
      </w:r>
      <w:r w:rsidR="00545EEE">
        <w:rPr>
          <w:rFonts w:cs="Arial"/>
          <w:b/>
          <w:bCs/>
          <w:sz w:val="20"/>
          <w:szCs w:val="20"/>
        </w:rPr>
        <w:t>3</w:t>
      </w:r>
      <w:r w:rsidR="003A3109">
        <w:rPr>
          <w:rFonts w:cs="Arial"/>
          <w:b/>
          <w:bCs/>
          <w:sz w:val="20"/>
          <w:szCs w:val="20"/>
        </w:rPr>
        <w:t>-2</w:t>
      </w:r>
      <w:r w:rsidR="00545EEE">
        <w:rPr>
          <w:rFonts w:cs="Arial"/>
          <w:b/>
          <w:bCs/>
          <w:sz w:val="20"/>
          <w:szCs w:val="20"/>
        </w:rPr>
        <w:t>4</w:t>
      </w:r>
      <w:r w:rsidRPr="003061F1">
        <w:rPr>
          <w:rFonts w:cs="Arial"/>
          <w:b/>
          <w:bCs/>
          <w:sz w:val="20"/>
          <w:szCs w:val="20"/>
        </w:rPr>
        <w:tab/>
      </w:r>
      <w:r w:rsidR="003A3109">
        <w:rPr>
          <w:rFonts w:cs="Arial"/>
          <w:b/>
          <w:bCs/>
          <w:sz w:val="20"/>
          <w:szCs w:val="20"/>
        </w:rPr>
        <w:t>202</w:t>
      </w:r>
      <w:r w:rsidR="00CA4EDC">
        <w:rPr>
          <w:rFonts w:cs="Arial"/>
          <w:b/>
          <w:bCs/>
          <w:sz w:val="20"/>
          <w:szCs w:val="20"/>
        </w:rPr>
        <w:t>2</w:t>
      </w:r>
      <w:r w:rsidR="003A3109">
        <w:rPr>
          <w:rFonts w:cs="Arial"/>
          <w:b/>
          <w:bCs/>
          <w:sz w:val="20"/>
          <w:szCs w:val="20"/>
        </w:rPr>
        <w:t>-2</w:t>
      </w:r>
      <w:r w:rsidR="00CA4EDC">
        <w:rPr>
          <w:rFonts w:cs="Arial"/>
          <w:b/>
          <w:bCs/>
          <w:sz w:val="20"/>
          <w:szCs w:val="20"/>
        </w:rPr>
        <w:t>3</w:t>
      </w:r>
    </w:p>
    <w:p w14:paraId="798A02BF" w14:textId="77777777" w:rsidR="000C2A54" w:rsidRPr="003061F1" w:rsidRDefault="000C2A54" w:rsidP="000C2A54">
      <w:pPr>
        <w:widowControl w:val="0"/>
        <w:tabs>
          <w:tab w:val="center" w:pos="5580"/>
          <w:tab w:val="right" w:pos="7371"/>
          <w:tab w:val="right" w:pos="9072"/>
        </w:tabs>
        <w:autoSpaceDE w:val="0"/>
        <w:autoSpaceDN w:val="0"/>
        <w:adjustRightInd w:val="0"/>
        <w:rPr>
          <w:b/>
          <w:sz w:val="20"/>
          <w:szCs w:val="20"/>
        </w:rPr>
      </w:pPr>
      <w:r w:rsidRPr="003061F1">
        <w:rPr>
          <w:b/>
          <w:sz w:val="20"/>
          <w:szCs w:val="20"/>
        </w:rPr>
        <w:tab/>
        <w:t>Notes</w:t>
      </w:r>
      <w:r w:rsidRPr="003061F1">
        <w:rPr>
          <w:b/>
          <w:sz w:val="20"/>
          <w:szCs w:val="20"/>
        </w:rPr>
        <w:tab/>
        <w:t>£</w:t>
      </w:r>
      <w:r w:rsidRPr="003061F1">
        <w:rPr>
          <w:b/>
          <w:sz w:val="20"/>
          <w:szCs w:val="20"/>
        </w:rPr>
        <w:tab/>
        <w:t>£</w:t>
      </w:r>
    </w:p>
    <w:p w14:paraId="3E985B2A" w14:textId="77777777" w:rsidR="000C2A54" w:rsidRPr="003061F1" w:rsidRDefault="000C2A54" w:rsidP="000C2A54">
      <w:pPr>
        <w:widowControl w:val="0"/>
        <w:tabs>
          <w:tab w:val="center" w:pos="5580"/>
        </w:tabs>
        <w:autoSpaceDE w:val="0"/>
        <w:autoSpaceDN w:val="0"/>
        <w:adjustRightInd w:val="0"/>
        <w:rPr>
          <w:rFonts w:cs="Arial"/>
          <w:b/>
          <w:bCs/>
          <w:sz w:val="20"/>
          <w:szCs w:val="20"/>
        </w:rPr>
      </w:pPr>
    </w:p>
    <w:p w14:paraId="75EE24CF"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rPr>
      </w:pPr>
      <w:r w:rsidRPr="003061F1">
        <w:rPr>
          <w:rFonts w:cs="Arial"/>
          <w:b/>
          <w:bCs/>
          <w:sz w:val="20"/>
          <w:szCs w:val="20"/>
        </w:rPr>
        <w:t>Expenditure</w:t>
      </w:r>
    </w:p>
    <w:p w14:paraId="4C070F23" w14:textId="37BEC89D" w:rsidR="000C2A54" w:rsidRPr="003061F1" w:rsidRDefault="000C2A54" w:rsidP="000C2A54">
      <w:pPr>
        <w:widowControl w:val="0"/>
        <w:tabs>
          <w:tab w:val="center" w:pos="5580"/>
          <w:tab w:val="right" w:pos="7371"/>
          <w:tab w:val="left" w:pos="7695"/>
          <w:tab w:val="right" w:pos="9071"/>
        </w:tabs>
        <w:autoSpaceDE w:val="0"/>
        <w:autoSpaceDN w:val="0"/>
        <w:adjustRightInd w:val="0"/>
        <w:rPr>
          <w:rFonts w:cs="Arial"/>
          <w:sz w:val="20"/>
          <w:szCs w:val="20"/>
        </w:rPr>
      </w:pPr>
      <w:r w:rsidRPr="003061F1">
        <w:rPr>
          <w:rFonts w:cs="Arial"/>
          <w:sz w:val="20"/>
          <w:szCs w:val="20"/>
        </w:rPr>
        <w:t xml:space="preserve">Staff </w:t>
      </w:r>
      <w:proofErr w:type="gramStart"/>
      <w:r w:rsidRPr="003061F1">
        <w:rPr>
          <w:rFonts w:cs="Arial"/>
          <w:sz w:val="20"/>
          <w:szCs w:val="20"/>
        </w:rPr>
        <w:t>costs</w:t>
      </w:r>
      <w:proofErr w:type="gramEnd"/>
      <w:r w:rsidRPr="003061F1">
        <w:rPr>
          <w:rFonts w:cs="Arial"/>
          <w:sz w:val="20"/>
          <w:szCs w:val="20"/>
        </w:rPr>
        <w:tab/>
      </w:r>
      <w:r w:rsidRPr="003061F1">
        <w:rPr>
          <w:rFonts w:cs="Arial"/>
          <w:b/>
          <w:bCs/>
          <w:sz w:val="20"/>
          <w:szCs w:val="20"/>
        </w:rPr>
        <w:t>3</w:t>
      </w:r>
      <w:r w:rsidR="0087285C">
        <w:rPr>
          <w:rFonts w:cs="Arial"/>
          <w:bCs/>
          <w:sz w:val="20"/>
          <w:szCs w:val="20"/>
        </w:rPr>
        <w:tab/>
      </w:r>
      <w:r w:rsidR="003A3109">
        <w:rPr>
          <w:rFonts w:cs="Arial"/>
          <w:bCs/>
          <w:sz w:val="20"/>
          <w:szCs w:val="20"/>
        </w:rPr>
        <w:t>1,</w:t>
      </w:r>
      <w:r w:rsidR="002C5BFB">
        <w:rPr>
          <w:rFonts w:cs="Arial"/>
          <w:bCs/>
          <w:sz w:val="20"/>
          <w:szCs w:val="20"/>
        </w:rPr>
        <w:t>881</w:t>
      </w:r>
      <w:r w:rsidR="004A14D8">
        <w:rPr>
          <w:rFonts w:cs="Arial"/>
          <w:bCs/>
          <w:sz w:val="20"/>
          <w:szCs w:val="20"/>
        </w:rPr>
        <w:t>,</w:t>
      </w:r>
      <w:r w:rsidR="002C5BFB">
        <w:rPr>
          <w:rFonts w:cs="Arial"/>
          <w:bCs/>
          <w:sz w:val="20"/>
          <w:szCs w:val="20"/>
        </w:rPr>
        <w:t>35</w:t>
      </w:r>
      <w:r w:rsidR="00CF630D">
        <w:rPr>
          <w:rFonts w:cs="Arial"/>
          <w:bCs/>
          <w:sz w:val="20"/>
          <w:szCs w:val="20"/>
        </w:rPr>
        <w:t>2</w:t>
      </w:r>
      <w:r w:rsidRPr="003061F1">
        <w:rPr>
          <w:rFonts w:cs="Arial"/>
          <w:bCs/>
          <w:sz w:val="20"/>
          <w:szCs w:val="20"/>
        </w:rPr>
        <w:tab/>
      </w:r>
      <w:r w:rsidRPr="003061F1">
        <w:rPr>
          <w:rFonts w:cs="Arial"/>
          <w:bCs/>
          <w:sz w:val="20"/>
          <w:szCs w:val="20"/>
        </w:rPr>
        <w:tab/>
      </w:r>
      <w:r w:rsidR="004A14D8">
        <w:rPr>
          <w:rFonts w:cs="Arial"/>
          <w:bCs/>
          <w:sz w:val="20"/>
          <w:szCs w:val="20"/>
        </w:rPr>
        <w:t>1,</w:t>
      </w:r>
      <w:r w:rsidR="00545EEE">
        <w:rPr>
          <w:rFonts w:cs="Arial"/>
          <w:bCs/>
          <w:sz w:val="20"/>
          <w:szCs w:val="20"/>
        </w:rPr>
        <w:t>668,716</w:t>
      </w:r>
    </w:p>
    <w:p w14:paraId="45DC87F5" w14:textId="49F58D0E" w:rsidR="000C2A54" w:rsidRDefault="007B768A" w:rsidP="000C2A54">
      <w:pPr>
        <w:widowControl w:val="0"/>
        <w:tabs>
          <w:tab w:val="center" w:pos="5580"/>
          <w:tab w:val="right" w:pos="7371"/>
          <w:tab w:val="right" w:pos="9071"/>
        </w:tabs>
        <w:autoSpaceDE w:val="0"/>
        <w:autoSpaceDN w:val="0"/>
        <w:adjustRightInd w:val="0"/>
        <w:rPr>
          <w:rFonts w:cs="Arial"/>
          <w:bCs/>
          <w:sz w:val="20"/>
          <w:szCs w:val="20"/>
        </w:rPr>
      </w:pPr>
      <w:r>
        <w:rPr>
          <w:rFonts w:cs="Arial"/>
          <w:sz w:val="20"/>
          <w:szCs w:val="20"/>
        </w:rPr>
        <w:t>Other o</w:t>
      </w:r>
      <w:r w:rsidR="000C2A54" w:rsidRPr="003061F1">
        <w:rPr>
          <w:rFonts w:cs="Arial"/>
          <w:sz w:val="20"/>
          <w:szCs w:val="20"/>
        </w:rPr>
        <w:t>perating costs</w:t>
      </w:r>
      <w:r w:rsidR="000C2A54" w:rsidRPr="003061F1">
        <w:rPr>
          <w:rFonts w:cs="Arial"/>
          <w:sz w:val="20"/>
          <w:szCs w:val="20"/>
        </w:rPr>
        <w:tab/>
      </w:r>
      <w:r w:rsidR="000C2A54" w:rsidRPr="003061F1">
        <w:rPr>
          <w:rFonts w:cs="Arial"/>
          <w:b/>
          <w:bCs/>
          <w:sz w:val="20"/>
          <w:szCs w:val="20"/>
        </w:rPr>
        <w:t>4</w:t>
      </w:r>
      <w:r w:rsidR="000C2A54" w:rsidRPr="003061F1">
        <w:rPr>
          <w:rFonts w:cs="Arial"/>
          <w:bCs/>
          <w:sz w:val="20"/>
          <w:szCs w:val="20"/>
        </w:rPr>
        <w:tab/>
      </w:r>
      <w:r w:rsidR="00B55E87">
        <w:rPr>
          <w:rFonts w:cs="Arial"/>
          <w:bCs/>
          <w:sz w:val="20"/>
          <w:szCs w:val="20"/>
        </w:rPr>
        <w:t>6</w:t>
      </w:r>
      <w:r w:rsidR="002C5BFB">
        <w:rPr>
          <w:rFonts w:cs="Arial"/>
          <w:bCs/>
          <w:sz w:val="20"/>
          <w:szCs w:val="20"/>
        </w:rPr>
        <w:t>71</w:t>
      </w:r>
      <w:r w:rsidR="009D6D7C">
        <w:rPr>
          <w:rFonts w:cs="Arial"/>
          <w:bCs/>
          <w:sz w:val="20"/>
          <w:szCs w:val="20"/>
        </w:rPr>
        <w:t>,</w:t>
      </w:r>
      <w:r w:rsidR="002C5BFB">
        <w:rPr>
          <w:rFonts w:cs="Arial"/>
          <w:bCs/>
          <w:sz w:val="20"/>
          <w:szCs w:val="20"/>
        </w:rPr>
        <w:t>686</w:t>
      </w:r>
      <w:r w:rsidR="000C2A54" w:rsidRPr="003061F1">
        <w:rPr>
          <w:rFonts w:cs="Arial"/>
          <w:bCs/>
          <w:sz w:val="20"/>
          <w:szCs w:val="20"/>
        </w:rPr>
        <w:tab/>
      </w:r>
      <w:r w:rsidR="004A14D8">
        <w:rPr>
          <w:rFonts w:cs="Arial"/>
          <w:bCs/>
          <w:sz w:val="20"/>
          <w:szCs w:val="20"/>
        </w:rPr>
        <w:t>6</w:t>
      </w:r>
      <w:r w:rsidR="00545EEE">
        <w:rPr>
          <w:rFonts w:cs="Arial"/>
          <w:bCs/>
          <w:sz w:val="20"/>
          <w:szCs w:val="20"/>
        </w:rPr>
        <w:t>35,581</w:t>
      </w:r>
    </w:p>
    <w:p w14:paraId="38589E77" w14:textId="6C35B2D6" w:rsidR="000C2A54" w:rsidRDefault="007B768A" w:rsidP="000C2A54">
      <w:pPr>
        <w:widowControl w:val="0"/>
        <w:tabs>
          <w:tab w:val="center" w:pos="5580"/>
          <w:tab w:val="right" w:pos="7371"/>
          <w:tab w:val="right" w:pos="9071"/>
        </w:tabs>
        <w:autoSpaceDE w:val="0"/>
        <w:autoSpaceDN w:val="0"/>
        <w:adjustRightInd w:val="0"/>
        <w:rPr>
          <w:rFonts w:cs="Arial"/>
          <w:bCs/>
          <w:sz w:val="20"/>
          <w:szCs w:val="20"/>
        </w:rPr>
      </w:pPr>
      <w:r>
        <w:rPr>
          <w:rFonts w:cs="Arial"/>
          <w:sz w:val="20"/>
          <w:szCs w:val="20"/>
        </w:rPr>
        <w:t>Depreciation, amortisation and i</w:t>
      </w:r>
      <w:r w:rsidR="000C2A54" w:rsidRPr="003061F1">
        <w:rPr>
          <w:rFonts w:cs="Arial"/>
          <w:sz w:val="20"/>
          <w:szCs w:val="20"/>
        </w:rPr>
        <w:t>mpairment</w:t>
      </w:r>
      <w:r w:rsidR="000C2A54" w:rsidRPr="003061F1">
        <w:rPr>
          <w:rFonts w:cs="Arial"/>
          <w:sz w:val="20"/>
          <w:szCs w:val="20"/>
        </w:rPr>
        <w:tab/>
      </w:r>
      <w:r w:rsidR="000C2A54" w:rsidRPr="003061F1">
        <w:rPr>
          <w:rFonts w:cs="Arial"/>
          <w:b/>
          <w:bCs/>
          <w:sz w:val="20"/>
          <w:szCs w:val="20"/>
        </w:rPr>
        <w:t>4</w:t>
      </w:r>
      <w:r w:rsidR="000C2A54" w:rsidRPr="003061F1">
        <w:rPr>
          <w:rFonts w:cs="Arial"/>
          <w:bCs/>
          <w:sz w:val="20"/>
          <w:szCs w:val="20"/>
        </w:rPr>
        <w:tab/>
      </w:r>
      <w:r w:rsidR="004A14D8">
        <w:rPr>
          <w:rFonts w:cs="Arial"/>
          <w:bCs/>
          <w:sz w:val="20"/>
          <w:szCs w:val="20"/>
        </w:rPr>
        <w:t>10</w:t>
      </w:r>
      <w:r w:rsidR="002C5BFB">
        <w:rPr>
          <w:rFonts w:cs="Arial"/>
          <w:bCs/>
          <w:sz w:val="20"/>
          <w:szCs w:val="20"/>
        </w:rPr>
        <w:t>5</w:t>
      </w:r>
      <w:r w:rsidR="004A14D8">
        <w:rPr>
          <w:rFonts w:cs="Arial"/>
          <w:bCs/>
          <w:sz w:val="20"/>
          <w:szCs w:val="20"/>
        </w:rPr>
        <w:t>,</w:t>
      </w:r>
      <w:r w:rsidR="002C5BFB">
        <w:rPr>
          <w:rFonts w:cs="Arial"/>
          <w:bCs/>
          <w:sz w:val="20"/>
          <w:szCs w:val="20"/>
        </w:rPr>
        <w:t>149</w:t>
      </w:r>
      <w:r w:rsidR="000C2A54" w:rsidRPr="003061F1">
        <w:rPr>
          <w:rFonts w:cs="Arial"/>
          <w:bCs/>
          <w:sz w:val="20"/>
          <w:szCs w:val="20"/>
        </w:rPr>
        <w:tab/>
      </w:r>
      <w:r w:rsidR="00545EEE">
        <w:rPr>
          <w:rFonts w:cs="Arial"/>
          <w:bCs/>
          <w:sz w:val="20"/>
          <w:szCs w:val="20"/>
        </w:rPr>
        <w:t>100,461</w:t>
      </w:r>
    </w:p>
    <w:p w14:paraId="00F07D64" w14:textId="33BD1DC9" w:rsidR="004A14D8" w:rsidRPr="004A14D8" w:rsidRDefault="004A14D8" w:rsidP="000C2A54">
      <w:pPr>
        <w:widowControl w:val="0"/>
        <w:tabs>
          <w:tab w:val="center" w:pos="5580"/>
          <w:tab w:val="right" w:pos="7371"/>
          <w:tab w:val="right" w:pos="9071"/>
        </w:tabs>
        <w:autoSpaceDE w:val="0"/>
        <w:autoSpaceDN w:val="0"/>
        <w:adjustRightInd w:val="0"/>
        <w:rPr>
          <w:rFonts w:cs="Arial"/>
          <w:bCs/>
          <w:sz w:val="20"/>
          <w:szCs w:val="20"/>
        </w:rPr>
      </w:pPr>
      <w:r>
        <w:rPr>
          <w:rFonts w:cs="Arial"/>
          <w:bCs/>
          <w:sz w:val="20"/>
          <w:szCs w:val="20"/>
        </w:rPr>
        <w:t>Depreciation on Right-of-Use Assets</w:t>
      </w:r>
      <w:r>
        <w:rPr>
          <w:rFonts w:cs="Arial"/>
          <w:bCs/>
          <w:sz w:val="20"/>
          <w:szCs w:val="20"/>
        </w:rPr>
        <w:tab/>
      </w:r>
      <w:r w:rsidR="0048054A">
        <w:rPr>
          <w:rFonts w:cs="Arial"/>
          <w:b/>
          <w:sz w:val="20"/>
          <w:szCs w:val="20"/>
        </w:rPr>
        <w:t>4</w:t>
      </w:r>
      <w:r>
        <w:rPr>
          <w:rFonts w:cs="Arial"/>
          <w:b/>
          <w:sz w:val="20"/>
          <w:szCs w:val="20"/>
        </w:rPr>
        <w:tab/>
      </w:r>
      <w:r w:rsidR="009D6D7C">
        <w:rPr>
          <w:rFonts w:cs="Arial"/>
          <w:bCs/>
          <w:sz w:val="20"/>
          <w:szCs w:val="20"/>
        </w:rPr>
        <w:t>75,431</w:t>
      </w:r>
      <w:r>
        <w:rPr>
          <w:rFonts w:cs="Arial"/>
          <w:bCs/>
          <w:sz w:val="20"/>
          <w:szCs w:val="20"/>
        </w:rPr>
        <w:tab/>
      </w:r>
      <w:r w:rsidR="00545EEE">
        <w:rPr>
          <w:rFonts w:cs="Arial"/>
          <w:bCs/>
          <w:sz w:val="20"/>
          <w:szCs w:val="20"/>
        </w:rPr>
        <w:t>75,431</w:t>
      </w:r>
    </w:p>
    <w:p w14:paraId="103DDBA5"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301FFDEB" w14:textId="226BEBA1" w:rsidR="000C2A54" w:rsidRPr="003061F1" w:rsidRDefault="000C2A54" w:rsidP="000C2A54">
      <w:pPr>
        <w:widowControl w:val="0"/>
        <w:tabs>
          <w:tab w:val="center" w:pos="5580"/>
          <w:tab w:val="right" w:pos="7371"/>
          <w:tab w:val="right" w:pos="9071"/>
        </w:tabs>
        <w:autoSpaceDE w:val="0"/>
        <w:autoSpaceDN w:val="0"/>
        <w:adjustRightInd w:val="0"/>
        <w:rPr>
          <w:rFonts w:cs="Arial"/>
          <w:b/>
          <w:sz w:val="20"/>
          <w:szCs w:val="20"/>
        </w:rPr>
      </w:pPr>
      <w:r w:rsidRPr="003061F1">
        <w:rPr>
          <w:rFonts w:cs="Arial"/>
          <w:b/>
          <w:bCs/>
          <w:sz w:val="20"/>
          <w:szCs w:val="20"/>
        </w:rPr>
        <w:t xml:space="preserve">Total </w:t>
      </w:r>
      <w:r w:rsidR="007B768A">
        <w:rPr>
          <w:rFonts w:cs="Arial"/>
          <w:b/>
          <w:bCs/>
          <w:sz w:val="20"/>
          <w:szCs w:val="20"/>
        </w:rPr>
        <w:t xml:space="preserve">operating </w:t>
      </w:r>
      <w:r w:rsidRPr="003061F1">
        <w:rPr>
          <w:rFonts w:cs="Arial"/>
          <w:b/>
          <w:bCs/>
          <w:sz w:val="20"/>
          <w:szCs w:val="20"/>
        </w:rPr>
        <w:t>expenditure</w:t>
      </w:r>
      <w:r w:rsidRPr="003061F1">
        <w:rPr>
          <w:rFonts w:cs="Arial"/>
          <w:b/>
          <w:bCs/>
          <w:sz w:val="20"/>
          <w:szCs w:val="20"/>
        </w:rPr>
        <w:tab/>
      </w:r>
      <w:r w:rsidRPr="003061F1">
        <w:rPr>
          <w:rFonts w:cs="Arial"/>
          <w:b/>
          <w:bCs/>
          <w:sz w:val="20"/>
          <w:szCs w:val="20"/>
        </w:rPr>
        <w:tab/>
      </w:r>
      <w:r w:rsidR="00B55E87" w:rsidRPr="00CF630D">
        <w:rPr>
          <w:rFonts w:cs="Arial"/>
          <w:b/>
          <w:bCs/>
          <w:sz w:val="20"/>
          <w:szCs w:val="20"/>
        </w:rPr>
        <w:t>2,</w:t>
      </w:r>
      <w:r w:rsidR="002C5BFB" w:rsidRPr="00CF630D">
        <w:rPr>
          <w:rFonts w:cs="Arial"/>
          <w:b/>
          <w:bCs/>
          <w:sz w:val="20"/>
          <w:szCs w:val="20"/>
        </w:rPr>
        <w:t>733</w:t>
      </w:r>
      <w:r w:rsidR="009D6D7C" w:rsidRPr="00CF630D">
        <w:rPr>
          <w:rFonts w:cs="Arial"/>
          <w:b/>
          <w:bCs/>
          <w:sz w:val="20"/>
          <w:szCs w:val="20"/>
        </w:rPr>
        <w:t>,</w:t>
      </w:r>
      <w:r w:rsidR="002C5BFB" w:rsidRPr="00CF630D">
        <w:rPr>
          <w:rFonts w:cs="Arial"/>
          <w:b/>
          <w:bCs/>
          <w:sz w:val="20"/>
          <w:szCs w:val="20"/>
        </w:rPr>
        <w:t>618</w:t>
      </w:r>
      <w:r w:rsidRPr="003061F1">
        <w:rPr>
          <w:rFonts w:cs="Arial"/>
          <w:b/>
          <w:bCs/>
          <w:sz w:val="20"/>
          <w:szCs w:val="20"/>
        </w:rPr>
        <w:tab/>
      </w:r>
      <w:r w:rsidR="004A14D8" w:rsidRPr="00CC7273">
        <w:rPr>
          <w:rFonts w:cs="Arial"/>
          <w:b/>
          <w:bCs/>
          <w:sz w:val="20"/>
          <w:szCs w:val="20"/>
        </w:rPr>
        <w:t>2,</w:t>
      </w:r>
      <w:r w:rsidR="00545EEE" w:rsidRPr="00CC7273">
        <w:rPr>
          <w:rFonts w:cs="Arial"/>
          <w:b/>
          <w:bCs/>
          <w:sz w:val="20"/>
          <w:szCs w:val="20"/>
        </w:rPr>
        <w:t>480,189</w:t>
      </w:r>
    </w:p>
    <w:p w14:paraId="565CE3F5"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44A201B3"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highlight w:val="yellow"/>
        </w:rPr>
      </w:pPr>
    </w:p>
    <w:p w14:paraId="162805C0" w14:textId="77777777" w:rsidR="000C2A54" w:rsidRPr="003061F1" w:rsidRDefault="000C2A54" w:rsidP="000C2A54">
      <w:pPr>
        <w:widowControl w:val="0"/>
        <w:tabs>
          <w:tab w:val="center" w:pos="5580"/>
          <w:tab w:val="right" w:pos="7371"/>
          <w:tab w:val="right" w:pos="9071"/>
        </w:tabs>
        <w:autoSpaceDE w:val="0"/>
        <w:autoSpaceDN w:val="0"/>
        <w:adjustRightInd w:val="0"/>
        <w:rPr>
          <w:rFonts w:cs="Arial"/>
          <w:b/>
          <w:bCs/>
          <w:sz w:val="20"/>
          <w:szCs w:val="20"/>
        </w:rPr>
      </w:pPr>
      <w:r w:rsidRPr="003061F1">
        <w:rPr>
          <w:rFonts w:cs="Arial"/>
          <w:b/>
          <w:bCs/>
          <w:sz w:val="20"/>
          <w:szCs w:val="20"/>
        </w:rPr>
        <w:t>Income</w:t>
      </w:r>
    </w:p>
    <w:p w14:paraId="18714270" w14:textId="3EF320BE" w:rsidR="000C2A54" w:rsidRPr="003061F1" w:rsidRDefault="000C2A54" w:rsidP="000C2A54">
      <w:pPr>
        <w:widowControl w:val="0"/>
        <w:tabs>
          <w:tab w:val="center" w:pos="5580"/>
          <w:tab w:val="right" w:pos="7371"/>
          <w:tab w:val="right" w:pos="9071"/>
        </w:tabs>
        <w:autoSpaceDE w:val="0"/>
        <w:autoSpaceDN w:val="0"/>
        <w:adjustRightInd w:val="0"/>
        <w:rPr>
          <w:rFonts w:cs="Arial"/>
          <w:sz w:val="20"/>
          <w:szCs w:val="20"/>
        </w:rPr>
      </w:pPr>
      <w:r w:rsidRPr="003061F1">
        <w:rPr>
          <w:rFonts w:cs="Arial"/>
          <w:sz w:val="20"/>
          <w:szCs w:val="20"/>
        </w:rPr>
        <w:t xml:space="preserve">Other income </w:t>
      </w:r>
      <w:r w:rsidRPr="003061F1">
        <w:rPr>
          <w:rFonts w:cs="Arial"/>
          <w:sz w:val="20"/>
          <w:szCs w:val="20"/>
        </w:rPr>
        <w:tab/>
      </w:r>
      <w:r w:rsidRPr="003061F1">
        <w:rPr>
          <w:rFonts w:cs="Arial"/>
          <w:b/>
          <w:bCs/>
          <w:sz w:val="20"/>
          <w:szCs w:val="20"/>
        </w:rPr>
        <w:t>5</w:t>
      </w:r>
      <w:r w:rsidRPr="003061F1">
        <w:rPr>
          <w:rFonts w:cs="Arial"/>
          <w:bCs/>
          <w:sz w:val="20"/>
          <w:szCs w:val="20"/>
        </w:rPr>
        <w:tab/>
      </w:r>
      <w:r w:rsidR="004A14D8">
        <w:rPr>
          <w:rFonts w:cs="Arial"/>
          <w:bCs/>
          <w:sz w:val="20"/>
          <w:szCs w:val="20"/>
        </w:rPr>
        <w:t>(</w:t>
      </w:r>
      <w:r w:rsidR="002C5BFB">
        <w:rPr>
          <w:rFonts w:cs="Arial"/>
          <w:bCs/>
          <w:sz w:val="20"/>
          <w:szCs w:val="20"/>
        </w:rPr>
        <w:t>11</w:t>
      </w:r>
      <w:r w:rsidR="008460D1">
        <w:rPr>
          <w:rFonts w:cs="Arial"/>
          <w:bCs/>
          <w:sz w:val="20"/>
          <w:szCs w:val="20"/>
        </w:rPr>
        <w:t>,</w:t>
      </w:r>
      <w:r w:rsidR="002C5BFB">
        <w:rPr>
          <w:rFonts w:cs="Arial"/>
          <w:bCs/>
          <w:sz w:val="20"/>
          <w:szCs w:val="20"/>
        </w:rPr>
        <w:t>301</w:t>
      </w:r>
      <w:r w:rsidR="004A14D8">
        <w:rPr>
          <w:rFonts w:cs="Arial"/>
          <w:bCs/>
          <w:sz w:val="20"/>
          <w:szCs w:val="20"/>
        </w:rPr>
        <w:t>)</w:t>
      </w:r>
      <w:r w:rsidR="003A3109">
        <w:rPr>
          <w:rFonts w:cs="Arial"/>
          <w:bCs/>
          <w:sz w:val="20"/>
          <w:szCs w:val="20"/>
        </w:rPr>
        <w:tab/>
      </w:r>
      <w:r w:rsidR="00545EEE">
        <w:rPr>
          <w:rFonts w:cs="Arial"/>
          <w:bCs/>
          <w:sz w:val="20"/>
          <w:szCs w:val="20"/>
        </w:rPr>
        <w:t>(7,702)</w:t>
      </w:r>
    </w:p>
    <w:p w14:paraId="4C0E7231"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42CA6476" w14:textId="5C9A5A8F" w:rsidR="008460D1" w:rsidRPr="008460D1" w:rsidRDefault="000C2A54" w:rsidP="000C2A54">
      <w:pPr>
        <w:widowControl w:val="0"/>
        <w:tabs>
          <w:tab w:val="center" w:pos="5580"/>
          <w:tab w:val="right" w:pos="7371"/>
          <w:tab w:val="right" w:pos="9071"/>
        </w:tabs>
        <w:autoSpaceDE w:val="0"/>
        <w:autoSpaceDN w:val="0"/>
        <w:adjustRightInd w:val="0"/>
        <w:rPr>
          <w:rFonts w:cs="Arial"/>
          <w:b/>
          <w:bCs/>
          <w:sz w:val="20"/>
          <w:szCs w:val="20"/>
        </w:rPr>
      </w:pPr>
      <w:r w:rsidRPr="003061F1">
        <w:rPr>
          <w:rFonts w:cs="Arial"/>
          <w:b/>
          <w:bCs/>
          <w:sz w:val="20"/>
          <w:szCs w:val="20"/>
        </w:rPr>
        <w:t xml:space="preserve">Total </w:t>
      </w:r>
      <w:r w:rsidR="007B768A">
        <w:rPr>
          <w:rFonts w:cs="Arial"/>
          <w:b/>
          <w:bCs/>
          <w:sz w:val="20"/>
          <w:szCs w:val="20"/>
        </w:rPr>
        <w:t xml:space="preserve">operating </w:t>
      </w:r>
      <w:r w:rsidRPr="003061F1">
        <w:rPr>
          <w:rFonts w:cs="Arial"/>
          <w:b/>
          <w:bCs/>
          <w:sz w:val="20"/>
          <w:szCs w:val="20"/>
        </w:rPr>
        <w:t xml:space="preserve">income </w:t>
      </w:r>
      <w:r w:rsidRPr="003061F1">
        <w:rPr>
          <w:rFonts w:cs="Arial"/>
          <w:b/>
          <w:bCs/>
          <w:sz w:val="20"/>
          <w:szCs w:val="20"/>
        </w:rPr>
        <w:tab/>
      </w:r>
      <w:r w:rsidRPr="003061F1">
        <w:rPr>
          <w:rFonts w:cs="Arial"/>
          <w:b/>
          <w:bCs/>
          <w:sz w:val="20"/>
          <w:szCs w:val="20"/>
        </w:rPr>
        <w:tab/>
      </w:r>
      <w:r w:rsidR="004A14D8">
        <w:rPr>
          <w:rFonts w:cs="Arial"/>
          <w:b/>
          <w:bCs/>
          <w:sz w:val="20"/>
          <w:szCs w:val="20"/>
        </w:rPr>
        <w:t>(</w:t>
      </w:r>
      <w:r w:rsidR="002C5BFB">
        <w:rPr>
          <w:rFonts w:cs="Arial"/>
          <w:b/>
          <w:bCs/>
          <w:sz w:val="20"/>
          <w:szCs w:val="20"/>
        </w:rPr>
        <w:t>11</w:t>
      </w:r>
      <w:r w:rsidR="008460D1">
        <w:rPr>
          <w:rFonts w:cs="Arial"/>
          <w:b/>
          <w:bCs/>
          <w:sz w:val="20"/>
          <w:szCs w:val="20"/>
        </w:rPr>
        <w:t>,</w:t>
      </w:r>
      <w:r w:rsidR="002C5BFB">
        <w:rPr>
          <w:rFonts w:cs="Arial"/>
          <w:b/>
          <w:bCs/>
          <w:sz w:val="20"/>
          <w:szCs w:val="20"/>
        </w:rPr>
        <w:t>301</w:t>
      </w:r>
      <w:r w:rsidR="004A14D8">
        <w:rPr>
          <w:rFonts w:cs="Arial"/>
          <w:b/>
          <w:bCs/>
          <w:sz w:val="20"/>
          <w:szCs w:val="20"/>
        </w:rPr>
        <w:t>)</w:t>
      </w:r>
      <w:r w:rsidR="003A3109">
        <w:rPr>
          <w:rFonts w:cs="Arial"/>
          <w:b/>
          <w:bCs/>
          <w:sz w:val="20"/>
          <w:szCs w:val="20"/>
        </w:rPr>
        <w:tab/>
      </w:r>
      <w:r w:rsidR="00545EEE">
        <w:rPr>
          <w:rFonts w:cs="Arial"/>
          <w:b/>
          <w:bCs/>
          <w:sz w:val="20"/>
          <w:szCs w:val="20"/>
        </w:rPr>
        <w:t>(7,702)</w:t>
      </w:r>
    </w:p>
    <w:p w14:paraId="612E69A5" w14:textId="77777777" w:rsidR="000C2A54" w:rsidRPr="003061F1" w:rsidRDefault="000C2A54" w:rsidP="000C2A54">
      <w:pPr>
        <w:widowControl w:val="0"/>
        <w:tabs>
          <w:tab w:val="center" w:pos="5580"/>
          <w:tab w:val="right" w:pos="7371"/>
          <w:tab w:val="right" w:pos="9072"/>
        </w:tabs>
        <w:autoSpaceDE w:val="0"/>
        <w:autoSpaceDN w:val="0"/>
        <w:adjustRightInd w:val="0"/>
        <w:rPr>
          <w:rFonts w:cs="Arial"/>
          <w:sz w:val="20"/>
          <w:szCs w:val="20"/>
        </w:rPr>
      </w:pPr>
    </w:p>
    <w:p w14:paraId="4C97BFAC" w14:textId="77777777" w:rsidR="000C2A54" w:rsidRPr="003061F1" w:rsidRDefault="000C2A54" w:rsidP="000C2A54">
      <w:pPr>
        <w:widowControl w:val="0"/>
        <w:tabs>
          <w:tab w:val="center" w:pos="5580"/>
          <w:tab w:val="right" w:pos="7371"/>
          <w:tab w:val="right" w:pos="9072"/>
        </w:tabs>
        <w:autoSpaceDE w:val="0"/>
        <w:autoSpaceDN w:val="0"/>
        <w:adjustRightInd w:val="0"/>
        <w:rPr>
          <w:sz w:val="20"/>
          <w:szCs w:val="20"/>
        </w:rPr>
      </w:pPr>
      <w:r w:rsidRPr="003061F1">
        <w:rPr>
          <w:rFonts w:cs="Arial"/>
          <w:sz w:val="20"/>
          <w:szCs w:val="20"/>
        </w:rPr>
        <w:tab/>
      </w:r>
      <w:r w:rsidRPr="003061F1">
        <w:rPr>
          <w:rFonts w:cs="Arial"/>
          <w:sz w:val="20"/>
          <w:szCs w:val="20"/>
        </w:rPr>
        <w:tab/>
      </w:r>
      <w:r w:rsidRPr="003061F1">
        <w:rPr>
          <w:rFonts w:ascii="Arial" w:hAnsi="Arial" w:cs="Arial"/>
          <w:sz w:val="20"/>
          <w:szCs w:val="20"/>
        </w:rPr>
        <w:t>─────────</w:t>
      </w:r>
      <w:r w:rsidRPr="003061F1">
        <w:rPr>
          <w:rFonts w:cs="Arial"/>
          <w:sz w:val="20"/>
          <w:szCs w:val="20"/>
        </w:rPr>
        <w:tab/>
      </w:r>
      <w:r w:rsidRPr="003061F1">
        <w:rPr>
          <w:rFonts w:ascii="Arial" w:hAnsi="Arial" w:cs="Arial"/>
          <w:sz w:val="20"/>
          <w:szCs w:val="20"/>
        </w:rPr>
        <w:t>─────────</w:t>
      </w:r>
    </w:p>
    <w:p w14:paraId="74A1166D" w14:textId="6FA1AEB7" w:rsidR="000C2A54" w:rsidRPr="003061F1" w:rsidRDefault="00503D7F" w:rsidP="000C2A54">
      <w:pPr>
        <w:widowControl w:val="0"/>
        <w:tabs>
          <w:tab w:val="center" w:pos="5580"/>
          <w:tab w:val="right" w:pos="7371"/>
          <w:tab w:val="right" w:pos="9072"/>
        </w:tabs>
        <w:autoSpaceDE w:val="0"/>
        <w:autoSpaceDN w:val="0"/>
        <w:adjustRightInd w:val="0"/>
        <w:rPr>
          <w:b/>
          <w:sz w:val="20"/>
          <w:szCs w:val="20"/>
        </w:rPr>
      </w:pPr>
      <w:r>
        <w:rPr>
          <w:b/>
          <w:sz w:val="20"/>
          <w:szCs w:val="20"/>
        </w:rPr>
        <w:t>Net</w:t>
      </w:r>
      <w:r w:rsidR="007B768A">
        <w:rPr>
          <w:b/>
          <w:sz w:val="20"/>
          <w:szCs w:val="20"/>
        </w:rPr>
        <w:t xml:space="preserve"> operating e</w:t>
      </w:r>
      <w:r w:rsidR="000C2A54" w:rsidRPr="003061F1">
        <w:rPr>
          <w:b/>
          <w:sz w:val="20"/>
          <w:szCs w:val="20"/>
        </w:rPr>
        <w:t>xpenditure</w:t>
      </w:r>
      <w:r w:rsidR="000C2A54" w:rsidRPr="003061F1">
        <w:rPr>
          <w:b/>
          <w:sz w:val="20"/>
          <w:szCs w:val="20"/>
        </w:rPr>
        <w:tab/>
      </w:r>
      <w:r w:rsidR="000C2A54" w:rsidRPr="003061F1">
        <w:rPr>
          <w:b/>
          <w:sz w:val="20"/>
          <w:szCs w:val="20"/>
        </w:rPr>
        <w:tab/>
      </w:r>
      <w:r w:rsidR="00B55E87">
        <w:rPr>
          <w:b/>
          <w:sz w:val="20"/>
          <w:szCs w:val="20"/>
        </w:rPr>
        <w:t>2,</w:t>
      </w:r>
      <w:r w:rsidR="002C5BFB">
        <w:rPr>
          <w:b/>
          <w:sz w:val="20"/>
          <w:szCs w:val="20"/>
        </w:rPr>
        <w:t>722</w:t>
      </w:r>
      <w:r w:rsidR="009D6D7C">
        <w:rPr>
          <w:b/>
          <w:sz w:val="20"/>
          <w:szCs w:val="20"/>
        </w:rPr>
        <w:t>,</w:t>
      </w:r>
      <w:r w:rsidR="002C5BFB">
        <w:rPr>
          <w:b/>
          <w:sz w:val="20"/>
          <w:szCs w:val="20"/>
        </w:rPr>
        <w:t>31</w:t>
      </w:r>
      <w:r w:rsidR="009D6D7C">
        <w:rPr>
          <w:b/>
          <w:sz w:val="20"/>
          <w:szCs w:val="20"/>
        </w:rPr>
        <w:t>7</w:t>
      </w:r>
      <w:r w:rsidR="000C2A54" w:rsidRPr="003061F1">
        <w:rPr>
          <w:b/>
          <w:sz w:val="20"/>
          <w:szCs w:val="20"/>
        </w:rPr>
        <w:tab/>
      </w:r>
      <w:r w:rsidR="004A14D8">
        <w:rPr>
          <w:b/>
          <w:sz w:val="20"/>
          <w:szCs w:val="20"/>
        </w:rPr>
        <w:t>2,</w:t>
      </w:r>
      <w:r w:rsidR="00545EEE">
        <w:rPr>
          <w:b/>
          <w:sz w:val="20"/>
          <w:szCs w:val="20"/>
        </w:rPr>
        <w:t>472,487</w:t>
      </w:r>
    </w:p>
    <w:p w14:paraId="62E657D8" w14:textId="3BCBF522" w:rsidR="000C2A54" w:rsidRDefault="000C2A54" w:rsidP="000C2A54">
      <w:pPr>
        <w:widowControl w:val="0"/>
        <w:tabs>
          <w:tab w:val="center" w:pos="5580"/>
          <w:tab w:val="right" w:pos="7371"/>
          <w:tab w:val="right" w:pos="9072"/>
        </w:tabs>
        <w:autoSpaceDE w:val="0"/>
        <w:autoSpaceDN w:val="0"/>
        <w:adjustRightInd w:val="0"/>
        <w:rPr>
          <w:rFonts w:cs="Arial"/>
          <w:sz w:val="22"/>
          <w:szCs w:val="22"/>
        </w:rPr>
      </w:pPr>
      <w:r w:rsidRPr="003061F1">
        <w:rPr>
          <w:b/>
          <w:sz w:val="20"/>
          <w:szCs w:val="20"/>
        </w:rPr>
        <w:t>for the year ended 31 March</w:t>
      </w:r>
      <w:r w:rsidR="003A3109">
        <w:rPr>
          <w:b/>
          <w:sz w:val="20"/>
          <w:szCs w:val="20"/>
        </w:rPr>
        <w:t xml:space="preserve"> 202</w:t>
      </w:r>
      <w:r w:rsidR="00545EEE">
        <w:rPr>
          <w:b/>
          <w:sz w:val="20"/>
          <w:szCs w:val="20"/>
        </w:rPr>
        <w:t>4</w:t>
      </w:r>
      <w:r w:rsidRPr="003061F1">
        <w:rPr>
          <w:rFonts w:cs="Arial"/>
          <w:b/>
          <w:bCs/>
          <w:sz w:val="20"/>
          <w:szCs w:val="20"/>
        </w:rPr>
        <w:tab/>
      </w:r>
      <w:r w:rsidRPr="003061F1">
        <w:rPr>
          <w:rFonts w:cs="Arial"/>
          <w:b/>
          <w:bCs/>
          <w:sz w:val="20"/>
          <w:szCs w:val="20"/>
        </w:rPr>
        <w:tab/>
      </w:r>
      <w:r w:rsidRPr="003061F1">
        <w:rPr>
          <w:rFonts w:cs="Arial"/>
          <w:sz w:val="20"/>
          <w:szCs w:val="20"/>
        </w:rPr>
        <w:t>─────────</w:t>
      </w:r>
      <w:r w:rsidRPr="00EB5423">
        <w:rPr>
          <w:rFonts w:cs="Arial"/>
          <w:sz w:val="22"/>
          <w:szCs w:val="22"/>
        </w:rPr>
        <w:tab/>
        <w:t>─────────</w:t>
      </w:r>
    </w:p>
    <w:p w14:paraId="3E0A307C" w14:textId="77777777" w:rsidR="008460D1" w:rsidRDefault="008460D1" w:rsidP="000C2A54">
      <w:pPr>
        <w:widowControl w:val="0"/>
        <w:tabs>
          <w:tab w:val="center" w:pos="5580"/>
          <w:tab w:val="right" w:pos="7371"/>
          <w:tab w:val="right" w:pos="9072"/>
        </w:tabs>
        <w:autoSpaceDE w:val="0"/>
        <w:autoSpaceDN w:val="0"/>
        <w:adjustRightInd w:val="0"/>
        <w:rPr>
          <w:rFonts w:cs="Arial"/>
          <w:sz w:val="22"/>
          <w:szCs w:val="22"/>
        </w:rPr>
      </w:pPr>
    </w:p>
    <w:p w14:paraId="0437C915" w14:textId="57CB8763" w:rsidR="008460D1" w:rsidRPr="008460D1" w:rsidRDefault="008460D1" w:rsidP="000C2A54">
      <w:pPr>
        <w:widowControl w:val="0"/>
        <w:tabs>
          <w:tab w:val="center" w:pos="5580"/>
          <w:tab w:val="right" w:pos="7371"/>
          <w:tab w:val="right" w:pos="9072"/>
        </w:tabs>
        <w:autoSpaceDE w:val="0"/>
        <w:autoSpaceDN w:val="0"/>
        <w:adjustRightInd w:val="0"/>
        <w:rPr>
          <w:rFonts w:cs="Arial"/>
          <w:b/>
          <w:bCs/>
          <w:sz w:val="20"/>
          <w:szCs w:val="20"/>
        </w:rPr>
      </w:pPr>
      <w:r w:rsidRPr="008460D1">
        <w:rPr>
          <w:rFonts w:cs="Arial"/>
          <w:b/>
          <w:bCs/>
          <w:sz w:val="20"/>
          <w:szCs w:val="20"/>
        </w:rPr>
        <w:t>Finance Income</w:t>
      </w:r>
    </w:p>
    <w:p w14:paraId="63CC8A16" w14:textId="7BA92EC9" w:rsidR="008460D1" w:rsidRDefault="008460D1" w:rsidP="000C2A54">
      <w:pPr>
        <w:widowControl w:val="0"/>
        <w:tabs>
          <w:tab w:val="center" w:pos="5580"/>
          <w:tab w:val="right" w:pos="7371"/>
          <w:tab w:val="right" w:pos="9072"/>
        </w:tabs>
        <w:autoSpaceDE w:val="0"/>
        <w:autoSpaceDN w:val="0"/>
        <w:adjustRightInd w:val="0"/>
        <w:rPr>
          <w:rFonts w:cs="Arial"/>
          <w:sz w:val="20"/>
          <w:szCs w:val="20"/>
        </w:rPr>
      </w:pPr>
      <w:r w:rsidRPr="008460D1">
        <w:rPr>
          <w:rFonts w:cs="Arial"/>
          <w:sz w:val="20"/>
          <w:szCs w:val="20"/>
        </w:rPr>
        <w:t>Interest Receivable</w:t>
      </w:r>
      <w:r w:rsidRPr="008460D1">
        <w:rPr>
          <w:rFonts w:cs="Arial"/>
          <w:sz w:val="20"/>
          <w:szCs w:val="20"/>
        </w:rPr>
        <w:tab/>
      </w:r>
      <w:r w:rsidRPr="008460D1">
        <w:rPr>
          <w:rFonts w:cs="Arial"/>
          <w:sz w:val="20"/>
          <w:szCs w:val="20"/>
        </w:rPr>
        <w:tab/>
      </w:r>
      <w:r>
        <w:rPr>
          <w:rFonts w:cs="Arial"/>
          <w:sz w:val="20"/>
          <w:szCs w:val="20"/>
        </w:rPr>
        <w:t>(</w:t>
      </w:r>
      <w:r w:rsidR="002C5BFB">
        <w:rPr>
          <w:rFonts w:cs="Arial"/>
          <w:sz w:val="20"/>
          <w:szCs w:val="20"/>
        </w:rPr>
        <w:t>26</w:t>
      </w:r>
      <w:r>
        <w:rPr>
          <w:rFonts w:cs="Arial"/>
          <w:sz w:val="20"/>
          <w:szCs w:val="20"/>
        </w:rPr>
        <w:t>,</w:t>
      </w:r>
      <w:r w:rsidR="002C5BFB">
        <w:rPr>
          <w:rFonts w:cs="Arial"/>
          <w:sz w:val="20"/>
          <w:szCs w:val="20"/>
        </w:rPr>
        <w:t>433</w:t>
      </w:r>
      <w:r>
        <w:rPr>
          <w:rFonts w:cs="Arial"/>
          <w:sz w:val="20"/>
          <w:szCs w:val="20"/>
        </w:rPr>
        <w:t>)</w:t>
      </w:r>
      <w:r w:rsidRPr="008460D1">
        <w:rPr>
          <w:rFonts w:cs="Arial"/>
          <w:sz w:val="20"/>
          <w:szCs w:val="20"/>
        </w:rPr>
        <w:tab/>
      </w:r>
      <w:r w:rsidR="00545EEE">
        <w:rPr>
          <w:rFonts w:cs="Arial"/>
          <w:sz w:val="20"/>
          <w:szCs w:val="20"/>
        </w:rPr>
        <w:t>(3,810)</w:t>
      </w:r>
    </w:p>
    <w:p w14:paraId="6C5496D2" w14:textId="77777777" w:rsidR="008460D1" w:rsidRDefault="008460D1" w:rsidP="000C2A54">
      <w:pPr>
        <w:widowControl w:val="0"/>
        <w:tabs>
          <w:tab w:val="center" w:pos="5580"/>
          <w:tab w:val="right" w:pos="7371"/>
          <w:tab w:val="right" w:pos="9072"/>
        </w:tabs>
        <w:autoSpaceDE w:val="0"/>
        <w:autoSpaceDN w:val="0"/>
        <w:adjustRightInd w:val="0"/>
        <w:rPr>
          <w:rFonts w:cs="Arial"/>
          <w:sz w:val="20"/>
          <w:szCs w:val="20"/>
        </w:rPr>
      </w:pPr>
    </w:p>
    <w:p w14:paraId="45D875CD" w14:textId="58076687" w:rsidR="008460D1" w:rsidRPr="008460D1" w:rsidRDefault="008460D1" w:rsidP="000C2A54">
      <w:pPr>
        <w:widowControl w:val="0"/>
        <w:tabs>
          <w:tab w:val="center" w:pos="5580"/>
          <w:tab w:val="right" w:pos="7371"/>
          <w:tab w:val="right" w:pos="9072"/>
        </w:tabs>
        <w:autoSpaceDE w:val="0"/>
        <w:autoSpaceDN w:val="0"/>
        <w:adjustRightInd w:val="0"/>
        <w:rPr>
          <w:rFonts w:cs="Arial"/>
          <w:b/>
          <w:bCs/>
          <w:sz w:val="20"/>
          <w:szCs w:val="20"/>
        </w:rPr>
      </w:pPr>
      <w:r w:rsidRPr="008460D1">
        <w:rPr>
          <w:rFonts w:cs="Arial"/>
          <w:b/>
          <w:bCs/>
          <w:sz w:val="20"/>
          <w:szCs w:val="20"/>
        </w:rPr>
        <w:t>Finance Expense</w:t>
      </w:r>
    </w:p>
    <w:p w14:paraId="0802EF90" w14:textId="379EF336" w:rsidR="008460D1" w:rsidRPr="008460D1" w:rsidRDefault="008460D1" w:rsidP="008460D1">
      <w:pPr>
        <w:widowControl w:val="0"/>
        <w:tabs>
          <w:tab w:val="center" w:pos="5580"/>
          <w:tab w:val="left" w:pos="6195"/>
          <w:tab w:val="right" w:pos="7371"/>
          <w:tab w:val="left" w:pos="7605"/>
          <w:tab w:val="right" w:pos="9072"/>
        </w:tabs>
        <w:autoSpaceDE w:val="0"/>
        <w:autoSpaceDN w:val="0"/>
        <w:adjustRightInd w:val="0"/>
        <w:rPr>
          <w:rFonts w:cs="Arial"/>
          <w:b/>
          <w:bCs/>
          <w:sz w:val="20"/>
          <w:szCs w:val="20"/>
        </w:rPr>
      </w:pPr>
      <w:r>
        <w:rPr>
          <w:rFonts w:cs="Arial"/>
          <w:sz w:val="20"/>
          <w:szCs w:val="20"/>
        </w:rPr>
        <w:t>Finance expense on lease liabilit</w:t>
      </w:r>
      <w:r w:rsidR="002D47AF">
        <w:rPr>
          <w:rFonts w:cs="Arial"/>
          <w:sz w:val="20"/>
          <w:szCs w:val="20"/>
        </w:rPr>
        <w:t>ies</w:t>
      </w:r>
      <w:r>
        <w:rPr>
          <w:rFonts w:cs="Arial"/>
          <w:sz w:val="20"/>
          <w:szCs w:val="20"/>
        </w:rPr>
        <w:tab/>
      </w:r>
      <w:r w:rsidR="0048054A">
        <w:rPr>
          <w:rFonts w:cs="Arial"/>
          <w:b/>
          <w:bCs/>
          <w:sz w:val="20"/>
          <w:szCs w:val="20"/>
        </w:rPr>
        <w:t>4</w:t>
      </w:r>
      <w:r>
        <w:rPr>
          <w:rFonts w:cs="Arial"/>
          <w:sz w:val="20"/>
          <w:szCs w:val="20"/>
        </w:rPr>
        <w:tab/>
      </w:r>
      <w:r w:rsidRPr="008460D1">
        <w:rPr>
          <w:rFonts w:cs="Arial"/>
          <w:sz w:val="20"/>
          <w:szCs w:val="20"/>
          <w:u w:val="single"/>
        </w:rPr>
        <w:tab/>
      </w:r>
      <w:r w:rsidR="002C5BFB">
        <w:rPr>
          <w:rFonts w:cs="Arial"/>
          <w:sz w:val="20"/>
          <w:szCs w:val="20"/>
          <w:u w:val="single"/>
        </w:rPr>
        <w:t>6</w:t>
      </w:r>
      <w:r w:rsidR="009D6D7C">
        <w:rPr>
          <w:rFonts w:cs="Arial"/>
          <w:sz w:val="20"/>
          <w:szCs w:val="20"/>
          <w:u w:val="single"/>
        </w:rPr>
        <w:t>,</w:t>
      </w:r>
      <w:r w:rsidR="002C5BFB">
        <w:rPr>
          <w:rFonts w:cs="Arial"/>
          <w:sz w:val="20"/>
          <w:szCs w:val="20"/>
          <w:u w:val="single"/>
        </w:rPr>
        <w:t>651</w:t>
      </w:r>
      <w:r w:rsidRPr="008460D1">
        <w:rPr>
          <w:rFonts w:cs="Arial"/>
          <w:sz w:val="20"/>
          <w:szCs w:val="20"/>
        </w:rPr>
        <w:tab/>
      </w:r>
      <w:r>
        <w:rPr>
          <w:rFonts w:cs="Arial"/>
          <w:sz w:val="20"/>
          <w:szCs w:val="20"/>
          <w:u w:val="single"/>
        </w:rPr>
        <w:tab/>
      </w:r>
      <w:r w:rsidR="00545EEE">
        <w:rPr>
          <w:rFonts w:cs="Arial"/>
          <w:sz w:val="20"/>
          <w:szCs w:val="20"/>
          <w:u w:val="single"/>
        </w:rPr>
        <w:t>7,568</w:t>
      </w:r>
    </w:p>
    <w:p w14:paraId="39C4EA3D" w14:textId="19BA30DE" w:rsidR="000C2A54" w:rsidRPr="008460D1" w:rsidRDefault="008460D1" w:rsidP="000C2A54">
      <w:pPr>
        <w:widowControl w:val="0"/>
        <w:tabs>
          <w:tab w:val="center" w:pos="5529"/>
          <w:tab w:val="right" w:pos="7371"/>
          <w:tab w:val="right" w:pos="9356"/>
        </w:tabs>
        <w:autoSpaceDE w:val="0"/>
        <w:autoSpaceDN w:val="0"/>
        <w:adjustRightInd w:val="0"/>
        <w:rPr>
          <w:b/>
          <w:bCs/>
          <w:sz w:val="20"/>
          <w:szCs w:val="20"/>
        </w:rPr>
      </w:pPr>
      <w:r>
        <w:rPr>
          <w:b/>
          <w:bCs/>
          <w:sz w:val="20"/>
          <w:szCs w:val="20"/>
        </w:rPr>
        <w:t xml:space="preserve">Net Expenditure for the </w:t>
      </w:r>
      <w:proofErr w:type="gramStart"/>
      <w:r>
        <w:rPr>
          <w:b/>
          <w:bCs/>
          <w:sz w:val="20"/>
          <w:szCs w:val="20"/>
        </w:rPr>
        <w:t xml:space="preserve">year  </w:t>
      </w:r>
      <w:r>
        <w:rPr>
          <w:b/>
          <w:bCs/>
          <w:sz w:val="20"/>
          <w:szCs w:val="20"/>
        </w:rPr>
        <w:tab/>
      </w:r>
      <w:proofErr w:type="gramEnd"/>
      <w:r>
        <w:rPr>
          <w:b/>
          <w:bCs/>
          <w:sz w:val="20"/>
          <w:szCs w:val="20"/>
        </w:rPr>
        <w:tab/>
      </w:r>
      <w:r w:rsidRPr="00012388">
        <w:rPr>
          <w:b/>
          <w:bCs/>
          <w:sz w:val="20"/>
          <w:szCs w:val="20"/>
        </w:rPr>
        <w:t>2,</w:t>
      </w:r>
      <w:r w:rsidR="002C5BFB" w:rsidRPr="00012388">
        <w:rPr>
          <w:b/>
          <w:bCs/>
          <w:sz w:val="20"/>
          <w:szCs w:val="20"/>
        </w:rPr>
        <w:t>702</w:t>
      </w:r>
      <w:r w:rsidR="009D6D7C" w:rsidRPr="00012388">
        <w:rPr>
          <w:b/>
          <w:bCs/>
          <w:sz w:val="20"/>
          <w:szCs w:val="20"/>
        </w:rPr>
        <w:t>,</w:t>
      </w:r>
      <w:r w:rsidR="002C5BFB" w:rsidRPr="00012388">
        <w:rPr>
          <w:b/>
          <w:bCs/>
          <w:sz w:val="20"/>
          <w:szCs w:val="20"/>
        </w:rPr>
        <w:t>53</w:t>
      </w:r>
      <w:r w:rsidR="00012388">
        <w:rPr>
          <w:b/>
          <w:bCs/>
          <w:sz w:val="20"/>
          <w:szCs w:val="20"/>
        </w:rPr>
        <w:t>5</w:t>
      </w:r>
      <w:r>
        <w:rPr>
          <w:b/>
          <w:bCs/>
          <w:sz w:val="20"/>
          <w:szCs w:val="20"/>
        </w:rPr>
        <w:tab/>
        <w:t>2,</w:t>
      </w:r>
      <w:r w:rsidR="00545EEE">
        <w:rPr>
          <w:b/>
          <w:bCs/>
          <w:sz w:val="20"/>
          <w:szCs w:val="20"/>
        </w:rPr>
        <w:t>476,245</w:t>
      </w:r>
    </w:p>
    <w:p w14:paraId="0BC19698" w14:textId="77777777" w:rsidR="008460D1" w:rsidRDefault="008460D1" w:rsidP="000C2A54">
      <w:pPr>
        <w:widowControl w:val="0"/>
        <w:tabs>
          <w:tab w:val="center" w:pos="5529"/>
          <w:tab w:val="right" w:pos="7371"/>
          <w:tab w:val="right" w:pos="9356"/>
        </w:tabs>
        <w:autoSpaceDE w:val="0"/>
        <w:autoSpaceDN w:val="0"/>
        <w:adjustRightInd w:val="0"/>
        <w:rPr>
          <w:sz w:val="22"/>
          <w:szCs w:val="22"/>
        </w:rPr>
      </w:pPr>
    </w:p>
    <w:p w14:paraId="525AE7CC" w14:textId="77777777" w:rsidR="00A80D37" w:rsidRPr="00251E9E" w:rsidRDefault="00A80D37" w:rsidP="000C2A54">
      <w:pPr>
        <w:widowControl w:val="0"/>
        <w:tabs>
          <w:tab w:val="center" w:pos="5529"/>
          <w:tab w:val="right" w:pos="7371"/>
          <w:tab w:val="right" w:pos="9356"/>
        </w:tabs>
        <w:autoSpaceDE w:val="0"/>
        <w:autoSpaceDN w:val="0"/>
        <w:adjustRightInd w:val="0"/>
        <w:rPr>
          <w:b/>
          <w:color w:val="auto"/>
          <w:sz w:val="20"/>
          <w:szCs w:val="20"/>
        </w:rPr>
      </w:pPr>
      <w:r w:rsidRPr="00251E9E">
        <w:rPr>
          <w:b/>
          <w:color w:val="auto"/>
          <w:sz w:val="20"/>
          <w:szCs w:val="20"/>
        </w:rPr>
        <w:t>Other comprehensive net expenditure</w:t>
      </w:r>
    </w:p>
    <w:p w14:paraId="047B5B73" w14:textId="77777777" w:rsidR="00A80D37" w:rsidRPr="00251E9E" w:rsidRDefault="00A80D37" w:rsidP="000C2A54">
      <w:pPr>
        <w:widowControl w:val="0"/>
        <w:tabs>
          <w:tab w:val="center" w:pos="5529"/>
          <w:tab w:val="right" w:pos="7371"/>
          <w:tab w:val="right" w:pos="9356"/>
        </w:tabs>
        <w:autoSpaceDE w:val="0"/>
        <w:autoSpaceDN w:val="0"/>
        <w:adjustRightInd w:val="0"/>
        <w:rPr>
          <w:b/>
          <w:color w:val="auto"/>
          <w:sz w:val="20"/>
          <w:szCs w:val="20"/>
        </w:rPr>
      </w:pPr>
    </w:p>
    <w:p w14:paraId="0B6FF231" w14:textId="7063B1B2" w:rsidR="00503D7F" w:rsidRPr="007544D5" w:rsidRDefault="00A80D37" w:rsidP="000C2A54">
      <w:pPr>
        <w:widowControl w:val="0"/>
        <w:tabs>
          <w:tab w:val="right" w:pos="7371"/>
          <w:tab w:val="right" w:pos="9071"/>
        </w:tabs>
        <w:autoSpaceDE w:val="0"/>
        <w:autoSpaceDN w:val="0"/>
        <w:adjustRightInd w:val="0"/>
        <w:rPr>
          <w:rFonts w:cs="Arial"/>
          <w:b/>
          <w:color w:val="auto"/>
          <w:sz w:val="20"/>
          <w:szCs w:val="20"/>
        </w:rPr>
      </w:pPr>
      <w:r w:rsidRPr="00251E9E">
        <w:rPr>
          <w:rFonts w:cs="Arial"/>
          <w:bCs/>
          <w:color w:val="auto"/>
          <w:sz w:val="20"/>
          <w:szCs w:val="20"/>
        </w:rPr>
        <w:t xml:space="preserve">Net </w:t>
      </w:r>
      <w:r w:rsidR="00737D30">
        <w:rPr>
          <w:rFonts w:cs="Arial"/>
          <w:bCs/>
          <w:color w:val="auto"/>
          <w:sz w:val="20"/>
          <w:szCs w:val="20"/>
        </w:rPr>
        <w:t>(gain)/</w:t>
      </w:r>
      <w:r w:rsidRPr="00251E9E">
        <w:rPr>
          <w:rFonts w:cs="Arial"/>
          <w:bCs/>
          <w:color w:val="auto"/>
          <w:sz w:val="20"/>
          <w:szCs w:val="20"/>
        </w:rPr>
        <w:t xml:space="preserve">loss on revaluation of property, plant </w:t>
      </w:r>
      <w:proofErr w:type="gramStart"/>
      <w:r w:rsidRPr="00251E9E">
        <w:rPr>
          <w:rFonts w:cs="Arial"/>
          <w:bCs/>
          <w:color w:val="auto"/>
          <w:sz w:val="20"/>
          <w:szCs w:val="20"/>
        </w:rPr>
        <w:t xml:space="preserve">and </w:t>
      </w:r>
      <w:r w:rsidR="007544D5">
        <w:rPr>
          <w:rFonts w:cs="Arial"/>
          <w:bCs/>
          <w:color w:val="auto"/>
          <w:sz w:val="20"/>
          <w:szCs w:val="20"/>
        </w:rPr>
        <w:t xml:space="preserve"> </w:t>
      </w:r>
      <w:r w:rsidR="007544D5">
        <w:rPr>
          <w:rFonts w:cs="Arial"/>
          <w:b/>
          <w:color w:val="auto"/>
          <w:sz w:val="20"/>
          <w:szCs w:val="20"/>
        </w:rPr>
        <w:t>6</w:t>
      </w:r>
      <w:proofErr w:type="gramEnd"/>
    </w:p>
    <w:p w14:paraId="60AB0A1B" w14:textId="7B817AD2" w:rsidR="00654B06" w:rsidRDefault="00503D7F" w:rsidP="00201F9C">
      <w:pPr>
        <w:widowControl w:val="0"/>
        <w:tabs>
          <w:tab w:val="right" w:pos="7371"/>
          <w:tab w:val="right" w:pos="9071"/>
        </w:tabs>
        <w:autoSpaceDE w:val="0"/>
        <w:autoSpaceDN w:val="0"/>
        <w:adjustRightInd w:val="0"/>
        <w:rPr>
          <w:rFonts w:cs="Arial"/>
          <w:bCs/>
          <w:color w:val="auto"/>
          <w:sz w:val="20"/>
          <w:szCs w:val="20"/>
        </w:rPr>
      </w:pPr>
      <w:r w:rsidRPr="00251E9E">
        <w:rPr>
          <w:rFonts w:cs="Arial"/>
          <w:bCs/>
          <w:color w:val="auto"/>
          <w:sz w:val="20"/>
          <w:szCs w:val="20"/>
        </w:rPr>
        <w:t>E</w:t>
      </w:r>
      <w:r w:rsidR="00654B06">
        <w:rPr>
          <w:rFonts w:cs="Arial"/>
          <w:bCs/>
          <w:color w:val="auto"/>
          <w:sz w:val="20"/>
          <w:szCs w:val="20"/>
        </w:rPr>
        <w:t>quipment</w:t>
      </w:r>
      <w:r w:rsidR="00654B06" w:rsidRPr="00251E9E">
        <w:rPr>
          <w:rFonts w:cs="Arial"/>
          <w:bCs/>
          <w:color w:val="auto"/>
          <w:sz w:val="20"/>
          <w:szCs w:val="20"/>
        </w:rPr>
        <w:t xml:space="preserve">                                          </w:t>
      </w:r>
      <w:r w:rsidR="008D0E8C">
        <w:rPr>
          <w:rFonts w:cs="Arial"/>
          <w:bCs/>
          <w:color w:val="auto"/>
          <w:sz w:val="20"/>
          <w:szCs w:val="20"/>
        </w:rPr>
        <w:t xml:space="preserve">                    </w:t>
      </w:r>
      <w:r w:rsidR="00654B06" w:rsidRPr="00201F9C">
        <w:rPr>
          <w:rFonts w:cs="Arial"/>
          <w:b/>
          <w:bCs/>
          <w:color w:val="auto"/>
          <w:sz w:val="20"/>
          <w:szCs w:val="20"/>
        </w:rPr>
        <w:t xml:space="preserve">         </w:t>
      </w:r>
      <w:r w:rsidR="003A3109">
        <w:rPr>
          <w:rFonts w:cs="Arial"/>
          <w:b/>
          <w:bCs/>
          <w:color w:val="auto"/>
          <w:sz w:val="20"/>
          <w:szCs w:val="20"/>
          <w:u w:val="single"/>
        </w:rPr>
        <w:t xml:space="preserve">    </w:t>
      </w:r>
      <w:r w:rsidR="00654B06" w:rsidRPr="00201F9C">
        <w:rPr>
          <w:rFonts w:cs="Arial"/>
          <w:bCs/>
          <w:color w:val="auto"/>
          <w:sz w:val="20"/>
          <w:szCs w:val="20"/>
          <w:u w:val="single"/>
        </w:rPr>
        <w:t xml:space="preserve"> </w:t>
      </w:r>
      <w:proofErr w:type="gramStart"/>
      <w:r w:rsidR="00654B06" w:rsidRPr="00201F9C">
        <w:rPr>
          <w:rFonts w:cs="Arial"/>
          <w:bCs/>
          <w:color w:val="auto"/>
          <w:sz w:val="20"/>
          <w:szCs w:val="20"/>
          <w:u w:val="single"/>
        </w:rPr>
        <w:tab/>
      </w:r>
      <w:r w:rsidR="0027305F">
        <w:rPr>
          <w:rFonts w:cs="Arial"/>
          <w:bCs/>
          <w:color w:val="auto"/>
          <w:sz w:val="20"/>
          <w:szCs w:val="20"/>
          <w:u w:val="single"/>
        </w:rPr>
        <w:t xml:space="preserve">  </w:t>
      </w:r>
      <w:r w:rsidR="003A3109">
        <w:rPr>
          <w:rFonts w:cs="Arial"/>
          <w:bCs/>
          <w:color w:val="auto"/>
          <w:sz w:val="20"/>
          <w:szCs w:val="20"/>
          <w:u w:val="single"/>
        </w:rPr>
        <w:t>(</w:t>
      </w:r>
      <w:proofErr w:type="gramEnd"/>
      <w:r w:rsidR="002C5BFB">
        <w:rPr>
          <w:rFonts w:cs="Arial"/>
          <w:bCs/>
          <w:color w:val="auto"/>
          <w:sz w:val="20"/>
          <w:szCs w:val="20"/>
          <w:u w:val="single"/>
        </w:rPr>
        <w:t>14</w:t>
      </w:r>
      <w:r w:rsidR="004A14D8">
        <w:rPr>
          <w:rFonts w:cs="Arial"/>
          <w:bCs/>
          <w:color w:val="auto"/>
          <w:sz w:val="20"/>
          <w:szCs w:val="20"/>
          <w:u w:val="single"/>
        </w:rPr>
        <w:t>,</w:t>
      </w:r>
      <w:r w:rsidR="002C5BFB">
        <w:rPr>
          <w:rFonts w:cs="Arial"/>
          <w:bCs/>
          <w:color w:val="auto"/>
          <w:sz w:val="20"/>
          <w:szCs w:val="20"/>
          <w:u w:val="single"/>
        </w:rPr>
        <w:t>976</w:t>
      </w:r>
      <w:r w:rsidR="003A3109">
        <w:rPr>
          <w:rFonts w:cs="Arial"/>
          <w:bCs/>
          <w:color w:val="auto"/>
          <w:sz w:val="20"/>
          <w:szCs w:val="20"/>
          <w:u w:val="single"/>
        </w:rPr>
        <w:t>)</w:t>
      </w:r>
      <w:r w:rsidR="00201F9C" w:rsidRPr="00201F9C">
        <w:rPr>
          <w:rFonts w:cs="Arial"/>
          <w:bCs/>
          <w:color w:val="auto"/>
          <w:sz w:val="20"/>
          <w:szCs w:val="20"/>
          <w:u w:val="single"/>
        </w:rPr>
        <w:tab/>
      </w:r>
      <w:r w:rsidR="004A14D8">
        <w:rPr>
          <w:rFonts w:cs="Arial"/>
          <w:bCs/>
          <w:color w:val="auto"/>
          <w:sz w:val="20"/>
          <w:szCs w:val="20"/>
          <w:u w:val="single"/>
        </w:rPr>
        <w:t>(</w:t>
      </w:r>
      <w:r w:rsidR="00545EEE">
        <w:rPr>
          <w:rFonts w:cs="Arial"/>
          <w:bCs/>
          <w:color w:val="auto"/>
          <w:sz w:val="20"/>
          <w:szCs w:val="20"/>
          <w:u w:val="single"/>
        </w:rPr>
        <w:t>41,203</w:t>
      </w:r>
      <w:r w:rsidR="004A14D8">
        <w:rPr>
          <w:rFonts w:cs="Arial"/>
          <w:bCs/>
          <w:color w:val="auto"/>
          <w:sz w:val="20"/>
          <w:szCs w:val="20"/>
          <w:u w:val="single"/>
        </w:rPr>
        <w:t>)</w:t>
      </w:r>
      <w:r w:rsidR="00654B06" w:rsidRPr="00251E9E">
        <w:rPr>
          <w:rFonts w:cs="Arial"/>
          <w:bCs/>
          <w:color w:val="auto"/>
          <w:sz w:val="20"/>
          <w:szCs w:val="20"/>
          <w:u w:val="single"/>
        </w:rPr>
        <w:t xml:space="preserve">    </w:t>
      </w:r>
    </w:p>
    <w:p w14:paraId="1CAF9284" w14:textId="77777777" w:rsidR="00A80D37" w:rsidRDefault="00503D7F" w:rsidP="000C2A54">
      <w:pPr>
        <w:widowControl w:val="0"/>
        <w:tabs>
          <w:tab w:val="right" w:pos="7371"/>
          <w:tab w:val="right" w:pos="9071"/>
        </w:tabs>
        <w:autoSpaceDE w:val="0"/>
        <w:autoSpaceDN w:val="0"/>
        <w:adjustRightInd w:val="0"/>
        <w:rPr>
          <w:rFonts w:cs="Arial"/>
          <w:bCs/>
          <w:color w:val="auto"/>
          <w:sz w:val="20"/>
          <w:szCs w:val="20"/>
        </w:rPr>
      </w:pPr>
      <w:r w:rsidRPr="00251E9E">
        <w:rPr>
          <w:rFonts w:cs="Arial"/>
          <w:bCs/>
          <w:color w:val="auto"/>
          <w:sz w:val="20"/>
          <w:szCs w:val="20"/>
          <w:u w:val="single"/>
        </w:rPr>
        <w:t xml:space="preserve">  </w:t>
      </w:r>
      <w:r w:rsidR="00251E9E">
        <w:rPr>
          <w:rFonts w:cs="Arial"/>
          <w:bCs/>
          <w:color w:val="auto"/>
          <w:sz w:val="20"/>
          <w:szCs w:val="20"/>
        </w:rPr>
        <w:br/>
      </w:r>
    </w:p>
    <w:p w14:paraId="16948A3A" w14:textId="5875FB15" w:rsidR="000C2A54" w:rsidRDefault="00A80D37" w:rsidP="000C2A54">
      <w:pPr>
        <w:widowControl w:val="0"/>
        <w:tabs>
          <w:tab w:val="right" w:pos="7371"/>
          <w:tab w:val="right" w:pos="9071"/>
        </w:tabs>
        <w:autoSpaceDE w:val="0"/>
        <w:autoSpaceDN w:val="0"/>
        <w:adjustRightInd w:val="0"/>
        <w:rPr>
          <w:rFonts w:cs="Arial"/>
          <w:b/>
          <w:bCs/>
          <w:sz w:val="20"/>
          <w:szCs w:val="20"/>
        </w:rPr>
      </w:pPr>
      <w:r w:rsidRPr="00251E9E">
        <w:rPr>
          <w:b/>
          <w:color w:val="auto"/>
          <w:sz w:val="20"/>
          <w:szCs w:val="20"/>
        </w:rPr>
        <w:t xml:space="preserve">Comprehensive net expenditure for the </w:t>
      </w:r>
      <w:proofErr w:type="gramStart"/>
      <w:r w:rsidRPr="00251E9E">
        <w:rPr>
          <w:b/>
          <w:color w:val="auto"/>
          <w:sz w:val="20"/>
          <w:szCs w:val="20"/>
        </w:rPr>
        <w:t>year</w:t>
      </w:r>
      <w:r w:rsidR="00503D7F" w:rsidRPr="00251E9E">
        <w:rPr>
          <w:b/>
          <w:color w:val="auto"/>
          <w:sz w:val="20"/>
          <w:szCs w:val="20"/>
        </w:rPr>
        <w:t xml:space="preserve">  </w:t>
      </w:r>
      <w:r w:rsidR="00503D7F" w:rsidRPr="00251E9E">
        <w:rPr>
          <w:b/>
          <w:color w:val="auto"/>
          <w:sz w:val="20"/>
          <w:szCs w:val="20"/>
        </w:rPr>
        <w:tab/>
      </w:r>
      <w:proofErr w:type="gramEnd"/>
      <w:r w:rsidR="004A14D8">
        <w:rPr>
          <w:b/>
          <w:color w:val="auto"/>
          <w:sz w:val="20"/>
          <w:szCs w:val="20"/>
        </w:rPr>
        <w:t xml:space="preserve">  </w:t>
      </w:r>
      <w:r w:rsidR="00A672F7" w:rsidRPr="000A5E1D">
        <w:rPr>
          <w:b/>
          <w:color w:val="auto"/>
          <w:sz w:val="20"/>
          <w:szCs w:val="20"/>
          <w:u w:val="single"/>
        </w:rPr>
        <w:t>2,</w:t>
      </w:r>
      <w:r w:rsidR="002C5BFB" w:rsidRPr="000A5E1D">
        <w:rPr>
          <w:b/>
          <w:color w:val="auto"/>
          <w:sz w:val="20"/>
          <w:szCs w:val="20"/>
          <w:u w:val="single"/>
        </w:rPr>
        <w:t>687</w:t>
      </w:r>
      <w:r w:rsidR="004A14D8" w:rsidRPr="000A5E1D">
        <w:rPr>
          <w:b/>
          <w:color w:val="auto"/>
          <w:sz w:val="20"/>
          <w:szCs w:val="20"/>
          <w:u w:val="single"/>
        </w:rPr>
        <w:t>,</w:t>
      </w:r>
      <w:r w:rsidR="002C5BFB" w:rsidRPr="000A5E1D">
        <w:rPr>
          <w:b/>
          <w:color w:val="auto"/>
          <w:sz w:val="20"/>
          <w:szCs w:val="20"/>
          <w:u w:val="single"/>
        </w:rPr>
        <w:t>559</w:t>
      </w:r>
      <w:r w:rsidR="000C2A54" w:rsidRPr="00251E9E">
        <w:rPr>
          <w:rFonts w:cs="Arial"/>
          <w:b/>
          <w:bCs/>
          <w:color w:val="auto"/>
          <w:sz w:val="22"/>
          <w:szCs w:val="22"/>
        </w:rPr>
        <w:tab/>
      </w:r>
      <w:r w:rsidR="004A14D8">
        <w:rPr>
          <w:rFonts w:cs="Arial"/>
          <w:b/>
          <w:bCs/>
          <w:color w:val="auto"/>
          <w:sz w:val="20"/>
          <w:szCs w:val="20"/>
          <w:u w:val="single"/>
        </w:rPr>
        <w:t>2,</w:t>
      </w:r>
      <w:r w:rsidR="00545EEE">
        <w:rPr>
          <w:rFonts w:cs="Arial"/>
          <w:b/>
          <w:bCs/>
          <w:color w:val="auto"/>
          <w:sz w:val="20"/>
          <w:szCs w:val="20"/>
          <w:u w:val="single"/>
        </w:rPr>
        <w:t>435,042</w:t>
      </w:r>
    </w:p>
    <w:p w14:paraId="5B87965B" w14:textId="77777777" w:rsidR="00600AD1" w:rsidRPr="00600AD1" w:rsidRDefault="00600AD1" w:rsidP="000C2A54">
      <w:pPr>
        <w:widowControl w:val="0"/>
        <w:tabs>
          <w:tab w:val="right" w:pos="7371"/>
          <w:tab w:val="right" w:pos="9071"/>
        </w:tabs>
        <w:autoSpaceDE w:val="0"/>
        <w:autoSpaceDN w:val="0"/>
        <w:adjustRightInd w:val="0"/>
        <w:rPr>
          <w:b/>
          <w:color w:val="FF0000"/>
          <w:sz w:val="20"/>
          <w:szCs w:val="20"/>
        </w:rPr>
      </w:pPr>
    </w:p>
    <w:p w14:paraId="7B9FFF3D" w14:textId="77777777" w:rsidR="000C2A54" w:rsidRPr="00AC49A1" w:rsidRDefault="00600AD1" w:rsidP="000C2A54">
      <w:pPr>
        <w:widowControl w:val="0"/>
        <w:tabs>
          <w:tab w:val="center" w:pos="5529"/>
          <w:tab w:val="right" w:pos="7371"/>
          <w:tab w:val="right" w:pos="9356"/>
        </w:tabs>
        <w:autoSpaceDE w:val="0"/>
        <w:autoSpaceDN w:val="0"/>
        <w:adjustRightInd w:val="0"/>
        <w:rPr>
          <w:sz w:val="22"/>
          <w:szCs w:val="22"/>
        </w:rPr>
      </w:pPr>
      <w:r>
        <w:rPr>
          <w:sz w:val="22"/>
          <w:szCs w:val="22"/>
        </w:rPr>
        <w:tab/>
      </w:r>
      <w:r>
        <w:rPr>
          <w:sz w:val="22"/>
          <w:szCs w:val="22"/>
        </w:rPr>
        <w:tab/>
      </w:r>
    </w:p>
    <w:p w14:paraId="440FD3BA" w14:textId="77777777" w:rsidR="000C2A54" w:rsidRPr="00EB5423" w:rsidRDefault="000C2A54" w:rsidP="000C2A54">
      <w:pPr>
        <w:widowControl w:val="0"/>
        <w:tabs>
          <w:tab w:val="center" w:pos="5529"/>
          <w:tab w:val="right" w:pos="7371"/>
          <w:tab w:val="right" w:pos="9356"/>
        </w:tabs>
        <w:autoSpaceDE w:val="0"/>
        <w:autoSpaceDN w:val="0"/>
        <w:adjustRightInd w:val="0"/>
        <w:rPr>
          <w:sz w:val="22"/>
          <w:szCs w:val="22"/>
        </w:rPr>
      </w:pPr>
      <w:r w:rsidRPr="00EB5423">
        <w:rPr>
          <w:sz w:val="22"/>
          <w:szCs w:val="22"/>
        </w:rPr>
        <w:t>All amounts above relate to continuing activities.</w:t>
      </w:r>
    </w:p>
    <w:p w14:paraId="2E3A571F" w14:textId="77777777" w:rsidR="000C2A54" w:rsidRPr="00EB5423" w:rsidRDefault="000C2A54" w:rsidP="000C2A54">
      <w:pPr>
        <w:widowControl w:val="0"/>
        <w:tabs>
          <w:tab w:val="center" w:pos="5529"/>
          <w:tab w:val="right" w:pos="7371"/>
          <w:tab w:val="right" w:pos="9356"/>
        </w:tabs>
        <w:autoSpaceDE w:val="0"/>
        <w:autoSpaceDN w:val="0"/>
        <w:adjustRightInd w:val="0"/>
        <w:rPr>
          <w:sz w:val="22"/>
          <w:szCs w:val="22"/>
        </w:rPr>
      </w:pPr>
    </w:p>
    <w:p w14:paraId="0F2CFDDB" w14:textId="5F4C9E48"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F86992">
        <w:rPr>
          <w:sz w:val="22"/>
          <w:szCs w:val="22"/>
        </w:rPr>
        <w:t>6</w:t>
      </w:r>
      <w:r w:rsidR="00551DA7">
        <w:rPr>
          <w:sz w:val="22"/>
          <w:szCs w:val="22"/>
        </w:rPr>
        <w:t>7</w:t>
      </w:r>
      <w:r w:rsidR="00863A80" w:rsidRPr="00EB5423">
        <w:rPr>
          <w:sz w:val="22"/>
          <w:szCs w:val="22"/>
        </w:rPr>
        <w:t xml:space="preserve"> </w:t>
      </w:r>
      <w:r w:rsidR="00C529B8">
        <w:rPr>
          <w:sz w:val="22"/>
          <w:szCs w:val="22"/>
        </w:rPr>
        <w:t xml:space="preserve">to </w:t>
      </w:r>
      <w:r w:rsidR="00F86992">
        <w:rPr>
          <w:sz w:val="22"/>
          <w:szCs w:val="22"/>
        </w:rPr>
        <w:t>8</w:t>
      </w:r>
      <w:r w:rsidR="00551DA7">
        <w:rPr>
          <w:sz w:val="22"/>
          <w:szCs w:val="22"/>
        </w:rPr>
        <w:t>4</w:t>
      </w:r>
      <w:r w:rsidR="00863A80" w:rsidRPr="00EB5423">
        <w:rPr>
          <w:sz w:val="22"/>
          <w:szCs w:val="22"/>
        </w:rPr>
        <w:t xml:space="preserve"> </w:t>
      </w:r>
      <w:r w:rsidRPr="00EB5423">
        <w:rPr>
          <w:sz w:val="22"/>
          <w:szCs w:val="22"/>
        </w:rPr>
        <w:t>form part of the financial statements.</w:t>
      </w:r>
    </w:p>
    <w:p w14:paraId="4C1379DF" w14:textId="77777777" w:rsidR="000C2A54" w:rsidRDefault="000C2A54" w:rsidP="000C2A54">
      <w:pPr>
        <w:jc w:val="center"/>
      </w:pPr>
      <w:r w:rsidRPr="00351DFE">
        <w:rPr>
          <w:b/>
        </w:rPr>
        <w:br w:type="page"/>
      </w:r>
    </w:p>
    <w:p w14:paraId="22374C83" w14:textId="6B16A127" w:rsidR="000C2A54" w:rsidRPr="00EB5423" w:rsidRDefault="008C73A2" w:rsidP="000C2A54">
      <w:pPr>
        <w:jc w:val="center"/>
        <w:rPr>
          <w:b/>
        </w:rPr>
      </w:pPr>
      <w:bookmarkStart w:id="34" w:name="StatementofFinancialPosition"/>
      <w:r>
        <w:rPr>
          <w:rFonts w:cs="Arial"/>
          <w:b/>
          <w:color w:val="77328A"/>
          <w:sz w:val="30"/>
          <w:szCs w:val="30"/>
        </w:rPr>
        <w:t>Statement of Finan</w:t>
      </w:r>
      <w:r w:rsidR="008D0E8C">
        <w:rPr>
          <w:rFonts w:cs="Arial"/>
          <w:b/>
          <w:color w:val="77328A"/>
          <w:sz w:val="30"/>
          <w:szCs w:val="30"/>
        </w:rPr>
        <w:t xml:space="preserve">cial Position as </w:t>
      </w:r>
      <w:proofErr w:type="gramStart"/>
      <w:r w:rsidR="008D0E8C">
        <w:rPr>
          <w:rFonts w:cs="Arial"/>
          <w:b/>
          <w:color w:val="77328A"/>
          <w:sz w:val="30"/>
          <w:szCs w:val="30"/>
        </w:rPr>
        <w:t>at</w:t>
      </w:r>
      <w:proofErr w:type="gramEnd"/>
      <w:r w:rsidR="008D0E8C">
        <w:rPr>
          <w:rFonts w:cs="Arial"/>
          <w:b/>
          <w:color w:val="77328A"/>
          <w:sz w:val="30"/>
          <w:szCs w:val="30"/>
        </w:rPr>
        <w:t xml:space="preserve"> 31 March 202</w:t>
      </w:r>
      <w:r w:rsidR="00545EEE">
        <w:rPr>
          <w:rFonts w:cs="Arial"/>
          <w:b/>
          <w:color w:val="77328A"/>
          <w:sz w:val="30"/>
          <w:szCs w:val="30"/>
        </w:rPr>
        <w:t>4</w:t>
      </w:r>
    </w:p>
    <w:bookmarkEnd w:id="34"/>
    <w:p w14:paraId="3E7EF1AA" w14:textId="77777777" w:rsidR="000C2A54" w:rsidRPr="00024A9C" w:rsidRDefault="000C2A54" w:rsidP="000C2A54">
      <w:pPr>
        <w:jc w:val="center"/>
        <w:rPr>
          <w:b/>
        </w:rPr>
      </w:pPr>
    </w:p>
    <w:tbl>
      <w:tblPr>
        <w:tblW w:w="9072" w:type="dxa"/>
        <w:jc w:val="center"/>
        <w:tblLayout w:type="fixed"/>
        <w:tblLook w:val="01E0" w:firstRow="1" w:lastRow="1" w:firstColumn="1" w:lastColumn="1" w:noHBand="0" w:noVBand="0"/>
      </w:tblPr>
      <w:tblGrid>
        <w:gridCol w:w="2800"/>
        <w:gridCol w:w="641"/>
        <w:gridCol w:w="181"/>
        <w:gridCol w:w="282"/>
        <w:gridCol w:w="437"/>
        <w:gridCol w:w="1080"/>
        <w:gridCol w:w="1260"/>
        <w:gridCol w:w="974"/>
        <w:gridCol w:w="109"/>
        <w:gridCol w:w="1308"/>
      </w:tblGrid>
      <w:tr w:rsidR="000C2A54" w:rsidRPr="00287A60" w14:paraId="0C916425" w14:textId="77777777" w:rsidTr="00545EEE">
        <w:trPr>
          <w:jc w:val="center"/>
        </w:trPr>
        <w:tc>
          <w:tcPr>
            <w:tcW w:w="3441" w:type="dxa"/>
            <w:gridSpan w:val="2"/>
          </w:tcPr>
          <w:p w14:paraId="2709E9D1" w14:textId="77777777" w:rsidR="000C2A54" w:rsidRPr="00B90FC7" w:rsidRDefault="000C2A54" w:rsidP="000C2A54">
            <w:pPr>
              <w:rPr>
                <w:b/>
                <w:sz w:val="20"/>
                <w:szCs w:val="20"/>
              </w:rPr>
            </w:pPr>
          </w:p>
        </w:tc>
        <w:tc>
          <w:tcPr>
            <w:tcW w:w="900" w:type="dxa"/>
            <w:gridSpan w:val="3"/>
          </w:tcPr>
          <w:p w14:paraId="425BAF59" w14:textId="77777777" w:rsidR="000C2A54" w:rsidRPr="00B90FC7" w:rsidRDefault="000C2A54" w:rsidP="000C2A54">
            <w:pPr>
              <w:rPr>
                <w:b/>
                <w:sz w:val="20"/>
                <w:szCs w:val="20"/>
              </w:rPr>
            </w:pPr>
          </w:p>
        </w:tc>
        <w:tc>
          <w:tcPr>
            <w:tcW w:w="2340" w:type="dxa"/>
            <w:gridSpan w:val="2"/>
          </w:tcPr>
          <w:p w14:paraId="5262BA8E" w14:textId="09FE2247" w:rsidR="000C2A54" w:rsidRPr="00B90FC7" w:rsidRDefault="008D0E8C" w:rsidP="000C2A54">
            <w:pPr>
              <w:jc w:val="center"/>
              <w:rPr>
                <w:b/>
                <w:sz w:val="20"/>
                <w:szCs w:val="20"/>
              </w:rPr>
            </w:pPr>
            <w:r>
              <w:rPr>
                <w:b/>
                <w:sz w:val="20"/>
                <w:szCs w:val="20"/>
              </w:rPr>
              <w:t>31 March 202</w:t>
            </w:r>
            <w:r w:rsidR="00545EEE">
              <w:rPr>
                <w:b/>
                <w:sz w:val="20"/>
                <w:szCs w:val="20"/>
              </w:rPr>
              <w:t>4</w:t>
            </w:r>
          </w:p>
        </w:tc>
        <w:tc>
          <w:tcPr>
            <w:tcW w:w="2391" w:type="dxa"/>
            <w:gridSpan w:val="3"/>
          </w:tcPr>
          <w:p w14:paraId="309BAF88" w14:textId="19BD1C59" w:rsidR="000C2A54" w:rsidRDefault="000C2A54" w:rsidP="000C2A54">
            <w:pPr>
              <w:jc w:val="center"/>
              <w:rPr>
                <w:b/>
                <w:sz w:val="20"/>
                <w:szCs w:val="20"/>
              </w:rPr>
            </w:pPr>
            <w:r>
              <w:rPr>
                <w:b/>
                <w:sz w:val="20"/>
                <w:szCs w:val="20"/>
              </w:rPr>
              <w:t xml:space="preserve">31 March </w:t>
            </w:r>
            <w:r w:rsidR="003A3109">
              <w:rPr>
                <w:b/>
                <w:sz w:val="20"/>
                <w:szCs w:val="20"/>
              </w:rPr>
              <w:t>202</w:t>
            </w:r>
            <w:r w:rsidR="00545EEE">
              <w:rPr>
                <w:b/>
                <w:sz w:val="20"/>
                <w:szCs w:val="20"/>
              </w:rPr>
              <w:t>3</w:t>
            </w:r>
          </w:p>
          <w:p w14:paraId="5FA9B4FE" w14:textId="77777777" w:rsidR="000C2A54" w:rsidRPr="00B90FC7" w:rsidRDefault="000C2A54" w:rsidP="000C2A54">
            <w:pPr>
              <w:jc w:val="center"/>
              <w:rPr>
                <w:b/>
                <w:sz w:val="20"/>
                <w:szCs w:val="20"/>
              </w:rPr>
            </w:pPr>
          </w:p>
        </w:tc>
      </w:tr>
      <w:tr w:rsidR="000C2A54" w:rsidRPr="00287A60" w14:paraId="270FCEF9" w14:textId="77777777" w:rsidTr="00545EEE">
        <w:trPr>
          <w:jc w:val="center"/>
        </w:trPr>
        <w:tc>
          <w:tcPr>
            <w:tcW w:w="3441" w:type="dxa"/>
            <w:gridSpan w:val="2"/>
          </w:tcPr>
          <w:p w14:paraId="40BB9A2F" w14:textId="77777777" w:rsidR="000C2A54" w:rsidRPr="00B90FC7" w:rsidRDefault="000C2A54" w:rsidP="000C2A54">
            <w:pPr>
              <w:rPr>
                <w:b/>
                <w:sz w:val="20"/>
                <w:szCs w:val="20"/>
              </w:rPr>
            </w:pPr>
          </w:p>
        </w:tc>
        <w:tc>
          <w:tcPr>
            <w:tcW w:w="900" w:type="dxa"/>
            <w:gridSpan w:val="3"/>
          </w:tcPr>
          <w:p w14:paraId="7816E67F" w14:textId="77777777" w:rsidR="000C2A54" w:rsidRPr="00B90FC7" w:rsidRDefault="000C2A54" w:rsidP="000C2A54">
            <w:pPr>
              <w:rPr>
                <w:b/>
                <w:sz w:val="20"/>
                <w:szCs w:val="20"/>
              </w:rPr>
            </w:pPr>
            <w:r w:rsidRPr="00B90FC7">
              <w:rPr>
                <w:b/>
                <w:sz w:val="20"/>
                <w:szCs w:val="20"/>
              </w:rPr>
              <w:t>Notes</w:t>
            </w:r>
          </w:p>
        </w:tc>
        <w:tc>
          <w:tcPr>
            <w:tcW w:w="1080" w:type="dxa"/>
          </w:tcPr>
          <w:p w14:paraId="219585C8" w14:textId="77777777" w:rsidR="000C2A54" w:rsidRPr="00B90FC7" w:rsidRDefault="000C2A54" w:rsidP="000C2A54">
            <w:pPr>
              <w:jc w:val="right"/>
              <w:rPr>
                <w:b/>
                <w:sz w:val="20"/>
                <w:szCs w:val="20"/>
              </w:rPr>
            </w:pPr>
            <w:r w:rsidRPr="00B90FC7">
              <w:rPr>
                <w:b/>
                <w:sz w:val="20"/>
                <w:szCs w:val="20"/>
              </w:rPr>
              <w:t>£</w:t>
            </w:r>
          </w:p>
        </w:tc>
        <w:tc>
          <w:tcPr>
            <w:tcW w:w="1260" w:type="dxa"/>
          </w:tcPr>
          <w:p w14:paraId="003A1603" w14:textId="77777777" w:rsidR="000C2A54" w:rsidRPr="00B90FC7" w:rsidRDefault="000C2A54" w:rsidP="000C2A54">
            <w:pPr>
              <w:jc w:val="right"/>
              <w:rPr>
                <w:b/>
                <w:sz w:val="20"/>
                <w:szCs w:val="20"/>
              </w:rPr>
            </w:pPr>
            <w:r w:rsidRPr="00B90FC7">
              <w:rPr>
                <w:b/>
                <w:sz w:val="20"/>
                <w:szCs w:val="20"/>
              </w:rPr>
              <w:t>£</w:t>
            </w:r>
          </w:p>
        </w:tc>
        <w:tc>
          <w:tcPr>
            <w:tcW w:w="1083" w:type="dxa"/>
            <w:gridSpan w:val="2"/>
          </w:tcPr>
          <w:p w14:paraId="4F6B2816" w14:textId="77777777" w:rsidR="000C2A54" w:rsidRPr="00B90FC7" w:rsidRDefault="000C2A54" w:rsidP="000C2A54">
            <w:pPr>
              <w:jc w:val="right"/>
              <w:rPr>
                <w:b/>
                <w:sz w:val="20"/>
                <w:szCs w:val="20"/>
              </w:rPr>
            </w:pPr>
            <w:r w:rsidRPr="00B90FC7">
              <w:rPr>
                <w:b/>
                <w:sz w:val="20"/>
                <w:szCs w:val="20"/>
              </w:rPr>
              <w:t>£</w:t>
            </w:r>
          </w:p>
        </w:tc>
        <w:tc>
          <w:tcPr>
            <w:tcW w:w="1308" w:type="dxa"/>
          </w:tcPr>
          <w:p w14:paraId="5CEDBA45" w14:textId="77777777" w:rsidR="000C2A54" w:rsidRPr="00B90FC7" w:rsidRDefault="000C2A54" w:rsidP="000C2A54">
            <w:pPr>
              <w:jc w:val="right"/>
              <w:rPr>
                <w:b/>
                <w:sz w:val="20"/>
                <w:szCs w:val="20"/>
              </w:rPr>
            </w:pPr>
            <w:r w:rsidRPr="00B90FC7">
              <w:rPr>
                <w:b/>
                <w:sz w:val="20"/>
                <w:szCs w:val="20"/>
              </w:rPr>
              <w:t>£</w:t>
            </w:r>
          </w:p>
        </w:tc>
      </w:tr>
      <w:tr w:rsidR="000C2A54" w:rsidRPr="00287A60" w14:paraId="42FB4B8E" w14:textId="77777777" w:rsidTr="00545EEE">
        <w:trPr>
          <w:jc w:val="center"/>
        </w:trPr>
        <w:tc>
          <w:tcPr>
            <w:tcW w:w="3622" w:type="dxa"/>
            <w:gridSpan w:val="3"/>
          </w:tcPr>
          <w:p w14:paraId="2483DB22" w14:textId="77777777" w:rsidR="000C2A54" w:rsidRPr="00B90FC7" w:rsidRDefault="000C2A54" w:rsidP="000C2A54">
            <w:pPr>
              <w:widowControl w:val="0"/>
              <w:tabs>
                <w:tab w:val="center" w:pos="3969"/>
                <w:tab w:val="center" w:pos="5245"/>
                <w:tab w:val="right" w:pos="5670"/>
                <w:tab w:val="center" w:pos="6379"/>
                <w:tab w:val="right" w:pos="6804"/>
                <w:tab w:val="center" w:pos="7513"/>
                <w:tab w:val="right" w:pos="7938"/>
                <w:tab w:val="center" w:pos="8647"/>
              </w:tabs>
              <w:autoSpaceDE w:val="0"/>
              <w:autoSpaceDN w:val="0"/>
              <w:adjustRightInd w:val="0"/>
              <w:rPr>
                <w:rFonts w:cs="Arial"/>
                <w:b/>
                <w:bCs/>
                <w:sz w:val="20"/>
                <w:szCs w:val="20"/>
              </w:rPr>
            </w:pPr>
            <w:r w:rsidRPr="00B90FC7">
              <w:rPr>
                <w:rFonts w:cs="Arial"/>
                <w:b/>
                <w:bCs/>
                <w:sz w:val="20"/>
                <w:szCs w:val="20"/>
              </w:rPr>
              <w:t>Non</w:t>
            </w:r>
            <w:r>
              <w:rPr>
                <w:rFonts w:cs="Arial"/>
                <w:b/>
                <w:bCs/>
                <w:sz w:val="20"/>
                <w:szCs w:val="20"/>
                <w:lang w:val="fr-FR"/>
              </w:rPr>
              <w:t>-</w:t>
            </w:r>
            <w:r w:rsidRPr="00B90FC7">
              <w:rPr>
                <w:rFonts w:cs="Arial"/>
                <w:b/>
                <w:bCs/>
                <w:sz w:val="20"/>
                <w:szCs w:val="20"/>
              </w:rPr>
              <w:t>current assets:</w:t>
            </w:r>
          </w:p>
        </w:tc>
        <w:tc>
          <w:tcPr>
            <w:tcW w:w="282" w:type="dxa"/>
          </w:tcPr>
          <w:p w14:paraId="717A756D" w14:textId="77777777" w:rsidR="000C2A54" w:rsidRPr="00B90FC7" w:rsidRDefault="000C2A54" w:rsidP="000C2A54">
            <w:pPr>
              <w:rPr>
                <w:b/>
                <w:sz w:val="20"/>
                <w:szCs w:val="20"/>
              </w:rPr>
            </w:pPr>
          </w:p>
        </w:tc>
        <w:tc>
          <w:tcPr>
            <w:tcW w:w="1517" w:type="dxa"/>
            <w:gridSpan w:val="2"/>
          </w:tcPr>
          <w:p w14:paraId="01F7BAC8" w14:textId="77777777" w:rsidR="000C2A54" w:rsidRPr="00B90FC7" w:rsidRDefault="000C2A54" w:rsidP="000C2A54">
            <w:pPr>
              <w:jc w:val="right"/>
              <w:rPr>
                <w:sz w:val="20"/>
                <w:szCs w:val="20"/>
              </w:rPr>
            </w:pPr>
          </w:p>
        </w:tc>
        <w:tc>
          <w:tcPr>
            <w:tcW w:w="1260" w:type="dxa"/>
          </w:tcPr>
          <w:p w14:paraId="17C53897" w14:textId="77777777" w:rsidR="000C2A54" w:rsidRPr="00B90FC7" w:rsidRDefault="000C2A54" w:rsidP="000C2A54">
            <w:pPr>
              <w:jc w:val="right"/>
              <w:rPr>
                <w:sz w:val="20"/>
                <w:szCs w:val="20"/>
              </w:rPr>
            </w:pPr>
          </w:p>
        </w:tc>
        <w:tc>
          <w:tcPr>
            <w:tcW w:w="1083" w:type="dxa"/>
            <w:gridSpan w:val="2"/>
          </w:tcPr>
          <w:p w14:paraId="0418B99A" w14:textId="77777777" w:rsidR="000C2A54" w:rsidRPr="00B90FC7" w:rsidRDefault="000C2A54" w:rsidP="000C2A54">
            <w:pPr>
              <w:jc w:val="right"/>
              <w:rPr>
                <w:sz w:val="20"/>
                <w:szCs w:val="20"/>
              </w:rPr>
            </w:pPr>
          </w:p>
        </w:tc>
        <w:tc>
          <w:tcPr>
            <w:tcW w:w="1308" w:type="dxa"/>
          </w:tcPr>
          <w:p w14:paraId="4394EAAA" w14:textId="77777777" w:rsidR="000C2A54" w:rsidRPr="00B90FC7" w:rsidRDefault="000C2A54" w:rsidP="000C2A54">
            <w:pPr>
              <w:jc w:val="right"/>
              <w:rPr>
                <w:sz w:val="20"/>
                <w:szCs w:val="20"/>
              </w:rPr>
            </w:pPr>
          </w:p>
        </w:tc>
      </w:tr>
      <w:tr w:rsidR="000C2A54" w:rsidRPr="00287A60" w14:paraId="598A5026" w14:textId="77777777" w:rsidTr="00545EEE">
        <w:trPr>
          <w:jc w:val="center"/>
        </w:trPr>
        <w:tc>
          <w:tcPr>
            <w:tcW w:w="3441" w:type="dxa"/>
            <w:gridSpan w:val="2"/>
          </w:tcPr>
          <w:p w14:paraId="3D8E7196" w14:textId="77777777" w:rsidR="000C2A54" w:rsidRPr="00B90FC7" w:rsidRDefault="000C2A54" w:rsidP="000C2A54">
            <w:pPr>
              <w:rPr>
                <w:b/>
                <w:sz w:val="20"/>
                <w:szCs w:val="20"/>
              </w:rPr>
            </w:pPr>
            <w:r w:rsidRPr="00B90FC7">
              <w:rPr>
                <w:rFonts w:cs="Arial"/>
                <w:sz w:val="20"/>
                <w:szCs w:val="20"/>
              </w:rPr>
              <w:t>Property, plant and equipment</w:t>
            </w:r>
          </w:p>
        </w:tc>
        <w:tc>
          <w:tcPr>
            <w:tcW w:w="900" w:type="dxa"/>
            <w:gridSpan w:val="3"/>
          </w:tcPr>
          <w:p w14:paraId="1CA849A8" w14:textId="77777777" w:rsidR="000C2A54" w:rsidRPr="00B90FC7" w:rsidRDefault="000C2A54" w:rsidP="000C2A54">
            <w:pPr>
              <w:jc w:val="center"/>
              <w:rPr>
                <w:b/>
                <w:sz w:val="20"/>
                <w:szCs w:val="20"/>
              </w:rPr>
            </w:pPr>
            <w:r>
              <w:rPr>
                <w:b/>
                <w:sz w:val="20"/>
                <w:szCs w:val="20"/>
              </w:rPr>
              <w:t>6</w:t>
            </w:r>
          </w:p>
        </w:tc>
        <w:tc>
          <w:tcPr>
            <w:tcW w:w="1080" w:type="dxa"/>
          </w:tcPr>
          <w:p w14:paraId="7F1E746A" w14:textId="77777777" w:rsidR="000C2A54" w:rsidRPr="00B90FC7" w:rsidRDefault="000C2A54" w:rsidP="000C2A54">
            <w:pPr>
              <w:jc w:val="right"/>
              <w:rPr>
                <w:sz w:val="20"/>
                <w:szCs w:val="20"/>
              </w:rPr>
            </w:pPr>
          </w:p>
        </w:tc>
        <w:tc>
          <w:tcPr>
            <w:tcW w:w="1260" w:type="dxa"/>
          </w:tcPr>
          <w:p w14:paraId="4E650429" w14:textId="7C7A966B" w:rsidR="000C2A54" w:rsidRPr="00B90FC7" w:rsidRDefault="00BE575E" w:rsidP="000C2A54">
            <w:pPr>
              <w:jc w:val="right"/>
              <w:rPr>
                <w:sz w:val="20"/>
                <w:szCs w:val="20"/>
              </w:rPr>
            </w:pPr>
            <w:r>
              <w:rPr>
                <w:sz w:val="20"/>
                <w:szCs w:val="20"/>
              </w:rPr>
              <w:t>4</w:t>
            </w:r>
            <w:r w:rsidR="0025644E">
              <w:rPr>
                <w:sz w:val="20"/>
                <w:szCs w:val="20"/>
              </w:rPr>
              <w:t>19</w:t>
            </w:r>
            <w:r>
              <w:rPr>
                <w:sz w:val="20"/>
                <w:szCs w:val="20"/>
              </w:rPr>
              <w:t>,</w:t>
            </w:r>
            <w:r w:rsidR="0025644E">
              <w:rPr>
                <w:sz w:val="20"/>
                <w:szCs w:val="20"/>
              </w:rPr>
              <w:t>363</w:t>
            </w:r>
          </w:p>
        </w:tc>
        <w:tc>
          <w:tcPr>
            <w:tcW w:w="1083" w:type="dxa"/>
            <w:gridSpan w:val="2"/>
          </w:tcPr>
          <w:p w14:paraId="145D8A44" w14:textId="77777777" w:rsidR="000C2A54" w:rsidRPr="00B90FC7" w:rsidRDefault="000C2A54" w:rsidP="000C2A54">
            <w:pPr>
              <w:jc w:val="right"/>
              <w:rPr>
                <w:sz w:val="20"/>
                <w:szCs w:val="20"/>
              </w:rPr>
            </w:pPr>
          </w:p>
        </w:tc>
        <w:tc>
          <w:tcPr>
            <w:tcW w:w="1308" w:type="dxa"/>
          </w:tcPr>
          <w:p w14:paraId="638DFF5C" w14:textId="33E86EDC" w:rsidR="000C2A54" w:rsidRPr="005B6801" w:rsidRDefault="00545EEE" w:rsidP="000C2A54">
            <w:pPr>
              <w:jc w:val="right"/>
              <w:rPr>
                <w:sz w:val="20"/>
                <w:szCs w:val="20"/>
              </w:rPr>
            </w:pPr>
            <w:r>
              <w:rPr>
                <w:sz w:val="20"/>
                <w:szCs w:val="20"/>
              </w:rPr>
              <w:t>480,085</w:t>
            </w:r>
          </w:p>
        </w:tc>
      </w:tr>
      <w:tr w:rsidR="004A14D8" w:rsidRPr="00287A60" w14:paraId="1740BDA0" w14:textId="77777777" w:rsidTr="00545EEE">
        <w:trPr>
          <w:jc w:val="center"/>
        </w:trPr>
        <w:tc>
          <w:tcPr>
            <w:tcW w:w="3441" w:type="dxa"/>
            <w:gridSpan w:val="2"/>
          </w:tcPr>
          <w:p w14:paraId="6170FEC1" w14:textId="637E3BC3" w:rsidR="004A14D8" w:rsidRDefault="004A14D8" w:rsidP="000C2A54">
            <w:pPr>
              <w:rPr>
                <w:rFonts w:cs="Arial"/>
                <w:sz w:val="20"/>
                <w:szCs w:val="20"/>
              </w:rPr>
            </w:pPr>
            <w:r>
              <w:rPr>
                <w:rFonts w:cs="Arial"/>
                <w:sz w:val="20"/>
                <w:szCs w:val="20"/>
              </w:rPr>
              <w:t>Right-of-Use assets</w:t>
            </w:r>
          </w:p>
        </w:tc>
        <w:tc>
          <w:tcPr>
            <w:tcW w:w="900" w:type="dxa"/>
            <w:gridSpan w:val="3"/>
          </w:tcPr>
          <w:p w14:paraId="46EA2833" w14:textId="5126D937" w:rsidR="004A14D8" w:rsidRPr="004A14D8" w:rsidRDefault="004A14D8" w:rsidP="000C2A54">
            <w:pPr>
              <w:jc w:val="center"/>
              <w:rPr>
                <w:b/>
                <w:sz w:val="20"/>
                <w:szCs w:val="20"/>
              </w:rPr>
            </w:pPr>
            <w:r>
              <w:rPr>
                <w:b/>
                <w:sz w:val="20"/>
                <w:szCs w:val="20"/>
              </w:rPr>
              <w:t>7</w:t>
            </w:r>
          </w:p>
        </w:tc>
        <w:tc>
          <w:tcPr>
            <w:tcW w:w="1080" w:type="dxa"/>
          </w:tcPr>
          <w:p w14:paraId="2015108F" w14:textId="77777777" w:rsidR="004A14D8" w:rsidRPr="00B90FC7" w:rsidRDefault="004A14D8" w:rsidP="000C2A54">
            <w:pPr>
              <w:jc w:val="right"/>
              <w:rPr>
                <w:sz w:val="20"/>
                <w:szCs w:val="20"/>
              </w:rPr>
            </w:pPr>
          </w:p>
        </w:tc>
        <w:tc>
          <w:tcPr>
            <w:tcW w:w="1260" w:type="dxa"/>
          </w:tcPr>
          <w:p w14:paraId="6329043B" w14:textId="0AD0D478" w:rsidR="004A14D8" w:rsidRDefault="0025644E" w:rsidP="00600AD1">
            <w:pPr>
              <w:jc w:val="right"/>
              <w:rPr>
                <w:sz w:val="20"/>
                <w:szCs w:val="20"/>
              </w:rPr>
            </w:pPr>
            <w:r>
              <w:rPr>
                <w:sz w:val="20"/>
                <w:szCs w:val="20"/>
              </w:rPr>
              <w:t>445</w:t>
            </w:r>
            <w:r w:rsidR="00F96687">
              <w:rPr>
                <w:sz w:val="20"/>
                <w:szCs w:val="20"/>
              </w:rPr>
              <w:t>,</w:t>
            </w:r>
            <w:r>
              <w:rPr>
                <w:sz w:val="20"/>
                <w:szCs w:val="20"/>
              </w:rPr>
              <w:t>02</w:t>
            </w:r>
            <w:r w:rsidR="0035278E">
              <w:rPr>
                <w:sz w:val="20"/>
                <w:szCs w:val="20"/>
              </w:rPr>
              <w:t>1</w:t>
            </w:r>
          </w:p>
        </w:tc>
        <w:tc>
          <w:tcPr>
            <w:tcW w:w="1083" w:type="dxa"/>
            <w:gridSpan w:val="2"/>
          </w:tcPr>
          <w:p w14:paraId="379433CF" w14:textId="77777777" w:rsidR="004A14D8" w:rsidRPr="00B90FC7" w:rsidRDefault="004A14D8" w:rsidP="000C2A54">
            <w:pPr>
              <w:jc w:val="right"/>
              <w:rPr>
                <w:sz w:val="20"/>
                <w:szCs w:val="20"/>
              </w:rPr>
            </w:pPr>
          </w:p>
        </w:tc>
        <w:tc>
          <w:tcPr>
            <w:tcW w:w="1308" w:type="dxa"/>
          </w:tcPr>
          <w:p w14:paraId="4B946703" w14:textId="64158337" w:rsidR="004A14D8" w:rsidRPr="00375309" w:rsidRDefault="00545EEE" w:rsidP="000C2A54">
            <w:pPr>
              <w:jc w:val="right"/>
              <w:rPr>
                <w:sz w:val="20"/>
                <w:szCs w:val="20"/>
              </w:rPr>
            </w:pPr>
            <w:r>
              <w:rPr>
                <w:sz w:val="20"/>
                <w:szCs w:val="20"/>
              </w:rPr>
              <w:t>520,452</w:t>
            </w:r>
          </w:p>
        </w:tc>
      </w:tr>
      <w:tr w:rsidR="00545EEE" w:rsidRPr="00287A60" w14:paraId="6E91877E" w14:textId="77777777" w:rsidTr="00545EEE">
        <w:trPr>
          <w:jc w:val="center"/>
        </w:trPr>
        <w:tc>
          <w:tcPr>
            <w:tcW w:w="3441" w:type="dxa"/>
            <w:gridSpan w:val="2"/>
          </w:tcPr>
          <w:p w14:paraId="2A31B8F1" w14:textId="77777777" w:rsidR="00545EEE" w:rsidRPr="00B90FC7" w:rsidRDefault="00545EEE" w:rsidP="00545EEE">
            <w:pPr>
              <w:rPr>
                <w:rFonts w:cs="Arial"/>
                <w:sz w:val="20"/>
                <w:szCs w:val="20"/>
              </w:rPr>
            </w:pPr>
            <w:r>
              <w:rPr>
                <w:rFonts w:cs="Arial"/>
                <w:sz w:val="20"/>
                <w:szCs w:val="20"/>
              </w:rPr>
              <w:t>Intangible assets</w:t>
            </w:r>
          </w:p>
        </w:tc>
        <w:tc>
          <w:tcPr>
            <w:tcW w:w="900" w:type="dxa"/>
            <w:gridSpan w:val="3"/>
          </w:tcPr>
          <w:p w14:paraId="5090C80C" w14:textId="613F9716" w:rsidR="00545EEE" w:rsidRDefault="00545EEE" w:rsidP="00545EEE">
            <w:pPr>
              <w:jc w:val="center"/>
              <w:rPr>
                <w:b/>
                <w:sz w:val="20"/>
                <w:szCs w:val="20"/>
              </w:rPr>
            </w:pPr>
            <w:r>
              <w:rPr>
                <w:b/>
                <w:sz w:val="20"/>
                <w:szCs w:val="20"/>
              </w:rPr>
              <w:t>8</w:t>
            </w:r>
          </w:p>
        </w:tc>
        <w:tc>
          <w:tcPr>
            <w:tcW w:w="1080" w:type="dxa"/>
          </w:tcPr>
          <w:p w14:paraId="5D574DAC" w14:textId="77777777" w:rsidR="00545EEE" w:rsidRPr="00B90FC7" w:rsidRDefault="00545EEE" w:rsidP="00545EEE">
            <w:pPr>
              <w:jc w:val="right"/>
              <w:rPr>
                <w:sz w:val="20"/>
                <w:szCs w:val="20"/>
              </w:rPr>
            </w:pPr>
          </w:p>
        </w:tc>
        <w:tc>
          <w:tcPr>
            <w:tcW w:w="1260" w:type="dxa"/>
          </w:tcPr>
          <w:p w14:paraId="794BAD1A" w14:textId="3FC76429" w:rsidR="00545EEE" w:rsidRDefault="0025644E" w:rsidP="00545EEE">
            <w:pPr>
              <w:jc w:val="right"/>
              <w:rPr>
                <w:sz w:val="20"/>
                <w:szCs w:val="20"/>
              </w:rPr>
            </w:pPr>
            <w:r>
              <w:rPr>
                <w:sz w:val="20"/>
                <w:szCs w:val="20"/>
              </w:rPr>
              <w:t>315</w:t>
            </w:r>
          </w:p>
        </w:tc>
        <w:tc>
          <w:tcPr>
            <w:tcW w:w="1083" w:type="dxa"/>
            <w:gridSpan w:val="2"/>
          </w:tcPr>
          <w:p w14:paraId="673CB4AE" w14:textId="77777777" w:rsidR="00545EEE" w:rsidRPr="00B90FC7" w:rsidRDefault="00545EEE" w:rsidP="00545EEE">
            <w:pPr>
              <w:jc w:val="right"/>
              <w:rPr>
                <w:sz w:val="20"/>
                <w:szCs w:val="20"/>
              </w:rPr>
            </w:pPr>
          </w:p>
        </w:tc>
        <w:tc>
          <w:tcPr>
            <w:tcW w:w="1308" w:type="dxa"/>
            <w:tcBorders>
              <w:bottom w:val="single" w:sz="4" w:space="0" w:color="auto"/>
            </w:tcBorders>
          </w:tcPr>
          <w:p w14:paraId="1EEC6954" w14:textId="16AA26FB" w:rsidR="00545EEE" w:rsidRPr="00545EEE" w:rsidRDefault="00545EEE" w:rsidP="00545EEE">
            <w:pPr>
              <w:jc w:val="right"/>
              <w:rPr>
                <w:sz w:val="20"/>
                <w:szCs w:val="20"/>
              </w:rPr>
            </w:pPr>
            <w:r w:rsidRPr="00545EEE">
              <w:rPr>
                <w:sz w:val="20"/>
                <w:szCs w:val="20"/>
              </w:rPr>
              <w:t>795</w:t>
            </w:r>
          </w:p>
        </w:tc>
      </w:tr>
      <w:tr w:rsidR="00545EEE" w:rsidRPr="00287A60" w14:paraId="23908ED2" w14:textId="77777777" w:rsidTr="00545EEE">
        <w:trPr>
          <w:jc w:val="center"/>
        </w:trPr>
        <w:tc>
          <w:tcPr>
            <w:tcW w:w="3622" w:type="dxa"/>
            <w:gridSpan w:val="3"/>
          </w:tcPr>
          <w:p w14:paraId="6007CDA7" w14:textId="77777777" w:rsidR="00545EEE" w:rsidRPr="00B90FC7" w:rsidRDefault="00545EEE" w:rsidP="00545EEE">
            <w:pPr>
              <w:rPr>
                <w:b/>
                <w:sz w:val="20"/>
                <w:szCs w:val="20"/>
              </w:rPr>
            </w:pPr>
            <w:r w:rsidRPr="00B90FC7">
              <w:rPr>
                <w:rFonts w:cs="Arial"/>
                <w:b/>
                <w:bCs/>
                <w:sz w:val="20"/>
                <w:szCs w:val="20"/>
              </w:rPr>
              <w:t>Total non</w:t>
            </w:r>
            <w:r>
              <w:rPr>
                <w:rFonts w:cs="Arial"/>
                <w:b/>
                <w:bCs/>
                <w:sz w:val="20"/>
                <w:szCs w:val="20"/>
                <w:lang w:val="fr-FR"/>
              </w:rPr>
              <w:t>-</w:t>
            </w:r>
            <w:r w:rsidRPr="00B90FC7">
              <w:rPr>
                <w:rFonts w:cs="Arial"/>
                <w:b/>
                <w:bCs/>
                <w:sz w:val="20"/>
                <w:szCs w:val="20"/>
              </w:rPr>
              <w:t>current assets</w:t>
            </w:r>
          </w:p>
        </w:tc>
        <w:tc>
          <w:tcPr>
            <w:tcW w:w="282" w:type="dxa"/>
          </w:tcPr>
          <w:p w14:paraId="26697AA1" w14:textId="77777777" w:rsidR="00545EEE" w:rsidRPr="00B90FC7" w:rsidRDefault="00545EEE" w:rsidP="00545EEE">
            <w:pPr>
              <w:rPr>
                <w:b/>
                <w:sz w:val="20"/>
                <w:szCs w:val="20"/>
              </w:rPr>
            </w:pPr>
          </w:p>
        </w:tc>
        <w:tc>
          <w:tcPr>
            <w:tcW w:w="1517" w:type="dxa"/>
            <w:gridSpan w:val="2"/>
          </w:tcPr>
          <w:p w14:paraId="379228BD" w14:textId="77777777" w:rsidR="00545EEE" w:rsidRPr="00B90FC7" w:rsidRDefault="00545EEE" w:rsidP="00545EEE">
            <w:pPr>
              <w:jc w:val="right"/>
              <w:rPr>
                <w:sz w:val="20"/>
                <w:szCs w:val="20"/>
              </w:rPr>
            </w:pPr>
          </w:p>
        </w:tc>
        <w:tc>
          <w:tcPr>
            <w:tcW w:w="1260" w:type="dxa"/>
            <w:tcBorders>
              <w:top w:val="single" w:sz="4" w:space="0" w:color="auto"/>
            </w:tcBorders>
          </w:tcPr>
          <w:p w14:paraId="7D31A19D" w14:textId="42834C6F" w:rsidR="00545EEE" w:rsidRPr="00B90FC7" w:rsidRDefault="0025644E" w:rsidP="00545EEE">
            <w:pPr>
              <w:jc w:val="right"/>
              <w:rPr>
                <w:sz w:val="20"/>
                <w:szCs w:val="20"/>
              </w:rPr>
            </w:pPr>
            <w:r w:rsidRPr="00D66239">
              <w:rPr>
                <w:sz w:val="20"/>
                <w:szCs w:val="20"/>
              </w:rPr>
              <w:t>864</w:t>
            </w:r>
            <w:r w:rsidR="00545EEE" w:rsidRPr="00D66239">
              <w:rPr>
                <w:sz w:val="20"/>
                <w:szCs w:val="20"/>
              </w:rPr>
              <w:t>,</w:t>
            </w:r>
            <w:r w:rsidRPr="00D66239">
              <w:rPr>
                <w:sz w:val="20"/>
                <w:szCs w:val="20"/>
              </w:rPr>
              <w:t>699</w:t>
            </w:r>
          </w:p>
        </w:tc>
        <w:tc>
          <w:tcPr>
            <w:tcW w:w="1083" w:type="dxa"/>
            <w:gridSpan w:val="2"/>
          </w:tcPr>
          <w:p w14:paraId="741204C2" w14:textId="77777777" w:rsidR="00545EEE" w:rsidRPr="00B90FC7" w:rsidRDefault="00545EEE" w:rsidP="00545EEE">
            <w:pPr>
              <w:jc w:val="right"/>
              <w:rPr>
                <w:sz w:val="20"/>
                <w:szCs w:val="20"/>
              </w:rPr>
            </w:pPr>
          </w:p>
        </w:tc>
        <w:tc>
          <w:tcPr>
            <w:tcW w:w="1308" w:type="dxa"/>
            <w:tcBorders>
              <w:top w:val="single" w:sz="4" w:space="0" w:color="auto"/>
            </w:tcBorders>
          </w:tcPr>
          <w:p w14:paraId="724D8913" w14:textId="0E3FA7AE" w:rsidR="00545EEE" w:rsidRPr="00B90FC7" w:rsidRDefault="00545EEE" w:rsidP="00545EEE">
            <w:pPr>
              <w:rPr>
                <w:sz w:val="20"/>
                <w:szCs w:val="20"/>
              </w:rPr>
            </w:pPr>
            <w:r>
              <w:rPr>
                <w:sz w:val="20"/>
                <w:szCs w:val="20"/>
              </w:rPr>
              <w:t>1,001,332</w:t>
            </w:r>
          </w:p>
        </w:tc>
      </w:tr>
      <w:tr w:rsidR="00545EEE" w:rsidRPr="00287A60" w14:paraId="6DE384C6" w14:textId="77777777" w:rsidTr="00545EEE">
        <w:trPr>
          <w:jc w:val="center"/>
        </w:trPr>
        <w:tc>
          <w:tcPr>
            <w:tcW w:w="2800" w:type="dxa"/>
          </w:tcPr>
          <w:p w14:paraId="7BC3DDEF" w14:textId="77777777" w:rsidR="00545EEE" w:rsidRDefault="00545EEE" w:rsidP="00545EEE">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p>
          <w:p w14:paraId="24261D40" w14:textId="77777777" w:rsidR="00545EEE" w:rsidRPr="00B90FC7" w:rsidRDefault="00545EEE" w:rsidP="00545EEE">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r w:rsidRPr="00B90FC7">
              <w:rPr>
                <w:rFonts w:cs="Arial"/>
                <w:b/>
                <w:bCs/>
                <w:sz w:val="20"/>
                <w:szCs w:val="20"/>
              </w:rPr>
              <w:t>Current assets:</w:t>
            </w:r>
          </w:p>
        </w:tc>
        <w:tc>
          <w:tcPr>
            <w:tcW w:w="1541" w:type="dxa"/>
            <w:gridSpan w:val="4"/>
          </w:tcPr>
          <w:p w14:paraId="653CEACD" w14:textId="77777777" w:rsidR="00545EEE" w:rsidRPr="00B90FC7" w:rsidRDefault="00545EEE" w:rsidP="00545EEE">
            <w:pPr>
              <w:rPr>
                <w:b/>
                <w:sz w:val="20"/>
                <w:szCs w:val="20"/>
              </w:rPr>
            </w:pPr>
          </w:p>
        </w:tc>
        <w:tc>
          <w:tcPr>
            <w:tcW w:w="1080" w:type="dxa"/>
          </w:tcPr>
          <w:p w14:paraId="6D08B068" w14:textId="77777777" w:rsidR="00545EEE" w:rsidRPr="00B90FC7" w:rsidRDefault="00545EEE" w:rsidP="00545EEE">
            <w:pPr>
              <w:jc w:val="right"/>
              <w:rPr>
                <w:sz w:val="20"/>
                <w:szCs w:val="20"/>
              </w:rPr>
            </w:pPr>
          </w:p>
        </w:tc>
        <w:tc>
          <w:tcPr>
            <w:tcW w:w="1260" w:type="dxa"/>
          </w:tcPr>
          <w:p w14:paraId="0164823E" w14:textId="77777777" w:rsidR="00545EEE" w:rsidRPr="00B90FC7" w:rsidRDefault="00545EEE" w:rsidP="00545EEE">
            <w:pPr>
              <w:jc w:val="right"/>
              <w:rPr>
                <w:sz w:val="20"/>
                <w:szCs w:val="20"/>
              </w:rPr>
            </w:pPr>
          </w:p>
        </w:tc>
        <w:tc>
          <w:tcPr>
            <w:tcW w:w="1083" w:type="dxa"/>
            <w:gridSpan w:val="2"/>
          </w:tcPr>
          <w:p w14:paraId="07E52CC4" w14:textId="77777777" w:rsidR="00545EEE" w:rsidRPr="00B90FC7" w:rsidRDefault="00545EEE" w:rsidP="00545EEE">
            <w:pPr>
              <w:jc w:val="right"/>
              <w:rPr>
                <w:sz w:val="20"/>
                <w:szCs w:val="20"/>
              </w:rPr>
            </w:pPr>
          </w:p>
        </w:tc>
        <w:tc>
          <w:tcPr>
            <w:tcW w:w="1308" w:type="dxa"/>
          </w:tcPr>
          <w:p w14:paraId="7DF2FD12" w14:textId="77777777" w:rsidR="00545EEE" w:rsidRPr="00B90FC7" w:rsidRDefault="00545EEE" w:rsidP="00545EEE">
            <w:pPr>
              <w:jc w:val="right"/>
              <w:rPr>
                <w:sz w:val="20"/>
                <w:szCs w:val="20"/>
              </w:rPr>
            </w:pPr>
          </w:p>
        </w:tc>
      </w:tr>
      <w:tr w:rsidR="00545EEE" w:rsidRPr="00287A60" w14:paraId="4A6C7033" w14:textId="77777777" w:rsidTr="00545EEE">
        <w:trPr>
          <w:jc w:val="center"/>
        </w:trPr>
        <w:tc>
          <w:tcPr>
            <w:tcW w:w="3441" w:type="dxa"/>
            <w:gridSpan w:val="2"/>
          </w:tcPr>
          <w:p w14:paraId="4C699172" w14:textId="77777777" w:rsidR="00545EEE" w:rsidRPr="00B90FC7" w:rsidRDefault="00545EEE" w:rsidP="00545EEE">
            <w:pPr>
              <w:rPr>
                <w:b/>
                <w:sz w:val="20"/>
                <w:szCs w:val="20"/>
              </w:rPr>
            </w:pPr>
            <w:r w:rsidRPr="00B90FC7">
              <w:rPr>
                <w:rFonts w:cs="Arial"/>
                <w:sz w:val="20"/>
                <w:szCs w:val="20"/>
              </w:rPr>
              <w:t>Trade and other receivables</w:t>
            </w:r>
          </w:p>
        </w:tc>
        <w:tc>
          <w:tcPr>
            <w:tcW w:w="900" w:type="dxa"/>
            <w:gridSpan w:val="3"/>
          </w:tcPr>
          <w:p w14:paraId="08FDA373" w14:textId="1A53E261" w:rsidR="00545EEE" w:rsidRPr="00B90FC7" w:rsidRDefault="00545EEE" w:rsidP="00545EEE">
            <w:pPr>
              <w:jc w:val="center"/>
              <w:rPr>
                <w:b/>
                <w:sz w:val="20"/>
                <w:szCs w:val="20"/>
              </w:rPr>
            </w:pPr>
            <w:r>
              <w:rPr>
                <w:b/>
                <w:sz w:val="20"/>
                <w:szCs w:val="20"/>
              </w:rPr>
              <w:t>10</w:t>
            </w:r>
          </w:p>
        </w:tc>
        <w:tc>
          <w:tcPr>
            <w:tcW w:w="1080" w:type="dxa"/>
          </w:tcPr>
          <w:p w14:paraId="05742EE0" w14:textId="3607511F" w:rsidR="00545EEE" w:rsidRPr="00B90FC7" w:rsidRDefault="0025644E" w:rsidP="00545EEE">
            <w:pPr>
              <w:jc w:val="right"/>
              <w:rPr>
                <w:sz w:val="20"/>
                <w:szCs w:val="20"/>
              </w:rPr>
            </w:pPr>
            <w:r>
              <w:rPr>
                <w:sz w:val="20"/>
                <w:szCs w:val="20"/>
              </w:rPr>
              <w:t>43</w:t>
            </w:r>
            <w:r w:rsidR="00545EEE">
              <w:rPr>
                <w:sz w:val="20"/>
                <w:szCs w:val="20"/>
              </w:rPr>
              <w:t>,</w:t>
            </w:r>
            <w:r>
              <w:rPr>
                <w:sz w:val="20"/>
                <w:szCs w:val="20"/>
              </w:rPr>
              <w:t>88</w:t>
            </w:r>
            <w:r w:rsidR="0070445C">
              <w:rPr>
                <w:sz w:val="20"/>
                <w:szCs w:val="20"/>
              </w:rPr>
              <w:t>2</w:t>
            </w:r>
          </w:p>
        </w:tc>
        <w:tc>
          <w:tcPr>
            <w:tcW w:w="1260" w:type="dxa"/>
          </w:tcPr>
          <w:p w14:paraId="5536EE69" w14:textId="77777777" w:rsidR="00545EEE" w:rsidRPr="00B90FC7" w:rsidRDefault="00545EEE" w:rsidP="00545EEE">
            <w:pPr>
              <w:jc w:val="right"/>
              <w:rPr>
                <w:sz w:val="20"/>
                <w:szCs w:val="20"/>
              </w:rPr>
            </w:pPr>
          </w:p>
        </w:tc>
        <w:tc>
          <w:tcPr>
            <w:tcW w:w="1083" w:type="dxa"/>
            <w:gridSpan w:val="2"/>
          </w:tcPr>
          <w:p w14:paraId="37652456" w14:textId="04F5377F" w:rsidR="00545EEE" w:rsidRPr="00B90FC7" w:rsidRDefault="00545EEE" w:rsidP="00545EEE">
            <w:pPr>
              <w:jc w:val="right"/>
              <w:rPr>
                <w:sz w:val="20"/>
                <w:szCs w:val="20"/>
              </w:rPr>
            </w:pPr>
            <w:r>
              <w:rPr>
                <w:sz w:val="20"/>
                <w:szCs w:val="20"/>
              </w:rPr>
              <w:t>61,525</w:t>
            </w:r>
          </w:p>
        </w:tc>
        <w:tc>
          <w:tcPr>
            <w:tcW w:w="1308" w:type="dxa"/>
          </w:tcPr>
          <w:p w14:paraId="3E2FCA30" w14:textId="77777777" w:rsidR="00545EEE" w:rsidRPr="00B90FC7" w:rsidRDefault="00545EEE" w:rsidP="00545EEE">
            <w:pPr>
              <w:jc w:val="right"/>
              <w:rPr>
                <w:sz w:val="20"/>
                <w:szCs w:val="20"/>
              </w:rPr>
            </w:pPr>
          </w:p>
        </w:tc>
      </w:tr>
      <w:tr w:rsidR="00545EEE" w:rsidRPr="00287A60" w14:paraId="5C74451A" w14:textId="77777777" w:rsidTr="00545EEE">
        <w:trPr>
          <w:jc w:val="center"/>
        </w:trPr>
        <w:tc>
          <w:tcPr>
            <w:tcW w:w="3441" w:type="dxa"/>
            <w:gridSpan w:val="2"/>
          </w:tcPr>
          <w:p w14:paraId="3D19296C" w14:textId="77777777" w:rsidR="00545EEE" w:rsidRPr="00B90FC7" w:rsidRDefault="00545EEE" w:rsidP="00545EEE">
            <w:pPr>
              <w:rPr>
                <w:b/>
                <w:sz w:val="20"/>
                <w:szCs w:val="20"/>
              </w:rPr>
            </w:pPr>
            <w:r w:rsidRPr="00B90FC7">
              <w:rPr>
                <w:rFonts w:cs="Arial"/>
                <w:sz w:val="20"/>
                <w:szCs w:val="20"/>
              </w:rPr>
              <w:t>Cash and cash equivalents</w:t>
            </w:r>
          </w:p>
        </w:tc>
        <w:tc>
          <w:tcPr>
            <w:tcW w:w="900" w:type="dxa"/>
            <w:gridSpan w:val="3"/>
          </w:tcPr>
          <w:p w14:paraId="0956E65C" w14:textId="66412AB1" w:rsidR="00545EEE" w:rsidRPr="00B90FC7" w:rsidRDefault="00545EEE" w:rsidP="00545EEE">
            <w:pPr>
              <w:jc w:val="center"/>
              <w:rPr>
                <w:b/>
                <w:sz w:val="20"/>
                <w:szCs w:val="20"/>
              </w:rPr>
            </w:pPr>
            <w:r>
              <w:rPr>
                <w:b/>
                <w:sz w:val="20"/>
                <w:szCs w:val="20"/>
              </w:rPr>
              <w:t>11</w:t>
            </w:r>
          </w:p>
        </w:tc>
        <w:tc>
          <w:tcPr>
            <w:tcW w:w="1080" w:type="dxa"/>
            <w:tcBorders>
              <w:bottom w:val="single" w:sz="4" w:space="0" w:color="auto"/>
            </w:tcBorders>
          </w:tcPr>
          <w:p w14:paraId="65D00DE5" w14:textId="76AD9BCB" w:rsidR="00545EEE" w:rsidRPr="00B90FC7" w:rsidRDefault="0025644E" w:rsidP="00545EEE">
            <w:pPr>
              <w:jc w:val="right"/>
              <w:rPr>
                <w:sz w:val="20"/>
                <w:szCs w:val="20"/>
              </w:rPr>
            </w:pPr>
            <w:r>
              <w:rPr>
                <w:sz w:val="20"/>
                <w:szCs w:val="20"/>
              </w:rPr>
              <w:t>990</w:t>
            </w:r>
            <w:r w:rsidR="00545EEE">
              <w:rPr>
                <w:sz w:val="20"/>
                <w:szCs w:val="20"/>
              </w:rPr>
              <w:t>,</w:t>
            </w:r>
            <w:r>
              <w:rPr>
                <w:sz w:val="20"/>
                <w:szCs w:val="20"/>
              </w:rPr>
              <w:t>019</w:t>
            </w:r>
          </w:p>
        </w:tc>
        <w:tc>
          <w:tcPr>
            <w:tcW w:w="1260" w:type="dxa"/>
          </w:tcPr>
          <w:p w14:paraId="79B1E60D" w14:textId="77777777" w:rsidR="00545EEE" w:rsidRPr="00B90FC7" w:rsidRDefault="00545EEE" w:rsidP="00545EEE">
            <w:pPr>
              <w:jc w:val="right"/>
              <w:rPr>
                <w:sz w:val="20"/>
                <w:szCs w:val="20"/>
              </w:rPr>
            </w:pPr>
          </w:p>
        </w:tc>
        <w:tc>
          <w:tcPr>
            <w:tcW w:w="1083" w:type="dxa"/>
            <w:gridSpan w:val="2"/>
            <w:tcBorders>
              <w:bottom w:val="single" w:sz="4" w:space="0" w:color="auto"/>
            </w:tcBorders>
          </w:tcPr>
          <w:p w14:paraId="38D37516" w14:textId="4C60ACA0" w:rsidR="00545EEE" w:rsidRPr="00B90FC7" w:rsidRDefault="00545EEE" w:rsidP="00545EEE">
            <w:pPr>
              <w:jc w:val="right"/>
              <w:rPr>
                <w:sz w:val="20"/>
                <w:szCs w:val="20"/>
              </w:rPr>
            </w:pPr>
            <w:r>
              <w:rPr>
                <w:sz w:val="20"/>
                <w:szCs w:val="20"/>
              </w:rPr>
              <w:t>556,606</w:t>
            </w:r>
          </w:p>
        </w:tc>
        <w:tc>
          <w:tcPr>
            <w:tcW w:w="1308" w:type="dxa"/>
          </w:tcPr>
          <w:p w14:paraId="233FAA48" w14:textId="77777777" w:rsidR="00545EEE" w:rsidRPr="00B90FC7" w:rsidRDefault="00545EEE" w:rsidP="00545EEE">
            <w:pPr>
              <w:jc w:val="right"/>
              <w:rPr>
                <w:sz w:val="20"/>
                <w:szCs w:val="20"/>
              </w:rPr>
            </w:pPr>
          </w:p>
        </w:tc>
      </w:tr>
      <w:tr w:rsidR="00545EEE" w:rsidRPr="00287A60" w14:paraId="700C26D7" w14:textId="77777777" w:rsidTr="00545EEE">
        <w:trPr>
          <w:jc w:val="center"/>
        </w:trPr>
        <w:tc>
          <w:tcPr>
            <w:tcW w:w="3622" w:type="dxa"/>
            <w:gridSpan w:val="3"/>
          </w:tcPr>
          <w:p w14:paraId="738BD214" w14:textId="77777777" w:rsidR="00545EEE" w:rsidRPr="00B90FC7" w:rsidRDefault="00545EEE" w:rsidP="00545EEE">
            <w:pPr>
              <w:rPr>
                <w:rFonts w:cs="Arial"/>
                <w:b/>
                <w:sz w:val="20"/>
                <w:szCs w:val="20"/>
              </w:rPr>
            </w:pPr>
            <w:r w:rsidRPr="00B90FC7">
              <w:rPr>
                <w:rFonts w:cs="Arial"/>
                <w:b/>
                <w:sz w:val="20"/>
                <w:szCs w:val="20"/>
              </w:rPr>
              <w:t>Total current assets</w:t>
            </w:r>
          </w:p>
          <w:p w14:paraId="56074F16" w14:textId="77777777" w:rsidR="00545EEE" w:rsidRPr="00B90FC7" w:rsidRDefault="00545EEE" w:rsidP="00545EEE">
            <w:pPr>
              <w:rPr>
                <w:b/>
                <w:sz w:val="20"/>
                <w:szCs w:val="20"/>
              </w:rPr>
            </w:pPr>
          </w:p>
        </w:tc>
        <w:tc>
          <w:tcPr>
            <w:tcW w:w="719" w:type="dxa"/>
            <w:gridSpan w:val="2"/>
          </w:tcPr>
          <w:p w14:paraId="7171E8B7" w14:textId="77777777" w:rsidR="00545EEE" w:rsidRPr="00B90FC7" w:rsidRDefault="00545EEE" w:rsidP="00545EEE">
            <w:pPr>
              <w:rPr>
                <w:b/>
                <w:sz w:val="20"/>
                <w:szCs w:val="20"/>
              </w:rPr>
            </w:pPr>
          </w:p>
        </w:tc>
        <w:tc>
          <w:tcPr>
            <w:tcW w:w="1080" w:type="dxa"/>
            <w:tcBorders>
              <w:top w:val="single" w:sz="4" w:space="0" w:color="auto"/>
            </w:tcBorders>
          </w:tcPr>
          <w:p w14:paraId="39F999A2" w14:textId="77777777" w:rsidR="00545EEE" w:rsidRPr="00B90FC7" w:rsidRDefault="00545EEE" w:rsidP="00545EEE">
            <w:pPr>
              <w:jc w:val="right"/>
              <w:rPr>
                <w:sz w:val="20"/>
                <w:szCs w:val="20"/>
              </w:rPr>
            </w:pPr>
          </w:p>
        </w:tc>
        <w:tc>
          <w:tcPr>
            <w:tcW w:w="1260" w:type="dxa"/>
            <w:tcBorders>
              <w:bottom w:val="single" w:sz="4" w:space="0" w:color="auto"/>
            </w:tcBorders>
          </w:tcPr>
          <w:p w14:paraId="3787BE15" w14:textId="58396AE2" w:rsidR="00545EEE" w:rsidRPr="0070445C" w:rsidRDefault="002C5BFB" w:rsidP="00545EEE">
            <w:pPr>
              <w:jc w:val="right"/>
              <w:rPr>
                <w:sz w:val="20"/>
                <w:szCs w:val="20"/>
              </w:rPr>
            </w:pPr>
            <w:r w:rsidRPr="0070445C">
              <w:rPr>
                <w:sz w:val="20"/>
                <w:szCs w:val="20"/>
              </w:rPr>
              <w:t>1,033</w:t>
            </w:r>
            <w:r w:rsidR="00545EEE" w:rsidRPr="0070445C">
              <w:rPr>
                <w:sz w:val="20"/>
                <w:szCs w:val="20"/>
              </w:rPr>
              <w:t>,</w:t>
            </w:r>
            <w:r w:rsidRPr="0070445C">
              <w:rPr>
                <w:sz w:val="20"/>
                <w:szCs w:val="20"/>
              </w:rPr>
              <w:t>901</w:t>
            </w:r>
          </w:p>
        </w:tc>
        <w:tc>
          <w:tcPr>
            <w:tcW w:w="1083" w:type="dxa"/>
            <w:gridSpan w:val="2"/>
            <w:tcBorders>
              <w:top w:val="single" w:sz="4" w:space="0" w:color="auto"/>
            </w:tcBorders>
          </w:tcPr>
          <w:p w14:paraId="6D940A7C" w14:textId="77777777" w:rsidR="00545EEE" w:rsidRPr="00B90FC7" w:rsidRDefault="00545EEE" w:rsidP="00545EEE">
            <w:pPr>
              <w:jc w:val="right"/>
              <w:rPr>
                <w:sz w:val="20"/>
                <w:szCs w:val="20"/>
              </w:rPr>
            </w:pPr>
          </w:p>
        </w:tc>
        <w:tc>
          <w:tcPr>
            <w:tcW w:w="1308" w:type="dxa"/>
            <w:tcBorders>
              <w:bottom w:val="single" w:sz="4" w:space="0" w:color="auto"/>
            </w:tcBorders>
          </w:tcPr>
          <w:p w14:paraId="63633599" w14:textId="05054488" w:rsidR="00545EEE" w:rsidRPr="00B90FC7" w:rsidRDefault="00545EEE" w:rsidP="00545EEE">
            <w:pPr>
              <w:jc w:val="right"/>
              <w:rPr>
                <w:sz w:val="20"/>
                <w:szCs w:val="20"/>
              </w:rPr>
            </w:pPr>
            <w:r>
              <w:rPr>
                <w:sz w:val="20"/>
                <w:szCs w:val="20"/>
              </w:rPr>
              <w:t>618,131</w:t>
            </w:r>
          </w:p>
        </w:tc>
      </w:tr>
      <w:tr w:rsidR="00545EEE" w:rsidRPr="00287A60" w14:paraId="1349EBF0" w14:textId="77777777" w:rsidTr="00545EEE">
        <w:trPr>
          <w:jc w:val="center"/>
        </w:trPr>
        <w:tc>
          <w:tcPr>
            <w:tcW w:w="3441" w:type="dxa"/>
            <w:gridSpan w:val="2"/>
          </w:tcPr>
          <w:p w14:paraId="1D3AF467" w14:textId="77777777" w:rsidR="00545EEE" w:rsidRPr="00B90FC7" w:rsidRDefault="00545EEE" w:rsidP="00545EEE">
            <w:pPr>
              <w:rPr>
                <w:rFonts w:cs="Arial"/>
                <w:b/>
                <w:bCs/>
                <w:sz w:val="20"/>
                <w:szCs w:val="20"/>
              </w:rPr>
            </w:pPr>
          </w:p>
          <w:p w14:paraId="79BED547" w14:textId="77777777" w:rsidR="00545EEE" w:rsidRPr="00B90FC7" w:rsidRDefault="00545EEE" w:rsidP="00545EEE">
            <w:pPr>
              <w:rPr>
                <w:b/>
                <w:sz w:val="20"/>
                <w:szCs w:val="20"/>
              </w:rPr>
            </w:pPr>
            <w:r w:rsidRPr="00B90FC7">
              <w:rPr>
                <w:rFonts w:cs="Arial"/>
                <w:b/>
                <w:bCs/>
                <w:sz w:val="20"/>
                <w:szCs w:val="20"/>
              </w:rPr>
              <w:t>Total assets</w:t>
            </w:r>
          </w:p>
        </w:tc>
        <w:tc>
          <w:tcPr>
            <w:tcW w:w="900" w:type="dxa"/>
            <w:gridSpan w:val="3"/>
          </w:tcPr>
          <w:p w14:paraId="2908F809" w14:textId="77777777" w:rsidR="00545EEE" w:rsidRPr="00B90FC7" w:rsidRDefault="00545EEE" w:rsidP="00545EEE">
            <w:pPr>
              <w:rPr>
                <w:b/>
                <w:sz w:val="20"/>
                <w:szCs w:val="20"/>
              </w:rPr>
            </w:pPr>
          </w:p>
        </w:tc>
        <w:tc>
          <w:tcPr>
            <w:tcW w:w="1080" w:type="dxa"/>
          </w:tcPr>
          <w:p w14:paraId="582032D5" w14:textId="77777777" w:rsidR="00545EEE" w:rsidRPr="00B90FC7" w:rsidRDefault="00545EEE" w:rsidP="00545EEE">
            <w:pPr>
              <w:jc w:val="right"/>
              <w:rPr>
                <w:sz w:val="20"/>
                <w:szCs w:val="20"/>
              </w:rPr>
            </w:pPr>
          </w:p>
        </w:tc>
        <w:tc>
          <w:tcPr>
            <w:tcW w:w="1260" w:type="dxa"/>
            <w:tcBorders>
              <w:top w:val="single" w:sz="4" w:space="0" w:color="auto"/>
              <w:bottom w:val="single" w:sz="4" w:space="0" w:color="auto"/>
            </w:tcBorders>
          </w:tcPr>
          <w:p w14:paraId="664AECBE" w14:textId="77777777" w:rsidR="00545EEE" w:rsidRDefault="00545EEE" w:rsidP="00545EEE">
            <w:pPr>
              <w:jc w:val="right"/>
              <w:rPr>
                <w:sz w:val="20"/>
                <w:szCs w:val="20"/>
              </w:rPr>
            </w:pPr>
          </w:p>
          <w:p w14:paraId="63692D48" w14:textId="155192BC" w:rsidR="00545EEE" w:rsidRPr="00B90FC7" w:rsidRDefault="00545EEE" w:rsidP="00545EEE">
            <w:pPr>
              <w:jc w:val="right"/>
              <w:rPr>
                <w:sz w:val="20"/>
                <w:szCs w:val="20"/>
              </w:rPr>
            </w:pPr>
            <w:r>
              <w:rPr>
                <w:sz w:val="20"/>
                <w:szCs w:val="20"/>
              </w:rPr>
              <w:t>1,</w:t>
            </w:r>
            <w:r w:rsidR="002C5BFB">
              <w:rPr>
                <w:sz w:val="20"/>
                <w:szCs w:val="20"/>
              </w:rPr>
              <w:t>898</w:t>
            </w:r>
            <w:r>
              <w:rPr>
                <w:sz w:val="20"/>
                <w:szCs w:val="20"/>
              </w:rPr>
              <w:t>,</w:t>
            </w:r>
            <w:r w:rsidR="002C5BFB">
              <w:rPr>
                <w:sz w:val="20"/>
                <w:szCs w:val="20"/>
              </w:rPr>
              <w:t>600</w:t>
            </w:r>
          </w:p>
        </w:tc>
        <w:tc>
          <w:tcPr>
            <w:tcW w:w="974" w:type="dxa"/>
          </w:tcPr>
          <w:p w14:paraId="54FB1173" w14:textId="77777777" w:rsidR="00545EEE" w:rsidRPr="00B90FC7" w:rsidRDefault="00545EEE" w:rsidP="00545EEE">
            <w:pPr>
              <w:jc w:val="right"/>
              <w:rPr>
                <w:sz w:val="20"/>
                <w:szCs w:val="20"/>
              </w:rPr>
            </w:pPr>
          </w:p>
        </w:tc>
        <w:tc>
          <w:tcPr>
            <w:tcW w:w="1417" w:type="dxa"/>
            <w:gridSpan w:val="2"/>
            <w:tcBorders>
              <w:top w:val="single" w:sz="4" w:space="0" w:color="auto"/>
              <w:bottom w:val="single" w:sz="4" w:space="0" w:color="auto"/>
            </w:tcBorders>
          </w:tcPr>
          <w:p w14:paraId="147DD779" w14:textId="77777777" w:rsidR="00545EEE" w:rsidRDefault="00545EEE" w:rsidP="00545EEE">
            <w:pPr>
              <w:rPr>
                <w:sz w:val="20"/>
                <w:szCs w:val="20"/>
              </w:rPr>
            </w:pPr>
          </w:p>
          <w:p w14:paraId="3205603E" w14:textId="3EEA34FA" w:rsidR="00545EEE" w:rsidRPr="003B42D9" w:rsidRDefault="00545EEE" w:rsidP="00256382">
            <w:pPr>
              <w:jc w:val="right"/>
              <w:rPr>
                <w:sz w:val="20"/>
                <w:szCs w:val="20"/>
              </w:rPr>
            </w:pPr>
            <w:r>
              <w:rPr>
                <w:sz w:val="20"/>
                <w:szCs w:val="20"/>
              </w:rPr>
              <w:t>1,619,463</w:t>
            </w:r>
          </w:p>
        </w:tc>
      </w:tr>
      <w:tr w:rsidR="00545EEE" w:rsidRPr="00287A60" w14:paraId="445138B1" w14:textId="77777777" w:rsidTr="00545EEE">
        <w:trPr>
          <w:jc w:val="center"/>
        </w:trPr>
        <w:tc>
          <w:tcPr>
            <w:tcW w:w="3441" w:type="dxa"/>
            <w:gridSpan w:val="2"/>
          </w:tcPr>
          <w:p w14:paraId="15ED1F9F" w14:textId="77777777" w:rsidR="00545EEE" w:rsidRDefault="00545EEE" w:rsidP="00545EEE">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p>
          <w:p w14:paraId="44E2CA8A" w14:textId="77777777" w:rsidR="00545EEE" w:rsidRPr="00B90FC7" w:rsidRDefault="00545EEE" w:rsidP="00545EEE">
            <w:pPr>
              <w:widowControl w:val="0"/>
              <w:tabs>
                <w:tab w:val="center" w:pos="3969"/>
                <w:tab w:val="right" w:pos="5670"/>
                <w:tab w:val="right" w:pos="6804"/>
                <w:tab w:val="right" w:pos="7938"/>
                <w:tab w:val="right" w:pos="9072"/>
              </w:tabs>
              <w:autoSpaceDE w:val="0"/>
              <w:autoSpaceDN w:val="0"/>
              <w:adjustRightInd w:val="0"/>
              <w:rPr>
                <w:rFonts w:cs="Arial"/>
                <w:b/>
                <w:bCs/>
                <w:sz w:val="20"/>
                <w:szCs w:val="20"/>
              </w:rPr>
            </w:pPr>
            <w:r w:rsidRPr="00B90FC7">
              <w:rPr>
                <w:rFonts w:cs="Arial"/>
                <w:b/>
                <w:bCs/>
                <w:sz w:val="20"/>
                <w:szCs w:val="20"/>
              </w:rPr>
              <w:t>Current liabilities:</w:t>
            </w:r>
          </w:p>
        </w:tc>
        <w:tc>
          <w:tcPr>
            <w:tcW w:w="900" w:type="dxa"/>
            <w:gridSpan w:val="3"/>
          </w:tcPr>
          <w:p w14:paraId="4B80D750" w14:textId="77777777" w:rsidR="00545EEE" w:rsidRPr="00B90FC7" w:rsidRDefault="00545EEE" w:rsidP="00545EEE">
            <w:pPr>
              <w:rPr>
                <w:b/>
                <w:sz w:val="20"/>
                <w:szCs w:val="20"/>
              </w:rPr>
            </w:pPr>
          </w:p>
        </w:tc>
        <w:tc>
          <w:tcPr>
            <w:tcW w:w="1080" w:type="dxa"/>
          </w:tcPr>
          <w:p w14:paraId="28D10755" w14:textId="77777777" w:rsidR="00545EEE" w:rsidRPr="00B90FC7" w:rsidRDefault="00545EEE" w:rsidP="00545EEE">
            <w:pPr>
              <w:jc w:val="right"/>
              <w:rPr>
                <w:sz w:val="20"/>
                <w:szCs w:val="20"/>
              </w:rPr>
            </w:pPr>
          </w:p>
        </w:tc>
        <w:tc>
          <w:tcPr>
            <w:tcW w:w="1260" w:type="dxa"/>
            <w:tcBorders>
              <w:top w:val="single" w:sz="4" w:space="0" w:color="auto"/>
            </w:tcBorders>
          </w:tcPr>
          <w:p w14:paraId="7613179A" w14:textId="77777777" w:rsidR="00545EEE" w:rsidRPr="00B90FC7" w:rsidRDefault="00545EEE" w:rsidP="00545EEE">
            <w:pPr>
              <w:jc w:val="right"/>
              <w:rPr>
                <w:sz w:val="20"/>
                <w:szCs w:val="20"/>
              </w:rPr>
            </w:pPr>
          </w:p>
        </w:tc>
        <w:tc>
          <w:tcPr>
            <w:tcW w:w="1083" w:type="dxa"/>
            <w:gridSpan w:val="2"/>
          </w:tcPr>
          <w:p w14:paraId="557D52F9" w14:textId="77777777" w:rsidR="00545EEE" w:rsidRPr="00B90FC7" w:rsidRDefault="00545EEE" w:rsidP="00545EEE">
            <w:pPr>
              <w:jc w:val="right"/>
              <w:rPr>
                <w:sz w:val="20"/>
                <w:szCs w:val="20"/>
              </w:rPr>
            </w:pPr>
          </w:p>
        </w:tc>
        <w:tc>
          <w:tcPr>
            <w:tcW w:w="1308" w:type="dxa"/>
            <w:tcBorders>
              <w:top w:val="single" w:sz="4" w:space="0" w:color="auto"/>
            </w:tcBorders>
          </w:tcPr>
          <w:p w14:paraId="43E5072E" w14:textId="77777777" w:rsidR="00545EEE" w:rsidRPr="00B90FC7" w:rsidRDefault="00545EEE" w:rsidP="00545EEE">
            <w:pPr>
              <w:jc w:val="right"/>
              <w:rPr>
                <w:sz w:val="20"/>
                <w:szCs w:val="20"/>
              </w:rPr>
            </w:pPr>
          </w:p>
        </w:tc>
      </w:tr>
      <w:tr w:rsidR="00545EEE" w:rsidRPr="00287A60" w14:paraId="750BE1E4" w14:textId="77777777" w:rsidTr="00545EEE">
        <w:trPr>
          <w:jc w:val="center"/>
        </w:trPr>
        <w:tc>
          <w:tcPr>
            <w:tcW w:w="3441" w:type="dxa"/>
            <w:gridSpan w:val="2"/>
          </w:tcPr>
          <w:p w14:paraId="7AF8B4FD" w14:textId="77777777" w:rsidR="00545EEE" w:rsidRPr="00737D30" w:rsidRDefault="00545EEE" w:rsidP="00545EEE">
            <w:pPr>
              <w:rPr>
                <w:rFonts w:cs="Arial"/>
                <w:sz w:val="20"/>
                <w:szCs w:val="20"/>
              </w:rPr>
            </w:pPr>
            <w:r w:rsidRPr="00B90FC7">
              <w:rPr>
                <w:rFonts w:cs="Arial"/>
                <w:sz w:val="20"/>
                <w:szCs w:val="20"/>
              </w:rPr>
              <w:t>Trade and other payables</w:t>
            </w:r>
          </w:p>
        </w:tc>
        <w:tc>
          <w:tcPr>
            <w:tcW w:w="900" w:type="dxa"/>
            <w:gridSpan w:val="3"/>
          </w:tcPr>
          <w:p w14:paraId="3244542F" w14:textId="62CDD155" w:rsidR="00545EEE" w:rsidRPr="00B90FC7" w:rsidRDefault="00545EEE" w:rsidP="00545EEE">
            <w:pPr>
              <w:jc w:val="center"/>
              <w:rPr>
                <w:b/>
                <w:sz w:val="20"/>
                <w:szCs w:val="20"/>
              </w:rPr>
            </w:pPr>
            <w:r>
              <w:rPr>
                <w:b/>
                <w:sz w:val="20"/>
                <w:szCs w:val="20"/>
              </w:rPr>
              <w:t>12</w:t>
            </w:r>
          </w:p>
        </w:tc>
        <w:tc>
          <w:tcPr>
            <w:tcW w:w="1080" w:type="dxa"/>
          </w:tcPr>
          <w:p w14:paraId="025E55BC" w14:textId="77777777" w:rsidR="00545EEE" w:rsidRPr="00B90FC7" w:rsidRDefault="00545EEE" w:rsidP="00545EEE">
            <w:pPr>
              <w:jc w:val="right"/>
              <w:rPr>
                <w:sz w:val="20"/>
                <w:szCs w:val="20"/>
              </w:rPr>
            </w:pPr>
          </w:p>
        </w:tc>
        <w:tc>
          <w:tcPr>
            <w:tcW w:w="1260" w:type="dxa"/>
            <w:tcBorders>
              <w:bottom w:val="single" w:sz="4" w:space="0" w:color="auto"/>
            </w:tcBorders>
          </w:tcPr>
          <w:p w14:paraId="780BCBC9" w14:textId="1494D04C" w:rsidR="00545EEE" w:rsidRPr="00B90FC7" w:rsidRDefault="002C5BFB" w:rsidP="00545EEE">
            <w:pPr>
              <w:jc w:val="right"/>
              <w:rPr>
                <w:sz w:val="20"/>
                <w:szCs w:val="20"/>
              </w:rPr>
            </w:pPr>
            <w:r>
              <w:rPr>
                <w:sz w:val="20"/>
                <w:szCs w:val="20"/>
              </w:rPr>
              <w:t>456</w:t>
            </w:r>
            <w:r w:rsidR="00545EEE">
              <w:rPr>
                <w:sz w:val="20"/>
                <w:szCs w:val="20"/>
              </w:rPr>
              <w:t>,3</w:t>
            </w:r>
            <w:r>
              <w:rPr>
                <w:sz w:val="20"/>
                <w:szCs w:val="20"/>
              </w:rPr>
              <w:t>36</w:t>
            </w:r>
          </w:p>
        </w:tc>
        <w:tc>
          <w:tcPr>
            <w:tcW w:w="1083" w:type="dxa"/>
            <w:gridSpan w:val="2"/>
          </w:tcPr>
          <w:p w14:paraId="7795CA97" w14:textId="77777777" w:rsidR="00545EEE" w:rsidRPr="00B90FC7" w:rsidRDefault="00545EEE" w:rsidP="00545EEE">
            <w:pPr>
              <w:jc w:val="center"/>
              <w:rPr>
                <w:sz w:val="20"/>
                <w:szCs w:val="20"/>
              </w:rPr>
            </w:pPr>
          </w:p>
        </w:tc>
        <w:tc>
          <w:tcPr>
            <w:tcW w:w="1308" w:type="dxa"/>
            <w:tcBorders>
              <w:bottom w:val="single" w:sz="4" w:space="0" w:color="auto"/>
            </w:tcBorders>
          </w:tcPr>
          <w:p w14:paraId="4889FB44" w14:textId="79525707" w:rsidR="00545EEE" w:rsidRDefault="00545EEE" w:rsidP="00545EEE">
            <w:pPr>
              <w:jc w:val="right"/>
              <w:rPr>
                <w:sz w:val="20"/>
                <w:szCs w:val="20"/>
              </w:rPr>
            </w:pPr>
            <w:r>
              <w:rPr>
                <w:sz w:val="20"/>
                <w:szCs w:val="20"/>
              </w:rPr>
              <w:t>325,368</w:t>
            </w:r>
          </w:p>
          <w:p w14:paraId="707935A5" w14:textId="77777777" w:rsidR="00545EEE" w:rsidRPr="00B90FC7" w:rsidRDefault="00545EEE" w:rsidP="00545EEE">
            <w:pPr>
              <w:jc w:val="right"/>
              <w:rPr>
                <w:sz w:val="20"/>
                <w:szCs w:val="20"/>
              </w:rPr>
            </w:pPr>
          </w:p>
        </w:tc>
      </w:tr>
      <w:tr w:rsidR="00545EEE" w:rsidRPr="00394E89" w14:paraId="14D95293" w14:textId="77777777" w:rsidTr="00545EEE">
        <w:trPr>
          <w:jc w:val="center"/>
        </w:trPr>
        <w:tc>
          <w:tcPr>
            <w:tcW w:w="3622" w:type="dxa"/>
            <w:gridSpan w:val="3"/>
          </w:tcPr>
          <w:p w14:paraId="63E5D7D8" w14:textId="77777777" w:rsidR="00545EEE" w:rsidRPr="003902AD" w:rsidRDefault="00545EEE" w:rsidP="00545EEE">
            <w:pPr>
              <w:rPr>
                <w:rFonts w:cs="Arial"/>
                <w:b/>
                <w:bCs/>
                <w:sz w:val="20"/>
                <w:szCs w:val="20"/>
              </w:rPr>
            </w:pPr>
            <w:r w:rsidRPr="00B90FC7">
              <w:rPr>
                <w:rFonts w:cs="Arial"/>
                <w:b/>
                <w:sz w:val="20"/>
                <w:szCs w:val="20"/>
              </w:rPr>
              <w:t xml:space="preserve">Total current </w:t>
            </w:r>
            <w:r w:rsidRPr="00B90FC7">
              <w:rPr>
                <w:rFonts w:cs="Arial"/>
                <w:b/>
                <w:bCs/>
                <w:sz w:val="20"/>
                <w:szCs w:val="20"/>
              </w:rPr>
              <w:t>liabilities</w:t>
            </w:r>
          </w:p>
        </w:tc>
        <w:tc>
          <w:tcPr>
            <w:tcW w:w="719" w:type="dxa"/>
            <w:gridSpan w:val="2"/>
          </w:tcPr>
          <w:p w14:paraId="03966897" w14:textId="77777777" w:rsidR="00545EEE" w:rsidRPr="00B90FC7" w:rsidRDefault="00545EEE" w:rsidP="00545EEE">
            <w:pPr>
              <w:rPr>
                <w:b/>
                <w:sz w:val="20"/>
                <w:szCs w:val="20"/>
              </w:rPr>
            </w:pPr>
          </w:p>
        </w:tc>
        <w:tc>
          <w:tcPr>
            <w:tcW w:w="1080" w:type="dxa"/>
          </w:tcPr>
          <w:p w14:paraId="3C372AA5" w14:textId="77777777" w:rsidR="00545EEE" w:rsidRPr="00B90FC7" w:rsidRDefault="00545EEE" w:rsidP="00545EEE">
            <w:pPr>
              <w:jc w:val="right"/>
              <w:rPr>
                <w:sz w:val="20"/>
                <w:szCs w:val="20"/>
              </w:rPr>
            </w:pPr>
          </w:p>
        </w:tc>
        <w:tc>
          <w:tcPr>
            <w:tcW w:w="1260" w:type="dxa"/>
            <w:tcBorders>
              <w:top w:val="single" w:sz="4" w:space="0" w:color="auto"/>
              <w:bottom w:val="single" w:sz="4" w:space="0" w:color="auto"/>
            </w:tcBorders>
          </w:tcPr>
          <w:p w14:paraId="2B6BC1DA" w14:textId="7F12FAC0" w:rsidR="00545EEE" w:rsidRPr="00B90FC7" w:rsidRDefault="002C5BFB" w:rsidP="00545EEE">
            <w:pPr>
              <w:jc w:val="right"/>
              <w:rPr>
                <w:sz w:val="20"/>
                <w:szCs w:val="20"/>
              </w:rPr>
            </w:pPr>
            <w:r>
              <w:rPr>
                <w:sz w:val="20"/>
                <w:szCs w:val="20"/>
              </w:rPr>
              <w:t>456</w:t>
            </w:r>
            <w:r w:rsidR="00545EEE">
              <w:rPr>
                <w:sz w:val="20"/>
                <w:szCs w:val="20"/>
              </w:rPr>
              <w:t>,3</w:t>
            </w:r>
            <w:r>
              <w:rPr>
                <w:sz w:val="20"/>
                <w:szCs w:val="20"/>
              </w:rPr>
              <w:t>36</w:t>
            </w:r>
          </w:p>
        </w:tc>
        <w:tc>
          <w:tcPr>
            <w:tcW w:w="1083" w:type="dxa"/>
            <w:gridSpan w:val="2"/>
          </w:tcPr>
          <w:p w14:paraId="5FF88DBA" w14:textId="77777777" w:rsidR="00545EEE" w:rsidRPr="00B90FC7" w:rsidRDefault="00545EEE" w:rsidP="00545EEE">
            <w:pPr>
              <w:jc w:val="right"/>
              <w:rPr>
                <w:sz w:val="20"/>
                <w:szCs w:val="20"/>
              </w:rPr>
            </w:pPr>
          </w:p>
        </w:tc>
        <w:tc>
          <w:tcPr>
            <w:tcW w:w="1308" w:type="dxa"/>
            <w:tcBorders>
              <w:top w:val="single" w:sz="4" w:space="0" w:color="auto"/>
              <w:bottom w:val="single" w:sz="4" w:space="0" w:color="auto"/>
            </w:tcBorders>
          </w:tcPr>
          <w:p w14:paraId="5D6207FD" w14:textId="7072D924" w:rsidR="00545EEE" w:rsidRPr="00B90FC7" w:rsidRDefault="00545EEE" w:rsidP="00545EEE">
            <w:pPr>
              <w:jc w:val="right"/>
              <w:rPr>
                <w:sz w:val="20"/>
                <w:szCs w:val="20"/>
              </w:rPr>
            </w:pPr>
            <w:r>
              <w:rPr>
                <w:sz w:val="20"/>
                <w:szCs w:val="20"/>
              </w:rPr>
              <w:t>325,368</w:t>
            </w:r>
          </w:p>
        </w:tc>
      </w:tr>
      <w:tr w:rsidR="00545EEE" w:rsidRPr="00287A60" w14:paraId="50EB0AF7" w14:textId="77777777" w:rsidTr="00545EEE">
        <w:trPr>
          <w:jc w:val="center"/>
        </w:trPr>
        <w:tc>
          <w:tcPr>
            <w:tcW w:w="3622" w:type="dxa"/>
            <w:gridSpan w:val="3"/>
          </w:tcPr>
          <w:p w14:paraId="704186D3" w14:textId="77777777" w:rsidR="00545EEE" w:rsidRDefault="00545EEE" w:rsidP="00545EEE">
            <w:pPr>
              <w:rPr>
                <w:rFonts w:cs="Arial"/>
                <w:b/>
                <w:sz w:val="20"/>
                <w:szCs w:val="20"/>
                <w:lang w:val="fr-FR"/>
              </w:rPr>
            </w:pPr>
          </w:p>
          <w:p w14:paraId="1CDE3A0D" w14:textId="4BC9C8C9" w:rsidR="00545EEE" w:rsidRDefault="00545EEE" w:rsidP="00545EEE">
            <w:pPr>
              <w:rPr>
                <w:rFonts w:cs="Arial"/>
                <w:b/>
                <w:sz w:val="20"/>
                <w:szCs w:val="20"/>
                <w:lang w:val="fr-FR"/>
              </w:rPr>
            </w:pPr>
            <w:r>
              <w:rPr>
                <w:rFonts w:cs="Arial"/>
                <w:b/>
                <w:sz w:val="20"/>
                <w:szCs w:val="20"/>
                <w:lang w:val="fr-FR"/>
              </w:rPr>
              <w:t xml:space="preserve">Non </w:t>
            </w:r>
            <w:proofErr w:type="spellStart"/>
            <w:r>
              <w:rPr>
                <w:rFonts w:cs="Arial"/>
                <w:b/>
                <w:sz w:val="20"/>
                <w:szCs w:val="20"/>
                <w:lang w:val="fr-FR"/>
              </w:rPr>
              <w:t>Current</w:t>
            </w:r>
            <w:proofErr w:type="spellEnd"/>
            <w:r>
              <w:rPr>
                <w:rFonts w:cs="Arial"/>
                <w:b/>
                <w:sz w:val="20"/>
                <w:szCs w:val="20"/>
                <w:lang w:val="fr-FR"/>
              </w:rPr>
              <w:t xml:space="preserve"> </w:t>
            </w:r>
            <w:proofErr w:type="spellStart"/>
            <w:r>
              <w:rPr>
                <w:rFonts w:cs="Arial"/>
                <w:b/>
                <w:sz w:val="20"/>
                <w:szCs w:val="20"/>
                <w:lang w:val="fr-FR"/>
              </w:rPr>
              <w:t>liabilities</w:t>
            </w:r>
            <w:proofErr w:type="spellEnd"/>
          </w:p>
          <w:p w14:paraId="1465BFB2" w14:textId="77777777" w:rsidR="00545EEE" w:rsidRDefault="00545EEE" w:rsidP="00545EEE">
            <w:pPr>
              <w:rPr>
                <w:rFonts w:cs="Arial"/>
                <w:sz w:val="20"/>
                <w:szCs w:val="20"/>
                <w:lang w:val="fr-FR"/>
              </w:rPr>
            </w:pPr>
            <w:r>
              <w:rPr>
                <w:rFonts w:cs="Arial"/>
                <w:sz w:val="20"/>
                <w:szCs w:val="20"/>
                <w:lang w:val="fr-FR"/>
              </w:rPr>
              <w:t>Provisions – Dilapidations</w:t>
            </w:r>
          </w:p>
          <w:p w14:paraId="1E77C145" w14:textId="4A439295" w:rsidR="00545EEE" w:rsidRPr="00737D30" w:rsidRDefault="00545EEE" w:rsidP="00545EEE">
            <w:pPr>
              <w:rPr>
                <w:rFonts w:cs="Arial"/>
                <w:sz w:val="20"/>
                <w:szCs w:val="20"/>
                <w:lang w:val="fr-FR"/>
              </w:rPr>
            </w:pPr>
            <w:proofErr w:type="spellStart"/>
            <w:r>
              <w:rPr>
                <w:rFonts w:cs="Arial"/>
                <w:sz w:val="20"/>
                <w:szCs w:val="20"/>
                <w:lang w:val="fr-FR"/>
              </w:rPr>
              <w:t>Lease</w:t>
            </w:r>
            <w:proofErr w:type="spellEnd"/>
            <w:r>
              <w:rPr>
                <w:rFonts w:cs="Arial"/>
                <w:sz w:val="20"/>
                <w:szCs w:val="20"/>
                <w:lang w:val="fr-FR"/>
              </w:rPr>
              <w:t xml:space="preserve"> </w:t>
            </w:r>
            <w:proofErr w:type="spellStart"/>
            <w:r>
              <w:rPr>
                <w:rFonts w:cs="Arial"/>
                <w:sz w:val="20"/>
                <w:szCs w:val="20"/>
                <w:lang w:val="fr-FR"/>
              </w:rPr>
              <w:t>Liabilities</w:t>
            </w:r>
            <w:proofErr w:type="spellEnd"/>
            <w:r>
              <w:rPr>
                <w:rFonts w:cs="Arial"/>
                <w:sz w:val="20"/>
                <w:szCs w:val="20"/>
                <w:lang w:val="fr-FR"/>
              </w:rPr>
              <w:t xml:space="preserve">                              </w:t>
            </w:r>
          </w:p>
          <w:p w14:paraId="733E30FB" w14:textId="77777777" w:rsidR="00545EEE" w:rsidRDefault="00545EEE" w:rsidP="00545EEE">
            <w:pPr>
              <w:rPr>
                <w:rFonts w:cs="Arial"/>
                <w:b/>
                <w:sz w:val="20"/>
                <w:szCs w:val="20"/>
                <w:lang w:val="fr-FR"/>
              </w:rPr>
            </w:pPr>
          </w:p>
          <w:p w14:paraId="33EA00E0" w14:textId="77777777" w:rsidR="00545EEE" w:rsidRDefault="00545EEE" w:rsidP="00545EEE">
            <w:pPr>
              <w:rPr>
                <w:rFonts w:cs="Arial"/>
                <w:b/>
                <w:sz w:val="20"/>
                <w:szCs w:val="20"/>
                <w:lang w:val="fr-FR"/>
              </w:rPr>
            </w:pPr>
          </w:p>
          <w:p w14:paraId="3330563C" w14:textId="0C1A13E5" w:rsidR="00545EEE" w:rsidRPr="00B90FC7" w:rsidRDefault="00545EEE" w:rsidP="00545EEE">
            <w:pPr>
              <w:rPr>
                <w:b/>
                <w:sz w:val="20"/>
                <w:szCs w:val="20"/>
                <w:lang w:val="fr-FR"/>
              </w:rPr>
            </w:pPr>
          </w:p>
        </w:tc>
        <w:tc>
          <w:tcPr>
            <w:tcW w:w="719" w:type="dxa"/>
            <w:gridSpan w:val="2"/>
          </w:tcPr>
          <w:p w14:paraId="606912DD" w14:textId="77777777" w:rsidR="00545EEE" w:rsidRDefault="00545EEE" w:rsidP="00545EEE">
            <w:pPr>
              <w:rPr>
                <w:b/>
                <w:sz w:val="20"/>
                <w:szCs w:val="20"/>
                <w:lang w:val="fr-FR"/>
              </w:rPr>
            </w:pPr>
          </w:p>
          <w:p w14:paraId="3A0584AC" w14:textId="77777777" w:rsidR="00545EEE" w:rsidRDefault="00545EEE" w:rsidP="00545EEE">
            <w:pPr>
              <w:rPr>
                <w:b/>
                <w:sz w:val="20"/>
                <w:szCs w:val="20"/>
                <w:lang w:val="fr-FR"/>
              </w:rPr>
            </w:pPr>
          </w:p>
          <w:p w14:paraId="110746C8" w14:textId="27CB3753" w:rsidR="00545EEE" w:rsidRDefault="00545EEE" w:rsidP="00545EEE">
            <w:pPr>
              <w:rPr>
                <w:b/>
                <w:sz w:val="20"/>
                <w:szCs w:val="20"/>
                <w:lang w:val="fr-FR"/>
              </w:rPr>
            </w:pPr>
            <w:r>
              <w:rPr>
                <w:b/>
                <w:sz w:val="20"/>
                <w:szCs w:val="20"/>
                <w:lang w:val="fr-FR"/>
              </w:rPr>
              <w:t>13</w:t>
            </w:r>
          </w:p>
          <w:p w14:paraId="00BF92E7" w14:textId="71AFB851" w:rsidR="00545EEE" w:rsidRPr="007544D5" w:rsidRDefault="00545EEE" w:rsidP="00545EEE">
            <w:pPr>
              <w:rPr>
                <w:b/>
                <w:bCs/>
                <w:sz w:val="20"/>
                <w:szCs w:val="20"/>
                <w:lang w:val="fr-FR"/>
              </w:rPr>
            </w:pPr>
            <w:r>
              <w:rPr>
                <w:b/>
                <w:bCs/>
                <w:sz w:val="20"/>
                <w:szCs w:val="20"/>
                <w:lang w:val="fr-FR"/>
              </w:rPr>
              <w:t xml:space="preserve"> 7</w:t>
            </w:r>
          </w:p>
        </w:tc>
        <w:tc>
          <w:tcPr>
            <w:tcW w:w="1080" w:type="dxa"/>
          </w:tcPr>
          <w:p w14:paraId="50736848" w14:textId="77777777" w:rsidR="00545EEE" w:rsidRDefault="00545EEE" w:rsidP="00545EEE">
            <w:pPr>
              <w:jc w:val="right"/>
              <w:rPr>
                <w:sz w:val="20"/>
                <w:szCs w:val="20"/>
                <w:lang w:val="fr-FR"/>
              </w:rPr>
            </w:pPr>
          </w:p>
          <w:p w14:paraId="76746D1E" w14:textId="77777777" w:rsidR="00545EEE" w:rsidRDefault="00545EEE" w:rsidP="00545EEE">
            <w:pPr>
              <w:jc w:val="right"/>
              <w:rPr>
                <w:sz w:val="20"/>
                <w:szCs w:val="20"/>
                <w:lang w:val="fr-FR"/>
              </w:rPr>
            </w:pPr>
          </w:p>
          <w:p w14:paraId="6B8B10D5" w14:textId="77777777" w:rsidR="00545EEE" w:rsidRPr="00B90FC7" w:rsidRDefault="00545EEE" w:rsidP="00545EEE">
            <w:pPr>
              <w:rPr>
                <w:sz w:val="20"/>
                <w:szCs w:val="20"/>
                <w:lang w:val="fr-FR"/>
              </w:rPr>
            </w:pPr>
          </w:p>
        </w:tc>
        <w:tc>
          <w:tcPr>
            <w:tcW w:w="1260" w:type="dxa"/>
            <w:tcBorders>
              <w:top w:val="single" w:sz="4" w:space="0" w:color="auto"/>
            </w:tcBorders>
          </w:tcPr>
          <w:p w14:paraId="51119BD0" w14:textId="77777777" w:rsidR="00545EEE" w:rsidRDefault="00545EEE" w:rsidP="00545EEE">
            <w:pPr>
              <w:jc w:val="right"/>
              <w:rPr>
                <w:sz w:val="20"/>
                <w:szCs w:val="20"/>
              </w:rPr>
            </w:pPr>
          </w:p>
          <w:p w14:paraId="2B934BB6" w14:textId="77777777" w:rsidR="00545EEE" w:rsidRDefault="00545EEE" w:rsidP="00545EEE">
            <w:pPr>
              <w:jc w:val="right"/>
              <w:rPr>
                <w:sz w:val="20"/>
                <w:szCs w:val="20"/>
              </w:rPr>
            </w:pPr>
          </w:p>
          <w:p w14:paraId="4CCC5417" w14:textId="77777777" w:rsidR="00545EEE" w:rsidRDefault="00545EEE" w:rsidP="00545EEE">
            <w:pPr>
              <w:jc w:val="right"/>
              <w:rPr>
                <w:sz w:val="20"/>
                <w:szCs w:val="20"/>
              </w:rPr>
            </w:pPr>
            <w:r>
              <w:rPr>
                <w:sz w:val="20"/>
                <w:szCs w:val="20"/>
              </w:rPr>
              <w:t>75,000</w:t>
            </w:r>
          </w:p>
          <w:p w14:paraId="55C2E16D" w14:textId="318BD2DF" w:rsidR="00545EEE" w:rsidRDefault="002C5BFB" w:rsidP="00545EEE">
            <w:pPr>
              <w:jc w:val="right"/>
              <w:rPr>
                <w:sz w:val="20"/>
                <w:szCs w:val="20"/>
              </w:rPr>
            </w:pPr>
            <w:r>
              <w:rPr>
                <w:sz w:val="20"/>
                <w:szCs w:val="20"/>
              </w:rPr>
              <w:t>450</w:t>
            </w:r>
            <w:r w:rsidR="00545EEE">
              <w:rPr>
                <w:sz w:val="20"/>
                <w:szCs w:val="20"/>
              </w:rPr>
              <w:t>,</w:t>
            </w:r>
            <w:r>
              <w:rPr>
                <w:sz w:val="20"/>
                <w:szCs w:val="20"/>
              </w:rPr>
              <w:t>586</w:t>
            </w:r>
          </w:p>
          <w:p w14:paraId="304F0218" w14:textId="2DD38BED" w:rsidR="00545EEE" w:rsidRDefault="00545EEE" w:rsidP="00545EEE">
            <w:pPr>
              <w:pBdr>
                <w:top w:val="single" w:sz="4" w:space="1" w:color="auto"/>
                <w:bottom w:val="single" w:sz="4" w:space="1" w:color="auto"/>
              </w:pBdr>
              <w:jc w:val="right"/>
              <w:rPr>
                <w:sz w:val="20"/>
                <w:szCs w:val="20"/>
              </w:rPr>
            </w:pPr>
            <w:r>
              <w:rPr>
                <w:sz w:val="20"/>
                <w:szCs w:val="20"/>
              </w:rPr>
              <w:t>5</w:t>
            </w:r>
            <w:r w:rsidR="002C5BFB">
              <w:rPr>
                <w:sz w:val="20"/>
                <w:szCs w:val="20"/>
              </w:rPr>
              <w:t>25</w:t>
            </w:r>
            <w:r>
              <w:rPr>
                <w:sz w:val="20"/>
                <w:szCs w:val="20"/>
              </w:rPr>
              <w:t>,</w:t>
            </w:r>
            <w:r w:rsidR="002C5BFB">
              <w:rPr>
                <w:sz w:val="20"/>
                <w:szCs w:val="20"/>
              </w:rPr>
              <w:t>586</w:t>
            </w:r>
          </w:p>
          <w:p w14:paraId="1D686B37" w14:textId="798B758C" w:rsidR="00545EEE" w:rsidRPr="00184BE8" w:rsidRDefault="00545EEE" w:rsidP="00545EEE">
            <w:pPr>
              <w:rPr>
                <w:sz w:val="20"/>
                <w:szCs w:val="20"/>
              </w:rPr>
            </w:pPr>
          </w:p>
        </w:tc>
        <w:tc>
          <w:tcPr>
            <w:tcW w:w="1083" w:type="dxa"/>
            <w:gridSpan w:val="2"/>
          </w:tcPr>
          <w:p w14:paraId="49E5E463" w14:textId="77777777" w:rsidR="00545EEE" w:rsidRPr="00B90FC7" w:rsidRDefault="00545EEE" w:rsidP="00545EEE">
            <w:pPr>
              <w:jc w:val="right"/>
              <w:rPr>
                <w:sz w:val="20"/>
                <w:szCs w:val="20"/>
              </w:rPr>
            </w:pPr>
          </w:p>
        </w:tc>
        <w:tc>
          <w:tcPr>
            <w:tcW w:w="1308" w:type="dxa"/>
            <w:tcBorders>
              <w:top w:val="single" w:sz="4" w:space="0" w:color="auto"/>
            </w:tcBorders>
          </w:tcPr>
          <w:p w14:paraId="137787C7" w14:textId="77777777" w:rsidR="00545EEE" w:rsidRDefault="00545EEE" w:rsidP="00545EEE">
            <w:pPr>
              <w:jc w:val="right"/>
              <w:rPr>
                <w:sz w:val="20"/>
                <w:szCs w:val="20"/>
              </w:rPr>
            </w:pPr>
          </w:p>
          <w:p w14:paraId="6BA0A0A7" w14:textId="77777777" w:rsidR="00545EEE" w:rsidRDefault="00545EEE" w:rsidP="00545EEE">
            <w:pPr>
              <w:jc w:val="right"/>
              <w:rPr>
                <w:sz w:val="20"/>
                <w:szCs w:val="20"/>
              </w:rPr>
            </w:pPr>
          </w:p>
          <w:p w14:paraId="0C400BD3" w14:textId="77777777" w:rsidR="00545EEE" w:rsidRDefault="00545EEE" w:rsidP="00545EEE">
            <w:pPr>
              <w:jc w:val="right"/>
              <w:rPr>
                <w:sz w:val="20"/>
                <w:szCs w:val="20"/>
              </w:rPr>
            </w:pPr>
            <w:r>
              <w:rPr>
                <w:sz w:val="20"/>
                <w:szCs w:val="20"/>
              </w:rPr>
              <w:t>75,000</w:t>
            </w:r>
          </w:p>
          <w:p w14:paraId="10125986" w14:textId="41702DB7" w:rsidR="00545EEE" w:rsidRDefault="00545EEE" w:rsidP="00545EEE">
            <w:pPr>
              <w:jc w:val="right"/>
              <w:rPr>
                <w:sz w:val="20"/>
                <w:szCs w:val="20"/>
              </w:rPr>
            </w:pPr>
            <w:r>
              <w:rPr>
                <w:sz w:val="20"/>
                <w:szCs w:val="20"/>
              </w:rPr>
              <w:t>523,693</w:t>
            </w:r>
          </w:p>
          <w:p w14:paraId="67CBACF9" w14:textId="1A6BF648" w:rsidR="00545EEE" w:rsidRDefault="00545EEE" w:rsidP="00545EEE">
            <w:pPr>
              <w:pBdr>
                <w:top w:val="single" w:sz="4" w:space="1" w:color="auto"/>
                <w:bottom w:val="single" w:sz="4" w:space="1" w:color="auto"/>
              </w:pBdr>
              <w:jc w:val="right"/>
              <w:rPr>
                <w:sz w:val="20"/>
                <w:szCs w:val="20"/>
              </w:rPr>
            </w:pPr>
            <w:r>
              <w:rPr>
                <w:sz w:val="20"/>
                <w:szCs w:val="20"/>
              </w:rPr>
              <w:t>598,693</w:t>
            </w:r>
          </w:p>
          <w:p w14:paraId="5180AFF4" w14:textId="16E6EA8A" w:rsidR="00545EEE" w:rsidRPr="00580421" w:rsidRDefault="00545EEE" w:rsidP="00545EEE">
            <w:pPr>
              <w:rPr>
                <w:sz w:val="20"/>
                <w:szCs w:val="20"/>
              </w:rPr>
            </w:pPr>
          </w:p>
        </w:tc>
      </w:tr>
      <w:tr w:rsidR="00545EEE" w:rsidRPr="00287A60" w14:paraId="0B2E1849" w14:textId="77777777" w:rsidTr="00545EEE">
        <w:trPr>
          <w:jc w:val="center"/>
        </w:trPr>
        <w:tc>
          <w:tcPr>
            <w:tcW w:w="3441" w:type="dxa"/>
            <w:gridSpan w:val="2"/>
          </w:tcPr>
          <w:p w14:paraId="7C3986D2" w14:textId="77777777" w:rsidR="00545EEE" w:rsidRPr="00B90FC7" w:rsidRDefault="00545EEE" w:rsidP="00545EEE">
            <w:pPr>
              <w:rPr>
                <w:rFonts w:cs="Arial"/>
                <w:b/>
                <w:bCs/>
                <w:sz w:val="20"/>
                <w:szCs w:val="20"/>
              </w:rPr>
            </w:pPr>
          </w:p>
          <w:p w14:paraId="45F6158F" w14:textId="77777777" w:rsidR="00545EEE" w:rsidRPr="00B90FC7" w:rsidRDefault="00545EEE" w:rsidP="00545EEE">
            <w:pPr>
              <w:rPr>
                <w:b/>
                <w:sz w:val="20"/>
                <w:szCs w:val="20"/>
              </w:rPr>
            </w:pPr>
            <w:r w:rsidRPr="00B90FC7">
              <w:rPr>
                <w:rFonts w:cs="Arial"/>
                <w:b/>
                <w:bCs/>
                <w:sz w:val="20"/>
                <w:szCs w:val="20"/>
              </w:rPr>
              <w:t xml:space="preserve">Assets </w:t>
            </w:r>
            <w:proofErr w:type="gramStart"/>
            <w:r w:rsidRPr="00B90FC7">
              <w:rPr>
                <w:rFonts w:cs="Arial"/>
                <w:b/>
                <w:bCs/>
                <w:sz w:val="20"/>
                <w:szCs w:val="20"/>
              </w:rPr>
              <w:t>less</w:t>
            </w:r>
            <w:proofErr w:type="gramEnd"/>
            <w:r w:rsidRPr="00B90FC7">
              <w:rPr>
                <w:rFonts w:cs="Arial"/>
                <w:b/>
                <w:bCs/>
                <w:sz w:val="20"/>
                <w:szCs w:val="20"/>
              </w:rPr>
              <w:t xml:space="preserve"> </w:t>
            </w:r>
            <w:r>
              <w:rPr>
                <w:rFonts w:cs="Arial"/>
                <w:b/>
                <w:bCs/>
                <w:sz w:val="20"/>
                <w:szCs w:val="20"/>
              </w:rPr>
              <w:t xml:space="preserve">total </w:t>
            </w:r>
            <w:r w:rsidRPr="00B90FC7">
              <w:rPr>
                <w:rFonts w:cs="Arial"/>
                <w:b/>
                <w:bCs/>
                <w:sz w:val="20"/>
                <w:szCs w:val="20"/>
              </w:rPr>
              <w:t>liabilities</w:t>
            </w:r>
          </w:p>
        </w:tc>
        <w:tc>
          <w:tcPr>
            <w:tcW w:w="900" w:type="dxa"/>
            <w:gridSpan w:val="3"/>
          </w:tcPr>
          <w:p w14:paraId="0CA5DEC0" w14:textId="77777777" w:rsidR="00545EEE" w:rsidRPr="00B90FC7" w:rsidRDefault="00545EEE" w:rsidP="00545EEE">
            <w:pPr>
              <w:rPr>
                <w:b/>
                <w:sz w:val="20"/>
                <w:szCs w:val="20"/>
              </w:rPr>
            </w:pPr>
          </w:p>
        </w:tc>
        <w:tc>
          <w:tcPr>
            <w:tcW w:w="1080" w:type="dxa"/>
          </w:tcPr>
          <w:p w14:paraId="525F3062" w14:textId="77777777" w:rsidR="00545EEE" w:rsidRPr="00B90FC7" w:rsidRDefault="00545EEE" w:rsidP="00545EEE">
            <w:pPr>
              <w:jc w:val="right"/>
              <w:rPr>
                <w:sz w:val="20"/>
                <w:szCs w:val="20"/>
              </w:rPr>
            </w:pPr>
          </w:p>
        </w:tc>
        <w:tc>
          <w:tcPr>
            <w:tcW w:w="1260" w:type="dxa"/>
            <w:tcBorders>
              <w:bottom w:val="double" w:sz="4" w:space="0" w:color="auto"/>
            </w:tcBorders>
          </w:tcPr>
          <w:p w14:paraId="28D00821" w14:textId="77777777" w:rsidR="00545EEE" w:rsidRDefault="00545EEE" w:rsidP="00545EEE">
            <w:pPr>
              <w:jc w:val="right"/>
              <w:rPr>
                <w:b/>
                <w:sz w:val="20"/>
                <w:szCs w:val="20"/>
              </w:rPr>
            </w:pPr>
          </w:p>
          <w:p w14:paraId="4FD49C60" w14:textId="642F4052" w:rsidR="00545EEE" w:rsidRPr="007F4D84" w:rsidRDefault="002C5BFB" w:rsidP="00545EEE">
            <w:pPr>
              <w:jc w:val="right"/>
              <w:rPr>
                <w:b/>
                <w:sz w:val="20"/>
                <w:szCs w:val="20"/>
              </w:rPr>
            </w:pPr>
            <w:r>
              <w:rPr>
                <w:b/>
                <w:sz w:val="20"/>
                <w:szCs w:val="20"/>
              </w:rPr>
              <w:t>916</w:t>
            </w:r>
            <w:r w:rsidR="00545EEE">
              <w:rPr>
                <w:b/>
                <w:sz w:val="20"/>
                <w:szCs w:val="20"/>
              </w:rPr>
              <w:t>,</w:t>
            </w:r>
            <w:r>
              <w:rPr>
                <w:b/>
                <w:sz w:val="20"/>
                <w:szCs w:val="20"/>
              </w:rPr>
              <w:t>678</w:t>
            </w:r>
          </w:p>
        </w:tc>
        <w:tc>
          <w:tcPr>
            <w:tcW w:w="1083" w:type="dxa"/>
            <w:gridSpan w:val="2"/>
          </w:tcPr>
          <w:p w14:paraId="2A7FE62B" w14:textId="77777777" w:rsidR="00545EEE" w:rsidRPr="00B90FC7" w:rsidRDefault="00545EEE" w:rsidP="00545EEE">
            <w:pPr>
              <w:jc w:val="right"/>
              <w:rPr>
                <w:sz w:val="20"/>
                <w:szCs w:val="20"/>
              </w:rPr>
            </w:pPr>
          </w:p>
        </w:tc>
        <w:tc>
          <w:tcPr>
            <w:tcW w:w="1308" w:type="dxa"/>
            <w:tcBorders>
              <w:bottom w:val="double" w:sz="4" w:space="0" w:color="auto"/>
            </w:tcBorders>
          </w:tcPr>
          <w:p w14:paraId="07ADCA8E" w14:textId="77777777" w:rsidR="00545EEE" w:rsidRDefault="00545EEE" w:rsidP="00545EEE">
            <w:pPr>
              <w:jc w:val="right"/>
              <w:rPr>
                <w:b/>
                <w:sz w:val="20"/>
                <w:szCs w:val="20"/>
              </w:rPr>
            </w:pPr>
          </w:p>
          <w:p w14:paraId="31404F47" w14:textId="75C824C4" w:rsidR="00545EEE" w:rsidRPr="00B90FC7" w:rsidRDefault="00545EEE" w:rsidP="00545EEE">
            <w:pPr>
              <w:jc w:val="right"/>
              <w:rPr>
                <w:b/>
                <w:sz w:val="20"/>
                <w:szCs w:val="20"/>
              </w:rPr>
            </w:pPr>
            <w:r>
              <w:rPr>
                <w:b/>
                <w:sz w:val="20"/>
                <w:szCs w:val="20"/>
              </w:rPr>
              <w:t>695,402</w:t>
            </w:r>
          </w:p>
        </w:tc>
      </w:tr>
      <w:tr w:rsidR="00545EEE" w:rsidRPr="00287A60" w14:paraId="4DD60335" w14:textId="77777777" w:rsidTr="00545EEE">
        <w:trPr>
          <w:trHeight w:val="741"/>
          <w:jc w:val="center"/>
        </w:trPr>
        <w:tc>
          <w:tcPr>
            <w:tcW w:w="3441" w:type="dxa"/>
            <w:gridSpan w:val="2"/>
          </w:tcPr>
          <w:p w14:paraId="0266528F" w14:textId="77777777" w:rsidR="00545EEE" w:rsidRPr="00B90FC7" w:rsidRDefault="00545EEE" w:rsidP="00545EEE">
            <w:pPr>
              <w:widowControl w:val="0"/>
              <w:tabs>
                <w:tab w:val="center" w:pos="3960"/>
                <w:tab w:val="right" w:pos="5670"/>
                <w:tab w:val="right" w:pos="6804"/>
                <w:tab w:val="right" w:pos="7938"/>
                <w:tab w:val="right" w:pos="9072"/>
              </w:tabs>
              <w:autoSpaceDE w:val="0"/>
              <w:autoSpaceDN w:val="0"/>
              <w:adjustRightInd w:val="0"/>
              <w:rPr>
                <w:rFonts w:cs="Arial"/>
                <w:b/>
                <w:sz w:val="20"/>
                <w:szCs w:val="20"/>
              </w:rPr>
            </w:pPr>
          </w:p>
          <w:p w14:paraId="2A79E79B" w14:textId="77777777" w:rsidR="00545EEE" w:rsidRPr="00B90FC7" w:rsidRDefault="00545EEE" w:rsidP="00545EEE">
            <w:pPr>
              <w:widowControl w:val="0"/>
              <w:tabs>
                <w:tab w:val="center" w:pos="3960"/>
                <w:tab w:val="right" w:pos="5670"/>
                <w:tab w:val="right" w:pos="6804"/>
                <w:tab w:val="right" w:pos="7938"/>
                <w:tab w:val="right" w:pos="9072"/>
              </w:tabs>
              <w:autoSpaceDE w:val="0"/>
              <w:autoSpaceDN w:val="0"/>
              <w:adjustRightInd w:val="0"/>
              <w:rPr>
                <w:rFonts w:cs="Arial"/>
                <w:sz w:val="20"/>
                <w:szCs w:val="20"/>
              </w:rPr>
            </w:pPr>
            <w:r>
              <w:rPr>
                <w:rFonts w:cs="Arial"/>
                <w:b/>
                <w:sz w:val="20"/>
                <w:szCs w:val="20"/>
              </w:rPr>
              <w:t>Taxpayers’ e</w:t>
            </w:r>
            <w:r w:rsidRPr="00B90FC7">
              <w:rPr>
                <w:rFonts w:cs="Arial"/>
                <w:b/>
                <w:sz w:val="20"/>
                <w:szCs w:val="20"/>
              </w:rPr>
              <w:t>quity</w:t>
            </w:r>
          </w:p>
        </w:tc>
        <w:tc>
          <w:tcPr>
            <w:tcW w:w="900" w:type="dxa"/>
            <w:gridSpan w:val="3"/>
          </w:tcPr>
          <w:p w14:paraId="21B6ECDF" w14:textId="77777777" w:rsidR="00545EEE" w:rsidRPr="00B90FC7" w:rsidRDefault="00545EEE" w:rsidP="00545EEE">
            <w:pPr>
              <w:rPr>
                <w:b/>
                <w:sz w:val="20"/>
                <w:szCs w:val="20"/>
              </w:rPr>
            </w:pPr>
          </w:p>
        </w:tc>
        <w:tc>
          <w:tcPr>
            <w:tcW w:w="1080" w:type="dxa"/>
          </w:tcPr>
          <w:p w14:paraId="01A9DD0A" w14:textId="77777777" w:rsidR="00545EEE" w:rsidRPr="00B90FC7" w:rsidRDefault="00545EEE" w:rsidP="00545EEE">
            <w:pPr>
              <w:rPr>
                <w:sz w:val="20"/>
                <w:szCs w:val="20"/>
              </w:rPr>
            </w:pPr>
          </w:p>
        </w:tc>
        <w:tc>
          <w:tcPr>
            <w:tcW w:w="1260" w:type="dxa"/>
            <w:tcBorders>
              <w:top w:val="double" w:sz="4" w:space="0" w:color="auto"/>
            </w:tcBorders>
          </w:tcPr>
          <w:p w14:paraId="6C917AAF" w14:textId="77777777" w:rsidR="00545EEE" w:rsidRPr="00B90FC7" w:rsidRDefault="00545EEE" w:rsidP="00545EEE">
            <w:pPr>
              <w:jc w:val="right"/>
              <w:rPr>
                <w:sz w:val="20"/>
                <w:szCs w:val="20"/>
              </w:rPr>
            </w:pPr>
          </w:p>
        </w:tc>
        <w:tc>
          <w:tcPr>
            <w:tcW w:w="1083" w:type="dxa"/>
            <w:gridSpan w:val="2"/>
          </w:tcPr>
          <w:p w14:paraId="241C724E" w14:textId="77777777" w:rsidR="00545EEE" w:rsidRPr="00B90FC7" w:rsidRDefault="00545EEE" w:rsidP="00545EEE">
            <w:pPr>
              <w:jc w:val="right"/>
              <w:rPr>
                <w:sz w:val="20"/>
                <w:szCs w:val="20"/>
              </w:rPr>
            </w:pPr>
          </w:p>
          <w:p w14:paraId="7259DA8C" w14:textId="77777777" w:rsidR="00545EEE" w:rsidRPr="00B90FC7" w:rsidRDefault="00545EEE" w:rsidP="00545EEE">
            <w:pPr>
              <w:rPr>
                <w:sz w:val="20"/>
                <w:szCs w:val="20"/>
              </w:rPr>
            </w:pPr>
          </w:p>
          <w:p w14:paraId="7C22203F" w14:textId="77777777" w:rsidR="00545EEE" w:rsidRPr="00B90FC7" w:rsidRDefault="00545EEE" w:rsidP="00545EEE">
            <w:pPr>
              <w:jc w:val="right"/>
              <w:rPr>
                <w:sz w:val="20"/>
                <w:szCs w:val="20"/>
              </w:rPr>
            </w:pPr>
          </w:p>
        </w:tc>
        <w:tc>
          <w:tcPr>
            <w:tcW w:w="1308" w:type="dxa"/>
            <w:tcBorders>
              <w:top w:val="double" w:sz="4" w:space="0" w:color="auto"/>
            </w:tcBorders>
          </w:tcPr>
          <w:p w14:paraId="443C0699" w14:textId="77777777" w:rsidR="00545EEE" w:rsidRPr="00B90FC7" w:rsidRDefault="00545EEE" w:rsidP="00545EEE">
            <w:pPr>
              <w:jc w:val="right"/>
              <w:rPr>
                <w:sz w:val="20"/>
                <w:szCs w:val="20"/>
              </w:rPr>
            </w:pPr>
          </w:p>
        </w:tc>
      </w:tr>
      <w:tr w:rsidR="00545EEE" w:rsidRPr="00287A60" w14:paraId="387DED1E" w14:textId="77777777" w:rsidTr="00545EEE">
        <w:trPr>
          <w:jc w:val="center"/>
        </w:trPr>
        <w:tc>
          <w:tcPr>
            <w:tcW w:w="3441" w:type="dxa"/>
            <w:gridSpan w:val="2"/>
          </w:tcPr>
          <w:p w14:paraId="264C0F77" w14:textId="58E80586" w:rsidR="00545EEE" w:rsidRDefault="00545EEE" w:rsidP="00545EEE">
            <w:pPr>
              <w:rPr>
                <w:rFonts w:cs="Arial"/>
                <w:sz w:val="20"/>
                <w:szCs w:val="20"/>
              </w:rPr>
            </w:pPr>
            <w:r w:rsidRPr="00B90FC7">
              <w:rPr>
                <w:rFonts w:cs="Arial"/>
                <w:sz w:val="20"/>
                <w:szCs w:val="20"/>
              </w:rPr>
              <w:t>General</w:t>
            </w:r>
            <w:r>
              <w:rPr>
                <w:rFonts w:cs="Arial"/>
                <w:sz w:val="20"/>
                <w:szCs w:val="20"/>
              </w:rPr>
              <w:t xml:space="preserve"> Reserves</w:t>
            </w:r>
          </w:p>
          <w:p w14:paraId="3E4E4737" w14:textId="77777777" w:rsidR="00545EEE" w:rsidRDefault="00545EEE" w:rsidP="00545EEE">
            <w:pPr>
              <w:rPr>
                <w:rFonts w:cs="Arial"/>
                <w:sz w:val="20"/>
                <w:szCs w:val="20"/>
              </w:rPr>
            </w:pPr>
          </w:p>
          <w:p w14:paraId="2645EA1D" w14:textId="755DC475" w:rsidR="00545EEE" w:rsidRPr="00B90FC7" w:rsidRDefault="00545EEE" w:rsidP="00545EEE">
            <w:pPr>
              <w:rPr>
                <w:b/>
                <w:sz w:val="20"/>
                <w:szCs w:val="20"/>
              </w:rPr>
            </w:pPr>
            <w:r>
              <w:rPr>
                <w:rFonts w:cs="Arial"/>
                <w:sz w:val="20"/>
                <w:szCs w:val="20"/>
              </w:rPr>
              <w:t>Revaluation R</w:t>
            </w:r>
            <w:r w:rsidRPr="00B90FC7">
              <w:rPr>
                <w:rFonts w:cs="Arial"/>
                <w:sz w:val="20"/>
                <w:szCs w:val="20"/>
              </w:rPr>
              <w:t>eserve</w:t>
            </w:r>
            <w:r>
              <w:rPr>
                <w:rFonts w:cs="Arial"/>
                <w:sz w:val="20"/>
                <w:szCs w:val="20"/>
              </w:rPr>
              <w:t>s</w:t>
            </w:r>
          </w:p>
        </w:tc>
        <w:tc>
          <w:tcPr>
            <w:tcW w:w="900" w:type="dxa"/>
            <w:gridSpan w:val="3"/>
          </w:tcPr>
          <w:p w14:paraId="6333168D" w14:textId="77777777" w:rsidR="00545EEE" w:rsidRPr="00B90FC7" w:rsidRDefault="00545EEE" w:rsidP="00545EEE">
            <w:pPr>
              <w:rPr>
                <w:b/>
                <w:sz w:val="20"/>
                <w:szCs w:val="20"/>
              </w:rPr>
            </w:pPr>
          </w:p>
        </w:tc>
        <w:tc>
          <w:tcPr>
            <w:tcW w:w="1080" w:type="dxa"/>
          </w:tcPr>
          <w:p w14:paraId="39F50C05" w14:textId="77777777" w:rsidR="00545EEE" w:rsidRPr="00B90FC7" w:rsidRDefault="00545EEE" w:rsidP="00545EEE">
            <w:pPr>
              <w:jc w:val="right"/>
              <w:rPr>
                <w:sz w:val="20"/>
                <w:szCs w:val="20"/>
              </w:rPr>
            </w:pPr>
          </w:p>
        </w:tc>
        <w:tc>
          <w:tcPr>
            <w:tcW w:w="1260" w:type="dxa"/>
          </w:tcPr>
          <w:p w14:paraId="2992E058" w14:textId="3E7D9485" w:rsidR="00545EEE" w:rsidRDefault="002C5BFB" w:rsidP="00545EEE">
            <w:pPr>
              <w:jc w:val="right"/>
              <w:rPr>
                <w:sz w:val="20"/>
                <w:szCs w:val="20"/>
              </w:rPr>
            </w:pPr>
            <w:r>
              <w:rPr>
                <w:sz w:val="20"/>
                <w:szCs w:val="20"/>
              </w:rPr>
              <w:t>831</w:t>
            </w:r>
            <w:r w:rsidR="00545EEE">
              <w:rPr>
                <w:sz w:val="20"/>
                <w:szCs w:val="20"/>
              </w:rPr>
              <w:t>,</w:t>
            </w:r>
            <w:r>
              <w:rPr>
                <w:sz w:val="20"/>
                <w:szCs w:val="20"/>
              </w:rPr>
              <w:t>0</w:t>
            </w:r>
            <w:r w:rsidR="00545EEE">
              <w:rPr>
                <w:sz w:val="20"/>
                <w:szCs w:val="20"/>
              </w:rPr>
              <w:t>96</w:t>
            </w:r>
          </w:p>
          <w:p w14:paraId="2DC60672" w14:textId="77777777" w:rsidR="00545EEE" w:rsidRDefault="00545EEE" w:rsidP="00545EEE">
            <w:pPr>
              <w:jc w:val="right"/>
              <w:rPr>
                <w:sz w:val="20"/>
                <w:szCs w:val="20"/>
              </w:rPr>
            </w:pPr>
          </w:p>
          <w:p w14:paraId="08DAEBC5" w14:textId="6CD634B9" w:rsidR="00545EEE" w:rsidRPr="00A64226" w:rsidRDefault="002C5BFB" w:rsidP="00545EEE">
            <w:pPr>
              <w:jc w:val="right"/>
              <w:rPr>
                <w:sz w:val="20"/>
                <w:szCs w:val="20"/>
              </w:rPr>
            </w:pPr>
            <w:r>
              <w:rPr>
                <w:sz w:val="20"/>
                <w:szCs w:val="20"/>
              </w:rPr>
              <w:t>85</w:t>
            </w:r>
            <w:r w:rsidR="00545EEE">
              <w:rPr>
                <w:sz w:val="20"/>
                <w:szCs w:val="20"/>
              </w:rPr>
              <w:t>,</w:t>
            </w:r>
            <w:r>
              <w:rPr>
                <w:sz w:val="20"/>
                <w:szCs w:val="20"/>
              </w:rPr>
              <w:t>582</w:t>
            </w:r>
          </w:p>
        </w:tc>
        <w:tc>
          <w:tcPr>
            <w:tcW w:w="1083" w:type="dxa"/>
            <w:gridSpan w:val="2"/>
          </w:tcPr>
          <w:p w14:paraId="519390C6" w14:textId="77777777" w:rsidR="00545EEE" w:rsidRPr="00B90FC7" w:rsidRDefault="00545EEE" w:rsidP="00545EEE">
            <w:pPr>
              <w:jc w:val="right"/>
              <w:rPr>
                <w:sz w:val="20"/>
                <w:szCs w:val="20"/>
              </w:rPr>
            </w:pPr>
          </w:p>
        </w:tc>
        <w:tc>
          <w:tcPr>
            <w:tcW w:w="1308" w:type="dxa"/>
          </w:tcPr>
          <w:p w14:paraId="4B9D88FD" w14:textId="01296636" w:rsidR="00545EEE" w:rsidRDefault="00545EEE" w:rsidP="00545EEE">
            <w:pPr>
              <w:jc w:val="right"/>
              <w:rPr>
                <w:sz w:val="20"/>
                <w:szCs w:val="20"/>
              </w:rPr>
            </w:pPr>
            <w:r>
              <w:rPr>
                <w:sz w:val="20"/>
                <w:szCs w:val="20"/>
              </w:rPr>
              <w:t>624,796</w:t>
            </w:r>
          </w:p>
          <w:p w14:paraId="05418241" w14:textId="77777777" w:rsidR="00545EEE" w:rsidRDefault="00545EEE" w:rsidP="00545EEE">
            <w:pPr>
              <w:jc w:val="right"/>
              <w:rPr>
                <w:sz w:val="20"/>
                <w:szCs w:val="20"/>
              </w:rPr>
            </w:pPr>
          </w:p>
          <w:p w14:paraId="2525DC37" w14:textId="58FBD569" w:rsidR="00545EEE" w:rsidRPr="00B90FC7" w:rsidRDefault="00545EEE" w:rsidP="00545EEE">
            <w:pPr>
              <w:jc w:val="right"/>
              <w:rPr>
                <w:sz w:val="20"/>
                <w:szCs w:val="20"/>
              </w:rPr>
            </w:pPr>
            <w:r>
              <w:rPr>
                <w:sz w:val="20"/>
                <w:szCs w:val="20"/>
              </w:rPr>
              <w:t>70,606</w:t>
            </w:r>
          </w:p>
        </w:tc>
      </w:tr>
      <w:tr w:rsidR="00545EEE" w:rsidRPr="00287A60" w14:paraId="4AD6B1F2" w14:textId="77777777" w:rsidTr="00545EEE">
        <w:trPr>
          <w:jc w:val="center"/>
        </w:trPr>
        <w:tc>
          <w:tcPr>
            <w:tcW w:w="3441" w:type="dxa"/>
            <w:gridSpan w:val="2"/>
          </w:tcPr>
          <w:p w14:paraId="51FE6825" w14:textId="77777777" w:rsidR="00545EEE" w:rsidRPr="00B90FC7" w:rsidRDefault="00545EEE" w:rsidP="00545EEE">
            <w:pPr>
              <w:rPr>
                <w:b/>
                <w:sz w:val="20"/>
                <w:szCs w:val="20"/>
              </w:rPr>
            </w:pPr>
          </w:p>
        </w:tc>
        <w:tc>
          <w:tcPr>
            <w:tcW w:w="900" w:type="dxa"/>
            <w:gridSpan w:val="3"/>
          </w:tcPr>
          <w:p w14:paraId="27EE41E3" w14:textId="77777777" w:rsidR="00545EEE" w:rsidRPr="00B90FC7" w:rsidRDefault="00545EEE" w:rsidP="00545EEE">
            <w:pPr>
              <w:rPr>
                <w:b/>
                <w:sz w:val="20"/>
                <w:szCs w:val="20"/>
              </w:rPr>
            </w:pPr>
          </w:p>
        </w:tc>
        <w:tc>
          <w:tcPr>
            <w:tcW w:w="1080" w:type="dxa"/>
          </w:tcPr>
          <w:p w14:paraId="7A627143" w14:textId="77777777" w:rsidR="00545EEE" w:rsidRPr="00B90FC7" w:rsidRDefault="00545EEE" w:rsidP="00545EEE">
            <w:pPr>
              <w:jc w:val="right"/>
              <w:rPr>
                <w:sz w:val="20"/>
                <w:szCs w:val="20"/>
              </w:rPr>
            </w:pPr>
          </w:p>
        </w:tc>
        <w:tc>
          <w:tcPr>
            <w:tcW w:w="1260" w:type="dxa"/>
            <w:tcBorders>
              <w:top w:val="single" w:sz="4" w:space="0" w:color="auto"/>
              <w:bottom w:val="double" w:sz="4" w:space="0" w:color="auto"/>
            </w:tcBorders>
          </w:tcPr>
          <w:p w14:paraId="2DA00257" w14:textId="77777777" w:rsidR="00545EEE" w:rsidRDefault="00545EEE" w:rsidP="00545EEE">
            <w:pPr>
              <w:jc w:val="right"/>
              <w:rPr>
                <w:b/>
                <w:sz w:val="20"/>
                <w:szCs w:val="20"/>
              </w:rPr>
            </w:pPr>
          </w:p>
          <w:p w14:paraId="6E8685C4" w14:textId="1ECC02CF" w:rsidR="00545EEE" w:rsidRPr="007F4D84" w:rsidRDefault="002C5BFB" w:rsidP="00545EEE">
            <w:pPr>
              <w:jc w:val="right"/>
              <w:rPr>
                <w:b/>
                <w:sz w:val="20"/>
                <w:szCs w:val="20"/>
              </w:rPr>
            </w:pPr>
            <w:r>
              <w:rPr>
                <w:b/>
                <w:sz w:val="20"/>
                <w:szCs w:val="20"/>
              </w:rPr>
              <w:t>916</w:t>
            </w:r>
            <w:r w:rsidR="00545EEE">
              <w:rPr>
                <w:b/>
                <w:sz w:val="20"/>
                <w:szCs w:val="20"/>
              </w:rPr>
              <w:t>,</w:t>
            </w:r>
            <w:r>
              <w:rPr>
                <w:b/>
                <w:sz w:val="20"/>
                <w:szCs w:val="20"/>
              </w:rPr>
              <w:t>678</w:t>
            </w:r>
          </w:p>
        </w:tc>
        <w:tc>
          <w:tcPr>
            <w:tcW w:w="1083" w:type="dxa"/>
            <w:gridSpan w:val="2"/>
          </w:tcPr>
          <w:p w14:paraId="39C698F4" w14:textId="77777777" w:rsidR="00545EEE" w:rsidRPr="00B90FC7" w:rsidRDefault="00545EEE" w:rsidP="00545EEE">
            <w:pPr>
              <w:jc w:val="right"/>
              <w:rPr>
                <w:sz w:val="20"/>
                <w:szCs w:val="20"/>
              </w:rPr>
            </w:pPr>
          </w:p>
        </w:tc>
        <w:tc>
          <w:tcPr>
            <w:tcW w:w="1308" w:type="dxa"/>
            <w:tcBorders>
              <w:top w:val="single" w:sz="4" w:space="0" w:color="auto"/>
              <w:bottom w:val="double" w:sz="4" w:space="0" w:color="auto"/>
            </w:tcBorders>
          </w:tcPr>
          <w:p w14:paraId="12E6A016" w14:textId="77777777" w:rsidR="00545EEE" w:rsidRDefault="00545EEE" w:rsidP="00545EEE">
            <w:pPr>
              <w:jc w:val="right"/>
              <w:rPr>
                <w:b/>
                <w:sz w:val="20"/>
                <w:szCs w:val="20"/>
              </w:rPr>
            </w:pPr>
          </w:p>
          <w:p w14:paraId="34981E7F" w14:textId="4800828C" w:rsidR="00545EEE" w:rsidRPr="00B90FC7" w:rsidRDefault="00545EEE" w:rsidP="00545EEE">
            <w:pPr>
              <w:jc w:val="right"/>
              <w:rPr>
                <w:b/>
                <w:sz w:val="20"/>
                <w:szCs w:val="20"/>
              </w:rPr>
            </w:pPr>
            <w:r>
              <w:rPr>
                <w:b/>
                <w:sz w:val="20"/>
                <w:szCs w:val="20"/>
              </w:rPr>
              <w:t>695,402</w:t>
            </w:r>
          </w:p>
        </w:tc>
      </w:tr>
    </w:tbl>
    <w:p w14:paraId="5A3BE6BA" w14:textId="77777777" w:rsidR="00024A9C" w:rsidRDefault="00024A9C" w:rsidP="000C2A54">
      <w:pPr>
        <w:widowControl w:val="0"/>
        <w:tabs>
          <w:tab w:val="center" w:pos="6096"/>
          <w:tab w:val="right" w:pos="7797"/>
          <w:tab w:val="right" w:pos="9356"/>
        </w:tabs>
        <w:autoSpaceDE w:val="0"/>
        <w:autoSpaceDN w:val="0"/>
        <w:adjustRightInd w:val="0"/>
        <w:rPr>
          <w:sz w:val="22"/>
          <w:szCs w:val="22"/>
        </w:rPr>
      </w:pPr>
    </w:p>
    <w:p w14:paraId="1F077D1A" w14:textId="77777777" w:rsidR="00BF7ED8" w:rsidRDefault="00BF7ED8" w:rsidP="000C2A54">
      <w:pPr>
        <w:widowControl w:val="0"/>
        <w:tabs>
          <w:tab w:val="center" w:pos="6096"/>
          <w:tab w:val="right" w:pos="7797"/>
          <w:tab w:val="right" w:pos="9356"/>
        </w:tabs>
        <w:autoSpaceDE w:val="0"/>
        <w:autoSpaceDN w:val="0"/>
        <w:adjustRightInd w:val="0"/>
        <w:rPr>
          <w:sz w:val="22"/>
          <w:szCs w:val="22"/>
        </w:rPr>
      </w:pPr>
    </w:p>
    <w:p w14:paraId="1AC3864F" w14:textId="14B89970"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697FC0">
        <w:rPr>
          <w:sz w:val="22"/>
          <w:szCs w:val="22"/>
        </w:rPr>
        <w:t>6</w:t>
      </w:r>
      <w:r w:rsidR="00551DA7">
        <w:rPr>
          <w:sz w:val="22"/>
          <w:szCs w:val="22"/>
        </w:rPr>
        <w:t>7</w:t>
      </w:r>
      <w:r w:rsidR="000634E9" w:rsidRPr="00EB5423">
        <w:rPr>
          <w:sz w:val="22"/>
          <w:szCs w:val="22"/>
        </w:rPr>
        <w:t xml:space="preserve"> </w:t>
      </w:r>
      <w:r w:rsidRPr="00EB5423">
        <w:rPr>
          <w:sz w:val="22"/>
          <w:szCs w:val="22"/>
        </w:rPr>
        <w:t xml:space="preserve">to </w:t>
      </w:r>
      <w:r w:rsidR="00697FC0">
        <w:rPr>
          <w:sz w:val="22"/>
          <w:szCs w:val="22"/>
        </w:rPr>
        <w:t>8</w:t>
      </w:r>
      <w:r w:rsidR="00551DA7">
        <w:rPr>
          <w:sz w:val="22"/>
          <w:szCs w:val="22"/>
        </w:rPr>
        <w:t>4</w:t>
      </w:r>
      <w:r w:rsidR="000634E9" w:rsidRPr="00EB5423">
        <w:rPr>
          <w:sz w:val="22"/>
          <w:szCs w:val="22"/>
        </w:rPr>
        <w:t xml:space="preserve"> </w:t>
      </w:r>
      <w:r w:rsidRPr="00EB5423">
        <w:rPr>
          <w:sz w:val="22"/>
          <w:szCs w:val="22"/>
        </w:rPr>
        <w:t>form part of the financial statements.</w:t>
      </w:r>
    </w:p>
    <w:p w14:paraId="5A0457DE" w14:textId="77777777" w:rsidR="000C2A54" w:rsidRPr="00EB5423" w:rsidRDefault="000C2A54" w:rsidP="000C2A54">
      <w:pPr>
        <w:widowControl w:val="0"/>
        <w:tabs>
          <w:tab w:val="center" w:pos="3969"/>
          <w:tab w:val="center" w:pos="5245"/>
          <w:tab w:val="center" w:pos="6379"/>
          <w:tab w:val="center" w:pos="7513"/>
          <w:tab w:val="center" w:pos="8647"/>
        </w:tabs>
        <w:autoSpaceDE w:val="0"/>
        <w:autoSpaceDN w:val="0"/>
        <w:adjustRightInd w:val="0"/>
        <w:rPr>
          <w:sz w:val="22"/>
          <w:szCs w:val="22"/>
          <w:vertAlign w:val="superscript"/>
        </w:rPr>
      </w:pPr>
    </w:p>
    <w:p w14:paraId="73ABD150" w14:textId="1A18FF1E" w:rsidR="000C2A54" w:rsidRPr="00EB5423" w:rsidRDefault="000C2A54" w:rsidP="000C2A54">
      <w:pPr>
        <w:widowControl w:val="0"/>
        <w:tabs>
          <w:tab w:val="center" w:pos="3969"/>
          <w:tab w:val="center" w:pos="5245"/>
          <w:tab w:val="center" w:pos="6379"/>
          <w:tab w:val="center" w:pos="7513"/>
          <w:tab w:val="center" w:pos="8647"/>
        </w:tabs>
        <w:autoSpaceDE w:val="0"/>
        <w:autoSpaceDN w:val="0"/>
        <w:adjustRightInd w:val="0"/>
        <w:rPr>
          <w:sz w:val="22"/>
          <w:szCs w:val="22"/>
        </w:rPr>
      </w:pPr>
      <w:r w:rsidRPr="00EB5423">
        <w:rPr>
          <w:sz w:val="22"/>
          <w:szCs w:val="22"/>
        </w:rPr>
        <w:t xml:space="preserve">The financial statements on pages </w:t>
      </w:r>
      <w:r w:rsidR="00697FC0">
        <w:rPr>
          <w:sz w:val="22"/>
          <w:szCs w:val="22"/>
        </w:rPr>
        <w:t>6</w:t>
      </w:r>
      <w:r w:rsidR="002D2485">
        <w:rPr>
          <w:sz w:val="22"/>
          <w:szCs w:val="22"/>
        </w:rPr>
        <w:t>3</w:t>
      </w:r>
      <w:r w:rsidR="000634E9" w:rsidRPr="00EB5423">
        <w:rPr>
          <w:sz w:val="22"/>
          <w:szCs w:val="22"/>
        </w:rPr>
        <w:t xml:space="preserve"> </w:t>
      </w:r>
      <w:r w:rsidRPr="00EB5423">
        <w:rPr>
          <w:sz w:val="22"/>
          <w:szCs w:val="22"/>
        </w:rPr>
        <w:t xml:space="preserve">to </w:t>
      </w:r>
      <w:r w:rsidR="00EC433E">
        <w:rPr>
          <w:sz w:val="22"/>
          <w:szCs w:val="22"/>
        </w:rPr>
        <w:t>8</w:t>
      </w:r>
      <w:r w:rsidR="002D2485">
        <w:rPr>
          <w:sz w:val="22"/>
          <w:szCs w:val="22"/>
        </w:rPr>
        <w:t>4</w:t>
      </w:r>
      <w:r w:rsidR="00E916F9">
        <w:rPr>
          <w:sz w:val="22"/>
          <w:szCs w:val="22"/>
        </w:rPr>
        <w:t xml:space="preserve"> </w:t>
      </w:r>
      <w:r w:rsidRPr="00EB5423">
        <w:rPr>
          <w:sz w:val="22"/>
          <w:szCs w:val="22"/>
        </w:rPr>
        <w:t xml:space="preserve">were approved by the Commission on </w:t>
      </w:r>
      <w:r w:rsidR="00123279">
        <w:rPr>
          <w:sz w:val="22"/>
          <w:szCs w:val="22"/>
        </w:rPr>
        <w:t>24</w:t>
      </w:r>
      <w:r w:rsidR="00612DE1">
        <w:rPr>
          <w:sz w:val="22"/>
          <w:szCs w:val="22"/>
        </w:rPr>
        <w:t xml:space="preserve"> </w:t>
      </w:r>
      <w:r w:rsidR="00123279">
        <w:rPr>
          <w:sz w:val="22"/>
          <w:szCs w:val="22"/>
        </w:rPr>
        <w:t>June</w:t>
      </w:r>
      <w:r w:rsidR="00612DE1">
        <w:rPr>
          <w:sz w:val="22"/>
          <w:szCs w:val="22"/>
        </w:rPr>
        <w:t xml:space="preserve"> 20</w:t>
      </w:r>
      <w:r w:rsidR="0098738B">
        <w:rPr>
          <w:sz w:val="22"/>
          <w:szCs w:val="22"/>
        </w:rPr>
        <w:t>2</w:t>
      </w:r>
      <w:r w:rsidR="002C5BFB">
        <w:rPr>
          <w:sz w:val="22"/>
          <w:szCs w:val="22"/>
        </w:rPr>
        <w:t>4</w:t>
      </w:r>
      <w:r w:rsidR="00CA3F82">
        <w:rPr>
          <w:sz w:val="22"/>
          <w:szCs w:val="22"/>
        </w:rPr>
        <w:t>.</w:t>
      </w:r>
    </w:p>
    <w:p w14:paraId="23BA62C1" w14:textId="77777777" w:rsidR="00632319" w:rsidRDefault="00DD7949" w:rsidP="000C2A54">
      <w:pPr>
        <w:widowControl w:val="0"/>
        <w:autoSpaceDE w:val="0"/>
        <w:autoSpaceDN w:val="0"/>
        <w:adjustRightInd w:val="0"/>
        <w:rPr>
          <w:b/>
          <w:sz w:val="22"/>
          <w:szCs w:val="22"/>
        </w:rPr>
      </w:pPr>
      <w:r>
        <w:rPr>
          <w:noProof/>
          <w:lang w:eastAsia="en-GB"/>
        </w:rPr>
        <w:drawing>
          <wp:inline distT="0" distB="0" distL="0" distR="0" wp14:anchorId="12AFF05E" wp14:editId="65BBEE9B">
            <wp:extent cx="1794699" cy="8048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4">
                      <a:extLst>
                        <a:ext uri="{28A0092B-C50C-407E-A947-70E740481C1C}">
                          <a14:useLocalDpi xmlns:a14="http://schemas.microsoft.com/office/drawing/2010/main" val="0"/>
                        </a:ext>
                      </a:extLst>
                    </a:blip>
                    <a:stretch>
                      <a:fillRect/>
                    </a:stretch>
                  </pic:blipFill>
                  <pic:spPr>
                    <a:xfrm>
                      <a:off x="0" y="0"/>
                      <a:ext cx="1809413" cy="811461"/>
                    </a:xfrm>
                    <a:prstGeom prst="rect">
                      <a:avLst/>
                    </a:prstGeom>
                  </pic:spPr>
                </pic:pic>
              </a:graphicData>
            </a:graphic>
          </wp:inline>
        </w:drawing>
      </w:r>
    </w:p>
    <w:p w14:paraId="40550240" w14:textId="74600C07" w:rsidR="000C2A54" w:rsidRPr="00632319" w:rsidRDefault="000C2A54" w:rsidP="000C2A54">
      <w:pPr>
        <w:widowControl w:val="0"/>
        <w:autoSpaceDE w:val="0"/>
        <w:autoSpaceDN w:val="0"/>
        <w:adjustRightInd w:val="0"/>
        <w:rPr>
          <w:noProof/>
          <w:lang w:eastAsia="en-GB"/>
        </w:rPr>
      </w:pPr>
      <w:r>
        <w:rPr>
          <w:b/>
          <w:sz w:val="22"/>
          <w:szCs w:val="22"/>
        </w:rPr>
        <w:t>Dr David Russell</w:t>
      </w:r>
    </w:p>
    <w:p w14:paraId="18442386" w14:textId="77777777" w:rsidR="000C2A54" w:rsidRPr="00EB5423" w:rsidRDefault="000C2A54" w:rsidP="000C2A54">
      <w:pPr>
        <w:widowControl w:val="0"/>
        <w:autoSpaceDE w:val="0"/>
        <w:autoSpaceDN w:val="0"/>
        <w:adjustRightInd w:val="0"/>
        <w:rPr>
          <w:b/>
          <w:sz w:val="22"/>
          <w:szCs w:val="22"/>
        </w:rPr>
      </w:pPr>
      <w:r w:rsidRPr="00EB5423">
        <w:rPr>
          <w:b/>
          <w:sz w:val="22"/>
          <w:szCs w:val="22"/>
        </w:rPr>
        <w:t>Accounting Officer</w:t>
      </w:r>
    </w:p>
    <w:p w14:paraId="09139018" w14:textId="77777777" w:rsidR="000C2A54" w:rsidRPr="00EB5423" w:rsidRDefault="000C2A54" w:rsidP="000C2A54">
      <w:pPr>
        <w:widowControl w:val="0"/>
        <w:autoSpaceDE w:val="0"/>
        <w:autoSpaceDN w:val="0"/>
        <w:adjustRightInd w:val="0"/>
        <w:rPr>
          <w:b/>
          <w:sz w:val="22"/>
          <w:szCs w:val="22"/>
        </w:rPr>
      </w:pPr>
    </w:p>
    <w:p w14:paraId="467B9239" w14:textId="4E9CDBAE" w:rsidR="00BF7ED8" w:rsidRDefault="000C2A54" w:rsidP="000C2A54">
      <w:pPr>
        <w:widowControl w:val="0"/>
        <w:tabs>
          <w:tab w:val="left" w:pos="851"/>
        </w:tabs>
        <w:autoSpaceDE w:val="0"/>
        <w:autoSpaceDN w:val="0"/>
        <w:adjustRightInd w:val="0"/>
        <w:rPr>
          <w:b/>
          <w:sz w:val="22"/>
          <w:szCs w:val="22"/>
        </w:rPr>
      </w:pPr>
      <w:r w:rsidRPr="00EB5423">
        <w:rPr>
          <w:b/>
          <w:sz w:val="22"/>
          <w:szCs w:val="22"/>
        </w:rPr>
        <w:t xml:space="preserve">Date:  </w:t>
      </w:r>
      <w:r w:rsidR="00AE1FB0">
        <w:rPr>
          <w:b/>
          <w:sz w:val="22"/>
          <w:szCs w:val="22"/>
        </w:rPr>
        <w:t>18 July</w:t>
      </w:r>
      <w:r w:rsidR="00CD2ACA">
        <w:rPr>
          <w:b/>
          <w:sz w:val="22"/>
          <w:szCs w:val="22"/>
        </w:rPr>
        <w:t xml:space="preserve"> </w:t>
      </w:r>
      <w:r w:rsidR="00953497">
        <w:rPr>
          <w:b/>
          <w:sz w:val="22"/>
          <w:szCs w:val="22"/>
        </w:rPr>
        <w:t>20</w:t>
      </w:r>
      <w:r w:rsidR="007330CB">
        <w:rPr>
          <w:b/>
          <w:sz w:val="22"/>
          <w:szCs w:val="22"/>
        </w:rPr>
        <w:t>2</w:t>
      </w:r>
      <w:r w:rsidR="00545EEE">
        <w:rPr>
          <w:b/>
          <w:sz w:val="22"/>
          <w:szCs w:val="22"/>
        </w:rPr>
        <w:t>4</w:t>
      </w:r>
    </w:p>
    <w:p w14:paraId="5C056692" w14:textId="750F8A83" w:rsidR="000C2A54" w:rsidRPr="00EB5423" w:rsidRDefault="008C73A2" w:rsidP="00024A9C">
      <w:pPr>
        <w:ind w:left="-567" w:right="-567"/>
        <w:rPr>
          <w:b/>
        </w:rPr>
      </w:pPr>
      <w:bookmarkStart w:id="35" w:name="StatementofCashFlows"/>
      <w:r>
        <w:rPr>
          <w:rFonts w:cs="Arial"/>
          <w:b/>
          <w:color w:val="77328A"/>
          <w:sz w:val="30"/>
          <w:szCs w:val="30"/>
        </w:rPr>
        <w:t>Statement of Cash Flows for the Year En</w:t>
      </w:r>
      <w:r w:rsidR="008D0E8C">
        <w:rPr>
          <w:rFonts w:cs="Arial"/>
          <w:b/>
          <w:color w:val="77328A"/>
          <w:sz w:val="30"/>
          <w:szCs w:val="30"/>
        </w:rPr>
        <w:t>ded 31 March 202</w:t>
      </w:r>
      <w:r w:rsidR="00545EEE">
        <w:rPr>
          <w:rFonts w:cs="Arial"/>
          <w:b/>
          <w:color w:val="77328A"/>
          <w:sz w:val="30"/>
          <w:szCs w:val="30"/>
        </w:rPr>
        <w:t>4</w:t>
      </w:r>
    </w:p>
    <w:bookmarkEnd w:id="35"/>
    <w:p w14:paraId="563CC535" w14:textId="77777777" w:rsidR="000C2A54" w:rsidRPr="00E04BAE" w:rsidRDefault="000C2A54" w:rsidP="000C2A54">
      <w:pPr>
        <w:ind w:left="-567" w:right="-567"/>
        <w:jc w:val="center"/>
        <w:rPr>
          <w:b/>
          <w:sz w:val="28"/>
          <w:szCs w:val="28"/>
        </w:rPr>
      </w:pPr>
    </w:p>
    <w:p w14:paraId="746657BF" w14:textId="39DB536E" w:rsidR="000C2A54" w:rsidRPr="006C7E49" w:rsidRDefault="000C2A54" w:rsidP="000C2A54">
      <w:pPr>
        <w:widowControl w:val="0"/>
        <w:tabs>
          <w:tab w:val="center" w:pos="5670"/>
          <w:tab w:val="right" w:pos="7371"/>
          <w:tab w:val="right" w:pos="9071"/>
        </w:tabs>
        <w:autoSpaceDE w:val="0"/>
        <w:autoSpaceDN w:val="0"/>
        <w:adjustRightInd w:val="0"/>
        <w:ind w:firstLine="720"/>
        <w:rPr>
          <w:rFonts w:cs="Arial"/>
          <w:b/>
          <w:bCs/>
          <w:sz w:val="20"/>
          <w:szCs w:val="20"/>
        </w:rPr>
      </w:pPr>
      <w:r w:rsidRPr="002B4C5F">
        <w:rPr>
          <w:rFonts w:cs="Arial"/>
          <w:b/>
          <w:bCs/>
          <w:sz w:val="22"/>
          <w:szCs w:val="22"/>
        </w:rPr>
        <w:tab/>
      </w:r>
      <w:r w:rsidRPr="002B4C5F">
        <w:rPr>
          <w:rFonts w:cs="Arial"/>
          <w:b/>
          <w:bCs/>
          <w:sz w:val="22"/>
          <w:szCs w:val="22"/>
        </w:rPr>
        <w:tab/>
      </w:r>
      <w:r w:rsidR="00E916F9">
        <w:rPr>
          <w:rFonts w:cs="Arial"/>
          <w:b/>
          <w:bCs/>
          <w:sz w:val="20"/>
          <w:szCs w:val="20"/>
        </w:rPr>
        <w:t>20</w:t>
      </w:r>
      <w:r w:rsidR="003902AD">
        <w:rPr>
          <w:rFonts w:cs="Arial"/>
          <w:b/>
          <w:bCs/>
          <w:sz w:val="20"/>
          <w:szCs w:val="20"/>
        </w:rPr>
        <w:t>2</w:t>
      </w:r>
      <w:r w:rsidR="00545EEE">
        <w:rPr>
          <w:rFonts w:cs="Arial"/>
          <w:b/>
          <w:bCs/>
          <w:sz w:val="20"/>
          <w:szCs w:val="20"/>
        </w:rPr>
        <w:t>3</w:t>
      </w:r>
      <w:r w:rsidR="00E916F9">
        <w:rPr>
          <w:rFonts w:cs="Arial"/>
          <w:b/>
          <w:bCs/>
          <w:sz w:val="20"/>
          <w:szCs w:val="20"/>
        </w:rPr>
        <w:t>-2</w:t>
      </w:r>
      <w:r w:rsidR="00545EEE">
        <w:rPr>
          <w:rFonts w:cs="Arial"/>
          <w:b/>
          <w:bCs/>
          <w:sz w:val="20"/>
          <w:szCs w:val="20"/>
        </w:rPr>
        <w:t>4</w:t>
      </w:r>
      <w:r w:rsidRPr="006C7E49">
        <w:rPr>
          <w:rFonts w:cs="Arial"/>
          <w:b/>
          <w:bCs/>
          <w:sz w:val="20"/>
          <w:szCs w:val="20"/>
        </w:rPr>
        <w:tab/>
      </w:r>
      <w:r w:rsidR="00E916F9">
        <w:rPr>
          <w:rFonts w:cs="Arial"/>
          <w:b/>
          <w:bCs/>
          <w:sz w:val="20"/>
          <w:szCs w:val="20"/>
        </w:rPr>
        <w:t>20</w:t>
      </w:r>
      <w:r w:rsidR="003902AD">
        <w:rPr>
          <w:rFonts w:cs="Arial"/>
          <w:b/>
          <w:bCs/>
          <w:sz w:val="20"/>
          <w:szCs w:val="20"/>
        </w:rPr>
        <w:t>2</w:t>
      </w:r>
      <w:r w:rsidR="00545EEE">
        <w:rPr>
          <w:rFonts w:cs="Arial"/>
          <w:b/>
          <w:bCs/>
          <w:sz w:val="20"/>
          <w:szCs w:val="20"/>
        </w:rPr>
        <w:t>2</w:t>
      </w:r>
      <w:r w:rsidR="00E916F9">
        <w:rPr>
          <w:rFonts w:cs="Arial"/>
          <w:b/>
          <w:bCs/>
          <w:sz w:val="20"/>
          <w:szCs w:val="20"/>
        </w:rPr>
        <w:t>-2</w:t>
      </w:r>
      <w:r w:rsidR="00545EEE">
        <w:rPr>
          <w:rFonts w:cs="Arial"/>
          <w:b/>
          <w:bCs/>
          <w:sz w:val="20"/>
          <w:szCs w:val="20"/>
        </w:rPr>
        <w:t>3</w:t>
      </w:r>
      <w:r w:rsidRPr="006C7E49">
        <w:rPr>
          <w:rFonts w:cs="Arial"/>
          <w:b/>
          <w:bCs/>
          <w:sz w:val="20"/>
          <w:szCs w:val="20"/>
        </w:rPr>
        <w:t xml:space="preserve"> </w:t>
      </w:r>
    </w:p>
    <w:p w14:paraId="15411DE5" w14:textId="77777777" w:rsidR="000C2A54" w:rsidRPr="006C7E49" w:rsidRDefault="000C2A54" w:rsidP="000C2A54">
      <w:pPr>
        <w:widowControl w:val="0"/>
        <w:tabs>
          <w:tab w:val="center" w:pos="5670"/>
          <w:tab w:val="right" w:pos="7371"/>
          <w:tab w:val="right" w:pos="9071"/>
        </w:tabs>
        <w:autoSpaceDE w:val="0"/>
        <w:autoSpaceDN w:val="0"/>
        <w:adjustRightInd w:val="0"/>
        <w:ind w:left="4920" w:hanging="4920"/>
        <w:rPr>
          <w:rFonts w:cs="Arial"/>
          <w:b/>
          <w:bCs/>
          <w:sz w:val="20"/>
          <w:szCs w:val="20"/>
        </w:rPr>
      </w:pPr>
      <w:r w:rsidRPr="006C7E49">
        <w:rPr>
          <w:rFonts w:cs="Arial"/>
          <w:b/>
          <w:bCs/>
          <w:sz w:val="20"/>
          <w:szCs w:val="20"/>
        </w:rPr>
        <w:tab/>
      </w:r>
      <w:r w:rsidRPr="006C7E49">
        <w:rPr>
          <w:b/>
          <w:sz w:val="20"/>
          <w:szCs w:val="20"/>
        </w:rPr>
        <w:t>Notes</w:t>
      </w:r>
      <w:r w:rsidRPr="006C7E49">
        <w:rPr>
          <w:rFonts w:cs="Arial"/>
          <w:b/>
          <w:bCs/>
          <w:sz w:val="20"/>
          <w:szCs w:val="20"/>
        </w:rPr>
        <w:tab/>
      </w:r>
      <w:r w:rsidRPr="006C7E49">
        <w:rPr>
          <w:rFonts w:cs="Arial"/>
          <w:b/>
          <w:bCs/>
          <w:sz w:val="20"/>
          <w:szCs w:val="20"/>
        </w:rPr>
        <w:tab/>
        <w:t>£</w:t>
      </w:r>
      <w:r w:rsidRPr="006C7E49">
        <w:rPr>
          <w:rFonts w:cs="Arial"/>
          <w:b/>
          <w:bCs/>
          <w:sz w:val="20"/>
          <w:szCs w:val="20"/>
        </w:rPr>
        <w:tab/>
        <w:t>£</w:t>
      </w:r>
    </w:p>
    <w:p w14:paraId="7E24960E" w14:textId="77777777" w:rsidR="000C2A54" w:rsidRPr="006C7E49" w:rsidRDefault="000C2A54" w:rsidP="000C2A54">
      <w:pPr>
        <w:widowControl w:val="0"/>
        <w:tabs>
          <w:tab w:val="center" w:pos="5670"/>
          <w:tab w:val="right" w:pos="7371"/>
          <w:tab w:val="right" w:pos="9071"/>
        </w:tabs>
        <w:autoSpaceDE w:val="0"/>
        <w:autoSpaceDN w:val="0"/>
        <w:adjustRightInd w:val="0"/>
        <w:rPr>
          <w:rFonts w:cs="Arial"/>
          <w:b/>
          <w:bCs/>
          <w:sz w:val="20"/>
          <w:szCs w:val="20"/>
        </w:rPr>
      </w:pPr>
    </w:p>
    <w:p w14:paraId="5C9D9C4F" w14:textId="77777777" w:rsid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flows from operating activities </w:t>
      </w:r>
    </w:p>
    <w:p w14:paraId="25825B0B" w14:textId="77777777" w:rsidR="007B768A" w:rsidRDefault="007B768A" w:rsidP="000C2A54">
      <w:pPr>
        <w:widowControl w:val="0"/>
        <w:tabs>
          <w:tab w:val="center" w:pos="5160"/>
          <w:tab w:val="right" w:pos="7371"/>
          <w:tab w:val="right" w:pos="9071"/>
        </w:tabs>
        <w:autoSpaceDE w:val="0"/>
        <w:autoSpaceDN w:val="0"/>
        <w:adjustRightInd w:val="0"/>
        <w:rPr>
          <w:rFonts w:cs="Arial"/>
          <w:b/>
          <w:bCs/>
          <w:sz w:val="20"/>
          <w:szCs w:val="20"/>
        </w:rPr>
      </w:pPr>
    </w:p>
    <w:p w14:paraId="14EB6E65" w14:textId="52434486" w:rsidR="007B768A"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Net operating exp</w:t>
      </w:r>
      <w:r w:rsidR="00807E97">
        <w:rPr>
          <w:rFonts w:cs="Arial"/>
          <w:bCs/>
          <w:sz w:val="20"/>
          <w:szCs w:val="20"/>
        </w:rPr>
        <w:t xml:space="preserve">enditure </w:t>
      </w:r>
      <w:r w:rsidR="00807E97">
        <w:rPr>
          <w:rFonts w:cs="Arial"/>
          <w:bCs/>
          <w:sz w:val="20"/>
          <w:szCs w:val="20"/>
        </w:rPr>
        <w:tab/>
      </w:r>
      <w:r w:rsidR="00807E97">
        <w:rPr>
          <w:rFonts w:cs="Arial"/>
          <w:bCs/>
          <w:sz w:val="20"/>
          <w:szCs w:val="20"/>
        </w:rPr>
        <w:tab/>
      </w:r>
      <w:r w:rsidR="00ED27FA">
        <w:rPr>
          <w:rFonts w:cs="Arial"/>
          <w:bCs/>
          <w:sz w:val="20"/>
          <w:szCs w:val="20"/>
        </w:rPr>
        <w:t>(</w:t>
      </w:r>
      <w:r w:rsidR="00076A51">
        <w:rPr>
          <w:rFonts w:cs="Arial"/>
          <w:bCs/>
          <w:sz w:val="20"/>
          <w:szCs w:val="20"/>
        </w:rPr>
        <w:t>2,</w:t>
      </w:r>
      <w:r w:rsidR="00034AE8">
        <w:rPr>
          <w:rFonts w:cs="Arial"/>
          <w:bCs/>
          <w:sz w:val="20"/>
          <w:szCs w:val="20"/>
        </w:rPr>
        <w:t>722</w:t>
      </w:r>
      <w:r w:rsidR="009F599C">
        <w:rPr>
          <w:rFonts w:cs="Arial"/>
          <w:bCs/>
          <w:sz w:val="20"/>
          <w:szCs w:val="20"/>
        </w:rPr>
        <w:t>,</w:t>
      </w:r>
      <w:r w:rsidR="00034AE8">
        <w:rPr>
          <w:rFonts w:cs="Arial"/>
          <w:bCs/>
          <w:sz w:val="20"/>
          <w:szCs w:val="20"/>
        </w:rPr>
        <w:t>317</w:t>
      </w:r>
      <w:r w:rsidR="00ED27FA">
        <w:rPr>
          <w:rFonts w:cs="Arial"/>
          <w:bCs/>
          <w:sz w:val="20"/>
          <w:szCs w:val="20"/>
        </w:rPr>
        <w:t>)</w:t>
      </w:r>
      <w:r w:rsidRPr="006C7E49">
        <w:rPr>
          <w:rFonts w:cs="Arial"/>
          <w:bCs/>
          <w:sz w:val="20"/>
          <w:szCs w:val="20"/>
        </w:rPr>
        <w:tab/>
        <w:t>(</w:t>
      </w:r>
      <w:r w:rsidR="00024A9C">
        <w:rPr>
          <w:rFonts w:cs="Arial"/>
          <w:bCs/>
          <w:sz w:val="20"/>
          <w:szCs w:val="20"/>
        </w:rPr>
        <w:t>2,</w:t>
      </w:r>
      <w:r w:rsidR="00545EEE">
        <w:rPr>
          <w:rFonts w:cs="Arial"/>
          <w:bCs/>
          <w:sz w:val="20"/>
          <w:szCs w:val="20"/>
        </w:rPr>
        <w:t>427,487</w:t>
      </w:r>
      <w:r w:rsidR="00E916F9">
        <w:rPr>
          <w:rFonts w:cs="Arial"/>
          <w:bCs/>
          <w:sz w:val="20"/>
          <w:szCs w:val="20"/>
        </w:rPr>
        <w:t>)</w:t>
      </w:r>
    </w:p>
    <w:p w14:paraId="26F6D16A" w14:textId="77777777" w:rsidR="000C2A54" w:rsidRPr="006C7E49"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ab/>
      </w:r>
      <w:r w:rsidR="000C2A54" w:rsidRPr="006C7E49">
        <w:rPr>
          <w:rFonts w:cs="Arial"/>
          <w:bCs/>
          <w:sz w:val="20"/>
          <w:szCs w:val="20"/>
        </w:rPr>
        <w:tab/>
      </w:r>
    </w:p>
    <w:p w14:paraId="65CC963D" w14:textId="69EB5D0C" w:rsidR="000C2A54" w:rsidRPr="006C7E49" w:rsidRDefault="00FA67ED"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w:t>
      </w:r>
      <w:r w:rsidR="00713362">
        <w:rPr>
          <w:rFonts w:cs="Arial"/>
          <w:bCs/>
          <w:sz w:val="20"/>
          <w:szCs w:val="20"/>
        </w:rPr>
        <w:t>Increase</w:t>
      </w:r>
      <w:r>
        <w:rPr>
          <w:rFonts w:cs="Arial"/>
          <w:bCs/>
          <w:sz w:val="20"/>
          <w:szCs w:val="20"/>
        </w:rPr>
        <w:t>)</w:t>
      </w:r>
      <w:r w:rsidR="000C2A54" w:rsidRPr="006C7E49">
        <w:rPr>
          <w:rFonts w:cs="Arial"/>
          <w:bCs/>
          <w:sz w:val="20"/>
          <w:szCs w:val="20"/>
        </w:rPr>
        <w:t xml:space="preserve"> in trade and other </w:t>
      </w:r>
      <w:r w:rsidR="000C2A54" w:rsidRPr="006C7E49">
        <w:rPr>
          <w:rFonts w:cs="Arial"/>
          <w:bCs/>
          <w:sz w:val="20"/>
          <w:szCs w:val="20"/>
        </w:rPr>
        <w:tab/>
      </w:r>
    </w:p>
    <w:p w14:paraId="74AC8DFB" w14:textId="76F7B702" w:rsidR="000C2A54" w:rsidRPr="006C7E49"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Cs/>
          <w:sz w:val="20"/>
          <w:szCs w:val="20"/>
        </w:rPr>
        <w:t>receivables</w:t>
      </w:r>
      <w:r w:rsidRPr="006C7E49">
        <w:rPr>
          <w:rFonts w:cs="Arial"/>
          <w:bCs/>
          <w:sz w:val="20"/>
          <w:szCs w:val="20"/>
        </w:rPr>
        <w:tab/>
      </w:r>
      <w:r w:rsidR="00FA67ED">
        <w:rPr>
          <w:rFonts w:cs="Arial"/>
          <w:b/>
          <w:bCs/>
          <w:sz w:val="20"/>
          <w:szCs w:val="20"/>
        </w:rPr>
        <w:t>10</w:t>
      </w:r>
      <w:r w:rsidRPr="006C7E49">
        <w:rPr>
          <w:rFonts w:cs="Arial"/>
          <w:bCs/>
          <w:sz w:val="20"/>
          <w:szCs w:val="20"/>
        </w:rPr>
        <w:tab/>
      </w:r>
      <w:r w:rsidR="00034AE8">
        <w:rPr>
          <w:rFonts w:cs="Arial"/>
          <w:bCs/>
          <w:sz w:val="20"/>
          <w:szCs w:val="20"/>
        </w:rPr>
        <w:t>17,64</w:t>
      </w:r>
      <w:r w:rsidR="007F2305">
        <w:rPr>
          <w:rFonts w:cs="Arial"/>
          <w:bCs/>
          <w:sz w:val="20"/>
          <w:szCs w:val="20"/>
        </w:rPr>
        <w:t>3</w:t>
      </w:r>
      <w:r w:rsidR="00E916F9">
        <w:rPr>
          <w:rFonts w:cs="Arial"/>
          <w:bCs/>
          <w:sz w:val="20"/>
          <w:szCs w:val="20"/>
        </w:rPr>
        <w:tab/>
        <w:t>(</w:t>
      </w:r>
      <w:r w:rsidR="00024A9C">
        <w:rPr>
          <w:rFonts w:cs="Arial"/>
          <w:bCs/>
          <w:sz w:val="20"/>
          <w:szCs w:val="20"/>
        </w:rPr>
        <w:t>1</w:t>
      </w:r>
      <w:r w:rsidR="00545EEE">
        <w:rPr>
          <w:rFonts w:cs="Arial"/>
          <w:bCs/>
          <w:sz w:val="20"/>
          <w:szCs w:val="20"/>
        </w:rPr>
        <w:t>8</w:t>
      </w:r>
      <w:r w:rsidR="00713362">
        <w:rPr>
          <w:rFonts w:cs="Arial"/>
          <w:bCs/>
          <w:sz w:val="20"/>
          <w:szCs w:val="20"/>
        </w:rPr>
        <w:t>)</w:t>
      </w:r>
    </w:p>
    <w:p w14:paraId="1ACFBEA3" w14:textId="77777777" w:rsidR="00E633B4" w:rsidRPr="006C7E49" w:rsidRDefault="00E633B4" w:rsidP="000C2A54">
      <w:pPr>
        <w:widowControl w:val="0"/>
        <w:tabs>
          <w:tab w:val="center" w:pos="5160"/>
          <w:tab w:val="right" w:pos="7371"/>
          <w:tab w:val="right" w:pos="9071"/>
        </w:tabs>
        <w:autoSpaceDE w:val="0"/>
        <w:autoSpaceDN w:val="0"/>
        <w:adjustRightInd w:val="0"/>
        <w:rPr>
          <w:rFonts w:cs="Arial"/>
          <w:bCs/>
          <w:sz w:val="20"/>
          <w:szCs w:val="20"/>
        </w:rPr>
      </w:pPr>
    </w:p>
    <w:p w14:paraId="2ED12EC9" w14:textId="5DDD497A" w:rsidR="007D0485" w:rsidRDefault="007973AC" w:rsidP="000C2A54">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Increase</w:t>
      </w:r>
      <w:r w:rsidR="00930D7D">
        <w:rPr>
          <w:rFonts w:cs="Arial"/>
          <w:bCs/>
          <w:sz w:val="20"/>
          <w:szCs w:val="20"/>
        </w:rPr>
        <w:t>/(Decrease)</w:t>
      </w:r>
      <w:r w:rsidR="000C2A54" w:rsidRPr="006C7E49">
        <w:rPr>
          <w:rFonts w:cs="Arial"/>
          <w:bCs/>
          <w:sz w:val="20"/>
          <w:szCs w:val="20"/>
        </w:rPr>
        <w:t xml:space="preserve"> in trade payables</w:t>
      </w:r>
      <w:r w:rsidR="000C2A54" w:rsidRPr="006C7E49">
        <w:rPr>
          <w:rFonts w:cs="Arial"/>
          <w:bCs/>
          <w:sz w:val="20"/>
          <w:szCs w:val="20"/>
        </w:rPr>
        <w:tab/>
      </w:r>
      <w:r w:rsidR="000C2A54" w:rsidRPr="006C7E49">
        <w:rPr>
          <w:rFonts w:cs="Arial"/>
          <w:b/>
          <w:bCs/>
          <w:sz w:val="20"/>
          <w:szCs w:val="20"/>
        </w:rPr>
        <w:t>1</w:t>
      </w:r>
      <w:r w:rsidR="00FA67ED">
        <w:rPr>
          <w:rFonts w:cs="Arial"/>
          <w:b/>
          <w:bCs/>
          <w:sz w:val="20"/>
          <w:szCs w:val="20"/>
        </w:rPr>
        <w:t>2</w:t>
      </w:r>
      <w:r w:rsidR="000C2A54" w:rsidRPr="006C7E49">
        <w:rPr>
          <w:rFonts w:cs="Arial"/>
          <w:bCs/>
          <w:sz w:val="20"/>
          <w:szCs w:val="20"/>
        </w:rPr>
        <w:tab/>
      </w:r>
      <w:r w:rsidR="00024A9C">
        <w:rPr>
          <w:rFonts w:cs="Arial"/>
          <w:bCs/>
          <w:sz w:val="20"/>
          <w:szCs w:val="20"/>
        </w:rPr>
        <w:t>1</w:t>
      </w:r>
      <w:r w:rsidR="00034AE8">
        <w:rPr>
          <w:rFonts w:cs="Arial"/>
          <w:bCs/>
          <w:sz w:val="20"/>
          <w:szCs w:val="20"/>
        </w:rPr>
        <w:t>30</w:t>
      </w:r>
      <w:r w:rsidR="00024A9C">
        <w:rPr>
          <w:rFonts w:cs="Arial"/>
          <w:bCs/>
          <w:sz w:val="20"/>
          <w:szCs w:val="20"/>
        </w:rPr>
        <w:t>,</w:t>
      </w:r>
      <w:r w:rsidR="00034AE8">
        <w:rPr>
          <w:rFonts w:cs="Arial"/>
          <w:bCs/>
          <w:sz w:val="20"/>
          <w:szCs w:val="20"/>
        </w:rPr>
        <w:t>968</w:t>
      </w:r>
      <w:r w:rsidR="000C2A54" w:rsidRPr="006C7E49">
        <w:rPr>
          <w:rFonts w:cs="Arial"/>
          <w:bCs/>
          <w:sz w:val="20"/>
          <w:szCs w:val="20"/>
        </w:rPr>
        <w:tab/>
      </w:r>
      <w:r w:rsidR="00545EEE">
        <w:rPr>
          <w:rFonts w:cs="Arial"/>
          <w:bCs/>
          <w:sz w:val="20"/>
          <w:szCs w:val="20"/>
        </w:rPr>
        <w:t>106,038</w:t>
      </w:r>
    </w:p>
    <w:p w14:paraId="7278369D" w14:textId="77777777" w:rsidR="00B479EA" w:rsidRPr="00B479EA" w:rsidRDefault="00B479EA" w:rsidP="000C2A54">
      <w:pPr>
        <w:widowControl w:val="0"/>
        <w:tabs>
          <w:tab w:val="center" w:pos="5160"/>
          <w:tab w:val="right" w:pos="7371"/>
          <w:tab w:val="right" w:pos="9071"/>
        </w:tabs>
        <w:autoSpaceDE w:val="0"/>
        <w:autoSpaceDN w:val="0"/>
        <w:adjustRightInd w:val="0"/>
        <w:rPr>
          <w:rFonts w:cs="Arial"/>
          <w:bCs/>
          <w:iCs/>
          <w:sz w:val="20"/>
          <w:szCs w:val="20"/>
        </w:rPr>
      </w:pPr>
    </w:p>
    <w:p w14:paraId="15D8FCC4" w14:textId="77777777" w:rsidR="007D0485" w:rsidRDefault="007B768A" w:rsidP="007D0485">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Depreciation, a</w:t>
      </w:r>
      <w:r w:rsidR="007D0485">
        <w:rPr>
          <w:rFonts w:cs="Arial"/>
          <w:bCs/>
          <w:sz w:val="20"/>
          <w:szCs w:val="20"/>
        </w:rPr>
        <w:t xml:space="preserve">mortisation and </w:t>
      </w:r>
    </w:p>
    <w:p w14:paraId="4065B036" w14:textId="7CA82EE9" w:rsidR="007D0485" w:rsidRDefault="007B768A" w:rsidP="007D0485">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i</w:t>
      </w:r>
      <w:r w:rsidR="007D0485">
        <w:rPr>
          <w:rFonts w:cs="Arial"/>
          <w:bCs/>
          <w:sz w:val="20"/>
          <w:szCs w:val="20"/>
        </w:rPr>
        <w:t>mpairment</w:t>
      </w:r>
      <w:r w:rsidR="007D0485">
        <w:rPr>
          <w:rFonts w:cs="Arial"/>
          <w:bCs/>
          <w:sz w:val="20"/>
          <w:szCs w:val="20"/>
        </w:rPr>
        <w:tab/>
      </w:r>
      <w:r w:rsidR="007D0485">
        <w:rPr>
          <w:rFonts w:cs="Arial"/>
          <w:b/>
          <w:bCs/>
          <w:sz w:val="20"/>
          <w:szCs w:val="20"/>
        </w:rPr>
        <w:t>4</w:t>
      </w:r>
      <w:r w:rsidR="007D0485">
        <w:rPr>
          <w:rFonts w:cs="Arial"/>
          <w:b/>
          <w:bCs/>
          <w:sz w:val="20"/>
          <w:szCs w:val="20"/>
        </w:rPr>
        <w:tab/>
      </w:r>
      <w:r w:rsidR="00024A9C">
        <w:rPr>
          <w:rFonts w:cs="Arial"/>
          <w:bCs/>
          <w:sz w:val="20"/>
          <w:szCs w:val="20"/>
        </w:rPr>
        <w:t>10</w:t>
      </w:r>
      <w:r w:rsidR="00034AE8">
        <w:rPr>
          <w:rFonts w:cs="Arial"/>
          <w:bCs/>
          <w:sz w:val="20"/>
          <w:szCs w:val="20"/>
        </w:rPr>
        <w:t>5</w:t>
      </w:r>
      <w:r w:rsidR="00024A9C">
        <w:rPr>
          <w:rFonts w:cs="Arial"/>
          <w:bCs/>
          <w:sz w:val="20"/>
          <w:szCs w:val="20"/>
        </w:rPr>
        <w:t>,</w:t>
      </w:r>
      <w:r w:rsidR="00034AE8">
        <w:rPr>
          <w:rFonts w:cs="Arial"/>
          <w:bCs/>
          <w:sz w:val="20"/>
          <w:szCs w:val="20"/>
        </w:rPr>
        <w:t>149</w:t>
      </w:r>
      <w:r w:rsidR="00E916F9">
        <w:rPr>
          <w:rFonts w:cs="Arial"/>
          <w:bCs/>
          <w:sz w:val="20"/>
          <w:szCs w:val="20"/>
        </w:rPr>
        <w:tab/>
      </w:r>
      <w:r w:rsidR="00545EEE">
        <w:rPr>
          <w:rFonts w:cs="Arial"/>
          <w:bCs/>
          <w:sz w:val="20"/>
          <w:szCs w:val="20"/>
        </w:rPr>
        <w:t>100</w:t>
      </w:r>
      <w:r w:rsidR="00024A9C">
        <w:rPr>
          <w:rFonts w:cs="Arial"/>
          <w:bCs/>
          <w:sz w:val="20"/>
          <w:szCs w:val="20"/>
        </w:rPr>
        <w:t>,</w:t>
      </w:r>
      <w:r w:rsidR="00545EEE">
        <w:rPr>
          <w:rFonts w:cs="Arial"/>
          <w:bCs/>
          <w:sz w:val="20"/>
          <w:szCs w:val="20"/>
        </w:rPr>
        <w:t>461</w:t>
      </w:r>
    </w:p>
    <w:p w14:paraId="1825ECA0" w14:textId="77777777" w:rsidR="00A90C64" w:rsidRDefault="00A90C64" w:rsidP="007D0485">
      <w:pPr>
        <w:widowControl w:val="0"/>
        <w:tabs>
          <w:tab w:val="center" w:pos="5160"/>
          <w:tab w:val="right" w:pos="7371"/>
          <w:tab w:val="right" w:pos="9072"/>
        </w:tabs>
        <w:autoSpaceDE w:val="0"/>
        <w:autoSpaceDN w:val="0"/>
        <w:adjustRightInd w:val="0"/>
        <w:rPr>
          <w:rFonts w:cs="Arial"/>
          <w:bCs/>
          <w:sz w:val="20"/>
          <w:szCs w:val="20"/>
        </w:rPr>
      </w:pPr>
    </w:p>
    <w:p w14:paraId="21E7B91A" w14:textId="662E0723" w:rsidR="000C2A54" w:rsidRPr="006C7E49" w:rsidRDefault="00024A9C" w:rsidP="000C2A54">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Depreciation on Right-of-Use Assets</w:t>
      </w:r>
      <w:r w:rsidR="000C2A54" w:rsidRPr="006C7E49">
        <w:rPr>
          <w:rFonts w:cs="Arial"/>
          <w:bCs/>
          <w:sz w:val="20"/>
          <w:szCs w:val="20"/>
        </w:rPr>
        <w:tab/>
      </w:r>
      <w:r w:rsidR="001515FF">
        <w:rPr>
          <w:rFonts w:cs="Arial"/>
          <w:b/>
          <w:bCs/>
          <w:sz w:val="20"/>
          <w:szCs w:val="20"/>
        </w:rPr>
        <w:t>4</w:t>
      </w:r>
      <w:r w:rsidR="000C2A54" w:rsidRPr="006C7E49">
        <w:rPr>
          <w:rFonts w:cs="Arial"/>
          <w:bCs/>
          <w:sz w:val="20"/>
          <w:szCs w:val="20"/>
        </w:rPr>
        <w:tab/>
      </w:r>
      <w:r w:rsidR="009F599C">
        <w:rPr>
          <w:rFonts w:cs="Arial"/>
          <w:bCs/>
          <w:sz w:val="20"/>
          <w:szCs w:val="20"/>
        </w:rPr>
        <w:t>75,431</w:t>
      </w:r>
      <w:r w:rsidR="000C2A54" w:rsidRPr="006C7E49">
        <w:rPr>
          <w:rFonts w:cs="Arial"/>
          <w:bCs/>
          <w:sz w:val="20"/>
          <w:szCs w:val="20"/>
        </w:rPr>
        <w:tab/>
      </w:r>
      <w:r w:rsidR="00545EEE">
        <w:rPr>
          <w:rFonts w:cs="Arial"/>
          <w:bCs/>
          <w:sz w:val="20"/>
          <w:szCs w:val="20"/>
        </w:rPr>
        <w:t>75,431</w:t>
      </w:r>
    </w:p>
    <w:p w14:paraId="51B4E333" w14:textId="77777777" w:rsidR="000C2A54" w:rsidRPr="006C7E49" w:rsidRDefault="000C2A54" w:rsidP="000C2A54">
      <w:pPr>
        <w:widowControl w:val="0"/>
        <w:tabs>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237D03AE" w14:textId="36CF2887"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Net cash outflow from operating activities</w:t>
      </w:r>
      <w:r w:rsidR="006C7E49">
        <w:rPr>
          <w:rFonts w:cs="Arial"/>
          <w:b/>
          <w:bCs/>
          <w:sz w:val="20"/>
          <w:szCs w:val="20"/>
        </w:rPr>
        <w:tab/>
      </w:r>
      <w:r w:rsidRPr="006C7E49">
        <w:rPr>
          <w:rFonts w:cs="Arial"/>
          <w:b/>
          <w:bCs/>
          <w:sz w:val="20"/>
          <w:szCs w:val="20"/>
        </w:rPr>
        <w:tab/>
      </w:r>
      <w:r w:rsidR="00713362">
        <w:rPr>
          <w:rFonts w:cs="Arial"/>
          <w:b/>
          <w:bCs/>
          <w:sz w:val="20"/>
          <w:szCs w:val="20"/>
        </w:rPr>
        <w:t>(</w:t>
      </w:r>
      <w:r w:rsidR="00E916F9">
        <w:rPr>
          <w:rFonts w:cs="Arial"/>
          <w:b/>
          <w:bCs/>
          <w:sz w:val="20"/>
          <w:szCs w:val="20"/>
        </w:rPr>
        <w:t>2,</w:t>
      </w:r>
      <w:r w:rsidR="00034AE8">
        <w:rPr>
          <w:rFonts w:cs="Arial"/>
          <w:b/>
          <w:bCs/>
          <w:sz w:val="20"/>
          <w:szCs w:val="20"/>
        </w:rPr>
        <w:t>393</w:t>
      </w:r>
      <w:r w:rsidR="009F599C">
        <w:rPr>
          <w:rFonts w:cs="Arial"/>
          <w:b/>
          <w:bCs/>
          <w:sz w:val="20"/>
          <w:szCs w:val="20"/>
        </w:rPr>
        <w:t>,</w:t>
      </w:r>
      <w:r w:rsidR="00034AE8">
        <w:rPr>
          <w:rFonts w:cs="Arial"/>
          <w:b/>
          <w:bCs/>
          <w:sz w:val="20"/>
          <w:szCs w:val="20"/>
        </w:rPr>
        <w:t>12</w:t>
      </w:r>
      <w:r w:rsidR="004A0497">
        <w:rPr>
          <w:rFonts w:cs="Arial"/>
          <w:b/>
          <w:bCs/>
          <w:sz w:val="20"/>
          <w:szCs w:val="20"/>
        </w:rPr>
        <w:t>6</w:t>
      </w:r>
      <w:r w:rsidR="007973AC" w:rsidRPr="00B55299">
        <w:rPr>
          <w:rFonts w:cs="Arial"/>
          <w:b/>
          <w:bCs/>
          <w:sz w:val="20"/>
          <w:szCs w:val="20"/>
        </w:rPr>
        <w:t>)</w:t>
      </w:r>
      <w:r w:rsidRPr="006C7E49">
        <w:rPr>
          <w:rFonts w:cs="Arial"/>
          <w:b/>
          <w:bCs/>
          <w:sz w:val="20"/>
          <w:szCs w:val="20"/>
        </w:rPr>
        <w:tab/>
        <w:t>(</w:t>
      </w:r>
      <w:r w:rsidR="00024A9C">
        <w:rPr>
          <w:rFonts w:cs="Arial"/>
          <w:b/>
          <w:bCs/>
          <w:sz w:val="20"/>
          <w:szCs w:val="20"/>
        </w:rPr>
        <w:t>2,</w:t>
      </w:r>
      <w:r w:rsidR="00B37FF3">
        <w:rPr>
          <w:rFonts w:cs="Arial"/>
          <w:b/>
          <w:bCs/>
          <w:sz w:val="20"/>
          <w:szCs w:val="20"/>
        </w:rPr>
        <w:t>190</w:t>
      </w:r>
      <w:r w:rsidR="00024A9C">
        <w:rPr>
          <w:rFonts w:cs="Arial"/>
          <w:b/>
          <w:bCs/>
          <w:sz w:val="20"/>
          <w:szCs w:val="20"/>
        </w:rPr>
        <w:t>,5</w:t>
      </w:r>
      <w:r w:rsidR="00B37FF3">
        <w:rPr>
          <w:rFonts w:cs="Arial"/>
          <w:b/>
          <w:bCs/>
          <w:sz w:val="20"/>
          <w:szCs w:val="20"/>
        </w:rPr>
        <w:t>7</w:t>
      </w:r>
      <w:r w:rsidR="00024A9C">
        <w:rPr>
          <w:rFonts w:cs="Arial"/>
          <w:b/>
          <w:bCs/>
          <w:sz w:val="20"/>
          <w:szCs w:val="20"/>
        </w:rPr>
        <w:t>5</w:t>
      </w:r>
      <w:r w:rsidRPr="006C7E49">
        <w:rPr>
          <w:rFonts w:cs="Arial"/>
          <w:b/>
          <w:bCs/>
          <w:sz w:val="20"/>
          <w:szCs w:val="20"/>
        </w:rPr>
        <w:t>)</w:t>
      </w:r>
    </w:p>
    <w:p w14:paraId="0E02F01F" w14:textId="77777777" w:rsidR="000C2A54" w:rsidRPr="006C7E49" w:rsidRDefault="000C2A54" w:rsidP="000C2A54">
      <w:pPr>
        <w:widowControl w:val="0"/>
        <w:tabs>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21C29ACC" w14:textId="77777777" w:rsidR="000C2A54" w:rsidRPr="006C7E49" w:rsidRDefault="000C2A54" w:rsidP="000C2A54">
      <w:pPr>
        <w:widowControl w:val="0"/>
        <w:tabs>
          <w:tab w:val="center" w:pos="5670"/>
          <w:tab w:val="right" w:pos="7371"/>
          <w:tab w:val="right" w:pos="9071"/>
        </w:tabs>
        <w:autoSpaceDE w:val="0"/>
        <w:autoSpaceDN w:val="0"/>
        <w:adjustRightInd w:val="0"/>
        <w:rPr>
          <w:rFonts w:cs="Arial"/>
          <w:sz w:val="20"/>
          <w:szCs w:val="20"/>
        </w:rPr>
      </w:pPr>
    </w:p>
    <w:p w14:paraId="41B94D2A" w14:textId="77777777" w:rsidR="000C2A54" w:rsidRPr="006C7E49" w:rsidRDefault="007B768A" w:rsidP="000C2A54">
      <w:pPr>
        <w:widowControl w:val="0"/>
        <w:tabs>
          <w:tab w:val="center" w:pos="5160"/>
          <w:tab w:val="right" w:pos="7371"/>
          <w:tab w:val="right" w:pos="9071"/>
        </w:tabs>
        <w:autoSpaceDE w:val="0"/>
        <w:autoSpaceDN w:val="0"/>
        <w:adjustRightInd w:val="0"/>
        <w:rPr>
          <w:rFonts w:cs="Arial"/>
          <w:bCs/>
          <w:sz w:val="20"/>
          <w:szCs w:val="20"/>
        </w:rPr>
      </w:pPr>
      <w:r>
        <w:rPr>
          <w:rFonts w:cs="Arial"/>
          <w:b/>
          <w:bCs/>
          <w:sz w:val="20"/>
          <w:szCs w:val="20"/>
        </w:rPr>
        <w:t>Cash flows from investing</w:t>
      </w:r>
      <w:r w:rsidR="000C2A54" w:rsidRPr="006C7E49">
        <w:rPr>
          <w:rFonts w:cs="Arial"/>
          <w:b/>
          <w:bCs/>
          <w:sz w:val="20"/>
          <w:szCs w:val="20"/>
        </w:rPr>
        <w:t xml:space="preserve"> activities </w:t>
      </w:r>
      <w:r w:rsidR="000C2A54" w:rsidRPr="006C7E49">
        <w:rPr>
          <w:rFonts w:cs="Arial"/>
          <w:b/>
          <w:bCs/>
          <w:sz w:val="20"/>
          <w:szCs w:val="20"/>
        </w:rPr>
        <w:tab/>
      </w:r>
      <w:r w:rsidR="000C2A54" w:rsidRPr="006C7E49">
        <w:rPr>
          <w:rFonts w:cs="Arial"/>
          <w:b/>
          <w:bCs/>
          <w:sz w:val="20"/>
          <w:szCs w:val="20"/>
        </w:rPr>
        <w:tab/>
      </w:r>
    </w:p>
    <w:p w14:paraId="7CD221EA" w14:textId="1C3368A6" w:rsidR="007B699D"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Cs/>
          <w:sz w:val="20"/>
          <w:szCs w:val="20"/>
        </w:rPr>
        <w:t>Purchase of property, plant and equipment</w:t>
      </w:r>
      <w:r w:rsidRPr="006C7E49">
        <w:rPr>
          <w:rFonts w:cs="Arial"/>
          <w:bCs/>
          <w:sz w:val="20"/>
          <w:szCs w:val="20"/>
        </w:rPr>
        <w:tab/>
      </w:r>
      <w:r w:rsidR="00D40995" w:rsidRPr="007D0485">
        <w:rPr>
          <w:rFonts w:cs="Arial"/>
          <w:b/>
          <w:bCs/>
          <w:sz w:val="20"/>
          <w:szCs w:val="20"/>
        </w:rPr>
        <w:t>6</w:t>
      </w:r>
      <w:r w:rsidRPr="006C7E49">
        <w:rPr>
          <w:rFonts w:cs="Arial"/>
          <w:bCs/>
          <w:sz w:val="20"/>
          <w:szCs w:val="20"/>
        </w:rPr>
        <w:tab/>
      </w:r>
      <w:r w:rsidR="0025644E">
        <w:rPr>
          <w:rFonts w:cs="Arial"/>
          <w:bCs/>
          <w:sz w:val="20"/>
          <w:szCs w:val="20"/>
        </w:rPr>
        <w:t>(28,970)</w:t>
      </w:r>
      <w:r w:rsidRPr="006C7E49">
        <w:rPr>
          <w:rFonts w:cs="Arial"/>
          <w:bCs/>
          <w:sz w:val="20"/>
          <w:szCs w:val="20"/>
        </w:rPr>
        <w:tab/>
      </w:r>
      <w:r w:rsidR="00B37FF3">
        <w:rPr>
          <w:rFonts w:cs="Arial"/>
          <w:bCs/>
          <w:sz w:val="20"/>
          <w:szCs w:val="20"/>
        </w:rPr>
        <w:t>0</w:t>
      </w:r>
    </w:p>
    <w:p w14:paraId="60B4BC0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109D344E" w14:textId="216E80C8" w:rsidR="000C2A54" w:rsidRPr="006C7E49" w:rsidRDefault="000C2A54" w:rsidP="000C2A54">
      <w:pPr>
        <w:widowControl w:val="0"/>
        <w:tabs>
          <w:tab w:val="center" w:pos="5160"/>
          <w:tab w:val="right" w:pos="7371"/>
          <w:tab w:val="right" w:pos="9071"/>
        </w:tabs>
        <w:autoSpaceDE w:val="0"/>
        <w:autoSpaceDN w:val="0"/>
        <w:adjustRightInd w:val="0"/>
        <w:rPr>
          <w:rFonts w:cs="Arial"/>
          <w:bCs/>
          <w:sz w:val="20"/>
          <w:szCs w:val="20"/>
        </w:rPr>
      </w:pPr>
      <w:r w:rsidRPr="006C7E49">
        <w:rPr>
          <w:rFonts w:cs="Arial"/>
          <w:b/>
          <w:bCs/>
          <w:sz w:val="20"/>
          <w:szCs w:val="20"/>
        </w:rPr>
        <w:t>Net cash outflow from investing activities</w:t>
      </w:r>
      <w:r w:rsidR="003061F1">
        <w:rPr>
          <w:rFonts w:cs="Arial"/>
          <w:b/>
          <w:bCs/>
          <w:sz w:val="20"/>
          <w:szCs w:val="20"/>
        </w:rPr>
        <w:tab/>
      </w:r>
      <w:r w:rsidRPr="006C7E49">
        <w:rPr>
          <w:rFonts w:cs="Arial"/>
          <w:bCs/>
          <w:sz w:val="20"/>
          <w:szCs w:val="20"/>
        </w:rPr>
        <w:tab/>
      </w:r>
      <w:r w:rsidR="0025644E">
        <w:rPr>
          <w:rFonts w:cs="Arial"/>
          <w:b/>
          <w:bCs/>
          <w:sz w:val="20"/>
          <w:szCs w:val="20"/>
        </w:rPr>
        <w:t>(28,970)</w:t>
      </w:r>
      <w:r w:rsidRPr="006C7E49">
        <w:rPr>
          <w:rFonts w:cs="Arial"/>
          <w:b/>
          <w:bCs/>
          <w:sz w:val="20"/>
          <w:szCs w:val="20"/>
        </w:rPr>
        <w:tab/>
      </w:r>
      <w:r w:rsidR="00B37FF3">
        <w:rPr>
          <w:rFonts w:cs="Arial"/>
          <w:b/>
          <w:bCs/>
          <w:sz w:val="20"/>
          <w:szCs w:val="20"/>
        </w:rPr>
        <w:t>0</w:t>
      </w:r>
    </w:p>
    <w:p w14:paraId="79EC41D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77A5D294" w14:textId="77777777"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p>
    <w:p w14:paraId="2F8C6816" w14:textId="5C6C2CBE" w:rsidR="00C6005E" w:rsidRDefault="000C2A54" w:rsidP="000C2A54">
      <w:pPr>
        <w:widowControl w:val="0"/>
        <w:tabs>
          <w:tab w:val="center" w:pos="5160"/>
          <w:tab w:val="right" w:pos="7371"/>
          <w:tab w:val="right" w:pos="9072"/>
        </w:tabs>
        <w:autoSpaceDE w:val="0"/>
        <w:autoSpaceDN w:val="0"/>
        <w:adjustRightInd w:val="0"/>
        <w:rPr>
          <w:rFonts w:cs="Arial"/>
          <w:b/>
          <w:bCs/>
          <w:sz w:val="20"/>
          <w:szCs w:val="20"/>
        </w:rPr>
      </w:pPr>
      <w:r w:rsidRPr="006C7E49">
        <w:rPr>
          <w:rFonts w:cs="Arial"/>
          <w:b/>
          <w:bCs/>
          <w:sz w:val="20"/>
          <w:szCs w:val="20"/>
        </w:rPr>
        <w:t>Cash flow</w:t>
      </w:r>
      <w:r w:rsidR="002D47AF">
        <w:rPr>
          <w:rFonts w:cs="Arial"/>
          <w:b/>
          <w:bCs/>
          <w:sz w:val="20"/>
          <w:szCs w:val="20"/>
        </w:rPr>
        <w:t>s</w:t>
      </w:r>
      <w:r w:rsidRPr="006C7E49">
        <w:rPr>
          <w:rFonts w:cs="Arial"/>
          <w:b/>
          <w:bCs/>
          <w:sz w:val="20"/>
          <w:szCs w:val="20"/>
        </w:rPr>
        <w:t xml:space="preserve"> from financing activities</w:t>
      </w:r>
    </w:p>
    <w:p w14:paraId="05C7C141" w14:textId="6FDD1673" w:rsidR="00963A97" w:rsidRDefault="00C6005E" w:rsidP="000C2A54">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Funding from parent department</w:t>
      </w:r>
      <w:r w:rsidR="00963A97">
        <w:rPr>
          <w:rFonts w:cs="Arial"/>
          <w:bCs/>
          <w:sz w:val="20"/>
          <w:szCs w:val="20"/>
        </w:rPr>
        <w:tab/>
        <w:t xml:space="preserve">                                           2,</w:t>
      </w:r>
      <w:r w:rsidR="0025644E">
        <w:rPr>
          <w:rFonts w:cs="Arial"/>
          <w:bCs/>
          <w:sz w:val="20"/>
          <w:szCs w:val="20"/>
        </w:rPr>
        <w:t>908</w:t>
      </w:r>
      <w:r w:rsidR="00963A97">
        <w:rPr>
          <w:rFonts w:cs="Arial"/>
          <w:bCs/>
          <w:sz w:val="20"/>
          <w:szCs w:val="20"/>
        </w:rPr>
        <w:t>,</w:t>
      </w:r>
      <w:r w:rsidR="0025644E">
        <w:rPr>
          <w:rFonts w:cs="Arial"/>
          <w:bCs/>
          <w:sz w:val="20"/>
          <w:szCs w:val="20"/>
        </w:rPr>
        <w:t>834</w:t>
      </w:r>
      <w:r w:rsidR="00963A97">
        <w:rPr>
          <w:rFonts w:cs="Arial"/>
          <w:bCs/>
          <w:sz w:val="20"/>
          <w:szCs w:val="20"/>
        </w:rPr>
        <w:t xml:space="preserve">         2,</w:t>
      </w:r>
      <w:r w:rsidR="00B37FF3">
        <w:rPr>
          <w:rFonts w:cs="Arial"/>
          <w:bCs/>
          <w:sz w:val="20"/>
          <w:szCs w:val="20"/>
        </w:rPr>
        <w:t>281</w:t>
      </w:r>
      <w:r w:rsidR="00963A97">
        <w:rPr>
          <w:rFonts w:cs="Arial"/>
          <w:bCs/>
          <w:sz w:val="20"/>
          <w:szCs w:val="20"/>
        </w:rPr>
        <w:t>,</w:t>
      </w:r>
      <w:r w:rsidR="00B37FF3">
        <w:rPr>
          <w:rFonts w:cs="Arial"/>
          <w:bCs/>
          <w:sz w:val="20"/>
          <w:szCs w:val="20"/>
        </w:rPr>
        <w:t>391</w:t>
      </w:r>
    </w:p>
    <w:p w14:paraId="6038049A" w14:textId="0A9A71F6" w:rsidR="002D47AF" w:rsidRDefault="002D47AF" w:rsidP="000C2A54">
      <w:pPr>
        <w:widowControl w:val="0"/>
        <w:tabs>
          <w:tab w:val="center" w:pos="5160"/>
          <w:tab w:val="right" w:pos="7371"/>
          <w:tab w:val="right" w:pos="9072"/>
        </w:tabs>
        <w:autoSpaceDE w:val="0"/>
        <w:autoSpaceDN w:val="0"/>
        <w:adjustRightInd w:val="0"/>
        <w:rPr>
          <w:rFonts w:cs="Arial"/>
          <w:bCs/>
          <w:sz w:val="20"/>
          <w:szCs w:val="20"/>
        </w:rPr>
      </w:pPr>
      <w:r>
        <w:rPr>
          <w:rFonts w:cs="Arial"/>
          <w:bCs/>
          <w:sz w:val="20"/>
          <w:szCs w:val="20"/>
        </w:rPr>
        <w:t>Interest Receivable</w:t>
      </w:r>
      <w:r>
        <w:rPr>
          <w:rFonts w:cs="Arial"/>
          <w:bCs/>
          <w:sz w:val="20"/>
          <w:szCs w:val="20"/>
        </w:rPr>
        <w:tab/>
      </w:r>
      <w:r>
        <w:rPr>
          <w:rFonts w:cs="Arial"/>
          <w:bCs/>
          <w:sz w:val="20"/>
          <w:szCs w:val="20"/>
        </w:rPr>
        <w:tab/>
      </w:r>
      <w:r w:rsidR="0025644E">
        <w:rPr>
          <w:rFonts w:cs="Arial"/>
          <w:bCs/>
          <w:sz w:val="20"/>
          <w:szCs w:val="20"/>
        </w:rPr>
        <w:t>26</w:t>
      </w:r>
      <w:r>
        <w:rPr>
          <w:rFonts w:cs="Arial"/>
          <w:bCs/>
          <w:sz w:val="20"/>
          <w:szCs w:val="20"/>
        </w:rPr>
        <w:t>,</w:t>
      </w:r>
      <w:r w:rsidR="0025644E">
        <w:rPr>
          <w:rFonts w:cs="Arial"/>
          <w:bCs/>
          <w:sz w:val="20"/>
          <w:szCs w:val="20"/>
        </w:rPr>
        <w:t>433</w:t>
      </w:r>
      <w:r>
        <w:rPr>
          <w:rFonts w:cs="Arial"/>
          <w:bCs/>
          <w:sz w:val="20"/>
          <w:szCs w:val="20"/>
        </w:rPr>
        <w:tab/>
      </w:r>
      <w:r w:rsidR="00B37FF3">
        <w:rPr>
          <w:rFonts w:cs="Arial"/>
          <w:bCs/>
          <w:sz w:val="20"/>
          <w:szCs w:val="20"/>
        </w:rPr>
        <w:t>3,810</w:t>
      </w:r>
    </w:p>
    <w:p w14:paraId="3881D242" w14:textId="56689C07" w:rsidR="000C2A54" w:rsidRDefault="00963A97" w:rsidP="000C2A54">
      <w:pPr>
        <w:widowControl w:val="0"/>
        <w:tabs>
          <w:tab w:val="center" w:pos="5160"/>
          <w:tab w:val="right" w:pos="7371"/>
          <w:tab w:val="right" w:pos="9072"/>
        </w:tabs>
        <w:autoSpaceDE w:val="0"/>
        <w:autoSpaceDN w:val="0"/>
        <w:adjustRightInd w:val="0"/>
        <w:rPr>
          <w:rFonts w:cs="Arial"/>
          <w:bCs/>
          <w:sz w:val="20"/>
          <w:szCs w:val="20"/>
        </w:rPr>
      </w:pPr>
      <w:r>
        <w:rPr>
          <w:rFonts w:cs="Arial"/>
          <w:sz w:val="20"/>
          <w:szCs w:val="20"/>
        </w:rPr>
        <w:t>Payments of lease liabilities</w:t>
      </w:r>
      <w:r w:rsidR="000C2A54" w:rsidRPr="006C7E49">
        <w:rPr>
          <w:rFonts w:cs="Arial"/>
          <w:b/>
          <w:bCs/>
          <w:sz w:val="20"/>
          <w:szCs w:val="20"/>
        </w:rPr>
        <w:tab/>
      </w:r>
      <w:r w:rsidR="00A6613F">
        <w:rPr>
          <w:rFonts w:cs="Arial"/>
          <w:b/>
          <w:bCs/>
          <w:sz w:val="20"/>
          <w:szCs w:val="20"/>
        </w:rPr>
        <w:t>7</w:t>
      </w:r>
      <w:r w:rsidR="000C2A54" w:rsidRPr="006C7E49">
        <w:rPr>
          <w:rFonts w:cs="Arial"/>
          <w:b/>
          <w:bCs/>
          <w:sz w:val="20"/>
          <w:szCs w:val="20"/>
        </w:rPr>
        <w:tab/>
      </w:r>
      <w:r w:rsidR="00FA67ED">
        <w:rPr>
          <w:rFonts w:cs="Arial"/>
          <w:bCs/>
          <w:sz w:val="20"/>
          <w:szCs w:val="20"/>
        </w:rPr>
        <w:t>(</w:t>
      </w:r>
      <w:r w:rsidR="009F599C">
        <w:rPr>
          <w:rFonts w:cs="Arial"/>
          <w:bCs/>
          <w:sz w:val="20"/>
          <w:szCs w:val="20"/>
        </w:rPr>
        <w:t>7</w:t>
      </w:r>
      <w:r w:rsidR="0025644E">
        <w:rPr>
          <w:rFonts w:cs="Arial"/>
          <w:bCs/>
          <w:sz w:val="20"/>
          <w:szCs w:val="20"/>
        </w:rPr>
        <w:t>3</w:t>
      </w:r>
      <w:r w:rsidR="009F599C">
        <w:rPr>
          <w:rFonts w:cs="Arial"/>
          <w:bCs/>
          <w:sz w:val="20"/>
          <w:szCs w:val="20"/>
        </w:rPr>
        <w:t>,</w:t>
      </w:r>
      <w:r w:rsidR="0025644E">
        <w:rPr>
          <w:rFonts w:cs="Arial"/>
          <w:bCs/>
          <w:sz w:val="20"/>
          <w:szCs w:val="20"/>
        </w:rPr>
        <w:t>107</w:t>
      </w:r>
      <w:r w:rsidR="00FA67ED">
        <w:rPr>
          <w:rFonts w:cs="Arial"/>
          <w:bCs/>
          <w:sz w:val="20"/>
          <w:szCs w:val="20"/>
        </w:rPr>
        <w:t>)</w:t>
      </w:r>
      <w:r w:rsidR="000C2A54" w:rsidRPr="006C7E49">
        <w:rPr>
          <w:rFonts w:cs="Arial"/>
          <w:b/>
          <w:bCs/>
          <w:sz w:val="20"/>
          <w:szCs w:val="20"/>
        </w:rPr>
        <w:tab/>
      </w:r>
      <w:r w:rsidR="00B37FF3">
        <w:rPr>
          <w:rFonts w:cs="Arial"/>
          <w:bCs/>
          <w:sz w:val="20"/>
          <w:szCs w:val="20"/>
        </w:rPr>
        <w:t>(72,190)</w:t>
      </w:r>
    </w:p>
    <w:p w14:paraId="342D3750" w14:textId="0636A86A" w:rsidR="002D47AF" w:rsidRPr="006C7E49" w:rsidRDefault="002D47AF" w:rsidP="002D47AF">
      <w:pPr>
        <w:widowControl w:val="0"/>
        <w:tabs>
          <w:tab w:val="center" w:pos="5160"/>
          <w:tab w:val="right" w:pos="7371"/>
          <w:tab w:val="right" w:pos="9071"/>
        </w:tabs>
        <w:autoSpaceDE w:val="0"/>
        <w:autoSpaceDN w:val="0"/>
        <w:adjustRightInd w:val="0"/>
        <w:rPr>
          <w:rFonts w:cs="Arial"/>
          <w:bCs/>
          <w:sz w:val="20"/>
          <w:szCs w:val="20"/>
        </w:rPr>
      </w:pPr>
      <w:r>
        <w:rPr>
          <w:rFonts w:cs="Arial"/>
          <w:bCs/>
          <w:sz w:val="20"/>
          <w:szCs w:val="20"/>
        </w:rPr>
        <w:t>Finance expense on lease liabilities</w:t>
      </w:r>
      <w:r>
        <w:rPr>
          <w:rFonts w:cs="Arial"/>
          <w:bCs/>
          <w:sz w:val="20"/>
          <w:szCs w:val="20"/>
        </w:rPr>
        <w:tab/>
      </w:r>
      <w:r w:rsidR="00A6613F">
        <w:rPr>
          <w:rFonts w:cs="Arial"/>
          <w:b/>
          <w:sz w:val="20"/>
          <w:szCs w:val="20"/>
        </w:rPr>
        <w:t>4</w:t>
      </w:r>
      <w:r>
        <w:rPr>
          <w:rFonts w:cs="Arial"/>
          <w:bCs/>
          <w:sz w:val="20"/>
          <w:szCs w:val="20"/>
        </w:rPr>
        <w:tab/>
        <w:t>(</w:t>
      </w:r>
      <w:r w:rsidR="0025644E">
        <w:rPr>
          <w:rFonts w:cs="Arial"/>
          <w:bCs/>
          <w:sz w:val="20"/>
          <w:szCs w:val="20"/>
        </w:rPr>
        <w:t>6</w:t>
      </w:r>
      <w:r w:rsidR="009F599C">
        <w:rPr>
          <w:rFonts w:cs="Arial"/>
          <w:bCs/>
          <w:sz w:val="20"/>
          <w:szCs w:val="20"/>
        </w:rPr>
        <w:t>,</w:t>
      </w:r>
      <w:r w:rsidR="0025644E">
        <w:rPr>
          <w:rFonts w:cs="Arial"/>
          <w:bCs/>
          <w:sz w:val="20"/>
          <w:szCs w:val="20"/>
        </w:rPr>
        <w:t>651</w:t>
      </w:r>
      <w:r>
        <w:rPr>
          <w:rFonts w:cs="Arial"/>
          <w:bCs/>
          <w:sz w:val="20"/>
          <w:szCs w:val="20"/>
        </w:rPr>
        <w:t>)</w:t>
      </w:r>
      <w:r>
        <w:rPr>
          <w:rFonts w:cs="Arial"/>
          <w:bCs/>
          <w:sz w:val="20"/>
          <w:szCs w:val="20"/>
        </w:rPr>
        <w:tab/>
      </w:r>
      <w:r w:rsidR="00B37FF3">
        <w:rPr>
          <w:rFonts w:cs="Arial"/>
          <w:bCs/>
          <w:sz w:val="20"/>
          <w:szCs w:val="20"/>
        </w:rPr>
        <w:t>(7,568)</w:t>
      </w:r>
    </w:p>
    <w:p w14:paraId="676C05A4" w14:textId="5C63CBF0" w:rsidR="000C2A54" w:rsidRPr="00B90FC7" w:rsidRDefault="000C2A54" w:rsidP="000C2A54">
      <w:pPr>
        <w:widowControl w:val="0"/>
        <w:tabs>
          <w:tab w:val="center" w:pos="5160"/>
          <w:tab w:val="center" w:pos="5580"/>
          <w:tab w:val="right" w:pos="7371"/>
          <w:tab w:val="right" w:pos="9072"/>
        </w:tabs>
        <w:autoSpaceDE w:val="0"/>
        <w:autoSpaceDN w:val="0"/>
        <w:adjustRightInd w:val="0"/>
        <w:rPr>
          <w:sz w:val="22"/>
          <w:szCs w:val="22"/>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36215259" w14:textId="427D0FDA" w:rsidR="000C2A54" w:rsidRPr="006C7E49" w:rsidRDefault="000C2A54" w:rsidP="000C2A54">
      <w:pPr>
        <w:widowControl w:val="0"/>
        <w:tabs>
          <w:tab w:val="center" w:pos="5160"/>
          <w:tab w:val="right" w:pos="7371"/>
          <w:tab w:val="right" w:pos="9071"/>
        </w:tabs>
        <w:autoSpaceDE w:val="0"/>
        <w:autoSpaceDN w:val="0"/>
        <w:adjustRightInd w:val="0"/>
        <w:rPr>
          <w:rFonts w:cs="Arial"/>
          <w:b/>
          <w:bCs/>
          <w:sz w:val="20"/>
          <w:szCs w:val="20"/>
        </w:rPr>
      </w:pPr>
      <w:r w:rsidRPr="006C7E49">
        <w:rPr>
          <w:rFonts w:cs="Arial"/>
          <w:b/>
          <w:bCs/>
          <w:sz w:val="20"/>
          <w:szCs w:val="20"/>
        </w:rPr>
        <w:t xml:space="preserve">Net cash </w:t>
      </w:r>
      <w:r w:rsidR="00527708">
        <w:rPr>
          <w:rFonts w:cs="Arial"/>
          <w:b/>
          <w:bCs/>
          <w:sz w:val="20"/>
          <w:szCs w:val="20"/>
        </w:rPr>
        <w:t>inflow</w:t>
      </w:r>
      <w:r w:rsidR="00527708" w:rsidRPr="006C7E49">
        <w:rPr>
          <w:rFonts w:cs="Arial"/>
          <w:b/>
          <w:bCs/>
          <w:sz w:val="20"/>
          <w:szCs w:val="20"/>
        </w:rPr>
        <w:t xml:space="preserve"> </w:t>
      </w:r>
      <w:r w:rsidRPr="006C7E49">
        <w:rPr>
          <w:rFonts w:cs="Arial"/>
          <w:b/>
          <w:bCs/>
          <w:sz w:val="20"/>
          <w:szCs w:val="20"/>
        </w:rPr>
        <w:t>from financing activities</w:t>
      </w:r>
      <w:r w:rsidRPr="006C7E49">
        <w:rPr>
          <w:rFonts w:cs="Arial"/>
          <w:b/>
          <w:bCs/>
          <w:sz w:val="20"/>
          <w:szCs w:val="20"/>
        </w:rPr>
        <w:tab/>
      </w:r>
      <w:r w:rsidR="003061F1">
        <w:rPr>
          <w:rFonts w:cs="Arial"/>
          <w:b/>
          <w:bCs/>
          <w:sz w:val="20"/>
          <w:szCs w:val="20"/>
        </w:rPr>
        <w:tab/>
      </w:r>
      <w:r w:rsidR="00E916F9">
        <w:rPr>
          <w:rFonts w:cs="Arial"/>
          <w:b/>
          <w:bCs/>
          <w:sz w:val="20"/>
          <w:szCs w:val="20"/>
        </w:rPr>
        <w:t>2,</w:t>
      </w:r>
      <w:r w:rsidR="0025644E">
        <w:rPr>
          <w:rFonts w:cs="Arial"/>
          <w:b/>
          <w:bCs/>
          <w:sz w:val="20"/>
          <w:szCs w:val="20"/>
        </w:rPr>
        <w:t>855</w:t>
      </w:r>
      <w:r w:rsidR="009F599C">
        <w:rPr>
          <w:rFonts w:cs="Arial"/>
          <w:b/>
          <w:bCs/>
          <w:sz w:val="20"/>
          <w:szCs w:val="20"/>
        </w:rPr>
        <w:t>,</w:t>
      </w:r>
      <w:r w:rsidR="0025644E">
        <w:rPr>
          <w:rFonts w:cs="Arial"/>
          <w:b/>
          <w:bCs/>
          <w:sz w:val="20"/>
          <w:szCs w:val="20"/>
        </w:rPr>
        <w:t>509</w:t>
      </w:r>
      <w:r w:rsidRPr="006C7E49">
        <w:rPr>
          <w:rFonts w:cs="Arial"/>
          <w:b/>
          <w:bCs/>
          <w:sz w:val="20"/>
          <w:szCs w:val="20"/>
        </w:rPr>
        <w:tab/>
      </w:r>
      <w:r w:rsidR="00963A97">
        <w:rPr>
          <w:rFonts w:cs="Arial"/>
          <w:b/>
          <w:bCs/>
          <w:sz w:val="20"/>
          <w:szCs w:val="20"/>
        </w:rPr>
        <w:t>2,</w:t>
      </w:r>
      <w:r w:rsidR="00B37FF3">
        <w:rPr>
          <w:rFonts w:cs="Arial"/>
          <w:b/>
          <w:bCs/>
          <w:sz w:val="20"/>
          <w:szCs w:val="20"/>
        </w:rPr>
        <w:t>205</w:t>
      </w:r>
      <w:r w:rsidR="00963A97">
        <w:rPr>
          <w:rFonts w:cs="Arial"/>
          <w:b/>
          <w:bCs/>
          <w:sz w:val="20"/>
          <w:szCs w:val="20"/>
        </w:rPr>
        <w:t>,</w:t>
      </w:r>
      <w:r w:rsidR="00B37FF3">
        <w:rPr>
          <w:rFonts w:cs="Arial"/>
          <w:b/>
          <w:bCs/>
          <w:sz w:val="20"/>
          <w:szCs w:val="20"/>
        </w:rPr>
        <w:t>443</w:t>
      </w:r>
    </w:p>
    <w:p w14:paraId="3760FE25"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1F0294CE" w14:textId="4DFE085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sz w:val="20"/>
          <w:szCs w:val="20"/>
        </w:rPr>
      </w:pPr>
      <w:r w:rsidRPr="006C7E49">
        <w:rPr>
          <w:rFonts w:cs="Arial"/>
          <w:b/>
          <w:bCs/>
          <w:sz w:val="20"/>
          <w:szCs w:val="20"/>
        </w:rPr>
        <w:t>Net</w:t>
      </w:r>
      <w:r w:rsidR="0029565E">
        <w:rPr>
          <w:rFonts w:cs="Arial"/>
          <w:b/>
          <w:bCs/>
          <w:sz w:val="20"/>
          <w:szCs w:val="20"/>
        </w:rPr>
        <w:t xml:space="preserve"> increase </w:t>
      </w:r>
      <w:r w:rsidRPr="006C7E49">
        <w:rPr>
          <w:rFonts w:cs="Arial"/>
          <w:b/>
          <w:bCs/>
          <w:sz w:val="20"/>
          <w:szCs w:val="20"/>
        </w:rPr>
        <w:t xml:space="preserve">in cash </w:t>
      </w:r>
      <w:r w:rsidRPr="006C7E49">
        <w:rPr>
          <w:rFonts w:cs="Arial"/>
          <w:b/>
          <w:bCs/>
          <w:sz w:val="20"/>
          <w:szCs w:val="20"/>
        </w:rPr>
        <w:br/>
        <w:t>and cash equivalents in the period</w:t>
      </w:r>
      <w:r w:rsidRPr="006C7E49">
        <w:rPr>
          <w:rFonts w:cs="Arial"/>
          <w:b/>
          <w:bCs/>
          <w:sz w:val="20"/>
          <w:szCs w:val="20"/>
        </w:rPr>
        <w:tab/>
        <w:t>1</w:t>
      </w:r>
      <w:r w:rsidR="00FA67ED">
        <w:rPr>
          <w:rFonts w:cs="Arial"/>
          <w:b/>
          <w:bCs/>
          <w:sz w:val="20"/>
          <w:szCs w:val="20"/>
        </w:rPr>
        <w:t>1</w:t>
      </w:r>
      <w:r w:rsidRPr="006C7E49">
        <w:rPr>
          <w:rFonts w:cs="Arial"/>
          <w:b/>
          <w:bCs/>
          <w:sz w:val="20"/>
          <w:szCs w:val="20"/>
        </w:rPr>
        <w:tab/>
      </w:r>
      <w:r w:rsidRPr="006C7E49">
        <w:rPr>
          <w:rFonts w:cs="Arial"/>
          <w:b/>
          <w:bCs/>
          <w:sz w:val="20"/>
          <w:szCs w:val="20"/>
        </w:rPr>
        <w:tab/>
      </w:r>
      <w:r w:rsidR="0025644E">
        <w:rPr>
          <w:rFonts w:cs="Arial"/>
          <w:b/>
          <w:bCs/>
          <w:sz w:val="20"/>
          <w:szCs w:val="20"/>
        </w:rPr>
        <w:t>433</w:t>
      </w:r>
      <w:r w:rsidR="00963A97">
        <w:rPr>
          <w:rFonts w:cs="Arial"/>
          <w:b/>
          <w:bCs/>
          <w:sz w:val="20"/>
          <w:szCs w:val="20"/>
        </w:rPr>
        <w:t>,</w:t>
      </w:r>
      <w:r w:rsidR="0025644E">
        <w:rPr>
          <w:rFonts w:cs="Arial"/>
          <w:b/>
          <w:bCs/>
          <w:sz w:val="20"/>
          <w:szCs w:val="20"/>
        </w:rPr>
        <w:t>41</w:t>
      </w:r>
      <w:r w:rsidR="001221C9">
        <w:rPr>
          <w:rFonts w:cs="Arial"/>
          <w:b/>
          <w:bCs/>
          <w:sz w:val="20"/>
          <w:szCs w:val="20"/>
        </w:rPr>
        <w:t>3</w:t>
      </w:r>
      <w:r w:rsidRPr="006C7E49">
        <w:rPr>
          <w:rFonts w:cs="Arial"/>
          <w:b/>
          <w:bCs/>
          <w:sz w:val="20"/>
          <w:szCs w:val="20"/>
        </w:rPr>
        <w:tab/>
      </w:r>
      <w:r w:rsidR="00B37FF3">
        <w:rPr>
          <w:rFonts w:cs="Arial"/>
          <w:b/>
          <w:bCs/>
          <w:sz w:val="20"/>
          <w:szCs w:val="20"/>
        </w:rPr>
        <w:t>14,868</w:t>
      </w:r>
    </w:p>
    <w:p w14:paraId="411361A0"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sz w:val="20"/>
          <w:szCs w:val="20"/>
        </w:rPr>
        <w:tab/>
      </w:r>
      <w:r w:rsidRPr="006C7E49">
        <w:rPr>
          <w:sz w:val="20"/>
          <w:szCs w:val="20"/>
        </w:rPr>
        <w:tab/>
      </w:r>
      <w:r w:rsidRPr="006C7E49">
        <w:rPr>
          <w:sz w:val="20"/>
          <w:szCs w:val="20"/>
        </w:rPr>
        <w:tab/>
      </w:r>
      <w:r w:rsidRPr="006C7E49">
        <w:rPr>
          <w:rFonts w:ascii="Arial" w:hAnsi="Arial"/>
          <w:sz w:val="20"/>
          <w:szCs w:val="20"/>
        </w:rPr>
        <w:t>═════════</w:t>
      </w:r>
      <w:r w:rsidRPr="006C7E49">
        <w:rPr>
          <w:sz w:val="20"/>
          <w:szCs w:val="20"/>
        </w:rPr>
        <w:tab/>
      </w:r>
      <w:r w:rsidRPr="006C7E49">
        <w:rPr>
          <w:rFonts w:ascii="Arial" w:hAnsi="Arial"/>
          <w:sz w:val="20"/>
          <w:szCs w:val="20"/>
        </w:rPr>
        <w:t>═════════</w:t>
      </w:r>
    </w:p>
    <w:p w14:paraId="1F951935"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and cash equivalents at the </w:t>
      </w:r>
    </w:p>
    <w:p w14:paraId="35F4D72D" w14:textId="771D6BFE"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beginning of the period</w:t>
      </w:r>
      <w:r w:rsidRPr="006C7E49">
        <w:rPr>
          <w:rFonts w:cs="Arial"/>
          <w:b/>
          <w:bCs/>
          <w:sz w:val="20"/>
          <w:szCs w:val="20"/>
        </w:rPr>
        <w:tab/>
        <w:t>1</w:t>
      </w:r>
      <w:r w:rsidR="00FA67ED">
        <w:rPr>
          <w:rFonts w:cs="Arial"/>
          <w:b/>
          <w:bCs/>
          <w:sz w:val="20"/>
          <w:szCs w:val="20"/>
        </w:rPr>
        <w:t>1</w:t>
      </w:r>
      <w:r w:rsidRPr="006C7E49">
        <w:rPr>
          <w:rFonts w:cs="Arial"/>
          <w:b/>
          <w:bCs/>
          <w:sz w:val="20"/>
          <w:szCs w:val="20"/>
        </w:rPr>
        <w:tab/>
      </w:r>
      <w:r w:rsidRPr="006C7E49">
        <w:rPr>
          <w:rFonts w:cs="Arial"/>
          <w:b/>
          <w:bCs/>
          <w:sz w:val="20"/>
          <w:szCs w:val="20"/>
        </w:rPr>
        <w:tab/>
      </w:r>
      <w:r w:rsidR="00963A97">
        <w:rPr>
          <w:rFonts w:cs="Arial"/>
          <w:b/>
          <w:bCs/>
          <w:sz w:val="20"/>
          <w:szCs w:val="20"/>
        </w:rPr>
        <w:t>5</w:t>
      </w:r>
      <w:r w:rsidR="0025644E">
        <w:rPr>
          <w:rFonts w:cs="Arial"/>
          <w:b/>
          <w:bCs/>
          <w:sz w:val="20"/>
          <w:szCs w:val="20"/>
        </w:rPr>
        <w:t>56</w:t>
      </w:r>
      <w:r w:rsidR="00963A97">
        <w:rPr>
          <w:rFonts w:cs="Arial"/>
          <w:b/>
          <w:bCs/>
          <w:sz w:val="20"/>
          <w:szCs w:val="20"/>
        </w:rPr>
        <w:t>,</w:t>
      </w:r>
      <w:r w:rsidR="0025644E">
        <w:rPr>
          <w:rFonts w:cs="Arial"/>
          <w:b/>
          <w:bCs/>
          <w:sz w:val="20"/>
          <w:szCs w:val="20"/>
        </w:rPr>
        <w:t>606</w:t>
      </w:r>
      <w:r w:rsidRPr="006C7E49">
        <w:rPr>
          <w:rFonts w:cs="Arial"/>
          <w:b/>
          <w:bCs/>
          <w:sz w:val="20"/>
          <w:szCs w:val="20"/>
        </w:rPr>
        <w:tab/>
      </w:r>
      <w:r w:rsidR="00B37FF3">
        <w:rPr>
          <w:rFonts w:cs="Arial"/>
          <w:b/>
          <w:bCs/>
          <w:sz w:val="20"/>
          <w:szCs w:val="20"/>
        </w:rPr>
        <w:t>541</w:t>
      </w:r>
      <w:r w:rsidR="00963A97">
        <w:rPr>
          <w:rFonts w:cs="Arial"/>
          <w:b/>
          <w:bCs/>
          <w:sz w:val="20"/>
          <w:szCs w:val="20"/>
        </w:rPr>
        <w:t>,</w:t>
      </w:r>
      <w:r w:rsidR="00B37FF3">
        <w:rPr>
          <w:rFonts w:cs="Arial"/>
          <w:b/>
          <w:bCs/>
          <w:sz w:val="20"/>
          <w:szCs w:val="20"/>
        </w:rPr>
        <w:t>7</w:t>
      </w:r>
      <w:r w:rsidR="00963A97">
        <w:rPr>
          <w:rFonts w:cs="Arial"/>
          <w:b/>
          <w:bCs/>
          <w:sz w:val="20"/>
          <w:szCs w:val="20"/>
        </w:rPr>
        <w:t>38</w:t>
      </w:r>
    </w:p>
    <w:p w14:paraId="0CEFB9C9" w14:textId="77777777" w:rsidR="000C2A54" w:rsidRPr="006C7E49" w:rsidRDefault="000C2A54" w:rsidP="000C2A54">
      <w:pPr>
        <w:widowControl w:val="0"/>
        <w:tabs>
          <w:tab w:val="center" w:pos="5160"/>
          <w:tab w:val="center" w:pos="5580"/>
          <w:tab w:val="right" w:pos="7371"/>
          <w:tab w:val="right" w:pos="9072"/>
        </w:tabs>
        <w:autoSpaceDE w:val="0"/>
        <w:autoSpaceDN w:val="0"/>
        <w:adjustRightInd w:val="0"/>
        <w:rPr>
          <w:sz w:val="20"/>
          <w:szCs w:val="20"/>
        </w:rPr>
      </w:pPr>
      <w:r w:rsidRPr="006C7E49">
        <w:rPr>
          <w:rFonts w:cs="Arial"/>
          <w:sz w:val="20"/>
          <w:szCs w:val="20"/>
        </w:rPr>
        <w:tab/>
      </w:r>
      <w:r w:rsidRPr="006C7E49">
        <w:rPr>
          <w:rFonts w:cs="Arial"/>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63B6FEBA" w14:textId="3D83DE1F"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r w:rsidRPr="006C7E49">
        <w:rPr>
          <w:rFonts w:cs="Arial"/>
          <w:b/>
          <w:bCs/>
          <w:sz w:val="20"/>
          <w:szCs w:val="20"/>
        </w:rPr>
        <w:t xml:space="preserve">Cash and cash equivalents at the </w:t>
      </w:r>
      <w:r w:rsidRPr="006C7E49">
        <w:rPr>
          <w:rFonts w:cs="Arial"/>
          <w:b/>
          <w:bCs/>
          <w:sz w:val="20"/>
          <w:szCs w:val="20"/>
        </w:rPr>
        <w:tab/>
        <w:t>1</w:t>
      </w:r>
      <w:r w:rsidR="00FA67ED">
        <w:rPr>
          <w:rFonts w:cs="Arial"/>
          <w:b/>
          <w:bCs/>
          <w:sz w:val="20"/>
          <w:szCs w:val="20"/>
        </w:rPr>
        <w:t>1</w:t>
      </w:r>
      <w:r w:rsidRPr="006C7E49">
        <w:rPr>
          <w:rFonts w:cs="Arial"/>
          <w:b/>
          <w:bCs/>
          <w:sz w:val="20"/>
          <w:szCs w:val="20"/>
        </w:rPr>
        <w:tab/>
      </w:r>
      <w:r w:rsidRPr="006C7E49">
        <w:rPr>
          <w:rFonts w:cs="Arial"/>
          <w:b/>
          <w:bCs/>
          <w:sz w:val="20"/>
          <w:szCs w:val="20"/>
        </w:rPr>
        <w:tab/>
      </w:r>
      <w:r w:rsidR="0025644E">
        <w:rPr>
          <w:rFonts w:cs="Arial"/>
          <w:b/>
          <w:bCs/>
          <w:sz w:val="20"/>
          <w:szCs w:val="20"/>
        </w:rPr>
        <w:t>990</w:t>
      </w:r>
      <w:r w:rsidR="00963A97">
        <w:rPr>
          <w:rFonts w:cs="Arial"/>
          <w:b/>
          <w:bCs/>
          <w:sz w:val="20"/>
          <w:szCs w:val="20"/>
        </w:rPr>
        <w:t>,</w:t>
      </w:r>
      <w:r w:rsidR="0025644E">
        <w:rPr>
          <w:rFonts w:cs="Arial"/>
          <w:b/>
          <w:bCs/>
          <w:sz w:val="20"/>
          <w:szCs w:val="20"/>
        </w:rPr>
        <w:t>019</w:t>
      </w:r>
      <w:r w:rsidRPr="006C7E49">
        <w:rPr>
          <w:rFonts w:cs="Arial"/>
          <w:b/>
          <w:bCs/>
          <w:sz w:val="20"/>
          <w:szCs w:val="20"/>
        </w:rPr>
        <w:tab/>
      </w:r>
      <w:r w:rsidR="00963A97">
        <w:rPr>
          <w:rFonts w:cs="Arial"/>
          <w:b/>
          <w:bCs/>
          <w:sz w:val="20"/>
          <w:szCs w:val="20"/>
        </w:rPr>
        <w:t>5</w:t>
      </w:r>
      <w:r w:rsidR="00B37FF3">
        <w:rPr>
          <w:rFonts w:cs="Arial"/>
          <w:b/>
          <w:bCs/>
          <w:sz w:val="20"/>
          <w:szCs w:val="20"/>
        </w:rPr>
        <w:t>56</w:t>
      </w:r>
      <w:r w:rsidR="00963A97">
        <w:rPr>
          <w:rFonts w:cs="Arial"/>
          <w:b/>
          <w:bCs/>
          <w:sz w:val="20"/>
          <w:szCs w:val="20"/>
        </w:rPr>
        <w:t>,</w:t>
      </w:r>
      <w:r w:rsidR="00B37FF3">
        <w:rPr>
          <w:rFonts w:cs="Arial"/>
          <w:b/>
          <w:bCs/>
          <w:sz w:val="20"/>
          <w:szCs w:val="20"/>
        </w:rPr>
        <w:t>606</w:t>
      </w:r>
    </w:p>
    <w:p w14:paraId="7E5713F0"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sz w:val="20"/>
          <w:szCs w:val="20"/>
        </w:rPr>
      </w:pPr>
      <w:r w:rsidRPr="006C7E49">
        <w:rPr>
          <w:rFonts w:cs="Arial"/>
          <w:b/>
          <w:bCs/>
          <w:sz w:val="20"/>
          <w:szCs w:val="20"/>
        </w:rPr>
        <w:t>end of the period</w:t>
      </w:r>
      <w:r w:rsidRPr="006C7E49">
        <w:rPr>
          <w:rFonts w:cs="Arial"/>
          <w:b/>
          <w:bCs/>
          <w:sz w:val="20"/>
          <w:szCs w:val="20"/>
        </w:rPr>
        <w:tab/>
      </w:r>
      <w:r w:rsidRPr="006C7E49">
        <w:rPr>
          <w:rFonts w:cs="Arial"/>
          <w:b/>
          <w:bCs/>
          <w:sz w:val="20"/>
          <w:szCs w:val="20"/>
        </w:rPr>
        <w:tab/>
      </w:r>
      <w:r w:rsidRPr="006C7E49">
        <w:rPr>
          <w:rFonts w:cs="Arial"/>
          <w:sz w:val="20"/>
          <w:szCs w:val="20"/>
        </w:rPr>
        <w:tab/>
      </w:r>
      <w:r w:rsidRPr="006C7E49">
        <w:rPr>
          <w:rFonts w:ascii="Arial" w:hAnsi="Arial" w:cs="Arial"/>
          <w:sz w:val="20"/>
          <w:szCs w:val="20"/>
        </w:rPr>
        <w:t>─────────</w:t>
      </w:r>
      <w:r w:rsidRPr="006C7E49">
        <w:rPr>
          <w:rFonts w:cs="Arial"/>
          <w:sz w:val="20"/>
          <w:szCs w:val="20"/>
        </w:rPr>
        <w:tab/>
      </w:r>
      <w:r w:rsidRPr="006C7E49">
        <w:rPr>
          <w:rFonts w:ascii="Arial" w:hAnsi="Arial" w:cs="Arial"/>
          <w:sz w:val="20"/>
          <w:szCs w:val="20"/>
        </w:rPr>
        <w:t>─────────</w:t>
      </w:r>
    </w:p>
    <w:p w14:paraId="6DA4CD61" w14:textId="77777777" w:rsidR="000C2A54" w:rsidRPr="006C7E49" w:rsidRDefault="000C2A54" w:rsidP="000C2A54">
      <w:pPr>
        <w:widowControl w:val="0"/>
        <w:tabs>
          <w:tab w:val="center" w:pos="5160"/>
          <w:tab w:val="center" w:pos="5670"/>
          <w:tab w:val="right" w:pos="7371"/>
          <w:tab w:val="right" w:pos="9071"/>
        </w:tabs>
        <w:autoSpaceDE w:val="0"/>
        <w:autoSpaceDN w:val="0"/>
        <w:adjustRightInd w:val="0"/>
        <w:rPr>
          <w:rFonts w:cs="Arial"/>
          <w:b/>
          <w:bCs/>
          <w:sz w:val="20"/>
          <w:szCs w:val="20"/>
        </w:rPr>
      </w:pPr>
    </w:p>
    <w:p w14:paraId="6667F15B" w14:textId="77777777" w:rsidR="000C2A54" w:rsidRDefault="000C2A54" w:rsidP="000C2A54">
      <w:pPr>
        <w:widowControl w:val="0"/>
        <w:tabs>
          <w:tab w:val="center" w:pos="5670"/>
          <w:tab w:val="right" w:pos="7371"/>
          <w:tab w:val="right" w:pos="9071"/>
        </w:tabs>
        <w:autoSpaceDE w:val="0"/>
        <w:autoSpaceDN w:val="0"/>
        <w:adjustRightInd w:val="0"/>
        <w:rPr>
          <w:rFonts w:cs="Arial"/>
          <w:b/>
          <w:bCs/>
          <w:sz w:val="22"/>
          <w:szCs w:val="22"/>
        </w:rPr>
      </w:pPr>
    </w:p>
    <w:p w14:paraId="3CA31849" w14:textId="77777777" w:rsidR="000C2A54" w:rsidRDefault="000C2A54" w:rsidP="000C2A54">
      <w:pPr>
        <w:widowControl w:val="0"/>
        <w:autoSpaceDE w:val="0"/>
        <w:autoSpaceDN w:val="0"/>
        <w:adjustRightInd w:val="0"/>
        <w:rPr>
          <w:rFonts w:cs="Arial"/>
          <w:sz w:val="22"/>
          <w:szCs w:val="22"/>
        </w:rPr>
      </w:pPr>
    </w:p>
    <w:p w14:paraId="030FF5E7" w14:textId="77777777" w:rsidR="00FA67ED" w:rsidRDefault="00FA67ED" w:rsidP="000C2A54">
      <w:pPr>
        <w:widowControl w:val="0"/>
        <w:autoSpaceDE w:val="0"/>
        <w:autoSpaceDN w:val="0"/>
        <w:adjustRightInd w:val="0"/>
        <w:rPr>
          <w:rFonts w:cs="Arial"/>
          <w:sz w:val="22"/>
          <w:szCs w:val="22"/>
        </w:rPr>
      </w:pPr>
    </w:p>
    <w:p w14:paraId="4155F32C" w14:textId="77777777" w:rsidR="00FA67ED" w:rsidRDefault="00FA67ED" w:rsidP="000C2A54">
      <w:pPr>
        <w:widowControl w:val="0"/>
        <w:autoSpaceDE w:val="0"/>
        <w:autoSpaceDN w:val="0"/>
        <w:adjustRightInd w:val="0"/>
        <w:rPr>
          <w:rFonts w:cs="Arial"/>
          <w:sz w:val="22"/>
          <w:szCs w:val="22"/>
        </w:rPr>
      </w:pPr>
    </w:p>
    <w:p w14:paraId="22F04591" w14:textId="77777777" w:rsidR="00FA67ED" w:rsidRPr="00AC49A1" w:rsidRDefault="00FA67ED" w:rsidP="000C2A54">
      <w:pPr>
        <w:widowControl w:val="0"/>
        <w:autoSpaceDE w:val="0"/>
        <w:autoSpaceDN w:val="0"/>
        <w:adjustRightInd w:val="0"/>
        <w:rPr>
          <w:rFonts w:cs="Arial"/>
          <w:sz w:val="22"/>
          <w:szCs w:val="22"/>
        </w:rPr>
      </w:pPr>
    </w:p>
    <w:p w14:paraId="57E77565" w14:textId="7BAA8480"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 xml:space="preserve">The notes on pages </w:t>
      </w:r>
      <w:r w:rsidR="00123279">
        <w:rPr>
          <w:sz w:val="22"/>
          <w:szCs w:val="22"/>
        </w:rPr>
        <w:t>6</w:t>
      </w:r>
      <w:r w:rsidR="002D2485">
        <w:rPr>
          <w:sz w:val="22"/>
          <w:szCs w:val="22"/>
        </w:rPr>
        <w:t>7</w:t>
      </w:r>
      <w:r w:rsidR="0081025D" w:rsidRPr="00EB5423">
        <w:rPr>
          <w:sz w:val="22"/>
          <w:szCs w:val="22"/>
        </w:rPr>
        <w:t xml:space="preserve"> </w:t>
      </w:r>
      <w:r w:rsidRPr="00EB5423">
        <w:rPr>
          <w:sz w:val="22"/>
          <w:szCs w:val="22"/>
        </w:rPr>
        <w:t xml:space="preserve">to </w:t>
      </w:r>
      <w:r w:rsidR="00123279">
        <w:rPr>
          <w:sz w:val="22"/>
          <w:szCs w:val="22"/>
        </w:rPr>
        <w:t>8</w:t>
      </w:r>
      <w:r w:rsidR="002D2485">
        <w:rPr>
          <w:sz w:val="22"/>
          <w:szCs w:val="22"/>
        </w:rPr>
        <w:t>4</w:t>
      </w:r>
      <w:r w:rsidR="0081025D" w:rsidRPr="00EB5423">
        <w:rPr>
          <w:sz w:val="22"/>
          <w:szCs w:val="22"/>
        </w:rPr>
        <w:t xml:space="preserve"> </w:t>
      </w:r>
      <w:r w:rsidRPr="00EB5423">
        <w:rPr>
          <w:sz w:val="22"/>
          <w:szCs w:val="22"/>
        </w:rPr>
        <w:t>form part of the financial statements.</w:t>
      </w:r>
    </w:p>
    <w:p w14:paraId="658F8B77" w14:textId="428AD526" w:rsidR="000C2A54" w:rsidRPr="00EB5423" w:rsidRDefault="00F130A1" w:rsidP="00417CAC">
      <w:pPr>
        <w:jc w:val="center"/>
        <w:rPr>
          <w:b/>
        </w:rPr>
      </w:pPr>
      <w:bookmarkStart w:id="36" w:name="StatementofChangesinEquity"/>
      <w:r>
        <w:rPr>
          <w:rFonts w:cs="Arial"/>
          <w:b/>
          <w:color w:val="77328A"/>
          <w:sz w:val="30"/>
          <w:szCs w:val="30"/>
        </w:rPr>
        <w:br w:type="page"/>
      </w:r>
      <w:r w:rsidR="008C73A2">
        <w:rPr>
          <w:rFonts w:cs="Arial"/>
          <w:b/>
          <w:color w:val="77328A"/>
          <w:sz w:val="30"/>
          <w:szCs w:val="30"/>
        </w:rPr>
        <w:t xml:space="preserve">Statement of Changes in </w:t>
      </w:r>
      <w:r w:rsidR="00FB15E6">
        <w:rPr>
          <w:rFonts w:cs="Arial"/>
          <w:b/>
          <w:color w:val="77328A"/>
          <w:sz w:val="30"/>
          <w:szCs w:val="30"/>
        </w:rPr>
        <w:t xml:space="preserve">Taxpayers’ </w:t>
      </w:r>
      <w:r w:rsidR="008C73A2">
        <w:rPr>
          <w:rFonts w:cs="Arial"/>
          <w:b/>
          <w:color w:val="77328A"/>
          <w:sz w:val="30"/>
          <w:szCs w:val="30"/>
        </w:rPr>
        <w:t>Equity</w:t>
      </w:r>
      <w:r w:rsidR="004E6BF5">
        <w:rPr>
          <w:rFonts w:cs="Arial"/>
          <w:b/>
          <w:color w:val="77328A"/>
          <w:sz w:val="30"/>
          <w:szCs w:val="30"/>
        </w:rPr>
        <w:t xml:space="preserve"> for the Year Ended 31 March 202</w:t>
      </w:r>
      <w:r w:rsidR="00B37FF3">
        <w:rPr>
          <w:rFonts w:cs="Arial"/>
          <w:b/>
          <w:color w:val="77328A"/>
          <w:sz w:val="30"/>
          <w:szCs w:val="30"/>
        </w:rPr>
        <w:t>4</w:t>
      </w:r>
    </w:p>
    <w:bookmarkEnd w:id="36"/>
    <w:p w14:paraId="4EE64406" w14:textId="77777777" w:rsidR="000C2A54" w:rsidRDefault="000C2A54" w:rsidP="000C2A54">
      <w:pPr>
        <w:widowControl w:val="0"/>
        <w:autoSpaceDE w:val="0"/>
        <w:autoSpaceDN w:val="0"/>
        <w:adjustRightInd w:val="0"/>
        <w:jc w:val="center"/>
        <w:rPr>
          <w:b/>
          <w:sz w:val="28"/>
        </w:rPr>
      </w:pPr>
    </w:p>
    <w:p w14:paraId="72CC7451" w14:textId="77777777" w:rsidR="000C2A54" w:rsidRDefault="000C2A54" w:rsidP="000C2A54">
      <w:pPr>
        <w:widowControl w:val="0"/>
        <w:autoSpaceDE w:val="0"/>
        <w:autoSpaceDN w:val="0"/>
        <w:adjustRightInd w:val="0"/>
        <w:jc w:val="center"/>
        <w:rPr>
          <w:b/>
          <w:sz w:val="28"/>
        </w:rPr>
      </w:pPr>
    </w:p>
    <w:tbl>
      <w:tblPr>
        <w:tblW w:w="9073" w:type="dxa"/>
        <w:tblLayout w:type="fixed"/>
        <w:tblLook w:val="01E0" w:firstRow="1" w:lastRow="1" w:firstColumn="1" w:lastColumn="1" w:noHBand="0" w:noVBand="0"/>
      </w:tblPr>
      <w:tblGrid>
        <w:gridCol w:w="2268"/>
        <w:gridCol w:w="2268"/>
        <w:gridCol w:w="2268"/>
        <w:gridCol w:w="2269"/>
      </w:tblGrid>
      <w:tr w:rsidR="002B787F" w:rsidRPr="002D3016" w14:paraId="6ADE0B11" w14:textId="77777777" w:rsidTr="00664A13">
        <w:tc>
          <w:tcPr>
            <w:tcW w:w="2268" w:type="dxa"/>
          </w:tcPr>
          <w:p w14:paraId="289734F9" w14:textId="77777777" w:rsidR="002B787F" w:rsidRPr="002D3016" w:rsidRDefault="002B787F" w:rsidP="006F26A2">
            <w:pPr>
              <w:widowControl w:val="0"/>
              <w:autoSpaceDE w:val="0"/>
              <w:autoSpaceDN w:val="0"/>
              <w:adjustRightInd w:val="0"/>
              <w:ind w:right="-855"/>
              <w:jc w:val="right"/>
              <w:rPr>
                <w:b/>
                <w:sz w:val="22"/>
                <w:szCs w:val="22"/>
              </w:rPr>
            </w:pPr>
          </w:p>
        </w:tc>
        <w:tc>
          <w:tcPr>
            <w:tcW w:w="2268" w:type="dxa"/>
          </w:tcPr>
          <w:p w14:paraId="4BD7FD83" w14:textId="1F7AF794" w:rsidR="002B787F" w:rsidRDefault="002B787F" w:rsidP="006F26A2">
            <w:pPr>
              <w:widowControl w:val="0"/>
              <w:autoSpaceDE w:val="0"/>
              <w:autoSpaceDN w:val="0"/>
              <w:adjustRightInd w:val="0"/>
              <w:jc w:val="right"/>
              <w:rPr>
                <w:b/>
                <w:sz w:val="20"/>
                <w:szCs w:val="20"/>
              </w:rPr>
            </w:pPr>
            <w:r>
              <w:rPr>
                <w:b/>
                <w:sz w:val="20"/>
                <w:szCs w:val="20"/>
              </w:rPr>
              <w:t>General Reserves</w:t>
            </w:r>
          </w:p>
          <w:p w14:paraId="5D40087E" w14:textId="77777777" w:rsidR="00612DE1" w:rsidRDefault="00612DE1" w:rsidP="006F26A2">
            <w:pPr>
              <w:widowControl w:val="0"/>
              <w:autoSpaceDE w:val="0"/>
              <w:autoSpaceDN w:val="0"/>
              <w:adjustRightInd w:val="0"/>
              <w:jc w:val="right"/>
              <w:rPr>
                <w:b/>
                <w:sz w:val="20"/>
                <w:szCs w:val="20"/>
              </w:rPr>
            </w:pPr>
          </w:p>
          <w:p w14:paraId="38256840" w14:textId="514B9FD8" w:rsidR="002B787F" w:rsidRDefault="002B787F" w:rsidP="006F26A2">
            <w:pPr>
              <w:widowControl w:val="0"/>
              <w:autoSpaceDE w:val="0"/>
              <w:autoSpaceDN w:val="0"/>
              <w:adjustRightInd w:val="0"/>
              <w:jc w:val="right"/>
              <w:rPr>
                <w:b/>
                <w:sz w:val="20"/>
                <w:szCs w:val="20"/>
              </w:rPr>
            </w:pPr>
            <w:r>
              <w:rPr>
                <w:b/>
                <w:sz w:val="20"/>
                <w:szCs w:val="20"/>
              </w:rPr>
              <w:t>£</w:t>
            </w:r>
          </w:p>
        </w:tc>
        <w:tc>
          <w:tcPr>
            <w:tcW w:w="2268" w:type="dxa"/>
          </w:tcPr>
          <w:p w14:paraId="63C3AE73" w14:textId="77777777" w:rsidR="002B787F" w:rsidRDefault="002B787F" w:rsidP="00612DE1">
            <w:pPr>
              <w:widowControl w:val="0"/>
              <w:autoSpaceDE w:val="0"/>
              <w:autoSpaceDN w:val="0"/>
              <w:adjustRightInd w:val="0"/>
              <w:ind w:right="597"/>
              <w:rPr>
                <w:b/>
                <w:sz w:val="20"/>
                <w:szCs w:val="20"/>
              </w:rPr>
            </w:pPr>
            <w:r>
              <w:rPr>
                <w:b/>
                <w:sz w:val="20"/>
                <w:szCs w:val="20"/>
              </w:rPr>
              <w:t>Revaluation Reserves</w:t>
            </w:r>
          </w:p>
          <w:p w14:paraId="04974176" w14:textId="124BB364" w:rsidR="007F35D2" w:rsidRDefault="007F35D2" w:rsidP="002B787F">
            <w:pPr>
              <w:widowControl w:val="0"/>
              <w:autoSpaceDE w:val="0"/>
              <w:autoSpaceDN w:val="0"/>
              <w:adjustRightInd w:val="0"/>
              <w:ind w:right="597"/>
              <w:jc w:val="right"/>
              <w:rPr>
                <w:b/>
                <w:sz w:val="20"/>
                <w:szCs w:val="20"/>
              </w:rPr>
            </w:pPr>
            <w:r>
              <w:rPr>
                <w:b/>
                <w:sz w:val="20"/>
                <w:szCs w:val="20"/>
              </w:rPr>
              <w:t>£</w:t>
            </w:r>
          </w:p>
        </w:tc>
        <w:tc>
          <w:tcPr>
            <w:tcW w:w="2269" w:type="dxa"/>
          </w:tcPr>
          <w:p w14:paraId="126EB5AB" w14:textId="7C92C09B" w:rsidR="002B787F" w:rsidRPr="003061F1" w:rsidRDefault="002B787F" w:rsidP="00612DE1">
            <w:pPr>
              <w:widowControl w:val="0"/>
              <w:autoSpaceDE w:val="0"/>
              <w:autoSpaceDN w:val="0"/>
              <w:adjustRightInd w:val="0"/>
              <w:ind w:left="-112" w:right="740"/>
              <w:jc w:val="center"/>
              <w:rPr>
                <w:b/>
                <w:sz w:val="20"/>
                <w:szCs w:val="20"/>
              </w:rPr>
            </w:pPr>
            <w:r>
              <w:rPr>
                <w:b/>
                <w:sz w:val="20"/>
                <w:szCs w:val="20"/>
              </w:rPr>
              <w:t>T</w:t>
            </w:r>
            <w:r w:rsidRPr="003061F1">
              <w:rPr>
                <w:b/>
                <w:sz w:val="20"/>
                <w:szCs w:val="20"/>
              </w:rPr>
              <w:t>otal</w:t>
            </w:r>
          </w:p>
          <w:p w14:paraId="3C3C1C17" w14:textId="77777777" w:rsidR="002B787F" w:rsidRDefault="002B787F" w:rsidP="00612DE1">
            <w:pPr>
              <w:widowControl w:val="0"/>
              <w:autoSpaceDE w:val="0"/>
              <w:autoSpaceDN w:val="0"/>
              <w:adjustRightInd w:val="0"/>
              <w:ind w:right="740"/>
              <w:jc w:val="right"/>
              <w:rPr>
                <w:b/>
                <w:sz w:val="20"/>
                <w:szCs w:val="20"/>
              </w:rPr>
            </w:pPr>
            <w:r w:rsidRPr="003061F1">
              <w:rPr>
                <w:b/>
                <w:sz w:val="20"/>
                <w:szCs w:val="20"/>
              </w:rPr>
              <w:t>Reserves</w:t>
            </w:r>
          </w:p>
          <w:p w14:paraId="690E7652" w14:textId="77777777" w:rsidR="002B787F" w:rsidRPr="003061F1" w:rsidRDefault="002B787F" w:rsidP="00612DE1">
            <w:pPr>
              <w:widowControl w:val="0"/>
              <w:autoSpaceDE w:val="0"/>
              <w:autoSpaceDN w:val="0"/>
              <w:adjustRightInd w:val="0"/>
              <w:ind w:right="740"/>
              <w:jc w:val="right"/>
              <w:rPr>
                <w:b/>
                <w:sz w:val="20"/>
                <w:szCs w:val="20"/>
              </w:rPr>
            </w:pPr>
            <w:r>
              <w:rPr>
                <w:b/>
                <w:sz w:val="20"/>
                <w:szCs w:val="20"/>
              </w:rPr>
              <w:t>£</w:t>
            </w:r>
          </w:p>
        </w:tc>
      </w:tr>
      <w:tr w:rsidR="002B787F" w:rsidRPr="00EB7EA1" w14:paraId="02BE9D14" w14:textId="77777777" w:rsidTr="00664A13">
        <w:tc>
          <w:tcPr>
            <w:tcW w:w="2268" w:type="dxa"/>
          </w:tcPr>
          <w:p w14:paraId="635B7EDD" w14:textId="77777777" w:rsidR="002B787F" w:rsidRPr="003061F1" w:rsidRDefault="002B787F" w:rsidP="006F26A2">
            <w:pPr>
              <w:widowControl w:val="0"/>
              <w:autoSpaceDE w:val="0"/>
              <w:autoSpaceDN w:val="0"/>
              <w:adjustRightInd w:val="0"/>
              <w:rPr>
                <w:b/>
                <w:sz w:val="20"/>
                <w:szCs w:val="20"/>
              </w:rPr>
            </w:pPr>
          </w:p>
          <w:p w14:paraId="481ECF82" w14:textId="26268D1C" w:rsidR="002B787F" w:rsidRPr="003061F1" w:rsidRDefault="002B787F" w:rsidP="006F26A2">
            <w:pPr>
              <w:widowControl w:val="0"/>
              <w:autoSpaceDE w:val="0"/>
              <w:autoSpaceDN w:val="0"/>
              <w:adjustRightInd w:val="0"/>
              <w:rPr>
                <w:b/>
                <w:sz w:val="20"/>
                <w:szCs w:val="20"/>
              </w:rPr>
            </w:pPr>
            <w:r>
              <w:rPr>
                <w:b/>
                <w:sz w:val="20"/>
                <w:szCs w:val="20"/>
              </w:rPr>
              <w:t xml:space="preserve">Balance </w:t>
            </w:r>
            <w:proofErr w:type="gramStart"/>
            <w:r>
              <w:rPr>
                <w:b/>
                <w:sz w:val="20"/>
                <w:szCs w:val="20"/>
              </w:rPr>
              <w:t>at</w:t>
            </w:r>
            <w:proofErr w:type="gramEnd"/>
            <w:r>
              <w:rPr>
                <w:b/>
                <w:sz w:val="20"/>
                <w:szCs w:val="20"/>
              </w:rPr>
              <w:t xml:space="preserve"> 31 March 202</w:t>
            </w:r>
            <w:r w:rsidR="004E5A0C">
              <w:rPr>
                <w:b/>
                <w:sz w:val="20"/>
                <w:szCs w:val="20"/>
              </w:rPr>
              <w:t>2</w:t>
            </w:r>
          </w:p>
          <w:p w14:paraId="610B854B" w14:textId="77777777" w:rsidR="002B787F" w:rsidRPr="003061F1" w:rsidRDefault="002B787F" w:rsidP="006F26A2">
            <w:pPr>
              <w:widowControl w:val="0"/>
              <w:autoSpaceDE w:val="0"/>
              <w:autoSpaceDN w:val="0"/>
              <w:adjustRightInd w:val="0"/>
              <w:rPr>
                <w:b/>
                <w:sz w:val="20"/>
                <w:szCs w:val="20"/>
              </w:rPr>
            </w:pPr>
          </w:p>
        </w:tc>
        <w:tc>
          <w:tcPr>
            <w:tcW w:w="2268" w:type="dxa"/>
          </w:tcPr>
          <w:p w14:paraId="12056AA3" w14:textId="77777777" w:rsidR="002B787F" w:rsidRDefault="002B787F" w:rsidP="006F26A2">
            <w:pPr>
              <w:widowControl w:val="0"/>
              <w:autoSpaceDE w:val="0"/>
              <w:autoSpaceDN w:val="0"/>
              <w:adjustRightInd w:val="0"/>
              <w:jc w:val="right"/>
              <w:rPr>
                <w:b/>
                <w:sz w:val="20"/>
                <w:szCs w:val="20"/>
              </w:rPr>
            </w:pPr>
          </w:p>
          <w:p w14:paraId="74D8A144" w14:textId="55060177" w:rsidR="002B787F" w:rsidRPr="003061F1" w:rsidRDefault="004E5A0C" w:rsidP="006F26A2">
            <w:pPr>
              <w:widowControl w:val="0"/>
              <w:autoSpaceDE w:val="0"/>
              <w:autoSpaceDN w:val="0"/>
              <w:adjustRightInd w:val="0"/>
              <w:jc w:val="right"/>
              <w:rPr>
                <w:b/>
                <w:sz w:val="20"/>
                <w:szCs w:val="20"/>
              </w:rPr>
            </w:pPr>
            <w:r>
              <w:rPr>
                <w:b/>
                <w:sz w:val="20"/>
                <w:szCs w:val="20"/>
              </w:rPr>
              <w:t>819</w:t>
            </w:r>
            <w:r w:rsidR="00963A97">
              <w:rPr>
                <w:b/>
                <w:sz w:val="20"/>
                <w:szCs w:val="20"/>
              </w:rPr>
              <w:t>,</w:t>
            </w:r>
            <w:r>
              <w:rPr>
                <w:b/>
                <w:sz w:val="20"/>
                <w:szCs w:val="20"/>
              </w:rPr>
              <w:t>650</w:t>
            </w:r>
          </w:p>
        </w:tc>
        <w:tc>
          <w:tcPr>
            <w:tcW w:w="2268" w:type="dxa"/>
          </w:tcPr>
          <w:p w14:paraId="1187FE15" w14:textId="77777777" w:rsidR="002B787F" w:rsidRDefault="002B787F" w:rsidP="002B787F">
            <w:pPr>
              <w:widowControl w:val="0"/>
              <w:autoSpaceDE w:val="0"/>
              <w:autoSpaceDN w:val="0"/>
              <w:adjustRightInd w:val="0"/>
              <w:ind w:right="597"/>
              <w:jc w:val="right"/>
              <w:rPr>
                <w:b/>
                <w:sz w:val="20"/>
                <w:szCs w:val="20"/>
              </w:rPr>
            </w:pPr>
          </w:p>
          <w:p w14:paraId="317C5BEA" w14:textId="52893EA0" w:rsidR="007F35D2" w:rsidRDefault="004E5A0C" w:rsidP="002B787F">
            <w:pPr>
              <w:widowControl w:val="0"/>
              <w:autoSpaceDE w:val="0"/>
              <w:autoSpaceDN w:val="0"/>
              <w:adjustRightInd w:val="0"/>
              <w:ind w:right="597"/>
              <w:jc w:val="right"/>
              <w:rPr>
                <w:b/>
                <w:sz w:val="20"/>
                <w:szCs w:val="20"/>
              </w:rPr>
            </w:pPr>
            <w:r>
              <w:rPr>
                <w:b/>
                <w:sz w:val="20"/>
                <w:szCs w:val="20"/>
              </w:rPr>
              <w:t>29,403</w:t>
            </w:r>
          </w:p>
        </w:tc>
        <w:tc>
          <w:tcPr>
            <w:tcW w:w="2269" w:type="dxa"/>
          </w:tcPr>
          <w:p w14:paraId="35AF946E" w14:textId="25726AEA" w:rsidR="002B787F" w:rsidRDefault="002B787F" w:rsidP="00612DE1">
            <w:pPr>
              <w:widowControl w:val="0"/>
              <w:autoSpaceDE w:val="0"/>
              <w:autoSpaceDN w:val="0"/>
              <w:adjustRightInd w:val="0"/>
              <w:ind w:right="740"/>
              <w:jc w:val="right"/>
              <w:rPr>
                <w:b/>
                <w:sz w:val="20"/>
                <w:szCs w:val="20"/>
              </w:rPr>
            </w:pPr>
          </w:p>
          <w:p w14:paraId="2BDE1B00" w14:textId="1975CFF6" w:rsidR="002B787F" w:rsidRPr="003061F1" w:rsidRDefault="004E5A0C" w:rsidP="00612DE1">
            <w:pPr>
              <w:widowControl w:val="0"/>
              <w:autoSpaceDE w:val="0"/>
              <w:autoSpaceDN w:val="0"/>
              <w:adjustRightInd w:val="0"/>
              <w:ind w:right="740"/>
              <w:jc w:val="right"/>
              <w:rPr>
                <w:b/>
                <w:sz w:val="20"/>
                <w:szCs w:val="20"/>
              </w:rPr>
            </w:pPr>
            <w:r>
              <w:rPr>
                <w:b/>
                <w:sz w:val="20"/>
                <w:szCs w:val="20"/>
              </w:rPr>
              <w:t>849</w:t>
            </w:r>
            <w:r w:rsidR="00963A97">
              <w:rPr>
                <w:b/>
                <w:sz w:val="20"/>
                <w:szCs w:val="20"/>
              </w:rPr>
              <w:t>,</w:t>
            </w:r>
            <w:r>
              <w:rPr>
                <w:b/>
                <w:sz w:val="20"/>
                <w:szCs w:val="20"/>
              </w:rPr>
              <w:t>053</w:t>
            </w:r>
          </w:p>
        </w:tc>
      </w:tr>
      <w:tr w:rsidR="002B787F" w:rsidRPr="002D3016" w14:paraId="23D0A9A9" w14:textId="77777777" w:rsidTr="00664A13">
        <w:tc>
          <w:tcPr>
            <w:tcW w:w="2268" w:type="dxa"/>
          </w:tcPr>
          <w:p w14:paraId="659CC614" w14:textId="77777777" w:rsidR="002B787F" w:rsidRDefault="002B787F" w:rsidP="006F26A2">
            <w:pPr>
              <w:widowControl w:val="0"/>
              <w:autoSpaceDE w:val="0"/>
              <w:autoSpaceDN w:val="0"/>
              <w:adjustRightInd w:val="0"/>
              <w:rPr>
                <w:rFonts w:cs="Arial"/>
                <w:bCs/>
                <w:sz w:val="20"/>
                <w:szCs w:val="20"/>
              </w:rPr>
            </w:pPr>
            <w:r>
              <w:rPr>
                <w:rFonts w:cs="Arial"/>
                <w:bCs/>
                <w:sz w:val="20"/>
                <w:szCs w:val="20"/>
              </w:rPr>
              <w:t>Comprehensive net e</w:t>
            </w:r>
            <w:r w:rsidRPr="003061F1">
              <w:rPr>
                <w:rFonts w:cs="Arial"/>
                <w:bCs/>
                <w:sz w:val="20"/>
                <w:szCs w:val="20"/>
              </w:rPr>
              <w:t>xpenditure for the year</w:t>
            </w:r>
          </w:p>
          <w:p w14:paraId="4A67E7DA" w14:textId="77777777" w:rsidR="002B787F" w:rsidRDefault="002B787F" w:rsidP="006F26A2">
            <w:pPr>
              <w:widowControl w:val="0"/>
              <w:autoSpaceDE w:val="0"/>
              <w:autoSpaceDN w:val="0"/>
              <w:adjustRightInd w:val="0"/>
              <w:rPr>
                <w:rFonts w:cs="Arial"/>
                <w:bCs/>
                <w:sz w:val="20"/>
                <w:szCs w:val="20"/>
              </w:rPr>
            </w:pPr>
          </w:p>
          <w:p w14:paraId="06F75A9D" w14:textId="1214A035" w:rsidR="00963A97" w:rsidRDefault="00963A97" w:rsidP="006F26A2">
            <w:pPr>
              <w:widowControl w:val="0"/>
              <w:autoSpaceDE w:val="0"/>
              <w:autoSpaceDN w:val="0"/>
              <w:adjustRightInd w:val="0"/>
              <w:rPr>
                <w:rFonts w:cs="Arial"/>
                <w:bCs/>
                <w:sz w:val="20"/>
                <w:szCs w:val="20"/>
              </w:rPr>
            </w:pPr>
            <w:r>
              <w:rPr>
                <w:rFonts w:cs="Arial"/>
                <w:bCs/>
                <w:sz w:val="20"/>
                <w:szCs w:val="20"/>
              </w:rPr>
              <w:t>Net gain on revaluation of property</w:t>
            </w:r>
          </w:p>
          <w:p w14:paraId="0F3666F9" w14:textId="77777777" w:rsidR="002B787F" w:rsidRPr="003061F1" w:rsidRDefault="002B787F" w:rsidP="006F26A2">
            <w:pPr>
              <w:widowControl w:val="0"/>
              <w:autoSpaceDE w:val="0"/>
              <w:autoSpaceDN w:val="0"/>
              <w:adjustRightInd w:val="0"/>
              <w:rPr>
                <w:sz w:val="20"/>
                <w:szCs w:val="20"/>
              </w:rPr>
            </w:pPr>
          </w:p>
        </w:tc>
        <w:tc>
          <w:tcPr>
            <w:tcW w:w="2268" w:type="dxa"/>
          </w:tcPr>
          <w:p w14:paraId="35190A97" w14:textId="77777777" w:rsidR="002B787F" w:rsidRDefault="002B787F" w:rsidP="006F26A2">
            <w:pPr>
              <w:widowControl w:val="0"/>
              <w:autoSpaceDE w:val="0"/>
              <w:autoSpaceDN w:val="0"/>
              <w:adjustRightInd w:val="0"/>
              <w:jc w:val="right"/>
              <w:rPr>
                <w:sz w:val="20"/>
                <w:szCs w:val="20"/>
              </w:rPr>
            </w:pPr>
          </w:p>
          <w:p w14:paraId="30D539BF" w14:textId="53046AF7" w:rsidR="002B787F" w:rsidRDefault="002B787F" w:rsidP="0029565E">
            <w:pPr>
              <w:widowControl w:val="0"/>
              <w:autoSpaceDE w:val="0"/>
              <w:autoSpaceDN w:val="0"/>
              <w:adjustRightInd w:val="0"/>
              <w:jc w:val="right"/>
              <w:rPr>
                <w:sz w:val="20"/>
                <w:szCs w:val="20"/>
              </w:rPr>
            </w:pPr>
            <w:r>
              <w:rPr>
                <w:sz w:val="20"/>
                <w:szCs w:val="20"/>
              </w:rPr>
              <w:t>(</w:t>
            </w:r>
            <w:r w:rsidR="00963A97">
              <w:rPr>
                <w:sz w:val="20"/>
                <w:szCs w:val="20"/>
              </w:rPr>
              <w:t>2,</w:t>
            </w:r>
            <w:r w:rsidR="004E5A0C">
              <w:rPr>
                <w:sz w:val="20"/>
                <w:szCs w:val="20"/>
              </w:rPr>
              <w:t>476</w:t>
            </w:r>
            <w:r w:rsidR="00963A97">
              <w:rPr>
                <w:sz w:val="20"/>
                <w:szCs w:val="20"/>
              </w:rPr>
              <w:t>,</w:t>
            </w:r>
            <w:r w:rsidR="004E5A0C">
              <w:rPr>
                <w:sz w:val="20"/>
                <w:szCs w:val="20"/>
              </w:rPr>
              <w:t>244</w:t>
            </w:r>
            <w:r w:rsidR="00963A97">
              <w:rPr>
                <w:sz w:val="20"/>
                <w:szCs w:val="20"/>
              </w:rPr>
              <w:t>)</w:t>
            </w:r>
          </w:p>
          <w:p w14:paraId="697BC5AC" w14:textId="77777777" w:rsidR="006C5F48" w:rsidRDefault="006C5F48" w:rsidP="0029565E">
            <w:pPr>
              <w:widowControl w:val="0"/>
              <w:autoSpaceDE w:val="0"/>
              <w:autoSpaceDN w:val="0"/>
              <w:adjustRightInd w:val="0"/>
              <w:jc w:val="right"/>
              <w:rPr>
                <w:sz w:val="20"/>
                <w:szCs w:val="20"/>
              </w:rPr>
            </w:pPr>
          </w:p>
          <w:p w14:paraId="65B8DE32" w14:textId="77777777" w:rsidR="006C5F48" w:rsidRDefault="006C5F48" w:rsidP="0029565E">
            <w:pPr>
              <w:widowControl w:val="0"/>
              <w:autoSpaceDE w:val="0"/>
              <w:autoSpaceDN w:val="0"/>
              <w:adjustRightInd w:val="0"/>
              <w:jc w:val="right"/>
              <w:rPr>
                <w:sz w:val="20"/>
                <w:szCs w:val="20"/>
              </w:rPr>
            </w:pPr>
          </w:p>
          <w:p w14:paraId="1CB81C2C" w14:textId="003114EF" w:rsidR="006C5F48" w:rsidRPr="003061F1" w:rsidRDefault="006C5F48" w:rsidP="0029565E">
            <w:pPr>
              <w:widowControl w:val="0"/>
              <w:autoSpaceDE w:val="0"/>
              <w:autoSpaceDN w:val="0"/>
              <w:adjustRightInd w:val="0"/>
              <w:jc w:val="right"/>
              <w:rPr>
                <w:sz w:val="20"/>
                <w:szCs w:val="20"/>
              </w:rPr>
            </w:pPr>
            <w:r>
              <w:rPr>
                <w:sz w:val="20"/>
                <w:szCs w:val="20"/>
              </w:rPr>
              <w:t>0</w:t>
            </w:r>
          </w:p>
        </w:tc>
        <w:tc>
          <w:tcPr>
            <w:tcW w:w="2268" w:type="dxa"/>
          </w:tcPr>
          <w:p w14:paraId="3EFF75F9" w14:textId="77777777" w:rsidR="002B787F" w:rsidRDefault="002B787F" w:rsidP="002B787F">
            <w:pPr>
              <w:widowControl w:val="0"/>
              <w:autoSpaceDE w:val="0"/>
              <w:autoSpaceDN w:val="0"/>
              <w:adjustRightInd w:val="0"/>
              <w:ind w:right="597"/>
              <w:jc w:val="right"/>
              <w:rPr>
                <w:sz w:val="20"/>
                <w:szCs w:val="20"/>
              </w:rPr>
            </w:pPr>
          </w:p>
          <w:p w14:paraId="17A1E0CE" w14:textId="77777777" w:rsidR="007F35D2" w:rsidRDefault="007F35D2" w:rsidP="002B787F">
            <w:pPr>
              <w:widowControl w:val="0"/>
              <w:autoSpaceDE w:val="0"/>
              <w:autoSpaceDN w:val="0"/>
              <w:adjustRightInd w:val="0"/>
              <w:ind w:right="597"/>
              <w:jc w:val="right"/>
              <w:rPr>
                <w:sz w:val="20"/>
                <w:szCs w:val="20"/>
              </w:rPr>
            </w:pPr>
            <w:r>
              <w:rPr>
                <w:sz w:val="20"/>
                <w:szCs w:val="20"/>
              </w:rPr>
              <w:t>0</w:t>
            </w:r>
          </w:p>
          <w:p w14:paraId="23146D19" w14:textId="77777777" w:rsidR="00963A97" w:rsidRPr="00963A97" w:rsidRDefault="00963A97" w:rsidP="00963A97">
            <w:pPr>
              <w:rPr>
                <w:sz w:val="20"/>
                <w:szCs w:val="20"/>
              </w:rPr>
            </w:pPr>
          </w:p>
          <w:p w14:paraId="5561A969" w14:textId="77777777" w:rsidR="00963A97" w:rsidRPr="00963A97" w:rsidRDefault="00963A97" w:rsidP="00963A97">
            <w:pPr>
              <w:rPr>
                <w:sz w:val="20"/>
                <w:szCs w:val="20"/>
              </w:rPr>
            </w:pPr>
          </w:p>
          <w:p w14:paraId="1C565978" w14:textId="398D827C" w:rsidR="00963A97" w:rsidRPr="00963A97" w:rsidRDefault="00963A97" w:rsidP="00963A97">
            <w:pPr>
              <w:jc w:val="center"/>
              <w:rPr>
                <w:sz w:val="20"/>
                <w:szCs w:val="20"/>
              </w:rPr>
            </w:pPr>
            <w:r>
              <w:rPr>
                <w:sz w:val="20"/>
                <w:szCs w:val="20"/>
              </w:rPr>
              <w:t xml:space="preserve">  </w:t>
            </w:r>
            <w:r w:rsidR="004E5A0C">
              <w:rPr>
                <w:sz w:val="20"/>
                <w:szCs w:val="20"/>
              </w:rPr>
              <w:t>41</w:t>
            </w:r>
            <w:r>
              <w:rPr>
                <w:sz w:val="20"/>
                <w:szCs w:val="20"/>
              </w:rPr>
              <w:t>,</w:t>
            </w:r>
            <w:r w:rsidR="004E5A0C">
              <w:rPr>
                <w:sz w:val="20"/>
                <w:szCs w:val="20"/>
              </w:rPr>
              <w:t>2</w:t>
            </w:r>
            <w:r>
              <w:rPr>
                <w:sz w:val="20"/>
                <w:szCs w:val="20"/>
              </w:rPr>
              <w:t>03</w:t>
            </w:r>
          </w:p>
        </w:tc>
        <w:tc>
          <w:tcPr>
            <w:tcW w:w="2269" w:type="dxa"/>
          </w:tcPr>
          <w:p w14:paraId="5E1D8B3D" w14:textId="7C211603" w:rsidR="002B787F" w:rsidRPr="003061F1" w:rsidRDefault="002B787F" w:rsidP="00612DE1">
            <w:pPr>
              <w:widowControl w:val="0"/>
              <w:autoSpaceDE w:val="0"/>
              <w:autoSpaceDN w:val="0"/>
              <w:adjustRightInd w:val="0"/>
              <w:ind w:right="740"/>
              <w:jc w:val="right"/>
              <w:rPr>
                <w:sz w:val="20"/>
                <w:szCs w:val="20"/>
              </w:rPr>
            </w:pPr>
          </w:p>
          <w:p w14:paraId="7FBC4B33" w14:textId="2F1A45A0" w:rsidR="002B787F" w:rsidRDefault="002B787F" w:rsidP="00612DE1">
            <w:pPr>
              <w:widowControl w:val="0"/>
              <w:autoSpaceDE w:val="0"/>
              <w:autoSpaceDN w:val="0"/>
              <w:adjustRightInd w:val="0"/>
              <w:ind w:right="740"/>
              <w:jc w:val="right"/>
              <w:rPr>
                <w:sz w:val="20"/>
                <w:szCs w:val="20"/>
              </w:rPr>
            </w:pPr>
            <w:r>
              <w:rPr>
                <w:sz w:val="20"/>
                <w:szCs w:val="20"/>
              </w:rPr>
              <w:t>(</w:t>
            </w:r>
            <w:r w:rsidR="00963A97">
              <w:rPr>
                <w:sz w:val="20"/>
                <w:szCs w:val="20"/>
              </w:rPr>
              <w:t>2,</w:t>
            </w:r>
            <w:r w:rsidR="004E5A0C">
              <w:rPr>
                <w:sz w:val="20"/>
                <w:szCs w:val="20"/>
              </w:rPr>
              <w:t>476</w:t>
            </w:r>
            <w:r w:rsidR="00963A97">
              <w:rPr>
                <w:sz w:val="20"/>
                <w:szCs w:val="20"/>
              </w:rPr>
              <w:t>,</w:t>
            </w:r>
            <w:r w:rsidR="004E5A0C">
              <w:rPr>
                <w:sz w:val="20"/>
                <w:szCs w:val="20"/>
              </w:rPr>
              <w:t>244</w:t>
            </w:r>
            <w:r>
              <w:rPr>
                <w:sz w:val="20"/>
                <w:szCs w:val="20"/>
              </w:rPr>
              <w:t>)</w:t>
            </w:r>
          </w:p>
          <w:p w14:paraId="45924A8B" w14:textId="77777777" w:rsidR="006C5F48" w:rsidRDefault="006C5F48" w:rsidP="00612DE1">
            <w:pPr>
              <w:widowControl w:val="0"/>
              <w:autoSpaceDE w:val="0"/>
              <w:autoSpaceDN w:val="0"/>
              <w:adjustRightInd w:val="0"/>
              <w:ind w:right="740"/>
              <w:jc w:val="right"/>
              <w:rPr>
                <w:sz w:val="20"/>
                <w:szCs w:val="20"/>
              </w:rPr>
            </w:pPr>
          </w:p>
          <w:p w14:paraId="4B211681" w14:textId="77777777" w:rsidR="006C5F48" w:rsidRDefault="006C5F48" w:rsidP="00612DE1">
            <w:pPr>
              <w:widowControl w:val="0"/>
              <w:autoSpaceDE w:val="0"/>
              <w:autoSpaceDN w:val="0"/>
              <w:adjustRightInd w:val="0"/>
              <w:ind w:right="740"/>
              <w:jc w:val="right"/>
              <w:rPr>
                <w:sz w:val="20"/>
                <w:szCs w:val="20"/>
              </w:rPr>
            </w:pPr>
          </w:p>
          <w:p w14:paraId="2E739966" w14:textId="7A1E407B" w:rsidR="006C5F48" w:rsidRPr="003061F1" w:rsidRDefault="004E5A0C" w:rsidP="00612DE1">
            <w:pPr>
              <w:widowControl w:val="0"/>
              <w:autoSpaceDE w:val="0"/>
              <w:autoSpaceDN w:val="0"/>
              <w:adjustRightInd w:val="0"/>
              <w:ind w:right="740"/>
              <w:jc w:val="right"/>
              <w:rPr>
                <w:sz w:val="20"/>
                <w:szCs w:val="20"/>
              </w:rPr>
            </w:pPr>
            <w:r>
              <w:rPr>
                <w:sz w:val="20"/>
                <w:szCs w:val="20"/>
              </w:rPr>
              <w:t>41</w:t>
            </w:r>
            <w:r w:rsidR="006C5F48">
              <w:rPr>
                <w:sz w:val="20"/>
                <w:szCs w:val="20"/>
              </w:rPr>
              <w:t>,</w:t>
            </w:r>
            <w:r>
              <w:rPr>
                <w:sz w:val="20"/>
                <w:szCs w:val="20"/>
              </w:rPr>
              <w:t>2</w:t>
            </w:r>
            <w:r w:rsidR="006C5F48">
              <w:rPr>
                <w:sz w:val="20"/>
                <w:szCs w:val="20"/>
              </w:rPr>
              <w:t>03</w:t>
            </w:r>
          </w:p>
        </w:tc>
      </w:tr>
      <w:tr w:rsidR="002B787F" w:rsidRPr="00756704" w14:paraId="5377BB8B" w14:textId="77777777" w:rsidTr="00664A13">
        <w:tc>
          <w:tcPr>
            <w:tcW w:w="2268" w:type="dxa"/>
          </w:tcPr>
          <w:p w14:paraId="17097670" w14:textId="77777777" w:rsidR="002B787F" w:rsidRPr="003061F1" w:rsidRDefault="002B787F" w:rsidP="006F26A2">
            <w:pPr>
              <w:widowControl w:val="0"/>
              <w:autoSpaceDE w:val="0"/>
              <w:autoSpaceDN w:val="0"/>
              <w:adjustRightInd w:val="0"/>
              <w:rPr>
                <w:sz w:val="20"/>
                <w:szCs w:val="20"/>
              </w:rPr>
            </w:pPr>
            <w:r w:rsidRPr="003061F1">
              <w:rPr>
                <w:sz w:val="20"/>
                <w:szCs w:val="20"/>
              </w:rPr>
              <w:t>Grant-in-aid from NIO</w:t>
            </w:r>
          </w:p>
        </w:tc>
        <w:tc>
          <w:tcPr>
            <w:tcW w:w="2268" w:type="dxa"/>
            <w:tcBorders>
              <w:bottom w:val="single" w:sz="4" w:space="0" w:color="auto"/>
            </w:tcBorders>
          </w:tcPr>
          <w:p w14:paraId="61116972" w14:textId="0E8ED69A" w:rsidR="002B787F" w:rsidRPr="003061F1" w:rsidRDefault="00963A97" w:rsidP="006F26A2">
            <w:pPr>
              <w:widowControl w:val="0"/>
              <w:autoSpaceDE w:val="0"/>
              <w:autoSpaceDN w:val="0"/>
              <w:adjustRightInd w:val="0"/>
              <w:jc w:val="right"/>
              <w:rPr>
                <w:sz w:val="20"/>
                <w:szCs w:val="20"/>
              </w:rPr>
            </w:pPr>
            <w:r>
              <w:rPr>
                <w:sz w:val="20"/>
                <w:szCs w:val="20"/>
              </w:rPr>
              <w:t>2,</w:t>
            </w:r>
            <w:r w:rsidR="004E5A0C">
              <w:rPr>
                <w:sz w:val="20"/>
                <w:szCs w:val="20"/>
              </w:rPr>
              <w:t>281</w:t>
            </w:r>
            <w:r>
              <w:rPr>
                <w:sz w:val="20"/>
                <w:szCs w:val="20"/>
              </w:rPr>
              <w:t>,</w:t>
            </w:r>
            <w:r w:rsidR="004E5A0C">
              <w:rPr>
                <w:sz w:val="20"/>
                <w:szCs w:val="20"/>
              </w:rPr>
              <w:t>391</w:t>
            </w:r>
          </w:p>
        </w:tc>
        <w:tc>
          <w:tcPr>
            <w:tcW w:w="2268" w:type="dxa"/>
            <w:tcBorders>
              <w:bottom w:val="single" w:sz="4" w:space="0" w:color="auto"/>
            </w:tcBorders>
          </w:tcPr>
          <w:p w14:paraId="28DCC2CB" w14:textId="2616F030" w:rsidR="002B787F" w:rsidRDefault="009C3FBE" w:rsidP="002B787F">
            <w:pPr>
              <w:widowControl w:val="0"/>
              <w:autoSpaceDE w:val="0"/>
              <w:autoSpaceDN w:val="0"/>
              <w:adjustRightInd w:val="0"/>
              <w:ind w:right="597"/>
              <w:jc w:val="right"/>
              <w:rPr>
                <w:sz w:val="20"/>
                <w:szCs w:val="20"/>
              </w:rPr>
            </w:pPr>
            <w:r>
              <w:rPr>
                <w:sz w:val="20"/>
                <w:szCs w:val="20"/>
              </w:rPr>
              <w:t>0</w:t>
            </w:r>
          </w:p>
        </w:tc>
        <w:tc>
          <w:tcPr>
            <w:tcW w:w="2269" w:type="dxa"/>
            <w:tcBorders>
              <w:bottom w:val="single" w:sz="4" w:space="0" w:color="auto"/>
            </w:tcBorders>
          </w:tcPr>
          <w:p w14:paraId="7407348B" w14:textId="09AC3A73" w:rsidR="002B787F" w:rsidRPr="003061F1" w:rsidRDefault="00963A97" w:rsidP="00612DE1">
            <w:pPr>
              <w:widowControl w:val="0"/>
              <w:autoSpaceDE w:val="0"/>
              <w:autoSpaceDN w:val="0"/>
              <w:adjustRightInd w:val="0"/>
              <w:ind w:right="740"/>
              <w:jc w:val="right"/>
              <w:rPr>
                <w:sz w:val="20"/>
                <w:szCs w:val="20"/>
              </w:rPr>
            </w:pPr>
            <w:r>
              <w:rPr>
                <w:sz w:val="20"/>
                <w:szCs w:val="20"/>
              </w:rPr>
              <w:t>2,</w:t>
            </w:r>
            <w:r w:rsidR="004E5A0C">
              <w:rPr>
                <w:sz w:val="20"/>
                <w:szCs w:val="20"/>
              </w:rPr>
              <w:t>281</w:t>
            </w:r>
            <w:r>
              <w:rPr>
                <w:sz w:val="20"/>
                <w:szCs w:val="20"/>
              </w:rPr>
              <w:t>,</w:t>
            </w:r>
            <w:r w:rsidR="004E5A0C">
              <w:rPr>
                <w:sz w:val="20"/>
                <w:szCs w:val="20"/>
              </w:rPr>
              <w:t>391</w:t>
            </w:r>
          </w:p>
        </w:tc>
      </w:tr>
      <w:tr w:rsidR="002B787F" w:rsidRPr="00756704" w14:paraId="4BF64C86" w14:textId="77777777" w:rsidTr="00664A13">
        <w:tc>
          <w:tcPr>
            <w:tcW w:w="2268" w:type="dxa"/>
          </w:tcPr>
          <w:p w14:paraId="3362B7DC" w14:textId="77777777" w:rsidR="002B787F" w:rsidRPr="003061F1" w:rsidRDefault="002B787F" w:rsidP="006F26A2">
            <w:pPr>
              <w:widowControl w:val="0"/>
              <w:autoSpaceDE w:val="0"/>
              <w:autoSpaceDN w:val="0"/>
              <w:adjustRightInd w:val="0"/>
              <w:rPr>
                <w:b/>
                <w:sz w:val="20"/>
                <w:szCs w:val="20"/>
              </w:rPr>
            </w:pPr>
          </w:p>
          <w:p w14:paraId="6D345021" w14:textId="433F6058" w:rsidR="002B787F" w:rsidRPr="003061F1" w:rsidRDefault="002B787F" w:rsidP="006F26A2">
            <w:pPr>
              <w:widowControl w:val="0"/>
              <w:autoSpaceDE w:val="0"/>
              <w:autoSpaceDN w:val="0"/>
              <w:adjustRightInd w:val="0"/>
              <w:rPr>
                <w:b/>
                <w:sz w:val="20"/>
                <w:szCs w:val="20"/>
              </w:rPr>
            </w:pPr>
            <w:r>
              <w:rPr>
                <w:b/>
                <w:sz w:val="20"/>
                <w:szCs w:val="20"/>
              </w:rPr>
              <w:t xml:space="preserve">Balance </w:t>
            </w:r>
            <w:proofErr w:type="gramStart"/>
            <w:r>
              <w:rPr>
                <w:b/>
                <w:sz w:val="20"/>
                <w:szCs w:val="20"/>
              </w:rPr>
              <w:t>at</w:t>
            </w:r>
            <w:proofErr w:type="gramEnd"/>
            <w:r>
              <w:rPr>
                <w:b/>
                <w:sz w:val="20"/>
                <w:szCs w:val="20"/>
              </w:rPr>
              <w:t xml:space="preserve"> 31 March 202</w:t>
            </w:r>
            <w:r w:rsidR="004E5A0C">
              <w:rPr>
                <w:b/>
                <w:sz w:val="20"/>
                <w:szCs w:val="20"/>
              </w:rPr>
              <w:t>3</w:t>
            </w:r>
          </w:p>
        </w:tc>
        <w:tc>
          <w:tcPr>
            <w:tcW w:w="2268" w:type="dxa"/>
            <w:tcBorders>
              <w:top w:val="single" w:sz="4" w:space="0" w:color="auto"/>
              <w:bottom w:val="single" w:sz="4" w:space="0" w:color="auto"/>
            </w:tcBorders>
          </w:tcPr>
          <w:p w14:paraId="0AF300B2" w14:textId="77777777" w:rsidR="002B787F" w:rsidRDefault="002B787F" w:rsidP="006F26A2">
            <w:pPr>
              <w:widowControl w:val="0"/>
              <w:autoSpaceDE w:val="0"/>
              <w:autoSpaceDN w:val="0"/>
              <w:adjustRightInd w:val="0"/>
              <w:jc w:val="right"/>
              <w:rPr>
                <w:b/>
                <w:sz w:val="20"/>
                <w:szCs w:val="20"/>
              </w:rPr>
            </w:pPr>
          </w:p>
          <w:p w14:paraId="276E6623" w14:textId="56A8157D" w:rsidR="002B787F" w:rsidRPr="003061F1" w:rsidRDefault="004E5A0C" w:rsidP="0029565E">
            <w:pPr>
              <w:widowControl w:val="0"/>
              <w:autoSpaceDE w:val="0"/>
              <w:autoSpaceDN w:val="0"/>
              <w:adjustRightInd w:val="0"/>
              <w:jc w:val="right"/>
              <w:rPr>
                <w:b/>
                <w:sz w:val="20"/>
                <w:szCs w:val="20"/>
              </w:rPr>
            </w:pPr>
            <w:r>
              <w:rPr>
                <w:b/>
                <w:sz w:val="20"/>
                <w:szCs w:val="20"/>
              </w:rPr>
              <w:t>624</w:t>
            </w:r>
            <w:r w:rsidR="00963A97">
              <w:rPr>
                <w:b/>
                <w:sz w:val="20"/>
                <w:szCs w:val="20"/>
              </w:rPr>
              <w:t>,</w:t>
            </w:r>
            <w:r>
              <w:rPr>
                <w:b/>
                <w:sz w:val="20"/>
                <w:szCs w:val="20"/>
              </w:rPr>
              <w:t>797</w:t>
            </w:r>
          </w:p>
        </w:tc>
        <w:tc>
          <w:tcPr>
            <w:tcW w:w="2268" w:type="dxa"/>
            <w:tcBorders>
              <w:top w:val="single" w:sz="4" w:space="0" w:color="auto"/>
              <w:bottom w:val="single" w:sz="4" w:space="0" w:color="auto"/>
            </w:tcBorders>
          </w:tcPr>
          <w:p w14:paraId="19DF5A15" w14:textId="77777777" w:rsidR="002B787F" w:rsidRDefault="002B787F" w:rsidP="002B787F">
            <w:pPr>
              <w:widowControl w:val="0"/>
              <w:autoSpaceDE w:val="0"/>
              <w:autoSpaceDN w:val="0"/>
              <w:adjustRightInd w:val="0"/>
              <w:ind w:right="597"/>
              <w:jc w:val="right"/>
              <w:rPr>
                <w:b/>
                <w:sz w:val="20"/>
                <w:szCs w:val="20"/>
              </w:rPr>
            </w:pPr>
          </w:p>
          <w:p w14:paraId="2FBC85CF" w14:textId="6E0B2DF2" w:rsidR="009C3FBE" w:rsidRDefault="004E5A0C" w:rsidP="002B787F">
            <w:pPr>
              <w:widowControl w:val="0"/>
              <w:autoSpaceDE w:val="0"/>
              <w:autoSpaceDN w:val="0"/>
              <w:adjustRightInd w:val="0"/>
              <w:ind w:right="597"/>
              <w:jc w:val="right"/>
              <w:rPr>
                <w:b/>
                <w:sz w:val="20"/>
                <w:szCs w:val="20"/>
              </w:rPr>
            </w:pPr>
            <w:r>
              <w:rPr>
                <w:b/>
                <w:sz w:val="20"/>
                <w:szCs w:val="20"/>
              </w:rPr>
              <w:t>70</w:t>
            </w:r>
            <w:r w:rsidR="00963A97">
              <w:rPr>
                <w:b/>
                <w:sz w:val="20"/>
                <w:szCs w:val="20"/>
              </w:rPr>
              <w:t>,</w:t>
            </w:r>
            <w:r>
              <w:rPr>
                <w:b/>
                <w:sz w:val="20"/>
                <w:szCs w:val="20"/>
              </w:rPr>
              <w:t>606</w:t>
            </w:r>
          </w:p>
        </w:tc>
        <w:tc>
          <w:tcPr>
            <w:tcW w:w="2269" w:type="dxa"/>
            <w:tcBorders>
              <w:top w:val="single" w:sz="4" w:space="0" w:color="auto"/>
              <w:bottom w:val="single" w:sz="4" w:space="0" w:color="auto"/>
            </w:tcBorders>
          </w:tcPr>
          <w:p w14:paraId="51510C67" w14:textId="4019902B" w:rsidR="002B787F" w:rsidRDefault="002B787F" w:rsidP="00612DE1">
            <w:pPr>
              <w:widowControl w:val="0"/>
              <w:autoSpaceDE w:val="0"/>
              <w:autoSpaceDN w:val="0"/>
              <w:adjustRightInd w:val="0"/>
              <w:ind w:right="740"/>
              <w:jc w:val="right"/>
              <w:rPr>
                <w:b/>
                <w:sz w:val="20"/>
                <w:szCs w:val="20"/>
              </w:rPr>
            </w:pPr>
          </w:p>
          <w:p w14:paraId="2D55B465" w14:textId="33EF92CB" w:rsidR="002B787F" w:rsidRPr="003061F1" w:rsidRDefault="004E5A0C" w:rsidP="00612DE1">
            <w:pPr>
              <w:widowControl w:val="0"/>
              <w:autoSpaceDE w:val="0"/>
              <w:autoSpaceDN w:val="0"/>
              <w:adjustRightInd w:val="0"/>
              <w:ind w:right="740"/>
              <w:jc w:val="right"/>
              <w:rPr>
                <w:b/>
                <w:sz w:val="20"/>
                <w:szCs w:val="20"/>
              </w:rPr>
            </w:pPr>
            <w:r>
              <w:rPr>
                <w:b/>
                <w:sz w:val="20"/>
                <w:szCs w:val="20"/>
              </w:rPr>
              <w:t>695</w:t>
            </w:r>
            <w:r w:rsidR="00963A97">
              <w:rPr>
                <w:b/>
                <w:sz w:val="20"/>
                <w:szCs w:val="20"/>
              </w:rPr>
              <w:t>,</w:t>
            </w:r>
            <w:r>
              <w:rPr>
                <w:b/>
                <w:sz w:val="20"/>
                <w:szCs w:val="20"/>
              </w:rPr>
              <w:t>403</w:t>
            </w:r>
          </w:p>
        </w:tc>
      </w:tr>
      <w:tr w:rsidR="002B787F" w:rsidRPr="00756704" w14:paraId="708F3634" w14:textId="77777777" w:rsidTr="00664A13">
        <w:tc>
          <w:tcPr>
            <w:tcW w:w="2268" w:type="dxa"/>
          </w:tcPr>
          <w:p w14:paraId="42E2959C" w14:textId="77777777" w:rsidR="002B787F" w:rsidRPr="003061F1" w:rsidRDefault="002B787F" w:rsidP="006F26A2">
            <w:pPr>
              <w:widowControl w:val="0"/>
              <w:autoSpaceDE w:val="0"/>
              <w:autoSpaceDN w:val="0"/>
              <w:adjustRightInd w:val="0"/>
              <w:rPr>
                <w:sz w:val="20"/>
                <w:szCs w:val="20"/>
              </w:rPr>
            </w:pPr>
          </w:p>
        </w:tc>
        <w:tc>
          <w:tcPr>
            <w:tcW w:w="2268" w:type="dxa"/>
          </w:tcPr>
          <w:p w14:paraId="09924EDA" w14:textId="77777777" w:rsidR="002B787F" w:rsidRPr="003061F1" w:rsidRDefault="002B787F" w:rsidP="006F26A2">
            <w:pPr>
              <w:widowControl w:val="0"/>
              <w:autoSpaceDE w:val="0"/>
              <w:autoSpaceDN w:val="0"/>
              <w:adjustRightInd w:val="0"/>
              <w:jc w:val="right"/>
              <w:rPr>
                <w:sz w:val="20"/>
                <w:szCs w:val="20"/>
              </w:rPr>
            </w:pPr>
          </w:p>
        </w:tc>
        <w:tc>
          <w:tcPr>
            <w:tcW w:w="2268" w:type="dxa"/>
          </w:tcPr>
          <w:p w14:paraId="3A089265" w14:textId="77777777" w:rsidR="002B787F" w:rsidRPr="003061F1" w:rsidRDefault="002B787F" w:rsidP="002B787F">
            <w:pPr>
              <w:widowControl w:val="0"/>
              <w:autoSpaceDE w:val="0"/>
              <w:autoSpaceDN w:val="0"/>
              <w:adjustRightInd w:val="0"/>
              <w:ind w:right="597"/>
              <w:jc w:val="right"/>
              <w:rPr>
                <w:sz w:val="20"/>
                <w:szCs w:val="20"/>
              </w:rPr>
            </w:pPr>
          </w:p>
        </w:tc>
        <w:tc>
          <w:tcPr>
            <w:tcW w:w="2269" w:type="dxa"/>
          </w:tcPr>
          <w:p w14:paraId="4CE7B81E" w14:textId="0F6BEA4F" w:rsidR="002B787F" w:rsidRPr="003061F1" w:rsidRDefault="002B787F" w:rsidP="00612DE1">
            <w:pPr>
              <w:widowControl w:val="0"/>
              <w:autoSpaceDE w:val="0"/>
              <w:autoSpaceDN w:val="0"/>
              <w:adjustRightInd w:val="0"/>
              <w:ind w:right="740"/>
              <w:jc w:val="right"/>
              <w:rPr>
                <w:sz w:val="20"/>
                <w:szCs w:val="20"/>
              </w:rPr>
            </w:pPr>
          </w:p>
        </w:tc>
      </w:tr>
      <w:tr w:rsidR="002B787F" w:rsidRPr="00756704" w14:paraId="221AF7FA" w14:textId="77777777" w:rsidTr="00664A13">
        <w:tc>
          <w:tcPr>
            <w:tcW w:w="2268" w:type="dxa"/>
          </w:tcPr>
          <w:p w14:paraId="411F6AE4" w14:textId="6F191EE0" w:rsidR="002B787F" w:rsidRPr="003061F1" w:rsidRDefault="002B787F" w:rsidP="006F26A2">
            <w:pPr>
              <w:widowControl w:val="0"/>
              <w:autoSpaceDE w:val="0"/>
              <w:autoSpaceDN w:val="0"/>
              <w:adjustRightInd w:val="0"/>
              <w:rPr>
                <w:b/>
                <w:sz w:val="20"/>
                <w:szCs w:val="20"/>
              </w:rPr>
            </w:pPr>
            <w:r w:rsidRPr="003061F1">
              <w:rPr>
                <w:b/>
                <w:sz w:val="20"/>
                <w:szCs w:val="20"/>
              </w:rPr>
              <w:t xml:space="preserve">Changes in taxpayers’ equity for </w:t>
            </w:r>
            <w:r>
              <w:rPr>
                <w:b/>
                <w:sz w:val="20"/>
                <w:szCs w:val="20"/>
              </w:rPr>
              <w:t>202</w:t>
            </w:r>
            <w:r w:rsidR="004E5A0C">
              <w:rPr>
                <w:b/>
                <w:sz w:val="20"/>
                <w:szCs w:val="20"/>
              </w:rPr>
              <w:t>3</w:t>
            </w:r>
            <w:r>
              <w:rPr>
                <w:b/>
                <w:sz w:val="20"/>
                <w:szCs w:val="20"/>
              </w:rPr>
              <w:t>-2</w:t>
            </w:r>
            <w:r w:rsidR="004E5A0C">
              <w:rPr>
                <w:b/>
                <w:sz w:val="20"/>
                <w:szCs w:val="20"/>
              </w:rPr>
              <w:t>4</w:t>
            </w:r>
          </w:p>
        </w:tc>
        <w:tc>
          <w:tcPr>
            <w:tcW w:w="2268" w:type="dxa"/>
          </w:tcPr>
          <w:p w14:paraId="6D548C5C" w14:textId="77777777" w:rsidR="002B787F" w:rsidRPr="003061F1" w:rsidRDefault="002B787F" w:rsidP="006F26A2">
            <w:pPr>
              <w:widowControl w:val="0"/>
              <w:autoSpaceDE w:val="0"/>
              <w:autoSpaceDN w:val="0"/>
              <w:adjustRightInd w:val="0"/>
              <w:jc w:val="right"/>
              <w:rPr>
                <w:sz w:val="20"/>
                <w:szCs w:val="20"/>
              </w:rPr>
            </w:pPr>
          </w:p>
        </w:tc>
        <w:tc>
          <w:tcPr>
            <w:tcW w:w="2268" w:type="dxa"/>
          </w:tcPr>
          <w:p w14:paraId="6BFAAE23" w14:textId="77777777" w:rsidR="002B787F" w:rsidRPr="003061F1" w:rsidRDefault="002B787F" w:rsidP="002B787F">
            <w:pPr>
              <w:widowControl w:val="0"/>
              <w:autoSpaceDE w:val="0"/>
              <w:autoSpaceDN w:val="0"/>
              <w:adjustRightInd w:val="0"/>
              <w:ind w:right="597"/>
              <w:jc w:val="right"/>
              <w:rPr>
                <w:sz w:val="20"/>
                <w:szCs w:val="20"/>
              </w:rPr>
            </w:pPr>
          </w:p>
        </w:tc>
        <w:tc>
          <w:tcPr>
            <w:tcW w:w="2269" w:type="dxa"/>
          </w:tcPr>
          <w:p w14:paraId="5F9995F6" w14:textId="5CB0214F" w:rsidR="002B787F" w:rsidRPr="003061F1" w:rsidRDefault="002B787F" w:rsidP="00612DE1">
            <w:pPr>
              <w:widowControl w:val="0"/>
              <w:autoSpaceDE w:val="0"/>
              <w:autoSpaceDN w:val="0"/>
              <w:adjustRightInd w:val="0"/>
              <w:ind w:right="740"/>
              <w:jc w:val="right"/>
              <w:rPr>
                <w:sz w:val="20"/>
                <w:szCs w:val="20"/>
              </w:rPr>
            </w:pPr>
          </w:p>
        </w:tc>
      </w:tr>
      <w:tr w:rsidR="002B787F" w:rsidRPr="002D3016" w14:paraId="77F4CA9C" w14:textId="77777777" w:rsidTr="00664A13">
        <w:tc>
          <w:tcPr>
            <w:tcW w:w="2268" w:type="dxa"/>
          </w:tcPr>
          <w:p w14:paraId="7FA80417" w14:textId="77777777" w:rsidR="002B787F" w:rsidRPr="003061F1" w:rsidRDefault="002B787F" w:rsidP="006F26A2">
            <w:pPr>
              <w:widowControl w:val="0"/>
              <w:autoSpaceDE w:val="0"/>
              <w:autoSpaceDN w:val="0"/>
              <w:adjustRightInd w:val="0"/>
              <w:rPr>
                <w:sz w:val="20"/>
                <w:szCs w:val="20"/>
              </w:rPr>
            </w:pPr>
          </w:p>
          <w:p w14:paraId="6BB1D120" w14:textId="77777777" w:rsidR="002B787F" w:rsidRDefault="002B787F" w:rsidP="006F26A2">
            <w:pPr>
              <w:widowControl w:val="0"/>
              <w:autoSpaceDE w:val="0"/>
              <w:autoSpaceDN w:val="0"/>
              <w:adjustRightInd w:val="0"/>
              <w:rPr>
                <w:rFonts w:cs="Arial"/>
                <w:bCs/>
                <w:sz w:val="20"/>
                <w:szCs w:val="20"/>
              </w:rPr>
            </w:pPr>
            <w:r>
              <w:rPr>
                <w:rFonts w:cs="Arial"/>
                <w:bCs/>
                <w:sz w:val="20"/>
                <w:szCs w:val="20"/>
              </w:rPr>
              <w:t>Comprehensive net e</w:t>
            </w:r>
            <w:r w:rsidRPr="003061F1">
              <w:rPr>
                <w:rFonts w:cs="Arial"/>
                <w:bCs/>
                <w:sz w:val="20"/>
                <w:szCs w:val="20"/>
              </w:rPr>
              <w:t>xpenditure for the year</w:t>
            </w:r>
          </w:p>
          <w:p w14:paraId="1FB0B2AF" w14:textId="77777777" w:rsidR="002B787F" w:rsidRDefault="002B787F" w:rsidP="006F26A2">
            <w:pPr>
              <w:widowControl w:val="0"/>
              <w:autoSpaceDE w:val="0"/>
              <w:autoSpaceDN w:val="0"/>
              <w:adjustRightInd w:val="0"/>
              <w:rPr>
                <w:rFonts w:cs="Arial"/>
                <w:bCs/>
                <w:sz w:val="20"/>
                <w:szCs w:val="20"/>
              </w:rPr>
            </w:pPr>
          </w:p>
          <w:p w14:paraId="58C3B95E" w14:textId="77777777" w:rsidR="002B787F" w:rsidRPr="0091473F" w:rsidRDefault="002B787F" w:rsidP="006F26A2">
            <w:pPr>
              <w:widowControl w:val="0"/>
              <w:autoSpaceDE w:val="0"/>
              <w:autoSpaceDN w:val="0"/>
              <w:adjustRightInd w:val="0"/>
              <w:rPr>
                <w:rFonts w:cs="Arial"/>
                <w:bCs/>
                <w:sz w:val="20"/>
                <w:szCs w:val="20"/>
              </w:rPr>
            </w:pPr>
            <w:r>
              <w:rPr>
                <w:rFonts w:cs="Arial"/>
                <w:bCs/>
                <w:sz w:val="20"/>
                <w:szCs w:val="20"/>
              </w:rPr>
              <w:t>Net gain on revaluation of property</w:t>
            </w:r>
          </w:p>
        </w:tc>
        <w:tc>
          <w:tcPr>
            <w:tcW w:w="2268" w:type="dxa"/>
          </w:tcPr>
          <w:p w14:paraId="67AB2429" w14:textId="77777777" w:rsidR="002B787F" w:rsidRDefault="002B787F" w:rsidP="006F26A2">
            <w:pPr>
              <w:widowControl w:val="0"/>
              <w:autoSpaceDE w:val="0"/>
              <w:autoSpaceDN w:val="0"/>
              <w:adjustRightInd w:val="0"/>
              <w:jc w:val="right"/>
              <w:rPr>
                <w:sz w:val="20"/>
                <w:szCs w:val="20"/>
              </w:rPr>
            </w:pPr>
          </w:p>
          <w:p w14:paraId="2B973102" w14:textId="77777777" w:rsidR="002B787F" w:rsidRDefault="002B787F" w:rsidP="006F26A2">
            <w:pPr>
              <w:widowControl w:val="0"/>
              <w:autoSpaceDE w:val="0"/>
              <w:autoSpaceDN w:val="0"/>
              <w:adjustRightInd w:val="0"/>
              <w:jc w:val="right"/>
              <w:rPr>
                <w:sz w:val="20"/>
                <w:szCs w:val="20"/>
              </w:rPr>
            </w:pPr>
          </w:p>
          <w:p w14:paraId="623FD3B8" w14:textId="3B63B6F8" w:rsidR="002B787F" w:rsidRDefault="002B787F" w:rsidP="00686C36">
            <w:pPr>
              <w:widowControl w:val="0"/>
              <w:autoSpaceDE w:val="0"/>
              <w:autoSpaceDN w:val="0"/>
              <w:adjustRightInd w:val="0"/>
              <w:jc w:val="right"/>
              <w:rPr>
                <w:sz w:val="20"/>
                <w:szCs w:val="20"/>
              </w:rPr>
            </w:pPr>
            <w:r>
              <w:rPr>
                <w:sz w:val="20"/>
                <w:szCs w:val="20"/>
              </w:rPr>
              <w:t>(</w:t>
            </w:r>
            <w:r w:rsidR="009C3FBE">
              <w:rPr>
                <w:sz w:val="20"/>
                <w:szCs w:val="20"/>
              </w:rPr>
              <w:t>2,</w:t>
            </w:r>
            <w:r w:rsidR="00034AE8">
              <w:rPr>
                <w:sz w:val="20"/>
                <w:szCs w:val="20"/>
              </w:rPr>
              <w:t>702</w:t>
            </w:r>
            <w:r w:rsidR="00963A97">
              <w:rPr>
                <w:sz w:val="20"/>
                <w:szCs w:val="20"/>
              </w:rPr>
              <w:t>,</w:t>
            </w:r>
            <w:r w:rsidR="00034AE8">
              <w:rPr>
                <w:sz w:val="20"/>
                <w:szCs w:val="20"/>
              </w:rPr>
              <w:t>53</w:t>
            </w:r>
            <w:r w:rsidR="00A8223D">
              <w:rPr>
                <w:sz w:val="20"/>
                <w:szCs w:val="20"/>
              </w:rPr>
              <w:t>5</w:t>
            </w:r>
            <w:r>
              <w:rPr>
                <w:sz w:val="20"/>
                <w:szCs w:val="20"/>
              </w:rPr>
              <w:t>)</w:t>
            </w:r>
          </w:p>
          <w:p w14:paraId="45AA2A50" w14:textId="77777777" w:rsidR="002B787F" w:rsidRDefault="002B787F" w:rsidP="00686C36">
            <w:pPr>
              <w:widowControl w:val="0"/>
              <w:autoSpaceDE w:val="0"/>
              <w:autoSpaceDN w:val="0"/>
              <w:adjustRightInd w:val="0"/>
              <w:jc w:val="right"/>
              <w:rPr>
                <w:sz w:val="20"/>
                <w:szCs w:val="20"/>
              </w:rPr>
            </w:pPr>
          </w:p>
          <w:p w14:paraId="63F53CDE" w14:textId="1489122E" w:rsidR="002B787F" w:rsidRDefault="002B787F" w:rsidP="00686C36">
            <w:pPr>
              <w:widowControl w:val="0"/>
              <w:autoSpaceDE w:val="0"/>
              <w:autoSpaceDN w:val="0"/>
              <w:adjustRightInd w:val="0"/>
              <w:jc w:val="right"/>
              <w:rPr>
                <w:sz w:val="20"/>
                <w:szCs w:val="20"/>
              </w:rPr>
            </w:pPr>
          </w:p>
          <w:p w14:paraId="2C260B31" w14:textId="338FCA83" w:rsidR="001F6483" w:rsidRDefault="001F6483" w:rsidP="00686C36">
            <w:pPr>
              <w:widowControl w:val="0"/>
              <w:autoSpaceDE w:val="0"/>
              <w:autoSpaceDN w:val="0"/>
              <w:adjustRightInd w:val="0"/>
              <w:jc w:val="right"/>
              <w:rPr>
                <w:sz w:val="20"/>
                <w:szCs w:val="20"/>
              </w:rPr>
            </w:pPr>
            <w:r>
              <w:rPr>
                <w:sz w:val="20"/>
                <w:szCs w:val="20"/>
              </w:rPr>
              <w:t>0</w:t>
            </w:r>
          </w:p>
        </w:tc>
        <w:tc>
          <w:tcPr>
            <w:tcW w:w="2268" w:type="dxa"/>
          </w:tcPr>
          <w:p w14:paraId="43C347B5" w14:textId="77777777" w:rsidR="002B787F" w:rsidRDefault="002B787F" w:rsidP="002B787F">
            <w:pPr>
              <w:widowControl w:val="0"/>
              <w:autoSpaceDE w:val="0"/>
              <w:autoSpaceDN w:val="0"/>
              <w:adjustRightInd w:val="0"/>
              <w:ind w:right="597"/>
              <w:jc w:val="right"/>
              <w:rPr>
                <w:sz w:val="20"/>
                <w:szCs w:val="20"/>
              </w:rPr>
            </w:pPr>
          </w:p>
          <w:p w14:paraId="3EEF7473" w14:textId="77777777" w:rsidR="009C3FBE" w:rsidRDefault="009C3FBE" w:rsidP="002B787F">
            <w:pPr>
              <w:widowControl w:val="0"/>
              <w:autoSpaceDE w:val="0"/>
              <w:autoSpaceDN w:val="0"/>
              <w:adjustRightInd w:val="0"/>
              <w:ind w:right="597"/>
              <w:jc w:val="right"/>
              <w:rPr>
                <w:sz w:val="20"/>
                <w:szCs w:val="20"/>
              </w:rPr>
            </w:pPr>
          </w:p>
          <w:p w14:paraId="7C18C313" w14:textId="77777777" w:rsidR="009C3FBE" w:rsidRDefault="009C3FBE" w:rsidP="002B787F">
            <w:pPr>
              <w:widowControl w:val="0"/>
              <w:autoSpaceDE w:val="0"/>
              <w:autoSpaceDN w:val="0"/>
              <w:adjustRightInd w:val="0"/>
              <w:ind w:right="597"/>
              <w:jc w:val="right"/>
              <w:rPr>
                <w:sz w:val="20"/>
                <w:szCs w:val="20"/>
              </w:rPr>
            </w:pPr>
            <w:r>
              <w:rPr>
                <w:sz w:val="20"/>
                <w:szCs w:val="20"/>
              </w:rPr>
              <w:t>0</w:t>
            </w:r>
          </w:p>
          <w:p w14:paraId="265C2746" w14:textId="77777777" w:rsidR="001F6483" w:rsidRDefault="001F6483" w:rsidP="002B787F">
            <w:pPr>
              <w:widowControl w:val="0"/>
              <w:autoSpaceDE w:val="0"/>
              <w:autoSpaceDN w:val="0"/>
              <w:adjustRightInd w:val="0"/>
              <w:ind w:right="597"/>
              <w:jc w:val="right"/>
              <w:rPr>
                <w:sz w:val="20"/>
                <w:szCs w:val="20"/>
              </w:rPr>
            </w:pPr>
          </w:p>
          <w:p w14:paraId="4EDCBCA8" w14:textId="77777777" w:rsidR="001F6483" w:rsidRDefault="001F6483" w:rsidP="002B787F">
            <w:pPr>
              <w:widowControl w:val="0"/>
              <w:autoSpaceDE w:val="0"/>
              <w:autoSpaceDN w:val="0"/>
              <w:adjustRightInd w:val="0"/>
              <w:ind w:right="597"/>
              <w:jc w:val="right"/>
              <w:rPr>
                <w:sz w:val="20"/>
                <w:szCs w:val="20"/>
              </w:rPr>
            </w:pPr>
          </w:p>
          <w:p w14:paraId="796E8EC4" w14:textId="201E0A8F" w:rsidR="001F6483" w:rsidRDefault="00034AE8" w:rsidP="002B787F">
            <w:pPr>
              <w:widowControl w:val="0"/>
              <w:autoSpaceDE w:val="0"/>
              <w:autoSpaceDN w:val="0"/>
              <w:adjustRightInd w:val="0"/>
              <w:ind w:right="597"/>
              <w:jc w:val="right"/>
              <w:rPr>
                <w:sz w:val="20"/>
                <w:szCs w:val="20"/>
              </w:rPr>
            </w:pPr>
            <w:r>
              <w:rPr>
                <w:sz w:val="20"/>
                <w:szCs w:val="20"/>
              </w:rPr>
              <w:t>14</w:t>
            </w:r>
            <w:r w:rsidR="002B1F41">
              <w:rPr>
                <w:sz w:val="20"/>
                <w:szCs w:val="20"/>
              </w:rPr>
              <w:t>,</w:t>
            </w:r>
            <w:r>
              <w:rPr>
                <w:sz w:val="20"/>
                <w:szCs w:val="20"/>
              </w:rPr>
              <w:t>976</w:t>
            </w:r>
          </w:p>
          <w:p w14:paraId="32941FEB" w14:textId="77777777" w:rsidR="0063323D" w:rsidRDefault="0063323D" w:rsidP="002B787F">
            <w:pPr>
              <w:widowControl w:val="0"/>
              <w:autoSpaceDE w:val="0"/>
              <w:autoSpaceDN w:val="0"/>
              <w:adjustRightInd w:val="0"/>
              <w:ind w:right="597"/>
              <w:jc w:val="right"/>
              <w:rPr>
                <w:sz w:val="20"/>
                <w:szCs w:val="20"/>
              </w:rPr>
            </w:pPr>
          </w:p>
          <w:p w14:paraId="1BA21119" w14:textId="5BAB9E90" w:rsidR="0063323D" w:rsidRDefault="0063323D" w:rsidP="0063323D">
            <w:pPr>
              <w:widowControl w:val="0"/>
              <w:autoSpaceDE w:val="0"/>
              <w:autoSpaceDN w:val="0"/>
              <w:adjustRightInd w:val="0"/>
              <w:ind w:right="597"/>
              <w:rPr>
                <w:sz w:val="20"/>
                <w:szCs w:val="20"/>
              </w:rPr>
            </w:pPr>
          </w:p>
        </w:tc>
        <w:tc>
          <w:tcPr>
            <w:tcW w:w="2269" w:type="dxa"/>
          </w:tcPr>
          <w:p w14:paraId="4A881F42" w14:textId="64CCB0A8" w:rsidR="002B787F" w:rsidRDefault="002B787F" w:rsidP="00612DE1">
            <w:pPr>
              <w:widowControl w:val="0"/>
              <w:autoSpaceDE w:val="0"/>
              <w:autoSpaceDN w:val="0"/>
              <w:adjustRightInd w:val="0"/>
              <w:ind w:right="740"/>
              <w:jc w:val="right"/>
              <w:rPr>
                <w:sz w:val="20"/>
                <w:szCs w:val="20"/>
              </w:rPr>
            </w:pPr>
          </w:p>
          <w:p w14:paraId="6323F340" w14:textId="77777777" w:rsidR="002B787F" w:rsidRDefault="002B787F" w:rsidP="00612DE1">
            <w:pPr>
              <w:widowControl w:val="0"/>
              <w:autoSpaceDE w:val="0"/>
              <w:autoSpaceDN w:val="0"/>
              <w:adjustRightInd w:val="0"/>
              <w:ind w:right="740"/>
              <w:jc w:val="right"/>
              <w:rPr>
                <w:sz w:val="20"/>
                <w:szCs w:val="20"/>
              </w:rPr>
            </w:pPr>
          </w:p>
          <w:p w14:paraId="7537DB01" w14:textId="0F42124B" w:rsidR="002B787F" w:rsidRDefault="002B787F" w:rsidP="00612DE1">
            <w:pPr>
              <w:widowControl w:val="0"/>
              <w:autoSpaceDE w:val="0"/>
              <w:autoSpaceDN w:val="0"/>
              <w:adjustRightInd w:val="0"/>
              <w:ind w:right="740"/>
              <w:jc w:val="right"/>
              <w:rPr>
                <w:sz w:val="20"/>
                <w:szCs w:val="20"/>
              </w:rPr>
            </w:pPr>
            <w:r>
              <w:rPr>
                <w:sz w:val="20"/>
                <w:szCs w:val="20"/>
              </w:rPr>
              <w:t>(</w:t>
            </w:r>
            <w:r w:rsidR="009C3FBE">
              <w:rPr>
                <w:sz w:val="20"/>
                <w:szCs w:val="20"/>
              </w:rPr>
              <w:t>2,</w:t>
            </w:r>
            <w:r w:rsidR="00034AE8">
              <w:rPr>
                <w:sz w:val="20"/>
                <w:szCs w:val="20"/>
              </w:rPr>
              <w:t>702</w:t>
            </w:r>
            <w:r w:rsidR="002B1F41">
              <w:rPr>
                <w:sz w:val="20"/>
                <w:szCs w:val="20"/>
              </w:rPr>
              <w:t>,</w:t>
            </w:r>
            <w:r w:rsidR="00034AE8">
              <w:rPr>
                <w:sz w:val="20"/>
                <w:szCs w:val="20"/>
              </w:rPr>
              <w:t>53</w:t>
            </w:r>
            <w:r w:rsidR="001F47AF">
              <w:rPr>
                <w:sz w:val="20"/>
                <w:szCs w:val="20"/>
              </w:rPr>
              <w:t>5</w:t>
            </w:r>
            <w:r>
              <w:rPr>
                <w:sz w:val="20"/>
                <w:szCs w:val="20"/>
              </w:rPr>
              <w:t>)</w:t>
            </w:r>
          </w:p>
          <w:p w14:paraId="7AD99FC2" w14:textId="77777777" w:rsidR="002B787F" w:rsidRDefault="002B787F" w:rsidP="00612DE1">
            <w:pPr>
              <w:widowControl w:val="0"/>
              <w:autoSpaceDE w:val="0"/>
              <w:autoSpaceDN w:val="0"/>
              <w:adjustRightInd w:val="0"/>
              <w:ind w:right="740"/>
              <w:jc w:val="right"/>
              <w:rPr>
                <w:sz w:val="20"/>
                <w:szCs w:val="20"/>
              </w:rPr>
            </w:pPr>
          </w:p>
          <w:p w14:paraId="66BB6902" w14:textId="77777777" w:rsidR="001F6483" w:rsidRDefault="001F6483" w:rsidP="00612DE1">
            <w:pPr>
              <w:widowControl w:val="0"/>
              <w:autoSpaceDE w:val="0"/>
              <w:autoSpaceDN w:val="0"/>
              <w:adjustRightInd w:val="0"/>
              <w:ind w:right="740"/>
              <w:jc w:val="right"/>
              <w:rPr>
                <w:sz w:val="20"/>
                <w:szCs w:val="20"/>
              </w:rPr>
            </w:pPr>
          </w:p>
          <w:p w14:paraId="09D2D2FC" w14:textId="1CF7BDCD" w:rsidR="002B787F" w:rsidRPr="003061F1" w:rsidRDefault="00034AE8" w:rsidP="00612DE1">
            <w:pPr>
              <w:widowControl w:val="0"/>
              <w:autoSpaceDE w:val="0"/>
              <w:autoSpaceDN w:val="0"/>
              <w:adjustRightInd w:val="0"/>
              <w:ind w:right="740"/>
              <w:jc w:val="right"/>
              <w:rPr>
                <w:sz w:val="20"/>
                <w:szCs w:val="20"/>
              </w:rPr>
            </w:pPr>
            <w:r>
              <w:rPr>
                <w:sz w:val="20"/>
                <w:szCs w:val="20"/>
              </w:rPr>
              <w:t>14</w:t>
            </w:r>
            <w:r w:rsidR="002B1F41">
              <w:rPr>
                <w:sz w:val="20"/>
                <w:szCs w:val="20"/>
              </w:rPr>
              <w:t>,</w:t>
            </w:r>
            <w:r>
              <w:rPr>
                <w:sz w:val="20"/>
                <w:szCs w:val="20"/>
              </w:rPr>
              <w:t>976</w:t>
            </w:r>
          </w:p>
        </w:tc>
      </w:tr>
      <w:tr w:rsidR="002B787F" w:rsidRPr="002D3016" w14:paraId="3F16E32A" w14:textId="77777777" w:rsidTr="00664A13">
        <w:tc>
          <w:tcPr>
            <w:tcW w:w="2268" w:type="dxa"/>
          </w:tcPr>
          <w:p w14:paraId="050DC44D" w14:textId="77777777" w:rsidR="002B787F" w:rsidRPr="003061F1" w:rsidRDefault="002B787F" w:rsidP="006F26A2">
            <w:pPr>
              <w:widowControl w:val="0"/>
              <w:autoSpaceDE w:val="0"/>
              <w:autoSpaceDN w:val="0"/>
              <w:adjustRightInd w:val="0"/>
              <w:rPr>
                <w:sz w:val="20"/>
                <w:szCs w:val="20"/>
              </w:rPr>
            </w:pPr>
          </w:p>
          <w:p w14:paraId="7C307ABC" w14:textId="77777777" w:rsidR="002B787F" w:rsidRPr="003061F1" w:rsidRDefault="002B787F" w:rsidP="006F26A2">
            <w:pPr>
              <w:widowControl w:val="0"/>
              <w:autoSpaceDE w:val="0"/>
              <w:autoSpaceDN w:val="0"/>
              <w:adjustRightInd w:val="0"/>
              <w:rPr>
                <w:sz w:val="20"/>
                <w:szCs w:val="20"/>
              </w:rPr>
            </w:pPr>
            <w:r w:rsidRPr="003061F1">
              <w:rPr>
                <w:sz w:val="20"/>
                <w:szCs w:val="20"/>
              </w:rPr>
              <w:t>Grant-in-aid from NIO</w:t>
            </w:r>
          </w:p>
        </w:tc>
        <w:tc>
          <w:tcPr>
            <w:tcW w:w="2268" w:type="dxa"/>
            <w:tcBorders>
              <w:bottom w:val="single" w:sz="4" w:space="0" w:color="auto"/>
            </w:tcBorders>
          </w:tcPr>
          <w:p w14:paraId="6AE18A69" w14:textId="77777777" w:rsidR="002B787F" w:rsidRDefault="002B787F" w:rsidP="006F26A2">
            <w:pPr>
              <w:widowControl w:val="0"/>
              <w:autoSpaceDE w:val="0"/>
              <w:autoSpaceDN w:val="0"/>
              <w:adjustRightInd w:val="0"/>
              <w:jc w:val="right"/>
              <w:rPr>
                <w:sz w:val="20"/>
                <w:szCs w:val="20"/>
              </w:rPr>
            </w:pPr>
          </w:p>
          <w:p w14:paraId="6987D1C2" w14:textId="7FFAB7D7" w:rsidR="002B787F" w:rsidRDefault="002B787F" w:rsidP="006F26A2">
            <w:pPr>
              <w:widowControl w:val="0"/>
              <w:autoSpaceDE w:val="0"/>
              <w:autoSpaceDN w:val="0"/>
              <w:adjustRightInd w:val="0"/>
              <w:jc w:val="right"/>
              <w:rPr>
                <w:sz w:val="20"/>
                <w:szCs w:val="20"/>
              </w:rPr>
            </w:pPr>
            <w:r>
              <w:rPr>
                <w:sz w:val="20"/>
                <w:szCs w:val="20"/>
              </w:rPr>
              <w:t>2,</w:t>
            </w:r>
            <w:r w:rsidR="00034AE8">
              <w:rPr>
                <w:sz w:val="20"/>
                <w:szCs w:val="20"/>
              </w:rPr>
              <w:t>908</w:t>
            </w:r>
            <w:r w:rsidR="002B1F41">
              <w:rPr>
                <w:sz w:val="20"/>
                <w:szCs w:val="20"/>
              </w:rPr>
              <w:t>,</w:t>
            </w:r>
            <w:r w:rsidR="00034AE8">
              <w:rPr>
                <w:sz w:val="20"/>
                <w:szCs w:val="20"/>
              </w:rPr>
              <w:t>834</w:t>
            </w:r>
          </w:p>
        </w:tc>
        <w:tc>
          <w:tcPr>
            <w:tcW w:w="2268" w:type="dxa"/>
            <w:tcBorders>
              <w:bottom w:val="single" w:sz="4" w:space="0" w:color="auto"/>
            </w:tcBorders>
          </w:tcPr>
          <w:p w14:paraId="048FD369" w14:textId="77777777" w:rsidR="002B787F" w:rsidRDefault="002B787F" w:rsidP="002B787F">
            <w:pPr>
              <w:widowControl w:val="0"/>
              <w:autoSpaceDE w:val="0"/>
              <w:autoSpaceDN w:val="0"/>
              <w:adjustRightInd w:val="0"/>
              <w:ind w:right="597"/>
              <w:rPr>
                <w:sz w:val="20"/>
                <w:szCs w:val="20"/>
              </w:rPr>
            </w:pPr>
          </w:p>
          <w:p w14:paraId="1D29070F" w14:textId="403D2812" w:rsidR="0063323D" w:rsidRDefault="0063323D" w:rsidP="0063323D">
            <w:pPr>
              <w:widowControl w:val="0"/>
              <w:autoSpaceDE w:val="0"/>
              <w:autoSpaceDN w:val="0"/>
              <w:adjustRightInd w:val="0"/>
              <w:ind w:right="597"/>
              <w:jc w:val="right"/>
              <w:rPr>
                <w:sz w:val="20"/>
                <w:szCs w:val="20"/>
              </w:rPr>
            </w:pPr>
            <w:r>
              <w:rPr>
                <w:sz w:val="20"/>
                <w:szCs w:val="20"/>
              </w:rPr>
              <w:t>0</w:t>
            </w:r>
          </w:p>
        </w:tc>
        <w:tc>
          <w:tcPr>
            <w:tcW w:w="2269" w:type="dxa"/>
            <w:tcBorders>
              <w:bottom w:val="single" w:sz="4" w:space="0" w:color="auto"/>
            </w:tcBorders>
          </w:tcPr>
          <w:p w14:paraId="1A86E3CF" w14:textId="5957ECEC" w:rsidR="002B787F" w:rsidRDefault="002B787F" w:rsidP="0029565E">
            <w:pPr>
              <w:widowControl w:val="0"/>
              <w:autoSpaceDE w:val="0"/>
              <w:autoSpaceDN w:val="0"/>
              <w:adjustRightInd w:val="0"/>
              <w:rPr>
                <w:sz w:val="20"/>
                <w:szCs w:val="20"/>
              </w:rPr>
            </w:pPr>
          </w:p>
          <w:p w14:paraId="63DE8D7D" w14:textId="19D886BA" w:rsidR="002B787F" w:rsidRDefault="002B787F" w:rsidP="00612DE1">
            <w:pPr>
              <w:widowControl w:val="0"/>
              <w:autoSpaceDE w:val="0"/>
              <w:autoSpaceDN w:val="0"/>
              <w:adjustRightInd w:val="0"/>
              <w:ind w:right="740"/>
              <w:jc w:val="right"/>
              <w:rPr>
                <w:sz w:val="20"/>
                <w:szCs w:val="20"/>
              </w:rPr>
            </w:pPr>
            <w:r>
              <w:rPr>
                <w:sz w:val="20"/>
                <w:szCs w:val="20"/>
              </w:rPr>
              <w:t>2,</w:t>
            </w:r>
            <w:r w:rsidR="00034AE8">
              <w:rPr>
                <w:sz w:val="20"/>
                <w:szCs w:val="20"/>
              </w:rPr>
              <w:t>908</w:t>
            </w:r>
            <w:r w:rsidR="002B1F41">
              <w:rPr>
                <w:sz w:val="20"/>
                <w:szCs w:val="20"/>
              </w:rPr>
              <w:t>,</w:t>
            </w:r>
            <w:r w:rsidR="00034AE8">
              <w:rPr>
                <w:sz w:val="20"/>
                <w:szCs w:val="20"/>
              </w:rPr>
              <w:t>834</w:t>
            </w:r>
          </w:p>
          <w:p w14:paraId="43DE37FE" w14:textId="66B90AC1" w:rsidR="0063323D" w:rsidRPr="003061F1" w:rsidRDefault="0063323D" w:rsidP="006F26A2">
            <w:pPr>
              <w:widowControl w:val="0"/>
              <w:autoSpaceDE w:val="0"/>
              <w:autoSpaceDN w:val="0"/>
              <w:adjustRightInd w:val="0"/>
              <w:jc w:val="right"/>
              <w:rPr>
                <w:sz w:val="20"/>
                <w:szCs w:val="20"/>
              </w:rPr>
            </w:pPr>
          </w:p>
        </w:tc>
      </w:tr>
      <w:tr w:rsidR="002B787F" w:rsidRPr="002D3016" w14:paraId="320E3327" w14:textId="77777777" w:rsidTr="00664A13">
        <w:tc>
          <w:tcPr>
            <w:tcW w:w="2268" w:type="dxa"/>
          </w:tcPr>
          <w:p w14:paraId="6C159E91" w14:textId="77777777" w:rsidR="002B787F" w:rsidRPr="003061F1" w:rsidRDefault="002B787F" w:rsidP="006F26A2">
            <w:pPr>
              <w:widowControl w:val="0"/>
              <w:autoSpaceDE w:val="0"/>
              <w:autoSpaceDN w:val="0"/>
              <w:adjustRightInd w:val="0"/>
              <w:rPr>
                <w:b/>
                <w:sz w:val="20"/>
                <w:szCs w:val="20"/>
              </w:rPr>
            </w:pPr>
          </w:p>
          <w:p w14:paraId="1471187D" w14:textId="76D1A6AC" w:rsidR="002B787F" w:rsidRPr="003061F1" w:rsidRDefault="002B787F" w:rsidP="006F26A2">
            <w:pPr>
              <w:widowControl w:val="0"/>
              <w:autoSpaceDE w:val="0"/>
              <w:autoSpaceDN w:val="0"/>
              <w:adjustRightInd w:val="0"/>
              <w:rPr>
                <w:b/>
                <w:sz w:val="20"/>
                <w:szCs w:val="20"/>
              </w:rPr>
            </w:pPr>
            <w:r>
              <w:rPr>
                <w:b/>
                <w:sz w:val="20"/>
                <w:szCs w:val="20"/>
              </w:rPr>
              <w:t xml:space="preserve">Balance </w:t>
            </w:r>
            <w:proofErr w:type="gramStart"/>
            <w:r>
              <w:rPr>
                <w:b/>
                <w:sz w:val="20"/>
                <w:szCs w:val="20"/>
              </w:rPr>
              <w:t>at</w:t>
            </w:r>
            <w:proofErr w:type="gramEnd"/>
            <w:r>
              <w:rPr>
                <w:b/>
                <w:sz w:val="20"/>
                <w:szCs w:val="20"/>
              </w:rPr>
              <w:t xml:space="preserve"> 31 March 202</w:t>
            </w:r>
            <w:r w:rsidR="00C636C9">
              <w:rPr>
                <w:b/>
                <w:sz w:val="20"/>
                <w:szCs w:val="20"/>
              </w:rPr>
              <w:t>4</w:t>
            </w:r>
          </w:p>
        </w:tc>
        <w:tc>
          <w:tcPr>
            <w:tcW w:w="2268" w:type="dxa"/>
            <w:tcBorders>
              <w:top w:val="single" w:sz="4" w:space="0" w:color="auto"/>
              <w:bottom w:val="single" w:sz="4" w:space="0" w:color="auto"/>
            </w:tcBorders>
          </w:tcPr>
          <w:p w14:paraId="47B1F40B" w14:textId="77777777" w:rsidR="00541F20" w:rsidRDefault="00541F20" w:rsidP="006F26A2">
            <w:pPr>
              <w:widowControl w:val="0"/>
              <w:autoSpaceDE w:val="0"/>
              <w:autoSpaceDN w:val="0"/>
              <w:adjustRightInd w:val="0"/>
              <w:jc w:val="right"/>
              <w:rPr>
                <w:b/>
                <w:sz w:val="20"/>
                <w:szCs w:val="20"/>
              </w:rPr>
            </w:pPr>
          </w:p>
          <w:p w14:paraId="50ADD9BB" w14:textId="789B7195" w:rsidR="00541F20" w:rsidRDefault="00034AE8" w:rsidP="006F26A2">
            <w:pPr>
              <w:widowControl w:val="0"/>
              <w:autoSpaceDE w:val="0"/>
              <w:autoSpaceDN w:val="0"/>
              <w:adjustRightInd w:val="0"/>
              <w:jc w:val="right"/>
              <w:rPr>
                <w:b/>
                <w:sz w:val="20"/>
                <w:szCs w:val="20"/>
              </w:rPr>
            </w:pPr>
            <w:r w:rsidRPr="00A8223D">
              <w:rPr>
                <w:b/>
                <w:sz w:val="20"/>
                <w:szCs w:val="20"/>
              </w:rPr>
              <w:t>831</w:t>
            </w:r>
            <w:r w:rsidR="002B1F41" w:rsidRPr="00A8223D">
              <w:rPr>
                <w:b/>
                <w:sz w:val="20"/>
                <w:szCs w:val="20"/>
              </w:rPr>
              <w:t>,</w:t>
            </w:r>
            <w:r w:rsidRPr="00A8223D">
              <w:rPr>
                <w:b/>
                <w:sz w:val="20"/>
                <w:szCs w:val="20"/>
              </w:rPr>
              <w:t>0</w:t>
            </w:r>
            <w:r w:rsidR="009F599C" w:rsidRPr="00A8223D">
              <w:rPr>
                <w:b/>
                <w:sz w:val="20"/>
                <w:szCs w:val="20"/>
              </w:rPr>
              <w:t>9</w:t>
            </w:r>
            <w:r w:rsidR="00A30F83" w:rsidRPr="00A8223D">
              <w:rPr>
                <w:b/>
                <w:sz w:val="20"/>
                <w:szCs w:val="20"/>
              </w:rPr>
              <w:t>6</w:t>
            </w:r>
          </w:p>
          <w:p w14:paraId="160106A7" w14:textId="1C577E55" w:rsidR="002B787F" w:rsidRDefault="002B787F" w:rsidP="006F26A2">
            <w:pPr>
              <w:widowControl w:val="0"/>
              <w:autoSpaceDE w:val="0"/>
              <w:autoSpaceDN w:val="0"/>
              <w:adjustRightInd w:val="0"/>
              <w:jc w:val="right"/>
              <w:rPr>
                <w:b/>
                <w:sz w:val="20"/>
                <w:szCs w:val="20"/>
              </w:rPr>
            </w:pPr>
          </w:p>
        </w:tc>
        <w:tc>
          <w:tcPr>
            <w:tcW w:w="2268" w:type="dxa"/>
            <w:tcBorders>
              <w:top w:val="single" w:sz="4" w:space="0" w:color="auto"/>
              <w:bottom w:val="single" w:sz="4" w:space="0" w:color="auto"/>
            </w:tcBorders>
          </w:tcPr>
          <w:p w14:paraId="1FA47950" w14:textId="77777777" w:rsidR="002B787F" w:rsidRDefault="002B787F" w:rsidP="002B787F">
            <w:pPr>
              <w:widowControl w:val="0"/>
              <w:autoSpaceDE w:val="0"/>
              <w:autoSpaceDN w:val="0"/>
              <w:adjustRightInd w:val="0"/>
              <w:ind w:right="597"/>
              <w:jc w:val="right"/>
              <w:rPr>
                <w:b/>
                <w:sz w:val="20"/>
                <w:szCs w:val="20"/>
              </w:rPr>
            </w:pPr>
          </w:p>
          <w:p w14:paraId="27FE0AA6" w14:textId="6B6AD7F3" w:rsidR="00541F20" w:rsidRDefault="00034AE8" w:rsidP="002B787F">
            <w:pPr>
              <w:widowControl w:val="0"/>
              <w:autoSpaceDE w:val="0"/>
              <w:autoSpaceDN w:val="0"/>
              <w:adjustRightInd w:val="0"/>
              <w:ind w:right="597"/>
              <w:jc w:val="right"/>
              <w:rPr>
                <w:b/>
                <w:sz w:val="20"/>
                <w:szCs w:val="20"/>
              </w:rPr>
            </w:pPr>
            <w:r>
              <w:rPr>
                <w:b/>
                <w:sz w:val="20"/>
                <w:szCs w:val="20"/>
              </w:rPr>
              <w:t>85</w:t>
            </w:r>
            <w:r w:rsidR="002B1F41">
              <w:rPr>
                <w:b/>
                <w:sz w:val="20"/>
                <w:szCs w:val="20"/>
              </w:rPr>
              <w:t>,</w:t>
            </w:r>
            <w:r>
              <w:rPr>
                <w:b/>
                <w:sz w:val="20"/>
                <w:szCs w:val="20"/>
              </w:rPr>
              <w:t>582</w:t>
            </w:r>
          </w:p>
        </w:tc>
        <w:tc>
          <w:tcPr>
            <w:tcW w:w="2269" w:type="dxa"/>
            <w:tcBorders>
              <w:top w:val="single" w:sz="4" w:space="0" w:color="auto"/>
              <w:bottom w:val="single" w:sz="4" w:space="0" w:color="auto"/>
            </w:tcBorders>
          </w:tcPr>
          <w:p w14:paraId="42A368D6" w14:textId="66D9BCBA" w:rsidR="00541F20" w:rsidRDefault="00541F20" w:rsidP="006F26A2">
            <w:pPr>
              <w:widowControl w:val="0"/>
              <w:autoSpaceDE w:val="0"/>
              <w:autoSpaceDN w:val="0"/>
              <w:adjustRightInd w:val="0"/>
              <w:jc w:val="right"/>
              <w:rPr>
                <w:b/>
                <w:sz w:val="20"/>
                <w:szCs w:val="20"/>
              </w:rPr>
            </w:pPr>
          </w:p>
          <w:p w14:paraId="4A2A22B5" w14:textId="75D55646" w:rsidR="00541F20" w:rsidRDefault="00034AE8" w:rsidP="00612DE1">
            <w:pPr>
              <w:widowControl w:val="0"/>
              <w:autoSpaceDE w:val="0"/>
              <w:autoSpaceDN w:val="0"/>
              <w:adjustRightInd w:val="0"/>
              <w:ind w:right="740"/>
              <w:jc w:val="right"/>
              <w:rPr>
                <w:b/>
                <w:sz w:val="20"/>
                <w:szCs w:val="20"/>
              </w:rPr>
            </w:pPr>
            <w:r w:rsidRPr="00A552DA">
              <w:rPr>
                <w:b/>
                <w:sz w:val="20"/>
                <w:szCs w:val="20"/>
              </w:rPr>
              <w:t>916</w:t>
            </w:r>
            <w:r w:rsidR="009F599C" w:rsidRPr="00A552DA">
              <w:rPr>
                <w:b/>
                <w:sz w:val="20"/>
                <w:szCs w:val="20"/>
              </w:rPr>
              <w:t>,</w:t>
            </w:r>
            <w:r w:rsidRPr="00A552DA">
              <w:rPr>
                <w:b/>
                <w:sz w:val="20"/>
                <w:szCs w:val="20"/>
              </w:rPr>
              <w:t>678</w:t>
            </w:r>
          </w:p>
          <w:p w14:paraId="1678C444" w14:textId="6396468A" w:rsidR="002B787F" w:rsidRPr="003061F1" w:rsidRDefault="002B787F" w:rsidP="006F26A2">
            <w:pPr>
              <w:widowControl w:val="0"/>
              <w:autoSpaceDE w:val="0"/>
              <w:autoSpaceDN w:val="0"/>
              <w:adjustRightInd w:val="0"/>
              <w:jc w:val="right"/>
              <w:rPr>
                <w:b/>
                <w:sz w:val="20"/>
                <w:szCs w:val="20"/>
              </w:rPr>
            </w:pPr>
          </w:p>
        </w:tc>
      </w:tr>
    </w:tbl>
    <w:p w14:paraId="65CD3FD3" w14:textId="77777777" w:rsidR="000C2A54" w:rsidRDefault="000C2A54" w:rsidP="000C2A54">
      <w:pPr>
        <w:widowControl w:val="0"/>
        <w:autoSpaceDE w:val="0"/>
        <w:autoSpaceDN w:val="0"/>
        <w:adjustRightInd w:val="0"/>
        <w:jc w:val="center"/>
        <w:rPr>
          <w:b/>
          <w:sz w:val="22"/>
          <w:szCs w:val="22"/>
        </w:rPr>
      </w:pPr>
    </w:p>
    <w:p w14:paraId="0E1667A2" w14:textId="77777777" w:rsidR="000C2A54" w:rsidRDefault="000C2A54" w:rsidP="000C2A54">
      <w:pPr>
        <w:widowControl w:val="0"/>
        <w:autoSpaceDE w:val="0"/>
        <w:autoSpaceDN w:val="0"/>
        <w:adjustRightInd w:val="0"/>
        <w:jc w:val="center"/>
        <w:rPr>
          <w:b/>
          <w:sz w:val="22"/>
          <w:szCs w:val="22"/>
        </w:rPr>
      </w:pPr>
    </w:p>
    <w:p w14:paraId="0C926D7F" w14:textId="742943F6" w:rsidR="000C2A54" w:rsidRPr="00EB5423" w:rsidRDefault="000C2A54" w:rsidP="000C2A54">
      <w:pPr>
        <w:widowControl w:val="0"/>
        <w:tabs>
          <w:tab w:val="center" w:pos="6096"/>
          <w:tab w:val="right" w:pos="7797"/>
          <w:tab w:val="right" w:pos="9356"/>
        </w:tabs>
        <w:autoSpaceDE w:val="0"/>
        <w:autoSpaceDN w:val="0"/>
        <w:adjustRightInd w:val="0"/>
        <w:rPr>
          <w:sz w:val="22"/>
          <w:szCs w:val="22"/>
        </w:rPr>
      </w:pPr>
      <w:r w:rsidRPr="00EB5423">
        <w:rPr>
          <w:sz w:val="22"/>
          <w:szCs w:val="22"/>
        </w:rPr>
        <w:t>T</w:t>
      </w:r>
      <w:r w:rsidR="0029565E">
        <w:rPr>
          <w:sz w:val="22"/>
          <w:szCs w:val="22"/>
        </w:rPr>
        <w:t xml:space="preserve">he notes on pages </w:t>
      </w:r>
      <w:r w:rsidR="00123279">
        <w:rPr>
          <w:sz w:val="22"/>
          <w:szCs w:val="22"/>
        </w:rPr>
        <w:t>6</w:t>
      </w:r>
      <w:r w:rsidR="003A272F">
        <w:rPr>
          <w:sz w:val="22"/>
          <w:szCs w:val="22"/>
        </w:rPr>
        <w:t>7</w:t>
      </w:r>
      <w:r w:rsidR="000143A4" w:rsidRPr="00EB5423">
        <w:rPr>
          <w:sz w:val="22"/>
          <w:szCs w:val="22"/>
        </w:rPr>
        <w:t xml:space="preserve"> </w:t>
      </w:r>
      <w:r w:rsidRPr="00EB5423">
        <w:rPr>
          <w:sz w:val="22"/>
          <w:szCs w:val="22"/>
        </w:rPr>
        <w:t xml:space="preserve">to </w:t>
      </w:r>
      <w:r w:rsidR="00123279">
        <w:rPr>
          <w:sz w:val="22"/>
          <w:szCs w:val="22"/>
        </w:rPr>
        <w:t>8</w:t>
      </w:r>
      <w:r w:rsidR="003A272F">
        <w:rPr>
          <w:sz w:val="22"/>
          <w:szCs w:val="22"/>
        </w:rPr>
        <w:t>4</w:t>
      </w:r>
      <w:r w:rsidR="00582E77">
        <w:rPr>
          <w:sz w:val="22"/>
          <w:szCs w:val="22"/>
        </w:rPr>
        <w:t xml:space="preserve"> fo</w:t>
      </w:r>
      <w:r w:rsidRPr="00EB5423">
        <w:rPr>
          <w:sz w:val="22"/>
          <w:szCs w:val="22"/>
        </w:rPr>
        <w:t>rm part of the financial statements.</w:t>
      </w:r>
    </w:p>
    <w:p w14:paraId="687F6B17" w14:textId="77777777" w:rsidR="000C2A54" w:rsidRPr="00756704" w:rsidRDefault="000C2A54" w:rsidP="000C2A54">
      <w:pPr>
        <w:widowControl w:val="0"/>
        <w:autoSpaceDE w:val="0"/>
        <w:autoSpaceDN w:val="0"/>
        <w:adjustRightInd w:val="0"/>
        <w:jc w:val="center"/>
        <w:rPr>
          <w:b/>
          <w:sz w:val="22"/>
          <w:szCs w:val="22"/>
        </w:rPr>
      </w:pPr>
    </w:p>
    <w:p w14:paraId="7B3C35E8" w14:textId="77777777" w:rsidR="008C73A2" w:rsidRDefault="000C2A54" w:rsidP="008C73A2">
      <w:pPr>
        <w:widowControl w:val="0"/>
        <w:autoSpaceDE w:val="0"/>
        <w:autoSpaceDN w:val="0"/>
        <w:adjustRightInd w:val="0"/>
        <w:jc w:val="center"/>
        <w:rPr>
          <w:rFonts w:cs="Arial"/>
          <w:b/>
          <w:color w:val="77328A"/>
          <w:sz w:val="30"/>
          <w:szCs w:val="30"/>
        </w:rPr>
      </w:pPr>
      <w:r>
        <w:rPr>
          <w:b/>
          <w:sz w:val="28"/>
          <w:szCs w:val="28"/>
        </w:rPr>
        <w:br w:type="page"/>
      </w:r>
    </w:p>
    <w:p w14:paraId="4FECFC57" w14:textId="77777777" w:rsidR="008C73A2" w:rsidRDefault="008C73A2" w:rsidP="000C2A54">
      <w:pPr>
        <w:widowControl w:val="0"/>
        <w:autoSpaceDE w:val="0"/>
        <w:autoSpaceDN w:val="0"/>
        <w:adjustRightInd w:val="0"/>
        <w:jc w:val="center"/>
        <w:rPr>
          <w:rFonts w:cs="Arial"/>
          <w:b/>
          <w:color w:val="77328A"/>
          <w:sz w:val="30"/>
          <w:szCs w:val="30"/>
        </w:rPr>
      </w:pPr>
      <w:r>
        <w:rPr>
          <w:rFonts w:cs="Arial"/>
          <w:b/>
          <w:color w:val="77328A"/>
          <w:sz w:val="30"/>
          <w:szCs w:val="30"/>
        </w:rPr>
        <w:t xml:space="preserve"> </w:t>
      </w:r>
      <w:bookmarkStart w:id="37" w:name="NotestotheFinancialStatements"/>
      <w:r>
        <w:rPr>
          <w:rFonts w:cs="Arial"/>
          <w:b/>
          <w:color w:val="77328A"/>
          <w:sz w:val="30"/>
          <w:szCs w:val="30"/>
        </w:rPr>
        <w:t xml:space="preserve">Notes to the Financial Statements </w:t>
      </w:r>
    </w:p>
    <w:p w14:paraId="51998792" w14:textId="1B3D6A00" w:rsidR="000C2A54" w:rsidRPr="003B42D9" w:rsidRDefault="004E6BF5" w:rsidP="000C2A54">
      <w:pPr>
        <w:widowControl w:val="0"/>
        <w:autoSpaceDE w:val="0"/>
        <w:autoSpaceDN w:val="0"/>
        <w:adjustRightInd w:val="0"/>
        <w:jc w:val="center"/>
        <w:rPr>
          <w:b/>
        </w:rPr>
      </w:pPr>
      <w:r>
        <w:rPr>
          <w:rFonts w:cs="Arial"/>
          <w:b/>
          <w:color w:val="77328A"/>
          <w:sz w:val="30"/>
          <w:szCs w:val="30"/>
        </w:rPr>
        <w:t>for the Year Ended 31 March 202</w:t>
      </w:r>
      <w:r w:rsidR="00034AE8">
        <w:rPr>
          <w:rFonts w:cs="Arial"/>
          <w:b/>
          <w:color w:val="77328A"/>
          <w:sz w:val="30"/>
          <w:szCs w:val="30"/>
        </w:rPr>
        <w:t>4</w:t>
      </w:r>
      <w:bookmarkEnd w:id="37"/>
    </w:p>
    <w:p w14:paraId="09F2D072" w14:textId="77777777" w:rsidR="000C2A54" w:rsidRPr="003B42D9" w:rsidRDefault="000C2A54" w:rsidP="000C2A54">
      <w:pPr>
        <w:rPr>
          <w:b/>
        </w:rPr>
      </w:pPr>
    </w:p>
    <w:p w14:paraId="4333682D" w14:textId="77777777" w:rsidR="000C2A54" w:rsidRPr="004E6BF5" w:rsidRDefault="000C2A54" w:rsidP="000C2A54">
      <w:pPr>
        <w:widowControl w:val="0"/>
        <w:autoSpaceDE w:val="0"/>
        <w:autoSpaceDN w:val="0"/>
        <w:adjustRightInd w:val="0"/>
        <w:ind w:left="567" w:hanging="567"/>
        <w:rPr>
          <w:b/>
          <w:color w:val="FF0000"/>
        </w:rPr>
      </w:pPr>
      <w:r>
        <w:rPr>
          <w:b/>
        </w:rPr>
        <w:t>1</w:t>
      </w:r>
      <w:r w:rsidRPr="003B42D9">
        <w:rPr>
          <w:b/>
        </w:rPr>
        <w:t>.</w:t>
      </w:r>
      <w:r w:rsidRPr="003B42D9">
        <w:rPr>
          <w:b/>
        </w:rPr>
        <w:tab/>
        <w:t xml:space="preserve">Statement of accounting policies </w:t>
      </w:r>
    </w:p>
    <w:p w14:paraId="26305A1F" w14:textId="77777777" w:rsidR="000C2A54" w:rsidRPr="003B42D9" w:rsidRDefault="000C2A54" w:rsidP="000C2A54">
      <w:pPr>
        <w:widowControl w:val="0"/>
        <w:tabs>
          <w:tab w:val="left" w:pos="567"/>
        </w:tabs>
        <w:autoSpaceDE w:val="0"/>
        <w:autoSpaceDN w:val="0"/>
        <w:adjustRightInd w:val="0"/>
        <w:ind w:left="567" w:hanging="567"/>
        <w:rPr>
          <w:b/>
        </w:rPr>
      </w:pPr>
    </w:p>
    <w:p w14:paraId="27FE0D96" w14:textId="46EB9375" w:rsidR="000C2A54" w:rsidRPr="003B42D9" w:rsidRDefault="000C2A54" w:rsidP="000C2A54">
      <w:pPr>
        <w:pStyle w:val="BodyTextIndent3"/>
        <w:tabs>
          <w:tab w:val="left" w:pos="567"/>
        </w:tabs>
        <w:spacing w:after="0"/>
        <w:ind w:left="567" w:hanging="567"/>
        <w:rPr>
          <w:sz w:val="24"/>
          <w:szCs w:val="24"/>
        </w:rPr>
      </w:pPr>
      <w:r w:rsidRPr="003B42D9">
        <w:rPr>
          <w:sz w:val="24"/>
          <w:szCs w:val="24"/>
        </w:rPr>
        <w:tab/>
      </w:r>
      <w:r w:rsidR="00FA67ED">
        <w:rPr>
          <w:sz w:val="24"/>
          <w:szCs w:val="24"/>
        </w:rPr>
        <w:t xml:space="preserve">The Secretary of State for Northern Ireland has directed the Human Rights Commission for Northern Ireland to prepare accounts under the Northern Ireland Act 1998.  </w:t>
      </w:r>
      <w:r w:rsidRPr="003B42D9">
        <w:rPr>
          <w:sz w:val="24"/>
          <w:szCs w:val="24"/>
        </w:rPr>
        <w:t xml:space="preserve">The financial statements have been prepared in accordance with the Government Financial Reporting Manual (FReM) for </w:t>
      </w:r>
      <w:r w:rsidR="0091473F">
        <w:rPr>
          <w:sz w:val="24"/>
          <w:szCs w:val="24"/>
        </w:rPr>
        <w:t>202</w:t>
      </w:r>
      <w:r w:rsidR="009E02BC">
        <w:rPr>
          <w:sz w:val="24"/>
          <w:szCs w:val="24"/>
        </w:rPr>
        <w:t>3</w:t>
      </w:r>
      <w:r w:rsidR="0029565E">
        <w:rPr>
          <w:sz w:val="24"/>
          <w:szCs w:val="24"/>
        </w:rPr>
        <w:t>-2</w:t>
      </w:r>
      <w:r w:rsidR="009E02BC">
        <w:rPr>
          <w:sz w:val="24"/>
          <w:szCs w:val="24"/>
        </w:rPr>
        <w:t>4</w:t>
      </w:r>
      <w:r w:rsidRPr="003B42D9">
        <w:rPr>
          <w:sz w:val="24"/>
          <w:szCs w:val="24"/>
        </w:rPr>
        <w:t xml:space="preserve">, issued by HM Treasury.  The accounting policies contained in the FReM apply International Financial Reporting Standards (IFRS), as adapted or interpreted for the public sector context.  Where the FReM permits a choice of accounting policy, the accounting policy which is judged to be most appropriate to the </w:t>
      </w:r>
      <w:proofErr w:type="gramStart"/>
      <w:r w:rsidRPr="003B42D9">
        <w:rPr>
          <w:sz w:val="24"/>
          <w:szCs w:val="24"/>
        </w:rPr>
        <w:t>particular circumstances</w:t>
      </w:r>
      <w:proofErr w:type="gramEnd"/>
      <w:r w:rsidRPr="003B42D9">
        <w:rPr>
          <w:sz w:val="24"/>
          <w:szCs w:val="24"/>
        </w:rPr>
        <w:t xml:space="preserve"> of the Northern Ireland Human Rights Commission for the purpose of giving a true and fair view has been selected.  The </w:t>
      </w:r>
      <w:proofErr w:type="gramStart"/>
      <w:r w:rsidRPr="003B42D9">
        <w:rPr>
          <w:sz w:val="24"/>
          <w:szCs w:val="24"/>
        </w:rPr>
        <w:t>particular policies</w:t>
      </w:r>
      <w:proofErr w:type="gramEnd"/>
      <w:r w:rsidRPr="003B42D9">
        <w:rPr>
          <w:sz w:val="24"/>
          <w:szCs w:val="24"/>
        </w:rPr>
        <w:t xml:space="preserve"> adopted by the Northern Ireland Human Rights Commission for the</w:t>
      </w:r>
      <w:r w:rsidR="003F76DD">
        <w:rPr>
          <w:sz w:val="24"/>
          <w:szCs w:val="24"/>
        </w:rPr>
        <w:t xml:space="preserve"> year ending </w:t>
      </w:r>
      <w:r w:rsidR="0029565E">
        <w:rPr>
          <w:sz w:val="24"/>
          <w:szCs w:val="24"/>
        </w:rPr>
        <w:t>31 March 202</w:t>
      </w:r>
      <w:r w:rsidR="009E02BC">
        <w:rPr>
          <w:sz w:val="24"/>
          <w:szCs w:val="24"/>
        </w:rPr>
        <w:t>4</w:t>
      </w:r>
      <w:r w:rsidRPr="003B42D9">
        <w:rPr>
          <w:sz w:val="24"/>
          <w:szCs w:val="24"/>
        </w:rPr>
        <w:t xml:space="preserve"> are described below. They have been applied consistently in dealing with items that are considered material to the accounts.</w:t>
      </w:r>
    </w:p>
    <w:p w14:paraId="585C016B" w14:textId="77777777" w:rsidR="000C2A54" w:rsidRPr="003B42D9" w:rsidRDefault="000C2A54" w:rsidP="000C2A54">
      <w:pPr>
        <w:pStyle w:val="BodyTextIndent3"/>
        <w:tabs>
          <w:tab w:val="left" w:pos="567"/>
        </w:tabs>
        <w:spacing w:after="0"/>
        <w:ind w:left="567" w:hanging="567"/>
        <w:rPr>
          <w:sz w:val="24"/>
          <w:szCs w:val="24"/>
        </w:rPr>
      </w:pPr>
    </w:p>
    <w:p w14:paraId="5CAF3C1D" w14:textId="77777777" w:rsidR="000C2A54" w:rsidRPr="003B42D9" w:rsidRDefault="000C2A54" w:rsidP="000C2A54">
      <w:pPr>
        <w:widowControl w:val="0"/>
        <w:tabs>
          <w:tab w:val="left" w:pos="720"/>
        </w:tabs>
        <w:autoSpaceDE w:val="0"/>
        <w:autoSpaceDN w:val="0"/>
        <w:adjustRightInd w:val="0"/>
        <w:ind w:left="1418" w:hanging="851"/>
        <w:rPr>
          <w:b/>
        </w:rPr>
      </w:pPr>
      <w:r w:rsidRPr="003B42D9">
        <w:rPr>
          <w:b/>
        </w:rPr>
        <w:t>1.1</w:t>
      </w:r>
      <w:r w:rsidRPr="003B42D9">
        <w:rPr>
          <w:b/>
        </w:rPr>
        <w:tab/>
        <w:t>Accounting convention</w:t>
      </w:r>
    </w:p>
    <w:p w14:paraId="49A200FF" w14:textId="77777777" w:rsidR="000C2A54" w:rsidRPr="003B42D9" w:rsidRDefault="000C2A54" w:rsidP="000C2A54">
      <w:pPr>
        <w:pStyle w:val="BodyTextIndent3"/>
        <w:tabs>
          <w:tab w:val="left" w:pos="720"/>
        </w:tabs>
        <w:spacing w:after="0"/>
        <w:ind w:left="567"/>
        <w:rPr>
          <w:sz w:val="24"/>
          <w:szCs w:val="24"/>
        </w:rPr>
      </w:pPr>
    </w:p>
    <w:p w14:paraId="670D1605" w14:textId="77777777" w:rsidR="000C2A54" w:rsidRPr="003B42D9" w:rsidRDefault="000C2A54" w:rsidP="000C2A54">
      <w:pPr>
        <w:pStyle w:val="BodyTextIndent3"/>
        <w:tabs>
          <w:tab w:val="left" w:pos="720"/>
        </w:tabs>
        <w:spacing w:after="0"/>
        <w:ind w:left="1418"/>
        <w:rPr>
          <w:sz w:val="24"/>
          <w:szCs w:val="24"/>
        </w:rPr>
      </w:pPr>
      <w:r w:rsidRPr="003B42D9">
        <w:rPr>
          <w:sz w:val="24"/>
          <w:szCs w:val="24"/>
        </w:rPr>
        <w:t>The financial statements have been prepared in accordance with the historical cost convention, modified to account for the revaluation of property, plant and equipment.</w:t>
      </w:r>
    </w:p>
    <w:p w14:paraId="7C12A06B" w14:textId="77777777" w:rsidR="000C2A54" w:rsidRPr="003B42D9" w:rsidRDefault="000C2A54" w:rsidP="000C2A54">
      <w:pPr>
        <w:pStyle w:val="BodyTextIndent3"/>
        <w:tabs>
          <w:tab w:val="left" w:pos="720"/>
        </w:tabs>
        <w:spacing w:after="0"/>
        <w:ind w:left="1418"/>
        <w:rPr>
          <w:sz w:val="24"/>
          <w:szCs w:val="24"/>
        </w:rPr>
      </w:pPr>
    </w:p>
    <w:p w14:paraId="71A12A92" w14:textId="77777777" w:rsidR="000C2A54" w:rsidRPr="003B42D9" w:rsidRDefault="000C2A54" w:rsidP="000C2A54">
      <w:pPr>
        <w:pStyle w:val="BodyTextIndent3"/>
        <w:tabs>
          <w:tab w:val="left" w:pos="720"/>
        </w:tabs>
        <w:spacing w:after="0"/>
        <w:ind w:left="1418"/>
        <w:rPr>
          <w:sz w:val="24"/>
          <w:szCs w:val="24"/>
        </w:rPr>
      </w:pPr>
      <w:r w:rsidRPr="003B42D9">
        <w:rPr>
          <w:sz w:val="24"/>
          <w:szCs w:val="24"/>
        </w:rPr>
        <w:t>The accounts comply with the accounting standards issued or adopted by the Accounting Standards Board, FReM and accounting and disclosure requirements issued by HM Treasury and are in Sterling.</w:t>
      </w:r>
    </w:p>
    <w:p w14:paraId="4EEB0D10" w14:textId="77777777" w:rsidR="000C2A54" w:rsidRPr="003B42D9" w:rsidRDefault="000C2A54" w:rsidP="000C2A54">
      <w:pPr>
        <w:widowControl w:val="0"/>
        <w:tabs>
          <w:tab w:val="left" w:pos="567"/>
        </w:tabs>
        <w:autoSpaceDE w:val="0"/>
        <w:autoSpaceDN w:val="0"/>
        <w:adjustRightInd w:val="0"/>
      </w:pPr>
    </w:p>
    <w:p w14:paraId="2A60F98D" w14:textId="77777777" w:rsidR="000C2A54" w:rsidRPr="003B42D9" w:rsidRDefault="000C2A54" w:rsidP="000C2A54">
      <w:pPr>
        <w:widowControl w:val="0"/>
        <w:autoSpaceDE w:val="0"/>
        <w:autoSpaceDN w:val="0"/>
        <w:adjustRightInd w:val="0"/>
        <w:ind w:left="1418" w:hanging="851"/>
        <w:rPr>
          <w:b/>
        </w:rPr>
      </w:pPr>
      <w:r w:rsidRPr="003B42D9">
        <w:rPr>
          <w:b/>
        </w:rPr>
        <w:t>1.2</w:t>
      </w:r>
      <w:r w:rsidRPr="003B42D9">
        <w:rPr>
          <w:b/>
        </w:rPr>
        <w:tab/>
        <w:t>Critical accounting estimates and key judgements</w:t>
      </w:r>
    </w:p>
    <w:p w14:paraId="65526EC9" w14:textId="77777777" w:rsidR="000C2A54" w:rsidRPr="003B42D9" w:rsidRDefault="000C2A54" w:rsidP="000C2A54">
      <w:pPr>
        <w:tabs>
          <w:tab w:val="left" w:pos="567"/>
        </w:tabs>
        <w:autoSpaceDE w:val="0"/>
        <w:autoSpaceDN w:val="0"/>
        <w:adjustRightInd w:val="0"/>
        <w:jc w:val="both"/>
        <w:rPr>
          <w:rFonts w:ascii="Arial" w:hAnsi="Arial" w:cs="Arial"/>
        </w:rPr>
      </w:pPr>
    </w:p>
    <w:p w14:paraId="267109AF" w14:textId="77777777" w:rsidR="000C2A54" w:rsidRPr="003B42D9" w:rsidRDefault="000C2A54" w:rsidP="000C2A54">
      <w:pPr>
        <w:tabs>
          <w:tab w:val="left" w:pos="720"/>
        </w:tabs>
        <w:ind w:left="1418"/>
      </w:pPr>
      <w:r w:rsidRPr="003B42D9">
        <w:t>The preparation of financial statements in conformity with IFRS requires the use of accounting estimates and assumptions.  It also requires the Commission to exercise judgement in the process of applying the accounting policies.  We continually evaluate our estimates, assumptions and judgements based on available information and experience.  As the use of estimates is inherent in financial reporting, actual results could differ from these estimates.  The estimates and assumptions which have the most significant risk of causing a material adjustment to the carrying amounts of assets and liabilities are discussed below.</w:t>
      </w:r>
    </w:p>
    <w:p w14:paraId="598D514B" w14:textId="77777777" w:rsidR="000C2A54" w:rsidRPr="003B42D9" w:rsidRDefault="000C2A54" w:rsidP="000C2A54">
      <w:pPr>
        <w:ind w:left="567" w:firstLine="567"/>
        <w:rPr>
          <w:b/>
        </w:rPr>
      </w:pPr>
    </w:p>
    <w:p w14:paraId="1D749878" w14:textId="77777777" w:rsidR="000C2A54" w:rsidRPr="003B42D9" w:rsidRDefault="000C2A54" w:rsidP="000C2A54">
      <w:pPr>
        <w:tabs>
          <w:tab w:val="left" w:pos="1985"/>
        </w:tabs>
        <w:ind w:left="1418"/>
        <w:rPr>
          <w:b/>
        </w:rPr>
      </w:pPr>
      <w:r w:rsidRPr="003B42D9">
        <w:rPr>
          <w:b/>
        </w:rPr>
        <w:t>(</w:t>
      </w:r>
      <w:proofErr w:type="spellStart"/>
      <w:r w:rsidRPr="003B42D9">
        <w:rPr>
          <w:b/>
        </w:rPr>
        <w:t>i</w:t>
      </w:r>
      <w:proofErr w:type="spellEnd"/>
      <w:r w:rsidRPr="003B42D9">
        <w:rPr>
          <w:b/>
        </w:rPr>
        <w:t>)</w:t>
      </w:r>
      <w:r w:rsidRPr="003B42D9">
        <w:rPr>
          <w:b/>
        </w:rPr>
        <w:tab/>
        <w:t xml:space="preserve">Depreciation of property, plant, equipment and </w:t>
      </w:r>
      <w:r w:rsidRPr="003B42D9">
        <w:rPr>
          <w:b/>
        </w:rPr>
        <w:tab/>
        <w:t>intangibles</w:t>
      </w:r>
    </w:p>
    <w:p w14:paraId="3D3496AB" w14:textId="77777777" w:rsidR="00AE1441" w:rsidRDefault="000C2A54" w:rsidP="000C2A54">
      <w:pPr>
        <w:ind w:left="1985"/>
      </w:pPr>
      <w:r w:rsidRPr="003B42D9">
        <w:t xml:space="preserve">Depreciation is provided in the accounts </w:t>
      </w:r>
      <w:proofErr w:type="gramStart"/>
      <w:r w:rsidRPr="003B42D9">
        <w:t>so as to</w:t>
      </w:r>
      <w:proofErr w:type="gramEnd"/>
      <w:r w:rsidRPr="003B42D9">
        <w:t xml:space="preserve"> write-down the respective assets to their residual values over their expected useful lives and as such the selection of the estimated useful lives and the expected residual values of the assets requires the use of estimates and judgements.  Details of the estimated useful lives are as shown in Note 1.7 and Note </w:t>
      </w:r>
      <w:r w:rsidR="008860A2">
        <w:t>1.9</w:t>
      </w:r>
      <w:r w:rsidRPr="003B42D9">
        <w:t>.</w:t>
      </w:r>
    </w:p>
    <w:p w14:paraId="17DD6862" w14:textId="77777777" w:rsidR="00AE1441" w:rsidRDefault="00AE1441" w:rsidP="000C2A54">
      <w:pPr>
        <w:ind w:left="1985"/>
      </w:pPr>
    </w:p>
    <w:p w14:paraId="462E124B" w14:textId="08A8ABD7" w:rsidR="00AE1441" w:rsidRPr="003B42D9" w:rsidRDefault="00AE1441" w:rsidP="00AE1441">
      <w:pPr>
        <w:ind w:left="1985" w:hanging="567"/>
        <w:rPr>
          <w:b/>
        </w:rPr>
      </w:pPr>
      <w:r w:rsidRPr="003B42D9">
        <w:rPr>
          <w:b/>
        </w:rPr>
        <w:t>(ii)</w:t>
      </w:r>
      <w:r w:rsidRPr="003B42D9">
        <w:rPr>
          <w:b/>
        </w:rPr>
        <w:tab/>
      </w:r>
      <w:r>
        <w:rPr>
          <w:b/>
        </w:rPr>
        <w:t>Leases</w:t>
      </w:r>
    </w:p>
    <w:p w14:paraId="1D09EE7D" w14:textId="64FBBB99" w:rsidR="000C2A54" w:rsidRPr="00AE1441" w:rsidRDefault="00AE1441" w:rsidP="00AE1441">
      <w:pPr>
        <w:ind w:left="1985"/>
      </w:pPr>
      <w:r>
        <w:t>Property leases assessed for IFRS16 Right-of-Use assets are valued using a cost model which has been used as a proxy for current value as the underlying assets value of the short lease is unlikely to fluctuate significantly.</w:t>
      </w:r>
      <w:r w:rsidR="000C2A54" w:rsidRPr="003B42D9">
        <w:br/>
      </w:r>
    </w:p>
    <w:p w14:paraId="210F0269" w14:textId="0A7F9E41" w:rsidR="000C2A54" w:rsidRPr="003B42D9" w:rsidRDefault="000C2A54" w:rsidP="000C2A54">
      <w:pPr>
        <w:ind w:left="1985" w:hanging="567"/>
        <w:rPr>
          <w:b/>
        </w:rPr>
      </w:pPr>
      <w:r w:rsidRPr="003B42D9">
        <w:rPr>
          <w:b/>
        </w:rPr>
        <w:t>(ii</w:t>
      </w:r>
      <w:r w:rsidR="003B6BEC">
        <w:rPr>
          <w:b/>
        </w:rPr>
        <w:t>i</w:t>
      </w:r>
      <w:r w:rsidRPr="003B42D9">
        <w:rPr>
          <w:b/>
        </w:rPr>
        <w:t>)</w:t>
      </w:r>
      <w:r w:rsidRPr="003B42D9">
        <w:rPr>
          <w:b/>
        </w:rPr>
        <w:tab/>
        <w:t>Impairment of property, plant and equipment</w:t>
      </w:r>
    </w:p>
    <w:p w14:paraId="57DC372E" w14:textId="77777777" w:rsidR="000C2A54" w:rsidRPr="003B42D9" w:rsidRDefault="000C2A54" w:rsidP="000C2A54">
      <w:pPr>
        <w:ind w:left="1985"/>
      </w:pPr>
      <w:r w:rsidRPr="003B42D9">
        <w:t>Where there is an indication that the carrying value of items of property, plant and equipment may have been impaired through events or changes in circumstances, a review will be undertaken of the recoverable amount of that asset.</w:t>
      </w:r>
    </w:p>
    <w:p w14:paraId="363DD307" w14:textId="77777777" w:rsidR="000C2A54" w:rsidRPr="003B42D9" w:rsidRDefault="000C2A54" w:rsidP="000C2A54"/>
    <w:p w14:paraId="7CD57BEC" w14:textId="268E4C87" w:rsidR="000C2A54" w:rsidRPr="003B42D9" w:rsidRDefault="000C2A54" w:rsidP="000C2A54">
      <w:pPr>
        <w:rPr>
          <w:b/>
        </w:rPr>
      </w:pPr>
      <w:r w:rsidRPr="003B42D9">
        <w:tab/>
      </w:r>
      <w:r w:rsidRPr="003B42D9">
        <w:tab/>
      </w:r>
      <w:r w:rsidRPr="003B42D9">
        <w:rPr>
          <w:b/>
        </w:rPr>
        <w:t>(i</w:t>
      </w:r>
      <w:r w:rsidR="003B6BEC">
        <w:rPr>
          <w:b/>
        </w:rPr>
        <w:t>v</w:t>
      </w:r>
      <w:r w:rsidRPr="003B42D9">
        <w:rPr>
          <w:b/>
        </w:rPr>
        <w:t>) Provisions</w:t>
      </w:r>
    </w:p>
    <w:p w14:paraId="24FFF869" w14:textId="77777777" w:rsidR="000C2A54" w:rsidRPr="003B42D9" w:rsidRDefault="000C2A54" w:rsidP="000C2A54">
      <w:pPr>
        <w:tabs>
          <w:tab w:val="left" w:pos="1276"/>
          <w:tab w:val="left" w:pos="1985"/>
        </w:tabs>
        <w:ind w:left="1985" w:hanging="1985"/>
      </w:pPr>
      <w:r w:rsidRPr="003B42D9">
        <w:rPr>
          <w:b/>
        </w:rPr>
        <w:tab/>
      </w:r>
      <w:r w:rsidRPr="003B42D9">
        <w:rPr>
          <w:b/>
        </w:rPr>
        <w:tab/>
      </w:r>
      <w:r w:rsidRPr="003B42D9">
        <w:t xml:space="preserve">The Commission provides for legal or constructive </w:t>
      </w:r>
      <w:r w:rsidR="00176472" w:rsidRPr="003B42D9">
        <w:t>obligations, which</w:t>
      </w:r>
      <w:r w:rsidRPr="003B42D9">
        <w:t xml:space="preserve"> are of uncertain timing or amount at the reporting date </w:t>
      </w:r>
      <w:proofErr w:type="gramStart"/>
      <w:r w:rsidRPr="003B42D9">
        <w:t>on the basis of</w:t>
      </w:r>
      <w:proofErr w:type="gramEnd"/>
      <w:r w:rsidRPr="003B42D9">
        <w:t xml:space="preserve"> the best estimate of the expenditure required to settle the obligation.</w:t>
      </w:r>
    </w:p>
    <w:p w14:paraId="0AE98860" w14:textId="77777777" w:rsidR="000C2A54" w:rsidRPr="003B42D9" w:rsidRDefault="000C2A54" w:rsidP="000C2A54">
      <w:pPr>
        <w:tabs>
          <w:tab w:val="left" w:pos="1276"/>
          <w:tab w:val="left" w:pos="1985"/>
        </w:tabs>
      </w:pPr>
    </w:p>
    <w:p w14:paraId="3C216F24" w14:textId="3CB1C339" w:rsidR="000C2A54" w:rsidRPr="003B42D9" w:rsidRDefault="000C2A54" w:rsidP="000C2A54">
      <w:pPr>
        <w:widowControl w:val="0"/>
        <w:autoSpaceDE w:val="0"/>
        <w:autoSpaceDN w:val="0"/>
        <w:adjustRightInd w:val="0"/>
        <w:ind w:left="1418" w:hanging="851"/>
        <w:rPr>
          <w:b/>
        </w:rPr>
      </w:pPr>
      <w:r w:rsidRPr="003B42D9">
        <w:rPr>
          <w:b/>
        </w:rPr>
        <w:t>1.3</w:t>
      </w:r>
      <w:r w:rsidRPr="003B42D9">
        <w:rPr>
          <w:b/>
        </w:rPr>
        <w:tab/>
        <w:t xml:space="preserve">Accounting standards, interpretations and amendments to published standards adopted in the year ended </w:t>
      </w:r>
      <w:r w:rsidR="0029565E">
        <w:rPr>
          <w:b/>
        </w:rPr>
        <w:t>31 March 202</w:t>
      </w:r>
      <w:r w:rsidR="009E02BC">
        <w:rPr>
          <w:b/>
        </w:rPr>
        <w:t>4</w:t>
      </w:r>
    </w:p>
    <w:p w14:paraId="69B18E9E" w14:textId="77777777" w:rsidR="000C2A54" w:rsidRPr="003B42D9" w:rsidRDefault="000C2A54" w:rsidP="000C2A54">
      <w:pPr>
        <w:tabs>
          <w:tab w:val="left" w:pos="567"/>
        </w:tabs>
        <w:ind w:left="540"/>
        <w:jc w:val="both"/>
        <w:rPr>
          <w:rFonts w:ascii="Arial" w:hAnsi="Arial" w:cs="Arial"/>
        </w:rPr>
      </w:pPr>
    </w:p>
    <w:p w14:paraId="5BB93BBB" w14:textId="2BAF394D" w:rsidR="002D6006" w:rsidRDefault="000C2A54" w:rsidP="002D6006">
      <w:pPr>
        <w:tabs>
          <w:tab w:val="left" w:pos="567"/>
        </w:tabs>
        <w:ind w:left="1418"/>
      </w:pPr>
      <w:r w:rsidRPr="00C727E5">
        <w:t xml:space="preserve">The Commission has reviewed the standards, interpretations and amendments to the International Financial Reporting Standards (IFRS) included in the </w:t>
      </w:r>
      <w:r w:rsidR="0091473F" w:rsidRPr="00C727E5">
        <w:t>202</w:t>
      </w:r>
      <w:r w:rsidR="009E02BC" w:rsidRPr="00C727E5">
        <w:t>3</w:t>
      </w:r>
      <w:r w:rsidR="0029565E" w:rsidRPr="00C727E5">
        <w:t>-2</w:t>
      </w:r>
      <w:r w:rsidR="009E02BC" w:rsidRPr="00C727E5">
        <w:t>4</w:t>
      </w:r>
      <w:r w:rsidRPr="00C727E5">
        <w:t xml:space="preserve"> Government Financial Reporting Manual (FReM) and which are relevant to its operations.</w:t>
      </w:r>
      <w:r w:rsidRPr="003B42D9">
        <w:t xml:space="preserve">  </w:t>
      </w:r>
    </w:p>
    <w:p w14:paraId="6C356A32" w14:textId="4C116662" w:rsidR="000C2A54" w:rsidRPr="003B42D9" w:rsidRDefault="008E0680" w:rsidP="00476C25">
      <w:pPr>
        <w:tabs>
          <w:tab w:val="left" w:pos="567"/>
        </w:tabs>
        <w:rPr>
          <w:rFonts w:ascii="Arial" w:hAnsi="Arial" w:cs="Arial"/>
        </w:rPr>
      </w:pPr>
      <w:r>
        <w:t xml:space="preserve"> </w:t>
      </w:r>
    </w:p>
    <w:p w14:paraId="5837E444" w14:textId="77777777" w:rsidR="000C2A54" w:rsidRPr="003B42D9" w:rsidRDefault="000C2A54" w:rsidP="000C2A54">
      <w:pPr>
        <w:widowControl w:val="0"/>
        <w:autoSpaceDE w:val="0"/>
        <w:autoSpaceDN w:val="0"/>
        <w:adjustRightInd w:val="0"/>
        <w:ind w:left="1418" w:hanging="851"/>
        <w:rPr>
          <w:b/>
        </w:rPr>
      </w:pPr>
      <w:r w:rsidRPr="003B42D9">
        <w:rPr>
          <w:b/>
        </w:rPr>
        <w:t>1.4</w:t>
      </w:r>
      <w:r w:rsidRPr="003B42D9">
        <w:rPr>
          <w:b/>
        </w:rPr>
        <w:tab/>
        <w:t>Accounting standards, interpretations and amendments to published standards not yet effective</w:t>
      </w:r>
    </w:p>
    <w:p w14:paraId="733CF851" w14:textId="77777777" w:rsidR="000C2A54" w:rsidRPr="003B42D9" w:rsidRDefault="000C2A54" w:rsidP="000C2A54">
      <w:pPr>
        <w:tabs>
          <w:tab w:val="left" w:pos="567"/>
        </w:tabs>
        <w:jc w:val="both"/>
        <w:rPr>
          <w:rFonts w:ascii="Arial" w:hAnsi="Arial" w:cs="Arial"/>
        </w:rPr>
      </w:pPr>
    </w:p>
    <w:p w14:paraId="050F1FAF" w14:textId="77777777" w:rsidR="000C2A54" w:rsidRDefault="000C2A54" w:rsidP="000C2A54">
      <w:pPr>
        <w:tabs>
          <w:tab w:val="left" w:pos="567"/>
        </w:tabs>
        <w:ind w:left="1418"/>
      </w:pPr>
      <w:r w:rsidRPr="003B42D9">
        <w:t xml:space="preserve">The Commission has not adopted any Standards or Interpretations from the IFRS in advance of the required implementation dates.  </w:t>
      </w:r>
      <w:r w:rsidR="00BA4EC9">
        <w:t>The following</w:t>
      </w:r>
      <w:r w:rsidRPr="003B42D9">
        <w:t xml:space="preserve"> standards or interpretations </w:t>
      </w:r>
      <w:r w:rsidR="003A70E7">
        <w:t>were</w:t>
      </w:r>
      <w:r w:rsidRPr="003B42D9">
        <w:t xml:space="preserve"> issued by the International Accounting Standards </w:t>
      </w:r>
      <w:r w:rsidR="00BA4EC9">
        <w:t>Board but have not been adopted:</w:t>
      </w:r>
    </w:p>
    <w:p w14:paraId="386948BD" w14:textId="65AE72AA" w:rsidR="00275EFE" w:rsidRDefault="00275EFE" w:rsidP="00275EFE">
      <w:pPr>
        <w:tabs>
          <w:tab w:val="left" w:pos="567"/>
        </w:tabs>
      </w:pPr>
    </w:p>
    <w:p w14:paraId="0CF8372C" w14:textId="2CF80C2B" w:rsidR="002D6006" w:rsidRPr="003B42D9" w:rsidRDefault="002D6006" w:rsidP="00782F24">
      <w:pPr>
        <w:tabs>
          <w:tab w:val="left" w:pos="567"/>
        </w:tabs>
        <w:ind w:left="1440" w:hanging="1440"/>
      </w:pPr>
      <w:r>
        <w:tab/>
      </w:r>
      <w:r>
        <w:tab/>
        <w:t>IFRS 17 – Insurance contracts</w:t>
      </w:r>
      <w:r w:rsidR="00BF268E">
        <w:t xml:space="preserve"> </w:t>
      </w:r>
      <w:proofErr w:type="gramStart"/>
      <w:r w:rsidR="00BF268E">
        <w:t>supersedes</w:t>
      </w:r>
      <w:proofErr w:type="gramEnd"/>
      <w:r w:rsidR="00BF268E">
        <w:t xml:space="preserve"> IFRS 4 Insurance contracts and related interpretations.  This new standard was due to be applied from 1 January </w:t>
      </w:r>
      <w:proofErr w:type="gramStart"/>
      <w:r w:rsidR="00BF268E">
        <w:t>202</w:t>
      </w:r>
      <w:r w:rsidR="00DD765C">
        <w:t>3</w:t>
      </w:r>
      <w:proofErr w:type="gramEnd"/>
      <w:r w:rsidR="00DD765C">
        <w:t xml:space="preserve"> but the IASB has deferred the effective date until 1 April 2025</w:t>
      </w:r>
      <w:r w:rsidR="00BF268E">
        <w:t xml:space="preserve">.  </w:t>
      </w:r>
    </w:p>
    <w:p w14:paraId="29694C9B" w14:textId="77777777" w:rsidR="000C2A54" w:rsidRPr="003B42D9" w:rsidRDefault="000C2A54" w:rsidP="000C2A54">
      <w:pPr>
        <w:tabs>
          <w:tab w:val="left" w:pos="567"/>
        </w:tabs>
        <w:jc w:val="both"/>
        <w:rPr>
          <w:rFonts w:ascii="Arial" w:hAnsi="Arial" w:cs="Arial"/>
        </w:rPr>
      </w:pPr>
    </w:p>
    <w:p w14:paraId="47ACA3EF" w14:textId="77777777" w:rsidR="000C2A54" w:rsidRPr="003B42D9" w:rsidRDefault="000C2A54" w:rsidP="000C2A54">
      <w:pPr>
        <w:widowControl w:val="0"/>
        <w:autoSpaceDE w:val="0"/>
        <w:autoSpaceDN w:val="0"/>
        <w:adjustRightInd w:val="0"/>
        <w:ind w:left="1418" w:hanging="851"/>
        <w:rPr>
          <w:b/>
        </w:rPr>
      </w:pPr>
      <w:r w:rsidRPr="003B42D9">
        <w:rPr>
          <w:b/>
        </w:rPr>
        <w:t>1.5</w:t>
      </w:r>
      <w:r w:rsidRPr="003B42D9">
        <w:rPr>
          <w:b/>
        </w:rPr>
        <w:tab/>
        <w:t>Income</w:t>
      </w:r>
    </w:p>
    <w:p w14:paraId="4519E88F" w14:textId="77777777" w:rsidR="000C2A54" w:rsidRPr="003B42D9" w:rsidRDefault="000C2A54" w:rsidP="000C2A54">
      <w:pPr>
        <w:tabs>
          <w:tab w:val="left" w:pos="3372"/>
        </w:tabs>
        <w:rPr>
          <w:lang w:val="en-IE"/>
        </w:rPr>
      </w:pPr>
    </w:p>
    <w:p w14:paraId="0DFB7C89" w14:textId="77777777" w:rsidR="00624C8B" w:rsidRDefault="00624C8B" w:rsidP="000C2A54">
      <w:pPr>
        <w:widowControl w:val="0"/>
        <w:autoSpaceDE w:val="0"/>
        <w:autoSpaceDN w:val="0"/>
        <w:adjustRightInd w:val="0"/>
        <w:ind w:left="1440" w:hanging="22"/>
      </w:pPr>
      <w:r>
        <w:t xml:space="preserve">At </w:t>
      </w:r>
      <w:r w:rsidR="00176472">
        <w:t>times,</w:t>
      </w:r>
      <w:r>
        <w:t xml:space="preserve"> the Commission receives income from sources other than the NIO, for specific projects.  The Commission will seek to recover any associated costs for the project in line with the contract.</w:t>
      </w:r>
    </w:p>
    <w:p w14:paraId="03E54B4C" w14:textId="77777777" w:rsidR="006952B5" w:rsidRDefault="006952B5" w:rsidP="0029565E">
      <w:pPr>
        <w:tabs>
          <w:tab w:val="left" w:pos="567"/>
        </w:tabs>
      </w:pPr>
    </w:p>
    <w:p w14:paraId="5D6F966C" w14:textId="77777777" w:rsidR="00275EFE" w:rsidRDefault="006952B5" w:rsidP="006952B5">
      <w:pPr>
        <w:widowControl w:val="0"/>
        <w:autoSpaceDE w:val="0"/>
        <w:autoSpaceDN w:val="0"/>
        <w:adjustRightInd w:val="0"/>
        <w:ind w:left="1440" w:hanging="22"/>
      </w:pPr>
      <w:r>
        <w:tab/>
        <w:t xml:space="preserve">In line with its accounting policy, the Commission </w:t>
      </w:r>
      <w:r w:rsidR="0091473F">
        <w:t>applies</w:t>
      </w:r>
      <w:r>
        <w:t xml:space="preserve"> the requirements of IFRS 15 to income earned from other sources.</w:t>
      </w:r>
    </w:p>
    <w:p w14:paraId="7091046D" w14:textId="77777777" w:rsidR="00275EFE" w:rsidRDefault="00275EFE" w:rsidP="006952B5">
      <w:pPr>
        <w:widowControl w:val="0"/>
        <w:autoSpaceDE w:val="0"/>
        <w:autoSpaceDN w:val="0"/>
        <w:adjustRightInd w:val="0"/>
        <w:ind w:left="1440" w:hanging="22"/>
      </w:pPr>
    </w:p>
    <w:p w14:paraId="07CC91D5" w14:textId="2139990F" w:rsidR="00275EFE" w:rsidRDefault="00275EFE" w:rsidP="006952B5">
      <w:pPr>
        <w:widowControl w:val="0"/>
        <w:autoSpaceDE w:val="0"/>
        <w:autoSpaceDN w:val="0"/>
        <w:adjustRightInd w:val="0"/>
        <w:ind w:left="1440" w:hanging="22"/>
      </w:pPr>
      <w:bookmarkStart w:id="38" w:name="_Hlk136441331"/>
      <w:r>
        <w:t>The Commission received £</w:t>
      </w:r>
      <w:r w:rsidR="00C727E5">
        <w:t>11,301</w:t>
      </w:r>
      <w:r>
        <w:t xml:space="preserve"> </w:t>
      </w:r>
      <w:r w:rsidR="00C727E5">
        <w:t>from the European Network of National Human Rights Institutions</w:t>
      </w:r>
      <w:r w:rsidR="00B566C9">
        <w:t xml:space="preserve"> (ENNHRI)</w:t>
      </w:r>
      <w:r w:rsidR="00C727E5">
        <w:t xml:space="preserve"> under a Small Grant Agreement for </w:t>
      </w:r>
      <w:r w:rsidR="00B566C9">
        <w:t>Project SGA-NHRI.EU-2023-02 – NI Business Human Rights Index – Developing a national and human rights index for Northern Ireland.  The Commission has an agreement with Queen’s University Belfast (QUB) to implement the project within an agreed timeframe.  For the implementation of the Project, the Commission agrees to pay the funding received from ENNHRI to QUB.</w:t>
      </w:r>
      <w:r w:rsidR="00C04C0C">
        <w:t xml:space="preserve">  Income is recognised </w:t>
      </w:r>
      <w:r w:rsidR="005A6A32">
        <w:t>when the obligations associated with the contract have been satisfied.</w:t>
      </w:r>
    </w:p>
    <w:bookmarkEnd w:id="38"/>
    <w:p w14:paraId="504E566F" w14:textId="18F32589" w:rsidR="000C2A54" w:rsidRDefault="000C2A54" w:rsidP="002D47AF">
      <w:pPr>
        <w:tabs>
          <w:tab w:val="left" w:pos="567"/>
        </w:tabs>
      </w:pPr>
    </w:p>
    <w:p w14:paraId="6856C2C7" w14:textId="77777777" w:rsidR="000C2A54" w:rsidRPr="003B42D9" w:rsidRDefault="000C2A54" w:rsidP="000C2A54">
      <w:pPr>
        <w:widowControl w:val="0"/>
        <w:autoSpaceDE w:val="0"/>
        <w:autoSpaceDN w:val="0"/>
        <w:adjustRightInd w:val="0"/>
        <w:ind w:left="567"/>
        <w:rPr>
          <w:b/>
        </w:rPr>
      </w:pPr>
      <w:r w:rsidRPr="003B42D9">
        <w:rPr>
          <w:b/>
        </w:rPr>
        <w:t>1.6</w:t>
      </w:r>
      <w:r w:rsidRPr="003B42D9">
        <w:rPr>
          <w:b/>
        </w:rPr>
        <w:tab/>
        <w:t>Grant-in-aid</w:t>
      </w:r>
    </w:p>
    <w:p w14:paraId="637B400E" w14:textId="77777777" w:rsidR="000C2A54" w:rsidRPr="003B42D9" w:rsidRDefault="000C2A54" w:rsidP="000C2A54">
      <w:pPr>
        <w:widowControl w:val="0"/>
        <w:autoSpaceDE w:val="0"/>
        <w:autoSpaceDN w:val="0"/>
        <w:adjustRightInd w:val="0"/>
        <w:ind w:firstLine="567"/>
        <w:rPr>
          <w:b/>
        </w:rPr>
      </w:pPr>
    </w:p>
    <w:p w14:paraId="60B9D1AC" w14:textId="42F78BE3" w:rsidR="004E20B2" w:rsidRDefault="000C2A54" w:rsidP="004E20B2">
      <w:pPr>
        <w:widowControl w:val="0"/>
        <w:autoSpaceDE w:val="0"/>
        <w:autoSpaceDN w:val="0"/>
        <w:adjustRightInd w:val="0"/>
        <w:ind w:left="1440" w:hanging="873"/>
      </w:pPr>
      <w:r w:rsidRPr="003B42D9">
        <w:rPr>
          <w:b/>
        </w:rPr>
        <w:tab/>
      </w:r>
      <w:r w:rsidRPr="003B42D9">
        <w:t xml:space="preserve">Grant in aid is credited directly to the General Reserve as it is regarded as contributions from a controlling </w:t>
      </w:r>
      <w:r w:rsidR="00176472" w:rsidRPr="003B42D9">
        <w:t>party, which</w:t>
      </w:r>
      <w:r w:rsidRPr="003B42D9">
        <w:t xml:space="preserve"> gives rise to a financial interest in the residual interest in the Commission.</w:t>
      </w:r>
    </w:p>
    <w:p w14:paraId="3C87DA10" w14:textId="77777777" w:rsidR="004E20B2" w:rsidRDefault="004E20B2" w:rsidP="004E20B2">
      <w:pPr>
        <w:widowControl w:val="0"/>
        <w:autoSpaceDE w:val="0"/>
        <w:autoSpaceDN w:val="0"/>
        <w:adjustRightInd w:val="0"/>
        <w:ind w:left="1440" w:hanging="873"/>
      </w:pPr>
    </w:p>
    <w:p w14:paraId="5ED93420" w14:textId="77777777" w:rsidR="000C2A54" w:rsidRPr="003B42D9" w:rsidRDefault="000C2A54" w:rsidP="004E20B2">
      <w:pPr>
        <w:widowControl w:val="0"/>
        <w:autoSpaceDE w:val="0"/>
        <w:autoSpaceDN w:val="0"/>
        <w:adjustRightInd w:val="0"/>
        <w:ind w:left="1440" w:hanging="873"/>
        <w:rPr>
          <w:b/>
        </w:rPr>
      </w:pPr>
      <w:r w:rsidRPr="003B42D9">
        <w:rPr>
          <w:b/>
        </w:rPr>
        <w:t>1.7</w:t>
      </w:r>
      <w:r w:rsidRPr="003B42D9">
        <w:rPr>
          <w:b/>
        </w:rPr>
        <w:tab/>
        <w:t>Property, plant and equipment and depreciation</w:t>
      </w:r>
    </w:p>
    <w:p w14:paraId="4DB1A82F" w14:textId="77777777" w:rsidR="000C2A54" w:rsidRPr="003B42D9" w:rsidRDefault="000C2A54" w:rsidP="000C2A54">
      <w:pPr>
        <w:tabs>
          <w:tab w:val="left" w:pos="567"/>
        </w:tabs>
        <w:autoSpaceDE w:val="0"/>
        <w:autoSpaceDN w:val="0"/>
        <w:adjustRightInd w:val="0"/>
        <w:ind w:left="567"/>
      </w:pPr>
    </w:p>
    <w:p w14:paraId="338DF6E1" w14:textId="77777777" w:rsidR="000C2A54" w:rsidRPr="003B42D9" w:rsidRDefault="000C2A54" w:rsidP="000C2A54">
      <w:pPr>
        <w:tabs>
          <w:tab w:val="left" w:pos="709"/>
        </w:tabs>
        <w:autoSpaceDE w:val="0"/>
        <w:autoSpaceDN w:val="0"/>
        <w:adjustRightInd w:val="0"/>
        <w:ind w:left="1418"/>
      </w:pPr>
      <w:r w:rsidRPr="003B42D9">
        <w:t xml:space="preserve">Property plant and equipment comprises leasehold improvements to </w:t>
      </w:r>
      <w:r w:rsidR="007B2D55">
        <w:t>Alfred Street</w:t>
      </w:r>
      <w:r w:rsidRPr="003B42D9">
        <w:t>, fixtures and fittings and information technology equipment at fair value.</w:t>
      </w:r>
    </w:p>
    <w:p w14:paraId="6844ED7A" w14:textId="77777777" w:rsidR="000C2A54" w:rsidRPr="003B42D9" w:rsidRDefault="000C2A54" w:rsidP="000C2A54">
      <w:pPr>
        <w:tabs>
          <w:tab w:val="left" w:pos="709"/>
        </w:tabs>
        <w:autoSpaceDE w:val="0"/>
        <w:autoSpaceDN w:val="0"/>
        <w:adjustRightInd w:val="0"/>
        <w:ind w:left="1418"/>
      </w:pPr>
    </w:p>
    <w:p w14:paraId="3757560F" w14:textId="77777777" w:rsidR="000C2A54" w:rsidRPr="003B42D9" w:rsidRDefault="000C2A54" w:rsidP="000C2A54">
      <w:pPr>
        <w:tabs>
          <w:tab w:val="left" w:pos="709"/>
        </w:tabs>
        <w:autoSpaceDE w:val="0"/>
        <w:autoSpaceDN w:val="0"/>
        <w:adjustRightInd w:val="0"/>
        <w:ind w:left="1418"/>
      </w:pPr>
      <w:r w:rsidRPr="003B42D9">
        <w:t xml:space="preserve">Items of property, plant and equipment are capitalised if they are intended for use on a continuous basis and their individual original purchase cost is £1,000 or more.  Items with an individual cost of less than £1,000 but, when taken together, represent a significant investment will be grouped.  </w:t>
      </w:r>
    </w:p>
    <w:p w14:paraId="2C8D5724" w14:textId="77777777" w:rsidR="000C2A54" w:rsidRPr="003B42D9" w:rsidRDefault="000C2A54" w:rsidP="000C2A54">
      <w:pPr>
        <w:tabs>
          <w:tab w:val="left" w:pos="709"/>
        </w:tabs>
        <w:autoSpaceDE w:val="0"/>
        <w:autoSpaceDN w:val="0"/>
        <w:adjustRightInd w:val="0"/>
        <w:ind w:left="1560"/>
      </w:pPr>
    </w:p>
    <w:p w14:paraId="4554C3D0" w14:textId="45FC53CA" w:rsidR="000C2A54" w:rsidRPr="003B42D9" w:rsidRDefault="000C2A54" w:rsidP="000C2A54">
      <w:pPr>
        <w:tabs>
          <w:tab w:val="left" w:pos="709"/>
        </w:tabs>
        <w:autoSpaceDE w:val="0"/>
        <w:autoSpaceDN w:val="0"/>
        <w:adjustRightInd w:val="0"/>
        <w:ind w:left="1418"/>
      </w:pPr>
      <w:r w:rsidRPr="003B42D9">
        <w:t xml:space="preserve">Leasehold improvement expenditure has been capitalised and is restated at current </w:t>
      </w:r>
      <w:r w:rsidR="00660836">
        <w:t>value</w:t>
      </w:r>
      <w:r w:rsidR="00660836" w:rsidRPr="003B42D9">
        <w:t xml:space="preserve"> </w:t>
      </w:r>
      <w:r w:rsidRPr="003B42D9">
        <w:t xml:space="preserve">using professional valuations.  Valuations are carried out annually using indices compiled by the Office for National Statistics, and normally every third year by professional external valuers employed by the Land and Property Services (Valuations) in accordance with the Appraisal and Valuation Manual prepared and published by the Royal Institution of Chartered Surveyors, as </w:t>
      </w:r>
      <w:proofErr w:type="gramStart"/>
      <w:r w:rsidRPr="003B42D9">
        <w:t>at</w:t>
      </w:r>
      <w:proofErr w:type="gramEnd"/>
      <w:r w:rsidRPr="003B42D9">
        <w:t xml:space="preserve"> 31 March</w:t>
      </w:r>
      <w:r w:rsidR="008D53CC">
        <w:t xml:space="preserve"> 202</w:t>
      </w:r>
      <w:r w:rsidR="00B566C9">
        <w:t>4</w:t>
      </w:r>
      <w:r w:rsidRPr="003B42D9">
        <w:t xml:space="preserve">.  </w:t>
      </w:r>
      <w:r>
        <w:t>T</w:t>
      </w:r>
      <w:r w:rsidRPr="003B42D9">
        <w:t xml:space="preserve">he current lease was negotiated </w:t>
      </w:r>
      <w:r>
        <w:t xml:space="preserve">in </w:t>
      </w:r>
      <w:r w:rsidR="0091473F">
        <w:t>March 2020</w:t>
      </w:r>
      <w:r>
        <w:t xml:space="preserve"> and </w:t>
      </w:r>
      <w:r w:rsidR="0091473F">
        <w:t>i</w:t>
      </w:r>
      <w:r w:rsidR="00E82515">
        <w:t>s</w:t>
      </w:r>
      <w:r>
        <w:t xml:space="preserve"> </w:t>
      </w:r>
      <w:r w:rsidRPr="003B42D9">
        <w:t xml:space="preserve">for a period of </w:t>
      </w:r>
      <w:r w:rsidR="0091473F">
        <w:t>ten</w:t>
      </w:r>
      <w:r w:rsidRPr="003B42D9">
        <w:t xml:space="preserve"> years</w:t>
      </w:r>
      <w:r>
        <w:t xml:space="preserve"> </w:t>
      </w:r>
      <w:r w:rsidR="00C6005E">
        <w:t xml:space="preserve">until </w:t>
      </w:r>
      <w:r w:rsidR="0091473F">
        <w:t>18 March 2030 with a break clause after five years</w:t>
      </w:r>
      <w:r>
        <w:t>.</w:t>
      </w:r>
      <w:r w:rsidRPr="003B42D9">
        <w:t xml:space="preserve">  </w:t>
      </w:r>
    </w:p>
    <w:p w14:paraId="7ACECD80" w14:textId="77777777" w:rsidR="001E2AA0" w:rsidRPr="003B42D9" w:rsidRDefault="001E2AA0" w:rsidP="00B566C9">
      <w:pPr>
        <w:tabs>
          <w:tab w:val="left" w:pos="709"/>
        </w:tabs>
        <w:autoSpaceDE w:val="0"/>
        <w:autoSpaceDN w:val="0"/>
        <w:adjustRightInd w:val="0"/>
      </w:pPr>
    </w:p>
    <w:p w14:paraId="04871FA5" w14:textId="77777777" w:rsidR="000C2A54" w:rsidRPr="003B42D9" w:rsidRDefault="000C2A54" w:rsidP="000C2A54">
      <w:pPr>
        <w:tabs>
          <w:tab w:val="left" w:pos="709"/>
        </w:tabs>
        <w:autoSpaceDE w:val="0"/>
        <w:autoSpaceDN w:val="0"/>
        <w:adjustRightInd w:val="0"/>
        <w:ind w:left="1418"/>
      </w:pPr>
      <w:r w:rsidRPr="003B42D9">
        <w:t>Any surplus/loss on revaluation is treated as follows:</w:t>
      </w:r>
    </w:p>
    <w:p w14:paraId="4ED5A960" w14:textId="77777777" w:rsidR="000C2A54" w:rsidRPr="003B42D9" w:rsidRDefault="000C2A54" w:rsidP="000C2A54">
      <w:pPr>
        <w:tabs>
          <w:tab w:val="left" w:pos="709"/>
        </w:tabs>
        <w:autoSpaceDE w:val="0"/>
        <w:autoSpaceDN w:val="0"/>
        <w:adjustRightInd w:val="0"/>
        <w:ind w:left="1560"/>
      </w:pPr>
    </w:p>
    <w:p w14:paraId="75CF96B2" w14:textId="77777777" w:rsidR="000C2A54" w:rsidRPr="003B42D9" w:rsidRDefault="000C2A54" w:rsidP="00310B25">
      <w:pPr>
        <w:pStyle w:val="ListParagraph"/>
        <w:numPr>
          <w:ilvl w:val="0"/>
          <w:numId w:val="7"/>
        </w:numPr>
        <w:autoSpaceDE w:val="0"/>
        <w:autoSpaceDN w:val="0"/>
        <w:adjustRightInd w:val="0"/>
        <w:ind w:left="1701" w:hanging="283"/>
      </w:pPr>
      <w:r w:rsidRPr="003B42D9">
        <w:t xml:space="preserve">Unrealised surplus arising from revaluation of property, plant and equipment is credited to the Revaluation Reserve unless it reverses a revaluation decrease of the same asset previously charged to the </w:t>
      </w:r>
      <w:r w:rsidRPr="003B42D9">
        <w:rPr>
          <w:rFonts w:cs="Arial"/>
        </w:rPr>
        <w:t xml:space="preserve">Statement of Comprehensive Net </w:t>
      </w:r>
      <w:proofErr w:type="gramStart"/>
      <w:r w:rsidRPr="003B42D9">
        <w:rPr>
          <w:rFonts w:cs="Arial"/>
        </w:rPr>
        <w:t>Expenditure</w:t>
      </w:r>
      <w:r w:rsidRPr="003B42D9">
        <w:t>;</w:t>
      </w:r>
      <w:proofErr w:type="gramEnd"/>
    </w:p>
    <w:p w14:paraId="37D52E2A" w14:textId="77777777" w:rsidR="000C2A54" w:rsidRPr="003B42D9" w:rsidRDefault="000C2A54" w:rsidP="000C2A54">
      <w:pPr>
        <w:autoSpaceDE w:val="0"/>
        <w:autoSpaceDN w:val="0"/>
        <w:adjustRightInd w:val="0"/>
        <w:ind w:left="1701" w:hanging="283"/>
      </w:pPr>
    </w:p>
    <w:p w14:paraId="0858D2B5" w14:textId="767E1A4B" w:rsidR="000C2A54" w:rsidRDefault="000C2A54" w:rsidP="00310B25">
      <w:pPr>
        <w:pStyle w:val="ListParagraph"/>
        <w:numPr>
          <w:ilvl w:val="0"/>
          <w:numId w:val="7"/>
        </w:numPr>
        <w:autoSpaceDE w:val="0"/>
        <w:autoSpaceDN w:val="0"/>
        <w:adjustRightInd w:val="0"/>
        <w:ind w:left="1701" w:hanging="283"/>
      </w:pPr>
      <w:r w:rsidRPr="003B42D9">
        <w:t xml:space="preserve">Losses arising from the revaluation of property, plant and equipment are debited to the Revaluation Reserve to the extent that gains were recorded previously, and otherwise to the </w:t>
      </w:r>
      <w:r w:rsidRPr="003B42D9">
        <w:rPr>
          <w:rFonts w:cs="Arial"/>
        </w:rPr>
        <w:t>Statement of Comprehensive Net Expenditure</w:t>
      </w:r>
      <w:r w:rsidRPr="003B42D9">
        <w:t>.</w:t>
      </w:r>
    </w:p>
    <w:p w14:paraId="13A78688" w14:textId="77777777" w:rsidR="00975D2D" w:rsidRDefault="00975D2D" w:rsidP="00975D2D">
      <w:pPr>
        <w:pStyle w:val="ListParagraph"/>
      </w:pPr>
    </w:p>
    <w:p w14:paraId="3ABD461D" w14:textId="77777777" w:rsidR="00975D2D" w:rsidRPr="003B42D9" w:rsidRDefault="00975D2D" w:rsidP="00975D2D">
      <w:pPr>
        <w:autoSpaceDE w:val="0"/>
        <w:autoSpaceDN w:val="0"/>
        <w:adjustRightInd w:val="0"/>
        <w:ind w:left="1418"/>
      </w:pPr>
      <w:r w:rsidRPr="003B42D9">
        <w:t>All property, plant and equipment are reviewed annually as part of an inventory check against the Commission’s asset register.</w:t>
      </w:r>
    </w:p>
    <w:p w14:paraId="0A37AC37" w14:textId="77777777" w:rsidR="00975D2D" w:rsidRPr="003B42D9" w:rsidRDefault="00975D2D" w:rsidP="00975D2D">
      <w:pPr>
        <w:autoSpaceDE w:val="0"/>
        <w:autoSpaceDN w:val="0"/>
        <w:adjustRightInd w:val="0"/>
        <w:ind w:left="1418"/>
      </w:pPr>
    </w:p>
    <w:p w14:paraId="14D6801E" w14:textId="77777777" w:rsidR="00975D2D" w:rsidRPr="003B42D9" w:rsidRDefault="00975D2D" w:rsidP="00975D2D">
      <w:pPr>
        <w:autoSpaceDE w:val="0"/>
        <w:autoSpaceDN w:val="0"/>
        <w:adjustRightInd w:val="0"/>
        <w:ind w:left="1418"/>
      </w:pPr>
      <w:r w:rsidRPr="003B42D9">
        <w:t xml:space="preserve">All other property, plant and equipment is valued </w:t>
      </w:r>
      <w:proofErr w:type="gramStart"/>
      <w:r w:rsidRPr="003B42D9">
        <w:t>on the basis of</w:t>
      </w:r>
      <w:proofErr w:type="gramEnd"/>
      <w:r w:rsidRPr="003B42D9">
        <w:t xml:space="preserve"> historical cost less depreciation as an approximation of fair value due to short life or low value of the individual assets.</w:t>
      </w:r>
    </w:p>
    <w:p w14:paraId="03FDB2FA" w14:textId="77777777" w:rsidR="00975D2D" w:rsidRPr="003B42D9" w:rsidRDefault="00975D2D" w:rsidP="00975D2D">
      <w:pPr>
        <w:autoSpaceDE w:val="0"/>
        <w:autoSpaceDN w:val="0"/>
        <w:adjustRightInd w:val="0"/>
        <w:ind w:left="1418"/>
      </w:pPr>
    </w:p>
    <w:p w14:paraId="36C7DD83" w14:textId="77777777" w:rsidR="00975D2D" w:rsidRPr="003B42D9" w:rsidRDefault="00975D2D" w:rsidP="00975D2D">
      <w:pPr>
        <w:autoSpaceDE w:val="0"/>
        <w:autoSpaceDN w:val="0"/>
        <w:adjustRightInd w:val="0"/>
        <w:ind w:left="1418"/>
      </w:pPr>
      <w:r w:rsidRPr="003B42D9">
        <w:t>Depreciation is provided on a straight-line basis at rates calculated to write</w:t>
      </w:r>
      <w:r w:rsidRPr="003B42D9">
        <w:rPr>
          <w:rFonts w:cs="Arial"/>
        </w:rPr>
        <w:t>-</w:t>
      </w:r>
      <w:r w:rsidRPr="003B42D9">
        <w:t>off the cost less estimated residual value of each asset over its expected useful life.  The estimated useful lives for depreciation purposes are:</w:t>
      </w:r>
    </w:p>
    <w:p w14:paraId="2C89C960" w14:textId="77777777" w:rsidR="00975D2D" w:rsidRPr="003B42D9" w:rsidRDefault="00975D2D" w:rsidP="00975D2D">
      <w:pPr>
        <w:widowControl w:val="0"/>
        <w:tabs>
          <w:tab w:val="left" w:pos="5670"/>
        </w:tabs>
        <w:autoSpaceDE w:val="0"/>
        <w:autoSpaceDN w:val="0"/>
        <w:adjustRightInd w:val="0"/>
        <w:ind w:firstLine="720"/>
      </w:pPr>
    </w:p>
    <w:p w14:paraId="3CFF3919" w14:textId="77777777" w:rsidR="00975D2D" w:rsidRPr="003B42D9" w:rsidRDefault="00975D2D" w:rsidP="00975D2D">
      <w:pPr>
        <w:widowControl w:val="0"/>
        <w:tabs>
          <w:tab w:val="left" w:pos="5670"/>
        </w:tabs>
        <w:autoSpaceDE w:val="0"/>
        <w:autoSpaceDN w:val="0"/>
        <w:adjustRightInd w:val="0"/>
        <w:ind w:firstLine="1418"/>
      </w:pPr>
      <w:r w:rsidRPr="003B42D9">
        <w:t>Leasehold improvements:</w:t>
      </w:r>
      <w:r w:rsidRPr="003B42D9">
        <w:tab/>
        <w:t xml:space="preserve">10 years (or the life of the </w:t>
      </w:r>
    </w:p>
    <w:p w14:paraId="263E4A07" w14:textId="77777777" w:rsidR="00975D2D" w:rsidRPr="003B42D9" w:rsidRDefault="00975D2D" w:rsidP="00975D2D">
      <w:pPr>
        <w:widowControl w:val="0"/>
        <w:tabs>
          <w:tab w:val="left" w:pos="5670"/>
        </w:tabs>
        <w:autoSpaceDE w:val="0"/>
        <w:autoSpaceDN w:val="0"/>
        <w:adjustRightInd w:val="0"/>
        <w:ind w:left="1418"/>
      </w:pPr>
      <w:r w:rsidRPr="003B42D9">
        <w:tab/>
        <w:t>lease, whichever is least)</w:t>
      </w:r>
    </w:p>
    <w:p w14:paraId="3EAAAF22" w14:textId="77777777" w:rsidR="00975D2D" w:rsidRPr="003B42D9" w:rsidRDefault="00975D2D" w:rsidP="00975D2D">
      <w:pPr>
        <w:widowControl w:val="0"/>
        <w:tabs>
          <w:tab w:val="left" w:pos="5670"/>
        </w:tabs>
        <w:autoSpaceDE w:val="0"/>
        <w:autoSpaceDN w:val="0"/>
        <w:adjustRightInd w:val="0"/>
        <w:ind w:left="1418"/>
      </w:pPr>
      <w:r w:rsidRPr="003B42D9">
        <w:t>Computer equipment:</w:t>
      </w:r>
      <w:r w:rsidRPr="003B42D9">
        <w:tab/>
        <w:t>3 years</w:t>
      </w:r>
    </w:p>
    <w:p w14:paraId="43870238" w14:textId="5A17E988" w:rsidR="00DE1D34" w:rsidRDefault="00975D2D" w:rsidP="00DE1D34">
      <w:pPr>
        <w:widowControl w:val="0"/>
        <w:tabs>
          <w:tab w:val="left" w:pos="5670"/>
        </w:tabs>
        <w:autoSpaceDE w:val="0"/>
        <w:autoSpaceDN w:val="0"/>
        <w:adjustRightInd w:val="0"/>
        <w:ind w:left="1418"/>
      </w:pPr>
      <w:r w:rsidRPr="003B42D9">
        <w:t>Fixtures, fittings and equipment:</w:t>
      </w:r>
      <w:r w:rsidRPr="003B42D9">
        <w:tab/>
        <w:t>5 years</w:t>
      </w:r>
    </w:p>
    <w:p w14:paraId="01A76CA6" w14:textId="77777777" w:rsidR="00DE1D34" w:rsidRDefault="00DE1D34" w:rsidP="00FD0AA4">
      <w:pPr>
        <w:widowControl w:val="0"/>
        <w:tabs>
          <w:tab w:val="left" w:pos="5670"/>
        </w:tabs>
        <w:autoSpaceDE w:val="0"/>
        <w:autoSpaceDN w:val="0"/>
        <w:adjustRightInd w:val="0"/>
      </w:pPr>
    </w:p>
    <w:p w14:paraId="323FBF30" w14:textId="56946C1C" w:rsidR="00DE1D34" w:rsidRPr="00E5476D" w:rsidRDefault="00DE1D34" w:rsidP="00DE1D34">
      <w:pPr>
        <w:tabs>
          <w:tab w:val="left" w:pos="709"/>
        </w:tabs>
        <w:autoSpaceDE w:val="0"/>
        <w:autoSpaceDN w:val="0"/>
        <w:adjustRightInd w:val="0"/>
        <w:ind w:left="1440" w:hanging="1440"/>
        <w:rPr>
          <w:b/>
          <w:bCs/>
        </w:rPr>
      </w:pPr>
      <w:r>
        <w:rPr>
          <w:b/>
          <w:bCs/>
        </w:rPr>
        <w:tab/>
        <w:t>1.8</w:t>
      </w:r>
      <w:r>
        <w:rPr>
          <w:b/>
          <w:bCs/>
        </w:rPr>
        <w:tab/>
      </w:r>
      <w:r w:rsidR="006A0939">
        <w:rPr>
          <w:b/>
          <w:bCs/>
        </w:rPr>
        <w:t>Leases</w:t>
      </w:r>
    </w:p>
    <w:p w14:paraId="52965A15" w14:textId="77777777" w:rsidR="00DE1D34" w:rsidRDefault="00DE1D34" w:rsidP="00DE1D34">
      <w:pPr>
        <w:autoSpaceDE w:val="0"/>
        <w:autoSpaceDN w:val="0"/>
        <w:adjustRightInd w:val="0"/>
      </w:pPr>
    </w:p>
    <w:p w14:paraId="21B7B63D" w14:textId="4E094191" w:rsidR="006A6FA8" w:rsidRPr="00A421E4" w:rsidRDefault="006A6FA8" w:rsidP="008C071B">
      <w:pPr>
        <w:shd w:val="clear" w:color="auto" w:fill="FFFFFF"/>
        <w:spacing w:after="360"/>
        <w:ind w:left="1418"/>
        <w:rPr>
          <w:color w:val="171B1F"/>
          <w:lang w:eastAsia="en-GB"/>
        </w:rPr>
      </w:pPr>
      <w:r w:rsidRPr="006A6FA8">
        <w:rPr>
          <w:color w:val="171B1F"/>
          <w:lang w:eastAsia="en-GB"/>
        </w:rPr>
        <w:t>IFRS 16 ‘Leases’ was implemented from 1 April 20</w:t>
      </w:r>
      <w:r w:rsidR="00C67D2A">
        <w:rPr>
          <w:color w:val="171B1F"/>
          <w:lang w:eastAsia="en-GB"/>
        </w:rPr>
        <w:t>22</w:t>
      </w:r>
      <w:r w:rsidRPr="006A6FA8">
        <w:rPr>
          <w:color w:val="171B1F"/>
          <w:lang w:eastAsia="en-GB"/>
        </w:rPr>
        <w:t xml:space="preserve">; this introduces a single lessee accounting model that requires a lessee to recognise assets and liabilities for all leases </w:t>
      </w:r>
      <w:r w:rsidR="000469E1">
        <w:t>unless the lease term is 12 months or less or the underlying asset has a low value</w:t>
      </w:r>
      <w:r w:rsidRPr="006A6FA8">
        <w:rPr>
          <w:color w:val="171B1F"/>
          <w:lang w:eastAsia="en-GB"/>
        </w:rPr>
        <w:t>.</w:t>
      </w:r>
      <w:r w:rsidR="0016533B">
        <w:rPr>
          <w:color w:val="171B1F"/>
          <w:lang w:eastAsia="en-GB"/>
        </w:rPr>
        <w:t xml:space="preserve">  </w:t>
      </w:r>
      <w:r w:rsidR="0016533B">
        <w:rPr>
          <w:color w:val="171B1F"/>
          <w:lang w:eastAsia="en-GB"/>
        </w:rPr>
        <w:br/>
      </w:r>
      <w:r w:rsidRPr="006A6FA8">
        <w:rPr>
          <w:color w:val="171B1F"/>
          <w:lang w:eastAsia="en-GB"/>
        </w:rPr>
        <w:t>In respect of lessees, IFRS 16 removes the distinction between operating and finance leases and introduces a single accounting model that requires a lessee to recognise ‘right-of-use’ assets and lease liabilities. The definition of a lease has been updated under IFRS 16, there is more emphasis on being able to control of the use of asset identified in a contract. There are new requirements for variable lease payments such as RPI/CPI uplifts; and there is an accounting policy choice allowable to separate non-lease components.</w:t>
      </w:r>
    </w:p>
    <w:p w14:paraId="5EC3ABED" w14:textId="133F2B3C" w:rsidR="00975D2D" w:rsidRDefault="00DE1D34" w:rsidP="00BB6BD9">
      <w:pPr>
        <w:autoSpaceDE w:val="0"/>
        <w:autoSpaceDN w:val="0"/>
        <w:adjustRightInd w:val="0"/>
        <w:ind w:left="1418"/>
      </w:pPr>
      <w:r>
        <w:t xml:space="preserve">Right-of-use assets within the Commission comprise the lease of premises at Alfred Street and the lease of a photocopier. </w:t>
      </w:r>
    </w:p>
    <w:p w14:paraId="5D021526" w14:textId="77777777" w:rsidR="00B566C9" w:rsidRDefault="00B566C9" w:rsidP="00F04493">
      <w:pPr>
        <w:tabs>
          <w:tab w:val="left" w:pos="567"/>
        </w:tabs>
        <w:ind w:left="1440" w:hanging="1440"/>
      </w:pPr>
    </w:p>
    <w:p w14:paraId="6F2B6AA4" w14:textId="4A6BDF53" w:rsidR="00B566C9" w:rsidRDefault="00B566C9" w:rsidP="00F04493">
      <w:pPr>
        <w:tabs>
          <w:tab w:val="left" w:pos="567"/>
        </w:tabs>
        <w:ind w:left="1440" w:hanging="1440"/>
      </w:pPr>
      <w:r>
        <w:tab/>
      </w:r>
      <w:r>
        <w:tab/>
        <w:t xml:space="preserve">At inception of a contract, the Commission assess whether a contract is, or contains, a lease.  A contract </w:t>
      </w:r>
      <w:proofErr w:type="gramStart"/>
      <w:r>
        <w:t>is, or</w:t>
      </w:r>
      <w:proofErr w:type="gramEnd"/>
      <w:r>
        <w:t xml:space="preserve"> contains a lease if the contract conveys the right to control the use of an identified asset for a period of time.  This includes assets for which there is no consideration.  To assess whether a contract conveys the rights to control the use of an identified asset, the Commission assess whether:</w:t>
      </w:r>
    </w:p>
    <w:p w14:paraId="78CF7942" w14:textId="56DC4D11" w:rsidR="00B566C9" w:rsidRDefault="00B566C9" w:rsidP="00B566C9">
      <w:pPr>
        <w:pStyle w:val="ListParagraph"/>
        <w:numPr>
          <w:ilvl w:val="0"/>
          <w:numId w:val="46"/>
        </w:numPr>
        <w:tabs>
          <w:tab w:val="left" w:pos="567"/>
        </w:tabs>
      </w:pPr>
      <w:r>
        <w:t>The contract involves the use of an identified asset</w:t>
      </w:r>
    </w:p>
    <w:p w14:paraId="5F8D3573" w14:textId="03952E63" w:rsidR="00B566C9" w:rsidRDefault="00B566C9" w:rsidP="00B566C9">
      <w:pPr>
        <w:pStyle w:val="ListParagraph"/>
        <w:numPr>
          <w:ilvl w:val="0"/>
          <w:numId w:val="46"/>
        </w:numPr>
        <w:tabs>
          <w:tab w:val="left" w:pos="567"/>
        </w:tabs>
      </w:pPr>
      <w:r>
        <w:t xml:space="preserve">The Commission has the right to obtain </w:t>
      </w:r>
      <w:r w:rsidR="00BA2100">
        <w:t>substantially</w:t>
      </w:r>
      <w:r>
        <w:t xml:space="preserve"> </w:t>
      </w:r>
      <w:proofErr w:type="gramStart"/>
      <w:r>
        <w:t>all of</w:t>
      </w:r>
      <w:proofErr w:type="gramEnd"/>
      <w:r>
        <w:t xml:space="preserve"> the economic benefit from the use of the asset throughout the period of use</w:t>
      </w:r>
    </w:p>
    <w:p w14:paraId="6B3F34A9" w14:textId="3DC2D4C3" w:rsidR="00B566C9" w:rsidRDefault="00B566C9" w:rsidP="00B566C9">
      <w:pPr>
        <w:pStyle w:val="ListParagraph"/>
        <w:numPr>
          <w:ilvl w:val="0"/>
          <w:numId w:val="46"/>
        </w:numPr>
        <w:tabs>
          <w:tab w:val="left" w:pos="567"/>
        </w:tabs>
      </w:pPr>
      <w:r>
        <w:t xml:space="preserve">The Commission has the right </w:t>
      </w:r>
      <w:r w:rsidR="00BA2100">
        <w:t>to direct the use of the asset.</w:t>
      </w:r>
    </w:p>
    <w:p w14:paraId="4B837FCF" w14:textId="77777777" w:rsidR="00BA2100" w:rsidRDefault="00BA2100" w:rsidP="00BA2100">
      <w:pPr>
        <w:tabs>
          <w:tab w:val="left" w:pos="567"/>
        </w:tabs>
      </w:pPr>
    </w:p>
    <w:p w14:paraId="33EEE19D" w14:textId="70ACE3B0" w:rsidR="00BA2100" w:rsidRDefault="00BA2100" w:rsidP="00BA2100">
      <w:pPr>
        <w:tabs>
          <w:tab w:val="left" w:pos="567"/>
        </w:tabs>
        <w:ind w:left="1440"/>
      </w:pPr>
      <w:r>
        <w:t xml:space="preserve">At inception or on reassessment of a contract that contains a lease component, the Commission allocates the consideration in the contract to each lease component </w:t>
      </w:r>
      <w:proofErr w:type="gramStart"/>
      <w:r>
        <w:t>on the basis of</w:t>
      </w:r>
      <w:proofErr w:type="gramEnd"/>
      <w:r>
        <w:t xml:space="preserve"> the relative standalone prices.</w:t>
      </w:r>
    </w:p>
    <w:p w14:paraId="47ECDDB9" w14:textId="77777777" w:rsidR="00BA2100" w:rsidRDefault="00BA2100" w:rsidP="00BA2100">
      <w:pPr>
        <w:tabs>
          <w:tab w:val="left" w:pos="567"/>
        </w:tabs>
        <w:ind w:left="1440"/>
      </w:pPr>
    </w:p>
    <w:p w14:paraId="3A0E268A" w14:textId="775A1B75" w:rsidR="00BA2100" w:rsidRDefault="00BA2100" w:rsidP="00BA2100">
      <w:pPr>
        <w:tabs>
          <w:tab w:val="left" w:pos="567"/>
        </w:tabs>
        <w:ind w:left="1440"/>
      </w:pPr>
      <w:r>
        <w:t>The Commission assess whether it is reasonably certain to exercise break options or extension options at the lease commencement date.  The Commission reassesses this if there are significant events or changes in circumstances that were anticipated.</w:t>
      </w:r>
    </w:p>
    <w:p w14:paraId="50B69646" w14:textId="77777777" w:rsidR="00BA2100" w:rsidRDefault="00BA2100" w:rsidP="00BA2100">
      <w:pPr>
        <w:tabs>
          <w:tab w:val="left" w:pos="567"/>
        </w:tabs>
        <w:ind w:left="1440"/>
      </w:pPr>
    </w:p>
    <w:p w14:paraId="3326C2B8" w14:textId="77777777" w:rsidR="00BA2100" w:rsidRDefault="00BA2100" w:rsidP="00BA2100">
      <w:pPr>
        <w:tabs>
          <w:tab w:val="left" w:pos="567"/>
        </w:tabs>
        <w:ind w:left="1440"/>
        <w:rPr>
          <w:b/>
          <w:bCs/>
        </w:rPr>
      </w:pPr>
      <w:r>
        <w:rPr>
          <w:b/>
          <w:bCs/>
        </w:rPr>
        <w:t>As a lessee</w:t>
      </w:r>
    </w:p>
    <w:p w14:paraId="7108E016" w14:textId="77777777" w:rsidR="00BA2100" w:rsidRDefault="00BA2100" w:rsidP="00BA2100">
      <w:pPr>
        <w:tabs>
          <w:tab w:val="left" w:pos="567"/>
        </w:tabs>
        <w:ind w:left="1440"/>
        <w:rPr>
          <w:b/>
          <w:bCs/>
        </w:rPr>
      </w:pPr>
    </w:p>
    <w:p w14:paraId="7C89A4A0" w14:textId="77777777" w:rsidR="00BA2100" w:rsidRDefault="00BA2100" w:rsidP="00BA2100">
      <w:pPr>
        <w:tabs>
          <w:tab w:val="left" w:pos="567"/>
        </w:tabs>
        <w:ind w:left="1440"/>
        <w:rPr>
          <w:b/>
          <w:bCs/>
        </w:rPr>
      </w:pPr>
      <w:r>
        <w:rPr>
          <w:b/>
          <w:bCs/>
        </w:rPr>
        <w:t>Right-of-Use assets</w:t>
      </w:r>
    </w:p>
    <w:p w14:paraId="477D790C" w14:textId="77777777" w:rsidR="00BA2100" w:rsidRDefault="00BA2100" w:rsidP="00BA2100">
      <w:pPr>
        <w:tabs>
          <w:tab w:val="left" w:pos="567"/>
        </w:tabs>
        <w:ind w:left="1440"/>
        <w:rPr>
          <w:b/>
          <w:bCs/>
        </w:rPr>
      </w:pPr>
    </w:p>
    <w:p w14:paraId="280EB7C0" w14:textId="24860FC2" w:rsidR="00BA2100" w:rsidRDefault="00BA2100" w:rsidP="00226730">
      <w:pPr>
        <w:tabs>
          <w:tab w:val="left" w:pos="567"/>
        </w:tabs>
        <w:ind w:left="1440"/>
      </w:pPr>
      <w:r>
        <w:t>The Commission recognises a right-of-use asset and lease liability at the commencement date.  The right-of-use asset is initially measured at cost, which comprises the initial amount of the lease liability adjusted for initial direct costs, prepayments or incentives, and costs related to restoration at the end of the lease.</w:t>
      </w:r>
    </w:p>
    <w:p w14:paraId="57AC138B" w14:textId="77777777" w:rsidR="00BA2100" w:rsidRDefault="00BA2100" w:rsidP="00BA2100">
      <w:pPr>
        <w:tabs>
          <w:tab w:val="left" w:pos="567"/>
        </w:tabs>
        <w:ind w:left="1440"/>
      </w:pPr>
      <w:r>
        <w:t xml:space="preserve">The right-of-use assets are subsequently measured at either fair value or current value in existing use in line with property, plant and equipment assets.  The cost measurement model in IFRS16 is used as an appropriate proxy for current value in existing use or fair value for </w:t>
      </w:r>
      <w:proofErr w:type="gramStart"/>
      <w:r>
        <w:t>the majority of</w:t>
      </w:r>
      <w:proofErr w:type="gramEnd"/>
      <w:r>
        <w:t xml:space="preserve"> leases (consistent with the principles for subsequent measurement of property, plant and equipment) except for those which meet one of the following:</w:t>
      </w:r>
    </w:p>
    <w:p w14:paraId="7F76B0AE" w14:textId="77777777" w:rsidR="00BA2100" w:rsidRDefault="00BA2100" w:rsidP="00BA2100">
      <w:pPr>
        <w:tabs>
          <w:tab w:val="left" w:pos="567"/>
        </w:tabs>
        <w:ind w:left="1440"/>
      </w:pPr>
    </w:p>
    <w:p w14:paraId="076506B7" w14:textId="77777777" w:rsidR="00BA2100" w:rsidRDefault="00BA2100" w:rsidP="00BA2100">
      <w:pPr>
        <w:pStyle w:val="ListParagraph"/>
        <w:numPr>
          <w:ilvl w:val="0"/>
          <w:numId w:val="40"/>
        </w:numPr>
        <w:tabs>
          <w:tab w:val="left" w:pos="567"/>
        </w:tabs>
      </w:pPr>
      <w:r>
        <w:t xml:space="preserve">A longer-term lease that has no provisions to update lease payments for market conditions or if there is a significant period of time between those updates; </w:t>
      </w:r>
      <w:proofErr w:type="gramStart"/>
      <w:r>
        <w:t>and;</w:t>
      </w:r>
      <w:proofErr w:type="gramEnd"/>
    </w:p>
    <w:p w14:paraId="49BF4590" w14:textId="77777777" w:rsidR="00BA2100" w:rsidRDefault="00BA2100" w:rsidP="00BA2100">
      <w:pPr>
        <w:pStyle w:val="ListParagraph"/>
        <w:numPr>
          <w:ilvl w:val="0"/>
          <w:numId w:val="40"/>
        </w:numPr>
        <w:tabs>
          <w:tab w:val="left" w:pos="567"/>
        </w:tabs>
      </w:pPr>
      <w:r>
        <w:t>The fair value or current value in existing use of the underlying asset is likely to fluctuate significantly due to changes in market prices.</w:t>
      </w:r>
    </w:p>
    <w:p w14:paraId="49DC9029" w14:textId="77777777" w:rsidR="00BA2100" w:rsidRDefault="00BA2100" w:rsidP="00BA2100">
      <w:pPr>
        <w:tabs>
          <w:tab w:val="left" w:pos="567"/>
        </w:tabs>
      </w:pPr>
    </w:p>
    <w:p w14:paraId="2D934F7C" w14:textId="77777777" w:rsidR="00BA2100" w:rsidRDefault="00BA2100" w:rsidP="00BA2100">
      <w:pPr>
        <w:tabs>
          <w:tab w:val="left" w:pos="567"/>
        </w:tabs>
        <w:ind w:left="1440"/>
      </w:pPr>
      <w:r>
        <w:t xml:space="preserve">The right-of-use assets are depreciated using the </w:t>
      </w:r>
      <w:proofErr w:type="gramStart"/>
      <w:r>
        <w:t>straight line</w:t>
      </w:r>
      <w:proofErr w:type="gramEnd"/>
      <w:r>
        <w:t xml:space="preserve"> method from the commencement date to the earlier of the end of the useful life of the right-of-use asset or the end of the lease term.  The estimated useful lives of the right-of-use assets are determined on the same basis of those of property, plant and equipment.</w:t>
      </w:r>
    </w:p>
    <w:p w14:paraId="075D12AE" w14:textId="77777777" w:rsidR="00BA2100" w:rsidRDefault="00BA2100" w:rsidP="00BA2100">
      <w:pPr>
        <w:tabs>
          <w:tab w:val="left" w:pos="567"/>
        </w:tabs>
        <w:ind w:left="1440"/>
      </w:pPr>
    </w:p>
    <w:p w14:paraId="18A24D64" w14:textId="77777777" w:rsidR="00BA2100" w:rsidRDefault="00BA2100" w:rsidP="00BA2100">
      <w:pPr>
        <w:tabs>
          <w:tab w:val="left" w:pos="567"/>
        </w:tabs>
        <w:ind w:left="1440"/>
      </w:pPr>
      <w:r>
        <w:t>The Commission applies IAS36 Impairment of Assets to determine whether the right-of-use asset is impaired and to account for any impairment loss identified.</w:t>
      </w:r>
    </w:p>
    <w:p w14:paraId="257FC74D" w14:textId="77777777" w:rsidR="00BA2100" w:rsidRDefault="00BA2100" w:rsidP="00BA2100">
      <w:pPr>
        <w:tabs>
          <w:tab w:val="left" w:pos="567"/>
        </w:tabs>
        <w:ind w:left="1440"/>
      </w:pPr>
    </w:p>
    <w:p w14:paraId="320DA3E0" w14:textId="77777777" w:rsidR="00BA2100" w:rsidRDefault="00BA2100" w:rsidP="00BA2100">
      <w:pPr>
        <w:tabs>
          <w:tab w:val="left" w:pos="567"/>
        </w:tabs>
        <w:ind w:left="1440"/>
        <w:rPr>
          <w:b/>
          <w:bCs/>
        </w:rPr>
      </w:pPr>
      <w:r>
        <w:rPr>
          <w:b/>
          <w:bCs/>
        </w:rPr>
        <w:t>Lease liabilities</w:t>
      </w:r>
    </w:p>
    <w:p w14:paraId="5054861E" w14:textId="77777777" w:rsidR="00BA2100" w:rsidRDefault="00BA2100" w:rsidP="00BA2100">
      <w:pPr>
        <w:tabs>
          <w:tab w:val="left" w:pos="567"/>
        </w:tabs>
        <w:ind w:left="1440"/>
        <w:rPr>
          <w:b/>
          <w:bCs/>
        </w:rPr>
      </w:pPr>
    </w:p>
    <w:p w14:paraId="55A9FA26" w14:textId="77777777" w:rsidR="00BA2100" w:rsidRDefault="00BA2100" w:rsidP="00BA2100">
      <w:pPr>
        <w:tabs>
          <w:tab w:val="left" w:pos="567"/>
        </w:tabs>
        <w:ind w:left="1440"/>
      </w:pPr>
      <w:r>
        <w:t>The lease liability is initially measured at the present value of the lease payments that are not paid at the commencement date, discounted using the interest rate implicit in the lease, or if that cannot be readily determined, the rate provided by HMT.</w:t>
      </w:r>
    </w:p>
    <w:p w14:paraId="3076F1B3" w14:textId="77777777" w:rsidR="00BA2100" w:rsidRDefault="00BA2100" w:rsidP="00BA2100">
      <w:pPr>
        <w:tabs>
          <w:tab w:val="left" w:pos="567"/>
        </w:tabs>
        <w:ind w:left="1440"/>
      </w:pPr>
    </w:p>
    <w:p w14:paraId="74EE680E" w14:textId="77777777" w:rsidR="00BA2100" w:rsidRDefault="00BA2100" w:rsidP="00BA2100">
      <w:pPr>
        <w:tabs>
          <w:tab w:val="left" w:pos="567"/>
        </w:tabs>
        <w:ind w:left="1440"/>
      </w:pPr>
      <w:r>
        <w:t>The lease payment is measured at amortised cost using the effective interest method.  It is remeasured when there is a change in future lease payments arising from a change in the index or rate, if there is a change in the Commission’s estimates of the amount expected to be payable under residual value guarantee, or if the Commission changes its assessment of whether it will exercise a purchase, extension or termination option.</w:t>
      </w:r>
    </w:p>
    <w:p w14:paraId="791AE2A2" w14:textId="77777777" w:rsidR="00BA2100" w:rsidRDefault="00BA2100" w:rsidP="00BA2100">
      <w:pPr>
        <w:tabs>
          <w:tab w:val="left" w:pos="567"/>
        </w:tabs>
        <w:ind w:left="1440"/>
      </w:pPr>
    </w:p>
    <w:p w14:paraId="1775634E" w14:textId="77777777" w:rsidR="00BA2100" w:rsidRDefault="00BA2100" w:rsidP="00BA2100">
      <w:pPr>
        <w:tabs>
          <w:tab w:val="left" w:pos="567"/>
        </w:tabs>
        <w:ind w:left="1440"/>
      </w:pPr>
      <w:r>
        <w:t>Lease payments included in the measurement of the lease liability comprises of the following:</w:t>
      </w:r>
    </w:p>
    <w:p w14:paraId="0D6F63F5" w14:textId="77777777" w:rsidR="00BA2100" w:rsidRDefault="00BA2100" w:rsidP="00BA2100">
      <w:pPr>
        <w:tabs>
          <w:tab w:val="left" w:pos="567"/>
        </w:tabs>
        <w:ind w:left="1440"/>
      </w:pPr>
    </w:p>
    <w:p w14:paraId="055A5F76" w14:textId="77777777" w:rsidR="00BA2100" w:rsidRDefault="00BA2100" w:rsidP="00BA2100">
      <w:pPr>
        <w:pStyle w:val="ListParagraph"/>
        <w:numPr>
          <w:ilvl w:val="0"/>
          <w:numId w:val="41"/>
        </w:numPr>
        <w:tabs>
          <w:tab w:val="left" w:pos="567"/>
        </w:tabs>
      </w:pPr>
      <w:r>
        <w:t xml:space="preserve">Fixed payments, including in-substance fixed </w:t>
      </w:r>
      <w:proofErr w:type="gramStart"/>
      <w:r>
        <w:t>payments;</w:t>
      </w:r>
      <w:proofErr w:type="gramEnd"/>
    </w:p>
    <w:p w14:paraId="770CE0D8" w14:textId="77777777" w:rsidR="00BA2100" w:rsidRDefault="00BA2100" w:rsidP="00BA2100">
      <w:pPr>
        <w:pStyle w:val="ListParagraph"/>
        <w:numPr>
          <w:ilvl w:val="0"/>
          <w:numId w:val="41"/>
        </w:numPr>
        <w:tabs>
          <w:tab w:val="left" w:pos="567"/>
        </w:tabs>
      </w:pPr>
      <w:r>
        <w:t xml:space="preserve">Variable lease payments that depend on an index or a rate, initially measured using the index rate as at the commencement </w:t>
      </w:r>
      <w:proofErr w:type="gramStart"/>
      <w:r>
        <w:t>date;</w:t>
      </w:r>
      <w:proofErr w:type="gramEnd"/>
    </w:p>
    <w:p w14:paraId="441ABA66" w14:textId="77777777" w:rsidR="00BA2100" w:rsidRDefault="00BA2100" w:rsidP="00BA2100">
      <w:pPr>
        <w:pStyle w:val="ListParagraph"/>
        <w:numPr>
          <w:ilvl w:val="0"/>
          <w:numId w:val="41"/>
        </w:numPr>
        <w:tabs>
          <w:tab w:val="left" w:pos="567"/>
        </w:tabs>
      </w:pPr>
      <w:r>
        <w:t xml:space="preserve">Amounts expected to be payable under a residual value </w:t>
      </w:r>
      <w:proofErr w:type="gramStart"/>
      <w:r>
        <w:t>guarantee;</w:t>
      </w:r>
      <w:proofErr w:type="gramEnd"/>
    </w:p>
    <w:p w14:paraId="506DC5AD" w14:textId="77777777" w:rsidR="00BA2100" w:rsidRDefault="00BA2100" w:rsidP="00BA2100">
      <w:pPr>
        <w:pStyle w:val="ListParagraph"/>
        <w:numPr>
          <w:ilvl w:val="0"/>
          <w:numId w:val="41"/>
        </w:numPr>
        <w:tabs>
          <w:tab w:val="left" w:pos="567"/>
        </w:tabs>
      </w:pPr>
      <w:r>
        <w:t>The exercise price under a purchase option that the Commission is reasonably certain to exercise, lease payments in an optional renewal period if the Commission is reasonably certain to exercise an extension option, and penalties for early termination of a lease unless the Commission is reasonably certain not to terminate early.</w:t>
      </w:r>
    </w:p>
    <w:p w14:paraId="1E4569E6" w14:textId="77777777" w:rsidR="00BA2100" w:rsidRDefault="00BA2100" w:rsidP="00BA2100">
      <w:pPr>
        <w:tabs>
          <w:tab w:val="left" w:pos="567"/>
        </w:tabs>
      </w:pPr>
    </w:p>
    <w:p w14:paraId="7E8755E4" w14:textId="5E232A48" w:rsidR="00BA2100" w:rsidRPr="003B42D9" w:rsidRDefault="00BA2100" w:rsidP="00BA2100">
      <w:pPr>
        <w:tabs>
          <w:tab w:val="left" w:pos="567"/>
        </w:tabs>
        <w:ind w:left="1440"/>
      </w:pPr>
      <w:r>
        <w:t xml:space="preserve">When the lease liability is </w:t>
      </w:r>
      <w:proofErr w:type="gramStart"/>
      <w:r>
        <w:t>remeasured</w:t>
      </w:r>
      <w:proofErr w:type="gramEnd"/>
      <w:r>
        <w:t xml:space="preserve"> a corresponding adjustment</w:t>
      </w:r>
      <w:r>
        <w:tab/>
        <w:t xml:space="preserve">is made to the right-of-use asset or recorded in the </w:t>
      </w:r>
      <w:proofErr w:type="spellStart"/>
      <w:r>
        <w:t>SoCNE</w:t>
      </w:r>
      <w:proofErr w:type="spellEnd"/>
      <w:r>
        <w:t xml:space="preserve"> if the carrying amount of the right-of-use asset is zero.</w:t>
      </w:r>
    </w:p>
    <w:p w14:paraId="77F06225" w14:textId="77777777" w:rsidR="00E5476D" w:rsidRDefault="00E5476D" w:rsidP="005A3BB2">
      <w:pPr>
        <w:autoSpaceDE w:val="0"/>
        <w:autoSpaceDN w:val="0"/>
        <w:adjustRightInd w:val="0"/>
      </w:pPr>
    </w:p>
    <w:p w14:paraId="3A4FEFCB" w14:textId="7257AF36" w:rsidR="00E5476D" w:rsidRPr="00E5476D" w:rsidRDefault="00B07E4A" w:rsidP="00E5476D">
      <w:pPr>
        <w:tabs>
          <w:tab w:val="left" w:pos="709"/>
        </w:tabs>
        <w:autoSpaceDE w:val="0"/>
        <w:autoSpaceDN w:val="0"/>
        <w:adjustRightInd w:val="0"/>
        <w:ind w:left="1440" w:hanging="1440"/>
        <w:rPr>
          <w:b/>
          <w:bCs/>
        </w:rPr>
      </w:pPr>
      <w:r>
        <w:rPr>
          <w:b/>
          <w:bCs/>
        </w:rPr>
        <w:tab/>
      </w:r>
      <w:r w:rsidR="00E5476D">
        <w:rPr>
          <w:b/>
          <w:bCs/>
        </w:rPr>
        <w:t>1.</w:t>
      </w:r>
      <w:r w:rsidR="00D13D4A">
        <w:rPr>
          <w:b/>
          <w:bCs/>
        </w:rPr>
        <w:t>9</w:t>
      </w:r>
      <w:r w:rsidR="00E5476D">
        <w:rPr>
          <w:b/>
          <w:bCs/>
        </w:rPr>
        <w:tab/>
        <w:t>IAS 37 – Provision</w:t>
      </w:r>
      <w:r w:rsidR="006A0939">
        <w:rPr>
          <w:b/>
          <w:bCs/>
        </w:rPr>
        <w:t>s</w:t>
      </w:r>
      <w:r w:rsidR="00E5476D">
        <w:rPr>
          <w:b/>
          <w:bCs/>
        </w:rPr>
        <w:t>, Contingent Liabilities and Contingent Assets</w:t>
      </w:r>
      <w:r w:rsidR="00E5476D">
        <w:rPr>
          <w:b/>
          <w:bCs/>
        </w:rPr>
        <w:tab/>
      </w:r>
    </w:p>
    <w:p w14:paraId="4CBB496C" w14:textId="77777777" w:rsidR="005A3BB2" w:rsidRDefault="005A3BB2" w:rsidP="005A3BB2">
      <w:pPr>
        <w:autoSpaceDE w:val="0"/>
        <w:autoSpaceDN w:val="0"/>
        <w:adjustRightInd w:val="0"/>
      </w:pPr>
    </w:p>
    <w:p w14:paraId="3332B4C0" w14:textId="7A03B017" w:rsidR="00800E11" w:rsidRDefault="00E5476D" w:rsidP="000C2A54">
      <w:pPr>
        <w:autoSpaceDE w:val="0"/>
        <w:autoSpaceDN w:val="0"/>
        <w:adjustRightInd w:val="0"/>
        <w:ind w:left="1418"/>
      </w:pPr>
      <w:r>
        <w:t>U</w:t>
      </w:r>
      <w:r w:rsidR="004A2CEE">
        <w:t>nder IAS 37.14</w:t>
      </w:r>
      <w:r w:rsidR="005F2697">
        <w:t>, a provision shall be recognised when:</w:t>
      </w:r>
    </w:p>
    <w:p w14:paraId="3B4CF461" w14:textId="77777777" w:rsidR="005F2697" w:rsidRDefault="005F2697" w:rsidP="000C2A54">
      <w:pPr>
        <w:autoSpaceDE w:val="0"/>
        <w:autoSpaceDN w:val="0"/>
        <w:adjustRightInd w:val="0"/>
        <w:ind w:left="1418"/>
      </w:pPr>
    </w:p>
    <w:p w14:paraId="124803C9" w14:textId="77777777" w:rsidR="005F2697" w:rsidRDefault="005F2697" w:rsidP="00310B25">
      <w:pPr>
        <w:pStyle w:val="ListParagraph"/>
        <w:numPr>
          <w:ilvl w:val="0"/>
          <w:numId w:val="15"/>
        </w:numPr>
        <w:autoSpaceDE w:val="0"/>
        <w:autoSpaceDN w:val="0"/>
        <w:adjustRightInd w:val="0"/>
      </w:pPr>
      <w:r>
        <w:t xml:space="preserve">“An entity has a present obligation (legal or constructive) as a result of a past </w:t>
      </w:r>
      <w:proofErr w:type="gramStart"/>
      <w:r>
        <w:t>event;</w:t>
      </w:r>
      <w:proofErr w:type="gramEnd"/>
    </w:p>
    <w:p w14:paraId="6FC5E1A0" w14:textId="77777777" w:rsidR="005F2697" w:rsidRDefault="005F2697" w:rsidP="00310B25">
      <w:pPr>
        <w:pStyle w:val="ListParagraph"/>
        <w:numPr>
          <w:ilvl w:val="0"/>
          <w:numId w:val="15"/>
        </w:numPr>
        <w:autoSpaceDE w:val="0"/>
        <w:autoSpaceDN w:val="0"/>
        <w:adjustRightInd w:val="0"/>
      </w:pPr>
      <w:r>
        <w:t>It is probably that an outflow of resources embodying economic benefits will be required to settle the obligation; and</w:t>
      </w:r>
    </w:p>
    <w:p w14:paraId="156DAC64" w14:textId="77777777" w:rsidR="005F2697" w:rsidRDefault="005F2697" w:rsidP="00310B25">
      <w:pPr>
        <w:pStyle w:val="ListParagraph"/>
        <w:numPr>
          <w:ilvl w:val="0"/>
          <w:numId w:val="15"/>
        </w:numPr>
        <w:autoSpaceDE w:val="0"/>
        <w:autoSpaceDN w:val="0"/>
        <w:adjustRightInd w:val="0"/>
      </w:pPr>
      <w:r>
        <w:t>A reliable estimate can be made of the amount of the obligation.</w:t>
      </w:r>
      <w:r w:rsidR="00582180">
        <w:t>”</w:t>
      </w:r>
    </w:p>
    <w:p w14:paraId="2B7B3625" w14:textId="77777777" w:rsidR="00582180" w:rsidRDefault="00582180" w:rsidP="00582180">
      <w:pPr>
        <w:autoSpaceDE w:val="0"/>
        <w:autoSpaceDN w:val="0"/>
        <w:adjustRightInd w:val="0"/>
      </w:pPr>
    </w:p>
    <w:p w14:paraId="30D8FDA9" w14:textId="7DE11BDA" w:rsidR="00582180" w:rsidRDefault="00582180" w:rsidP="007C6B78">
      <w:pPr>
        <w:autoSpaceDE w:val="0"/>
        <w:autoSpaceDN w:val="0"/>
        <w:adjustRightInd w:val="0"/>
        <w:ind w:left="1440" w:hanging="720"/>
      </w:pPr>
      <w:r>
        <w:tab/>
      </w:r>
      <w:r w:rsidR="00B97B1A">
        <w:t>As the</w:t>
      </w:r>
      <w:r w:rsidR="007C72AC">
        <w:t xml:space="preserve"> Commission’s lease contains a clause under which</w:t>
      </w:r>
      <w:r w:rsidR="005B3DFB">
        <w:t>,</w:t>
      </w:r>
      <w:r w:rsidR="007C72AC">
        <w:t xml:space="preserve"> </w:t>
      </w:r>
      <w:r w:rsidR="00DB1FF2">
        <w:t>at the expiration of the lease</w:t>
      </w:r>
      <w:r w:rsidR="005B3DFB">
        <w:t xml:space="preserve">, </w:t>
      </w:r>
      <w:r w:rsidR="00C97C03">
        <w:t xml:space="preserve">there is </w:t>
      </w:r>
      <w:r w:rsidR="00827E4A">
        <w:t>an obligation to repair the property</w:t>
      </w:r>
      <w:r w:rsidR="00362EF7">
        <w:t xml:space="preserve"> and return it to the lessor in a specified condition</w:t>
      </w:r>
      <w:r w:rsidR="00B97B1A">
        <w:t xml:space="preserve">, a provision for dilapidation costs </w:t>
      </w:r>
      <w:r w:rsidR="00C97C03">
        <w:t>is recognised in the accounts</w:t>
      </w:r>
      <w:r w:rsidR="00DC73A1">
        <w:t xml:space="preserve">.  </w:t>
      </w:r>
      <w:r w:rsidR="00D65D83">
        <w:t xml:space="preserve"> </w:t>
      </w:r>
    </w:p>
    <w:p w14:paraId="0F881C88" w14:textId="77777777" w:rsidR="007C6B78" w:rsidRDefault="007C6B78" w:rsidP="00582180">
      <w:pPr>
        <w:autoSpaceDE w:val="0"/>
        <w:autoSpaceDN w:val="0"/>
        <w:adjustRightInd w:val="0"/>
        <w:ind w:left="720"/>
      </w:pPr>
    </w:p>
    <w:p w14:paraId="73BB429A" w14:textId="77777777" w:rsidR="007C6B78" w:rsidRDefault="009D020C" w:rsidP="007543BD">
      <w:pPr>
        <w:autoSpaceDE w:val="0"/>
        <w:autoSpaceDN w:val="0"/>
        <w:adjustRightInd w:val="0"/>
        <w:ind w:left="1440" w:hanging="720"/>
      </w:pPr>
      <w:r>
        <w:tab/>
      </w:r>
      <w:r w:rsidR="00E01AB0">
        <w:t xml:space="preserve">The provision for dilapidation costs </w:t>
      </w:r>
      <w:r w:rsidR="00AE3711">
        <w:t>is based on a reliable estimate of the amount that would need to be paid to discharge the obligation</w:t>
      </w:r>
      <w:r w:rsidR="009B55BB">
        <w:t xml:space="preserve"> </w:t>
      </w:r>
      <w:r w:rsidR="00851138">
        <w:t>at the end of the lease</w:t>
      </w:r>
      <w:r w:rsidR="005A5724">
        <w:t>.</w:t>
      </w:r>
      <w:r w:rsidR="00E01AB0">
        <w:t xml:space="preserve"> </w:t>
      </w:r>
    </w:p>
    <w:p w14:paraId="2C0DC46E" w14:textId="77777777" w:rsidR="000C2A54" w:rsidRDefault="000C2A54" w:rsidP="00FD0AA4">
      <w:pPr>
        <w:widowControl w:val="0"/>
        <w:tabs>
          <w:tab w:val="left" w:pos="5670"/>
        </w:tabs>
        <w:autoSpaceDE w:val="0"/>
        <w:autoSpaceDN w:val="0"/>
        <w:adjustRightInd w:val="0"/>
        <w:rPr>
          <w:sz w:val="22"/>
          <w:szCs w:val="22"/>
        </w:rPr>
      </w:pPr>
    </w:p>
    <w:p w14:paraId="27356A2F" w14:textId="3E24408C" w:rsidR="000C2A54" w:rsidRPr="00F97E5F" w:rsidRDefault="00B07E4A" w:rsidP="000C2A54">
      <w:pPr>
        <w:widowControl w:val="0"/>
        <w:autoSpaceDE w:val="0"/>
        <w:autoSpaceDN w:val="0"/>
        <w:adjustRightInd w:val="0"/>
        <w:ind w:left="1418" w:hanging="851"/>
        <w:rPr>
          <w:rFonts w:cs="Arial"/>
          <w:b/>
          <w:bCs/>
        </w:rPr>
      </w:pPr>
      <w:r>
        <w:rPr>
          <w:rFonts w:cs="Arial"/>
          <w:b/>
          <w:bCs/>
        </w:rPr>
        <w:t>1.</w:t>
      </w:r>
      <w:r w:rsidR="00D13D4A">
        <w:rPr>
          <w:rFonts w:cs="Arial"/>
          <w:b/>
          <w:bCs/>
        </w:rPr>
        <w:t>10</w:t>
      </w:r>
      <w:r w:rsidR="000C2A54" w:rsidRPr="00F97E5F">
        <w:rPr>
          <w:rFonts w:cs="Arial"/>
          <w:b/>
          <w:bCs/>
        </w:rPr>
        <w:tab/>
        <w:t>Intangible Assets</w:t>
      </w:r>
    </w:p>
    <w:p w14:paraId="473745B8" w14:textId="77777777" w:rsidR="00C6005E" w:rsidRDefault="00C6005E" w:rsidP="000C2A54">
      <w:pPr>
        <w:widowControl w:val="0"/>
        <w:autoSpaceDE w:val="0"/>
        <w:autoSpaceDN w:val="0"/>
        <w:adjustRightInd w:val="0"/>
        <w:ind w:left="1418"/>
        <w:rPr>
          <w:rFonts w:cs="Arial"/>
          <w:bCs/>
        </w:rPr>
      </w:pPr>
    </w:p>
    <w:p w14:paraId="2E7A89F9" w14:textId="28BE3182" w:rsidR="000C2A54" w:rsidRDefault="00AB5030" w:rsidP="000C2A54">
      <w:pPr>
        <w:widowControl w:val="0"/>
        <w:autoSpaceDE w:val="0"/>
        <w:autoSpaceDN w:val="0"/>
        <w:adjustRightInd w:val="0"/>
        <w:ind w:left="1418"/>
        <w:rPr>
          <w:rFonts w:cs="Arial"/>
          <w:bCs/>
        </w:rPr>
      </w:pPr>
      <w:r>
        <w:rPr>
          <w:rFonts w:cs="Arial"/>
          <w:bCs/>
        </w:rPr>
        <w:t xml:space="preserve">The Commission follows the </w:t>
      </w:r>
      <w:r w:rsidR="008667F0">
        <w:rPr>
          <w:rFonts w:cs="Arial"/>
          <w:bCs/>
        </w:rPr>
        <w:t>criteria set out within IAS 38 when recognising an asset as intangible.</w:t>
      </w:r>
    </w:p>
    <w:p w14:paraId="237E1F12" w14:textId="3CB0C1C6" w:rsidR="003E37ED" w:rsidRDefault="003E37ED" w:rsidP="000C2A54">
      <w:pPr>
        <w:widowControl w:val="0"/>
        <w:autoSpaceDE w:val="0"/>
        <w:autoSpaceDN w:val="0"/>
        <w:adjustRightInd w:val="0"/>
        <w:ind w:left="1418"/>
        <w:rPr>
          <w:rFonts w:cs="Arial"/>
          <w:bCs/>
        </w:rPr>
      </w:pPr>
    </w:p>
    <w:p w14:paraId="40D72DC7" w14:textId="2BC21E17" w:rsidR="00220BC8" w:rsidRDefault="00F43768" w:rsidP="000C2A54">
      <w:pPr>
        <w:widowControl w:val="0"/>
        <w:autoSpaceDE w:val="0"/>
        <w:autoSpaceDN w:val="0"/>
        <w:adjustRightInd w:val="0"/>
        <w:ind w:left="1418"/>
        <w:rPr>
          <w:rFonts w:cs="Arial"/>
          <w:bCs/>
        </w:rPr>
      </w:pPr>
      <w:r>
        <w:rPr>
          <w:rFonts w:cs="Arial"/>
          <w:bCs/>
        </w:rPr>
        <w:t>Software licen</w:t>
      </w:r>
      <w:r w:rsidR="00D72F50">
        <w:rPr>
          <w:rFonts w:cs="Arial"/>
          <w:bCs/>
        </w:rPr>
        <w:t>c</w:t>
      </w:r>
      <w:r>
        <w:rPr>
          <w:rFonts w:cs="Arial"/>
          <w:bCs/>
        </w:rPr>
        <w:t>es are amortised over 2 years</w:t>
      </w:r>
      <w:r w:rsidR="00220BC8">
        <w:rPr>
          <w:rFonts w:cs="Arial"/>
          <w:bCs/>
        </w:rPr>
        <w:t xml:space="preserve"> (or the life of the license)</w:t>
      </w:r>
      <w:r w:rsidR="00234EB0">
        <w:rPr>
          <w:rFonts w:cs="Arial"/>
          <w:bCs/>
        </w:rPr>
        <w:t>.</w:t>
      </w:r>
    </w:p>
    <w:p w14:paraId="26098940" w14:textId="77777777" w:rsidR="00220BC8" w:rsidRDefault="00220BC8" w:rsidP="000C2A54">
      <w:pPr>
        <w:widowControl w:val="0"/>
        <w:autoSpaceDE w:val="0"/>
        <w:autoSpaceDN w:val="0"/>
        <w:adjustRightInd w:val="0"/>
        <w:ind w:left="1418"/>
        <w:rPr>
          <w:rFonts w:cs="Arial"/>
          <w:bCs/>
        </w:rPr>
      </w:pPr>
    </w:p>
    <w:p w14:paraId="64068ADD" w14:textId="73449EA7" w:rsidR="003E37ED" w:rsidRPr="00F97E5F" w:rsidRDefault="003E37ED" w:rsidP="000C2A54">
      <w:pPr>
        <w:widowControl w:val="0"/>
        <w:autoSpaceDE w:val="0"/>
        <w:autoSpaceDN w:val="0"/>
        <w:adjustRightInd w:val="0"/>
        <w:ind w:left="1418"/>
        <w:rPr>
          <w:rFonts w:cs="Arial"/>
          <w:bCs/>
        </w:rPr>
      </w:pPr>
      <w:r>
        <w:rPr>
          <w:rFonts w:cs="Arial"/>
          <w:bCs/>
        </w:rPr>
        <w:t>Intangible assets are amortised over 5 years (or the life of the asset).</w:t>
      </w:r>
    </w:p>
    <w:p w14:paraId="51A9204E" w14:textId="77777777" w:rsidR="00582E77" w:rsidRPr="00F97E5F" w:rsidRDefault="00582E77" w:rsidP="000C2A54">
      <w:pPr>
        <w:widowControl w:val="0"/>
        <w:tabs>
          <w:tab w:val="left" w:pos="567"/>
        </w:tabs>
        <w:autoSpaceDE w:val="0"/>
        <w:autoSpaceDN w:val="0"/>
        <w:adjustRightInd w:val="0"/>
        <w:rPr>
          <w:b/>
        </w:rPr>
      </w:pPr>
    </w:p>
    <w:p w14:paraId="551D97AA" w14:textId="33688C93" w:rsidR="000C2A54" w:rsidRPr="00F97E5F" w:rsidRDefault="00B07E4A" w:rsidP="000C2A54">
      <w:pPr>
        <w:widowControl w:val="0"/>
        <w:autoSpaceDE w:val="0"/>
        <w:autoSpaceDN w:val="0"/>
        <w:adjustRightInd w:val="0"/>
        <w:ind w:left="1418" w:hanging="851"/>
        <w:rPr>
          <w:b/>
        </w:rPr>
      </w:pPr>
      <w:r>
        <w:rPr>
          <w:b/>
        </w:rPr>
        <w:t>1.1</w:t>
      </w:r>
      <w:r w:rsidR="00F04493">
        <w:rPr>
          <w:b/>
        </w:rPr>
        <w:t>1</w:t>
      </w:r>
      <w:r w:rsidR="000C2A54" w:rsidRPr="00F97E5F">
        <w:rPr>
          <w:b/>
        </w:rPr>
        <w:tab/>
        <w:t>Pensions</w:t>
      </w:r>
    </w:p>
    <w:p w14:paraId="6B504526" w14:textId="77777777" w:rsidR="000C2A54" w:rsidRPr="00F97E5F" w:rsidRDefault="000C2A54" w:rsidP="000C2A54">
      <w:pPr>
        <w:widowControl w:val="0"/>
        <w:tabs>
          <w:tab w:val="left" w:pos="567"/>
        </w:tabs>
        <w:autoSpaceDE w:val="0"/>
        <w:autoSpaceDN w:val="0"/>
        <w:adjustRightInd w:val="0"/>
        <w:ind w:left="567"/>
      </w:pPr>
    </w:p>
    <w:p w14:paraId="1E187DE6" w14:textId="0165FB9C" w:rsidR="00AE02A9" w:rsidRDefault="000C2A54" w:rsidP="000C2A54">
      <w:pPr>
        <w:widowControl w:val="0"/>
        <w:autoSpaceDE w:val="0"/>
        <w:autoSpaceDN w:val="0"/>
        <w:adjustRightInd w:val="0"/>
        <w:ind w:left="1418"/>
      </w:pPr>
      <w:r w:rsidRPr="00F97E5F">
        <w:t>Past and present employees are covered by the provisions of the Principal Civil Service Pension Schemes (PCSPS</w:t>
      </w:r>
      <w:r w:rsidR="00176472" w:rsidRPr="00F97E5F">
        <w:t>), which</w:t>
      </w:r>
      <w:r w:rsidRPr="00F97E5F">
        <w:t xml:space="preserve"> are described in </w:t>
      </w:r>
      <w:r>
        <w:t>the Remuneration and Staff Report</w:t>
      </w:r>
      <w:r w:rsidRPr="00F97E5F">
        <w:t xml:space="preserve">.  The defined benefit schemes </w:t>
      </w:r>
      <w:r w:rsidR="00AE02A9">
        <w:t>are</w:t>
      </w:r>
      <w:r w:rsidRPr="00F97E5F">
        <w:t xml:space="preserve"> unfunded</w:t>
      </w:r>
      <w:r w:rsidR="00AE02A9">
        <w:t xml:space="preserve"> and contributory</w:t>
      </w:r>
      <w:r w:rsidRPr="00F97E5F">
        <w:t xml:space="preserve">.  </w:t>
      </w:r>
    </w:p>
    <w:p w14:paraId="6A9B1E40" w14:textId="77777777" w:rsidR="00AE02A9" w:rsidRDefault="00AE02A9" w:rsidP="000C2A54">
      <w:pPr>
        <w:widowControl w:val="0"/>
        <w:autoSpaceDE w:val="0"/>
        <w:autoSpaceDN w:val="0"/>
        <w:adjustRightInd w:val="0"/>
        <w:ind w:left="1418"/>
      </w:pPr>
    </w:p>
    <w:p w14:paraId="3421992B" w14:textId="0B1E4549" w:rsidR="000C2A54" w:rsidRDefault="00AF0D48" w:rsidP="001E2AA0">
      <w:pPr>
        <w:widowControl w:val="0"/>
        <w:autoSpaceDE w:val="0"/>
        <w:autoSpaceDN w:val="0"/>
        <w:adjustRightInd w:val="0"/>
        <w:ind w:left="1418"/>
      </w:pPr>
      <w:r>
        <w:t>In line with FReM’s adaptation of IAS 19, the Commission accounts for the PCSPS as if it were a defined contribution scheme</w:t>
      </w:r>
      <w:r w:rsidR="000C2A54" w:rsidRPr="00F97E5F">
        <w:t>.  In respect of the defined contribution schemes, the Commission recognises the contributions payable for the year.</w:t>
      </w:r>
    </w:p>
    <w:p w14:paraId="2AA1D8EC" w14:textId="77777777" w:rsidR="00BA2100" w:rsidRPr="001E2AA0" w:rsidRDefault="00BA2100" w:rsidP="001E2AA0">
      <w:pPr>
        <w:widowControl w:val="0"/>
        <w:autoSpaceDE w:val="0"/>
        <w:autoSpaceDN w:val="0"/>
        <w:adjustRightInd w:val="0"/>
        <w:ind w:left="1418"/>
      </w:pPr>
    </w:p>
    <w:p w14:paraId="07FDD97F" w14:textId="13C6CAA9" w:rsidR="000C2A54" w:rsidRPr="00F97E5F" w:rsidRDefault="00B07E4A" w:rsidP="000C2A54">
      <w:pPr>
        <w:widowControl w:val="0"/>
        <w:autoSpaceDE w:val="0"/>
        <w:autoSpaceDN w:val="0"/>
        <w:adjustRightInd w:val="0"/>
        <w:ind w:left="1418" w:hanging="851"/>
        <w:rPr>
          <w:b/>
        </w:rPr>
      </w:pPr>
      <w:r>
        <w:rPr>
          <w:b/>
        </w:rPr>
        <w:t>1.1</w:t>
      </w:r>
      <w:r w:rsidR="00F04493">
        <w:rPr>
          <w:b/>
        </w:rPr>
        <w:t>2</w:t>
      </w:r>
      <w:r w:rsidR="000C2A54" w:rsidRPr="00F97E5F">
        <w:rPr>
          <w:b/>
        </w:rPr>
        <w:tab/>
        <w:t>Value Added Tax</w:t>
      </w:r>
    </w:p>
    <w:p w14:paraId="308D9812" w14:textId="77777777" w:rsidR="000C2A54" w:rsidRPr="00BE16D9" w:rsidRDefault="000C2A54" w:rsidP="000C2A54">
      <w:pPr>
        <w:widowControl w:val="0"/>
        <w:tabs>
          <w:tab w:val="left" w:pos="567"/>
        </w:tabs>
        <w:autoSpaceDE w:val="0"/>
        <w:autoSpaceDN w:val="0"/>
        <w:adjustRightInd w:val="0"/>
        <w:rPr>
          <w:sz w:val="22"/>
          <w:szCs w:val="22"/>
        </w:rPr>
      </w:pPr>
    </w:p>
    <w:p w14:paraId="430FABD7" w14:textId="77777777" w:rsidR="000C2A54" w:rsidRDefault="000C2A54" w:rsidP="000C2A54">
      <w:pPr>
        <w:widowControl w:val="0"/>
        <w:tabs>
          <w:tab w:val="left" w:pos="567"/>
        </w:tabs>
        <w:autoSpaceDE w:val="0"/>
        <w:autoSpaceDN w:val="0"/>
        <w:adjustRightInd w:val="0"/>
        <w:ind w:left="1418"/>
      </w:pPr>
      <w:r w:rsidRPr="00F97E5F">
        <w:t xml:space="preserve">The Commission is ineligible to reclaim input VAT on expenditure.  Therefore, all </w:t>
      </w:r>
      <w:r w:rsidR="00660AE7">
        <w:t>irrecoverable VAT is included in expenditure or included in the capitalised purchase cost of non-current assets</w:t>
      </w:r>
      <w:r w:rsidRPr="00F97E5F">
        <w:t>.</w:t>
      </w:r>
    </w:p>
    <w:p w14:paraId="73F026AD" w14:textId="77777777" w:rsidR="009402EF" w:rsidRDefault="009402EF" w:rsidP="000C2A54">
      <w:pPr>
        <w:widowControl w:val="0"/>
        <w:tabs>
          <w:tab w:val="left" w:pos="567"/>
        </w:tabs>
        <w:autoSpaceDE w:val="0"/>
        <w:autoSpaceDN w:val="0"/>
        <w:adjustRightInd w:val="0"/>
        <w:ind w:left="1418"/>
      </w:pPr>
    </w:p>
    <w:p w14:paraId="36C4735A" w14:textId="42259504" w:rsidR="009402EF" w:rsidRPr="00F97E5F" w:rsidRDefault="009402EF" w:rsidP="000C2A54">
      <w:pPr>
        <w:widowControl w:val="0"/>
        <w:tabs>
          <w:tab w:val="left" w:pos="567"/>
        </w:tabs>
        <w:autoSpaceDE w:val="0"/>
        <w:autoSpaceDN w:val="0"/>
        <w:adjustRightInd w:val="0"/>
        <w:ind w:left="1418"/>
      </w:pPr>
      <w:r>
        <w:t>Irrecoverable VAT payable on lease payments is excluded from the initial measurement of right-of-use assets and lease liability; rather, it is treated as an expense at the tax point in accordance with IFRIC 21 Levies.</w:t>
      </w:r>
    </w:p>
    <w:p w14:paraId="43D8EA2A" w14:textId="77777777" w:rsidR="00555648" w:rsidRPr="00F97E5F" w:rsidRDefault="00555648" w:rsidP="000C2A54">
      <w:pPr>
        <w:rPr>
          <w:b/>
        </w:rPr>
      </w:pPr>
    </w:p>
    <w:p w14:paraId="777BE2E0" w14:textId="7514E1F1" w:rsidR="000C2A54" w:rsidRPr="00F97E5F" w:rsidRDefault="000C2A54" w:rsidP="000C2A54">
      <w:pPr>
        <w:tabs>
          <w:tab w:val="left" w:pos="567"/>
        </w:tabs>
        <w:rPr>
          <w:b/>
        </w:rPr>
      </w:pPr>
      <w:r w:rsidRPr="00F97E5F">
        <w:rPr>
          <w:b/>
        </w:rPr>
        <w:tab/>
      </w:r>
      <w:r w:rsidR="00B07E4A">
        <w:rPr>
          <w:b/>
        </w:rPr>
        <w:t>1.1</w:t>
      </w:r>
      <w:r w:rsidR="00F04493">
        <w:rPr>
          <w:b/>
        </w:rPr>
        <w:t>3</w:t>
      </w:r>
      <w:r w:rsidRPr="00F97E5F">
        <w:rPr>
          <w:b/>
        </w:rPr>
        <w:tab/>
        <w:t>Legal casework expenditure</w:t>
      </w:r>
    </w:p>
    <w:p w14:paraId="66BBAF06" w14:textId="77777777" w:rsidR="000C2A54" w:rsidRPr="00F97E5F" w:rsidRDefault="000C2A54" w:rsidP="000C2A54">
      <w:pPr>
        <w:widowControl w:val="0"/>
        <w:tabs>
          <w:tab w:val="left" w:pos="567"/>
        </w:tabs>
        <w:autoSpaceDE w:val="0"/>
        <w:autoSpaceDN w:val="0"/>
        <w:adjustRightInd w:val="0"/>
        <w:ind w:left="567"/>
      </w:pPr>
    </w:p>
    <w:p w14:paraId="49365890" w14:textId="77777777" w:rsidR="000C2A54" w:rsidRPr="00F97E5F" w:rsidRDefault="000C2A54" w:rsidP="000C2A54">
      <w:pPr>
        <w:widowControl w:val="0"/>
        <w:tabs>
          <w:tab w:val="left" w:pos="567"/>
        </w:tabs>
        <w:autoSpaceDE w:val="0"/>
        <w:autoSpaceDN w:val="0"/>
        <w:adjustRightInd w:val="0"/>
        <w:ind w:left="1418"/>
      </w:pPr>
      <w:r w:rsidRPr="00F97E5F">
        <w:t xml:space="preserve">Section 70 of the Northern Ireland Act 1998 enables the Commission to support legal cases in relation to the protection of human rights.  Some of these cases can span several years.  </w:t>
      </w:r>
    </w:p>
    <w:p w14:paraId="44F06EEB" w14:textId="77777777" w:rsidR="000C2A54" w:rsidRPr="00F97E5F" w:rsidRDefault="000C2A54" w:rsidP="000C2A54">
      <w:pPr>
        <w:widowControl w:val="0"/>
        <w:tabs>
          <w:tab w:val="left" w:pos="720"/>
        </w:tabs>
        <w:autoSpaceDE w:val="0"/>
        <w:autoSpaceDN w:val="0"/>
        <w:adjustRightInd w:val="0"/>
      </w:pPr>
    </w:p>
    <w:p w14:paraId="5246F1B4" w14:textId="53260FEC" w:rsidR="000C2A54" w:rsidRDefault="000C2A54" w:rsidP="00226730">
      <w:pPr>
        <w:widowControl w:val="0"/>
        <w:tabs>
          <w:tab w:val="left" w:pos="720"/>
        </w:tabs>
        <w:autoSpaceDE w:val="0"/>
        <w:autoSpaceDN w:val="0"/>
        <w:adjustRightInd w:val="0"/>
        <w:ind w:left="1418"/>
      </w:pPr>
      <w:r w:rsidRPr="00F97E5F">
        <w:t>In some cases, costs are recoverable from the respondent if the applicant is successful.  Given this, while the Commission decides to support cases, contingent on the outcome, payments are not normally made until judgment is passed, and the judge decides on a cost order (i</w:t>
      </w:r>
      <w:r w:rsidR="00782F24">
        <w:t>.</w:t>
      </w:r>
      <w:r w:rsidRPr="00F97E5F">
        <w:t>e</w:t>
      </w:r>
      <w:r w:rsidR="00782F24">
        <w:t>.</w:t>
      </w:r>
      <w:r w:rsidRPr="00F97E5F">
        <w:t xml:space="preserve"> whether the ‘losing’ side should pay all costs or each side should bear their own costs).  Given that a criterion for Commission support is whether a case has a ‘reasonable chance of success’, it does not expect to incur costs in many cases.  However, cases can be lost.  In these cases, it is possible that the applicant could be asked to pay the respondent's costs.  Where this happens, the Commission may pay these costs on behalf of the applicant.  Any such potential liabilities are noted in the financial statements as contingent liabilities or provisions.</w:t>
      </w:r>
    </w:p>
    <w:p w14:paraId="35EB24E7" w14:textId="77777777" w:rsidR="00226730" w:rsidRPr="00F97E5F" w:rsidRDefault="00226730" w:rsidP="00226730">
      <w:pPr>
        <w:widowControl w:val="0"/>
        <w:tabs>
          <w:tab w:val="left" w:pos="720"/>
        </w:tabs>
        <w:autoSpaceDE w:val="0"/>
        <w:autoSpaceDN w:val="0"/>
        <w:adjustRightInd w:val="0"/>
        <w:ind w:left="1418"/>
      </w:pPr>
    </w:p>
    <w:p w14:paraId="06B35A17" w14:textId="42127616" w:rsidR="000C2A54" w:rsidRPr="00F97E5F" w:rsidRDefault="00B07E4A" w:rsidP="000C2A54">
      <w:pPr>
        <w:widowControl w:val="0"/>
        <w:autoSpaceDE w:val="0"/>
        <w:autoSpaceDN w:val="0"/>
        <w:adjustRightInd w:val="0"/>
        <w:ind w:left="1418" w:hanging="851"/>
        <w:rPr>
          <w:b/>
        </w:rPr>
      </w:pPr>
      <w:r>
        <w:rPr>
          <w:b/>
        </w:rPr>
        <w:t>1.1</w:t>
      </w:r>
      <w:r w:rsidR="00F04493">
        <w:rPr>
          <w:b/>
        </w:rPr>
        <w:t>4</w:t>
      </w:r>
      <w:r w:rsidR="000C2A54" w:rsidRPr="00F97E5F">
        <w:rPr>
          <w:b/>
        </w:rPr>
        <w:tab/>
        <w:t>Staff costs</w:t>
      </w:r>
    </w:p>
    <w:p w14:paraId="2993D3B6" w14:textId="77777777" w:rsidR="000C2A54" w:rsidRPr="00F97E5F" w:rsidRDefault="000C2A54" w:rsidP="000C2A54">
      <w:pPr>
        <w:widowControl w:val="0"/>
        <w:tabs>
          <w:tab w:val="left" w:pos="567"/>
        </w:tabs>
        <w:autoSpaceDE w:val="0"/>
        <w:autoSpaceDN w:val="0"/>
        <w:adjustRightInd w:val="0"/>
        <w:ind w:left="540"/>
      </w:pPr>
    </w:p>
    <w:p w14:paraId="272DBF2A" w14:textId="7789A7D2" w:rsidR="000C2A54" w:rsidRDefault="000C2A54" w:rsidP="000C2A54">
      <w:pPr>
        <w:widowControl w:val="0"/>
        <w:autoSpaceDE w:val="0"/>
        <w:autoSpaceDN w:val="0"/>
        <w:adjustRightInd w:val="0"/>
        <w:ind w:left="1418"/>
      </w:pPr>
      <w:r w:rsidRPr="00F97E5F">
        <w:t xml:space="preserve">Under IAS19 Employee Benefits legislation, all staff costs must be recorded as an expense as soon as the Commission is obligated to pay them.  This includes the cost of any untaken leave as at the </w:t>
      </w:r>
      <w:proofErr w:type="gramStart"/>
      <w:r w:rsidRPr="00F97E5F">
        <w:t>year–</w:t>
      </w:r>
      <w:r w:rsidR="00176472" w:rsidRPr="00F97E5F">
        <w:t>end</w:t>
      </w:r>
      <w:proofErr w:type="gramEnd"/>
      <w:r w:rsidR="00176472">
        <w:t>, which</w:t>
      </w:r>
      <w:r>
        <w:t xml:space="preserve"> is estimated at £</w:t>
      </w:r>
      <w:r w:rsidR="00BA2100">
        <w:t>35</w:t>
      </w:r>
      <w:r w:rsidR="00917CB7">
        <w:t>,</w:t>
      </w:r>
      <w:r w:rsidR="00BA2100">
        <w:t>456</w:t>
      </w:r>
      <w:r>
        <w:t xml:space="preserve"> (</w:t>
      </w:r>
      <w:r w:rsidR="004E6BF5">
        <w:t>20</w:t>
      </w:r>
      <w:r w:rsidR="008D53CC">
        <w:t>2</w:t>
      </w:r>
      <w:r w:rsidR="00BA2100">
        <w:t>2</w:t>
      </w:r>
      <w:r w:rsidR="008D53CC">
        <w:t>-2</w:t>
      </w:r>
      <w:r w:rsidR="00BA2100">
        <w:t>3</w:t>
      </w:r>
      <w:r>
        <w:t>: £</w:t>
      </w:r>
      <w:r w:rsidR="00BA2100">
        <w:t>48</w:t>
      </w:r>
      <w:r w:rsidR="008D53CC">
        <w:t>,</w:t>
      </w:r>
      <w:r w:rsidR="00BA2100">
        <w:t>50</w:t>
      </w:r>
      <w:r w:rsidR="00917CB7">
        <w:t>0</w:t>
      </w:r>
      <w:r>
        <w:t>).</w:t>
      </w:r>
      <w:r w:rsidRPr="00F97E5F">
        <w:t xml:space="preserve"> </w:t>
      </w:r>
    </w:p>
    <w:p w14:paraId="210B8421" w14:textId="77777777" w:rsidR="005059F8" w:rsidRDefault="005059F8" w:rsidP="005059F8">
      <w:pPr>
        <w:widowControl w:val="0"/>
        <w:autoSpaceDE w:val="0"/>
        <w:autoSpaceDN w:val="0"/>
        <w:adjustRightInd w:val="0"/>
      </w:pPr>
    </w:p>
    <w:p w14:paraId="51D89F9B" w14:textId="18F09717" w:rsidR="005059F8" w:rsidRDefault="005059F8" w:rsidP="005059F8">
      <w:pPr>
        <w:widowControl w:val="0"/>
        <w:tabs>
          <w:tab w:val="left" w:pos="567"/>
        </w:tabs>
        <w:autoSpaceDE w:val="0"/>
        <w:autoSpaceDN w:val="0"/>
        <w:adjustRightInd w:val="0"/>
      </w:pPr>
      <w:r>
        <w:tab/>
      </w:r>
      <w:r w:rsidR="00B07E4A">
        <w:rPr>
          <w:b/>
        </w:rPr>
        <w:t>1.1</w:t>
      </w:r>
      <w:r w:rsidR="00F04493">
        <w:rPr>
          <w:b/>
        </w:rPr>
        <w:t>5</w:t>
      </w:r>
      <w:r>
        <w:rPr>
          <w:b/>
        </w:rPr>
        <w:tab/>
        <w:t>Going concern</w:t>
      </w:r>
    </w:p>
    <w:p w14:paraId="7E6FF14B" w14:textId="77777777" w:rsidR="005059F8" w:rsidRDefault="005059F8" w:rsidP="005059F8">
      <w:pPr>
        <w:widowControl w:val="0"/>
        <w:tabs>
          <w:tab w:val="left" w:pos="567"/>
        </w:tabs>
        <w:autoSpaceDE w:val="0"/>
        <w:autoSpaceDN w:val="0"/>
        <w:adjustRightInd w:val="0"/>
      </w:pPr>
    </w:p>
    <w:p w14:paraId="656D6EEE" w14:textId="77777777" w:rsidR="00491768" w:rsidRDefault="00491768" w:rsidP="006A5252">
      <w:pPr>
        <w:widowControl w:val="0"/>
        <w:autoSpaceDE w:val="0"/>
        <w:autoSpaceDN w:val="0"/>
        <w:adjustRightInd w:val="0"/>
        <w:ind w:left="1440"/>
        <w:rPr>
          <w:rFonts w:cs="Calibri"/>
          <w:lang w:eastAsia="en-GB"/>
        </w:rPr>
      </w:pPr>
      <w:r w:rsidRPr="00A354F4">
        <w:rPr>
          <w:rFonts w:cs="Calibri"/>
          <w:lang w:eastAsia="en-GB"/>
        </w:rPr>
        <w:t>The Commission’s sponsoring body is the Northern Ireland Office as laid out in the Northern Ireland Act 1998. The Commission’s core budget for 2024-25 has been approved by the Northern Ireland Office</w:t>
      </w:r>
      <w:r>
        <w:rPr>
          <w:rFonts w:cs="Calibri"/>
          <w:lang w:eastAsia="en-GB"/>
        </w:rPr>
        <w:t xml:space="preserve"> and we received a three-year financial settlement as part of the UK Government Spending Review covering the period 2022-2025</w:t>
      </w:r>
      <w:r w:rsidRPr="00A354F4">
        <w:rPr>
          <w:rFonts w:cs="Calibri"/>
          <w:lang w:eastAsia="en-GB"/>
        </w:rPr>
        <w:t xml:space="preserve">. </w:t>
      </w:r>
      <w:r>
        <w:rPr>
          <w:rFonts w:cs="Calibri"/>
          <w:lang w:eastAsia="en-GB"/>
        </w:rPr>
        <w:t xml:space="preserve">Due to this Spending Review ending on 31 March 2025, the Commission has also prepared a budget out to 30 September 2025 and has engaged with the Northern Ireland Office as its sponsoring body who have provided a letter of support that confirms the provision of financial support to the Commission by the Northern Ireland Office, to assist it in meeting its liabilities as and when they fall due, but only to the extent that money is not otherwise available to the Commission to meet such liabilities.  </w:t>
      </w:r>
    </w:p>
    <w:p w14:paraId="32458145" w14:textId="77777777" w:rsidR="00491768" w:rsidRDefault="00491768" w:rsidP="00491768">
      <w:pPr>
        <w:widowControl w:val="0"/>
        <w:autoSpaceDE w:val="0"/>
        <w:autoSpaceDN w:val="0"/>
        <w:adjustRightInd w:val="0"/>
        <w:rPr>
          <w:rFonts w:cs="Calibri"/>
          <w:lang w:eastAsia="en-GB"/>
        </w:rPr>
      </w:pPr>
    </w:p>
    <w:p w14:paraId="2F7D019E" w14:textId="77777777" w:rsidR="00491768" w:rsidRDefault="00491768" w:rsidP="006A5252">
      <w:pPr>
        <w:widowControl w:val="0"/>
        <w:autoSpaceDE w:val="0"/>
        <w:autoSpaceDN w:val="0"/>
        <w:adjustRightInd w:val="0"/>
        <w:ind w:left="1440"/>
        <w:rPr>
          <w:rFonts w:cs="Calibri"/>
          <w:lang w:eastAsia="en-GB"/>
        </w:rPr>
      </w:pPr>
      <w:r>
        <w:rPr>
          <w:rFonts w:cs="Calibri"/>
          <w:lang w:eastAsia="en-GB"/>
        </w:rPr>
        <w:t xml:space="preserve">The Northern Ireland Office have confirmed that they </w:t>
      </w:r>
      <w:proofErr w:type="gramStart"/>
      <w:r>
        <w:rPr>
          <w:rFonts w:cs="Calibri"/>
          <w:lang w:eastAsia="en-GB"/>
        </w:rPr>
        <w:t>have the ability to</w:t>
      </w:r>
      <w:proofErr w:type="gramEnd"/>
      <w:r>
        <w:rPr>
          <w:rFonts w:cs="Calibri"/>
          <w:lang w:eastAsia="en-GB"/>
        </w:rPr>
        <w:t xml:space="preserve"> provide such support and will provide this support to the Commission, to the extent outlined above, for the period to 30 September 2025.  The independent financial review of the Commission, which is being completed in 2024 will assess the funding level needed to sustain the Commission and will be used to inform its Spending Review 2024 inputs.  </w:t>
      </w:r>
    </w:p>
    <w:p w14:paraId="69B3E429" w14:textId="77777777" w:rsidR="00491768" w:rsidRDefault="00491768" w:rsidP="00491768">
      <w:pPr>
        <w:widowControl w:val="0"/>
        <w:autoSpaceDE w:val="0"/>
        <w:autoSpaceDN w:val="0"/>
        <w:adjustRightInd w:val="0"/>
        <w:rPr>
          <w:rFonts w:cs="Calibri"/>
          <w:lang w:eastAsia="en-GB"/>
        </w:rPr>
      </w:pPr>
    </w:p>
    <w:p w14:paraId="3544E9F6" w14:textId="77777777" w:rsidR="00491768" w:rsidRDefault="00491768" w:rsidP="006A5252">
      <w:pPr>
        <w:widowControl w:val="0"/>
        <w:autoSpaceDE w:val="0"/>
        <w:autoSpaceDN w:val="0"/>
        <w:adjustRightInd w:val="0"/>
        <w:ind w:left="1440"/>
        <w:rPr>
          <w:rFonts w:cs="Calibri"/>
          <w:lang w:eastAsia="en-GB"/>
        </w:rPr>
      </w:pPr>
      <w:r>
        <w:rPr>
          <w:rFonts w:cs="Calibri"/>
          <w:lang w:eastAsia="en-GB"/>
        </w:rPr>
        <w:t xml:space="preserve">The Commission also receives additional funding for the Dedicated Mechanism, which arises from a statutory requirement under the EU Withdrawal Agreement Act.  This role will continue in the future and beyond the financial year 2024-25.  The Northern Ireland Office has confirmed the budget until 31 March 2025.  The Dedicated Mechanism will be funded until such time that Parliament decides otherwise.  </w:t>
      </w:r>
    </w:p>
    <w:p w14:paraId="2FD05FE1" w14:textId="77777777" w:rsidR="00491768" w:rsidRDefault="00491768" w:rsidP="00491768">
      <w:pPr>
        <w:widowControl w:val="0"/>
        <w:autoSpaceDE w:val="0"/>
        <w:autoSpaceDN w:val="0"/>
        <w:adjustRightInd w:val="0"/>
        <w:rPr>
          <w:rFonts w:cs="Calibri"/>
          <w:lang w:eastAsia="en-GB"/>
        </w:rPr>
      </w:pPr>
    </w:p>
    <w:p w14:paraId="67FB0896" w14:textId="77777777" w:rsidR="00491768" w:rsidRPr="00A354F4" w:rsidRDefault="00491768" w:rsidP="006A5252">
      <w:pPr>
        <w:widowControl w:val="0"/>
        <w:autoSpaceDE w:val="0"/>
        <w:autoSpaceDN w:val="0"/>
        <w:adjustRightInd w:val="0"/>
        <w:ind w:left="1440"/>
        <w:rPr>
          <w:rFonts w:cs="Calibri"/>
          <w:lang w:eastAsia="en-GB"/>
        </w:rPr>
      </w:pPr>
      <w:r>
        <w:rPr>
          <w:rFonts w:cs="Calibri"/>
          <w:lang w:eastAsia="en-GB"/>
        </w:rPr>
        <w:t xml:space="preserve">As a result at the date of this report, with this letter of support in place, the Accounting Officer has considered it appropriate to adopt a going </w:t>
      </w:r>
      <w:r w:rsidRPr="00A354F4">
        <w:rPr>
          <w:rFonts w:cs="Calibri"/>
          <w:lang w:eastAsia="en-GB"/>
        </w:rPr>
        <w:t>concern basis for the preparation of the 2023-24 financial statements.</w:t>
      </w:r>
    </w:p>
    <w:p w14:paraId="49D055FA" w14:textId="05355625" w:rsidR="003061F1" w:rsidRDefault="003061F1" w:rsidP="001D0663">
      <w:pPr>
        <w:ind w:left="1440" w:hanging="1440"/>
        <w:rPr>
          <w:sz w:val="22"/>
          <w:szCs w:val="22"/>
        </w:rPr>
      </w:pPr>
    </w:p>
    <w:p w14:paraId="2CE237FE" w14:textId="77777777" w:rsidR="00C51466" w:rsidRPr="00BE16D9" w:rsidRDefault="00C51466" w:rsidP="001D0663">
      <w:pPr>
        <w:ind w:left="1440" w:hanging="1440"/>
        <w:rPr>
          <w:sz w:val="22"/>
          <w:szCs w:val="22"/>
        </w:rPr>
      </w:pPr>
    </w:p>
    <w:p w14:paraId="587F4464" w14:textId="77777777" w:rsidR="000C2A54" w:rsidRPr="00F97E5F" w:rsidRDefault="000C2A54" w:rsidP="000C2A54">
      <w:pPr>
        <w:widowControl w:val="0"/>
        <w:tabs>
          <w:tab w:val="left" w:pos="567"/>
        </w:tabs>
        <w:autoSpaceDE w:val="0"/>
        <w:autoSpaceDN w:val="0"/>
        <w:adjustRightInd w:val="0"/>
        <w:rPr>
          <w:b/>
        </w:rPr>
      </w:pPr>
      <w:r w:rsidRPr="00BE16D9">
        <w:rPr>
          <w:b/>
          <w:sz w:val="22"/>
          <w:szCs w:val="22"/>
        </w:rPr>
        <w:t>2.</w:t>
      </w:r>
      <w:r w:rsidRPr="00BE16D9">
        <w:rPr>
          <w:b/>
          <w:sz w:val="22"/>
          <w:szCs w:val="22"/>
        </w:rPr>
        <w:tab/>
      </w:r>
      <w:r w:rsidRPr="00F97E5F">
        <w:rPr>
          <w:b/>
        </w:rPr>
        <w:t>Analysis of net expenditure by segment</w:t>
      </w:r>
    </w:p>
    <w:p w14:paraId="256F91BD" w14:textId="77777777" w:rsidR="000C2A54" w:rsidRPr="00F97E5F" w:rsidRDefault="000C2A54" w:rsidP="000C2A54">
      <w:pPr>
        <w:widowControl w:val="0"/>
        <w:tabs>
          <w:tab w:val="left" w:pos="567"/>
          <w:tab w:val="right" w:pos="4140"/>
          <w:tab w:val="right" w:pos="6480"/>
          <w:tab w:val="right" w:pos="8820"/>
        </w:tabs>
        <w:autoSpaceDE w:val="0"/>
        <w:autoSpaceDN w:val="0"/>
        <w:adjustRightInd w:val="0"/>
        <w:rPr>
          <w:b/>
        </w:rPr>
      </w:pPr>
    </w:p>
    <w:p w14:paraId="67D92AEB" w14:textId="524C61D0" w:rsidR="00F61A65" w:rsidRDefault="000C2A54" w:rsidP="00250101">
      <w:pPr>
        <w:ind w:left="567"/>
        <w:rPr>
          <w:rFonts w:cs="Arial"/>
          <w:color w:val="auto"/>
          <w:lang w:val="en-US" w:eastAsia="en-GB"/>
        </w:rPr>
      </w:pPr>
      <w:r w:rsidRPr="00F97E5F">
        <w:rPr>
          <w:rFonts w:cs="Arial"/>
          <w:color w:val="auto"/>
          <w:lang w:val="en-US" w:eastAsia="en-GB"/>
        </w:rPr>
        <w:t>In line with the provisions of IFRS 8, Operating Segments, the Commission does not</w:t>
      </w:r>
      <w:r w:rsidR="00A808A9">
        <w:rPr>
          <w:rFonts w:cs="Arial"/>
          <w:color w:val="auto"/>
          <w:lang w:val="en-US" w:eastAsia="en-GB"/>
        </w:rPr>
        <w:t xml:space="preserve"> normally</w:t>
      </w:r>
      <w:r w:rsidRPr="00F97E5F">
        <w:rPr>
          <w:rFonts w:cs="Arial"/>
          <w:color w:val="auto"/>
          <w:lang w:val="en-US" w:eastAsia="en-GB"/>
        </w:rPr>
        <w:t xml:space="preserve"> </w:t>
      </w:r>
      <w:proofErr w:type="spellStart"/>
      <w:r w:rsidRPr="00F97E5F">
        <w:rPr>
          <w:rFonts w:cs="Arial"/>
          <w:color w:val="auto"/>
          <w:lang w:val="en-US" w:eastAsia="en-GB"/>
        </w:rPr>
        <w:t>analyse</w:t>
      </w:r>
      <w:proofErr w:type="spellEnd"/>
      <w:r w:rsidRPr="00F97E5F">
        <w:rPr>
          <w:rFonts w:cs="Arial"/>
          <w:color w:val="auto"/>
          <w:lang w:val="en-US" w:eastAsia="en-GB"/>
        </w:rPr>
        <w:t xml:space="preserve"> its net expenditure by operating segment</w:t>
      </w:r>
      <w:r>
        <w:rPr>
          <w:rFonts w:cs="Arial"/>
          <w:color w:val="auto"/>
          <w:lang w:val="en-US" w:eastAsia="en-GB"/>
        </w:rPr>
        <w:t>s</w:t>
      </w:r>
      <w:r w:rsidR="00FF1FA8">
        <w:rPr>
          <w:rFonts w:cs="Arial"/>
          <w:color w:val="auto"/>
          <w:lang w:val="en-US" w:eastAsia="en-GB"/>
        </w:rPr>
        <w:t xml:space="preserve">. </w:t>
      </w:r>
      <w:r w:rsidR="00A808A9">
        <w:rPr>
          <w:rFonts w:cs="Arial"/>
          <w:color w:val="auto"/>
          <w:lang w:val="en-US" w:eastAsia="en-GB"/>
        </w:rPr>
        <w:t xml:space="preserve">However, as the Commission received </w:t>
      </w:r>
      <w:r w:rsidR="00D619EC">
        <w:rPr>
          <w:rFonts w:cs="Arial"/>
          <w:color w:val="auto"/>
          <w:lang w:val="en-US" w:eastAsia="en-GB"/>
        </w:rPr>
        <w:t>ring-fenced</w:t>
      </w:r>
      <w:r w:rsidR="00A808A9">
        <w:rPr>
          <w:rFonts w:cs="Arial"/>
          <w:color w:val="auto"/>
          <w:lang w:val="en-US" w:eastAsia="en-GB"/>
        </w:rPr>
        <w:t xml:space="preserve"> funding for the dedicated </w:t>
      </w:r>
      <w:r w:rsidR="00B152E4">
        <w:rPr>
          <w:rFonts w:cs="Arial"/>
          <w:color w:val="auto"/>
          <w:lang w:val="en-US" w:eastAsia="en-GB"/>
        </w:rPr>
        <w:t>mechanism,</w:t>
      </w:r>
      <w:r w:rsidR="00A808A9">
        <w:rPr>
          <w:rFonts w:cs="Arial"/>
          <w:color w:val="auto"/>
          <w:lang w:val="en-US" w:eastAsia="en-GB"/>
        </w:rPr>
        <w:t xml:space="preserve"> we have disclosed this expenditure as a footnote throughout the annual report and accounts</w:t>
      </w:r>
      <w:r w:rsidR="00FF1FA8">
        <w:rPr>
          <w:rFonts w:cs="Arial"/>
          <w:color w:val="auto"/>
          <w:lang w:val="en-US" w:eastAsia="en-GB"/>
        </w:rPr>
        <w:t xml:space="preserve">. </w:t>
      </w:r>
    </w:p>
    <w:p w14:paraId="564148C2" w14:textId="77777777" w:rsidR="00043F72" w:rsidRDefault="00043F72" w:rsidP="000C2A54">
      <w:pPr>
        <w:ind w:left="567"/>
        <w:rPr>
          <w:rFonts w:cs="Arial"/>
          <w:color w:val="auto"/>
          <w:lang w:val="en-US" w:eastAsia="en-GB"/>
        </w:rPr>
      </w:pPr>
    </w:p>
    <w:p w14:paraId="53A8EF5E" w14:textId="77777777" w:rsidR="000C2A54" w:rsidRPr="00F97E5F" w:rsidRDefault="000C2A54" w:rsidP="000C2A54">
      <w:pPr>
        <w:ind w:left="567" w:hanging="567"/>
        <w:rPr>
          <w:b/>
        </w:rPr>
      </w:pPr>
      <w:r w:rsidRPr="3285EAFF">
        <w:rPr>
          <w:b/>
          <w:bCs/>
        </w:rPr>
        <w:t>3.</w:t>
      </w:r>
      <w:r w:rsidRPr="00F97E5F">
        <w:rPr>
          <w:b/>
        </w:rPr>
        <w:tab/>
      </w:r>
      <w:r w:rsidRPr="3285EAFF">
        <w:rPr>
          <w:b/>
          <w:bCs/>
        </w:rPr>
        <w:t>Staff costs</w:t>
      </w:r>
      <w:r w:rsidR="001D3F77" w:rsidRPr="3285EAFF">
        <w:rPr>
          <w:rStyle w:val="FootnoteReference"/>
          <w:b/>
          <w:bCs/>
        </w:rPr>
        <w:footnoteReference w:id="12"/>
      </w:r>
    </w:p>
    <w:p w14:paraId="12F3BE58" w14:textId="77777777" w:rsidR="000C2A54" w:rsidRPr="00832258" w:rsidRDefault="000C2A54" w:rsidP="000C2A54"/>
    <w:tbl>
      <w:tblPr>
        <w:tblW w:w="10655" w:type="dxa"/>
        <w:jc w:val="center"/>
        <w:tblLayout w:type="fixed"/>
        <w:tblLook w:val="01E0" w:firstRow="1" w:lastRow="1" w:firstColumn="1" w:lastColumn="1" w:noHBand="0" w:noVBand="0"/>
      </w:tblPr>
      <w:tblGrid>
        <w:gridCol w:w="2461"/>
        <w:gridCol w:w="1534"/>
        <w:gridCol w:w="1980"/>
        <w:gridCol w:w="1800"/>
        <w:gridCol w:w="1440"/>
        <w:gridCol w:w="1440"/>
      </w:tblGrid>
      <w:tr w:rsidR="000C2A54" w:rsidRPr="00730E98" w14:paraId="00DB462D" w14:textId="77777777" w:rsidTr="000C2A54">
        <w:trPr>
          <w:jc w:val="center"/>
        </w:trPr>
        <w:tc>
          <w:tcPr>
            <w:tcW w:w="2461" w:type="dxa"/>
          </w:tcPr>
          <w:p w14:paraId="2BD9FD9A" w14:textId="77777777" w:rsidR="000C2A54" w:rsidRPr="00730E98" w:rsidRDefault="000C2A54" w:rsidP="000C2A54">
            <w:pPr>
              <w:jc w:val="right"/>
              <w:rPr>
                <w:sz w:val="20"/>
                <w:szCs w:val="20"/>
              </w:rPr>
            </w:pPr>
          </w:p>
        </w:tc>
        <w:tc>
          <w:tcPr>
            <w:tcW w:w="1534" w:type="dxa"/>
          </w:tcPr>
          <w:p w14:paraId="64E2C94C" w14:textId="51B2EF05" w:rsidR="000C2A54" w:rsidRPr="00730E98" w:rsidRDefault="008D53CC" w:rsidP="000C2A54">
            <w:pPr>
              <w:jc w:val="right"/>
              <w:rPr>
                <w:b/>
                <w:sz w:val="20"/>
                <w:szCs w:val="20"/>
              </w:rPr>
            </w:pPr>
            <w:r>
              <w:rPr>
                <w:b/>
                <w:sz w:val="20"/>
                <w:szCs w:val="20"/>
              </w:rPr>
              <w:t>202</w:t>
            </w:r>
            <w:r w:rsidR="000B7C6C">
              <w:rPr>
                <w:b/>
                <w:sz w:val="20"/>
                <w:szCs w:val="20"/>
              </w:rPr>
              <w:t>3</w:t>
            </w:r>
            <w:r>
              <w:rPr>
                <w:b/>
                <w:sz w:val="20"/>
                <w:szCs w:val="20"/>
              </w:rPr>
              <w:t>-2</w:t>
            </w:r>
            <w:r w:rsidR="000B7C6C">
              <w:rPr>
                <w:b/>
                <w:sz w:val="20"/>
                <w:szCs w:val="20"/>
              </w:rPr>
              <w:t>4</w:t>
            </w:r>
          </w:p>
          <w:p w14:paraId="6B5145F8" w14:textId="07273EE7" w:rsidR="000C2A54" w:rsidRPr="00730E98" w:rsidRDefault="000B7C6C" w:rsidP="000C2A54">
            <w:pPr>
              <w:jc w:val="right"/>
              <w:rPr>
                <w:b/>
                <w:sz w:val="20"/>
                <w:szCs w:val="20"/>
              </w:rPr>
            </w:pPr>
            <w:r w:rsidRPr="00730E98">
              <w:rPr>
                <w:b/>
                <w:sz w:val="20"/>
                <w:szCs w:val="20"/>
              </w:rPr>
              <w:t>T</w:t>
            </w:r>
            <w:r w:rsidR="000C2A54" w:rsidRPr="00730E98">
              <w:rPr>
                <w:b/>
                <w:sz w:val="20"/>
                <w:szCs w:val="20"/>
              </w:rPr>
              <w:t>otal</w:t>
            </w:r>
          </w:p>
        </w:tc>
        <w:tc>
          <w:tcPr>
            <w:tcW w:w="1980" w:type="dxa"/>
          </w:tcPr>
          <w:p w14:paraId="27F6215F" w14:textId="77777777" w:rsidR="000C2A54" w:rsidRPr="00730E98" w:rsidRDefault="000C2A54" w:rsidP="000C2A54">
            <w:pPr>
              <w:jc w:val="right"/>
              <w:rPr>
                <w:b/>
                <w:sz w:val="20"/>
                <w:szCs w:val="20"/>
              </w:rPr>
            </w:pPr>
            <w:r w:rsidRPr="00730E98">
              <w:rPr>
                <w:b/>
                <w:sz w:val="20"/>
                <w:szCs w:val="20"/>
              </w:rPr>
              <w:t>Commissioners</w:t>
            </w:r>
          </w:p>
        </w:tc>
        <w:tc>
          <w:tcPr>
            <w:tcW w:w="1800" w:type="dxa"/>
          </w:tcPr>
          <w:p w14:paraId="286B111B" w14:textId="77777777" w:rsidR="000C2A54" w:rsidRPr="00730E98" w:rsidRDefault="000C2A54" w:rsidP="000C2A54">
            <w:pPr>
              <w:jc w:val="right"/>
              <w:rPr>
                <w:b/>
                <w:sz w:val="20"/>
                <w:szCs w:val="20"/>
              </w:rPr>
            </w:pPr>
            <w:r w:rsidRPr="00730E98">
              <w:rPr>
                <w:b/>
                <w:sz w:val="20"/>
                <w:szCs w:val="20"/>
              </w:rPr>
              <w:t>Permanently</w:t>
            </w:r>
          </w:p>
          <w:p w14:paraId="2E7BF940" w14:textId="77777777" w:rsidR="00660AE7" w:rsidRPr="00730E98" w:rsidRDefault="000C2A54" w:rsidP="00660AE7">
            <w:pPr>
              <w:jc w:val="right"/>
              <w:rPr>
                <w:b/>
                <w:sz w:val="20"/>
                <w:szCs w:val="20"/>
              </w:rPr>
            </w:pPr>
            <w:r w:rsidRPr="00730E98">
              <w:rPr>
                <w:b/>
                <w:sz w:val="20"/>
                <w:szCs w:val="20"/>
              </w:rPr>
              <w:t>Employed</w:t>
            </w:r>
            <w:r>
              <w:rPr>
                <w:b/>
                <w:sz w:val="20"/>
                <w:szCs w:val="20"/>
              </w:rPr>
              <w:t xml:space="preserve"> </w:t>
            </w:r>
          </w:p>
          <w:p w14:paraId="6515C7D1" w14:textId="77777777" w:rsidR="000C2A54" w:rsidRPr="00730E98" w:rsidRDefault="000C2A54" w:rsidP="000C2A54">
            <w:pPr>
              <w:jc w:val="right"/>
              <w:rPr>
                <w:b/>
                <w:sz w:val="20"/>
                <w:szCs w:val="20"/>
              </w:rPr>
            </w:pPr>
          </w:p>
        </w:tc>
        <w:tc>
          <w:tcPr>
            <w:tcW w:w="1440" w:type="dxa"/>
          </w:tcPr>
          <w:p w14:paraId="0F9F8647" w14:textId="77777777" w:rsidR="000C2A54" w:rsidRPr="00730E98" w:rsidRDefault="000C2A54" w:rsidP="000C2A54">
            <w:pPr>
              <w:jc w:val="right"/>
              <w:rPr>
                <w:b/>
                <w:sz w:val="20"/>
                <w:szCs w:val="20"/>
              </w:rPr>
            </w:pPr>
            <w:r w:rsidRPr="00730E98">
              <w:rPr>
                <w:b/>
                <w:sz w:val="20"/>
                <w:szCs w:val="20"/>
              </w:rPr>
              <w:t>Others</w:t>
            </w:r>
          </w:p>
          <w:p w14:paraId="75EF141A" w14:textId="77777777" w:rsidR="000C2A54" w:rsidRPr="00730E98" w:rsidRDefault="000C2A54" w:rsidP="000C2A54">
            <w:pPr>
              <w:jc w:val="right"/>
              <w:rPr>
                <w:b/>
                <w:sz w:val="20"/>
                <w:szCs w:val="20"/>
              </w:rPr>
            </w:pPr>
          </w:p>
        </w:tc>
        <w:tc>
          <w:tcPr>
            <w:tcW w:w="1440" w:type="dxa"/>
          </w:tcPr>
          <w:p w14:paraId="6FE32021" w14:textId="53861D6B" w:rsidR="000C2A54" w:rsidRPr="00730E98" w:rsidRDefault="004E6BF5" w:rsidP="000C2A54">
            <w:pPr>
              <w:jc w:val="right"/>
              <w:rPr>
                <w:b/>
                <w:sz w:val="20"/>
                <w:szCs w:val="20"/>
              </w:rPr>
            </w:pPr>
            <w:r>
              <w:rPr>
                <w:b/>
                <w:sz w:val="20"/>
                <w:szCs w:val="20"/>
              </w:rPr>
              <w:t>20</w:t>
            </w:r>
            <w:r w:rsidR="008D53CC">
              <w:rPr>
                <w:b/>
                <w:sz w:val="20"/>
                <w:szCs w:val="20"/>
              </w:rPr>
              <w:t>2</w:t>
            </w:r>
            <w:r w:rsidR="000B7C6C">
              <w:rPr>
                <w:b/>
                <w:sz w:val="20"/>
                <w:szCs w:val="20"/>
              </w:rPr>
              <w:t>2</w:t>
            </w:r>
            <w:r w:rsidR="008D53CC">
              <w:rPr>
                <w:b/>
                <w:sz w:val="20"/>
                <w:szCs w:val="20"/>
              </w:rPr>
              <w:t>-2</w:t>
            </w:r>
            <w:r w:rsidR="000B7C6C">
              <w:rPr>
                <w:b/>
                <w:sz w:val="20"/>
                <w:szCs w:val="20"/>
              </w:rPr>
              <w:t>3</w:t>
            </w:r>
          </w:p>
          <w:p w14:paraId="77548766" w14:textId="7CD329A7" w:rsidR="000C2A54" w:rsidRPr="00730E98" w:rsidRDefault="000B7C6C" w:rsidP="000C2A54">
            <w:pPr>
              <w:jc w:val="right"/>
              <w:rPr>
                <w:b/>
                <w:sz w:val="20"/>
                <w:szCs w:val="20"/>
              </w:rPr>
            </w:pPr>
            <w:r w:rsidRPr="00730E98">
              <w:rPr>
                <w:b/>
                <w:sz w:val="20"/>
                <w:szCs w:val="20"/>
              </w:rPr>
              <w:t>T</w:t>
            </w:r>
            <w:r w:rsidR="000C2A54" w:rsidRPr="00730E98">
              <w:rPr>
                <w:b/>
                <w:sz w:val="20"/>
                <w:szCs w:val="20"/>
              </w:rPr>
              <w:t>otal</w:t>
            </w:r>
          </w:p>
        </w:tc>
      </w:tr>
      <w:tr w:rsidR="000C2A54" w:rsidRPr="00730E98" w14:paraId="2641C642" w14:textId="77777777" w:rsidTr="000C2A54">
        <w:trPr>
          <w:jc w:val="center"/>
        </w:trPr>
        <w:tc>
          <w:tcPr>
            <w:tcW w:w="2461" w:type="dxa"/>
          </w:tcPr>
          <w:p w14:paraId="771FD209" w14:textId="77777777" w:rsidR="000C2A54" w:rsidRPr="00730E98" w:rsidRDefault="000C2A54" w:rsidP="000C2A54">
            <w:pPr>
              <w:jc w:val="right"/>
              <w:rPr>
                <w:sz w:val="20"/>
                <w:szCs w:val="20"/>
              </w:rPr>
            </w:pPr>
          </w:p>
        </w:tc>
        <w:tc>
          <w:tcPr>
            <w:tcW w:w="1534" w:type="dxa"/>
          </w:tcPr>
          <w:p w14:paraId="1AC98B20"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c>
          <w:tcPr>
            <w:tcW w:w="1980" w:type="dxa"/>
          </w:tcPr>
          <w:p w14:paraId="40EB0033"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c>
          <w:tcPr>
            <w:tcW w:w="1800" w:type="dxa"/>
          </w:tcPr>
          <w:p w14:paraId="12737980" w14:textId="77777777" w:rsidR="000C2A54" w:rsidRPr="00730E98" w:rsidRDefault="00243E7B" w:rsidP="00243E7B">
            <w:pPr>
              <w:widowControl w:val="0"/>
              <w:tabs>
                <w:tab w:val="left" w:pos="567"/>
                <w:tab w:val="right" w:pos="4140"/>
                <w:tab w:val="right" w:pos="6480"/>
                <w:tab w:val="right" w:pos="8820"/>
              </w:tabs>
              <w:autoSpaceDE w:val="0"/>
              <w:autoSpaceDN w:val="0"/>
              <w:adjustRightInd w:val="0"/>
              <w:jc w:val="center"/>
              <w:rPr>
                <w:b/>
                <w:sz w:val="20"/>
                <w:szCs w:val="20"/>
              </w:rPr>
            </w:pPr>
            <w:r>
              <w:rPr>
                <w:b/>
                <w:sz w:val="20"/>
                <w:szCs w:val="20"/>
              </w:rPr>
              <w:t xml:space="preserve">            </w:t>
            </w:r>
            <w:r w:rsidR="000C2A54" w:rsidRPr="00730E98">
              <w:rPr>
                <w:b/>
                <w:sz w:val="20"/>
                <w:szCs w:val="20"/>
              </w:rPr>
              <w:t>£</w:t>
            </w:r>
          </w:p>
        </w:tc>
        <w:tc>
          <w:tcPr>
            <w:tcW w:w="1440" w:type="dxa"/>
          </w:tcPr>
          <w:p w14:paraId="7308D639"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c>
          <w:tcPr>
            <w:tcW w:w="1440" w:type="dxa"/>
          </w:tcPr>
          <w:p w14:paraId="350F47C9" w14:textId="77777777" w:rsidR="000C2A54" w:rsidRPr="00730E98" w:rsidRDefault="000C2A54" w:rsidP="000C2A54">
            <w:pPr>
              <w:widowControl w:val="0"/>
              <w:tabs>
                <w:tab w:val="left" w:pos="567"/>
                <w:tab w:val="right" w:pos="4140"/>
                <w:tab w:val="right" w:pos="6480"/>
                <w:tab w:val="right" w:pos="8820"/>
              </w:tabs>
              <w:autoSpaceDE w:val="0"/>
              <w:autoSpaceDN w:val="0"/>
              <w:adjustRightInd w:val="0"/>
              <w:jc w:val="right"/>
              <w:rPr>
                <w:b/>
                <w:sz w:val="20"/>
                <w:szCs w:val="20"/>
              </w:rPr>
            </w:pPr>
            <w:r w:rsidRPr="00730E98">
              <w:rPr>
                <w:b/>
                <w:sz w:val="20"/>
                <w:szCs w:val="20"/>
              </w:rPr>
              <w:t>£</w:t>
            </w:r>
          </w:p>
        </w:tc>
      </w:tr>
      <w:tr w:rsidR="00E64B1A" w:rsidRPr="00863EC6" w14:paraId="54BBBFFE" w14:textId="77777777" w:rsidTr="000C2A54">
        <w:trPr>
          <w:jc w:val="center"/>
        </w:trPr>
        <w:tc>
          <w:tcPr>
            <w:tcW w:w="2461" w:type="dxa"/>
          </w:tcPr>
          <w:p w14:paraId="445F9C75" w14:textId="77777777" w:rsidR="00E64B1A" w:rsidRPr="00863EC6" w:rsidRDefault="00E64B1A" w:rsidP="00E64B1A">
            <w:pPr>
              <w:rPr>
                <w:sz w:val="20"/>
                <w:szCs w:val="20"/>
              </w:rPr>
            </w:pPr>
            <w:r w:rsidRPr="00863EC6">
              <w:rPr>
                <w:sz w:val="20"/>
                <w:szCs w:val="20"/>
              </w:rPr>
              <w:t xml:space="preserve">Wages </w:t>
            </w:r>
            <w:r>
              <w:rPr>
                <w:sz w:val="20"/>
                <w:szCs w:val="20"/>
              </w:rPr>
              <w:t>and</w:t>
            </w:r>
            <w:r w:rsidRPr="00863EC6">
              <w:rPr>
                <w:sz w:val="20"/>
                <w:szCs w:val="20"/>
              </w:rPr>
              <w:t xml:space="preserve"> </w:t>
            </w:r>
            <w:r>
              <w:rPr>
                <w:sz w:val="20"/>
                <w:szCs w:val="20"/>
              </w:rPr>
              <w:t>s</w:t>
            </w:r>
            <w:r w:rsidRPr="00863EC6">
              <w:rPr>
                <w:sz w:val="20"/>
                <w:szCs w:val="20"/>
              </w:rPr>
              <w:t>alaries</w:t>
            </w:r>
          </w:p>
        </w:tc>
        <w:tc>
          <w:tcPr>
            <w:tcW w:w="1534" w:type="dxa"/>
          </w:tcPr>
          <w:p w14:paraId="2301FD1D" w14:textId="62283479" w:rsidR="00E64B1A" w:rsidRPr="00863EC6" w:rsidRDefault="008D53CC" w:rsidP="00E64B1A">
            <w:pPr>
              <w:jc w:val="right"/>
              <w:rPr>
                <w:sz w:val="20"/>
                <w:szCs w:val="20"/>
              </w:rPr>
            </w:pPr>
            <w:r>
              <w:rPr>
                <w:sz w:val="20"/>
                <w:szCs w:val="20"/>
              </w:rPr>
              <w:t>1,</w:t>
            </w:r>
            <w:r w:rsidR="000B7C6C">
              <w:rPr>
                <w:sz w:val="20"/>
                <w:szCs w:val="20"/>
              </w:rPr>
              <w:t>384</w:t>
            </w:r>
            <w:r>
              <w:rPr>
                <w:sz w:val="20"/>
                <w:szCs w:val="20"/>
              </w:rPr>
              <w:t>,</w:t>
            </w:r>
            <w:r w:rsidR="000B7C6C">
              <w:rPr>
                <w:sz w:val="20"/>
                <w:szCs w:val="20"/>
              </w:rPr>
              <w:t>212</w:t>
            </w:r>
          </w:p>
        </w:tc>
        <w:tc>
          <w:tcPr>
            <w:tcW w:w="1980" w:type="dxa"/>
          </w:tcPr>
          <w:p w14:paraId="1E57F563" w14:textId="2442B4C2" w:rsidR="00E64B1A" w:rsidDel="006E56F3" w:rsidRDefault="008D53CC" w:rsidP="00E64B1A">
            <w:pPr>
              <w:jc w:val="right"/>
              <w:rPr>
                <w:sz w:val="20"/>
                <w:szCs w:val="20"/>
              </w:rPr>
            </w:pPr>
            <w:r>
              <w:rPr>
                <w:sz w:val="20"/>
                <w:szCs w:val="20"/>
              </w:rPr>
              <w:t>1</w:t>
            </w:r>
            <w:r w:rsidR="000B7C6C">
              <w:rPr>
                <w:sz w:val="20"/>
                <w:szCs w:val="20"/>
              </w:rPr>
              <w:t>22</w:t>
            </w:r>
            <w:r>
              <w:rPr>
                <w:sz w:val="20"/>
                <w:szCs w:val="20"/>
              </w:rPr>
              <w:t>,</w:t>
            </w:r>
            <w:r w:rsidR="000B7C6C">
              <w:rPr>
                <w:sz w:val="20"/>
                <w:szCs w:val="20"/>
              </w:rPr>
              <w:t>764</w:t>
            </w:r>
          </w:p>
        </w:tc>
        <w:tc>
          <w:tcPr>
            <w:tcW w:w="1800" w:type="dxa"/>
          </w:tcPr>
          <w:p w14:paraId="2F6DA51E" w14:textId="45FED677" w:rsidR="00E64B1A" w:rsidRPr="00863EC6" w:rsidRDefault="00255020" w:rsidP="00255020">
            <w:pPr>
              <w:rPr>
                <w:sz w:val="20"/>
                <w:szCs w:val="20"/>
              </w:rPr>
            </w:pPr>
            <w:r>
              <w:rPr>
                <w:sz w:val="20"/>
                <w:szCs w:val="20"/>
              </w:rPr>
              <w:t xml:space="preserve">     </w:t>
            </w:r>
            <w:r w:rsidR="00917CB7">
              <w:rPr>
                <w:sz w:val="20"/>
                <w:szCs w:val="20"/>
              </w:rPr>
              <w:t>1,</w:t>
            </w:r>
            <w:r w:rsidR="000B7C6C">
              <w:rPr>
                <w:sz w:val="20"/>
                <w:szCs w:val="20"/>
              </w:rPr>
              <w:t>183</w:t>
            </w:r>
            <w:r w:rsidR="00917CB7">
              <w:rPr>
                <w:sz w:val="20"/>
                <w:szCs w:val="20"/>
              </w:rPr>
              <w:t>,</w:t>
            </w:r>
            <w:r w:rsidR="000B7C6C">
              <w:rPr>
                <w:sz w:val="20"/>
                <w:szCs w:val="20"/>
              </w:rPr>
              <w:t>354</w:t>
            </w:r>
            <w:r>
              <w:rPr>
                <w:sz w:val="20"/>
                <w:szCs w:val="20"/>
              </w:rPr>
              <w:t xml:space="preserve"> </w:t>
            </w:r>
          </w:p>
        </w:tc>
        <w:tc>
          <w:tcPr>
            <w:tcW w:w="1440" w:type="dxa"/>
          </w:tcPr>
          <w:p w14:paraId="1C6434AF" w14:textId="78DF00CC" w:rsidR="00E64B1A" w:rsidRPr="00766324" w:rsidRDefault="000B7C6C" w:rsidP="00E64B1A">
            <w:pPr>
              <w:jc w:val="right"/>
              <w:rPr>
                <w:sz w:val="20"/>
                <w:szCs w:val="20"/>
              </w:rPr>
            </w:pPr>
            <w:r>
              <w:rPr>
                <w:sz w:val="20"/>
                <w:szCs w:val="20"/>
              </w:rPr>
              <w:t>78</w:t>
            </w:r>
            <w:r w:rsidR="00917CB7">
              <w:rPr>
                <w:sz w:val="20"/>
                <w:szCs w:val="20"/>
              </w:rPr>
              <w:t>,</w:t>
            </w:r>
            <w:r>
              <w:rPr>
                <w:sz w:val="20"/>
                <w:szCs w:val="20"/>
              </w:rPr>
              <w:t>094</w:t>
            </w:r>
          </w:p>
        </w:tc>
        <w:tc>
          <w:tcPr>
            <w:tcW w:w="1440" w:type="dxa"/>
          </w:tcPr>
          <w:p w14:paraId="4B45EDAC" w14:textId="3E3E36ED" w:rsidR="00E64B1A" w:rsidRPr="00863EC6" w:rsidRDefault="00917CB7" w:rsidP="00E64B1A">
            <w:pPr>
              <w:jc w:val="right"/>
              <w:rPr>
                <w:sz w:val="20"/>
                <w:szCs w:val="20"/>
              </w:rPr>
            </w:pPr>
            <w:r>
              <w:rPr>
                <w:sz w:val="20"/>
                <w:szCs w:val="20"/>
              </w:rPr>
              <w:t>1,</w:t>
            </w:r>
            <w:r w:rsidR="000B7C6C">
              <w:rPr>
                <w:sz w:val="20"/>
                <w:szCs w:val="20"/>
              </w:rPr>
              <w:t>210</w:t>
            </w:r>
            <w:r>
              <w:rPr>
                <w:sz w:val="20"/>
                <w:szCs w:val="20"/>
              </w:rPr>
              <w:t>,</w:t>
            </w:r>
            <w:r w:rsidR="000B7C6C">
              <w:rPr>
                <w:sz w:val="20"/>
                <w:szCs w:val="20"/>
              </w:rPr>
              <w:t>899</w:t>
            </w:r>
          </w:p>
        </w:tc>
      </w:tr>
      <w:tr w:rsidR="00E64B1A" w:rsidRPr="00863EC6" w14:paraId="487A1C5F" w14:textId="77777777" w:rsidTr="000C2A54">
        <w:trPr>
          <w:jc w:val="center"/>
        </w:trPr>
        <w:tc>
          <w:tcPr>
            <w:tcW w:w="2461" w:type="dxa"/>
          </w:tcPr>
          <w:p w14:paraId="41C14B50" w14:textId="77777777" w:rsidR="00E64B1A" w:rsidRPr="00863EC6" w:rsidRDefault="00E64B1A" w:rsidP="00E64B1A">
            <w:pPr>
              <w:rPr>
                <w:sz w:val="20"/>
                <w:szCs w:val="20"/>
              </w:rPr>
            </w:pPr>
            <w:r w:rsidRPr="00863EC6">
              <w:rPr>
                <w:sz w:val="20"/>
                <w:szCs w:val="20"/>
              </w:rPr>
              <w:t>Social security costs</w:t>
            </w:r>
          </w:p>
        </w:tc>
        <w:tc>
          <w:tcPr>
            <w:tcW w:w="1534" w:type="dxa"/>
          </w:tcPr>
          <w:p w14:paraId="2F732650" w14:textId="6593E974" w:rsidR="00E64B1A" w:rsidRPr="0050481D" w:rsidRDefault="008D53CC" w:rsidP="00E64B1A">
            <w:pPr>
              <w:jc w:val="right"/>
              <w:rPr>
                <w:sz w:val="20"/>
                <w:szCs w:val="20"/>
              </w:rPr>
            </w:pPr>
            <w:r>
              <w:rPr>
                <w:sz w:val="20"/>
                <w:szCs w:val="20"/>
              </w:rPr>
              <w:t>1</w:t>
            </w:r>
            <w:r w:rsidR="000B7C6C">
              <w:rPr>
                <w:sz w:val="20"/>
                <w:szCs w:val="20"/>
              </w:rPr>
              <w:t>49</w:t>
            </w:r>
            <w:r>
              <w:rPr>
                <w:sz w:val="20"/>
                <w:szCs w:val="20"/>
              </w:rPr>
              <w:t>,</w:t>
            </w:r>
            <w:r w:rsidR="000B7C6C">
              <w:rPr>
                <w:sz w:val="20"/>
                <w:szCs w:val="20"/>
              </w:rPr>
              <w:t>70</w:t>
            </w:r>
            <w:r w:rsidR="006B4DB4">
              <w:rPr>
                <w:sz w:val="20"/>
                <w:szCs w:val="20"/>
              </w:rPr>
              <w:t>0</w:t>
            </w:r>
          </w:p>
        </w:tc>
        <w:tc>
          <w:tcPr>
            <w:tcW w:w="1980" w:type="dxa"/>
          </w:tcPr>
          <w:p w14:paraId="6F919444" w14:textId="1B51B186" w:rsidR="00E64B1A" w:rsidRPr="0050481D" w:rsidRDefault="000B7C6C" w:rsidP="00E64B1A">
            <w:pPr>
              <w:jc w:val="right"/>
              <w:rPr>
                <w:sz w:val="20"/>
                <w:szCs w:val="20"/>
              </w:rPr>
            </w:pPr>
            <w:r>
              <w:rPr>
                <w:sz w:val="20"/>
                <w:szCs w:val="20"/>
              </w:rPr>
              <w:t>10</w:t>
            </w:r>
            <w:r w:rsidR="008D53CC">
              <w:rPr>
                <w:sz w:val="20"/>
                <w:szCs w:val="20"/>
              </w:rPr>
              <w:t>,</w:t>
            </w:r>
            <w:r>
              <w:rPr>
                <w:sz w:val="20"/>
                <w:szCs w:val="20"/>
              </w:rPr>
              <w:t>05</w:t>
            </w:r>
            <w:r w:rsidR="006B4DB4">
              <w:rPr>
                <w:sz w:val="20"/>
                <w:szCs w:val="20"/>
              </w:rPr>
              <w:t>3</w:t>
            </w:r>
          </w:p>
        </w:tc>
        <w:tc>
          <w:tcPr>
            <w:tcW w:w="1800" w:type="dxa"/>
          </w:tcPr>
          <w:p w14:paraId="3EF1E04D" w14:textId="2C8C7B48" w:rsidR="00E64B1A" w:rsidRPr="0050481D" w:rsidRDefault="00255020" w:rsidP="00255020">
            <w:pPr>
              <w:rPr>
                <w:sz w:val="20"/>
                <w:szCs w:val="20"/>
              </w:rPr>
            </w:pPr>
            <w:r>
              <w:rPr>
                <w:sz w:val="20"/>
                <w:szCs w:val="20"/>
              </w:rPr>
              <w:t xml:space="preserve">        </w:t>
            </w:r>
            <w:r w:rsidR="00917CB7">
              <w:rPr>
                <w:sz w:val="20"/>
                <w:szCs w:val="20"/>
              </w:rPr>
              <w:t>1</w:t>
            </w:r>
            <w:r w:rsidR="000B7C6C">
              <w:rPr>
                <w:sz w:val="20"/>
                <w:szCs w:val="20"/>
              </w:rPr>
              <w:t>32</w:t>
            </w:r>
            <w:r w:rsidR="00917CB7">
              <w:rPr>
                <w:sz w:val="20"/>
                <w:szCs w:val="20"/>
              </w:rPr>
              <w:t>,91</w:t>
            </w:r>
            <w:r w:rsidR="000B7C6C">
              <w:rPr>
                <w:sz w:val="20"/>
                <w:szCs w:val="20"/>
              </w:rPr>
              <w:t>8</w:t>
            </w:r>
          </w:p>
        </w:tc>
        <w:tc>
          <w:tcPr>
            <w:tcW w:w="1440" w:type="dxa"/>
          </w:tcPr>
          <w:p w14:paraId="6036BD84" w14:textId="0177E779" w:rsidR="00E64B1A" w:rsidRPr="00766324" w:rsidRDefault="000B7C6C" w:rsidP="00E64B1A">
            <w:pPr>
              <w:jc w:val="right"/>
              <w:rPr>
                <w:sz w:val="20"/>
                <w:szCs w:val="20"/>
              </w:rPr>
            </w:pPr>
            <w:r>
              <w:rPr>
                <w:sz w:val="20"/>
                <w:szCs w:val="20"/>
              </w:rPr>
              <w:t>6</w:t>
            </w:r>
            <w:r w:rsidR="00917CB7">
              <w:rPr>
                <w:sz w:val="20"/>
                <w:szCs w:val="20"/>
              </w:rPr>
              <w:t>,</w:t>
            </w:r>
            <w:r>
              <w:rPr>
                <w:sz w:val="20"/>
                <w:szCs w:val="20"/>
              </w:rPr>
              <w:t>729</w:t>
            </w:r>
          </w:p>
        </w:tc>
        <w:tc>
          <w:tcPr>
            <w:tcW w:w="1440" w:type="dxa"/>
          </w:tcPr>
          <w:p w14:paraId="2F115F19" w14:textId="301796BC" w:rsidR="00E64B1A" w:rsidRPr="00863EC6" w:rsidRDefault="00917CB7" w:rsidP="00E64B1A">
            <w:pPr>
              <w:jc w:val="right"/>
              <w:rPr>
                <w:sz w:val="20"/>
                <w:szCs w:val="20"/>
              </w:rPr>
            </w:pPr>
            <w:r>
              <w:rPr>
                <w:sz w:val="20"/>
                <w:szCs w:val="20"/>
              </w:rPr>
              <w:t>1</w:t>
            </w:r>
            <w:r w:rsidR="000B7C6C">
              <w:rPr>
                <w:sz w:val="20"/>
                <w:szCs w:val="20"/>
              </w:rPr>
              <w:t>34</w:t>
            </w:r>
            <w:r>
              <w:rPr>
                <w:sz w:val="20"/>
                <w:szCs w:val="20"/>
              </w:rPr>
              <w:t>,</w:t>
            </w:r>
            <w:r w:rsidR="000B7C6C">
              <w:rPr>
                <w:sz w:val="20"/>
                <w:szCs w:val="20"/>
              </w:rPr>
              <w:t>199</w:t>
            </w:r>
          </w:p>
        </w:tc>
      </w:tr>
      <w:tr w:rsidR="00E64B1A" w:rsidRPr="00863EC6" w14:paraId="0588F9B7" w14:textId="77777777" w:rsidTr="000C2A54">
        <w:trPr>
          <w:jc w:val="center"/>
        </w:trPr>
        <w:tc>
          <w:tcPr>
            <w:tcW w:w="2461" w:type="dxa"/>
          </w:tcPr>
          <w:p w14:paraId="0F9F3DA2" w14:textId="77777777" w:rsidR="00E64B1A" w:rsidRPr="00863EC6" w:rsidRDefault="00E64B1A" w:rsidP="00E64B1A">
            <w:pPr>
              <w:rPr>
                <w:sz w:val="20"/>
                <w:szCs w:val="20"/>
              </w:rPr>
            </w:pPr>
            <w:r w:rsidRPr="00863EC6">
              <w:rPr>
                <w:sz w:val="20"/>
                <w:szCs w:val="20"/>
              </w:rPr>
              <w:t>Other pension costs</w:t>
            </w:r>
          </w:p>
        </w:tc>
        <w:tc>
          <w:tcPr>
            <w:tcW w:w="1534" w:type="dxa"/>
            <w:tcBorders>
              <w:bottom w:val="single" w:sz="4" w:space="0" w:color="auto"/>
            </w:tcBorders>
          </w:tcPr>
          <w:p w14:paraId="6B0C3083" w14:textId="6FDEF2EC" w:rsidR="00E64B1A" w:rsidRPr="0050481D" w:rsidRDefault="008D53CC" w:rsidP="00E64B1A">
            <w:pPr>
              <w:jc w:val="right"/>
              <w:rPr>
                <w:sz w:val="20"/>
                <w:szCs w:val="20"/>
              </w:rPr>
            </w:pPr>
            <w:r>
              <w:rPr>
                <w:sz w:val="20"/>
                <w:szCs w:val="20"/>
              </w:rPr>
              <w:t>3</w:t>
            </w:r>
            <w:r w:rsidR="000B7C6C">
              <w:rPr>
                <w:sz w:val="20"/>
                <w:szCs w:val="20"/>
              </w:rPr>
              <w:t>47</w:t>
            </w:r>
            <w:r>
              <w:rPr>
                <w:sz w:val="20"/>
                <w:szCs w:val="20"/>
              </w:rPr>
              <w:t>,</w:t>
            </w:r>
            <w:r w:rsidR="000B7C6C">
              <w:rPr>
                <w:sz w:val="20"/>
                <w:szCs w:val="20"/>
              </w:rPr>
              <w:t>440</w:t>
            </w:r>
          </w:p>
        </w:tc>
        <w:tc>
          <w:tcPr>
            <w:tcW w:w="1980" w:type="dxa"/>
            <w:tcBorders>
              <w:bottom w:val="single" w:sz="4" w:space="0" w:color="auto"/>
            </w:tcBorders>
          </w:tcPr>
          <w:p w14:paraId="4DAE086D" w14:textId="699A0AAF" w:rsidR="00E64B1A" w:rsidRPr="0050481D" w:rsidRDefault="008D53CC" w:rsidP="00E64B1A">
            <w:pPr>
              <w:jc w:val="right"/>
              <w:rPr>
                <w:sz w:val="20"/>
                <w:szCs w:val="20"/>
              </w:rPr>
            </w:pPr>
            <w:r>
              <w:rPr>
                <w:sz w:val="20"/>
                <w:szCs w:val="20"/>
              </w:rPr>
              <w:t>2</w:t>
            </w:r>
            <w:r w:rsidR="000B7C6C">
              <w:rPr>
                <w:sz w:val="20"/>
                <w:szCs w:val="20"/>
              </w:rPr>
              <w:t>3</w:t>
            </w:r>
            <w:r>
              <w:rPr>
                <w:sz w:val="20"/>
                <w:szCs w:val="20"/>
              </w:rPr>
              <w:t>,</w:t>
            </w:r>
            <w:r w:rsidR="000B7C6C">
              <w:rPr>
                <w:sz w:val="20"/>
                <w:szCs w:val="20"/>
              </w:rPr>
              <w:t>818</w:t>
            </w:r>
          </w:p>
        </w:tc>
        <w:tc>
          <w:tcPr>
            <w:tcW w:w="1800" w:type="dxa"/>
            <w:tcBorders>
              <w:bottom w:val="single" w:sz="4" w:space="0" w:color="auto"/>
            </w:tcBorders>
          </w:tcPr>
          <w:p w14:paraId="28861ABC" w14:textId="52162CB1" w:rsidR="00E64B1A" w:rsidRPr="0050481D" w:rsidRDefault="00255020" w:rsidP="00255020">
            <w:pPr>
              <w:rPr>
                <w:sz w:val="20"/>
                <w:szCs w:val="20"/>
              </w:rPr>
            </w:pPr>
            <w:r>
              <w:rPr>
                <w:sz w:val="20"/>
                <w:szCs w:val="20"/>
              </w:rPr>
              <w:t xml:space="preserve">        </w:t>
            </w:r>
            <w:r w:rsidR="000B7C6C">
              <w:rPr>
                <w:sz w:val="20"/>
                <w:szCs w:val="20"/>
              </w:rPr>
              <w:t>306</w:t>
            </w:r>
            <w:r w:rsidR="00917CB7">
              <w:rPr>
                <w:sz w:val="20"/>
                <w:szCs w:val="20"/>
              </w:rPr>
              <w:t>,</w:t>
            </w:r>
            <w:r w:rsidR="000B7C6C">
              <w:rPr>
                <w:sz w:val="20"/>
                <w:szCs w:val="20"/>
              </w:rPr>
              <w:t>154</w:t>
            </w:r>
          </w:p>
        </w:tc>
        <w:tc>
          <w:tcPr>
            <w:tcW w:w="1440" w:type="dxa"/>
            <w:tcBorders>
              <w:bottom w:val="single" w:sz="4" w:space="0" w:color="auto"/>
            </w:tcBorders>
          </w:tcPr>
          <w:p w14:paraId="3BBC6FAB" w14:textId="1ECAD582" w:rsidR="00E64B1A" w:rsidRPr="00766324" w:rsidRDefault="00917CB7" w:rsidP="00E64B1A">
            <w:pPr>
              <w:jc w:val="right"/>
              <w:rPr>
                <w:sz w:val="20"/>
                <w:szCs w:val="20"/>
              </w:rPr>
            </w:pPr>
            <w:r>
              <w:rPr>
                <w:sz w:val="20"/>
                <w:szCs w:val="20"/>
              </w:rPr>
              <w:t>17,</w:t>
            </w:r>
            <w:r w:rsidR="000B7C6C">
              <w:rPr>
                <w:sz w:val="20"/>
                <w:szCs w:val="20"/>
              </w:rPr>
              <w:t>468</w:t>
            </w:r>
          </w:p>
        </w:tc>
        <w:tc>
          <w:tcPr>
            <w:tcW w:w="1440" w:type="dxa"/>
            <w:tcBorders>
              <w:bottom w:val="single" w:sz="4" w:space="0" w:color="auto"/>
            </w:tcBorders>
          </w:tcPr>
          <w:p w14:paraId="4714D700" w14:textId="4B5498D9" w:rsidR="00E64B1A" w:rsidRPr="00863EC6" w:rsidRDefault="00917CB7" w:rsidP="00E64B1A">
            <w:pPr>
              <w:jc w:val="right"/>
              <w:rPr>
                <w:sz w:val="20"/>
                <w:szCs w:val="20"/>
              </w:rPr>
            </w:pPr>
            <w:r>
              <w:rPr>
                <w:sz w:val="20"/>
                <w:szCs w:val="20"/>
              </w:rPr>
              <w:t>3</w:t>
            </w:r>
            <w:r w:rsidR="000B7C6C">
              <w:rPr>
                <w:sz w:val="20"/>
                <w:szCs w:val="20"/>
              </w:rPr>
              <w:t>23</w:t>
            </w:r>
            <w:r>
              <w:rPr>
                <w:sz w:val="20"/>
                <w:szCs w:val="20"/>
              </w:rPr>
              <w:t>,</w:t>
            </w:r>
            <w:r w:rsidR="000B7C6C">
              <w:rPr>
                <w:sz w:val="20"/>
                <w:szCs w:val="20"/>
              </w:rPr>
              <w:t>618</w:t>
            </w:r>
          </w:p>
        </w:tc>
      </w:tr>
      <w:tr w:rsidR="00E64B1A" w:rsidRPr="00863EC6" w14:paraId="087732C9" w14:textId="77777777" w:rsidTr="000C2A54">
        <w:trPr>
          <w:jc w:val="center"/>
        </w:trPr>
        <w:tc>
          <w:tcPr>
            <w:tcW w:w="2461" w:type="dxa"/>
          </w:tcPr>
          <w:p w14:paraId="72E0855E" w14:textId="77777777" w:rsidR="00E64B1A" w:rsidRPr="008F1FC0" w:rsidRDefault="00E64B1A" w:rsidP="00E64B1A">
            <w:pPr>
              <w:rPr>
                <w:b/>
                <w:sz w:val="20"/>
                <w:szCs w:val="20"/>
              </w:rPr>
            </w:pPr>
            <w:r>
              <w:rPr>
                <w:b/>
                <w:sz w:val="20"/>
                <w:szCs w:val="20"/>
              </w:rPr>
              <w:t>Total Staff Costs</w:t>
            </w:r>
          </w:p>
        </w:tc>
        <w:tc>
          <w:tcPr>
            <w:tcW w:w="1534" w:type="dxa"/>
            <w:tcBorders>
              <w:top w:val="single" w:sz="4" w:space="0" w:color="auto"/>
              <w:bottom w:val="single" w:sz="4" w:space="0" w:color="auto"/>
            </w:tcBorders>
          </w:tcPr>
          <w:p w14:paraId="2A696794" w14:textId="4038CAC6" w:rsidR="00E64B1A" w:rsidRPr="0050481D" w:rsidRDefault="008D53CC" w:rsidP="00E64B1A">
            <w:pPr>
              <w:jc w:val="right"/>
              <w:rPr>
                <w:b/>
                <w:sz w:val="20"/>
                <w:szCs w:val="20"/>
              </w:rPr>
            </w:pPr>
            <w:r>
              <w:rPr>
                <w:b/>
                <w:sz w:val="20"/>
                <w:szCs w:val="20"/>
              </w:rPr>
              <w:t>1,</w:t>
            </w:r>
            <w:r w:rsidR="000B7C6C">
              <w:rPr>
                <w:b/>
                <w:sz w:val="20"/>
                <w:szCs w:val="20"/>
              </w:rPr>
              <w:t>881</w:t>
            </w:r>
            <w:r>
              <w:rPr>
                <w:b/>
                <w:sz w:val="20"/>
                <w:szCs w:val="20"/>
              </w:rPr>
              <w:t>,</w:t>
            </w:r>
            <w:r w:rsidR="000B7C6C">
              <w:rPr>
                <w:b/>
                <w:sz w:val="20"/>
                <w:szCs w:val="20"/>
              </w:rPr>
              <w:t>35</w:t>
            </w:r>
            <w:r w:rsidR="006B4DB4">
              <w:rPr>
                <w:b/>
                <w:sz w:val="20"/>
                <w:szCs w:val="20"/>
              </w:rPr>
              <w:t>2</w:t>
            </w:r>
          </w:p>
        </w:tc>
        <w:tc>
          <w:tcPr>
            <w:tcW w:w="1980" w:type="dxa"/>
            <w:tcBorders>
              <w:top w:val="single" w:sz="4" w:space="0" w:color="auto"/>
              <w:bottom w:val="single" w:sz="4" w:space="0" w:color="auto"/>
            </w:tcBorders>
          </w:tcPr>
          <w:p w14:paraId="28B75921" w14:textId="26990467" w:rsidR="00E64B1A" w:rsidRPr="0050481D" w:rsidDel="006E56F3" w:rsidRDefault="008D53CC" w:rsidP="00E64B1A">
            <w:pPr>
              <w:jc w:val="right"/>
              <w:rPr>
                <w:b/>
                <w:sz w:val="20"/>
                <w:szCs w:val="20"/>
              </w:rPr>
            </w:pPr>
            <w:r>
              <w:rPr>
                <w:b/>
                <w:sz w:val="20"/>
                <w:szCs w:val="20"/>
              </w:rPr>
              <w:t>1</w:t>
            </w:r>
            <w:r w:rsidR="000B7C6C">
              <w:rPr>
                <w:b/>
                <w:sz w:val="20"/>
                <w:szCs w:val="20"/>
              </w:rPr>
              <w:t>56</w:t>
            </w:r>
            <w:r>
              <w:rPr>
                <w:b/>
                <w:sz w:val="20"/>
                <w:szCs w:val="20"/>
              </w:rPr>
              <w:t>,</w:t>
            </w:r>
            <w:r w:rsidR="000B7C6C">
              <w:rPr>
                <w:b/>
                <w:sz w:val="20"/>
                <w:szCs w:val="20"/>
              </w:rPr>
              <w:t>63</w:t>
            </w:r>
            <w:r w:rsidR="006B4DB4">
              <w:rPr>
                <w:b/>
                <w:sz w:val="20"/>
                <w:szCs w:val="20"/>
              </w:rPr>
              <w:t>5</w:t>
            </w:r>
          </w:p>
        </w:tc>
        <w:tc>
          <w:tcPr>
            <w:tcW w:w="1800" w:type="dxa"/>
            <w:tcBorders>
              <w:top w:val="single" w:sz="4" w:space="0" w:color="auto"/>
              <w:bottom w:val="single" w:sz="4" w:space="0" w:color="auto"/>
            </w:tcBorders>
          </w:tcPr>
          <w:p w14:paraId="1CE321F4" w14:textId="5BBB2F06" w:rsidR="00E64B1A" w:rsidRPr="0050481D" w:rsidRDefault="008D53CC" w:rsidP="00E64B1A">
            <w:pPr>
              <w:jc w:val="right"/>
              <w:rPr>
                <w:b/>
                <w:sz w:val="20"/>
                <w:szCs w:val="20"/>
              </w:rPr>
            </w:pPr>
            <w:r>
              <w:rPr>
                <w:b/>
                <w:sz w:val="20"/>
                <w:szCs w:val="20"/>
              </w:rPr>
              <w:t>1,</w:t>
            </w:r>
            <w:r w:rsidR="000B7C6C">
              <w:rPr>
                <w:b/>
                <w:sz w:val="20"/>
                <w:szCs w:val="20"/>
              </w:rPr>
              <w:t>622</w:t>
            </w:r>
            <w:r w:rsidR="00917CB7">
              <w:rPr>
                <w:b/>
                <w:sz w:val="20"/>
                <w:szCs w:val="20"/>
              </w:rPr>
              <w:t>,</w:t>
            </w:r>
            <w:r w:rsidR="000B7C6C">
              <w:rPr>
                <w:b/>
                <w:sz w:val="20"/>
                <w:szCs w:val="20"/>
              </w:rPr>
              <w:t>426</w:t>
            </w:r>
            <w:r w:rsidR="00255020">
              <w:rPr>
                <w:rStyle w:val="FootnoteReference"/>
                <w:b/>
                <w:sz w:val="20"/>
                <w:szCs w:val="20"/>
              </w:rPr>
              <w:footnoteReference w:id="13"/>
            </w:r>
          </w:p>
        </w:tc>
        <w:tc>
          <w:tcPr>
            <w:tcW w:w="1440" w:type="dxa"/>
            <w:tcBorders>
              <w:top w:val="single" w:sz="4" w:space="0" w:color="auto"/>
              <w:bottom w:val="single" w:sz="4" w:space="0" w:color="auto"/>
            </w:tcBorders>
          </w:tcPr>
          <w:p w14:paraId="509A54BF" w14:textId="32ED0CF5" w:rsidR="00E64B1A" w:rsidRPr="008F1FC0" w:rsidRDefault="00917CB7" w:rsidP="00E64B1A">
            <w:pPr>
              <w:jc w:val="right"/>
              <w:rPr>
                <w:b/>
                <w:sz w:val="20"/>
                <w:szCs w:val="20"/>
              </w:rPr>
            </w:pPr>
            <w:r>
              <w:rPr>
                <w:b/>
                <w:sz w:val="20"/>
                <w:szCs w:val="20"/>
              </w:rPr>
              <w:t>1</w:t>
            </w:r>
            <w:r w:rsidR="000B7C6C">
              <w:rPr>
                <w:b/>
                <w:sz w:val="20"/>
                <w:szCs w:val="20"/>
              </w:rPr>
              <w:t>02</w:t>
            </w:r>
            <w:r>
              <w:rPr>
                <w:b/>
                <w:sz w:val="20"/>
                <w:szCs w:val="20"/>
              </w:rPr>
              <w:t>,</w:t>
            </w:r>
            <w:r w:rsidR="000B7C6C">
              <w:rPr>
                <w:b/>
                <w:sz w:val="20"/>
                <w:szCs w:val="20"/>
              </w:rPr>
              <w:t>291</w:t>
            </w:r>
          </w:p>
        </w:tc>
        <w:tc>
          <w:tcPr>
            <w:tcW w:w="1440" w:type="dxa"/>
            <w:tcBorders>
              <w:top w:val="single" w:sz="4" w:space="0" w:color="auto"/>
              <w:bottom w:val="single" w:sz="4" w:space="0" w:color="auto"/>
            </w:tcBorders>
          </w:tcPr>
          <w:p w14:paraId="4BB20BB0" w14:textId="6DEE6E0F" w:rsidR="00E64B1A" w:rsidRPr="008F1FC0" w:rsidRDefault="00917CB7" w:rsidP="00E64B1A">
            <w:pPr>
              <w:jc w:val="right"/>
              <w:rPr>
                <w:b/>
                <w:sz w:val="20"/>
                <w:szCs w:val="20"/>
              </w:rPr>
            </w:pPr>
            <w:r>
              <w:rPr>
                <w:b/>
                <w:sz w:val="20"/>
                <w:szCs w:val="20"/>
              </w:rPr>
              <w:t>1,</w:t>
            </w:r>
            <w:r w:rsidR="000B7C6C">
              <w:rPr>
                <w:b/>
                <w:sz w:val="20"/>
                <w:szCs w:val="20"/>
              </w:rPr>
              <w:t>668</w:t>
            </w:r>
            <w:r>
              <w:rPr>
                <w:b/>
                <w:sz w:val="20"/>
                <w:szCs w:val="20"/>
              </w:rPr>
              <w:t>,</w:t>
            </w:r>
            <w:r w:rsidR="000B7C6C">
              <w:rPr>
                <w:b/>
                <w:sz w:val="20"/>
                <w:szCs w:val="20"/>
              </w:rPr>
              <w:t>716</w:t>
            </w:r>
          </w:p>
        </w:tc>
      </w:tr>
    </w:tbl>
    <w:p w14:paraId="075FC662" w14:textId="77777777" w:rsidR="00FD0AA4" w:rsidRDefault="00FD0AA4" w:rsidP="000C2A54">
      <w:pPr>
        <w:widowControl w:val="0"/>
        <w:tabs>
          <w:tab w:val="left" w:pos="567"/>
          <w:tab w:val="right" w:pos="7371"/>
          <w:tab w:val="right" w:pos="9356"/>
        </w:tabs>
        <w:autoSpaceDE w:val="0"/>
        <w:autoSpaceDN w:val="0"/>
        <w:adjustRightInd w:val="0"/>
        <w:rPr>
          <w:b/>
        </w:rPr>
      </w:pPr>
    </w:p>
    <w:p w14:paraId="66E8A8FA" w14:textId="77777777" w:rsidR="002F2F19" w:rsidRDefault="002F2F19" w:rsidP="000C2A54">
      <w:pPr>
        <w:widowControl w:val="0"/>
        <w:tabs>
          <w:tab w:val="left" w:pos="567"/>
          <w:tab w:val="right" w:pos="7371"/>
          <w:tab w:val="right" w:pos="9356"/>
        </w:tabs>
        <w:autoSpaceDE w:val="0"/>
        <w:autoSpaceDN w:val="0"/>
        <w:adjustRightInd w:val="0"/>
        <w:rPr>
          <w:b/>
        </w:rPr>
      </w:pPr>
    </w:p>
    <w:p w14:paraId="17AA44B3" w14:textId="77777777" w:rsidR="00A70EF7" w:rsidRDefault="00A70EF7">
      <w:pPr>
        <w:rPr>
          <w:b/>
        </w:rPr>
      </w:pPr>
      <w:r>
        <w:rPr>
          <w:b/>
        </w:rPr>
        <w:br w:type="page"/>
      </w:r>
    </w:p>
    <w:p w14:paraId="3FBAC0B8" w14:textId="4191F67F" w:rsidR="000C2A54" w:rsidRPr="00676064" w:rsidRDefault="000C2A54" w:rsidP="000C2A54">
      <w:pPr>
        <w:widowControl w:val="0"/>
        <w:tabs>
          <w:tab w:val="left" w:pos="567"/>
          <w:tab w:val="right" w:pos="7371"/>
          <w:tab w:val="right" w:pos="9356"/>
        </w:tabs>
        <w:autoSpaceDE w:val="0"/>
        <w:autoSpaceDN w:val="0"/>
        <w:adjustRightInd w:val="0"/>
        <w:rPr>
          <w:b/>
        </w:rPr>
      </w:pPr>
      <w:r w:rsidRPr="00676064">
        <w:rPr>
          <w:b/>
        </w:rPr>
        <w:t>4.</w:t>
      </w:r>
      <w:r w:rsidRPr="00676064">
        <w:rPr>
          <w:b/>
        </w:rPr>
        <w:tab/>
        <w:t>Other expenditure</w:t>
      </w:r>
      <w:r w:rsidR="00235025">
        <w:rPr>
          <w:b/>
        </w:rPr>
        <w:t xml:space="preserve"> </w:t>
      </w:r>
    </w:p>
    <w:tbl>
      <w:tblPr>
        <w:tblW w:w="0" w:type="auto"/>
        <w:jc w:val="center"/>
        <w:tblLayout w:type="fixed"/>
        <w:tblLook w:val="01E0" w:firstRow="1" w:lastRow="1" w:firstColumn="1" w:lastColumn="1" w:noHBand="0" w:noVBand="0"/>
      </w:tblPr>
      <w:tblGrid>
        <w:gridCol w:w="5911"/>
        <w:gridCol w:w="1440"/>
        <w:gridCol w:w="417"/>
        <w:gridCol w:w="1245"/>
      </w:tblGrid>
      <w:tr w:rsidR="000C2A54" w:rsidRPr="00676064" w14:paraId="378AA8F8" w14:textId="77777777" w:rsidTr="54F71CB4">
        <w:trPr>
          <w:jc w:val="center"/>
        </w:trPr>
        <w:tc>
          <w:tcPr>
            <w:tcW w:w="5911" w:type="dxa"/>
          </w:tcPr>
          <w:p w14:paraId="7A803752" w14:textId="77777777" w:rsidR="000C2A54" w:rsidRPr="00676064" w:rsidRDefault="000C2A54" w:rsidP="000C2A54">
            <w:pPr>
              <w:rPr>
                <w:b/>
              </w:rPr>
            </w:pPr>
          </w:p>
        </w:tc>
        <w:tc>
          <w:tcPr>
            <w:tcW w:w="1440" w:type="dxa"/>
          </w:tcPr>
          <w:p w14:paraId="23D734E2" w14:textId="1AED1A01" w:rsidR="000C2A54" w:rsidRPr="003061F1" w:rsidRDefault="00BE5A39" w:rsidP="000C2A54">
            <w:pPr>
              <w:jc w:val="right"/>
              <w:rPr>
                <w:b/>
                <w:sz w:val="20"/>
                <w:szCs w:val="20"/>
              </w:rPr>
            </w:pPr>
            <w:r>
              <w:rPr>
                <w:b/>
                <w:sz w:val="20"/>
                <w:szCs w:val="20"/>
              </w:rPr>
              <w:t>202</w:t>
            </w:r>
            <w:r w:rsidR="000B7C6C">
              <w:rPr>
                <w:b/>
                <w:sz w:val="20"/>
                <w:szCs w:val="20"/>
              </w:rPr>
              <w:t>3</w:t>
            </w:r>
            <w:r>
              <w:rPr>
                <w:b/>
                <w:sz w:val="20"/>
                <w:szCs w:val="20"/>
              </w:rPr>
              <w:t>-2</w:t>
            </w:r>
            <w:r w:rsidR="000B7C6C">
              <w:rPr>
                <w:b/>
                <w:sz w:val="20"/>
                <w:szCs w:val="20"/>
              </w:rPr>
              <w:t>4</w:t>
            </w:r>
          </w:p>
        </w:tc>
        <w:tc>
          <w:tcPr>
            <w:tcW w:w="417" w:type="dxa"/>
          </w:tcPr>
          <w:p w14:paraId="121491C1" w14:textId="77777777" w:rsidR="000C2A54" w:rsidRPr="003061F1" w:rsidRDefault="000C2A54" w:rsidP="000C2A54">
            <w:pPr>
              <w:rPr>
                <w:b/>
                <w:sz w:val="20"/>
                <w:szCs w:val="20"/>
              </w:rPr>
            </w:pPr>
          </w:p>
        </w:tc>
        <w:tc>
          <w:tcPr>
            <w:tcW w:w="1245" w:type="dxa"/>
          </w:tcPr>
          <w:p w14:paraId="3A284FD0" w14:textId="06433415" w:rsidR="000C2A54" w:rsidRPr="003061F1" w:rsidRDefault="00BE5A39" w:rsidP="000C2A54">
            <w:pPr>
              <w:jc w:val="right"/>
              <w:rPr>
                <w:b/>
                <w:sz w:val="20"/>
                <w:szCs w:val="20"/>
              </w:rPr>
            </w:pPr>
            <w:r>
              <w:rPr>
                <w:b/>
                <w:sz w:val="20"/>
                <w:szCs w:val="20"/>
              </w:rPr>
              <w:t>202</w:t>
            </w:r>
            <w:r w:rsidR="000B7C6C">
              <w:rPr>
                <w:b/>
                <w:sz w:val="20"/>
                <w:szCs w:val="20"/>
              </w:rPr>
              <w:t>2</w:t>
            </w:r>
            <w:r>
              <w:rPr>
                <w:b/>
                <w:sz w:val="20"/>
                <w:szCs w:val="20"/>
              </w:rPr>
              <w:t>-2</w:t>
            </w:r>
            <w:r w:rsidR="000B7C6C">
              <w:rPr>
                <w:b/>
                <w:sz w:val="20"/>
                <w:szCs w:val="20"/>
              </w:rPr>
              <w:t>3</w:t>
            </w:r>
          </w:p>
        </w:tc>
      </w:tr>
      <w:tr w:rsidR="000C2A54" w:rsidRPr="00676064" w14:paraId="5BB8FDC6" w14:textId="77777777" w:rsidTr="54F71CB4">
        <w:trPr>
          <w:jc w:val="center"/>
        </w:trPr>
        <w:tc>
          <w:tcPr>
            <w:tcW w:w="5911" w:type="dxa"/>
          </w:tcPr>
          <w:p w14:paraId="5D80F3BB" w14:textId="77777777" w:rsidR="000C2A54" w:rsidRPr="00676064" w:rsidRDefault="000C2A54" w:rsidP="000C2A54">
            <w:pPr>
              <w:rPr>
                <w:b/>
              </w:rPr>
            </w:pPr>
          </w:p>
        </w:tc>
        <w:tc>
          <w:tcPr>
            <w:tcW w:w="1440" w:type="dxa"/>
          </w:tcPr>
          <w:p w14:paraId="37132B45" w14:textId="77777777" w:rsidR="000C2A54" w:rsidRPr="003061F1" w:rsidRDefault="000C2A54" w:rsidP="000C2A54">
            <w:pPr>
              <w:rPr>
                <w:b/>
                <w:sz w:val="20"/>
                <w:szCs w:val="20"/>
              </w:rPr>
            </w:pPr>
          </w:p>
        </w:tc>
        <w:tc>
          <w:tcPr>
            <w:tcW w:w="1662" w:type="dxa"/>
            <w:gridSpan w:val="2"/>
          </w:tcPr>
          <w:p w14:paraId="756FC3D7" w14:textId="77777777" w:rsidR="000C2A54" w:rsidRPr="003061F1" w:rsidRDefault="000C2A54" w:rsidP="000C2A54">
            <w:pPr>
              <w:jc w:val="right"/>
              <w:rPr>
                <w:b/>
                <w:sz w:val="20"/>
                <w:szCs w:val="20"/>
              </w:rPr>
            </w:pPr>
          </w:p>
        </w:tc>
      </w:tr>
      <w:tr w:rsidR="000C2A54" w:rsidRPr="00676064" w14:paraId="7EC6D48D" w14:textId="77777777" w:rsidTr="54F71CB4">
        <w:trPr>
          <w:jc w:val="center"/>
        </w:trPr>
        <w:tc>
          <w:tcPr>
            <w:tcW w:w="5911" w:type="dxa"/>
          </w:tcPr>
          <w:p w14:paraId="62EC79B5" w14:textId="77777777" w:rsidR="000C2A54" w:rsidRPr="00676064" w:rsidRDefault="000C2A54" w:rsidP="000C2A54">
            <w:pPr>
              <w:rPr>
                <w:b/>
              </w:rPr>
            </w:pPr>
          </w:p>
        </w:tc>
        <w:tc>
          <w:tcPr>
            <w:tcW w:w="1440" w:type="dxa"/>
          </w:tcPr>
          <w:p w14:paraId="2505FA5C" w14:textId="77777777" w:rsidR="000C2A54" w:rsidRPr="003061F1" w:rsidRDefault="00243E7B" w:rsidP="00243E7B">
            <w:pPr>
              <w:jc w:val="center"/>
              <w:rPr>
                <w:b/>
                <w:sz w:val="20"/>
                <w:szCs w:val="20"/>
              </w:rPr>
            </w:pPr>
            <w:r>
              <w:rPr>
                <w:b/>
                <w:sz w:val="20"/>
                <w:szCs w:val="20"/>
              </w:rPr>
              <w:t xml:space="preserve">         </w:t>
            </w:r>
            <w:r w:rsidR="000C2A54" w:rsidRPr="003061F1">
              <w:rPr>
                <w:b/>
                <w:sz w:val="20"/>
                <w:szCs w:val="20"/>
              </w:rPr>
              <w:t>£</w:t>
            </w:r>
          </w:p>
        </w:tc>
        <w:tc>
          <w:tcPr>
            <w:tcW w:w="417" w:type="dxa"/>
          </w:tcPr>
          <w:p w14:paraId="71625A95" w14:textId="77777777" w:rsidR="000C2A54" w:rsidRPr="003061F1" w:rsidRDefault="000C2A54" w:rsidP="000C2A54">
            <w:pPr>
              <w:rPr>
                <w:b/>
                <w:sz w:val="20"/>
                <w:szCs w:val="20"/>
              </w:rPr>
            </w:pPr>
          </w:p>
        </w:tc>
        <w:tc>
          <w:tcPr>
            <w:tcW w:w="1245" w:type="dxa"/>
          </w:tcPr>
          <w:p w14:paraId="653A0B0D" w14:textId="77777777" w:rsidR="000C2A54" w:rsidRPr="003061F1" w:rsidRDefault="000C2A54" w:rsidP="000C2A54">
            <w:pPr>
              <w:jc w:val="right"/>
              <w:rPr>
                <w:b/>
                <w:sz w:val="20"/>
                <w:szCs w:val="20"/>
              </w:rPr>
            </w:pPr>
            <w:r w:rsidRPr="003061F1">
              <w:rPr>
                <w:b/>
                <w:sz w:val="20"/>
                <w:szCs w:val="20"/>
              </w:rPr>
              <w:t>£</w:t>
            </w:r>
          </w:p>
        </w:tc>
      </w:tr>
      <w:tr w:rsidR="00E64B1A" w:rsidRPr="00676064" w14:paraId="1B4C2680" w14:textId="77777777" w:rsidTr="54F71CB4">
        <w:trPr>
          <w:jc w:val="center"/>
        </w:trPr>
        <w:tc>
          <w:tcPr>
            <w:tcW w:w="5911" w:type="dxa"/>
          </w:tcPr>
          <w:p w14:paraId="2CD51577"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Advertising, publicity and publications</w:t>
            </w:r>
          </w:p>
        </w:tc>
        <w:tc>
          <w:tcPr>
            <w:tcW w:w="1440" w:type="dxa"/>
          </w:tcPr>
          <w:p w14:paraId="05A553F8" w14:textId="42A3C589" w:rsidR="00E64B1A" w:rsidRPr="003061F1" w:rsidRDefault="000B7C6C" w:rsidP="002B369A">
            <w:pPr>
              <w:jc w:val="right"/>
              <w:rPr>
                <w:sz w:val="20"/>
                <w:szCs w:val="20"/>
              </w:rPr>
            </w:pPr>
            <w:r>
              <w:rPr>
                <w:sz w:val="20"/>
                <w:szCs w:val="20"/>
              </w:rPr>
              <w:t>65</w:t>
            </w:r>
            <w:r w:rsidR="00FE10BB">
              <w:rPr>
                <w:sz w:val="20"/>
                <w:szCs w:val="20"/>
              </w:rPr>
              <w:t>,</w:t>
            </w:r>
            <w:r>
              <w:rPr>
                <w:sz w:val="20"/>
                <w:szCs w:val="20"/>
              </w:rPr>
              <w:t>820</w:t>
            </w:r>
          </w:p>
        </w:tc>
        <w:tc>
          <w:tcPr>
            <w:tcW w:w="417" w:type="dxa"/>
          </w:tcPr>
          <w:p w14:paraId="32930D7D" w14:textId="77777777" w:rsidR="00E64B1A" w:rsidRPr="003061F1" w:rsidRDefault="00E64B1A" w:rsidP="00E64B1A">
            <w:pPr>
              <w:jc w:val="right"/>
              <w:rPr>
                <w:sz w:val="20"/>
                <w:szCs w:val="20"/>
              </w:rPr>
            </w:pPr>
          </w:p>
        </w:tc>
        <w:tc>
          <w:tcPr>
            <w:tcW w:w="1245" w:type="dxa"/>
          </w:tcPr>
          <w:p w14:paraId="4E793752" w14:textId="503F5794" w:rsidR="00E64B1A" w:rsidRPr="003061F1" w:rsidRDefault="000B7C6C" w:rsidP="00E64B1A">
            <w:pPr>
              <w:jc w:val="right"/>
              <w:rPr>
                <w:sz w:val="20"/>
                <w:szCs w:val="20"/>
              </w:rPr>
            </w:pPr>
            <w:r>
              <w:rPr>
                <w:sz w:val="20"/>
                <w:szCs w:val="20"/>
              </w:rPr>
              <w:t>40</w:t>
            </w:r>
            <w:r w:rsidR="00917CB7">
              <w:rPr>
                <w:sz w:val="20"/>
                <w:szCs w:val="20"/>
              </w:rPr>
              <w:t>,</w:t>
            </w:r>
            <w:r>
              <w:rPr>
                <w:sz w:val="20"/>
                <w:szCs w:val="20"/>
              </w:rPr>
              <w:t>392</w:t>
            </w:r>
          </w:p>
        </w:tc>
      </w:tr>
      <w:tr w:rsidR="00E64B1A" w:rsidRPr="00676064" w14:paraId="6DB1FD3B" w14:textId="77777777" w:rsidTr="54F71CB4">
        <w:trPr>
          <w:jc w:val="center"/>
        </w:trPr>
        <w:tc>
          <w:tcPr>
            <w:tcW w:w="5911" w:type="dxa"/>
          </w:tcPr>
          <w:p w14:paraId="536DAA94"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Auditor’s (NAO) remuneration</w:t>
            </w:r>
          </w:p>
        </w:tc>
        <w:tc>
          <w:tcPr>
            <w:tcW w:w="1440" w:type="dxa"/>
          </w:tcPr>
          <w:p w14:paraId="3135E4CE" w14:textId="24C8EE0D" w:rsidR="00E64B1A" w:rsidRPr="003061F1" w:rsidRDefault="00FE10BB" w:rsidP="002B369A">
            <w:pPr>
              <w:jc w:val="right"/>
              <w:rPr>
                <w:sz w:val="20"/>
                <w:szCs w:val="20"/>
              </w:rPr>
            </w:pPr>
            <w:r>
              <w:rPr>
                <w:sz w:val="20"/>
                <w:szCs w:val="20"/>
              </w:rPr>
              <w:t>2</w:t>
            </w:r>
            <w:r w:rsidR="08DA393A">
              <w:rPr>
                <w:sz w:val="20"/>
                <w:szCs w:val="20"/>
              </w:rPr>
              <w:t>6</w:t>
            </w:r>
            <w:r>
              <w:rPr>
                <w:sz w:val="20"/>
                <w:szCs w:val="20"/>
              </w:rPr>
              <w:t>,</w:t>
            </w:r>
            <w:r w:rsidR="08DA393A">
              <w:rPr>
                <w:sz w:val="20"/>
                <w:szCs w:val="20"/>
              </w:rPr>
              <w:t>400</w:t>
            </w:r>
            <w:r w:rsidR="007F37CB">
              <w:rPr>
                <w:rStyle w:val="FootnoteReference"/>
                <w:sz w:val="20"/>
                <w:szCs w:val="20"/>
              </w:rPr>
              <w:footnoteReference w:id="14"/>
            </w:r>
          </w:p>
        </w:tc>
        <w:tc>
          <w:tcPr>
            <w:tcW w:w="417" w:type="dxa"/>
          </w:tcPr>
          <w:p w14:paraId="7B978208" w14:textId="77777777" w:rsidR="00E64B1A" w:rsidRPr="003061F1" w:rsidRDefault="00E64B1A" w:rsidP="00E64B1A">
            <w:pPr>
              <w:jc w:val="right"/>
              <w:rPr>
                <w:sz w:val="20"/>
                <w:szCs w:val="20"/>
              </w:rPr>
            </w:pPr>
          </w:p>
        </w:tc>
        <w:tc>
          <w:tcPr>
            <w:tcW w:w="1245" w:type="dxa"/>
          </w:tcPr>
          <w:p w14:paraId="7E646CE1" w14:textId="5FFD2CCC" w:rsidR="00E64B1A" w:rsidRPr="003061F1" w:rsidRDefault="000B7C6C" w:rsidP="00E64B1A">
            <w:pPr>
              <w:jc w:val="right"/>
              <w:rPr>
                <w:sz w:val="20"/>
                <w:szCs w:val="20"/>
              </w:rPr>
            </w:pPr>
            <w:r>
              <w:rPr>
                <w:sz w:val="20"/>
                <w:szCs w:val="20"/>
              </w:rPr>
              <w:t>21</w:t>
            </w:r>
            <w:r w:rsidR="00917CB7">
              <w:rPr>
                <w:sz w:val="20"/>
                <w:szCs w:val="20"/>
              </w:rPr>
              <w:t>,</w:t>
            </w:r>
            <w:r>
              <w:rPr>
                <w:sz w:val="20"/>
                <w:szCs w:val="20"/>
              </w:rPr>
              <w:t>725</w:t>
            </w:r>
          </w:p>
        </w:tc>
      </w:tr>
      <w:tr w:rsidR="00E64B1A" w:rsidRPr="00676064" w14:paraId="348916D5" w14:textId="77777777" w:rsidTr="54F71CB4">
        <w:trPr>
          <w:jc w:val="center"/>
        </w:trPr>
        <w:tc>
          <w:tcPr>
            <w:tcW w:w="5911" w:type="dxa"/>
          </w:tcPr>
          <w:p w14:paraId="604CA642"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Building maintenance and expenses</w:t>
            </w:r>
          </w:p>
        </w:tc>
        <w:tc>
          <w:tcPr>
            <w:tcW w:w="1440" w:type="dxa"/>
          </w:tcPr>
          <w:p w14:paraId="77932C7B" w14:textId="02DE7323" w:rsidR="00E64B1A" w:rsidRPr="003061F1" w:rsidRDefault="007F37CB" w:rsidP="002B369A">
            <w:pPr>
              <w:jc w:val="right"/>
              <w:rPr>
                <w:sz w:val="20"/>
                <w:szCs w:val="20"/>
              </w:rPr>
            </w:pPr>
            <w:r>
              <w:rPr>
                <w:sz w:val="20"/>
                <w:szCs w:val="20"/>
              </w:rPr>
              <w:t>53</w:t>
            </w:r>
            <w:r w:rsidR="00FE10BB">
              <w:rPr>
                <w:sz w:val="20"/>
                <w:szCs w:val="20"/>
              </w:rPr>
              <w:t>,</w:t>
            </w:r>
            <w:r>
              <w:rPr>
                <w:sz w:val="20"/>
                <w:szCs w:val="20"/>
              </w:rPr>
              <w:t>120</w:t>
            </w:r>
          </w:p>
        </w:tc>
        <w:tc>
          <w:tcPr>
            <w:tcW w:w="417" w:type="dxa"/>
          </w:tcPr>
          <w:p w14:paraId="641E6A36" w14:textId="77777777" w:rsidR="00E64B1A" w:rsidRPr="003061F1" w:rsidRDefault="00E64B1A" w:rsidP="00E64B1A">
            <w:pPr>
              <w:jc w:val="right"/>
              <w:rPr>
                <w:sz w:val="20"/>
                <w:szCs w:val="20"/>
              </w:rPr>
            </w:pPr>
          </w:p>
        </w:tc>
        <w:tc>
          <w:tcPr>
            <w:tcW w:w="1245" w:type="dxa"/>
          </w:tcPr>
          <w:p w14:paraId="7DDD7972" w14:textId="4B7AFEFC" w:rsidR="00E64B1A" w:rsidRPr="003061F1" w:rsidRDefault="000B7C6C" w:rsidP="00E64B1A">
            <w:pPr>
              <w:jc w:val="right"/>
              <w:rPr>
                <w:sz w:val="20"/>
                <w:szCs w:val="20"/>
              </w:rPr>
            </w:pPr>
            <w:r>
              <w:rPr>
                <w:sz w:val="20"/>
                <w:szCs w:val="20"/>
              </w:rPr>
              <w:t>48</w:t>
            </w:r>
            <w:r w:rsidR="00917CB7">
              <w:rPr>
                <w:sz w:val="20"/>
                <w:szCs w:val="20"/>
              </w:rPr>
              <w:t>,</w:t>
            </w:r>
            <w:r>
              <w:rPr>
                <w:sz w:val="20"/>
                <w:szCs w:val="20"/>
              </w:rPr>
              <w:t>094</w:t>
            </w:r>
          </w:p>
        </w:tc>
      </w:tr>
      <w:tr w:rsidR="00E64B1A" w:rsidRPr="00676064" w14:paraId="1FCBF9A4" w14:textId="77777777" w:rsidTr="54F71CB4">
        <w:trPr>
          <w:jc w:val="center"/>
        </w:trPr>
        <w:tc>
          <w:tcPr>
            <w:tcW w:w="5911" w:type="dxa"/>
          </w:tcPr>
          <w:p w14:paraId="0A3DAC25"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Conferences and seminars</w:t>
            </w:r>
          </w:p>
        </w:tc>
        <w:tc>
          <w:tcPr>
            <w:tcW w:w="1440" w:type="dxa"/>
          </w:tcPr>
          <w:p w14:paraId="7B01B4D8" w14:textId="3C8E7DD5" w:rsidR="00E64B1A" w:rsidRPr="003061F1" w:rsidRDefault="007F37CB" w:rsidP="002B369A">
            <w:pPr>
              <w:jc w:val="right"/>
              <w:rPr>
                <w:sz w:val="20"/>
                <w:szCs w:val="20"/>
              </w:rPr>
            </w:pPr>
            <w:r>
              <w:rPr>
                <w:sz w:val="20"/>
                <w:szCs w:val="20"/>
              </w:rPr>
              <w:t>20</w:t>
            </w:r>
            <w:r w:rsidR="00FE10BB">
              <w:rPr>
                <w:sz w:val="20"/>
                <w:szCs w:val="20"/>
              </w:rPr>
              <w:t>,</w:t>
            </w:r>
            <w:r>
              <w:rPr>
                <w:sz w:val="20"/>
                <w:szCs w:val="20"/>
              </w:rPr>
              <w:t>813</w:t>
            </w:r>
          </w:p>
        </w:tc>
        <w:tc>
          <w:tcPr>
            <w:tcW w:w="417" w:type="dxa"/>
          </w:tcPr>
          <w:p w14:paraId="0B83C586" w14:textId="77777777" w:rsidR="00E64B1A" w:rsidRPr="003061F1" w:rsidRDefault="00E64B1A" w:rsidP="00E64B1A">
            <w:pPr>
              <w:jc w:val="right"/>
              <w:rPr>
                <w:sz w:val="20"/>
                <w:szCs w:val="20"/>
              </w:rPr>
            </w:pPr>
          </w:p>
        </w:tc>
        <w:tc>
          <w:tcPr>
            <w:tcW w:w="1245" w:type="dxa"/>
          </w:tcPr>
          <w:p w14:paraId="593D4D51" w14:textId="65CA5191" w:rsidR="00E64B1A" w:rsidRPr="003061F1" w:rsidRDefault="00917CB7" w:rsidP="00E64B1A">
            <w:pPr>
              <w:jc w:val="right"/>
              <w:rPr>
                <w:sz w:val="20"/>
                <w:szCs w:val="20"/>
              </w:rPr>
            </w:pPr>
            <w:r>
              <w:rPr>
                <w:sz w:val="20"/>
                <w:szCs w:val="20"/>
              </w:rPr>
              <w:t>1</w:t>
            </w:r>
            <w:r w:rsidR="000B7C6C">
              <w:rPr>
                <w:sz w:val="20"/>
                <w:szCs w:val="20"/>
              </w:rPr>
              <w:t>4</w:t>
            </w:r>
            <w:r>
              <w:rPr>
                <w:sz w:val="20"/>
                <w:szCs w:val="20"/>
              </w:rPr>
              <w:t>,</w:t>
            </w:r>
            <w:r w:rsidR="000B7C6C">
              <w:rPr>
                <w:sz w:val="20"/>
                <w:szCs w:val="20"/>
              </w:rPr>
              <w:t>276</w:t>
            </w:r>
          </w:p>
        </w:tc>
      </w:tr>
      <w:tr w:rsidR="007F37CB" w:rsidRPr="00676064" w14:paraId="08D0EE8F" w14:textId="77777777" w:rsidTr="54F71CB4">
        <w:trPr>
          <w:jc w:val="center"/>
        </w:trPr>
        <w:tc>
          <w:tcPr>
            <w:tcW w:w="5911" w:type="dxa"/>
          </w:tcPr>
          <w:p w14:paraId="3ED27244" w14:textId="67BD3BB9" w:rsidR="007F37CB" w:rsidRPr="003061F1" w:rsidRDefault="007F37CB"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Pr>
                <w:rFonts w:cs="Arial"/>
                <w:sz w:val="20"/>
                <w:szCs w:val="20"/>
              </w:rPr>
              <w:t>FCO expenditure</w:t>
            </w:r>
          </w:p>
        </w:tc>
        <w:tc>
          <w:tcPr>
            <w:tcW w:w="1440" w:type="dxa"/>
          </w:tcPr>
          <w:p w14:paraId="2A767033" w14:textId="47C7624C" w:rsidR="007F37CB" w:rsidRDefault="007F37CB" w:rsidP="002B369A">
            <w:pPr>
              <w:jc w:val="right"/>
              <w:rPr>
                <w:sz w:val="20"/>
                <w:szCs w:val="20"/>
              </w:rPr>
            </w:pPr>
            <w:r>
              <w:rPr>
                <w:sz w:val="20"/>
                <w:szCs w:val="20"/>
              </w:rPr>
              <w:t>3,734</w:t>
            </w:r>
          </w:p>
        </w:tc>
        <w:tc>
          <w:tcPr>
            <w:tcW w:w="417" w:type="dxa"/>
          </w:tcPr>
          <w:p w14:paraId="1CBB11AC" w14:textId="77777777" w:rsidR="007F37CB" w:rsidRPr="003061F1" w:rsidRDefault="007F37CB" w:rsidP="00E64B1A">
            <w:pPr>
              <w:jc w:val="right"/>
              <w:rPr>
                <w:sz w:val="20"/>
                <w:szCs w:val="20"/>
              </w:rPr>
            </w:pPr>
          </w:p>
        </w:tc>
        <w:tc>
          <w:tcPr>
            <w:tcW w:w="1245" w:type="dxa"/>
          </w:tcPr>
          <w:p w14:paraId="4FA1AF5A" w14:textId="4712CEE8" w:rsidR="007F37CB" w:rsidRDefault="007F37CB" w:rsidP="00E64B1A">
            <w:pPr>
              <w:jc w:val="right"/>
              <w:rPr>
                <w:sz w:val="20"/>
                <w:szCs w:val="20"/>
              </w:rPr>
            </w:pPr>
            <w:r>
              <w:rPr>
                <w:sz w:val="20"/>
                <w:szCs w:val="20"/>
              </w:rPr>
              <w:t>0</w:t>
            </w:r>
          </w:p>
        </w:tc>
      </w:tr>
      <w:tr w:rsidR="00E64B1A" w:rsidRPr="00676064" w14:paraId="52C77887" w14:textId="77777777" w:rsidTr="54F71CB4">
        <w:trPr>
          <w:jc w:val="center"/>
        </w:trPr>
        <w:tc>
          <w:tcPr>
            <w:tcW w:w="5911" w:type="dxa"/>
          </w:tcPr>
          <w:p w14:paraId="6F34BA8E"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Insurance</w:t>
            </w:r>
          </w:p>
        </w:tc>
        <w:tc>
          <w:tcPr>
            <w:tcW w:w="1440" w:type="dxa"/>
          </w:tcPr>
          <w:p w14:paraId="54E5B958" w14:textId="3F88E703" w:rsidR="00E64B1A" w:rsidRPr="003061F1" w:rsidRDefault="00FE10BB" w:rsidP="002B369A">
            <w:pPr>
              <w:jc w:val="right"/>
              <w:rPr>
                <w:sz w:val="20"/>
                <w:szCs w:val="20"/>
              </w:rPr>
            </w:pPr>
            <w:r>
              <w:rPr>
                <w:sz w:val="20"/>
                <w:szCs w:val="20"/>
              </w:rPr>
              <w:t>9,</w:t>
            </w:r>
            <w:r w:rsidR="007F37CB">
              <w:rPr>
                <w:sz w:val="20"/>
                <w:szCs w:val="20"/>
              </w:rPr>
              <w:t>67</w:t>
            </w:r>
            <w:r w:rsidR="004A0564">
              <w:rPr>
                <w:sz w:val="20"/>
                <w:szCs w:val="20"/>
              </w:rPr>
              <w:t>3</w:t>
            </w:r>
          </w:p>
        </w:tc>
        <w:tc>
          <w:tcPr>
            <w:tcW w:w="417" w:type="dxa"/>
          </w:tcPr>
          <w:p w14:paraId="0C044435" w14:textId="77777777" w:rsidR="00E64B1A" w:rsidRPr="003061F1" w:rsidRDefault="00E64B1A" w:rsidP="00E64B1A">
            <w:pPr>
              <w:jc w:val="right"/>
              <w:rPr>
                <w:sz w:val="20"/>
                <w:szCs w:val="20"/>
              </w:rPr>
            </w:pPr>
          </w:p>
        </w:tc>
        <w:tc>
          <w:tcPr>
            <w:tcW w:w="1245" w:type="dxa"/>
          </w:tcPr>
          <w:p w14:paraId="1AB95390" w14:textId="72DF6523" w:rsidR="00E64B1A" w:rsidRPr="003061F1" w:rsidRDefault="000B7C6C" w:rsidP="00E64B1A">
            <w:pPr>
              <w:jc w:val="right"/>
              <w:rPr>
                <w:sz w:val="20"/>
                <w:szCs w:val="20"/>
              </w:rPr>
            </w:pPr>
            <w:r>
              <w:rPr>
                <w:sz w:val="20"/>
                <w:szCs w:val="20"/>
              </w:rPr>
              <w:t>9</w:t>
            </w:r>
            <w:r w:rsidR="00917CB7">
              <w:rPr>
                <w:sz w:val="20"/>
                <w:szCs w:val="20"/>
              </w:rPr>
              <w:t>,1</w:t>
            </w:r>
            <w:r>
              <w:rPr>
                <w:sz w:val="20"/>
                <w:szCs w:val="20"/>
              </w:rPr>
              <w:t>88</w:t>
            </w:r>
          </w:p>
        </w:tc>
      </w:tr>
      <w:tr w:rsidR="00E64B1A" w:rsidRPr="00676064" w14:paraId="5093D7D9" w14:textId="77777777" w:rsidTr="54F71CB4">
        <w:trPr>
          <w:jc w:val="center"/>
        </w:trPr>
        <w:tc>
          <w:tcPr>
            <w:tcW w:w="5911" w:type="dxa"/>
          </w:tcPr>
          <w:p w14:paraId="4967BC3E"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Internal audit</w:t>
            </w:r>
          </w:p>
        </w:tc>
        <w:tc>
          <w:tcPr>
            <w:tcW w:w="1440" w:type="dxa"/>
          </w:tcPr>
          <w:p w14:paraId="2BAD7143" w14:textId="44EF5B79" w:rsidR="00E64B1A" w:rsidRPr="003061F1" w:rsidRDefault="007F37CB" w:rsidP="002B369A">
            <w:pPr>
              <w:jc w:val="right"/>
              <w:rPr>
                <w:sz w:val="20"/>
                <w:szCs w:val="20"/>
              </w:rPr>
            </w:pPr>
            <w:r>
              <w:rPr>
                <w:sz w:val="20"/>
                <w:szCs w:val="20"/>
              </w:rPr>
              <w:t>11</w:t>
            </w:r>
            <w:r w:rsidR="00FE10BB">
              <w:rPr>
                <w:sz w:val="20"/>
                <w:szCs w:val="20"/>
              </w:rPr>
              <w:t>,</w:t>
            </w:r>
            <w:r>
              <w:rPr>
                <w:sz w:val="20"/>
                <w:szCs w:val="20"/>
              </w:rPr>
              <w:t>115</w:t>
            </w:r>
          </w:p>
        </w:tc>
        <w:tc>
          <w:tcPr>
            <w:tcW w:w="417" w:type="dxa"/>
          </w:tcPr>
          <w:p w14:paraId="37DEEFE8" w14:textId="77777777" w:rsidR="00E64B1A" w:rsidRPr="003061F1" w:rsidRDefault="00E64B1A" w:rsidP="00E64B1A">
            <w:pPr>
              <w:jc w:val="right"/>
              <w:rPr>
                <w:sz w:val="20"/>
                <w:szCs w:val="20"/>
              </w:rPr>
            </w:pPr>
          </w:p>
        </w:tc>
        <w:tc>
          <w:tcPr>
            <w:tcW w:w="1245" w:type="dxa"/>
          </w:tcPr>
          <w:p w14:paraId="7EA66594" w14:textId="66934C68" w:rsidR="00E64B1A" w:rsidRPr="003061F1" w:rsidRDefault="000B7C6C" w:rsidP="00E64B1A">
            <w:pPr>
              <w:jc w:val="right"/>
              <w:rPr>
                <w:sz w:val="20"/>
                <w:szCs w:val="20"/>
              </w:rPr>
            </w:pPr>
            <w:r>
              <w:rPr>
                <w:sz w:val="20"/>
                <w:szCs w:val="20"/>
              </w:rPr>
              <w:t>7</w:t>
            </w:r>
            <w:r w:rsidR="00917CB7">
              <w:rPr>
                <w:sz w:val="20"/>
                <w:szCs w:val="20"/>
              </w:rPr>
              <w:t>,</w:t>
            </w:r>
            <w:r>
              <w:rPr>
                <w:sz w:val="20"/>
                <w:szCs w:val="20"/>
              </w:rPr>
              <w:t>020</w:t>
            </w:r>
          </w:p>
        </w:tc>
      </w:tr>
      <w:tr w:rsidR="00E64B1A" w:rsidRPr="00676064" w14:paraId="349CAC7D" w14:textId="77777777" w:rsidTr="54F71CB4">
        <w:trPr>
          <w:jc w:val="center"/>
        </w:trPr>
        <w:tc>
          <w:tcPr>
            <w:tcW w:w="5911" w:type="dxa"/>
          </w:tcPr>
          <w:p w14:paraId="52CC8E0D"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Investigations</w:t>
            </w:r>
            <w:r w:rsidR="001C734F">
              <w:rPr>
                <w:rFonts w:cs="Arial"/>
                <w:sz w:val="20"/>
                <w:szCs w:val="20"/>
              </w:rPr>
              <w:t xml:space="preserve"> &amp; Research</w:t>
            </w:r>
          </w:p>
        </w:tc>
        <w:tc>
          <w:tcPr>
            <w:tcW w:w="1440" w:type="dxa"/>
          </w:tcPr>
          <w:p w14:paraId="0C7269FC" w14:textId="79F7254C" w:rsidR="00E64B1A" w:rsidRPr="003061F1" w:rsidRDefault="007F37CB" w:rsidP="002B369A">
            <w:pPr>
              <w:jc w:val="right"/>
              <w:rPr>
                <w:sz w:val="20"/>
                <w:szCs w:val="20"/>
              </w:rPr>
            </w:pPr>
            <w:r>
              <w:rPr>
                <w:sz w:val="20"/>
                <w:szCs w:val="20"/>
              </w:rPr>
              <w:t>49</w:t>
            </w:r>
            <w:r w:rsidR="00FE10BB">
              <w:rPr>
                <w:sz w:val="20"/>
                <w:szCs w:val="20"/>
              </w:rPr>
              <w:t>,</w:t>
            </w:r>
            <w:r>
              <w:rPr>
                <w:sz w:val="20"/>
                <w:szCs w:val="20"/>
              </w:rPr>
              <w:t>375</w:t>
            </w:r>
          </w:p>
        </w:tc>
        <w:tc>
          <w:tcPr>
            <w:tcW w:w="417" w:type="dxa"/>
          </w:tcPr>
          <w:p w14:paraId="1C58932F" w14:textId="77777777" w:rsidR="00E64B1A" w:rsidRPr="003061F1" w:rsidRDefault="00E64B1A" w:rsidP="00E64B1A">
            <w:pPr>
              <w:jc w:val="right"/>
              <w:rPr>
                <w:sz w:val="20"/>
                <w:szCs w:val="20"/>
              </w:rPr>
            </w:pPr>
          </w:p>
        </w:tc>
        <w:tc>
          <w:tcPr>
            <w:tcW w:w="1245" w:type="dxa"/>
          </w:tcPr>
          <w:p w14:paraId="0D13331E" w14:textId="7009B38F" w:rsidR="00E64B1A" w:rsidRPr="003061F1" w:rsidRDefault="000B7C6C" w:rsidP="00E64B1A">
            <w:pPr>
              <w:jc w:val="right"/>
              <w:rPr>
                <w:sz w:val="20"/>
                <w:szCs w:val="20"/>
              </w:rPr>
            </w:pPr>
            <w:r>
              <w:rPr>
                <w:sz w:val="20"/>
                <w:szCs w:val="20"/>
              </w:rPr>
              <w:t>55</w:t>
            </w:r>
            <w:r w:rsidR="00917CB7">
              <w:rPr>
                <w:sz w:val="20"/>
                <w:szCs w:val="20"/>
              </w:rPr>
              <w:t>,</w:t>
            </w:r>
            <w:r>
              <w:rPr>
                <w:sz w:val="20"/>
                <w:szCs w:val="20"/>
              </w:rPr>
              <w:t>662</w:t>
            </w:r>
          </w:p>
        </w:tc>
      </w:tr>
      <w:tr w:rsidR="00E64B1A" w:rsidRPr="00676064" w14:paraId="536A68BB" w14:textId="77777777" w:rsidTr="54F71CB4">
        <w:trPr>
          <w:jc w:val="center"/>
        </w:trPr>
        <w:tc>
          <w:tcPr>
            <w:tcW w:w="5911" w:type="dxa"/>
          </w:tcPr>
          <w:p w14:paraId="7991FFCA"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IT</w:t>
            </w:r>
          </w:p>
        </w:tc>
        <w:tc>
          <w:tcPr>
            <w:tcW w:w="1440" w:type="dxa"/>
          </w:tcPr>
          <w:p w14:paraId="710ED40D" w14:textId="16D2AD15" w:rsidR="00E64B1A" w:rsidRPr="003061F1" w:rsidRDefault="007F37CB" w:rsidP="002B369A">
            <w:pPr>
              <w:jc w:val="right"/>
              <w:rPr>
                <w:sz w:val="20"/>
                <w:szCs w:val="20"/>
              </w:rPr>
            </w:pPr>
            <w:r>
              <w:rPr>
                <w:sz w:val="20"/>
                <w:szCs w:val="20"/>
              </w:rPr>
              <w:t>46</w:t>
            </w:r>
            <w:r w:rsidR="00FE10BB">
              <w:rPr>
                <w:sz w:val="20"/>
                <w:szCs w:val="20"/>
              </w:rPr>
              <w:t>,</w:t>
            </w:r>
            <w:r>
              <w:rPr>
                <w:sz w:val="20"/>
                <w:szCs w:val="20"/>
              </w:rPr>
              <w:t>838</w:t>
            </w:r>
          </w:p>
        </w:tc>
        <w:tc>
          <w:tcPr>
            <w:tcW w:w="417" w:type="dxa"/>
          </w:tcPr>
          <w:p w14:paraId="60E9F7AC" w14:textId="77777777" w:rsidR="00E64B1A" w:rsidRPr="003061F1" w:rsidRDefault="00E64B1A" w:rsidP="00E64B1A">
            <w:pPr>
              <w:jc w:val="right"/>
              <w:rPr>
                <w:sz w:val="20"/>
                <w:szCs w:val="20"/>
              </w:rPr>
            </w:pPr>
          </w:p>
        </w:tc>
        <w:tc>
          <w:tcPr>
            <w:tcW w:w="1245" w:type="dxa"/>
          </w:tcPr>
          <w:p w14:paraId="0ACF728E" w14:textId="0B0EFB29" w:rsidR="00E64B1A" w:rsidRPr="003061F1" w:rsidRDefault="00917CB7" w:rsidP="00E64B1A">
            <w:pPr>
              <w:jc w:val="right"/>
              <w:rPr>
                <w:sz w:val="20"/>
                <w:szCs w:val="20"/>
              </w:rPr>
            </w:pPr>
            <w:r>
              <w:rPr>
                <w:sz w:val="20"/>
                <w:szCs w:val="20"/>
              </w:rPr>
              <w:t>5</w:t>
            </w:r>
            <w:r w:rsidR="000B7C6C">
              <w:rPr>
                <w:sz w:val="20"/>
                <w:szCs w:val="20"/>
              </w:rPr>
              <w:t>7</w:t>
            </w:r>
            <w:r>
              <w:rPr>
                <w:sz w:val="20"/>
                <w:szCs w:val="20"/>
              </w:rPr>
              <w:t>,</w:t>
            </w:r>
            <w:r w:rsidR="000B7C6C">
              <w:rPr>
                <w:sz w:val="20"/>
                <w:szCs w:val="20"/>
              </w:rPr>
              <w:t>652</w:t>
            </w:r>
          </w:p>
        </w:tc>
      </w:tr>
      <w:tr w:rsidR="00E64B1A" w:rsidRPr="00676064" w14:paraId="5586133B" w14:textId="77777777" w:rsidTr="54F71CB4">
        <w:trPr>
          <w:jc w:val="center"/>
        </w:trPr>
        <w:tc>
          <w:tcPr>
            <w:tcW w:w="5911" w:type="dxa"/>
          </w:tcPr>
          <w:p w14:paraId="3440C226" w14:textId="77777777" w:rsidR="00E64B1A" w:rsidRPr="003061F1" w:rsidRDefault="00E64B1A" w:rsidP="00E64B1A">
            <w:pPr>
              <w:rPr>
                <w:sz w:val="20"/>
                <w:szCs w:val="20"/>
              </w:rPr>
            </w:pPr>
            <w:r w:rsidRPr="003061F1">
              <w:rPr>
                <w:rFonts w:cs="Arial"/>
                <w:sz w:val="20"/>
                <w:szCs w:val="20"/>
              </w:rPr>
              <w:t>Legal casework (</w:t>
            </w:r>
            <w:proofErr w:type="gramStart"/>
            <w:r w:rsidRPr="003061F1">
              <w:rPr>
                <w:rFonts w:cs="Arial"/>
                <w:sz w:val="20"/>
                <w:szCs w:val="20"/>
              </w:rPr>
              <w:t>non–recoverable</w:t>
            </w:r>
            <w:proofErr w:type="gramEnd"/>
            <w:r w:rsidRPr="003061F1">
              <w:rPr>
                <w:rFonts w:cs="Arial"/>
                <w:sz w:val="20"/>
                <w:szCs w:val="20"/>
              </w:rPr>
              <w:t>)</w:t>
            </w:r>
          </w:p>
        </w:tc>
        <w:tc>
          <w:tcPr>
            <w:tcW w:w="1440" w:type="dxa"/>
          </w:tcPr>
          <w:p w14:paraId="3364FB14" w14:textId="7A93BF36" w:rsidR="00E64B1A" w:rsidRPr="003061F1" w:rsidRDefault="00FE10BB" w:rsidP="002B369A">
            <w:pPr>
              <w:jc w:val="right"/>
              <w:rPr>
                <w:sz w:val="20"/>
                <w:szCs w:val="20"/>
              </w:rPr>
            </w:pPr>
            <w:r>
              <w:rPr>
                <w:sz w:val="20"/>
                <w:szCs w:val="20"/>
              </w:rPr>
              <w:t>1</w:t>
            </w:r>
            <w:r w:rsidR="007F37CB">
              <w:rPr>
                <w:sz w:val="20"/>
                <w:szCs w:val="20"/>
              </w:rPr>
              <w:t>62</w:t>
            </w:r>
            <w:r>
              <w:rPr>
                <w:sz w:val="20"/>
                <w:szCs w:val="20"/>
              </w:rPr>
              <w:t>,</w:t>
            </w:r>
            <w:r w:rsidR="007F37CB">
              <w:rPr>
                <w:sz w:val="20"/>
                <w:szCs w:val="20"/>
              </w:rPr>
              <w:t>992</w:t>
            </w:r>
          </w:p>
        </w:tc>
        <w:tc>
          <w:tcPr>
            <w:tcW w:w="417" w:type="dxa"/>
          </w:tcPr>
          <w:p w14:paraId="44010ED9" w14:textId="77777777" w:rsidR="00E64B1A" w:rsidRPr="003061F1" w:rsidRDefault="00E64B1A" w:rsidP="00E64B1A">
            <w:pPr>
              <w:jc w:val="right"/>
              <w:rPr>
                <w:sz w:val="20"/>
                <w:szCs w:val="20"/>
              </w:rPr>
            </w:pPr>
          </w:p>
        </w:tc>
        <w:tc>
          <w:tcPr>
            <w:tcW w:w="1245" w:type="dxa"/>
          </w:tcPr>
          <w:p w14:paraId="77A379D7" w14:textId="283EF9F0" w:rsidR="00E64B1A" w:rsidRPr="003061F1" w:rsidRDefault="000B7C6C" w:rsidP="00E64B1A">
            <w:pPr>
              <w:jc w:val="right"/>
              <w:rPr>
                <w:sz w:val="20"/>
                <w:szCs w:val="20"/>
              </w:rPr>
            </w:pPr>
            <w:r>
              <w:rPr>
                <w:sz w:val="20"/>
                <w:szCs w:val="20"/>
              </w:rPr>
              <w:t>177</w:t>
            </w:r>
            <w:r w:rsidR="00917CB7">
              <w:rPr>
                <w:sz w:val="20"/>
                <w:szCs w:val="20"/>
              </w:rPr>
              <w:t>,</w:t>
            </w:r>
            <w:r>
              <w:rPr>
                <w:sz w:val="20"/>
                <w:szCs w:val="20"/>
              </w:rPr>
              <w:t>008</w:t>
            </w:r>
          </w:p>
        </w:tc>
      </w:tr>
      <w:tr w:rsidR="00E64B1A" w:rsidRPr="00676064" w14:paraId="0A2CAEF1" w14:textId="77777777" w:rsidTr="54F71CB4">
        <w:trPr>
          <w:jc w:val="center"/>
        </w:trPr>
        <w:tc>
          <w:tcPr>
            <w:tcW w:w="5911" w:type="dxa"/>
          </w:tcPr>
          <w:p w14:paraId="139CAE74" w14:textId="77777777" w:rsidR="00E64B1A" w:rsidRPr="003061F1" w:rsidRDefault="00E64B1A" w:rsidP="00E64B1A">
            <w:pPr>
              <w:rPr>
                <w:sz w:val="20"/>
                <w:szCs w:val="20"/>
              </w:rPr>
            </w:pPr>
            <w:r w:rsidRPr="003061F1">
              <w:rPr>
                <w:rFonts w:cs="Arial"/>
                <w:sz w:val="20"/>
                <w:szCs w:val="20"/>
              </w:rPr>
              <w:t>Light and heat</w:t>
            </w:r>
          </w:p>
        </w:tc>
        <w:tc>
          <w:tcPr>
            <w:tcW w:w="1440" w:type="dxa"/>
          </w:tcPr>
          <w:p w14:paraId="7CDD60D1" w14:textId="5615AA9E" w:rsidR="00E64B1A" w:rsidRPr="003061F1" w:rsidRDefault="007F37CB" w:rsidP="002B369A">
            <w:pPr>
              <w:jc w:val="right"/>
              <w:rPr>
                <w:sz w:val="20"/>
                <w:szCs w:val="20"/>
              </w:rPr>
            </w:pPr>
            <w:r>
              <w:rPr>
                <w:sz w:val="20"/>
                <w:szCs w:val="20"/>
              </w:rPr>
              <w:t>12</w:t>
            </w:r>
            <w:r w:rsidR="00FE10BB">
              <w:rPr>
                <w:sz w:val="20"/>
                <w:szCs w:val="20"/>
              </w:rPr>
              <w:t>,</w:t>
            </w:r>
            <w:r>
              <w:rPr>
                <w:sz w:val="20"/>
                <w:szCs w:val="20"/>
              </w:rPr>
              <w:t>413</w:t>
            </w:r>
          </w:p>
        </w:tc>
        <w:tc>
          <w:tcPr>
            <w:tcW w:w="417" w:type="dxa"/>
          </w:tcPr>
          <w:p w14:paraId="53D83978" w14:textId="77777777" w:rsidR="00E64B1A" w:rsidRPr="003061F1" w:rsidRDefault="00E64B1A" w:rsidP="00E64B1A">
            <w:pPr>
              <w:jc w:val="right"/>
              <w:rPr>
                <w:sz w:val="20"/>
                <w:szCs w:val="20"/>
              </w:rPr>
            </w:pPr>
          </w:p>
        </w:tc>
        <w:tc>
          <w:tcPr>
            <w:tcW w:w="1245" w:type="dxa"/>
          </w:tcPr>
          <w:p w14:paraId="2921A110" w14:textId="63605BD2" w:rsidR="00E64B1A" w:rsidRPr="003061F1" w:rsidRDefault="000B7C6C" w:rsidP="00E64B1A">
            <w:pPr>
              <w:jc w:val="right"/>
              <w:rPr>
                <w:sz w:val="20"/>
                <w:szCs w:val="20"/>
              </w:rPr>
            </w:pPr>
            <w:r>
              <w:rPr>
                <w:sz w:val="20"/>
                <w:szCs w:val="20"/>
              </w:rPr>
              <w:t>24</w:t>
            </w:r>
            <w:r w:rsidR="00917CB7">
              <w:rPr>
                <w:sz w:val="20"/>
                <w:szCs w:val="20"/>
              </w:rPr>
              <w:t>,0</w:t>
            </w:r>
            <w:r>
              <w:rPr>
                <w:sz w:val="20"/>
                <w:szCs w:val="20"/>
              </w:rPr>
              <w:t>92</w:t>
            </w:r>
          </w:p>
        </w:tc>
      </w:tr>
      <w:tr w:rsidR="00F96687" w:rsidRPr="00676064" w14:paraId="5DED5E06" w14:textId="77777777" w:rsidTr="54F71CB4">
        <w:trPr>
          <w:jc w:val="center"/>
        </w:trPr>
        <w:tc>
          <w:tcPr>
            <w:tcW w:w="5911" w:type="dxa"/>
          </w:tcPr>
          <w:p w14:paraId="6AEAB126" w14:textId="73549332" w:rsidR="00F96687" w:rsidRPr="003061F1" w:rsidRDefault="00F96687" w:rsidP="00E64B1A">
            <w:pPr>
              <w:rPr>
                <w:rFonts w:cs="Arial"/>
                <w:sz w:val="20"/>
                <w:szCs w:val="20"/>
              </w:rPr>
            </w:pPr>
            <w:r>
              <w:rPr>
                <w:rFonts w:cs="Arial"/>
                <w:sz w:val="20"/>
                <w:szCs w:val="20"/>
              </w:rPr>
              <w:t>Non-recoverable VAT expense</w:t>
            </w:r>
          </w:p>
        </w:tc>
        <w:tc>
          <w:tcPr>
            <w:tcW w:w="1440" w:type="dxa"/>
          </w:tcPr>
          <w:p w14:paraId="489AF81D" w14:textId="01BA4CF6" w:rsidR="00F96687" w:rsidRDefault="00F96687" w:rsidP="002B369A">
            <w:pPr>
              <w:jc w:val="right"/>
              <w:rPr>
                <w:sz w:val="20"/>
                <w:szCs w:val="20"/>
              </w:rPr>
            </w:pPr>
            <w:r>
              <w:rPr>
                <w:sz w:val="20"/>
                <w:szCs w:val="20"/>
              </w:rPr>
              <w:t>15,754</w:t>
            </w:r>
          </w:p>
        </w:tc>
        <w:tc>
          <w:tcPr>
            <w:tcW w:w="417" w:type="dxa"/>
          </w:tcPr>
          <w:p w14:paraId="7C2D4D5E" w14:textId="77777777" w:rsidR="00F96687" w:rsidRPr="003061F1" w:rsidRDefault="00F96687" w:rsidP="00E64B1A">
            <w:pPr>
              <w:jc w:val="right"/>
              <w:rPr>
                <w:sz w:val="20"/>
                <w:szCs w:val="20"/>
              </w:rPr>
            </w:pPr>
          </w:p>
        </w:tc>
        <w:tc>
          <w:tcPr>
            <w:tcW w:w="1245" w:type="dxa"/>
          </w:tcPr>
          <w:p w14:paraId="70FE115F" w14:textId="5626113C" w:rsidR="00F96687" w:rsidRDefault="000B7C6C" w:rsidP="00E64B1A">
            <w:pPr>
              <w:jc w:val="right"/>
              <w:rPr>
                <w:sz w:val="20"/>
                <w:szCs w:val="20"/>
              </w:rPr>
            </w:pPr>
            <w:r>
              <w:rPr>
                <w:sz w:val="20"/>
                <w:szCs w:val="20"/>
              </w:rPr>
              <w:t>15,754</w:t>
            </w:r>
          </w:p>
        </w:tc>
      </w:tr>
      <w:tr w:rsidR="00E64B1A" w:rsidRPr="00676064" w14:paraId="5F463FA9" w14:textId="77777777" w:rsidTr="54F71CB4">
        <w:trPr>
          <w:jc w:val="center"/>
        </w:trPr>
        <w:tc>
          <w:tcPr>
            <w:tcW w:w="5911" w:type="dxa"/>
          </w:tcPr>
          <w:p w14:paraId="6F401C01"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Other expenses</w:t>
            </w:r>
          </w:p>
        </w:tc>
        <w:tc>
          <w:tcPr>
            <w:tcW w:w="1440" w:type="dxa"/>
          </w:tcPr>
          <w:p w14:paraId="097F4502" w14:textId="51F477C9" w:rsidR="00E64B1A" w:rsidRPr="003061F1" w:rsidRDefault="00FE10BB" w:rsidP="002B369A">
            <w:pPr>
              <w:jc w:val="right"/>
              <w:rPr>
                <w:sz w:val="20"/>
                <w:szCs w:val="20"/>
              </w:rPr>
            </w:pPr>
            <w:r>
              <w:rPr>
                <w:sz w:val="20"/>
                <w:szCs w:val="20"/>
              </w:rPr>
              <w:t>8</w:t>
            </w:r>
          </w:p>
        </w:tc>
        <w:tc>
          <w:tcPr>
            <w:tcW w:w="417" w:type="dxa"/>
          </w:tcPr>
          <w:p w14:paraId="72870DE7" w14:textId="77777777" w:rsidR="00E64B1A" w:rsidRPr="003061F1" w:rsidRDefault="00E64B1A" w:rsidP="00E64B1A">
            <w:pPr>
              <w:jc w:val="right"/>
              <w:rPr>
                <w:sz w:val="20"/>
                <w:szCs w:val="20"/>
              </w:rPr>
            </w:pPr>
          </w:p>
        </w:tc>
        <w:tc>
          <w:tcPr>
            <w:tcW w:w="1245" w:type="dxa"/>
          </w:tcPr>
          <w:p w14:paraId="422D4F41" w14:textId="18B59046" w:rsidR="00E64B1A" w:rsidRPr="003061F1" w:rsidRDefault="000B7C6C" w:rsidP="00E64B1A">
            <w:pPr>
              <w:jc w:val="right"/>
              <w:rPr>
                <w:sz w:val="20"/>
                <w:szCs w:val="20"/>
              </w:rPr>
            </w:pPr>
            <w:r>
              <w:rPr>
                <w:sz w:val="20"/>
                <w:szCs w:val="20"/>
              </w:rPr>
              <w:t>408</w:t>
            </w:r>
          </w:p>
        </w:tc>
      </w:tr>
      <w:tr w:rsidR="00E64B1A" w:rsidRPr="00676064" w14:paraId="056E6FDF" w14:textId="77777777" w:rsidTr="54F71CB4">
        <w:trPr>
          <w:jc w:val="center"/>
        </w:trPr>
        <w:tc>
          <w:tcPr>
            <w:tcW w:w="5911" w:type="dxa"/>
          </w:tcPr>
          <w:p w14:paraId="25052870"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Printing, postage and stationery</w:t>
            </w:r>
          </w:p>
        </w:tc>
        <w:tc>
          <w:tcPr>
            <w:tcW w:w="1440" w:type="dxa"/>
          </w:tcPr>
          <w:p w14:paraId="51ED15B2" w14:textId="145FE45B" w:rsidR="00E64B1A" w:rsidRPr="003061F1" w:rsidRDefault="00FE10BB" w:rsidP="002B369A">
            <w:pPr>
              <w:jc w:val="right"/>
              <w:rPr>
                <w:sz w:val="20"/>
                <w:szCs w:val="20"/>
              </w:rPr>
            </w:pPr>
            <w:r>
              <w:rPr>
                <w:sz w:val="20"/>
                <w:szCs w:val="20"/>
              </w:rPr>
              <w:t>6,</w:t>
            </w:r>
            <w:r w:rsidR="007F37CB">
              <w:rPr>
                <w:sz w:val="20"/>
                <w:szCs w:val="20"/>
              </w:rPr>
              <w:t>077</w:t>
            </w:r>
          </w:p>
        </w:tc>
        <w:tc>
          <w:tcPr>
            <w:tcW w:w="417" w:type="dxa"/>
          </w:tcPr>
          <w:p w14:paraId="0F6632AC" w14:textId="77777777" w:rsidR="00E64B1A" w:rsidRPr="003061F1" w:rsidRDefault="00E64B1A" w:rsidP="00E64B1A">
            <w:pPr>
              <w:jc w:val="right"/>
              <w:rPr>
                <w:sz w:val="20"/>
                <w:szCs w:val="20"/>
              </w:rPr>
            </w:pPr>
          </w:p>
        </w:tc>
        <w:tc>
          <w:tcPr>
            <w:tcW w:w="1245" w:type="dxa"/>
          </w:tcPr>
          <w:p w14:paraId="5EB29E44" w14:textId="5134F0D7" w:rsidR="00E64B1A" w:rsidRPr="003061F1" w:rsidRDefault="000B7C6C" w:rsidP="00E64B1A">
            <w:pPr>
              <w:jc w:val="right"/>
              <w:rPr>
                <w:sz w:val="20"/>
                <w:szCs w:val="20"/>
              </w:rPr>
            </w:pPr>
            <w:r>
              <w:rPr>
                <w:sz w:val="20"/>
                <w:szCs w:val="20"/>
              </w:rPr>
              <w:t>6</w:t>
            </w:r>
            <w:r w:rsidR="00917CB7">
              <w:rPr>
                <w:sz w:val="20"/>
                <w:szCs w:val="20"/>
              </w:rPr>
              <w:t>,9</w:t>
            </w:r>
            <w:r>
              <w:rPr>
                <w:sz w:val="20"/>
                <w:szCs w:val="20"/>
              </w:rPr>
              <w:t>57</w:t>
            </w:r>
          </w:p>
        </w:tc>
      </w:tr>
      <w:tr w:rsidR="00E64B1A" w:rsidRPr="00676064" w14:paraId="3D24BF67" w14:textId="77777777" w:rsidTr="54F71CB4">
        <w:trPr>
          <w:jc w:val="center"/>
        </w:trPr>
        <w:tc>
          <w:tcPr>
            <w:tcW w:w="5911" w:type="dxa"/>
          </w:tcPr>
          <w:p w14:paraId="78C67754" w14:textId="77777777" w:rsidR="00E64B1A" w:rsidRPr="003061F1" w:rsidRDefault="00E64B1A" w:rsidP="00E64B1A">
            <w:pPr>
              <w:rPr>
                <w:sz w:val="20"/>
                <w:szCs w:val="20"/>
              </w:rPr>
            </w:pPr>
            <w:r w:rsidRPr="003061F1">
              <w:rPr>
                <w:rFonts w:cs="Arial"/>
                <w:sz w:val="20"/>
                <w:szCs w:val="20"/>
              </w:rPr>
              <w:t>Professional fees</w:t>
            </w:r>
          </w:p>
        </w:tc>
        <w:tc>
          <w:tcPr>
            <w:tcW w:w="1440" w:type="dxa"/>
          </w:tcPr>
          <w:p w14:paraId="70DCCFFE" w14:textId="088E5C7A" w:rsidR="00E64B1A" w:rsidRPr="003061F1" w:rsidRDefault="007F37CB" w:rsidP="002B369A">
            <w:pPr>
              <w:jc w:val="right"/>
              <w:rPr>
                <w:sz w:val="20"/>
                <w:szCs w:val="20"/>
              </w:rPr>
            </w:pPr>
            <w:r>
              <w:rPr>
                <w:sz w:val="20"/>
                <w:szCs w:val="20"/>
              </w:rPr>
              <w:t>80</w:t>
            </w:r>
            <w:r w:rsidR="00FE10BB">
              <w:rPr>
                <w:sz w:val="20"/>
                <w:szCs w:val="20"/>
              </w:rPr>
              <w:t>,</w:t>
            </w:r>
            <w:r>
              <w:rPr>
                <w:sz w:val="20"/>
                <w:szCs w:val="20"/>
              </w:rPr>
              <w:t>252</w:t>
            </w:r>
          </w:p>
        </w:tc>
        <w:tc>
          <w:tcPr>
            <w:tcW w:w="417" w:type="dxa"/>
          </w:tcPr>
          <w:p w14:paraId="6224347D" w14:textId="77777777" w:rsidR="00E64B1A" w:rsidRPr="003061F1" w:rsidRDefault="00E64B1A" w:rsidP="00E64B1A">
            <w:pPr>
              <w:jc w:val="right"/>
              <w:rPr>
                <w:sz w:val="20"/>
                <w:szCs w:val="20"/>
              </w:rPr>
            </w:pPr>
          </w:p>
        </w:tc>
        <w:tc>
          <w:tcPr>
            <w:tcW w:w="1245" w:type="dxa"/>
          </w:tcPr>
          <w:p w14:paraId="21FE8AEF" w14:textId="7CA72BB8" w:rsidR="00E64B1A" w:rsidRPr="003061F1" w:rsidRDefault="000B7C6C" w:rsidP="00E64B1A">
            <w:pPr>
              <w:jc w:val="right"/>
              <w:rPr>
                <w:sz w:val="20"/>
                <w:szCs w:val="20"/>
              </w:rPr>
            </w:pPr>
            <w:r>
              <w:rPr>
                <w:sz w:val="20"/>
                <w:szCs w:val="20"/>
              </w:rPr>
              <w:t>46</w:t>
            </w:r>
            <w:r w:rsidR="00917CB7">
              <w:rPr>
                <w:sz w:val="20"/>
                <w:szCs w:val="20"/>
              </w:rPr>
              <w:t>,</w:t>
            </w:r>
            <w:r>
              <w:rPr>
                <w:sz w:val="20"/>
                <w:szCs w:val="20"/>
              </w:rPr>
              <w:t>877</w:t>
            </w:r>
          </w:p>
        </w:tc>
      </w:tr>
      <w:tr w:rsidR="00E64B1A" w:rsidRPr="00676064" w14:paraId="359203F3" w14:textId="77777777" w:rsidTr="54F71CB4">
        <w:trPr>
          <w:jc w:val="center"/>
        </w:trPr>
        <w:tc>
          <w:tcPr>
            <w:tcW w:w="5911" w:type="dxa"/>
          </w:tcPr>
          <w:p w14:paraId="45CF9E52" w14:textId="46D2B0AE"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Rates</w:t>
            </w:r>
            <w:r w:rsidRPr="003061F1">
              <w:rPr>
                <w:rFonts w:cs="Arial"/>
                <w:sz w:val="20"/>
                <w:szCs w:val="20"/>
              </w:rPr>
              <w:tab/>
            </w:r>
          </w:p>
        </w:tc>
        <w:tc>
          <w:tcPr>
            <w:tcW w:w="1440" w:type="dxa"/>
          </w:tcPr>
          <w:p w14:paraId="48F989B4" w14:textId="476E8AF4" w:rsidR="00E64B1A" w:rsidRPr="003061F1" w:rsidRDefault="007F37CB" w:rsidP="002B369A">
            <w:pPr>
              <w:jc w:val="right"/>
              <w:rPr>
                <w:sz w:val="20"/>
                <w:szCs w:val="20"/>
              </w:rPr>
            </w:pPr>
            <w:r>
              <w:rPr>
                <w:sz w:val="20"/>
                <w:szCs w:val="20"/>
              </w:rPr>
              <w:t>32</w:t>
            </w:r>
            <w:r w:rsidR="00FE10BB">
              <w:rPr>
                <w:sz w:val="20"/>
                <w:szCs w:val="20"/>
              </w:rPr>
              <w:t>,8</w:t>
            </w:r>
            <w:r>
              <w:rPr>
                <w:sz w:val="20"/>
                <w:szCs w:val="20"/>
              </w:rPr>
              <w:t>04</w:t>
            </w:r>
          </w:p>
        </w:tc>
        <w:tc>
          <w:tcPr>
            <w:tcW w:w="417" w:type="dxa"/>
          </w:tcPr>
          <w:p w14:paraId="28249708" w14:textId="77777777" w:rsidR="00E64B1A" w:rsidRPr="003061F1" w:rsidRDefault="00E64B1A" w:rsidP="00E64B1A">
            <w:pPr>
              <w:jc w:val="right"/>
              <w:rPr>
                <w:sz w:val="20"/>
                <w:szCs w:val="20"/>
              </w:rPr>
            </w:pPr>
          </w:p>
        </w:tc>
        <w:tc>
          <w:tcPr>
            <w:tcW w:w="1245" w:type="dxa"/>
          </w:tcPr>
          <w:p w14:paraId="1EC2E32D" w14:textId="00A8E371" w:rsidR="00E64B1A" w:rsidRPr="003061F1" w:rsidRDefault="000B7C6C" w:rsidP="00E64B1A">
            <w:pPr>
              <w:jc w:val="right"/>
              <w:rPr>
                <w:sz w:val="20"/>
                <w:szCs w:val="20"/>
              </w:rPr>
            </w:pPr>
            <w:r>
              <w:rPr>
                <w:sz w:val="20"/>
                <w:szCs w:val="20"/>
              </w:rPr>
              <w:t>22</w:t>
            </w:r>
            <w:r w:rsidR="00917CB7">
              <w:rPr>
                <w:sz w:val="20"/>
                <w:szCs w:val="20"/>
              </w:rPr>
              <w:t>,</w:t>
            </w:r>
            <w:r>
              <w:rPr>
                <w:sz w:val="20"/>
                <w:szCs w:val="20"/>
              </w:rPr>
              <w:t>817</w:t>
            </w:r>
          </w:p>
        </w:tc>
      </w:tr>
      <w:tr w:rsidR="00E64B1A" w:rsidRPr="00676064" w14:paraId="4B1A0F4E" w14:textId="77777777" w:rsidTr="54F71CB4">
        <w:trPr>
          <w:jc w:val="center"/>
        </w:trPr>
        <w:tc>
          <w:tcPr>
            <w:tcW w:w="5911" w:type="dxa"/>
          </w:tcPr>
          <w:p w14:paraId="47BA6FCD" w14:textId="77777777" w:rsidR="00E64B1A" w:rsidRPr="003061F1" w:rsidRDefault="00E64B1A" w:rsidP="00E64B1A">
            <w:pPr>
              <w:rPr>
                <w:sz w:val="20"/>
                <w:szCs w:val="20"/>
              </w:rPr>
            </w:pPr>
            <w:r w:rsidRPr="003061F1">
              <w:rPr>
                <w:rFonts w:cs="Arial"/>
                <w:sz w:val="20"/>
                <w:szCs w:val="20"/>
              </w:rPr>
              <w:t>Staff training and recruitment</w:t>
            </w:r>
          </w:p>
        </w:tc>
        <w:tc>
          <w:tcPr>
            <w:tcW w:w="1440" w:type="dxa"/>
          </w:tcPr>
          <w:p w14:paraId="565FEE9A" w14:textId="203C6B24" w:rsidR="00E64B1A" w:rsidRPr="003061F1" w:rsidRDefault="007F37CB" w:rsidP="002B369A">
            <w:pPr>
              <w:jc w:val="right"/>
              <w:rPr>
                <w:sz w:val="20"/>
                <w:szCs w:val="20"/>
              </w:rPr>
            </w:pPr>
            <w:r>
              <w:rPr>
                <w:sz w:val="20"/>
                <w:szCs w:val="20"/>
              </w:rPr>
              <w:t>18</w:t>
            </w:r>
            <w:r w:rsidR="00FE10BB">
              <w:rPr>
                <w:sz w:val="20"/>
                <w:szCs w:val="20"/>
              </w:rPr>
              <w:t>,</w:t>
            </w:r>
            <w:r>
              <w:rPr>
                <w:sz w:val="20"/>
                <w:szCs w:val="20"/>
              </w:rPr>
              <w:t>891</w:t>
            </w:r>
          </w:p>
        </w:tc>
        <w:tc>
          <w:tcPr>
            <w:tcW w:w="417" w:type="dxa"/>
          </w:tcPr>
          <w:p w14:paraId="39516FB3" w14:textId="77777777" w:rsidR="00E64B1A" w:rsidRPr="003061F1" w:rsidRDefault="00E64B1A" w:rsidP="00E64B1A">
            <w:pPr>
              <w:jc w:val="right"/>
              <w:rPr>
                <w:sz w:val="20"/>
                <w:szCs w:val="20"/>
              </w:rPr>
            </w:pPr>
          </w:p>
        </w:tc>
        <w:tc>
          <w:tcPr>
            <w:tcW w:w="1245" w:type="dxa"/>
          </w:tcPr>
          <w:p w14:paraId="0436F322" w14:textId="0A83B5B2" w:rsidR="00E64B1A" w:rsidRPr="003061F1" w:rsidRDefault="00917CB7" w:rsidP="00E64B1A">
            <w:pPr>
              <w:jc w:val="right"/>
              <w:rPr>
                <w:sz w:val="20"/>
                <w:szCs w:val="20"/>
              </w:rPr>
            </w:pPr>
            <w:r>
              <w:rPr>
                <w:sz w:val="20"/>
                <w:szCs w:val="20"/>
              </w:rPr>
              <w:t>3</w:t>
            </w:r>
            <w:r w:rsidR="000B7C6C">
              <w:rPr>
                <w:sz w:val="20"/>
                <w:szCs w:val="20"/>
              </w:rPr>
              <w:t>5</w:t>
            </w:r>
            <w:r>
              <w:rPr>
                <w:sz w:val="20"/>
                <w:szCs w:val="20"/>
              </w:rPr>
              <w:t>,</w:t>
            </w:r>
            <w:r w:rsidR="000B7C6C">
              <w:rPr>
                <w:sz w:val="20"/>
                <w:szCs w:val="20"/>
              </w:rPr>
              <w:t>756</w:t>
            </w:r>
          </w:p>
        </w:tc>
      </w:tr>
      <w:tr w:rsidR="00E64B1A" w:rsidRPr="00676064" w14:paraId="5FA7AA89" w14:textId="77777777" w:rsidTr="54F71CB4">
        <w:trPr>
          <w:jc w:val="center"/>
        </w:trPr>
        <w:tc>
          <w:tcPr>
            <w:tcW w:w="5911" w:type="dxa"/>
          </w:tcPr>
          <w:p w14:paraId="41CA06C4" w14:textId="77777777"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Telephone</w:t>
            </w:r>
          </w:p>
        </w:tc>
        <w:tc>
          <w:tcPr>
            <w:tcW w:w="1440" w:type="dxa"/>
          </w:tcPr>
          <w:p w14:paraId="7E726876" w14:textId="64CFFAFD" w:rsidR="00E64B1A" w:rsidRPr="003061F1" w:rsidRDefault="002B369A" w:rsidP="002B369A">
            <w:pPr>
              <w:jc w:val="right"/>
              <w:rPr>
                <w:sz w:val="20"/>
                <w:szCs w:val="20"/>
              </w:rPr>
            </w:pPr>
            <w:r>
              <w:rPr>
                <w:sz w:val="20"/>
                <w:szCs w:val="20"/>
              </w:rPr>
              <w:t>1</w:t>
            </w:r>
            <w:r w:rsidR="007F37CB">
              <w:rPr>
                <w:sz w:val="20"/>
                <w:szCs w:val="20"/>
              </w:rPr>
              <w:t>4</w:t>
            </w:r>
            <w:r w:rsidR="00FE10BB">
              <w:rPr>
                <w:sz w:val="20"/>
                <w:szCs w:val="20"/>
              </w:rPr>
              <w:t>,</w:t>
            </w:r>
            <w:r w:rsidR="007F37CB">
              <w:rPr>
                <w:sz w:val="20"/>
                <w:szCs w:val="20"/>
              </w:rPr>
              <w:t>110</w:t>
            </w:r>
          </w:p>
        </w:tc>
        <w:tc>
          <w:tcPr>
            <w:tcW w:w="417" w:type="dxa"/>
          </w:tcPr>
          <w:p w14:paraId="061E8037" w14:textId="77777777" w:rsidR="00E64B1A" w:rsidRPr="003061F1" w:rsidRDefault="00E64B1A" w:rsidP="00E64B1A">
            <w:pPr>
              <w:jc w:val="right"/>
              <w:rPr>
                <w:sz w:val="20"/>
                <w:szCs w:val="20"/>
              </w:rPr>
            </w:pPr>
          </w:p>
        </w:tc>
        <w:tc>
          <w:tcPr>
            <w:tcW w:w="1245" w:type="dxa"/>
          </w:tcPr>
          <w:p w14:paraId="5B296F82" w14:textId="3C17B10F" w:rsidR="00E64B1A" w:rsidRPr="003061F1" w:rsidRDefault="00917CB7" w:rsidP="00E64B1A">
            <w:pPr>
              <w:jc w:val="right"/>
              <w:rPr>
                <w:sz w:val="20"/>
                <w:szCs w:val="20"/>
              </w:rPr>
            </w:pPr>
            <w:r>
              <w:rPr>
                <w:sz w:val="20"/>
                <w:szCs w:val="20"/>
              </w:rPr>
              <w:t>1</w:t>
            </w:r>
            <w:r w:rsidR="000B7C6C">
              <w:rPr>
                <w:sz w:val="20"/>
                <w:szCs w:val="20"/>
              </w:rPr>
              <w:t>5</w:t>
            </w:r>
            <w:r>
              <w:rPr>
                <w:sz w:val="20"/>
                <w:szCs w:val="20"/>
              </w:rPr>
              <w:t>,</w:t>
            </w:r>
            <w:r w:rsidR="000B7C6C">
              <w:rPr>
                <w:sz w:val="20"/>
                <w:szCs w:val="20"/>
              </w:rPr>
              <w:t>022</w:t>
            </w:r>
          </w:p>
        </w:tc>
      </w:tr>
      <w:tr w:rsidR="00E64B1A" w:rsidRPr="00676064" w14:paraId="6CBBA8A7" w14:textId="77777777" w:rsidTr="54F71CB4">
        <w:trPr>
          <w:jc w:val="center"/>
        </w:trPr>
        <w:tc>
          <w:tcPr>
            <w:tcW w:w="5911" w:type="dxa"/>
          </w:tcPr>
          <w:p w14:paraId="3E464195" w14:textId="77777777" w:rsidR="00E64B1A" w:rsidRPr="003061F1" w:rsidRDefault="00E64B1A" w:rsidP="00E64B1A">
            <w:pPr>
              <w:rPr>
                <w:sz w:val="20"/>
                <w:szCs w:val="20"/>
              </w:rPr>
            </w:pPr>
            <w:r w:rsidRPr="003061F1">
              <w:rPr>
                <w:rFonts w:cs="Arial"/>
                <w:sz w:val="20"/>
                <w:szCs w:val="20"/>
              </w:rPr>
              <w:t>Travel, subsistence and hospitality</w:t>
            </w:r>
          </w:p>
        </w:tc>
        <w:tc>
          <w:tcPr>
            <w:tcW w:w="1440" w:type="dxa"/>
          </w:tcPr>
          <w:p w14:paraId="284EB59D" w14:textId="09B7A3B5" w:rsidR="00E64B1A" w:rsidRPr="003061F1" w:rsidRDefault="007F37CB" w:rsidP="002B369A">
            <w:pPr>
              <w:jc w:val="right"/>
              <w:rPr>
                <w:sz w:val="20"/>
                <w:szCs w:val="20"/>
              </w:rPr>
            </w:pPr>
            <w:r>
              <w:rPr>
                <w:sz w:val="20"/>
                <w:szCs w:val="20"/>
              </w:rPr>
              <w:t>41</w:t>
            </w:r>
            <w:r w:rsidR="00FE10BB">
              <w:rPr>
                <w:sz w:val="20"/>
                <w:szCs w:val="20"/>
              </w:rPr>
              <w:t>,</w:t>
            </w:r>
            <w:r>
              <w:rPr>
                <w:sz w:val="20"/>
                <w:szCs w:val="20"/>
              </w:rPr>
              <w:t>497</w:t>
            </w:r>
          </w:p>
        </w:tc>
        <w:tc>
          <w:tcPr>
            <w:tcW w:w="417" w:type="dxa"/>
          </w:tcPr>
          <w:p w14:paraId="6E9A229F" w14:textId="77777777" w:rsidR="00E64B1A" w:rsidRPr="003061F1" w:rsidRDefault="00E64B1A" w:rsidP="00E64B1A">
            <w:pPr>
              <w:jc w:val="right"/>
              <w:rPr>
                <w:sz w:val="20"/>
                <w:szCs w:val="20"/>
              </w:rPr>
            </w:pPr>
          </w:p>
        </w:tc>
        <w:tc>
          <w:tcPr>
            <w:tcW w:w="1245" w:type="dxa"/>
          </w:tcPr>
          <w:p w14:paraId="2A2F1EC1" w14:textId="7BF7669A" w:rsidR="00E64B1A" w:rsidRPr="003061F1" w:rsidRDefault="000B7C6C" w:rsidP="00E64B1A">
            <w:pPr>
              <w:jc w:val="right"/>
              <w:rPr>
                <w:sz w:val="20"/>
                <w:szCs w:val="20"/>
              </w:rPr>
            </w:pPr>
            <w:r>
              <w:rPr>
                <w:sz w:val="20"/>
                <w:szCs w:val="20"/>
              </w:rPr>
              <w:t>36</w:t>
            </w:r>
            <w:r w:rsidR="00917CB7">
              <w:rPr>
                <w:sz w:val="20"/>
                <w:szCs w:val="20"/>
              </w:rPr>
              <w:t>,</w:t>
            </w:r>
            <w:r>
              <w:rPr>
                <w:sz w:val="20"/>
                <w:szCs w:val="20"/>
              </w:rPr>
              <w:t>881</w:t>
            </w:r>
          </w:p>
        </w:tc>
      </w:tr>
      <w:tr w:rsidR="00E64B1A" w:rsidRPr="00676064" w14:paraId="3084E04F" w14:textId="77777777" w:rsidTr="54F71CB4">
        <w:trPr>
          <w:trHeight w:val="397"/>
          <w:jc w:val="center"/>
        </w:trPr>
        <w:tc>
          <w:tcPr>
            <w:tcW w:w="5911" w:type="dxa"/>
            <w:vAlign w:val="center"/>
          </w:tcPr>
          <w:p w14:paraId="76420700" w14:textId="77777777" w:rsidR="00E64B1A" w:rsidRPr="003061F1" w:rsidRDefault="00E64B1A" w:rsidP="00E64B1A">
            <w:pPr>
              <w:rPr>
                <w:rFonts w:cs="Arial"/>
                <w:sz w:val="20"/>
                <w:szCs w:val="20"/>
              </w:rPr>
            </w:pPr>
          </w:p>
        </w:tc>
        <w:tc>
          <w:tcPr>
            <w:tcW w:w="1440" w:type="dxa"/>
            <w:tcBorders>
              <w:top w:val="single" w:sz="4" w:space="0" w:color="auto"/>
            </w:tcBorders>
            <w:vAlign w:val="center"/>
          </w:tcPr>
          <w:p w14:paraId="5E138069" w14:textId="035B2123" w:rsidR="00E64B1A" w:rsidRPr="003061F1" w:rsidRDefault="006321A7" w:rsidP="00E64B1A">
            <w:pPr>
              <w:jc w:val="right"/>
              <w:rPr>
                <w:rFonts w:cs="Arial"/>
                <w:sz w:val="20"/>
                <w:szCs w:val="20"/>
              </w:rPr>
            </w:pPr>
            <w:r w:rsidRPr="00273286">
              <w:rPr>
                <w:rFonts w:cs="Arial"/>
                <w:sz w:val="20"/>
                <w:szCs w:val="20"/>
              </w:rPr>
              <w:t>6</w:t>
            </w:r>
            <w:r w:rsidR="007F37CB" w:rsidRPr="00273286">
              <w:rPr>
                <w:rFonts w:cs="Arial"/>
                <w:sz w:val="20"/>
                <w:szCs w:val="20"/>
              </w:rPr>
              <w:t>71</w:t>
            </w:r>
            <w:r w:rsidR="008D01FB" w:rsidRPr="00273286">
              <w:rPr>
                <w:rFonts w:cs="Arial"/>
                <w:sz w:val="20"/>
                <w:szCs w:val="20"/>
              </w:rPr>
              <w:t>,</w:t>
            </w:r>
            <w:r w:rsidR="007F37CB" w:rsidRPr="00273286">
              <w:rPr>
                <w:rFonts w:cs="Arial"/>
                <w:sz w:val="20"/>
                <w:szCs w:val="20"/>
              </w:rPr>
              <w:t>686</w:t>
            </w:r>
          </w:p>
        </w:tc>
        <w:tc>
          <w:tcPr>
            <w:tcW w:w="417" w:type="dxa"/>
            <w:vAlign w:val="center"/>
          </w:tcPr>
          <w:p w14:paraId="2D322E43" w14:textId="77777777" w:rsidR="00E64B1A" w:rsidRPr="003061F1" w:rsidRDefault="00E64B1A" w:rsidP="00E64B1A">
            <w:pPr>
              <w:jc w:val="right"/>
              <w:rPr>
                <w:sz w:val="20"/>
                <w:szCs w:val="20"/>
              </w:rPr>
            </w:pPr>
          </w:p>
        </w:tc>
        <w:tc>
          <w:tcPr>
            <w:tcW w:w="1245" w:type="dxa"/>
            <w:tcBorders>
              <w:top w:val="single" w:sz="4" w:space="0" w:color="auto"/>
            </w:tcBorders>
            <w:vAlign w:val="center"/>
          </w:tcPr>
          <w:p w14:paraId="79258C50" w14:textId="529190FF" w:rsidR="00E64B1A" w:rsidRPr="003061F1" w:rsidRDefault="00917CB7" w:rsidP="00E64B1A">
            <w:pPr>
              <w:jc w:val="right"/>
              <w:rPr>
                <w:rFonts w:cs="Arial"/>
                <w:sz w:val="20"/>
                <w:szCs w:val="20"/>
              </w:rPr>
            </w:pPr>
            <w:r>
              <w:rPr>
                <w:rFonts w:cs="Arial"/>
                <w:sz w:val="20"/>
                <w:szCs w:val="20"/>
              </w:rPr>
              <w:t>6</w:t>
            </w:r>
            <w:r w:rsidR="000B7C6C">
              <w:rPr>
                <w:rFonts w:cs="Arial"/>
                <w:sz w:val="20"/>
                <w:szCs w:val="20"/>
              </w:rPr>
              <w:t>35</w:t>
            </w:r>
            <w:r>
              <w:rPr>
                <w:rFonts w:cs="Arial"/>
                <w:sz w:val="20"/>
                <w:szCs w:val="20"/>
              </w:rPr>
              <w:t>,</w:t>
            </w:r>
            <w:r w:rsidR="003A4468">
              <w:rPr>
                <w:rFonts w:cs="Arial"/>
                <w:sz w:val="20"/>
                <w:szCs w:val="20"/>
              </w:rPr>
              <w:t>581</w:t>
            </w:r>
          </w:p>
        </w:tc>
      </w:tr>
      <w:tr w:rsidR="00E64B1A" w:rsidRPr="00676064" w14:paraId="644F517A" w14:textId="77777777" w:rsidTr="54F71CB4">
        <w:trPr>
          <w:jc w:val="center"/>
        </w:trPr>
        <w:tc>
          <w:tcPr>
            <w:tcW w:w="5911" w:type="dxa"/>
          </w:tcPr>
          <w:p w14:paraId="749E0B4A" w14:textId="77777777" w:rsidR="00E64B1A" w:rsidRPr="003061F1" w:rsidRDefault="00E64B1A" w:rsidP="00E64B1A">
            <w:pPr>
              <w:rPr>
                <w:rFonts w:cs="Arial"/>
                <w:sz w:val="20"/>
                <w:szCs w:val="20"/>
              </w:rPr>
            </w:pPr>
          </w:p>
        </w:tc>
        <w:tc>
          <w:tcPr>
            <w:tcW w:w="1440" w:type="dxa"/>
          </w:tcPr>
          <w:p w14:paraId="6E2418DB" w14:textId="77777777" w:rsidR="00E64B1A" w:rsidRPr="003061F1" w:rsidRDefault="00E64B1A" w:rsidP="00E64B1A">
            <w:pPr>
              <w:jc w:val="right"/>
              <w:rPr>
                <w:rFonts w:cs="Arial"/>
                <w:sz w:val="20"/>
                <w:szCs w:val="20"/>
              </w:rPr>
            </w:pPr>
          </w:p>
        </w:tc>
        <w:tc>
          <w:tcPr>
            <w:tcW w:w="417" w:type="dxa"/>
          </w:tcPr>
          <w:p w14:paraId="79DA76E0" w14:textId="77777777" w:rsidR="00E64B1A" w:rsidRPr="003061F1" w:rsidRDefault="00E64B1A" w:rsidP="00E64B1A">
            <w:pPr>
              <w:jc w:val="right"/>
              <w:rPr>
                <w:sz w:val="20"/>
                <w:szCs w:val="20"/>
              </w:rPr>
            </w:pPr>
          </w:p>
        </w:tc>
        <w:tc>
          <w:tcPr>
            <w:tcW w:w="1245" w:type="dxa"/>
          </w:tcPr>
          <w:p w14:paraId="4D0F702D" w14:textId="77777777" w:rsidR="00E64B1A" w:rsidRPr="003061F1" w:rsidRDefault="00E64B1A" w:rsidP="00E64B1A">
            <w:pPr>
              <w:jc w:val="right"/>
              <w:rPr>
                <w:rFonts w:cs="Arial"/>
                <w:sz w:val="20"/>
                <w:szCs w:val="20"/>
              </w:rPr>
            </w:pPr>
          </w:p>
        </w:tc>
      </w:tr>
      <w:tr w:rsidR="00FE10BB" w:rsidRPr="00676064" w14:paraId="2057B8D3" w14:textId="77777777" w:rsidTr="54F71CB4">
        <w:trPr>
          <w:jc w:val="center"/>
        </w:trPr>
        <w:tc>
          <w:tcPr>
            <w:tcW w:w="5911" w:type="dxa"/>
          </w:tcPr>
          <w:p w14:paraId="4AFE9196" w14:textId="1292197D" w:rsidR="00FE10BB" w:rsidRPr="00FE10BB" w:rsidRDefault="00FE10BB" w:rsidP="00E64B1A">
            <w:pPr>
              <w:rPr>
                <w:rFonts w:cs="Arial"/>
                <w:b/>
                <w:bCs/>
                <w:sz w:val="20"/>
                <w:szCs w:val="20"/>
              </w:rPr>
            </w:pPr>
            <w:r>
              <w:rPr>
                <w:rFonts w:cs="Arial"/>
                <w:b/>
                <w:bCs/>
                <w:sz w:val="20"/>
                <w:szCs w:val="20"/>
              </w:rPr>
              <w:t>Finance Costs</w:t>
            </w:r>
          </w:p>
        </w:tc>
        <w:tc>
          <w:tcPr>
            <w:tcW w:w="1440" w:type="dxa"/>
          </w:tcPr>
          <w:p w14:paraId="2323FAE4" w14:textId="77777777" w:rsidR="00FE10BB" w:rsidRPr="003061F1" w:rsidRDefault="00FE10BB" w:rsidP="00E64B1A">
            <w:pPr>
              <w:jc w:val="right"/>
              <w:rPr>
                <w:rFonts w:cs="Arial"/>
                <w:sz w:val="20"/>
                <w:szCs w:val="20"/>
              </w:rPr>
            </w:pPr>
          </w:p>
        </w:tc>
        <w:tc>
          <w:tcPr>
            <w:tcW w:w="417" w:type="dxa"/>
          </w:tcPr>
          <w:p w14:paraId="365CB6AC" w14:textId="77777777" w:rsidR="00FE10BB" w:rsidRPr="003061F1" w:rsidRDefault="00FE10BB" w:rsidP="00E64B1A">
            <w:pPr>
              <w:jc w:val="right"/>
              <w:rPr>
                <w:sz w:val="20"/>
                <w:szCs w:val="20"/>
              </w:rPr>
            </w:pPr>
          </w:p>
        </w:tc>
        <w:tc>
          <w:tcPr>
            <w:tcW w:w="1245" w:type="dxa"/>
          </w:tcPr>
          <w:p w14:paraId="1DD8C704" w14:textId="77777777" w:rsidR="00FE10BB" w:rsidRPr="003061F1" w:rsidRDefault="00FE10BB" w:rsidP="00E64B1A">
            <w:pPr>
              <w:jc w:val="right"/>
              <w:rPr>
                <w:rFonts w:cs="Arial"/>
                <w:sz w:val="20"/>
                <w:szCs w:val="20"/>
              </w:rPr>
            </w:pPr>
          </w:p>
        </w:tc>
      </w:tr>
      <w:tr w:rsidR="00FE10BB" w:rsidRPr="00676064" w14:paraId="4A0CDB33" w14:textId="77777777" w:rsidTr="54F71CB4">
        <w:trPr>
          <w:jc w:val="center"/>
        </w:trPr>
        <w:tc>
          <w:tcPr>
            <w:tcW w:w="5911" w:type="dxa"/>
          </w:tcPr>
          <w:p w14:paraId="7B272BCE" w14:textId="7541201F" w:rsidR="00FE10BB" w:rsidRPr="003061F1" w:rsidRDefault="00FE10BB" w:rsidP="00E64B1A">
            <w:pPr>
              <w:rPr>
                <w:rFonts w:cs="Arial"/>
                <w:sz w:val="20"/>
                <w:szCs w:val="20"/>
              </w:rPr>
            </w:pPr>
            <w:r>
              <w:rPr>
                <w:rFonts w:cs="Arial"/>
                <w:sz w:val="20"/>
                <w:szCs w:val="20"/>
              </w:rPr>
              <w:t>Interest Expense</w:t>
            </w:r>
          </w:p>
        </w:tc>
        <w:tc>
          <w:tcPr>
            <w:tcW w:w="1440" w:type="dxa"/>
            <w:tcBorders>
              <w:bottom w:val="single" w:sz="4" w:space="0" w:color="auto"/>
            </w:tcBorders>
          </w:tcPr>
          <w:p w14:paraId="28C86E61" w14:textId="6C801898" w:rsidR="006C0AAA" w:rsidRPr="003061F1" w:rsidRDefault="007F37CB" w:rsidP="006C0AAA">
            <w:pPr>
              <w:jc w:val="right"/>
              <w:rPr>
                <w:rFonts w:cs="Arial"/>
                <w:sz w:val="20"/>
                <w:szCs w:val="20"/>
              </w:rPr>
            </w:pPr>
            <w:r>
              <w:rPr>
                <w:rFonts w:cs="Arial"/>
                <w:sz w:val="20"/>
                <w:szCs w:val="20"/>
              </w:rPr>
              <w:t>6</w:t>
            </w:r>
            <w:r w:rsidR="008D01FB">
              <w:rPr>
                <w:rFonts w:cs="Arial"/>
                <w:sz w:val="20"/>
                <w:szCs w:val="20"/>
              </w:rPr>
              <w:t>,</w:t>
            </w:r>
            <w:r>
              <w:rPr>
                <w:rFonts w:cs="Arial"/>
                <w:sz w:val="20"/>
                <w:szCs w:val="20"/>
              </w:rPr>
              <w:t>651</w:t>
            </w:r>
          </w:p>
        </w:tc>
        <w:tc>
          <w:tcPr>
            <w:tcW w:w="417" w:type="dxa"/>
          </w:tcPr>
          <w:p w14:paraId="2C3F527C" w14:textId="77777777" w:rsidR="00FE10BB" w:rsidRPr="003061F1" w:rsidRDefault="00FE10BB" w:rsidP="00E64B1A">
            <w:pPr>
              <w:jc w:val="right"/>
              <w:rPr>
                <w:sz w:val="20"/>
                <w:szCs w:val="20"/>
              </w:rPr>
            </w:pPr>
          </w:p>
        </w:tc>
        <w:tc>
          <w:tcPr>
            <w:tcW w:w="1245" w:type="dxa"/>
            <w:tcBorders>
              <w:bottom w:val="single" w:sz="4" w:space="0" w:color="auto"/>
            </w:tcBorders>
          </w:tcPr>
          <w:p w14:paraId="144C3152" w14:textId="35BAAC90" w:rsidR="00FE10BB" w:rsidRPr="003061F1" w:rsidRDefault="000B7C6C" w:rsidP="00E64B1A">
            <w:pPr>
              <w:jc w:val="right"/>
              <w:rPr>
                <w:rFonts w:cs="Arial"/>
                <w:sz w:val="20"/>
                <w:szCs w:val="20"/>
              </w:rPr>
            </w:pPr>
            <w:r>
              <w:rPr>
                <w:rFonts w:cs="Arial"/>
                <w:sz w:val="20"/>
                <w:szCs w:val="20"/>
              </w:rPr>
              <w:t>7,568</w:t>
            </w:r>
          </w:p>
        </w:tc>
      </w:tr>
      <w:tr w:rsidR="00FE10BB" w:rsidRPr="00676064" w14:paraId="5A3F0478" w14:textId="77777777" w:rsidTr="54F71CB4">
        <w:trPr>
          <w:jc w:val="center"/>
        </w:trPr>
        <w:tc>
          <w:tcPr>
            <w:tcW w:w="5911" w:type="dxa"/>
          </w:tcPr>
          <w:p w14:paraId="48F0C23F" w14:textId="77777777" w:rsidR="00FE10BB" w:rsidRPr="003061F1" w:rsidRDefault="00FE10BB" w:rsidP="00E64B1A">
            <w:pPr>
              <w:rPr>
                <w:rFonts w:cs="Arial"/>
                <w:sz w:val="20"/>
                <w:szCs w:val="20"/>
              </w:rPr>
            </w:pPr>
          </w:p>
        </w:tc>
        <w:tc>
          <w:tcPr>
            <w:tcW w:w="1440" w:type="dxa"/>
            <w:tcBorders>
              <w:top w:val="single" w:sz="4" w:space="0" w:color="auto"/>
            </w:tcBorders>
          </w:tcPr>
          <w:p w14:paraId="5758CB18" w14:textId="1BD805FF" w:rsidR="00FE10BB" w:rsidRPr="003061F1" w:rsidRDefault="00FE10BB" w:rsidP="00E64B1A">
            <w:pPr>
              <w:jc w:val="right"/>
              <w:rPr>
                <w:rFonts w:cs="Arial"/>
                <w:sz w:val="20"/>
                <w:szCs w:val="20"/>
              </w:rPr>
            </w:pPr>
            <w:r>
              <w:rPr>
                <w:rFonts w:cs="Arial"/>
                <w:sz w:val="20"/>
                <w:szCs w:val="20"/>
              </w:rPr>
              <w:t>6</w:t>
            </w:r>
            <w:r w:rsidR="007F37CB">
              <w:rPr>
                <w:rFonts w:cs="Arial"/>
                <w:sz w:val="20"/>
                <w:szCs w:val="20"/>
              </w:rPr>
              <w:t>78</w:t>
            </w:r>
            <w:r w:rsidR="008D01FB">
              <w:rPr>
                <w:rFonts w:cs="Arial"/>
                <w:sz w:val="20"/>
                <w:szCs w:val="20"/>
              </w:rPr>
              <w:t>,</w:t>
            </w:r>
            <w:r w:rsidR="007F37CB">
              <w:rPr>
                <w:rFonts w:cs="Arial"/>
                <w:sz w:val="20"/>
                <w:szCs w:val="20"/>
              </w:rPr>
              <w:t>337</w:t>
            </w:r>
          </w:p>
        </w:tc>
        <w:tc>
          <w:tcPr>
            <w:tcW w:w="417" w:type="dxa"/>
          </w:tcPr>
          <w:p w14:paraId="04743A41" w14:textId="77777777" w:rsidR="00FE10BB" w:rsidRPr="003061F1" w:rsidRDefault="00FE10BB" w:rsidP="00E64B1A">
            <w:pPr>
              <w:jc w:val="right"/>
              <w:rPr>
                <w:sz w:val="20"/>
                <w:szCs w:val="20"/>
              </w:rPr>
            </w:pPr>
          </w:p>
        </w:tc>
        <w:tc>
          <w:tcPr>
            <w:tcW w:w="1245" w:type="dxa"/>
            <w:tcBorders>
              <w:top w:val="single" w:sz="4" w:space="0" w:color="auto"/>
            </w:tcBorders>
          </w:tcPr>
          <w:p w14:paraId="79EB7D9E" w14:textId="49717DBA" w:rsidR="00FE10BB" w:rsidRPr="003061F1" w:rsidRDefault="006C0AAA" w:rsidP="00E64B1A">
            <w:pPr>
              <w:jc w:val="right"/>
              <w:rPr>
                <w:rFonts w:cs="Arial"/>
                <w:sz w:val="20"/>
                <w:szCs w:val="20"/>
              </w:rPr>
            </w:pPr>
            <w:r>
              <w:rPr>
                <w:rFonts w:cs="Arial"/>
                <w:sz w:val="20"/>
                <w:szCs w:val="20"/>
              </w:rPr>
              <w:t>6</w:t>
            </w:r>
            <w:r w:rsidR="000B7C6C">
              <w:rPr>
                <w:rFonts w:cs="Arial"/>
                <w:sz w:val="20"/>
                <w:szCs w:val="20"/>
              </w:rPr>
              <w:t>43</w:t>
            </w:r>
            <w:r>
              <w:rPr>
                <w:rFonts w:cs="Arial"/>
                <w:sz w:val="20"/>
                <w:szCs w:val="20"/>
              </w:rPr>
              <w:t>,</w:t>
            </w:r>
            <w:r w:rsidR="000B7C6C">
              <w:rPr>
                <w:rFonts w:cs="Arial"/>
                <w:sz w:val="20"/>
                <w:szCs w:val="20"/>
              </w:rPr>
              <w:t>14</w:t>
            </w:r>
            <w:r>
              <w:rPr>
                <w:rFonts w:cs="Arial"/>
                <w:sz w:val="20"/>
                <w:szCs w:val="20"/>
              </w:rPr>
              <w:t>9</w:t>
            </w:r>
          </w:p>
        </w:tc>
      </w:tr>
      <w:tr w:rsidR="00FE10BB" w:rsidRPr="00676064" w14:paraId="7E1EAA9D" w14:textId="77777777" w:rsidTr="54F71CB4">
        <w:trPr>
          <w:jc w:val="center"/>
        </w:trPr>
        <w:tc>
          <w:tcPr>
            <w:tcW w:w="5911" w:type="dxa"/>
          </w:tcPr>
          <w:p w14:paraId="377FB746" w14:textId="77777777" w:rsidR="00FE10BB" w:rsidRPr="003061F1" w:rsidRDefault="00FE10BB" w:rsidP="00E64B1A">
            <w:pPr>
              <w:rPr>
                <w:rFonts w:cs="Arial"/>
                <w:sz w:val="20"/>
                <w:szCs w:val="20"/>
              </w:rPr>
            </w:pPr>
          </w:p>
        </w:tc>
        <w:tc>
          <w:tcPr>
            <w:tcW w:w="1440" w:type="dxa"/>
          </w:tcPr>
          <w:p w14:paraId="39A6B905" w14:textId="77777777" w:rsidR="00FE10BB" w:rsidRPr="003061F1" w:rsidRDefault="00FE10BB" w:rsidP="00E64B1A">
            <w:pPr>
              <w:jc w:val="right"/>
              <w:rPr>
                <w:rFonts w:cs="Arial"/>
                <w:sz w:val="20"/>
                <w:szCs w:val="20"/>
              </w:rPr>
            </w:pPr>
          </w:p>
        </w:tc>
        <w:tc>
          <w:tcPr>
            <w:tcW w:w="417" w:type="dxa"/>
          </w:tcPr>
          <w:p w14:paraId="4C14BE52" w14:textId="77777777" w:rsidR="00FE10BB" w:rsidRPr="003061F1" w:rsidRDefault="00FE10BB" w:rsidP="00E64B1A">
            <w:pPr>
              <w:jc w:val="right"/>
              <w:rPr>
                <w:sz w:val="20"/>
                <w:szCs w:val="20"/>
              </w:rPr>
            </w:pPr>
          </w:p>
        </w:tc>
        <w:tc>
          <w:tcPr>
            <w:tcW w:w="1245" w:type="dxa"/>
          </w:tcPr>
          <w:p w14:paraId="52D630E5" w14:textId="77777777" w:rsidR="00FE10BB" w:rsidRPr="003061F1" w:rsidRDefault="00FE10BB" w:rsidP="00E64B1A">
            <w:pPr>
              <w:jc w:val="right"/>
              <w:rPr>
                <w:rFonts w:cs="Arial"/>
                <w:sz w:val="20"/>
                <w:szCs w:val="20"/>
              </w:rPr>
            </w:pPr>
          </w:p>
        </w:tc>
      </w:tr>
      <w:tr w:rsidR="00E64B1A" w:rsidRPr="00676064" w14:paraId="45ED71D7" w14:textId="77777777" w:rsidTr="54F71CB4">
        <w:trPr>
          <w:jc w:val="center"/>
        </w:trPr>
        <w:tc>
          <w:tcPr>
            <w:tcW w:w="5911" w:type="dxa"/>
          </w:tcPr>
          <w:p w14:paraId="6888E4AC" w14:textId="77777777" w:rsidR="00DA79BF" w:rsidRDefault="00DA79BF" w:rsidP="00E64B1A">
            <w:pPr>
              <w:widowControl w:val="0"/>
              <w:tabs>
                <w:tab w:val="left" w:pos="567"/>
                <w:tab w:val="right" w:pos="6120"/>
                <w:tab w:val="right" w:leader="hyphen" w:pos="7020"/>
                <w:tab w:val="right" w:pos="8222"/>
                <w:tab w:val="right" w:pos="9072"/>
              </w:tabs>
              <w:autoSpaceDE w:val="0"/>
              <w:autoSpaceDN w:val="0"/>
              <w:adjustRightInd w:val="0"/>
              <w:rPr>
                <w:rFonts w:cs="Arial"/>
                <w:b/>
                <w:sz w:val="20"/>
                <w:szCs w:val="20"/>
              </w:rPr>
            </w:pPr>
          </w:p>
          <w:p w14:paraId="51F59B12" w14:textId="229FD3B1" w:rsidR="00E64B1A" w:rsidRPr="003061F1" w:rsidRDefault="00E64B1A" w:rsidP="00E64B1A">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b/>
                <w:sz w:val="20"/>
                <w:szCs w:val="20"/>
              </w:rPr>
              <w:t>Non–Cash Items:</w:t>
            </w:r>
          </w:p>
        </w:tc>
        <w:tc>
          <w:tcPr>
            <w:tcW w:w="1440" w:type="dxa"/>
          </w:tcPr>
          <w:p w14:paraId="564AF501" w14:textId="77777777" w:rsidR="00E64B1A" w:rsidRPr="003061F1" w:rsidRDefault="00E64B1A" w:rsidP="00E64B1A">
            <w:pPr>
              <w:jc w:val="right"/>
              <w:rPr>
                <w:rFonts w:cs="Arial"/>
                <w:sz w:val="20"/>
                <w:szCs w:val="20"/>
              </w:rPr>
            </w:pPr>
          </w:p>
        </w:tc>
        <w:tc>
          <w:tcPr>
            <w:tcW w:w="417" w:type="dxa"/>
          </w:tcPr>
          <w:p w14:paraId="14A5FDAF" w14:textId="77777777" w:rsidR="00E64B1A" w:rsidRPr="003061F1" w:rsidRDefault="00E64B1A" w:rsidP="00E64B1A">
            <w:pPr>
              <w:jc w:val="right"/>
              <w:rPr>
                <w:sz w:val="20"/>
                <w:szCs w:val="20"/>
              </w:rPr>
            </w:pPr>
          </w:p>
        </w:tc>
        <w:tc>
          <w:tcPr>
            <w:tcW w:w="1245" w:type="dxa"/>
          </w:tcPr>
          <w:p w14:paraId="3F01DFA4" w14:textId="77777777" w:rsidR="00E64B1A" w:rsidRPr="003061F1" w:rsidRDefault="00E64B1A" w:rsidP="00E64B1A">
            <w:pPr>
              <w:jc w:val="right"/>
              <w:rPr>
                <w:rFonts w:cs="Arial"/>
                <w:sz w:val="20"/>
                <w:szCs w:val="20"/>
              </w:rPr>
            </w:pPr>
          </w:p>
        </w:tc>
      </w:tr>
      <w:tr w:rsidR="00E64B1A" w:rsidRPr="00676064" w14:paraId="13F51CD9" w14:textId="77777777" w:rsidTr="54F71CB4">
        <w:trPr>
          <w:jc w:val="center"/>
        </w:trPr>
        <w:tc>
          <w:tcPr>
            <w:tcW w:w="5911" w:type="dxa"/>
          </w:tcPr>
          <w:p w14:paraId="2F4FABCF" w14:textId="02614D02" w:rsidR="002B369A" w:rsidRDefault="00E64B1A" w:rsidP="001C734F">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sidRPr="003061F1">
              <w:rPr>
                <w:rFonts w:cs="Arial"/>
                <w:sz w:val="20"/>
                <w:szCs w:val="20"/>
              </w:rPr>
              <w:t>Depreciation, Amortisation and Impairment</w:t>
            </w:r>
          </w:p>
          <w:p w14:paraId="1E7EF98B" w14:textId="0CB97E08" w:rsidR="006F289C" w:rsidRPr="003061F1" w:rsidRDefault="001515FF" w:rsidP="001C734F">
            <w:pPr>
              <w:widowControl w:val="0"/>
              <w:tabs>
                <w:tab w:val="left" w:pos="567"/>
                <w:tab w:val="right" w:pos="6120"/>
                <w:tab w:val="right" w:leader="hyphen" w:pos="7020"/>
                <w:tab w:val="right" w:pos="8222"/>
                <w:tab w:val="right" w:pos="9072"/>
              </w:tabs>
              <w:autoSpaceDE w:val="0"/>
              <w:autoSpaceDN w:val="0"/>
              <w:adjustRightInd w:val="0"/>
              <w:rPr>
                <w:rFonts w:cs="Arial"/>
                <w:sz w:val="20"/>
                <w:szCs w:val="20"/>
              </w:rPr>
            </w:pPr>
            <w:r>
              <w:rPr>
                <w:rFonts w:cs="Arial"/>
                <w:sz w:val="20"/>
                <w:szCs w:val="20"/>
              </w:rPr>
              <w:t>Depreciation Right-of-Use Assets</w:t>
            </w:r>
          </w:p>
        </w:tc>
        <w:tc>
          <w:tcPr>
            <w:tcW w:w="1440" w:type="dxa"/>
          </w:tcPr>
          <w:p w14:paraId="08381F11" w14:textId="32DD3E37" w:rsidR="006F289C" w:rsidRDefault="00243E7B" w:rsidP="002B369A">
            <w:pPr>
              <w:jc w:val="right"/>
              <w:rPr>
                <w:rFonts w:cs="Arial"/>
                <w:sz w:val="20"/>
                <w:szCs w:val="20"/>
              </w:rPr>
            </w:pPr>
            <w:r>
              <w:rPr>
                <w:rFonts w:cs="Arial"/>
                <w:sz w:val="20"/>
                <w:szCs w:val="20"/>
              </w:rPr>
              <w:t xml:space="preserve">   </w:t>
            </w:r>
            <w:r w:rsidR="002B369A">
              <w:rPr>
                <w:rFonts w:cs="Arial"/>
                <w:sz w:val="20"/>
                <w:szCs w:val="20"/>
              </w:rPr>
              <w:t>1</w:t>
            </w:r>
            <w:r w:rsidR="001515FF">
              <w:rPr>
                <w:rFonts w:cs="Arial"/>
                <w:sz w:val="20"/>
                <w:szCs w:val="20"/>
              </w:rPr>
              <w:t>0</w:t>
            </w:r>
            <w:r w:rsidR="007F37CB">
              <w:rPr>
                <w:rFonts w:cs="Arial"/>
                <w:sz w:val="20"/>
                <w:szCs w:val="20"/>
              </w:rPr>
              <w:t>5</w:t>
            </w:r>
            <w:r w:rsidR="001515FF">
              <w:rPr>
                <w:rFonts w:cs="Arial"/>
                <w:sz w:val="20"/>
                <w:szCs w:val="20"/>
              </w:rPr>
              <w:t>,</w:t>
            </w:r>
            <w:r w:rsidR="007F37CB">
              <w:rPr>
                <w:rFonts w:cs="Arial"/>
                <w:sz w:val="20"/>
                <w:szCs w:val="20"/>
              </w:rPr>
              <w:t>149</w:t>
            </w:r>
          </w:p>
          <w:p w14:paraId="397B35A1" w14:textId="64F725C9" w:rsidR="00BD77E6" w:rsidRPr="003061F1" w:rsidRDefault="00243E7B" w:rsidP="002B369A">
            <w:pPr>
              <w:jc w:val="right"/>
              <w:rPr>
                <w:rFonts w:cs="Arial"/>
                <w:sz w:val="20"/>
                <w:szCs w:val="20"/>
              </w:rPr>
            </w:pPr>
            <w:r>
              <w:rPr>
                <w:rFonts w:cs="Arial"/>
                <w:sz w:val="20"/>
                <w:szCs w:val="20"/>
              </w:rPr>
              <w:t xml:space="preserve">     </w:t>
            </w:r>
            <w:r w:rsidR="007F37CB">
              <w:rPr>
                <w:rFonts w:cs="Arial"/>
                <w:sz w:val="20"/>
                <w:szCs w:val="20"/>
              </w:rPr>
              <w:t>75</w:t>
            </w:r>
            <w:r w:rsidR="008D01FB">
              <w:rPr>
                <w:rFonts w:cs="Arial"/>
                <w:sz w:val="20"/>
                <w:szCs w:val="20"/>
              </w:rPr>
              <w:t>,431</w:t>
            </w:r>
          </w:p>
        </w:tc>
        <w:tc>
          <w:tcPr>
            <w:tcW w:w="417" w:type="dxa"/>
          </w:tcPr>
          <w:p w14:paraId="46C540B9" w14:textId="77777777" w:rsidR="00E64B1A" w:rsidRPr="003061F1" w:rsidRDefault="00E64B1A" w:rsidP="00E64B1A">
            <w:pPr>
              <w:jc w:val="right"/>
              <w:rPr>
                <w:sz w:val="20"/>
                <w:szCs w:val="20"/>
              </w:rPr>
            </w:pPr>
          </w:p>
        </w:tc>
        <w:tc>
          <w:tcPr>
            <w:tcW w:w="1245" w:type="dxa"/>
          </w:tcPr>
          <w:p w14:paraId="1850CDE1" w14:textId="07051E15" w:rsidR="007F3B4C" w:rsidRDefault="000B7C6C" w:rsidP="002B369A">
            <w:pPr>
              <w:jc w:val="right"/>
              <w:rPr>
                <w:rFonts w:cs="Arial"/>
                <w:sz w:val="20"/>
                <w:szCs w:val="20"/>
              </w:rPr>
            </w:pPr>
            <w:r>
              <w:rPr>
                <w:rFonts w:cs="Arial"/>
                <w:sz w:val="20"/>
                <w:szCs w:val="20"/>
              </w:rPr>
              <w:t>100</w:t>
            </w:r>
            <w:r w:rsidR="00FE10BB">
              <w:rPr>
                <w:rFonts w:cs="Arial"/>
                <w:sz w:val="20"/>
                <w:szCs w:val="20"/>
              </w:rPr>
              <w:t>,</w:t>
            </w:r>
            <w:r>
              <w:rPr>
                <w:rFonts w:cs="Arial"/>
                <w:sz w:val="20"/>
                <w:szCs w:val="20"/>
              </w:rPr>
              <w:t>461</w:t>
            </w:r>
          </w:p>
          <w:p w14:paraId="121392D8" w14:textId="68657199" w:rsidR="002B369A" w:rsidRPr="003061F1" w:rsidRDefault="000B7C6C" w:rsidP="002B369A">
            <w:pPr>
              <w:jc w:val="right"/>
              <w:rPr>
                <w:rFonts w:cs="Arial"/>
                <w:sz w:val="20"/>
                <w:szCs w:val="20"/>
              </w:rPr>
            </w:pPr>
            <w:r>
              <w:rPr>
                <w:rFonts w:cs="Arial"/>
                <w:sz w:val="20"/>
                <w:szCs w:val="20"/>
              </w:rPr>
              <w:t>75,431</w:t>
            </w:r>
          </w:p>
        </w:tc>
      </w:tr>
      <w:tr w:rsidR="00E64B1A" w:rsidRPr="00676064" w14:paraId="2D13AEEC" w14:textId="77777777" w:rsidTr="54F71CB4">
        <w:trPr>
          <w:trHeight w:val="397"/>
          <w:jc w:val="center"/>
        </w:trPr>
        <w:tc>
          <w:tcPr>
            <w:tcW w:w="5911" w:type="dxa"/>
            <w:vAlign w:val="center"/>
          </w:tcPr>
          <w:p w14:paraId="3D606309" w14:textId="77777777" w:rsidR="00E64B1A" w:rsidRPr="00676064" w:rsidRDefault="00E64B1A" w:rsidP="00E64B1A">
            <w:pPr>
              <w:rPr>
                <w:rFonts w:cs="Arial"/>
              </w:rPr>
            </w:pPr>
          </w:p>
        </w:tc>
        <w:tc>
          <w:tcPr>
            <w:tcW w:w="1440" w:type="dxa"/>
            <w:tcBorders>
              <w:top w:val="single" w:sz="4" w:space="0" w:color="auto"/>
              <w:bottom w:val="single" w:sz="4" w:space="0" w:color="auto"/>
            </w:tcBorders>
            <w:vAlign w:val="center"/>
          </w:tcPr>
          <w:p w14:paraId="35C41E92" w14:textId="0920228B" w:rsidR="00E64B1A" w:rsidRPr="003061F1" w:rsidRDefault="00FE10BB" w:rsidP="002B369A">
            <w:pPr>
              <w:jc w:val="right"/>
              <w:rPr>
                <w:rFonts w:cs="Arial"/>
                <w:sz w:val="20"/>
                <w:szCs w:val="20"/>
              </w:rPr>
            </w:pPr>
            <w:r w:rsidRPr="00FC1DE7">
              <w:rPr>
                <w:rFonts w:cs="Arial"/>
                <w:sz w:val="20"/>
                <w:szCs w:val="20"/>
              </w:rPr>
              <w:t>8</w:t>
            </w:r>
            <w:r w:rsidR="007F37CB" w:rsidRPr="00FC1DE7">
              <w:rPr>
                <w:rFonts w:cs="Arial"/>
                <w:sz w:val="20"/>
                <w:szCs w:val="20"/>
              </w:rPr>
              <w:t>58</w:t>
            </w:r>
            <w:r w:rsidRPr="00FC1DE7">
              <w:rPr>
                <w:rFonts w:cs="Arial"/>
                <w:sz w:val="20"/>
                <w:szCs w:val="20"/>
              </w:rPr>
              <w:t>,</w:t>
            </w:r>
            <w:r w:rsidR="007F37CB" w:rsidRPr="00FC1DE7">
              <w:rPr>
                <w:rFonts w:cs="Arial"/>
                <w:sz w:val="20"/>
                <w:szCs w:val="20"/>
              </w:rPr>
              <w:t>91</w:t>
            </w:r>
            <w:r w:rsidR="00FC1DE7" w:rsidRPr="00FC1DE7">
              <w:rPr>
                <w:rFonts w:cs="Arial"/>
                <w:sz w:val="20"/>
                <w:szCs w:val="20"/>
              </w:rPr>
              <w:t>7</w:t>
            </w:r>
          </w:p>
        </w:tc>
        <w:tc>
          <w:tcPr>
            <w:tcW w:w="417" w:type="dxa"/>
            <w:vAlign w:val="center"/>
          </w:tcPr>
          <w:p w14:paraId="3FD599C3" w14:textId="77777777" w:rsidR="00E64B1A" w:rsidRPr="003061F1" w:rsidRDefault="00E64B1A" w:rsidP="00E64B1A">
            <w:pPr>
              <w:jc w:val="right"/>
              <w:rPr>
                <w:sz w:val="20"/>
                <w:szCs w:val="20"/>
              </w:rPr>
            </w:pPr>
          </w:p>
        </w:tc>
        <w:tc>
          <w:tcPr>
            <w:tcW w:w="1245" w:type="dxa"/>
            <w:tcBorders>
              <w:top w:val="single" w:sz="4" w:space="0" w:color="auto"/>
              <w:bottom w:val="single" w:sz="4" w:space="0" w:color="auto"/>
            </w:tcBorders>
            <w:vAlign w:val="center"/>
          </w:tcPr>
          <w:p w14:paraId="007895B3" w14:textId="20AED1CA" w:rsidR="002B369A" w:rsidRPr="003061F1" w:rsidRDefault="000B7C6C" w:rsidP="002B369A">
            <w:pPr>
              <w:jc w:val="right"/>
              <w:rPr>
                <w:rFonts w:cs="Arial"/>
                <w:sz w:val="20"/>
                <w:szCs w:val="20"/>
              </w:rPr>
            </w:pPr>
            <w:r>
              <w:rPr>
                <w:rFonts w:cs="Arial"/>
                <w:sz w:val="20"/>
                <w:szCs w:val="20"/>
              </w:rPr>
              <w:t>819</w:t>
            </w:r>
            <w:r w:rsidR="00FE10BB">
              <w:rPr>
                <w:rFonts w:cs="Arial"/>
                <w:sz w:val="20"/>
                <w:szCs w:val="20"/>
              </w:rPr>
              <w:t>,</w:t>
            </w:r>
            <w:r>
              <w:rPr>
                <w:rFonts w:cs="Arial"/>
                <w:sz w:val="20"/>
                <w:szCs w:val="20"/>
              </w:rPr>
              <w:t>041</w:t>
            </w:r>
          </w:p>
        </w:tc>
      </w:tr>
      <w:tr w:rsidR="008B52DD" w:rsidRPr="00676064" w14:paraId="2DB05E0C" w14:textId="77777777" w:rsidTr="54F71CB4">
        <w:trPr>
          <w:trHeight w:val="397"/>
          <w:jc w:val="center"/>
        </w:trPr>
        <w:tc>
          <w:tcPr>
            <w:tcW w:w="9013" w:type="dxa"/>
            <w:gridSpan w:val="4"/>
            <w:vAlign w:val="center"/>
          </w:tcPr>
          <w:p w14:paraId="672A64BB" w14:textId="77777777" w:rsidR="008B52DD" w:rsidRDefault="008B52DD" w:rsidP="008B52DD">
            <w:pPr>
              <w:rPr>
                <w:rFonts w:cs="Arial"/>
              </w:rPr>
            </w:pPr>
          </w:p>
          <w:p w14:paraId="60674CD6" w14:textId="77777777" w:rsidR="008B52DD" w:rsidRDefault="008B52DD" w:rsidP="008B52DD">
            <w:pPr>
              <w:rPr>
                <w:rFonts w:cs="Arial"/>
              </w:rPr>
            </w:pPr>
          </w:p>
          <w:p w14:paraId="1593DAC9" w14:textId="5FEA9B53" w:rsidR="00043F72" w:rsidRDefault="008B52DD" w:rsidP="008B52DD">
            <w:pPr>
              <w:rPr>
                <w:rFonts w:cs="Arial"/>
              </w:rPr>
            </w:pPr>
            <w:r>
              <w:rPr>
                <w:rFonts w:cs="Arial"/>
              </w:rPr>
              <w:t>There were no payments made to the auditors during the year for non-</w:t>
            </w:r>
            <w:r w:rsidR="001C734F">
              <w:rPr>
                <w:rFonts w:cs="Arial"/>
              </w:rPr>
              <w:t>audit services (202</w:t>
            </w:r>
            <w:r w:rsidR="00DA50F6">
              <w:rPr>
                <w:rFonts w:cs="Arial"/>
              </w:rPr>
              <w:t>2</w:t>
            </w:r>
            <w:r w:rsidR="002B369A">
              <w:rPr>
                <w:rFonts w:cs="Arial"/>
              </w:rPr>
              <w:t>-2</w:t>
            </w:r>
            <w:r w:rsidR="00DA50F6">
              <w:rPr>
                <w:rFonts w:cs="Arial"/>
              </w:rPr>
              <w:t>3</w:t>
            </w:r>
            <w:r>
              <w:rPr>
                <w:rFonts w:cs="Arial"/>
              </w:rPr>
              <w:t>: £nil)</w:t>
            </w:r>
            <w:r w:rsidR="008328EC">
              <w:rPr>
                <w:rFonts w:cs="Arial"/>
              </w:rPr>
              <w:t>.</w:t>
            </w:r>
          </w:p>
          <w:p w14:paraId="24E9856D" w14:textId="173E4FB5" w:rsidR="00043F72" w:rsidRPr="00043F72" w:rsidRDefault="00043F72" w:rsidP="008B52DD">
            <w:pPr>
              <w:rPr>
                <w:rFonts w:cs="Arial"/>
              </w:rPr>
            </w:pPr>
          </w:p>
        </w:tc>
      </w:tr>
    </w:tbl>
    <w:p w14:paraId="5C966946" w14:textId="77777777" w:rsidR="00A70EF7" w:rsidRDefault="00A70EF7" w:rsidP="00386F56">
      <w:pPr>
        <w:rPr>
          <w:b/>
        </w:rPr>
      </w:pPr>
    </w:p>
    <w:p w14:paraId="7FE5200B" w14:textId="77777777" w:rsidR="00A70EF7" w:rsidRDefault="00A70EF7">
      <w:pPr>
        <w:rPr>
          <w:b/>
        </w:rPr>
      </w:pPr>
      <w:r>
        <w:rPr>
          <w:b/>
        </w:rPr>
        <w:br w:type="page"/>
      </w:r>
    </w:p>
    <w:p w14:paraId="517370B8" w14:textId="11518843" w:rsidR="000C2A54" w:rsidRPr="00676064" w:rsidRDefault="000C2A54" w:rsidP="00386F56">
      <w:pPr>
        <w:rPr>
          <w:b/>
        </w:rPr>
      </w:pPr>
      <w:r w:rsidRPr="00676064">
        <w:rPr>
          <w:b/>
        </w:rPr>
        <w:t>5.</w:t>
      </w:r>
      <w:r w:rsidRPr="00676064">
        <w:rPr>
          <w:b/>
        </w:rPr>
        <w:tab/>
        <w:t>Income</w:t>
      </w:r>
    </w:p>
    <w:p w14:paraId="54B813C4" w14:textId="77777777" w:rsidR="000C2A54" w:rsidRPr="00676064" w:rsidRDefault="000C2A54" w:rsidP="000C2A54">
      <w:pPr>
        <w:widowControl w:val="0"/>
        <w:tabs>
          <w:tab w:val="left" w:pos="567"/>
          <w:tab w:val="right" w:pos="4140"/>
          <w:tab w:val="right" w:pos="6480"/>
          <w:tab w:val="right" w:pos="8820"/>
        </w:tabs>
        <w:autoSpaceDE w:val="0"/>
        <w:autoSpaceDN w:val="0"/>
        <w:adjustRightInd w:val="0"/>
      </w:pPr>
    </w:p>
    <w:p w14:paraId="651D6D59" w14:textId="77777777" w:rsidR="00FE10BB" w:rsidRPr="00676064" w:rsidRDefault="00FE10BB" w:rsidP="00FE10BB">
      <w:pPr>
        <w:widowControl w:val="0"/>
        <w:tabs>
          <w:tab w:val="left" w:pos="567"/>
          <w:tab w:val="right" w:pos="4140"/>
          <w:tab w:val="right" w:pos="6480"/>
          <w:tab w:val="right" w:pos="8820"/>
        </w:tabs>
        <w:autoSpaceDE w:val="0"/>
        <w:autoSpaceDN w:val="0"/>
        <w:adjustRightInd w:val="0"/>
      </w:pPr>
      <w:r w:rsidRPr="00676064">
        <w:t>The Commission also has recognised income from other sources as follows:</w:t>
      </w:r>
    </w:p>
    <w:p w14:paraId="34F8E92B" w14:textId="77777777" w:rsidR="00FE10BB" w:rsidRPr="00676064" w:rsidRDefault="00FE10BB" w:rsidP="00FE10BB">
      <w:pPr>
        <w:widowControl w:val="0"/>
        <w:tabs>
          <w:tab w:val="left" w:pos="567"/>
          <w:tab w:val="right" w:pos="4140"/>
          <w:tab w:val="right" w:pos="6480"/>
          <w:tab w:val="right" w:pos="8820"/>
        </w:tabs>
        <w:autoSpaceDE w:val="0"/>
        <w:autoSpaceDN w:val="0"/>
        <w:adjustRightInd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1935"/>
        <w:gridCol w:w="2054"/>
      </w:tblGrid>
      <w:tr w:rsidR="00FE10BB" w:rsidRPr="003061F1" w14:paraId="50DF0062" w14:textId="77777777" w:rsidTr="001958BD">
        <w:tc>
          <w:tcPr>
            <w:tcW w:w="5082" w:type="dxa"/>
          </w:tcPr>
          <w:p w14:paraId="4C15D76F"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rPr>
                <w:sz w:val="20"/>
                <w:szCs w:val="20"/>
              </w:rPr>
            </w:pPr>
          </w:p>
        </w:tc>
        <w:tc>
          <w:tcPr>
            <w:tcW w:w="1935" w:type="dxa"/>
          </w:tcPr>
          <w:p w14:paraId="7CF69BBB" w14:textId="357466D8" w:rsidR="00FE10BB" w:rsidRPr="003061F1" w:rsidRDefault="008F2A20" w:rsidP="001958BD">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2023-24</w:t>
            </w:r>
          </w:p>
          <w:p w14:paraId="1BC1500B"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jc w:val="right"/>
              <w:rPr>
                <w:b/>
                <w:sz w:val="20"/>
                <w:szCs w:val="20"/>
              </w:rPr>
            </w:pPr>
            <w:r w:rsidRPr="003061F1">
              <w:rPr>
                <w:b/>
                <w:sz w:val="20"/>
                <w:szCs w:val="20"/>
              </w:rPr>
              <w:t>£</w:t>
            </w:r>
          </w:p>
        </w:tc>
        <w:tc>
          <w:tcPr>
            <w:tcW w:w="2054" w:type="dxa"/>
          </w:tcPr>
          <w:p w14:paraId="62287A41" w14:textId="597627E0" w:rsidR="00FE10BB" w:rsidRPr="003061F1" w:rsidRDefault="008F2A20" w:rsidP="001958BD">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2022-23</w:t>
            </w:r>
          </w:p>
          <w:p w14:paraId="45E6FBA9"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jc w:val="right"/>
              <w:rPr>
                <w:b/>
                <w:sz w:val="20"/>
                <w:szCs w:val="20"/>
              </w:rPr>
            </w:pPr>
            <w:r w:rsidRPr="003061F1">
              <w:rPr>
                <w:b/>
                <w:sz w:val="20"/>
                <w:szCs w:val="20"/>
              </w:rPr>
              <w:t>£</w:t>
            </w:r>
          </w:p>
          <w:p w14:paraId="49515963" w14:textId="77777777" w:rsidR="00FE10BB" w:rsidRPr="003061F1" w:rsidRDefault="00FE10BB" w:rsidP="001958BD">
            <w:pPr>
              <w:widowControl w:val="0"/>
              <w:tabs>
                <w:tab w:val="left" w:pos="567"/>
                <w:tab w:val="right" w:pos="4140"/>
                <w:tab w:val="right" w:pos="6480"/>
                <w:tab w:val="right" w:pos="8820"/>
              </w:tabs>
              <w:autoSpaceDE w:val="0"/>
              <w:autoSpaceDN w:val="0"/>
              <w:adjustRightInd w:val="0"/>
              <w:rPr>
                <w:b/>
                <w:sz w:val="20"/>
                <w:szCs w:val="20"/>
              </w:rPr>
            </w:pPr>
          </w:p>
        </w:tc>
      </w:tr>
      <w:tr w:rsidR="00043F72" w:rsidRPr="003061F1" w14:paraId="0BE05614" w14:textId="77777777" w:rsidTr="001958BD">
        <w:tc>
          <w:tcPr>
            <w:tcW w:w="5082" w:type="dxa"/>
          </w:tcPr>
          <w:p w14:paraId="161E8C24"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rPr>
                <w:b/>
                <w:sz w:val="20"/>
                <w:szCs w:val="20"/>
              </w:rPr>
            </w:pPr>
          </w:p>
          <w:p w14:paraId="2CF30112" w14:textId="68A48C4F" w:rsidR="00043F72" w:rsidRDefault="00043F72" w:rsidP="00043F72">
            <w:pPr>
              <w:widowControl w:val="0"/>
              <w:tabs>
                <w:tab w:val="left" w:pos="567"/>
                <w:tab w:val="right" w:pos="4140"/>
                <w:tab w:val="right" w:pos="6480"/>
                <w:tab w:val="right" w:pos="8820"/>
              </w:tabs>
              <w:autoSpaceDE w:val="0"/>
              <w:autoSpaceDN w:val="0"/>
              <w:adjustRightInd w:val="0"/>
              <w:rPr>
                <w:sz w:val="20"/>
                <w:szCs w:val="20"/>
              </w:rPr>
            </w:pPr>
            <w:r>
              <w:rPr>
                <w:sz w:val="20"/>
                <w:szCs w:val="20"/>
              </w:rPr>
              <w:t>Contribution from The Equality Human Rights and Delivering Social Change Unit of The Executive Office for the review and update of the Northern Ireland Civil Service website resource guide</w:t>
            </w:r>
          </w:p>
          <w:p w14:paraId="1109D2C9" w14:textId="77777777" w:rsidR="00043F72" w:rsidRDefault="00043F72" w:rsidP="00043F72">
            <w:pPr>
              <w:widowControl w:val="0"/>
              <w:tabs>
                <w:tab w:val="left" w:pos="567"/>
                <w:tab w:val="right" w:pos="4140"/>
                <w:tab w:val="right" w:pos="6480"/>
                <w:tab w:val="right" w:pos="8820"/>
              </w:tabs>
              <w:autoSpaceDE w:val="0"/>
              <w:autoSpaceDN w:val="0"/>
              <w:adjustRightInd w:val="0"/>
              <w:rPr>
                <w:sz w:val="20"/>
                <w:szCs w:val="20"/>
              </w:rPr>
            </w:pPr>
          </w:p>
          <w:p w14:paraId="26CA6115" w14:textId="3CFB288A" w:rsidR="00043F72" w:rsidRPr="00043F72" w:rsidRDefault="00043F72" w:rsidP="00043F72">
            <w:pPr>
              <w:widowControl w:val="0"/>
              <w:tabs>
                <w:tab w:val="left" w:pos="567"/>
                <w:tab w:val="right" w:pos="4140"/>
                <w:tab w:val="right" w:pos="6480"/>
                <w:tab w:val="right" w:pos="8820"/>
              </w:tabs>
              <w:autoSpaceDE w:val="0"/>
              <w:autoSpaceDN w:val="0"/>
              <w:adjustRightInd w:val="0"/>
              <w:rPr>
                <w:sz w:val="16"/>
                <w:szCs w:val="16"/>
              </w:rPr>
            </w:pPr>
            <w:r w:rsidRPr="00043F72">
              <w:rPr>
                <w:sz w:val="20"/>
                <w:szCs w:val="20"/>
              </w:rPr>
              <w:t>European Network of National Human Rights Institutions (ENNHRI) under a Small Grant Agreement for Project SGA-NHRI.EU-2023-02 – NI Business Human Rights Index</w:t>
            </w:r>
          </w:p>
          <w:p w14:paraId="7F9E52D4"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rPr>
                <w:sz w:val="20"/>
                <w:szCs w:val="20"/>
              </w:rPr>
            </w:pPr>
          </w:p>
        </w:tc>
        <w:tc>
          <w:tcPr>
            <w:tcW w:w="1935" w:type="dxa"/>
            <w:tcBorders>
              <w:bottom w:val="single" w:sz="4" w:space="0" w:color="auto"/>
            </w:tcBorders>
          </w:tcPr>
          <w:p w14:paraId="489E0A0B"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71F42D85"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3F834C3D"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2B10A2FE"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r>
              <w:rPr>
                <w:sz w:val="20"/>
                <w:szCs w:val="20"/>
              </w:rPr>
              <w:t>-</w:t>
            </w:r>
          </w:p>
          <w:p w14:paraId="3849B427"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7E9119C0"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758C2844" w14:textId="77777777" w:rsidR="00043F72" w:rsidRDefault="00043F72" w:rsidP="00043F72">
            <w:pPr>
              <w:widowControl w:val="0"/>
              <w:tabs>
                <w:tab w:val="left" w:pos="567"/>
                <w:tab w:val="right" w:pos="4140"/>
                <w:tab w:val="right" w:pos="6480"/>
                <w:tab w:val="right" w:pos="8820"/>
              </w:tabs>
              <w:autoSpaceDE w:val="0"/>
              <w:autoSpaceDN w:val="0"/>
              <w:adjustRightInd w:val="0"/>
              <w:rPr>
                <w:sz w:val="20"/>
                <w:szCs w:val="20"/>
              </w:rPr>
            </w:pPr>
          </w:p>
          <w:p w14:paraId="7D0AF395" w14:textId="77777777" w:rsidR="00043F72" w:rsidRPr="00043F72" w:rsidRDefault="00043F72" w:rsidP="00043F72">
            <w:pPr>
              <w:rPr>
                <w:sz w:val="20"/>
                <w:szCs w:val="20"/>
              </w:rPr>
            </w:pPr>
          </w:p>
          <w:p w14:paraId="46D3ED47" w14:textId="77777777" w:rsidR="00043F72" w:rsidRDefault="00043F72" w:rsidP="00043F72">
            <w:pPr>
              <w:rPr>
                <w:sz w:val="20"/>
                <w:szCs w:val="20"/>
              </w:rPr>
            </w:pPr>
          </w:p>
          <w:p w14:paraId="3EA466D1" w14:textId="513A4FCB" w:rsidR="00043F72" w:rsidRPr="00043F72" w:rsidRDefault="00043F72" w:rsidP="00043F72">
            <w:pPr>
              <w:jc w:val="right"/>
              <w:rPr>
                <w:sz w:val="20"/>
                <w:szCs w:val="20"/>
              </w:rPr>
            </w:pPr>
            <w:r>
              <w:rPr>
                <w:sz w:val="20"/>
                <w:szCs w:val="20"/>
              </w:rPr>
              <w:t>11,301</w:t>
            </w:r>
          </w:p>
        </w:tc>
        <w:tc>
          <w:tcPr>
            <w:tcW w:w="2054" w:type="dxa"/>
            <w:tcBorders>
              <w:bottom w:val="single" w:sz="4" w:space="0" w:color="auto"/>
            </w:tcBorders>
          </w:tcPr>
          <w:p w14:paraId="1F95D5EF"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jc w:val="right"/>
              <w:rPr>
                <w:b/>
                <w:sz w:val="20"/>
                <w:szCs w:val="20"/>
              </w:rPr>
            </w:pPr>
          </w:p>
          <w:p w14:paraId="523CFCFA"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08C1E3C8"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114C24C9"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r>
              <w:rPr>
                <w:sz w:val="20"/>
                <w:szCs w:val="20"/>
              </w:rPr>
              <w:t>7,702</w:t>
            </w:r>
          </w:p>
          <w:p w14:paraId="312BDE2E"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7AF75629"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sz w:val="20"/>
                <w:szCs w:val="20"/>
              </w:rPr>
            </w:pPr>
          </w:p>
          <w:p w14:paraId="290F315B" w14:textId="77777777" w:rsidR="00043F72" w:rsidRDefault="00043F72" w:rsidP="00043F72">
            <w:pPr>
              <w:widowControl w:val="0"/>
              <w:tabs>
                <w:tab w:val="left" w:pos="567"/>
                <w:tab w:val="right" w:pos="4140"/>
                <w:tab w:val="right" w:pos="6480"/>
                <w:tab w:val="right" w:pos="8820"/>
              </w:tabs>
              <w:autoSpaceDE w:val="0"/>
              <w:autoSpaceDN w:val="0"/>
              <w:adjustRightInd w:val="0"/>
              <w:rPr>
                <w:sz w:val="20"/>
                <w:szCs w:val="20"/>
              </w:rPr>
            </w:pPr>
          </w:p>
          <w:p w14:paraId="650051D9" w14:textId="77777777" w:rsidR="00043F72" w:rsidRPr="00043F72" w:rsidRDefault="00043F72" w:rsidP="00043F72">
            <w:pPr>
              <w:rPr>
                <w:sz w:val="20"/>
                <w:szCs w:val="20"/>
              </w:rPr>
            </w:pPr>
          </w:p>
          <w:p w14:paraId="2E9C976B" w14:textId="77777777" w:rsidR="00043F72" w:rsidRDefault="00043F72" w:rsidP="00043F72">
            <w:pPr>
              <w:rPr>
                <w:sz w:val="20"/>
                <w:szCs w:val="20"/>
              </w:rPr>
            </w:pPr>
          </w:p>
          <w:p w14:paraId="61336616" w14:textId="48699F24" w:rsidR="00043F72" w:rsidRPr="00043F72" w:rsidRDefault="00043F72" w:rsidP="00043F72">
            <w:pPr>
              <w:jc w:val="right"/>
              <w:rPr>
                <w:sz w:val="20"/>
                <w:szCs w:val="20"/>
              </w:rPr>
            </w:pPr>
            <w:r>
              <w:rPr>
                <w:sz w:val="20"/>
                <w:szCs w:val="20"/>
              </w:rPr>
              <w:t>-</w:t>
            </w:r>
          </w:p>
        </w:tc>
      </w:tr>
      <w:tr w:rsidR="00043F72" w:rsidRPr="003061F1" w14:paraId="09CEDABE" w14:textId="77777777" w:rsidTr="001958BD">
        <w:tc>
          <w:tcPr>
            <w:tcW w:w="5082" w:type="dxa"/>
          </w:tcPr>
          <w:p w14:paraId="3852E8F3"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rPr>
                <w:b/>
                <w:sz w:val="20"/>
                <w:szCs w:val="20"/>
              </w:rPr>
            </w:pPr>
          </w:p>
          <w:p w14:paraId="5FBF8825"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rPr>
                <w:b/>
                <w:sz w:val="20"/>
                <w:szCs w:val="20"/>
              </w:rPr>
            </w:pPr>
            <w:r w:rsidRPr="003061F1">
              <w:rPr>
                <w:b/>
                <w:sz w:val="20"/>
                <w:szCs w:val="20"/>
              </w:rPr>
              <w:t>Total</w:t>
            </w:r>
          </w:p>
        </w:tc>
        <w:tc>
          <w:tcPr>
            <w:tcW w:w="1935" w:type="dxa"/>
            <w:tcBorders>
              <w:top w:val="single" w:sz="4" w:space="0" w:color="auto"/>
            </w:tcBorders>
          </w:tcPr>
          <w:p w14:paraId="51D6D36C" w14:textId="77777777" w:rsidR="00043F72" w:rsidRDefault="00043F72" w:rsidP="00043F72">
            <w:pPr>
              <w:widowControl w:val="0"/>
              <w:tabs>
                <w:tab w:val="left" w:pos="567"/>
                <w:tab w:val="right" w:pos="4140"/>
                <w:tab w:val="right" w:pos="6480"/>
                <w:tab w:val="right" w:pos="8820"/>
              </w:tabs>
              <w:autoSpaceDE w:val="0"/>
              <w:autoSpaceDN w:val="0"/>
              <w:adjustRightInd w:val="0"/>
              <w:jc w:val="right"/>
              <w:rPr>
                <w:b/>
                <w:sz w:val="20"/>
                <w:szCs w:val="20"/>
              </w:rPr>
            </w:pPr>
          </w:p>
          <w:p w14:paraId="3979CA39" w14:textId="2808FBF2" w:rsidR="00043F72" w:rsidRPr="003061F1" w:rsidRDefault="00043F72" w:rsidP="00043F72">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11,301</w:t>
            </w:r>
          </w:p>
        </w:tc>
        <w:tc>
          <w:tcPr>
            <w:tcW w:w="2054" w:type="dxa"/>
            <w:tcBorders>
              <w:top w:val="single" w:sz="4" w:space="0" w:color="auto"/>
            </w:tcBorders>
          </w:tcPr>
          <w:p w14:paraId="104FCD71" w14:textId="77777777" w:rsidR="00043F72" w:rsidRPr="003061F1" w:rsidRDefault="00043F72" w:rsidP="00043F72">
            <w:pPr>
              <w:widowControl w:val="0"/>
              <w:tabs>
                <w:tab w:val="left" w:pos="567"/>
                <w:tab w:val="right" w:pos="4140"/>
                <w:tab w:val="right" w:pos="6480"/>
                <w:tab w:val="right" w:pos="8820"/>
              </w:tabs>
              <w:autoSpaceDE w:val="0"/>
              <w:autoSpaceDN w:val="0"/>
              <w:adjustRightInd w:val="0"/>
              <w:jc w:val="right"/>
              <w:rPr>
                <w:b/>
                <w:sz w:val="20"/>
                <w:szCs w:val="20"/>
              </w:rPr>
            </w:pPr>
          </w:p>
          <w:p w14:paraId="60892EA2" w14:textId="43079EB5" w:rsidR="00043F72" w:rsidRPr="003061F1" w:rsidRDefault="00043F72" w:rsidP="00043F72">
            <w:pPr>
              <w:widowControl w:val="0"/>
              <w:tabs>
                <w:tab w:val="left" w:pos="567"/>
                <w:tab w:val="right" w:pos="4140"/>
                <w:tab w:val="right" w:pos="6480"/>
                <w:tab w:val="right" w:pos="8820"/>
              </w:tabs>
              <w:autoSpaceDE w:val="0"/>
              <w:autoSpaceDN w:val="0"/>
              <w:adjustRightInd w:val="0"/>
              <w:jc w:val="right"/>
              <w:rPr>
                <w:b/>
                <w:sz w:val="20"/>
                <w:szCs w:val="20"/>
              </w:rPr>
            </w:pPr>
            <w:r>
              <w:rPr>
                <w:b/>
                <w:sz w:val="20"/>
                <w:szCs w:val="20"/>
              </w:rPr>
              <w:t>7,702</w:t>
            </w:r>
          </w:p>
        </w:tc>
      </w:tr>
    </w:tbl>
    <w:p w14:paraId="5FAA4EFD" w14:textId="77777777" w:rsidR="00FE10BB" w:rsidRPr="003061F1" w:rsidRDefault="00FE10BB" w:rsidP="00FE10BB">
      <w:pPr>
        <w:widowControl w:val="0"/>
        <w:tabs>
          <w:tab w:val="left" w:pos="567"/>
          <w:tab w:val="right" w:pos="4140"/>
          <w:tab w:val="right" w:pos="6480"/>
          <w:tab w:val="right" w:pos="8820"/>
        </w:tabs>
        <w:autoSpaceDE w:val="0"/>
        <w:autoSpaceDN w:val="0"/>
        <w:adjustRightInd w:val="0"/>
        <w:rPr>
          <w:sz w:val="20"/>
          <w:szCs w:val="20"/>
        </w:rPr>
      </w:pPr>
    </w:p>
    <w:p w14:paraId="7C3D9E02" w14:textId="77777777" w:rsidR="00FE10BB" w:rsidRDefault="00FE10BB" w:rsidP="002B369A">
      <w:pPr>
        <w:widowControl w:val="0"/>
        <w:tabs>
          <w:tab w:val="left" w:pos="567"/>
          <w:tab w:val="right" w:pos="4140"/>
          <w:tab w:val="right" w:pos="6480"/>
          <w:tab w:val="right" w:pos="8820"/>
        </w:tabs>
        <w:autoSpaceDE w:val="0"/>
        <w:autoSpaceDN w:val="0"/>
        <w:adjustRightInd w:val="0"/>
      </w:pPr>
    </w:p>
    <w:p w14:paraId="3A8D04D8" w14:textId="77777777" w:rsidR="00874198" w:rsidRDefault="00874198" w:rsidP="00874198">
      <w:r>
        <w:t>In line with its accounting policy, the Commission has applied the requirements of IFRS 15 to income received from sources other than the NIO, for specific projects.  The Commission seeks to recover any associated costs for the projects in line with the contract.</w:t>
      </w:r>
    </w:p>
    <w:p w14:paraId="44972C70" w14:textId="77777777" w:rsidR="00874198" w:rsidRDefault="00874198" w:rsidP="00874198"/>
    <w:p w14:paraId="443A4EF5" w14:textId="77777777" w:rsidR="00043F72" w:rsidRDefault="00874198" w:rsidP="00043F72">
      <w:pPr>
        <w:widowControl w:val="0"/>
        <w:autoSpaceDE w:val="0"/>
        <w:autoSpaceDN w:val="0"/>
        <w:adjustRightInd w:val="0"/>
      </w:pPr>
      <w:r>
        <w:t>The recognised income of £</w:t>
      </w:r>
      <w:r w:rsidR="00043F72">
        <w:t>11</w:t>
      </w:r>
      <w:r>
        <w:t>,</w:t>
      </w:r>
      <w:r w:rsidR="00043F72">
        <w:t>301</w:t>
      </w:r>
      <w:r>
        <w:t xml:space="preserve"> received from </w:t>
      </w:r>
      <w:r w:rsidR="00043F72">
        <w:t>the European Network of National Human Rights Institutions (ENNHRI) under a Small Grant Agreement for Project SGA-NHRI.EU-2023-02 – NI Business Human Rights Index – Developing a national and human rights index for Northern Ireland.  The Commission has an agreement with Queen’s University Belfast (QUB) to implement the project within an agreed timeframe.  For the implementation of the Project, the Commission agrees to pay the funding received from ENNHRI to QUB.</w:t>
      </w:r>
    </w:p>
    <w:p w14:paraId="0BF3E3A0" w14:textId="77777777" w:rsidR="00043F72" w:rsidRDefault="00043F72" w:rsidP="00043F72">
      <w:pPr>
        <w:tabs>
          <w:tab w:val="left" w:pos="567"/>
        </w:tabs>
      </w:pPr>
    </w:p>
    <w:p w14:paraId="5B64032B" w14:textId="267023B4" w:rsidR="00FD0AA4" w:rsidRDefault="00FD0AA4" w:rsidP="003C598E"/>
    <w:p w14:paraId="168B8F29" w14:textId="77777777" w:rsidR="00043F72" w:rsidRDefault="00043F72" w:rsidP="003C598E"/>
    <w:p w14:paraId="6E39D67C" w14:textId="77777777" w:rsidR="00043F72" w:rsidRDefault="00043F72" w:rsidP="003C598E"/>
    <w:p w14:paraId="1673AF12" w14:textId="77777777" w:rsidR="00043F72" w:rsidRDefault="00043F72" w:rsidP="003C598E"/>
    <w:p w14:paraId="0E6BB178" w14:textId="77777777" w:rsidR="00A70EF7" w:rsidRDefault="00A70EF7">
      <w:pPr>
        <w:rPr>
          <w:b/>
        </w:rPr>
      </w:pPr>
      <w:r>
        <w:rPr>
          <w:b/>
        </w:rPr>
        <w:br w:type="page"/>
      </w:r>
    </w:p>
    <w:p w14:paraId="1ECA05A9" w14:textId="140B3E8F" w:rsidR="000C2A54" w:rsidRDefault="000C2A54" w:rsidP="003C598E">
      <w:pPr>
        <w:rPr>
          <w:b/>
        </w:rPr>
      </w:pPr>
      <w:r w:rsidRPr="00676064">
        <w:rPr>
          <w:b/>
        </w:rPr>
        <w:t>6.</w:t>
      </w:r>
      <w:r w:rsidRPr="00676064">
        <w:rPr>
          <w:b/>
        </w:rPr>
        <w:tab/>
        <w:t>Property, plant and equipment</w:t>
      </w:r>
    </w:p>
    <w:p w14:paraId="4747ED26" w14:textId="77777777" w:rsidR="00D651FB" w:rsidRDefault="00D651FB" w:rsidP="003C598E">
      <w:pPr>
        <w:rPr>
          <w:b/>
        </w:rPr>
      </w:pPr>
    </w:p>
    <w:tbl>
      <w:tblPr>
        <w:tblW w:w="8506" w:type="dxa"/>
        <w:tblLayout w:type="fixed"/>
        <w:tblLook w:val="01E0" w:firstRow="1" w:lastRow="1" w:firstColumn="1" w:lastColumn="1" w:noHBand="0" w:noVBand="0"/>
      </w:tblPr>
      <w:tblGrid>
        <w:gridCol w:w="2801"/>
        <w:gridCol w:w="1701"/>
        <w:gridCol w:w="1417"/>
        <w:gridCol w:w="1133"/>
        <w:gridCol w:w="1454"/>
      </w:tblGrid>
      <w:tr w:rsidR="00054872" w:rsidRPr="00863EC6" w14:paraId="74F39E40" w14:textId="77777777" w:rsidTr="54F71CB4">
        <w:tc>
          <w:tcPr>
            <w:tcW w:w="2801" w:type="dxa"/>
          </w:tcPr>
          <w:p w14:paraId="2D61B2F5" w14:textId="553A3D06" w:rsidR="00054872" w:rsidRPr="00D35926" w:rsidRDefault="00054872" w:rsidP="00D651FB">
            <w:pPr>
              <w:rPr>
                <w:b/>
                <w:sz w:val="22"/>
                <w:szCs w:val="22"/>
              </w:rPr>
            </w:pPr>
            <w:r>
              <w:rPr>
                <w:b/>
                <w:sz w:val="22"/>
                <w:szCs w:val="22"/>
              </w:rPr>
              <w:t>202</w:t>
            </w:r>
            <w:r w:rsidR="00C10832">
              <w:rPr>
                <w:b/>
                <w:sz w:val="22"/>
                <w:szCs w:val="22"/>
              </w:rPr>
              <w:t>3</w:t>
            </w:r>
            <w:r>
              <w:rPr>
                <w:b/>
                <w:sz w:val="22"/>
                <w:szCs w:val="22"/>
              </w:rPr>
              <w:t>-2</w:t>
            </w:r>
            <w:r w:rsidR="00C10832">
              <w:rPr>
                <w:b/>
                <w:sz w:val="22"/>
                <w:szCs w:val="22"/>
              </w:rPr>
              <w:t>4</w:t>
            </w:r>
          </w:p>
        </w:tc>
        <w:tc>
          <w:tcPr>
            <w:tcW w:w="1701" w:type="dxa"/>
          </w:tcPr>
          <w:p w14:paraId="181B26EA" w14:textId="77777777" w:rsidR="00054872" w:rsidRPr="00F267CA" w:rsidRDefault="00054872" w:rsidP="00C84610">
            <w:pPr>
              <w:ind w:right="-171"/>
              <w:jc w:val="center"/>
              <w:rPr>
                <w:rFonts w:cs="Arial"/>
                <w:b/>
                <w:sz w:val="16"/>
                <w:szCs w:val="16"/>
              </w:rPr>
            </w:pPr>
            <w:r w:rsidRPr="00F267CA">
              <w:rPr>
                <w:rFonts w:cs="Arial"/>
                <w:b/>
                <w:sz w:val="16"/>
                <w:szCs w:val="16"/>
              </w:rPr>
              <w:t>Leasehold Improvements</w:t>
            </w:r>
          </w:p>
        </w:tc>
        <w:tc>
          <w:tcPr>
            <w:tcW w:w="1417" w:type="dxa"/>
          </w:tcPr>
          <w:p w14:paraId="64B0A48A" w14:textId="77777777" w:rsidR="00054872" w:rsidRPr="00F267CA" w:rsidRDefault="00054872" w:rsidP="00C84610">
            <w:pPr>
              <w:jc w:val="center"/>
              <w:rPr>
                <w:b/>
                <w:sz w:val="16"/>
                <w:szCs w:val="16"/>
              </w:rPr>
            </w:pPr>
            <w:r w:rsidRPr="00F267CA">
              <w:rPr>
                <w:b/>
                <w:sz w:val="16"/>
                <w:szCs w:val="16"/>
              </w:rPr>
              <w:t>Information technology</w:t>
            </w:r>
          </w:p>
        </w:tc>
        <w:tc>
          <w:tcPr>
            <w:tcW w:w="1133" w:type="dxa"/>
          </w:tcPr>
          <w:p w14:paraId="67A5318D" w14:textId="77777777" w:rsidR="00054872" w:rsidRPr="00F267CA" w:rsidRDefault="00054872" w:rsidP="00C84610">
            <w:pPr>
              <w:jc w:val="center"/>
              <w:rPr>
                <w:b/>
                <w:sz w:val="16"/>
                <w:szCs w:val="16"/>
              </w:rPr>
            </w:pPr>
            <w:r w:rsidRPr="00F267CA">
              <w:rPr>
                <w:b/>
                <w:sz w:val="16"/>
                <w:szCs w:val="16"/>
              </w:rPr>
              <w:t>Furniture &amp; fittings</w:t>
            </w:r>
          </w:p>
        </w:tc>
        <w:tc>
          <w:tcPr>
            <w:tcW w:w="1454" w:type="dxa"/>
          </w:tcPr>
          <w:p w14:paraId="671C78E3" w14:textId="77777777" w:rsidR="00054872" w:rsidRPr="00F267CA" w:rsidRDefault="00054872" w:rsidP="00C84610">
            <w:pPr>
              <w:jc w:val="center"/>
              <w:rPr>
                <w:b/>
                <w:sz w:val="16"/>
                <w:szCs w:val="16"/>
              </w:rPr>
            </w:pPr>
            <w:r w:rsidRPr="00F267CA">
              <w:rPr>
                <w:b/>
                <w:sz w:val="16"/>
                <w:szCs w:val="16"/>
              </w:rPr>
              <w:t>Total</w:t>
            </w:r>
          </w:p>
          <w:p w14:paraId="4A5689DC" w14:textId="77777777" w:rsidR="00054872" w:rsidRPr="00F267CA" w:rsidRDefault="00054872" w:rsidP="00C84610">
            <w:pPr>
              <w:jc w:val="center"/>
              <w:rPr>
                <w:b/>
                <w:sz w:val="16"/>
                <w:szCs w:val="16"/>
              </w:rPr>
            </w:pPr>
          </w:p>
        </w:tc>
      </w:tr>
      <w:tr w:rsidR="00054872" w:rsidRPr="00863EC6" w14:paraId="1CDDCA87" w14:textId="77777777" w:rsidTr="54F71CB4">
        <w:tc>
          <w:tcPr>
            <w:tcW w:w="2801" w:type="dxa"/>
          </w:tcPr>
          <w:p w14:paraId="410AFB94" w14:textId="77777777" w:rsidR="00054872" w:rsidRPr="00863EC6" w:rsidRDefault="00054872" w:rsidP="00D651FB">
            <w:pPr>
              <w:rPr>
                <w:b/>
                <w:sz w:val="20"/>
                <w:szCs w:val="20"/>
              </w:rPr>
            </w:pPr>
            <w:r w:rsidRPr="00863EC6">
              <w:rPr>
                <w:b/>
                <w:sz w:val="20"/>
                <w:szCs w:val="20"/>
              </w:rPr>
              <w:t xml:space="preserve">Cost or valuation </w:t>
            </w:r>
          </w:p>
        </w:tc>
        <w:tc>
          <w:tcPr>
            <w:tcW w:w="1701" w:type="dxa"/>
          </w:tcPr>
          <w:p w14:paraId="5D624032" w14:textId="77777777" w:rsidR="00054872" w:rsidRPr="00863EC6" w:rsidRDefault="00054872" w:rsidP="00C84610">
            <w:pPr>
              <w:jc w:val="center"/>
              <w:rPr>
                <w:b/>
                <w:sz w:val="20"/>
                <w:szCs w:val="20"/>
              </w:rPr>
            </w:pPr>
            <w:r w:rsidRPr="00863EC6">
              <w:rPr>
                <w:b/>
                <w:sz w:val="20"/>
                <w:szCs w:val="20"/>
              </w:rPr>
              <w:t>£</w:t>
            </w:r>
          </w:p>
        </w:tc>
        <w:tc>
          <w:tcPr>
            <w:tcW w:w="1417" w:type="dxa"/>
          </w:tcPr>
          <w:p w14:paraId="1D45996E" w14:textId="77777777" w:rsidR="00054872" w:rsidRPr="00863EC6" w:rsidRDefault="00054872" w:rsidP="00C84610">
            <w:pPr>
              <w:jc w:val="center"/>
              <w:rPr>
                <w:b/>
                <w:sz w:val="20"/>
                <w:szCs w:val="20"/>
              </w:rPr>
            </w:pPr>
            <w:r w:rsidRPr="00863EC6">
              <w:rPr>
                <w:b/>
                <w:sz w:val="20"/>
                <w:szCs w:val="20"/>
              </w:rPr>
              <w:t>£</w:t>
            </w:r>
          </w:p>
        </w:tc>
        <w:tc>
          <w:tcPr>
            <w:tcW w:w="1133" w:type="dxa"/>
          </w:tcPr>
          <w:p w14:paraId="121BCD95" w14:textId="77777777" w:rsidR="00054872" w:rsidRPr="00863EC6" w:rsidRDefault="00054872" w:rsidP="00C84610">
            <w:pPr>
              <w:jc w:val="center"/>
              <w:rPr>
                <w:b/>
                <w:sz w:val="20"/>
                <w:szCs w:val="20"/>
              </w:rPr>
            </w:pPr>
            <w:r w:rsidRPr="00863EC6">
              <w:rPr>
                <w:b/>
                <w:sz w:val="20"/>
                <w:szCs w:val="20"/>
              </w:rPr>
              <w:t>£</w:t>
            </w:r>
          </w:p>
        </w:tc>
        <w:tc>
          <w:tcPr>
            <w:tcW w:w="1454" w:type="dxa"/>
          </w:tcPr>
          <w:p w14:paraId="5AC6EF79" w14:textId="77777777" w:rsidR="00054872" w:rsidRPr="00863EC6" w:rsidRDefault="00054872" w:rsidP="00C84610">
            <w:pPr>
              <w:jc w:val="center"/>
              <w:rPr>
                <w:b/>
                <w:sz w:val="20"/>
                <w:szCs w:val="20"/>
              </w:rPr>
            </w:pPr>
            <w:r w:rsidRPr="00863EC6">
              <w:rPr>
                <w:b/>
                <w:sz w:val="20"/>
                <w:szCs w:val="20"/>
              </w:rPr>
              <w:t>£</w:t>
            </w:r>
          </w:p>
        </w:tc>
      </w:tr>
      <w:tr w:rsidR="00054872" w:rsidRPr="00863EC6" w14:paraId="7808519D" w14:textId="77777777" w:rsidTr="54F71CB4">
        <w:tc>
          <w:tcPr>
            <w:tcW w:w="2801" w:type="dxa"/>
          </w:tcPr>
          <w:p w14:paraId="03AF6128" w14:textId="6920B606" w:rsidR="00054872" w:rsidRPr="00863EC6" w:rsidRDefault="00054872" w:rsidP="00D651FB">
            <w:pPr>
              <w:rPr>
                <w:sz w:val="20"/>
                <w:szCs w:val="20"/>
              </w:rPr>
            </w:pPr>
            <w:proofErr w:type="gramStart"/>
            <w:r w:rsidRPr="00863EC6">
              <w:rPr>
                <w:sz w:val="20"/>
                <w:szCs w:val="20"/>
              </w:rPr>
              <w:t>At</w:t>
            </w:r>
            <w:proofErr w:type="gramEnd"/>
            <w:r w:rsidRPr="00863EC6">
              <w:rPr>
                <w:sz w:val="20"/>
                <w:szCs w:val="20"/>
              </w:rPr>
              <w:t xml:space="preserve"> 1 April 20</w:t>
            </w:r>
            <w:r>
              <w:rPr>
                <w:sz w:val="20"/>
                <w:szCs w:val="20"/>
              </w:rPr>
              <w:t>2</w:t>
            </w:r>
            <w:r w:rsidR="00C10832">
              <w:rPr>
                <w:sz w:val="20"/>
                <w:szCs w:val="20"/>
              </w:rPr>
              <w:t>3</w:t>
            </w:r>
          </w:p>
        </w:tc>
        <w:tc>
          <w:tcPr>
            <w:tcW w:w="1701" w:type="dxa"/>
          </w:tcPr>
          <w:p w14:paraId="7A2EF346" w14:textId="112EF5BC" w:rsidR="00054872" w:rsidRPr="00863EC6" w:rsidRDefault="00C10832" w:rsidP="00C84610">
            <w:pPr>
              <w:jc w:val="center"/>
              <w:rPr>
                <w:sz w:val="20"/>
                <w:szCs w:val="20"/>
              </w:rPr>
            </w:pPr>
            <w:r>
              <w:rPr>
                <w:sz w:val="20"/>
                <w:szCs w:val="20"/>
              </w:rPr>
              <w:t>621</w:t>
            </w:r>
            <w:r w:rsidR="00C84610">
              <w:rPr>
                <w:sz w:val="20"/>
                <w:szCs w:val="20"/>
              </w:rPr>
              <w:t>,</w:t>
            </w:r>
            <w:r>
              <w:rPr>
                <w:sz w:val="20"/>
                <w:szCs w:val="20"/>
              </w:rPr>
              <w:t>693</w:t>
            </w:r>
          </w:p>
        </w:tc>
        <w:tc>
          <w:tcPr>
            <w:tcW w:w="1417" w:type="dxa"/>
          </w:tcPr>
          <w:p w14:paraId="7637CA06" w14:textId="03B6A61C" w:rsidR="00054872" w:rsidRPr="00863EC6" w:rsidRDefault="00C84610" w:rsidP="00C84610">
            <w:pPr>
              <w:jc w:val="center"/>
              <w:rPr>
                <w:sz w:val="20"/>
                <w:szCs w:val="20"/>
              </w:rPr>
            </w:pPr>
            <w:r>
              <w:rPr>
                <w:sz w:val="20"/>
                <w:szCs w:val="20"/>
              </w:rPr>
              <w:t>91,493</w:t>
            </w:r>
          </w:p>
        </w:tc>
        <w:tc>
          <w:tcPr>
            <w:tcW w:w="1133" w:type="dxa"/>
          </w:tcPr>
          <w:p w14:paraId="554E4349" w14:textId="77777777" w:rsidR="00054872" w:rsidRPr="00863EC6" w:rsidRDefault="00054872" w:rsidP="00C84610">
            <w:pPr>
              <w:jc w:val="center"/>
              <w:rPr>
                <w:sz w:val="20"/>
                <w:szCs w:val="20"/>
              </w:rPr>
            </w:pPr>
            <w:r>
              <w:rPr>
                <w:sz w:val="20"/>
                <w:szCs w:val="20"/>
              </w:rPr>
              <w:t>93,393</w:t>
            </w:r>
          </w:p>
        </w:tc>
        <w:tc>
          <w:tcPr>
            <w:tcW w:w="1454" w:type="dxa"/>
          </w:tcPr>
          <w:p w14:paraId="3C287B20" w14:textId="3D5EE576" w:rsidR="00054872" w:rsidRPr="00863EC6" w:rsidRDefault="00C10832" w:rsidP="00C84610">
            <w:pPr>
              <w:jc w:val="center"/>
              <w:rPr>
                <w:sz w:val="20"/>
                <w:szCs w:val="20"/>
              </w:rPr>
            </w:pPr>
            <w:r>
              <w:rPr>
                <w:sz w:val="20"/>
                <w:szCs w:val="20"/>
              </w:rPr>
              <w:t>806</w:t>
            </w:r>
            <w:r w:rsidR="00C84610">
              <w:rPr>
                <w:sz w:val="20"/>
                <w:szCs w:val="20"/>
              </w:rPr>
              <w:t>,</w:t>
            </w:r>
            <w:r>
              <w:rPr>
                <w:sz w:val="20"/>
                <w:szCs w:val="20"/>
              </w:rPr>
              <w:t>579</w:t>
            </w:r>
          </w:p>
        </w:tc>
      </w:tr>
      <w:tr w:rsidR="00054872" w:rsidRPr="00863EC6" w14:paraId="717FE054" w14:textId="77777777" w:rsidTr="54F71CB4">
        <w:tc>
          <w:tcPr>
            <w:tcW w:w="2801" w:type="dxa"/>
          </w:tcPr>
          <w:p w14:paraId="722FEFD0" w14:textId="77777777" w:rsidR="00054872" w:rsidRPr="00863EC6" w:rsidRDefault="00054872" w:rsidP="00D651FB">
            <w:pPr>
              <w:rPr>
                <w:sz w:val="20"/>
                <w:szCs w:val="20"/>
              </w:rPr>
            </w:pPr>
            <w:r w:rsidRPr="00863EC6">
              <w:rPr>
                <w:sz w:val="20"/>
                <w:szCs w:val="20"/>
              </w:rPr>
              <w:t>Additions</w:t>
            </w:r>
          </w:p>
        </w:tc>
        <w:tc>
          <w:tcPr>
            <w:tcW w:w="1701" w:type="dxa"/>
          </w:tcPr>
          <w:p w14:paraId="34100177" w14:textId="77777777" w:rsidR="00054872" w:rsidRPr="00863EC6" w:rsidRDefault="00054872" w:rsidP="00C84610">
            <w:pPr>
              <w:jc w:val="center"/>
              <w:rPr>
                <w:sz w:val="20"/>
                <w:szCs w:val="20"/>
              </w:rPr>
            </w:pPr>
            <w:r>
              <w:rPr>
                <w:sz w:val="20"/>
                <w:szCs w:val="20"/>
              </w:rPr>
              <w:t>0</w:t>
            </w:r>
          </w:p>
        </w:tc>
        <w:tc>
          <w:tcPr>
            <w:tcW w:w="1417" w:type="dxa"/>
          </w:tcPr>
          <w:p w14:paraId="6514F24B" w14:textId="6260CF98" w:rsidR="00054872" w:rsidRPr="00863EC6" w:rsidRDefault="00C10832" w:rsidP="00C84610">
            <w:pPr>
              <w:jc w:val="center"/>
              <w:rPr>
                <w:sz w:val="20"/>
                <w:szCs w:val="20"/>
              </w:rPr>
            </w:pPr>
            <w:r>
              <w:rPr>
                <w:sz w:val="20"/>
                <w:szCs w:val="20"/>
              </w:rPr>
              <w:t>28,970</w:t>
            </w:r>
          </w:p>
        </w:tc>
        <w:tc>
          <w:tcPr>
            <w:tcW w:w="1133" w:type="dxa"/>
          </w:tcPr>
          <w:p w14:paraId="6FA00CB2" w14:textId="77777777" w:rsidR="00054872" w:rsidRPr="00863EC6" w:rsidRDefault="00054872" w:rsidP="00C84610">
            <w:pPr>
              <w:jc w:val="center"/>
              <w:rPr>
                <w:sz w:val="20"/>
                <w:szCs w:val="20"/>
              </w:rPr>
            </w:pPr>
            <w:r>
              <w:rPr>
                <w:sz w:val="20"/>
                <w:szCs w:val="20"/>
              </w:rPr>
              <w:t>0</w:t>
            </w:r>
          </w:p>
        </w:tc>
        <w:tc>
          <w:tcPr>
            <w:tcW w:w="1454" w:type="dxa"/>
          </w:tcPr>
          <w:p w14:paraId="1D4EC247" w14:textId="017A0A61" w:rsidR="00054872" w:rsidRPr="00863EC6" w:rsidRDefault="00C10832" w:rsidP="00C84610">
            <w:pPr>
              <w:jc w:val="center"/>
              <w:rPr>
                <w:sz w:val="20"/>
                <w:szCs w:val="20"/>
              </w:rPr>
            </w:pPr>
            <w:r>
              <w:rPr>
                <w:sz w:val="20"/>
                <w:szCs w:val="20"/>
              </w:rPr>
              <w:t>28,970</w:t>
            </w:r>
          </w:p>
        </w:tc>
      </w:tr>
      <w:tr w:rsidR="00C10832" w:rsidRPr="00863EC6" w14:paraId="1649F619" w14:textId="77777777" w:rsidTr="54F71CB4">
        <w:tc>
          <w:tcPr>
            <w:tcW w:w="2801" w:type="dxa"/>
          </w:tcPr>
          <w:p w14:paraId="2F1A8F9E" w14:textId="41680979" w:rsidR="00C10832" w:rsidRPr="00863EC6" w:rsidRDefault="00C10832" w:rsidP="00D651FB">
            <w:pPr>
              <w:rPr>
                <w:sz w:val="20"/>
                <w:szCs w:val="20"/>
              </w:rPr>
            </w:pPr>
            <w:r>
              <w:rPr>
                <w:sz w:val="20"/>
                <w:szCs w:val="20"/>
              </w:rPr>
              <w:t>Disposals</w:t>
            </w:r>
          </w:p>
        </w:tc>
        <w:tc>
          <w:tcPr>
            <w:tcW w:w="1701" w:type="dxa"/>
          </w:tcPr>
          <w:p w14:paraId="29046BEE" w14:textId="4F4044C4" w:rsidR="00C10832" w:rsidRDefault="00C10832" w:rsidP="00C84610">
            <w:pPr>
              <w:jc w:val="center"/>
              <w:rPr>
                <w:sz w:val="20"/>
                <w:szCs w:val="20"/>
              </w:rPr>
            </w:pPr>
            <w:r>
              <w:rPr>
                <w:sz w:val="20"/>
                <w:szCs w:val="20"/>
              </w:rPr>
              <w:t>0</w:t>
            </w:r>
          </w:p>
        </w:tc>
        <w:tc>
          <w:tcPr>
            <w:tcW w:w="1417" w:type="dxa"/>
          </w:tcPr>
          <w:p w14:paraId="29AD4089" w14:textId="6EFC4750" w:rsidR="00C10832" w:rsidRDefault="5D16BCCF" w:rsidP="00C84610">
            <w:pPr>
              <w:jc w:val="center"/>
              <w:rPr>
                <w:sz w:val="20"/>
                <w:szCs w:val="20"/>
              </w:rPr>
            </w:pPr>
            <w:r w:rsidRPr="54F71CB4">
              <w:rPr>
                <w:sz w:val="20"/>
                <w:szCs w:val="20"/>
              </w:rPr>
              <w:t>(</w:t>
            </w:r>
            <w:r w:rsidR="2069FE4E" w:rsidRPr="54F71CB4">
              <w:rPr>
                <w:sz w:val="20"/>
                <w:szCs w:val="20"/>
              </w:rPr>
              <w:t>67,427</w:t>
            </w:r>
            <w:r w:rsidRPr="54F71CB4">
              <w:rPr>
                <w:sz w:val="20"/>
                <w:szCs w:val="20"/>
              </w:rPr>
              <w:t>)</w:t>
            </w:r>
          </w:p>
        </w:tc>
        <w:tc>
          <w:tcPr>
            <w:tcW w:w="1133" w:type="dxa"/>
          </w:tcPr>
          <w:p w14:paraId="76918EA6" w14:textId="7445323D" w:rsidR="00C10832" w:rsidRDefault="5D16BCCF" w:rsidP="00C84610">
            <w:pPr>
              <w:jc w:val="center"/>
              <w:rPr>
                <w:sz w:val="20"/>
                <w:szCs w:val="20"/>
              </w:rPr>
            </w:pPr>
            <w:r w:rsidRPr="54F71CB4">
              <w:rPr>
                <w:sz w:val="20"/>
                <w:szCs w:val="20"/>
              </w:rPr>
              <w:t>(</w:t>
            </w:r>
            <w:r w:rsidR="2069FE4E" w:rsidRPr="54F71CB4">
              <w:rPr>
                <w:sz w:val="20"/>
                <w:szCs w:val="20"/>
              </w:rPr>
              <w:t>5,238</w:t>
            </w:r>
            <w:r w:rsidRPr="54F71CB4">
              <w:rPr>
                <w:sz w:val="20"/>
                <w:szCs w:val="20"/>
              </w:rPr>
              <w:t>)</w:t>
            </w:r>
          </w:p>
        </w:tc>
        <w:tc>
          <w:tcPr>
            <w:tcW w:w="1454" w:type="dxa"/>
          </w:tcPr>
          <w:p w14:paraId="491A7010" w14:textId="54031A2A" w:rsidR="00C10832" w:rsidRDefault="5D16BCCF" w:rsidP="00C84610">
            <w:pPr>
              <w:jc w:val="center"/>
              <w:rPr>
                <w:sz w:val="20"/>
                <w:szCs w:val="20"/>
              </w:rPr>
            </w:pPr>
            <w:r w:rsidRPr="54F71CB4">
              <w:rPr>
                <w:sz w:val="20"/>
                <w:szCs w:val="20"/>
              </w:rPr>
              <w:t>(</w:t>
            </w:r>
            <w:r w:rsidR="2069FE4E" w:rsidRPr="54F71CB4">
              <w:rPr>
                <w:sz w:val="20"/>
                <w:szCs w:val="20"/>
              </w:rPr>
              <w:t>72,665</w:t>
            </w:r>
            <w:r w:rsidRPr="54F71CB4">
              <w:rPr>
                <w:sz w:val="20"/>
                <w:szCs w:val="20"/>
              </w:rPr>
              <w:t>)</w:t>
            </w:r>
          </w:p>
        </w:tc>
      </w:tr>
      <w:tr w:rsidR="00054872" w:rsidRPr="00863EC6" w14:paraId="0235AB98" w14:textId="77777777" w:rsidTr="54F71CB4">
        <w:tc>
          <w:tcPr>
            <w:tcW w:w="2801" w:type="dxa"/>
          </w:tcPr>
          <w:p w14:paraId="51CDDBBE" w14:textId="77777777" w:rsidR="00054872" w:rsidRDefault="00054872" w:rsidP="00D651FB">
            <w:pPr>
              <w:rPr>
                <w:sz w:val="20"/>
                <w:szCs w:val="20"/>
              </w:rPr>
            </w:pPr>
            <w:r>
              <w:rPr>
                <w:sz w:val="20"/>
                <w:szCs w:val="20"/>
              </w:rPr>
              <w:t>Revaluation</w:t>
            </w:r>
          </w:p>
        </w:tc>
        <w:tc>
          <w:tcPr>
            <w:tcW w:w="1701" w:type="dxa"/>
          </w:tcPr>
          <w:p w14:paraId="6173F125" w14:textId="14C8FB09" w:rsidR="00054872" w:rsidRDefault="00C10832" w:rsidP="00C84610">
            <w:pPr>
              <w:jc w:val="center"/>
              <w:rPr>
                <w:sz w:val="20"/>
                <w:szCs w:val="20"/>
              </w:rPr>
            </w:pPr>
            <w:r>
              <w:rPr>
                <w:sz w:val="20"/>
                <w:szCs w:val="20"/>
              </w:rPr>
              <w:t>15</w:t>
            </w:r>
            <w:r w:rsidR="00C84610">
              <w:rPr>
                <w:sz w:val="20"/>
                <w:szCs w:val="20"/>
              </w:rPr>
              <w:t>,</w:t>
            </w:r>
            <w:r>
              <w:rPr>
                <w:sz w:val="20"/>
                <w:szCs w:val="20"/>
              </w:rPr>
              <w:t>241</w:t>
            </w:r>
          </w:p>
        </w:tc>
        <w:tc>
          <w:tcPr>
            <w:tcW w:w="1417" w:type="dxa"/>
          </w:tcPr>
          <w:p w14:paraId="37F71293" w14:textId="77777777" w:rsidR="00054872" w:rsidRDefault="00054872" w:rsidP="00C84610">
            <w:pPr>
              <w:jc w:val="center"/>
              <w:rPr>
                <w:sz w:val="20"/>
                <w:szCs w:val="20"/>
              </w:rPr>
            </w:pPr>
            <w:r>
              <w:rPr>
                <w:sz w:val="20"/>
                <w:szCs w:val="20"/>
              </w:rPr>
              <w:t>0</w:t>
            </w:r>
          </w:p>
        </w:tc>
        <w:tc>
          <w:tcPr>
            <w:tcW w:w="1133" w:type="dxa"/>
          </w:tcPr>
          <w:p w14:paraId="1C906E17" w14:textId="77777777" w:rsidR="00054872" w:rsidRDefault="00054872" w:rsidP="00C84610">
            <w:pPr>
              <w:jc w:val="center"/>
              <w:rPr>
                <w:sz w:val="20"/>
                <w:szCs w:val="20"/>
              </w:rPr>
            </w:pPr>
            <w:r>
              <w:rPr>
                <w:sz w:val="20"/>
                <w:szCs w:val="20"/>
              </w:rPr>
              <w:t>0</w:t>
            </w:r>
          </w:p>
        </w:tc>
        <w:tc>
          <w:tcPr>
            <w:tcW w:w="1454" w:type="dxa"/>
          </w:tcPr>
          <w:p w14:paraId="7A1B3E65" w14:textId="05E935D8" w:rsidR="00054872" w:rsidRDefault="00C10832" w:rsidP="00C84610">
            <w:pPr>
              <w:jc w:val="center"/>
              <w:rPr>
                <w:sz w:val="20"/>
                <w:szCs w:val="20"/>
              </w:rPr>
            </w:pPr>
            <w:r>
              <w:rPr>
                <w:sz w:val="20"/>
                <w:szCs w:val="20"/>
              </w:rPr>
              <w:t>15,241</w:t>
            </w:r>
          </w:p>
        </w:tc>
      </w:tr>
      <w:tr w:rsidR="00054872" w:rsidRPr="00863EC6" w14:paraId="3321165D" w14:textId="77777777" w:rsidTr="54F71CB4">
        <w:tc>
          <w:tcPr>
            <w:tcW w:w="2801" w:type="dxa"/>
          </w:tcPr>
          <w:p w14:paraId="6004A648" w14:textId="7A7E5397" w:rsidR="00054872" w:rsidRPr="00863EC6" w:rsidRDefault="00054872" w:rsidP="00D651FB">
            <w:pPr>
              <w:rPr>
                <w:sz w:val="20"/>
                <w:szCs w:val="20"/>
              </w:rPr>
            </w:pPr>
            <w:proofErr w:type="gramStart"/>
            <w:r w:rsidRPr="00863EC6">
              <w:rPr>
                <w:sz w:val="20"/>
                <w:szCs w:val="20"/>
              </w:rPr>
              <w:t>At</w:t>
            </w:r>
            <w:proofErr w:type="gramEnd"/>
            <w:r w:rsidRPr="00863EC6">
              <w:rPr>
                <w:sz w:val="20"/>
                <w:szCs w:val="20"/>
              </w:rPr>
              <w:t xml:space="preserve"> </w:t>
            </w:r>
            <w:r>
              <w:rPr>
                <w:sz w:val="20"/>
                <w:szCs w:val="20"/>
              </w:rPr>
              <w:t>31 March 202</w:t>
            </w:r>
            <w:r w:rsidR="00C10832">
              <w:rPr>
                <w:sz w:val="20"/>
                <w:szCs w:val="20"/>
              </w:rPr>
              <w:t>4</w:t>
            </w:r>
          </w:p>
        </w:tc>
        <w:tc>
          <w:tcPr>
            <w:tcW w:w="1701" w:type="dxa"/>
            <w:tcBorders>
              <w:top w:val="single" w:sz="4" w:space="0" w:color="auto"/>
              <w:bottom w:val="single" w:sz="4" w:space="0" w:color="auto"/>
            </w:tcBorders>
          </w:tcPr>
          <w:p w14:paraId="2D6BFD9D" w14:textId="093E00B2" w:rsidR="00054872" w:rsidRPr="00863EC6" w:rsidRDefault="00C84610" w:rsidP="00C84610">
            <w:pPr>
              <w:jc w:val="center"/>
              <w:rPr>
                <w:sz w:val="20"/>
                <w:szCs w:val="20"/>
              </w:rPr>
            </w:pPr>
            <w:r>
              <w:rPr>
                <w:sz w:val="20"/>
                <w:szCs w:val="20"/>
              </w:rPr>
              <w:t>6</w:t>
            </w:r>
            <w:r w:rsidR="00C10832">
              <w:rPr>
                <w:sz w:val="20"/>
                <w:szCs w:val="20"/>
              </w:rPr>
              <w:t>36</w:t>
            </w:r>
            <w:r>
              <w:rPr>
                <w:sz w:val="20"/>
                <w:szCs w:val="20"/>
              </w:rPr>
              <w:t>,</w:t>
            </w:r>
            <w:r w:rsidR="00C10832">
              <w:rPr>
                <w:sz w:val="20"/>
                <w:szCs w:val="20"/>
              </w:rPr>
              <w:t>934</w:t>
            </w:r>
          </w:p>
        </w:tc>
        <w:tc>
          <w:tcPr>
            <w:tcW w:w="1417" w:type="dxa"/>
            <w:tcBorders>
              <w:top w:val="single" w:sz="4" w:space="0" w:color="auto"/>
              <w:bottom w:val="single" w:sz="4" w:space="0" w:color="auto"/>
            </w:tcBorders>
          </w:tcPr>
          <w:p w14:paraId="22ED3845" w14:textId="23FDFFBC" w:rsidR="00054872" w:rsidRPr="00863EC6" w:rsidRDefault="00C10832" w:rsidP="00C84610">
            <w:pPr>
              <w:jc w:val="center"/>
              <w:rPr>
                <w:sz w:val="20"/>
                <w:szCs w:val="20"/>
              </w:rPr>
            </w:pPr>
            <w:r>
              <w:rPr>
                <w:sz w:val="20"/>
                <w:szCs w:val="20"/>
              </w:rPr>
              <w:t>53</w:t>
            </w:r>
            <w:r w:rsidR="00054872">
              <w:rPr>
                <w:sz w:val="20"/>
                <w:szCs w:val="20"/>
              </w:rPr>
              <w:t>,</w:t>
            </w:r>
            <w:r>
              <w:rPr>
                <w:sz w:val="20"/>
                <w:szCs w:val="20"/>
              </w:rPr>
              <w:t>036</w:t>
            </w:r>
          </w:p>
        </w:tc>
        <w:tc>
          <w:tcPr>
            <w:tcW w:w="1133" w:type="dxa"/>
            <w:tcBorders>
              <w:top w:val="single" w:sz="4" w:space="0" w:color="auto"/>
              <w:bottom w:val="single" w:sz="4" w:space="0" w:color="auto"/>
            </w:tcBorders>
          </w:tcPr>
          <w:p w14:paraId="01946671" w14:textId="00C69816" w:rsidR="00054872" w:rsidRPr="00863EC6" w:rsidRDefault="00C10832" w:rsidP="00C84610">
            <w:pPr>
              <w:jc w:val="center"/>
              <w:rPr>
                <w:sz w:val="20"/>
                <w:szCs w:val="20"/>
              </w:rPr>
            </w:pPr>
            <w:r>
              <w:rPr>
                <w:sz w:val="20"/>
                <w:szCs w:val="20"/>
              </w:rPr>
              <w:t>88</w:t>
            </w:r>
            <w:r w:rsidR="00054872">
              <w:rPr>
                <w:sz w:val="20"/>
                <w:szCs w:val="20"/>
              </w:rPr>
              <w:t>,</w:t>
            </w:r>
            <w:r>
              <w:rPr>
                <w:sz w:val="20"/>
                <w:szCs w:val="20"/>
              </w:rPr>
              <w:t>155</w:t>
            </w:r>
          </w:p>
        </w:tc>
        <w:tc>
          <w:tcPr>
            <w:tcW w:w="1454" w:type="dxa"/>
            <w:tcBorders>
              <w:top w:val="single" w:sz="4" w:space="0" w:color="auto"/>
              <w:bottom w:val="single" w:sz="4" w:space="0" w:color="auto"/>
            </w:tcBorders>
          </w:tcPr>
          <w:p w14:paraId="43190D54" w14:textId="2FB15E43" w:rsidR="00054872" w:rsidRPr="00863EC6" w:rsidRDefault="00C10832" w:rsidP="00C84610">
            <w:pPr>
              <w:jc w:val="center"/>
              <w:rPr>
                <w:sz w:val="20"/>
                <w:szCs w:val="20"/>
              </w:rPr>
            </w:pPr>
            <w:r>
              <w:rPr>
                <w:sz w:val="20"/>
                <w:szCs w:val="20"/>
              </w:rPr>
              <w:t>778</w:t>
            </w:r>
            <w:r w:rsidR="00C84610">
              <w:rPr>
                <w:sz w:val="20"/>
                <w:szCs w:val="20"/>
              </w:rPr>
              <w:t>,</w:t>
            </w:r>
            <w:r>
              <w:rPr>
                <w:sz w:val="20"/>
                <w:szCs w:val="20"/>
              </w:rPr>
              <w:t>125</w:t>
            </w:r>
          </w:p>
        </w:tc>
      </w:tr>
      <w:tr w:rsidR="00054872" w:rsidRPr="00863EC6" w14:paraId="365B8ACA" w14:textId="77777777" w:rsidTr="54F71CB4">
        <w:tc>
          <w:tcPr>
            <w:tcW w:w="2801" w:type="dxa"/>
          </w:tcPr>
          <w:p w14:paraId="17FA4CAC" w14:textId="77777777" w:rsidR="00092A71" w:rsidRDefault="00092A71" w:rsidP="00D651FB">
            <w:pPr>
              <w:rPr>
                <w:b/>
                <w:sz w:val="20"/>
                <w:szCs w:val="20"/>
              </w:rPr>
            </w:pPr>
          </w:p>
          <w:p w14:paraId="1763AA7B" w14:textId="40445193" w:rsidR="00054872" w:rsidRPr="00863EC6" w:rsidRDefault="00054872" w:rsidP="00D651FB">
            <w:pPr>
              <w:rPr>
                <w:b/>
                <w:sz w:val="20"/>
                <w:szCs w:val="20"/>
              </w:rPr>
            </w:pPr>
            <w:r w:rsidRPr="00863EC6">
              <w:rPr>
                <w:b/>
                <w:sz w:val="20"/>
                <w:szCs w:val="20"/>
              </w:rPr>
              <w:t>Depreciation</w:t>
            </w:r>
          </w:p>
        </w:tc>
        <w:tc>
          <w:tcPr>
            <w:tcW w:w="1701" w:type="dxa"/>
          </w:tcPr>
          <w:p w14:paraId="658FE91A" w14:textId="77777777" w:rsidR="00054872" w:rsidRPr="00863EC6" w:rsidRDefault="00054872" w:rsidP="00C84610">
            <w:pPr>
              <w:jc w:val="center"/>
              <w:rPr>
                <w:sz w:val="20"/>
                <w:szCs w:val="20"/>
              </w:rPr>
            </w:pPr>
          </w:p>
        </w:tc>
        <w:tc>
          <w:tcPr>
            <w:tcW w:w="1417" w:type="dxa"/>
          </w:tcPr>
          <w:p w14:paraId="5CEE8208" w14:textId="77777777" w:rsidR="00054872" w:rsidRPr="00863EC6" w:rsidRDefault="00054872" w:rsidP="00C84610">
            <w:pPr>
              <w:jc w:val="center"/>
              <w:rPr>
                <w:sz w:val="20"/>
                <w:szCs w:val="20"/>
              </w:rPr>
            </w:pPr>
          </w:p>
        </w:tc>
        <w:tc>
          <w:tcPr>
            <w:tcW w:w="1133" w:type="dxa"/>
          </w:tcPr>
          <w:p w14:paraId="44FF42D9" w14:textId="77777777" w:rsidR="00054872" w:rsidRPr="00863EC6" w:rsidRDefault="00054872" w:rsidP="00C84610">
            <w:pPr>
              <w:jc w:val="center"/>
              <w:rPr>
                <w:sz w:val="20"/>
                <w:szCs w:val="20"/>
              </w:rPr>
            </w:pPr>
          </w:p>
        </w:tc>
        <w:tc>
          <w:tcPr>
            <w:tcW w:w="1454" w:type="dxa"/>
          </w:tcPr>
          <w:p w14:paraId="16B19987" w14:textId="77777777" w:rsidR="00054872" w:rsidRPr="00863EC6" w:rsidRDefault="00054872" w:rsidP="00C84610">
            <w:pPr>
              <w:jc w:val="center"/>
              <w:rPr>
                <w:sz w:val="20"/>
                <w:szCs w:val="20"/>
              </w:rPr>
            </w:pPr>
          </w:p>
        </w:tc>
      </w:tr>
      <w:tr w:rsidR="00054872" w:rsidRPr="00863EC6" w14:paraId="1ABA4210" w14:textId="77777777" w:rsidTr="54F71CB4">
        <w:tc>
          <w:tcPr>
            <w:tcW w:w="2801" w:type="dxa"/>
          </w:tcPr>
          <w:p w14:paraId="70E82A71" w14:textId="53C6E699" w:rsidR="00054872" w:rsidRPr="00863EC6" w:rsidRDefault="00054872" w:rsidP="00D651FB">
            <w:pPr>
              <w:rPr>
                <w:sz w:val="20"/>
                <w:szCs w:val="20"/>
              </w:rPr>
            </w:pPr>
            <w:proofErr w:type="gramStart"/>
            <w:r w:rsidRPr="00863EC6">
              <w:rPr>
                <w:sz w:val="20"/>
                <w:szCs w:val="20"/>
              </w:rPr>
              <w:t>At</w:t>
            </w:r>
            <w:proofErr w:type="gramEnd"/>
            <w:r w:rsidRPr="00863EC6">
              <w:rPr>
                <w:sz w:val="20"/>
                <w:szCs w:val="20"/>
              </w:rPr>
              <w:t xml:space="preserve"> 1 April 20</w:t>
            </w:r>
            <w:r>
              <w:rPr>
                <w:sz w:val="20"/>
                <w:szCs w:val="20"/>
              </w:rPr>
              <w:t>2</w:t>
            </w:r>
            <w:r w:rsidR="00C10832">
              <w:rPr>
                <w:sz w:val="20"/>
                <w:szCs w:val="20"/>
              </w:rPr>
              <w:t>3</w:t>
            </w:r>
          </w:p>
        </w:tc>
        <w:tc>
          <w:tcPr>
            <w:tcW w:w="1701" w:type="dxa"/>
          </w:tcPr>
          <w:p w14:paraId="15B120B2" w14:textId="369237AB" w:rsidR="00054872" w:rsidRPr="00863EC6" w:rsidRDefault="00C10832" w:rsidP="00C84610">
            <w:pPr>
              <w:jc w:val="center"/>
              <w:rPr>
                <w:sz w:val="20"/>
                <w:szCs w:val="20"/>
              </w:rPr>
            </w:pPr>
            <w:r>
              <w:rPr>
                <w:sz w:val="20"/>
                <w:szCs w:val="20"/>
              </w:rPr>
              <w:t>197</w:t>
            </w:r>
            <w:r w:rsidR="00C84610">
              <w:rPr>
                <w:sz w:val="20"/>
                <w:szCs w:val="20"/>
              </w:rPr>
              <w:t>,</w:t>
            </w:r>
            <w:r>
              <w:rPr>
                <w:sz w:val="20"/>
                <w:szCs w:val="20"/>
              </w:rPr>
              <w:t>431</w:t>
            </w:r>
          </w:p>
        </w:tc>
        <w:tc>
          <w:tcPr>
            <w:tcW w:w="1417" w:type="dxa"/>
          </w:tcPr>
          <w:p w14:paraId="47401904" w14:textId="22D0D1A2" w:rsidR="00054872" w:rsidRPr="00863EC6" w:rsidRDefault="00C10832" w:rsidP="00C84610">
            <w:pPr>
              <w:jc w:val="center"/>
              <w:rPr>
                <w:sz w:val="20"/>
                <w:szCs w:val="20"/>
              </w:rPr>
            </w:pPr>
            <w:r>
              <w:rPr>
                <w:sz w:val="20"/>
                <w:szCs w:val="20"/>
              </w:rPr>
              <w:t>82</w:t>
            </w:r>
            <w:r w:rsidR="00C84610">
              <w:rPr>
                <w:sz w:val="20"/>
                <w:szCs w:val="20"/>
              </w:rPr>
              <w:t>,</w:t>
            </w:r>
            <w:r>
              <w:rPr>
                <w:sz w:val="20"/>
                <w:szCs w:val="20"/>
              </w:rPr>
              <w:t>461</w:t>
            </w:r>
          </w:p>
        </w:tc>
        <w:tc>
          <w:tcPr>
            <w:tcW w:w="1133" w:type="dxa"/>
          </w:tcPr>
          <w:p w14:paraId="010C8BD1" w14:textId="3B88D0A5" w:rsidR="00054872" w:rsidRPr="00863EC6" w:rsidRDefault="005F35DE" w:rsidP="00C84610">
            <w:pPr>
              <w:jc w:val="center"/>
              <w:rPr>
                <w:sz w:val="20"/>
                <w:szCs w:val="20"/>
              </w:rPr>
            </w:pPr>
            <w:r>
              <w:rPr>
                <w:sz w:val="20"/>
                <w:szCs w:val="20"/>
              </w:rPr>
              <w:t>46</w:t>
            </w:r>
            <w:r w:rsidR="00C84610">
              <w:rPr>
                <w:sz w:val="20"/>
                <w:szCs w:val="20"/>
              </w:rPr>
              <w:t>,</w:t>
            </w:r>
            <w:r>
              <w:rPr>
                <w:sz w:val="20"/>
                <w:szCs w:val="20"/>
              </w:rPr>
              <w:t>602</w:t>
            </w:r>
          </w:p>
        </w:tc>
        <w:tc>
          <w:tcPr>
            <w:tcW w:w="1454" w:type="dxa"/>
          </w:tcPr>
          <w:p w14:paraId="4F2D5F9F" w14:textId="0773C6E2" w:rsidR="00054872" w:rsidRPr="00863EC6" w:rsidRDefault="005F35DE" w:rsidP="00C84610">
            <w:pPr>
              <w:jc w:val="center"/>
              <w:rPr>
                <w:sz w:val="20"/>
                <w:szCs w:val="20"/>
              </w:rPr>
            </w:pPr>
            <w:r>
              <w:rPr>
                <w:sz w:val="20"/>
                <w:szCs w:val="20"/>
              </w:rPr>
              <w:t>326</w:t>
            </w:r>
            <w:r w:rsidR="00C84610">
              <w:rPr>
                <w:sz w:val="20"/>
                <w:szCs w:val="20"/>
              </w:rPr>
              <w:t>,</w:t>
            </w:r>
            <w:r>
              <w:rPr>
                <w:sz w:val="20"/>
                <w:szCs w:val="20"/>
              </w:rPr>
              <w:t>494</w:t>
            </w:r>
          </w:p>
        </w:tc>
      </w:tr>
      <w:tr w:rsidR="00054872" w:rsidRPr="00863EC6" w14:paraId="59081210" w14:textId="77777777" w:rsidTr="54F71CB4">
        <w:tc>
          <w:tcPr>
            <w:tcW w:w="2801" w:type="dxa"/>
          </w:tcPr>
          <w:p w14:paraId="7685177B" w14:textId="77777777" w:rsidR="00054872" w:rsidRPr="00863EC6" w:rsidRDefault="00054872" w:rsidP="00D651FB">
            <w:pPr>
              <w:rPr>
                <w:sz w:val="20"/>
                <w:szCs w:val="20"/>
              </w:rPr>
            </w:pPr>
            <w:r w:rsidRPr="00863EC6">
              <w:rPr>
                <w:sz w:val="20"/>
                <w:szCs w:val="20"/>
              </w:rPr>
              <w:t>Charged in year</w:t>
            </w:r>
          </w:p>
        </w:tc>
        <w:tc>
          <w:tcPr>
            <w:tcW w:w="1701" w:type="dxa"/>
          </w:tcPr>
          <w:p w14:paraId="6AE2C84F" w14:textId="2426136B" w:rsidR="00054872" w:rsidRPr="00863EC6" w:rsidRDefault="00C84610" w:rsidP="00C84610">
            <w:pPr>
              <w:jc w:val="center"/>
              <w:rPr>
                <w:sz w:val="20"/>
                <w:szCs w:val="20"/>
              </w:rPr>
            </w:pPr>
            <w:r>
              <w:rPr>
                <w:sz w:val="20"/>
                <w:szCs w:val="20"/>
              </w:rPr>
              <w:t>7</w:t>
            </w:r>
            <w:r w:rsidR="00C10832">
              <w:rPr>
                <w:sz w:val="20"/>
                <w:szCs w:val="20"/>
              </w:rPr>
              <w:t>3</w:t>
            </w:r>
            <w:r>
              <w:rPr>
                <w:sz w:val="20"/>
                <w:szCs w:val="20"/>
              </w:rPr>
              <w:t>,</w:t>
            </w:r>
            <w:r w:rsidR="00C10832">
              <w:rPr>
                <w:sz w:val="20"/>
                <w:szCs w:val="20"/>
              </w:rPr>
              <w:t>688</w:t>
            </w:r>
          </w:p>
        </w:tc>
        <w:tc>
          <w:tcPr>
            <w:tcW w:w="1417" w:type="dxa"/>
          </w:tcPr>
          <w:p w14:paraId="192B7E01" w14:textId="516472DF" w:rsidR="00054872" w:rsidRPr="00863EC6" w:rsidRDefault="00C10832" w:rsidP="00C84610">
            <w:pPr>
              <w:jc w:val="center"/>
              <w:rPr>
                <w:sz w:val="20"/>
                <w:szCs w:val="20"/>
              </w:rPr>
            </w:pPr>
            <w:r>
              <w:rPr>
                <w:sz w:val="20"/>
                <w:szCs w:val="20"/>
              </w:rPr>
              <w:t>13</w:t>
            </w:r>
            <w:r w:rsidR="00C84610">
              <w:rPr>
                <w:sz w:val="20"/>
                <w:szCs w:val="20"/>
              </w:rPr>
              <w:t>,</w:t>
            </w:r>
            <w:r>
              <w:rPr>
                <w:sz w:val="20"/>
                <w:szCs w:val="20"/>
              </w:rPr>
              <w:t>305</w:t>
            </w:r>
          </w:p>
        </w:tc>
        <w:tc>
          <w:tcPr>
            <w:tcW w:w="1133" w:type="dxa"/>
          </w:tcPr>
          <w:p w14:paraId="348DB738" w14:textId="7F4DDFDD" w:rsidR="00054872" w:rsidRPr="00863EC6" w:rsidRDefault="0076474C" w:rsidP="00C84610">
            <w:pPr>
              <w:jc w:val="center"/>
              <w:rPr>
                <w:sz w:val="20"/>
                <w:szCs w:val="20"/>
              </w:rPr>
            </w:pPr>
            <w:r>
              <w:rPr>
                <w:sz w:val="20"/>
                <w:szCs w:val="20"/>
              </w:rPr>
              <w:t>1</w:t>
            </w:r>
            <w:r w:rsidR="005F35DE">
              <w:rPr>
                <w:sz w:val="20"/>
                <w:szCs w:val="20"/>
              </w:rPr>
              <w:t>7</w:t>
            </w:r>
            <w:r w:rsidR="00C84610">
              <w:rPr>
                <w:sz w:val="20"/>
                <w:szCs w:val="20"/>
              </w:rPr>
              <w:t>,</w:t>
            </w:r>
            <w:r w:rsidR="005F35DE">
              <w:rPr>
                <w:sz w:val="20"/>
                <w:szCs w:val="20"/>
              </w:rPr>
              <w:t>675</w:t>
            </w:r>
          </w:p>
        </w:tc>
        <w:tc>
          <w:tcPr>
            <w:tcW w:w="1454" w:type="dxa"/>
          </w:tcPr>
          <w:p w14:paraId="0242D593" w14:textId="13568318" w:rsidR="00054872" w:rsidRPr="00863EC6" w:rsidRDefault="005F35DE" w:rsidP="00C84610">
            <w:pPr>
              <w:jc w:val="center"/>
              <w:rPr>
                <w:sz w:val="20"/>
                <w:szCs w:val="20"/>
              </w:rPr>
            </w:pPr>
            <w:r>
              <w:rPr>
                <w:sz w:val="20"/>
                <w:szCs w:val="20"/>
              </w:rPr>
              <w:t>104</w:t>
            </w:r>
            <w:r w:rsidR="00C84610">
              <w:rPr>
                <w:sz w:val="20"/>
                <w:szCs w:val="20"/>
              </w:rPr>
              <w:t>,</w:t>
            </w:r>
            <w:r>
              <w:rPr>
                <w:sz w:val="20"/>
                <w:szCs w:val="20"/>
              </w:rPr>
              <w:t>66</w:t>
            </w:r>
            <w:r w:rsidR="00BA18E1">
              <w:rPr>
                <w:sz w:val="20"/>
                <w:szCs w:val="20"/>
              </w:rPr>
              <w:t>8</w:t>
            </w:r>
          </w:p>
        </w:tc>
      </w:tr>
      <w:tr w:rsidR="00C10832" w:rsidRPr="00863EC6" w14:paraId="09A7054A" w14:textId="77777777" w:rsidTr="54F71CB4">
        <w:tc>
          <w:tcPr>
            <w:tcW w:w="2801" w:type="dxa"/>
          </w:tcPr>
          <w:p w14:paraId="0D956EDC" w14:textId="5C2E3285" w:rsidR="00C10832" w:rsidRPr="00863EC6" w:rsidRDefault="00C10832" w:rsidP="00D651FB">
            <w:pPr>
              <w:rPr>
                <w:sz w:val="20"/>
                <w:szCs w:val="20"/>
              </w:rPr>
            </w:pPr>
            <w:r>
              <w:rPr>
                <w:sz w:val="20"/>
                <w:szCs w:val="20"/>
              </w:rPr>
              <w:t>Disposals</w:t>
            </w:r>
          </w:p>
        </w:tc>
        <w:tc>
          <w:tcPr>
            <w:tcW w:w="1701" w:type="dxa"/>
          </w:tcPr>
          <w:p w14:paraId="38CAAEA9" w14:textId="7354F094" w:rsidR="00C10832" w:rsidRDefault="00C10832" w:rsidP="00C84610">
            <w:pPr>
              <w:jc w:val="center"/>
              <w:rPr>
                <w:sz w:val="20"/>
                <w:szCs w:val="20"/>
              </w:rPr>
            </w:pPr>
            <w:r>
              <w:rPr>
                <w:sz w:val="20"/>
                <w:szCs w:val="20"/>
              </w:rPr>
              <w:t>0</w:t>
            </w:r>
          </w:p>
        </w:tc>
        <w:tc>
          <w:tcPr>
            <w:tcW w:w="1417" w:type="dxa"/>
          </w:tcPr>
          <w:p w14:paraId="529B60D6" w14:textId="150F7BF5" w:rsidR="00C10832" w:rsidRDefault="6DEB2491" w:rsidP="00C84610">
            <w:pPr>
              <w:jc w:val="center"/>
              <w:rPr>
                <w:sz w:val="20"/>
                <w:szCs w:val="20"/>
              </w:rPr>
            </w:pPr>
            <w:r w:rsidRPr="54F71CB4">
              <w:rPr>
                <w:sz w:val="20"/>
                <w:szCs w:val="20"/>
              </w:rPr>
              <w:t>(</w:t>
            </w:r>
            <w:r w:rsidR="2069FE4E" w:rsidRPr="54F71CB4">
              <w:rPr>
                <w:sz w:val="20"/>
                <w:szCs w:val="20"/>
              </w:rPr>
              <w:t>67</w:t>
            </w:r>
            <w:r w:rsidR="005F35DE" w:rsidRPr="54F71CB4">
              <w:rPr>
                <w:sz w:val="20"/>
                <w:szCs w:val="20"/>
              </w:rPr>
              <w:t>,</w:t>
            </w:r>
            <w:r w:rsidR="2069FE4E" w:rsidRPr="54F71CB4">
              <w:rPr>
                <w:sz w:val="20"/>
                <w:szCs w:val="20"/>
              </w:rPr>
              <w:t>427</w:t>
            </w:r>
            <w:r w:rsidRPr="54F71CB4">
              <w:rPr>
                <w:sz w:val="20"/>
                <w:szCs w:val="20"/>
              </w:rPr>
              <w:t>)</w:t>
            </w:r>
          </w:p>
        </w:tc>
        <w:tc>
          <w:tcPr>
            <w:tcW w:w="1133" w:type="dxa"/>
          </w:tcPr>
          <w:p w14:paraId="2DDECA9C" w14:textId="344D2898" w:rsidR="00C10832" w:rsidRDefault="6DEB2491" w:rsidP="00C84610">
            <w:pPr>
              <w:jc w:val="center"/>
              <w:rPr>
                <w:sz w:val="20"/>
                <w:szCs w:val="20"/>
              </w:rPr>
            </w:pPr>
            <w:r w:rsidRPr="54F71CB4">
              <w:rPr>
                <w:sz w:val="20"/>
                <w:szCs w:val="20"/>
              </w:rPr>
              <w:t>(</w:t>
            </w:r>
            <w:r w:rsidR="005F35DE" w:rsidRPr="54F71CB4">
              <w:rPr>
                <w:sz w:val="20"/>
                <w:szCs w:val="20"/>
              </w:rPr>
              <w:t>5,238</w:t>
            </w:r>
            <w:r w:rsidRPr="54F71CB4">
              <w:rPr>
                <w:sz w:val="20"/>
                <w:szCs w:val="20"/>
              </w:rPr>
              <w:t>)</w:t>
            </w:r>
          </w:p>
        </w:tc>
        <w:tc>
          <w:tcPr>
            <w:tcW w:w="1454" w:type="dxa"/>
          </w:tcPr>
          <w:p w14:paraId="570F867B" w14:textId="552FDDCC" w:rsidR="00C10832" w:rsidRDefault="6DEB2491" w:rsidP="00C84610">
            <w:pPr>
              <w:jc w:val="center"/>
              <w:rPr>
                <w:sz w:val="20"/>
                <w:szCs w:val="20"/>
              </w:rPr>
            </w:pPr>
            <w:r w:rsidRPr="54F71CB4">
              <w:rPr>
                <w:sz w:val="20"/>
                <w:szCs w:val="20"/>
              </w:rPr>
              <w:t>(</w:t>
            </w:r>
            <w:r w:rsidR="005F35DE" w:rsidRPr="54F71CB4">
              <w:rPr>
                <w:sz w:val="20"/>
                <w:szCs w:val="20"/>
              </w:rPr>
              <w:t>72,665</w:t>
            </w:r>
            <w:r w:rsidRPr="54F71CB4">
              <w:rPr>
                <w:sz w:val="20"/>
                <w:szCs w:val="20"/>
              </w:rPr>
              <w:t>)</w:t>
            </w:r>
          </w:p>
        </w:tc>
      </w:tr>
      <w:tr w:rsidR="00054872" w:rsidRPr="00863EC6" w14:paraId="0FB637A4" w14:textId="77777777" w:rsidTr="54F71CB4">
        <w:tc>
          <w:tcPr>
            <w:tcW w:w="2801" w:type="dxa"/>
          </w:tcPr>
          <w:p w14:paraId="32C8D09D" w14:textId="77777777" w:rsidR="00054872" w:rsidRPr="00863EC6" w:rsidRDefault="00054872" w:rsidP="00D651FB">
            <w:pPr>
              <w:rPr>
                <w:sz w:val="20"/>
                <w:szCs w:val="20"/>
              </w:rPr>
            </w:pPr>
            <w:r>
              <w:rPr>
                <w:sz w:val="20"/>
                <w:szCs w:val="20"/>
              </w:rPr>
              <w:t>Revaluation</w:t>
            </w:r>
          </w:p>
        </w:tc>
        <w:tc>
          <w:tcPr>
            <w:tcW w:w="1701" w:type="dxa"/>
          </w:tcPr>
          <w:p w14:paraId="5CF7E70F" w14:textId="132DACA8" w:rsidR="00054872" w:rsidRDefault="00C10832" w:rsidP="00C84610">
            <w:pPr>
              <w:jc w:val="center"/>
              <w:rPr>
                <w:sz w:val="20"/>
                <w:szCs w:val="20"/>
              </w:rPr>
            </w:pPr>
            <w:r>
              <w:rPr>
                <w:sz w:val="20"/>
                <w:szCs w:val="20"/>
              </w:rPr>
              <w:t>265</w:t>
            </w:r>
          </w:p>
        </w:tc>
        <w:tc>
          <w:tcPr>
            <w:tcW w:w="1417" w:type="dxa"/>
          </w:tcPr>
          <w:p w14:paraId="2D6803FD" w14:textId="77777777" w:rsidR="00054872" w:rsidRDefault="00054872" w:rsidP="00C84610">
            <w:pPr>
              <w:jc w:val="center"/>
              <w:rPr>
                <w:sz w:val="20"/>
                <w:szCs w:val="20"/>
              </w:rPr>
            </w:pPr>
            <w:r>
              <w:rPr>
                <w:sz w:val="20"/>
                <w:szCs w:val="20"/>
              </w:rPr>
              <w:t>0</w:t>
            </w:r>
          </w:p>
        </w:tc>
        <w:tc>
          <w:tcPr>
            <w:tcW w:w="1133" w:type="dxa"/>
          </w:tcPr>
          <w:p w14:paraId="0A6DDD13" w14:textId="77777777" w:rsidR="00054872" w:rsidRDefault="00054872" w:rsidP="00C84610">
            <w:pPr>
              <w:jc w:val="center"/>
              <w:rPr>
                <w:sz w:val="20"/>
                <w:szCs w:val="20"/>
              </w:rPr>
            </w:pPr>
            <w:r>
              <w:rPr>
                <w:sz w:val="20"/>
                <w:szCs w:val="20"/>
              </w:rPr>
              <w:t>0</w:t>
            </w:r>
          </w:p>
        </w:tc>
        <w:tc>
          <w:tcPr>
            <w:tcW w:w="1454" w:type="dxa"/>
          </w:tcPr>
          <w:p w14:paraId="705BE03B" w14:textId="1E65D45A" w:rsidR="00054872" w:rsidRDefault="005F35DE" w:rsidP="00C84610">
            <w:pPr>
              <w:jc w:val="center"/>
              <w:rPr>
                <w:sz w:val="20"/>
                <w:szCs w:val="20"/>
              </w:rPr>
            </w:pPr>
            <w:r>
              <w:rPr>
                <w:sz w:val="20"/>
                <w:szCs w:val="20"/>
              </w:rPr>
              <w:t>265</w:t>
            </w:r>
          </w:p>
        </w:tc>
      </w:tr>
      <w:tr w:rsidR="00054872" w:rsidRPr="00F82840" w14:paraId="46A2CB15" w14:textId="77777777" w:rsidTr="54F71CB4">
        <w:tc>
          <w:tcPr>
            <w:tcW w:w="2801" w:type="dxa"/>
          </w:tcPr>
          <w:p w14:paraId="5C8139F6" w14:textId="01342FAD" w:rsidR="00054872" w:rsidRPr="00F82840" w:rsidRDefault="00054872" w:rsidP="00D651FB">
            <w:pPr>
              <w:rPr>
                <w:sz w:val="20"/>
                <w:szCs w:val="20"/>
              </w:rPr>
            </w:pPr>
            <w:proofErr w:type="gramStart"/>
            <w:r w:rsidRPr="00F82840">
              <w:rPr>
                <w:sz w:val="20"/>
                <w:szCs w:val="20"/>
              </w:rPr>
              <w:t>At</w:t>
            </w:r>
            <w:proofErr w:type="gramEnd"/>
            <w:r w:rsidRPr="00F82840">
              <w:rPr>
                <w:sz w:val="20"/>
                <w:szCs w:val="20"/>
              </w:rPr>
              <w:t xml:space="preserve"> </w:t>
            </w:r>
            <w:r>
              <w:rPr>
                <w:sz w:val="20"/>
                <w:szCs w:val="20"/>
              </w:rPr>
              <w:t>31 March 202</w:t>
            </w:r>
            <w:r w:rsidR="00C10832">
              <w:rPr>
                <w:sz w:val="20"/>
                <w:szCs w:val="20"/>
              </w:rPr>
              <w:t>4</w:t>
            </w:r>
          </w:p>
        </w:tc>
        <w:tc>
          <w:tcPr>
            <w:tcW w:w="1701" w:type="dxa"/>
            <w:tcBorders>
              <w:top w:val="single" w:sz="4" w:space="0" w:color="auto"/>
              <w:bottom w:val="single" w:sz="4" w:space="0" w:color="auto"/>
            </w:tcBorders>
          </w:tcPr>
          <w:p w14:paraId="649972B9" w14:textId="746F7117" w:rsidR="00054872" w:rsidRPr="00F82840" w:rsidRDefault="00C10832" w:rsidP="00C84610">
            <w:pPr>
              <w:jc w:val="center"/>
              <w:rPr>
                <w:sz w:val="20"/>
                <w:szCs w:val="20"/>
              </w:rPr>
            </w:pPr>
            <w:r>
              <w:rPr>
                <w:sz w:val="20"/>
                <w:szCs w:val="20"/>
              </w:rPr>
              <w:t>271</w:t>
            </w:r>
            <w:r w:rsidR="00C84610">
              <w:rPr>
                <w:sz w:val="20"/>
                <w:szCs w:val="20"/>
              </w:rPr>
              <w:t>,</w:t>
            </w:r>
            <w:r>
              <w:rPr>
                <w:sz w:val="20"/>
                <w:szCs w:val="20"/>
              </w:rPr>
              <w:t>384</w:t>
            </w:r>
          </w:p>
        </w:tc>
        <w:tc>
          <w:tcPr>
            <w:tcW w:w="1417" w:type="dxa"/>
            <w:tcBorders>
              <w:top w:val="single" w:sz="4" w:space="0" w:color="auto"/>
              <w:bottom w:val="single" w:sz="4" w:space="0" w:color="auto"/>
            </w:tcBorders>
          </w:tcPr>
          <w:p w14:paraId="6DD313AC" w14:textId="332CDFF2" w:rsidR="00054872" w:rsidRPr="00F82840" w:rsidRDefault="005F35DE" w:rsidP="00C84610">
            <w:pPr>
              <w:jc w:val="center"/>
              <w:rPr>
                <w:sz w:val="20"/>
                <w:szCs w:val="20"/>
              </w:rPr>
            </w:pPr>
            <w:r>
              <w:rPr>
                <w:sz w:val="20"/>
                <w:szCs w:val="20"/>
              </w:rPr>
              <w:t>28</w:t>
            </w:r>
            <w:r w:rsidR="00C84610">
              <w:rPr>
                <w:sz w:val="20"/>
                <w:szCs w:val="20"/>
              </w:rPr>
              <w:t>,</w:t>
            </w:r>
            <w:r>
              <w:rPr>
                <w:sz w:val="20"/>
                <w:szCs w:val="20"/>
              </w:rPr>
              <w:t>339</w:t>
            </w:r>
          </w:p>
        </w:tc>
        <w:tc>
          <w:tcPr>
            <w:tcW w:w="1133" w:type="dxa"/>
            <w:tcBorders>
              <w:top w:val="single" w:sz="4" w:space="0" w:color="auto"/>
              <w:bottom w:val="single" w:sz="4" w:space="0" w:color="auto"/>
            </w:tcBorders>
          </w:tcPr>
          <w:p w14:paraId="55A69FF9" w14:textId="4FD1AEF4" w:rsidR="00054872" w:rsidRPr="00F82840" w:rsidRDefault="005F35DE" w:rsidP="00C84610">
            <w:pPr>
              <w:jc w:val="center"/>
              <w:rPr>
                <w:sz w:val="20"/>
                <w:szCs w:val="20"/>
              </w:rPr>
            </w:pPr>
            <w:r>
              <w:rPr>
                <w:sz w:val="20"/>
                <w:szCs w:val="20"/>
              </w:rPr>
              <w:t>59</w:t>
            </w:r>
            <w:r w:rsidR="00C84610">
              <w:rPr>
                <w:sz w:val="20"/>
                <w:szCs w:val="20"/>
              </w:rPr>
              <w:t>,</w:t>
            </w:r>
            <w:r>
              <w:rPr>
                <w:sz w:val="20"/>
                <w:szCs w:val="20"/>
              </w:rPr>
              <w:t>039</w:t>
            </w:r>
          </w:p>
        </w:tc>
        <w:tc>
          <w:tcPr>
            <w:tcW w:w="1454" w:type="dxa"/>
            <w:tcBorders>
              <w:top w:val="single" w:sz="4" w:space="0" w:color="auto"/>
              <w:bottom w:val="single" w:sz="4" w:space="0" w:color="auto"/>
            </w:tcBorders>
          </w:tcPr>
          <w:p w14:paraId="55E82A12" w14:textId="7CDB9999" w:rsidR="00054872" w:rsidRPr="00F82840" w:rsidRDefault="00C84610" w:rsidP="00C84610">
            <w:pPr>
              <w:jc w:val="center"/>
              <w:rPr>
                <w:sz w:val="20"/>
                <w:szCs w:val="20"/>
              </w:rPr>
            </w:pPr>
            <w:r w:rsidRPr="004E4970">
              <w:rPr>
                <w:sz w:val="20"/>
                <w:szCs w:val="20"/>
              </w:rPr>
              <w:t>3</w:t>
            </w:r>
            <w:r w:rsidR="005F35DE" w:rsidRPr="004E4970">
              <w:rPr>
                <w:sz w:val="20"/>
                <w:szCs w:val="20"/>
              </w:rPr>
              <w:t>58</w:t>
            </w:r>
            <w:r w:rsidRPr="004E4970">
              <w:rPr>
                <w:sz w:val="20"/>
                <w:szCs w:val="20"/>
              </w:rPr>
              <w:t>,</w:t>
            </w:r>
            <w:r w:rsidR="005F35DE" w:rsidRPr="004E4970">
              <w:rPr>
                <w:sz w:val="20"/>
                <w:szCs w:val="20"/>
              </w:rPr>
              <w:t>762</w:t>
            </w:r>
          </w:p>
        </w:tc>
      </w:tr>
      <w:tr w:rsidR="00054872" w:rsidRPr="00F82840" w14:paraId="627C23D6" w14:textId="77777777" w:rsidTr="54F71CB4">
        <w:tc>
          <w:tcPr>
            <w:tcW w:w="2801" w:type="dxa"/>
          </w:tcPr>
          <w:p w14:paraId="6E55B699" w14:textId="77777777" w:rsidR="00054872" w:rsidRPr="00F82840" w:rsidRDefault="00054872" w:rsidP="00D651FB">
            <w:pPr>
              <w:rPr>
                <w:sz w:val="20"/>
                <w:szCs w:val="20"/>
              </w:rPr>
            </w:pPr>
          </w:p>
          <w:p w14:paraId="694B00D8" w14:textId="346851BF" w:rsidR="00054872" w:rsidRPr="00F82840" w:rsidRDefault="6547A7A9" w:rsidP="00D651FB">
            <w:pPr>
              <w:rPr>
                <w:sz w:val="20"/>
                <w:szCs w:val="20"/>
              </w:rPr>
            </w:pPr>
            <w:r w:rsidRPr="54F71CB4">
              <w:rPr>
                <w:sz w:val="20"/>
                <w:szCs w:val="20"/>
              </w:rPr>
              <w:t xml:space="preserve">Net book value </w:t>
            </w:r>
            <w:proofErr w:type="gramStart"/>
            <w:r w:rsidRPr="54F71CB4">
              <w:rPr>
                <w:sz w:val="20"/>
                <w:szCs w:val="20"/>
              </w:rPr>
              <w:t>at</w:t>
            </w:r>
            <w:proofErr w:type="gramEnd"/>
            <w:r w:rsidRPr="54F71CB4">
              <w:rPr>
                <w:sz w:val="20"/>
                <w:szCs w:val="20"/>
              </w:rPr>
              <w:t xml:space="preserve"> 31 March 202</w:t>
            </w:r>
            <w:r w:rsidR="01482CCA" w:rsidRPr="54F71CB4">
              <w:rPr>
                <w:sz w:val="20"/>
                <w:szCs w:val="20"/>
              </w:rPr>
              <w:t>4</w:t>
            </w:r>
          </w:p>
        </w:tc>
        <w:tc>
          <w:tcPr>
            <w:tcW w:w="1701" w:type="dxa"/>
            <w:tcBorders>
              <w:top w:val="single" w:sz="4" w:space="0" w:color="auto"/>
              <w:bottom w:val="single" w:sz="4" w:space="0" w:color="auto"/>
            </w:tcBorders>
          </w:tcPr>
          <w:p w14:paraId="7D6C42A5" w14:textId="77777777" w:rsidR="00054872" w:rsidRDefault="00054872" w:rsidP="00C84610">
            <w:pPr>
              <w:jc w:val="center"/>
              <w:rPr>
                <w:sz w:val="20"/>
                <w:szCs w:val="20"/>
              </w:rPr>
            </w:pPr>
          </w:p>
          <w:p w14:paraId="3D45AE86" w14:textId="77777777" w:rsidR="00054872" w:rsidRDefault="00054872" w:rsidP="00C84610">
            <w:pPr>
              <w:jc w:val="center"/>
              <w:rPr>
                <w:sz w:val="20"/>
                <w:szCs w:val="20"/>
              </w:rPr>
            </w:pPr>
          </w:p>
          <w:p w14:paraId="35452AD0" w14:textId="14EB8F5C" w:rsidR="00054872" w:rsidRPr="00F82840" w:rsidRDefault="00C10832" w:rsidP="00C84610">
            <w:pPr>
              <w:jc w:val="center"/>
              <w:rPr>
                <w:sz w:val="20"/>
                <w:szCs w:val="20"/>
              </w:rPr>
            </w:pPr>
            <w:r>
              <w:rPr>
                <w:sz w:val="20"/>
                <w:szCs w:val="20"/>
              </w:rPr>
              <w:t>365</w:t>
            </w:r>
            <w:r w:rsidR="00C84610">
              <w:rPr>
                <w:sz w:val="20"/>
                <w:szCs w:val="20"/>
              </w:rPr>
              <w:t>,</w:t>
            </w:r>
            <w:r>
              <w:rPr>
                <w:sz w:val="20"/>
                <w:szCs w:val="20"/>
              </w:rPr>
              <w:t>550</w:t>
            </w:r>
          </w:p>
        </w:tc>
        <w:tc>
          <w:tcPr>
            <w:tcW w:w="1417" w:type="dxa"/>
            <w:tcBorders>
              <w:top w:val="single" w:sz="4" w:space="0" w:color="auto"/>
              <w:bottom w:val="single" w:sz="4" w:space="0" w:color="auto"/>
            </w:tcBorders>
          </w:tcPr>
          <w:p w14:paraId="39884920" w14:textId="77777777" w:rsidR="00054872" w:rsidRDefault="00054872" w:rsidP="00C84610">
            <w:pPr>
              <w:jc w:val="center"/>
              <w:rPr>
                <w:sz w:val="20"/>
                <w:szCs w:val="20"/>
              </w:rPr>
            </w:pPr>
          </w:p>
          <w:p w14:paraId="3C6A291E" w14:textId="77777777" w:rsidR="00054872" w:rsidRDefault="00054872" w:rsidP="00C84610">
            <w:pPr>
              <w:jc w:val="center"/>
              <w:rPr>
                <w:sz w:val="20"/>
                <w:szCs w:val="20"/>
              </w:rPr>
            </w:pPr>
          </w:p>
          <w:p w14:paraId="4FB82B3B" w14:textId="7D22C590" w:rsidR="00054872" w:rsidRPr="00F82840" w:rsidRDefault="00C10832" w:rsidP="00C84610">
            <w:pPr>
              <w:jc w:val="center"/>
              <w:rPr>
                <w:sz w:val="20"/>
                <w:szCs w:val="20"/>
              </w:rPr>
            </w:pPr>
            <w:r>
              <w:rPr>
                <w:sz w:val="20"/>
                <w:szCs w:val="20"/>
              </w:rPr>
              <w:t>24</w:t>
            </w:r>
            <w:r w:rsidR="00C84610">
              <w:rPr>
                <w:sz w:val="20"/>
                <w:szCs w:val="20"/>
              </w:rPr>
              <w:t>,</w:t>
            </w:r>
            <w:r>
              <w:rPr>
                <w:sz w:val="20"/>
                <w:szCs w:val="20"/>
              </w:rPr>
              <w:t>697</w:t>
            </w:r>
          </w:p>
        </w:tc>
        <w:tc>
          <w:tcPr>
            <w:tcW w:w="1133" w:type="dxa"/>
            <w:tcBorders>
              <w:top w:val="single" w:sz="4" w:space="0" w:color="auto"/>
              <w:bottom w:val="single" w:sz="4" w:space="0" w:color="auto"/>
            </w:tcBorders>
          </w:tcPr>
          <w:p w14:paraId="675F4D46" w14:textId="77777777" w:rsidR="00054872" w:rsidRDefault="00054872" w:rsidP="00C84610">
            <w:pPr>
              <w:jc w:val="center"/>
              <w:rPr>
                <w:sz w:val="20"/>
                <w:szCs w:val="20"/>
              </w:rPr>
            </w:pPr>
          </w:p>
          <w:p w14:paraId="4E246446" w14:textId="77777777" w:rsidR="00054872" w:rsidRDefault="00054872" w:rsidP="00C84610">
            <w:pPr>
              <w:jc w:val="center"/>
              <w:rPr>
                <w:sz w:val="20"/>
                <w:szCs w:val="20"/>
              </w:rPr>
            </w:pPr>
          </w:p>
          <w:p w14:paraId="6527B635" w14:textId="22B144A4" w:rsidR="00054872" w:rsidRPr="00F82840" w:rsidRDefault="00C10832" w:rsidP="00C84610">
            <w:pPr>
              <w:jc w:val="center"/>
              <w:rPr>
                <w:sz w:val="20"/>
                <w:szCs w:val="20"/>
              </w:rPr>
            </w:pPr>
            <w:r>
              <w:rPr>
                <w:sz w:val="20"/>
                <w:szCs w:val="20"/>
              </w:rPr>
              <w:t>29</w:t>
            </w:r>
            <w:r w:rsidR="00C84610">
              <w:rPr>
                <w:sz w:val="20"/>
                <w:szCs w:val="20"/>
              </w:rPr>
              <w:t>,</w:t>
            </w:r>
            <w:r>
              <w:rPr>
                <w:sz w:val="20"/>
                <w:szCs w:val="20"/>
              </w:rPr>
              <w:t>116</w:t>
            </w:r>
          </w:p>
        </w:tc>
        <w:tc>
          <w:tcPr>
            <w:tcW w:w="1454" w:type="dxa"/>
            <w:tcBorders>
              <w:top w:val="single" w:sz="4" w:space="0" w:color="auto"/>
              <w:bottom w:val="single" w:sz="4" w:space="0" w:color="auto"/>
            </w:tcBorders>
          </w:tcPr>
          <w:p w14:paraId="767AB8E6" w14:textId="77777777" w:rsidR="00054872" w:rsidRDefault="00054872" w:rsidP="00C84610">
            <w:pPr>
              <w:jc w:val="center"/>
              <w:rPr>
                <w:sz w:val="20"/>
                <w:szCs w:val="20"/>
              </w:rPr>
            </w:pPr>
          </w:p>
          <w:p w14:paraId="5D145839" w14:textId="77777777" w:rsidR="00054872" w:rsidRDefault="00054872" w:rsidP="00C84610">
            <w:pPr>
              <w:jc w:val="center"/>
              <w:rPr>
                <w:sz w:val="20"/>
                <w:szCs w:val="20"/>
              </w:rPr>
            </w:pPr>
          </w:p>
          <w:p w14:paraId="70896888" w14:textId="11288528" w:rsidR="00054872" w:rsidRPr="00F82840" w:rsidRDefault="00C84610" w:rsidP="00C84610">
            <w:pPr>
              <w:jc w:val="center"/>
              <w:rPr>
                <w:sz w:val="20"/>
                <w:szCs w:val="20"/>
              </w:rPr>
            </w:pPr>
            <w:r>
              <w:rPr>
                <w:sz w:val="20"/>
                <w:szCs w:val="20"/>
              </w:rPr>
              <w:t>4</w:t>
            </w:r>
            <w:r w:rsidR="00C10832">
              <w:rPr>
                <w:sz w:val="20"/>
                <w:szCs w:val="20"/>
              </w:rPr>
              <w:t>19</w:t>
            </w:r>
            <w:r>
              <w:rPr>
                <w:sz w:val="20"/>
                <w:szCs w:val="20"/>
              </w:rPr>
              <w:t>,</w:t>
            </w:r>
            <w:r w:rsidR="00C10832">
              <w:rPr>
                <w:sz w:val="20"/>
                <w:szCs w:val="20"/>
              </w:rPr>
              <w:t>363</w:t>
            </w:r>
          </w:p>
        </w:tc>
      </w:tr>
      <w:tr w:rsidR="00054872" w:rsidRPr="00F82840" w14:paraId="1A510AB7" w14:textId="77777777" w:rsidTr="54F71CB4">
        <w:tc>
          <w:tcPr>
            <w:tcW w:w="2801" w:type="dxa"/>
          </w:tcPr>
          <w:p w14:paraId="4F77C173" w14:textId="77777777" w:rsidR="00054872" w:rsidRPr="00F82840" w:rsidRDefault="00054872" w:rsidP="00D651FB">
            <w:pPr>
              <w:rPr>
                <w:sz w:val="20"/>
                <w:szCs w:val="20"/>
              </w:rPr>
            </w:pPr>
          </w:p>
          <w:p w14:paraId="40454A85" w14:textId="5BAF3D5E" w:rsidR="00054872" w:rsidRPr="00F82840" w:rsidRDefault="00054872" w:rsidP="00D651FB">
            <w:pPr>
              <w:rPr>
                <w:sz w:val="20"/>
                <w:szCs w:val="20"/>
              </w:rPr>
            </w:pPr>
            <w:r>
              <w:rPr>
                <w:sz w:val="20"/>
                <w:szCs w:val="20"/>
              </w:rPr>
              <w:t xml:space="preserve">Net book value </w:t>
            </w:r>
            <w:proofErr w:type="gramStart"/>
            <w:r>
              <w:rPr>
                <w:sz w:val="20"/>
                <w:szCs w:val="20"/>
              </w:rPr>
              <w:t>at</w:t>
            </w:r>
            <w:proofErr w:type="gramEnd"/>
            <w:r>
              <w:rPr>
                <w:sz w:val="20"/>
                <w:szCs w:val="20"/>
              </w:rPr>
              <w:t xml:space="preserve"> 31 March 202</w:t>
            </w:r>
            <w:r w:rsidR="00C10832">
              <w:rPr>
                <w:sz w:val="20"/>
                <w:szCs w:val="20"/>
              </w:rPr>
              <w:t>3</w:t>
            </w:r>
          </w:p>
        </w:tc>
        <w:tc>
          <w:tcPr>
            <w:tcW w:w="1701" w:type="dxa"/>
            <w:tcBorders>
              <w:top w:val="single" w:sz="4" w:space="0" w:color="auto"/>
              <w:bottom w:val="single" w:sz="4" w:space="0" w:color="auto"/>
            </w:tcBorders>
          </w:tcPr>
          <w:p w14:paraId="3D489FD1" w14:textId="77777777" w:rsidR="00054872" w:rsidRDefault="00054872" w:rsidP="00C84610">
            <w:pPr>
              <w:jc w:val="center"/>
              <w:rPr>
                <w:sz w:val="20"/>
                <w:szCs w:val="20"/>
              </w:rPr>
            </w:pPr>
          </w:p>
          <w:p w14:paraId="2627E40D" w14:textId="77777777" w:rsidR="00054872" w:rsidRDefault="00054872" w:rsidP="00C84610">
            <w:pPr>
              <w:jc w:val="center"/>
              <w:rPr>
                <w:sz w:val="20"/>
                <w:szCs w:val="20"/>
              </w:rPr>
            </w:pPr>
          </w:p>
          <w:p w14:paraId="6364995E" w14:textId="6B78B2FB" w:rsidR="00054872" w:rsidRPr="00F82840" w:rsidRDefault="00C84610" w:rsidP="00C84610">
            <w:pPr>
              <w:jc w:val="center"/>
              <w:rPr>
                <w:sz w:val="20"/>
                <w:szCs w:val="20"/>
              </w:rPr>
            </w:pPr>
            <w:r>
              <w:rPr>
                <w:sz w:val="20"/>
                <w:szCs w:val="20"/>
              </w:rPr>
              <w:t>4</w:t>
            </w:r>
            <w:r w:rsidR="00C10832">
              <w:rPr>
                <w:sz w:val="20"/>
                <w:szCs w:val="20"/>
              </w:rPr>
              <w:t>24</w:t>
            </w:r>
            <w:r>
              <w:rPr>
                <w:sz w:val="20"/>
                <w:szCs w:val="20"/>
              </w:rPr>
              <w:t>,2</w:t>
            </w:r>
            <w:r w:rsidR="00C10832">
              <w:rPr>
                <w:sz w:val="20"/>
                <w:szCs w:val="20"/>
              </w:rPr>
              <w:t>62</w:t>
            </w:r>
          </w:p>
        </w:tc>
        <w:tc>
          <w:tcPr>
            <w:tcW w:w="1417" w:type="dxa"/>
            <w:tcBorders>
              <w:top w:val="single" w:sz="4" w:space="0" w:color="auto"/>
              <w:bottom w:val="single" w:sz="4" w:space="0" w:color="auto"/>
            </w:tcBorders>
          </w:tcPr>
          <w:p w14:paraId="255C9267" w14:textId="77777777" w:rsidR="00054872" w:rsidRDefault="00054872" w:rsidP="00C84610">
            <w:pPr>
              <w:jc w:val="center"/>
              <w:rPr>
                <w:sz w:val="20"/>
                <w:szCs w:val="20"/>
              </w:rPr>
            </w:pPr>
          </w:p>
          <w:p w14:paraId="6B69386E" w14:textId="77777777" w:rsidR="00054872" w:rsidRDefault="00054872" w:rsidP="00C84610">
            <w:pPr>
              <w:jc w:val="center"/>
              <w:rPr>
                <w:sz w:val="20"/>
                <w:szCs w:val="20"/>
              </w:rPr>
            </w:pPr>
          </w:p>
          <w:p w14:paraId="3EA6CAF3" w14:textId="306FBB9F" w:rsidR="00054872" w:rsidRPr="00F82840" w:rsidRDefault="00C10832" w:rsidP="00C84610">
            <w:pPr>
              <w:jc w:val="center"/>
              <w:rPr>
                <w:sz w:val="20"/>
                <w:szCs w:val="20"/>
              </w:rPr>
            </w:pPr>
            <w:r>
              <w:rPr>
                <w:sz w:val="20"/>
                <w:szCs w:val="20"/>
              </w:rPr>
              <w:t>9</w:t>
            </w:r>
            <w:r w:rsidR="00C84610">
              <w:rPr>
                <w:sz w:val="20"/>
                <w:szCs w:val="20"/>
              </w:rPr>
              <w:t>,</w:t>
            </w:r>
            <w:r>
              <w:rPr>
                <w:sz w:val="20"/>
                <w:szCs w:val="20"/>
              </w:rPr>
              <w:t>032</w:t>
            </w:r>
          </w:p>
        </w:tc>
        <w:tc>
          <w:tcPr>
            <w:tcW w:w="1133" w:type="dxa"/>
            <w:tcBorders>
              <w:top w:val="single" w:sz="4" w:space="0" w:color="auto"/>
              <w:bottom w:val="single" w:sz="4" w:space="0" w:color="auto"/>
            </w:tcBorders>
          </w:tcPr>
          <w:p w14:paraId="1FC490D7" w14:textId="77777777" w:rsidR="00054872" w:rsidRDefault="00054872" w:rsidP="00C84610">
            <w:pPr>
              <w:jc w:val="center"/>
              <w:rPr>
                <w:sz w:val="20"/>
                <w:szCs w:val="20"/>
              </w:rPr>
            </w:pPr>
          </w:p>
          <w:p w14:paraId="52F5434C" w14:textId="77777777" w:rsidR="00054872" w:rsidRDefault="00054872" w:rsidP="00C84610">
            <w:pPr>
              <w:jc w:val="center"/>
              <w:rPr>
                <w:sz w:val="20"/>
                <w:szCs w:val="20"/>
              </w:rPr>
            </w:pPr>
          </w:p>
          <w:p w14:paraId="2623A77B" w14:textId="7AB18824" w:rsidR="00054872" w:rsidRPr="00F82840" w:rsidRDefault="00C10832" w:rsidP="00C84610">
            <w:pPr>
              <w:jc w:val="center"/>
              <w:rPr>
                <w:sz w:val="20"/>
                <w:szCs w:val="20"/>
              </w:rPr>
            </w:pPr>
            <w:r>
              <w:rPr>
                <w:sz w:val="20"/>
                <w:szCs w:val="20"/>
              </w:rPr>
              <w:t>46</w:t>
            </w:r>
            <w:r w:rsidR="00C84610">
              <w:rPr>
                <w:sz w:val="20"/>
                <w:szCs w:val="20"/>
              </w:rPr>
              <w:t>,</w:t>
            </w:r>
            <w:r>
              <w:rPr>
                <w:sz w:val="20"/>
                <w:szCs w:val="20"/>
              </w:rPr>
              <w:t>791</w:t>
            </w:r>
          </w:p>
        </w:tc>
        <w:tc>
          <w:tcPr>
            <w:tcW w:w="1454" w:type="dxa"/>
            <w:tcBorders>
              <w:top w:val="single" w:sz="4" w:space="0" w:color="auto"/>
              <w:bottom w:val="single" w:sz="4" w:space="0" w:color="auto"/>
            </w:tcBorders>
          </w:tcPr>
          <w:p w14:paraId="37907576" w14:textId="77777777" w:rsidR="00054872" w:rsidRDefault="00054872" w:rsidP="00C84610">
            <w:pPr>
              <w:jc w:val="center"/>
              <w:rPr>
                <w:sz w:val="20"/>
                <w:szCs w:val="20"/>
              </w:rPr>
            </w:pPr>
          </w:p>
          <w:p w14:paraId="3BF6F973" w14:textId="77777777" w:rsidR="00054872" w:rsidRDefault="00054872" w:rsidP="00C84610">
            <w:pPr>
              <w:jc w:val="center"/>
              <w:rPr>
                <w:sz w:val="20"/>
                <w:szCs w:val="20"/>
              </w:rPr>
            </w:pPr>
          </w:p>
          <w:p w14:paraId="0CCC727E" w14:textId="01A7CEFA" w:rsidR="00054872" w:rsidRPr="00F82840" w:rsidRDefault="00C10832" w:rsidP="00C84610">
            <w:pPr>
              <w:jc w:val="center"/>
              <w:rPr>
                <w:sz w:val="20"/>
                <w:szCs w:val="20"/>
              </w:rPr>
            </w:pPr>
            <w:r>
              <w:rPr>
                <w:sz w:val="20"/>
                <w:szCs w:val="20"/>
              </w:rPr>
              <w:t>480</w:t>
            </w:r>
            <w:r w:rsidR="00C84610">
              <w:rPr>
                <w:sz w:val="20"/>
                <w:szCs w:val="20"/>
              </w:rPr>
              <w:t>,</w:t>
            </w:r>
            <w:r>
              <w:rPr>
                <w:sz w:val="20"/>
                <w:szCs w:val="20"/>
              </w:rPr>
              <w:t>085</w:t>
            </w:r>
          </w:p>
        </w:tc>
      </w:tr>
      <w:tr w:rsidR="00054872" w:rsidRPr="00F82840" w14:paraId="3DB836E4" w14:textId="77777777" w:rsidTr="54F71CB4">
        <w:tc>
          <w:tcPr>
            <w:tcW w:w="2801" w:type="dxa"/>
          </w:tcPr>
          <w:p w14:paraId="3214D823" w14:textId="77777777" w:rsidR="00054872" w:rsidRPr="00F82840" w:rsidRDefault="00054872" w:rsidP="00D651FB">
            <w:pPr>
              <w:rPr>
                <w:sz w:val="20"/>
                <w:szCs w:val="20"/>
              </w:rPr>
            </w:pPr>
          </w:p>
        </w:tc>
        <w:tc>
          <w:tcPr>
            <w:tcW w:w="1701" w:type="dxa"/>
            <w:tcBorders>
              <w:top w:val="single" w:sz="4" w:space="0" w:color="auto"/>
            </w:tcBorders>
          </w:tcPr>
          <w:p w14:paraId="64B47F65" w14:textId="77777777" w:rsidR="00054872" w:rsidRPr="00F82840" w:rsidRDefault="00054872" w:rsidP="00C84610">
            <w:pPr>
              <w:jc w:val="center"/>
              <w:rPr>
                <w:sz w:val="20"/>
                <w:szCs w:val="20"/>
              </w:rPr>
            </w:pPr>
          </w:p>
        </w:tc>
        <w:tc>
          <w:tcPr>
            <w:tcW w:w="1417" w:type="dxa"/>
            <w:tcBorders>
              <w:top w:val="single" w:sz="4" w:space="0" w:color="auto"/>
            </w:tcBorders>
          </w:tcPr>
          <w:p w14:paraId="7B8826DF" w14:textId="77777777" w:rsidR="00054872" w:rsidRPr="00F82840" w:rsidRDefault="00054872" w:rsidP="00C84610">
            <w:pPr>
              <w:jc w:val="center"/>
              <w:rPr>
                <w:sz w:val="20"/>
                <w:szCs w:val="20"/>
              </w:rPr>
            </w:pPr>
          </w:p>
        </w:tc>
        <w:tc>
          <w:tcPr>
            <w:tcW w:w="1133" w:type="dxa"/>
            <w:tcBorders>
              <w:top w:val="single" w:sz="4" w:space="0" w:color="auto"/>
            </w:tcBorders>
          </w:tcPr>
          <w:p w14:paraId="31482968" w14:textId="77777777" w:rsidR="00054872" w:rsidRPr="00F82840" w:rsidRDefault="00054872" w:rsidP="00C84610">
            <w:pPr>
              <w:jc w:val="center"/>
              <w:rPr>
                <w:sz w:val="20"/>
                <w:szCs w:val="20"/>
              </w:rPr>
            </w:pPr>
          </w:p>
        </w:tc>
        <w:tc>
          <w:tcPr>
            <w:tcW w:w="1454" w:type="dxa"/>
            <w:tcBorders>
              <w:top w:val="single" w:sz="4" w:space="0" w:color="auto"/>
            </w:tcBorders>
          </w:tcPr>
          <w:p w14:paraId="38C6CD21" w14:textId="77777777" w:rsidR="00054872" w:rsidRPr="00F82840" w:rsidRDefault="00054872" w:rsidP="00C84610">
            <w:pPr>
              <w:jc w:val="center"/>
              <w:rPr>
                <w:sz w:val="20"/>
                <w:szCs w:val="20"/>
              </w:rPr>
            </w:pPr>
          </w:p>
        </w:tc>
      </w:tr>
    </w:tbl>
    <w:p w14:paraId="0AEE9EAC" w14:textId="77777777" w:rsidR="00250101" w:rsidRDefault="00250101" w:rsidP="00250101">
      <w:pPr>
        <w:rPr>
          <w:b/>
        </w:rPr>
      </w:pPr>
    </w:p>
    <w:p w14:paraId="7BC99D46" w14:textId="77777777" w:rsidR="001E2AA0" w:rsidRDefault="001E2AA0" w:rsidP="00250101">
      <w:pPr>
        <w:rPr>
          <w:b/>
        </w:rPr>
      </w:pPr>
    </w:p>
    <w:tbl>
      <w:tblPr>
        <w:tblW w:w="8967" w:type="dxa"/>
        <w:tblInd w:w="-142" w:type="dxa"/>
        <w:tblLayout w:type="fixed"/>
        <w:tblLook w:val="01E0" w:firstRow="1" w:lastRow="1" w:firstColumn="1" w:lastColumn="1" w:noHBand="0" w:noVBand="0"/>
      </w:tblPr>
      <w:tblGrid>
        <w:gridCol w:w="2694"/>
        <w:gridCol w:w="1950"/>
        <w:gridCol w:w="1417"/>
        <w:gridCol w:w="1452"/>
        <w:gridCol w:w="1454"/>
      </w:tblGrid>
      <w:tr w:rsidR="00C84610" w:rsidRPr="00F267CA" w14:paraId="4063E8DF" w14:textId="77777777" w:rsidTr="54F71CB4">
        <w:tc>
          <w:tcPr>
            <w:tcW w:w="2694" w:type="dxa"/>
          </w:tcPr>
          <w:p w14:paraId="6A540FDC" w14:textId="5CA8542E" w:rsidR="00C84610" w:rsidRPr="00D35926" w:rsidRDefault="00C84610" w:rsidP="001B27EA">
            <w:pPr>
              <w:rPr>
                <w:b/>
                <w:sz w:val="22"/>
                <w:szCs w:val="22"/>
              </w:rPr>
            </w:pPr>
            <w:r>
              <w:br w:type="page"/>
            </w:r>
            <w:r>
              <w:rPr>
                <w:b/>
                <w:sz w:val="22"/>
                <w:szCs w:val="22"/>
              </w:rPr>
              <w:t>202</w:t>
            </w:r>
            <w:r w:rsidR="00043F72">
              <w:rPr>
                <w:b/>
                <w:sz w:val="22"/>
                <w:szCs w:val="22"/>
              </w:rPr>
              <w:t>2</w:t>
            </w:r>
            <w:r>
              <w:rPr>
                <w:b/>
                <w:sz w:val="22"/>
                <w:szCs w:val="22"/>
              </w:rPr>
              <w:t>-2</w:t>
            </w:r>
            <w:r w:rsidR="00043F72">
              <w:rPr>
                <w:b/>
                <w:sz w:val="22"/>
                <w:szCs w:val="22"/>
              </w:rPr>
              <w:t>3</w:t>
            </w:r>
          </w:p>
        </w:tc>
        <w:tc>
          <w:tcPr>
            <w:tcW w:w="1950" w:type="dxa"/>
          </w:tcPr>
          <w:p w14:paraId="35F15AB7" w14:textId="77777777" w:rsidR="00C84610" w:rsidRPr="00F267CA" w:rsidRDefault="00C84610" w:rsidP="00C84610">
            <w:pPr>
              <w:ind w:right="-171"/>
              <w:jc w:val="center"/>
              <w:rPr>
                <w:rFonts w:cs="Arial"/>
                <w:b/>
                <w:sz w:val="16"/>
                <w:szCs w:val="16"/>
              </w:rPr>
            </w:pPr>
            <w:r w:rsidRPr="00F267CA">
              <w:rPr>
                <w:rFonts w:cs="Arial"/>
                <w:b/>
                <w:sz w:val="16"/>
                <w:szCs w:val="16"/>
              </w:rPr>
              <w:t>Leasehold Improvements</w:t>
            </w:r>
          </w:p>
        </w:tc>
        <w:tc>
          <w:tcPr>
            <w:tcW w:w="1417" w:type="dxa"/>
          </w:tcPr>
          <w:p w14:paraId="0731F89F" w14:textId="77777777" w:rsidR="00C84610" w:rsidRPr="00F267CA" w:rsidRDefault="00C84610" w:rsidP="00C84610">
            <w:pPr>
              <w:jc w:val="center"/>
              <w:rPr>
                <w:b/>
                <w:sz w:val="16"/>
                <w:szCs w:val="16"/>
              </w:rPr>
            </w:pPr>
            <w:r w:rsidRPr="00F267CA">
              <w:rPr>
                <w:b/>
                <w:sz w:val="16"/>
                <w:szCs w:val="16"/>
              </w:rPr>
              <w:t>Information technology</w:t>
            </w:r>
          </w:p>
        </w:tc>
        <w:tc>
          <w:tcPr>
            <w:tcW w:w="1452" w:type="dxa"/>
          </w:tcPr>
          <w:p w14:paraId="231BB2F2" w14:textId="401FACE4" w:rsidR="00C84610" w:rsidRDefault="00C84610" w:rsidP="00C84610">
            <w:pPr>
              <w:ind w:right="-284"/>
              <w:jc w:val="center"/>
              <w:rPr>
                <w:b/>
                <w:sz w:val="16"/>
                <w:szCs w:val="16"/>
              </w:rPr>
            </w:pPr>
            <w:r w:rsidRPr="00F267CA">
              <w:rPr>
                <w:b/>
                <w:sz w:val="16"/>
                <w:szCs w:val="16"/>
              </w:rPr>
              <w:t>Furniture</w:t>
            </w:r>
          </w:p>
          <w:p w14:paraId="78ACB6D1" w14:textId="77777777" w:rsidR="00C84610" w:rsidRPr="00F267CA" w:rsidRDefault="00C84610" w:rsidP="00C84610">
            <w:pPr>
              <w:ind w:right="-426"/>
              <w:jc w:val="center"/>
              <w:rPr>
                <w:b/>
                <w:sz w:val="16"/>
                <w:szCs w:val="16"/>
              </w:rPr>
            </w:pPr>
            <w:r w:rsidRPr="00F267CA">
              <w:rPr>
                <w:b/>
                <w:sz w:val="16"/>
                <w:szCs w:val="16"/>
              </w:rPr>
              <w:t>&amp; fittings</w:t>
            </w:r>
          </w:p>
        </w:tc>
        <w:tc>
          <w:tcPr>
            <w:tcW w:w="1454" w:type="dxa"/>
          </w:tcPr>
          <w:p w14:paraId="18CC651F" w14:textId="77777777" w:rsidR="00C84610" w:rsidRPr="00F267CA" w:rsidRDefault="00C84610" w:rsidP="00C84610">
            <w:pPr>
              <w:jc w:val="center"/>
              <w:rPr>
                <w:b/>
                <w:sz w:val="16"/>
                <w:szCs w:val="16"/>
              </w:rPr>
            </w:pPr>
            <w:r w:rsidRPr="00F267CA">
              <w:rPr>
                <w:b/>
                <w:sz w:val="16"/>
                <w:szCs w:val="16"/>
              </w:rPr>
              <w:t>Total</w:t>
            </w:r>
          </w:p>
          <w:p w14:paraId="74501C8B" w14:textId="77777777" w:rsidR="00C84610" w:rsidRPr="00F267CA" w:rsidRDefault="00C84610" w:rsidP="00C84610">
            <w:pPr>
              <w:jc w:val="center"/>
              <w:rPr>
                <w:b/>
                <w:sz w:val="16"/>
                <w:szCs w:val="16"/>
              </w:rPr>
            </w:pPr>
          </w:p>
        </w:tc>
      </w:tr>
      <w:tr w:rsidR="00C84610" w:rsidRPr="00863EC6" w14:paraId="407A4BA5" w14:textId="77777777" w:rsidTr="54F71CB4">
        <w:tc>
          <w:tcPr>
            <w:tcW w:w="2694" w:type="dxa"/>
          </w:tcPr>
          <w:p w14:paraId="53E98DE6" w14:textId="77777777" w:rsidR="00C84610" w:rsidRPr="00863EC6" w:rsidRDefault="00C84610" w:rsidP="001B27EA">
            <w:pPr>
              <w:rPr>
                <w:b/>
                <w:sz w:val="20"/>
                <w:szCs w:val="20"/>
              </w:rPr>
            </w:pPr>
            <w:r w:rsidRPr="00863EC6">
              <w:rPr>
                <w:b/>
                <w:sz w:val="20"/>
                <w:szCs w:val="20"/>
              </w:rPr>
              <w:t xml:space="preserve">Cost or valuation </w:t>
            </w:r>
          </w:p>
        </w:tc>
        <w:tc>
          <w:tcPr>
            <w:tcW w:w="1950" w:type="dxa"/>
          </w:tcPr>
          <w:p w14:paraId="41F5970F" w14:textId="77777777" w:rsidR="00C84610" w:rsidRPr="00863EC6" w:rsidRDefault="00C84610" w:rsidP="00C84610">
            <w:pPr>
              <w:jc w:val="center"/>
              <w:rPr>
                <w:b/>
                <w:sz w:val="20"/>
                <w:szCs w:val="20"/>
              </w:rPr>
            </w:pPr>
            <w:r w:rsidRPr="00863EC6">
              <w:rPr>
                <w:b/>
                <w:sz w:val="20"/>
                <w:szCs w:val="20"/>
              </w:rPr>
              <w:t>£</w:t>
            </w:r>
          </w:p>
        </w:tc>
        <w:tc>
          <w:tcPr>
            <w:tcW w:w="1417" w:type="dxa"/>
          </w:tcPr>
          <w:p w14:paraId="05B0E083" w14:textId="77777777" w:rsidR="00C84610" w:rsidRPr="00863EC6" w:rsidRDefault="00C84610" w:rsidP="00C84610">
            <w:pPr>
              <w:jc w:val="center"/>
              <w:rPr>
                <w:b/>
                <w:sz w:val="20"/>
                <w:szCs w:val="20"/>
              </w:rPr>
            </w:pPr>
            <w:r w:rsidRPr="00863EC6">
              <w:rPr>
                <w:b/>
                <w:sz w:val="20"/>
                <w:szCs w:val="20"/>
              </w:rPr>
              <w:t>£</w:t>
            </w:r>
          </w:p>
        </w:tc>
        <w:tc>
          <w:tcPr>
            <w:tcW w:w="1452" w:type="dxa"/>
          </w:tcPr>
          <w:p w14:paraId="6DA1AEB2" w14:textId="77777777" w:rsidR="00C84610" w:rsidRPr="00863EC6" w:rsidRDefault="00C84610" w:rsidP="00C84610">
            <w:pPr>
              <w:jc w:val="center"/>
              <w:rPr>
                <w:b/>
                <w:sz w:val="20"/>
                <w:szCs w:val="20"/>
              </w:rPr>
            </w:pPr>
            <w:r w:rsidRPr="00863EC6">
              <w:rPr>
                <w:b/>
                <w:sz w:val="20"/>
                <w:szCs w:val="20"/>
              </w:rPr>
              <w:t>£</w:t>
            </w:r>
          </w:p>
        </w:tc>
        <w:tc>
          <w:tcPr>
            <w:tcW w:w="1454" w:type="dxa"/>
          </w:tcPr>
          <w:p w14:paraId="1BC71B98" w14:textId="77777777" w:rsidR="00C84610" w:rsidRPr="00863EC6" w:rsidRDefault="00C84610" w:rsidP="00C84610">
            <w:pPr>
              <w:jc w:val="center"/>
              <w:rPr>
                <w:b/>
                <w:sz w:val="20"/>
                <w:szCs w:val="20"/>
              </w:rPr>
            </w:pPr>
            <w:r w:rsidRPr="00863EC6">
              <w:rPr>
                <w:b/>
                <w:sz w:val="20"/>
                <w:szCs w:val="20"/>
              </w:rPr>
              <w:t>£</w:t>
            </w:r>
          </w:p>
        </w:tc>
      </w:tr>
      <w:tr w:rsidR="00C84610" w:rsidRPr="00863EC6" w14:paraId="5B4DB702" w14:textId="77777777" w:rsidTr="54F71CB4">
        <w:tc>
          <w:tcPr>
            <w:tcW w:w="2694" w:type="dxa"/>
          </w:tcPr>
          <w:p w14:paraId="2EB4BFFA" w14:textId="5E466B1D" w:rsidR="00C84610" w:rsidRPr="00863EC6" w:rsidRDefault="00C84610" w:rsidP="001B27EA">
            <w:pPr>
              <w:rPr>
                <w:sz w:val="20"/>
                <w:szCs w:val="20"/>
              </w:rPr>
            </w:pPr>
            <w:proofErr w:type="gramStart"/>
            <w:r w:rsidRPr="00863EC6">
              <w:rPr>
                <w:sz w:val="20"/>
                <w:szCs w:val="20"/>
              </w:rPr>
              <w:t>At</w:t>
            </w:r>
            <w:proofErr w:type="gramEnd"/>
            <w:r w:rsidRPr="00863EC6">
              <w:rPr>
                <w:sz w:val="20"/>
                <w:szCs w:val="20"/>
              </w:rPr>
              <w:t xml:space="preserve"> 1 April 20</w:t>
            </w:r>
            <w:r>
              <w:rPr>
                <w:sz w:val="20"/>
                <w:szCs w:val="20"/>
              </w:rPr>
              <w:t>2</w:t>
            </w:r>
            <w:r w:rsidR="00043F72">
              <w:rPr>
                <w:sz w:val="20"/>
                <w:szCs w:val="20"/>
              </w:rPr>
              <w:t>2</w:t>
            </w:r>
          </w:p>
        </w:tc>
        <w:tc>
          <w:tcPr>
            <w:tcW w:w="1950" w:type="dxa"/>
          </w:tcPr>
          <w:p w14:paraId="673594C9" w14:textId="797EDC8C" w:rsidR="00C84610" w:rsidRPr="00863EC6" w:rsidRDefault="00092A71" w:rsidP="00C84610">
            <w:pPr>
              <w:jc w:val="center"/>
              <w:rPr>
                <w:sz w:val="20"/>
                <w:szCs w:val="20"/>
              </w:rPr>
            </w:pPr>
            <w:r>
              <w:rPr>
                <w:sz w:val="20"/>
                <w:szCs w:val="20"/>
              </w:rPr>
              <w:t>5</w:t>
            </w:r>
            <w:r w:rsidR="00043F72">
              <w:rPr>
                <w:sz w:val="20"/>
                <w:szCs w:val="20"/>
              </w:rPr>
              <w:t>79</w:t>
            </w:r>
            <w:r>
              <w:rPr>
                <w:sz w:val="20"/>
                <w:szCs w:val="20"/>
              </w:rPr>
              <w:t>,</w:t>
            </w:r>
            <w:r w:rsidR="00043F72">
              <w:rPr>
                <w:sz w:val="20"/>
                <w:szCs w:val="20"/>
              </w:rPr>
              <w:t>8</w:t>
            </w:r>
            <w:r>
              <w:rPr>
                <w:sz w:val="20"/>
                <w:szCs w:val="20"/>
              </w:rPr>
              <w:t>34</w:t>
            </w:r>
          </w:p>
        </w:tc>
        <w:tc>
          <w:tcPr>
            <w:tcW w:w="1417" w:type="dxa"/>
          </w:tcPr>
          <w:p w14:paraId="0D99E15A" w14:textId="0BE494E3" w:rsidR="00C84610" w:rsidRPr="00863EC6" w:rsidRDefault="00043F72" w:rsidP="00C84610">
            <w:pPr>
              <w:jc w:val="center"/>
              <w:rPr>
                <w:sz w:val="20"/>
                <w:szCs w:val="20"/>
              </w:rPr>
            </w:pPr>
            <w:r>
              <w:rPr>
                <w:sz w:val="20"/>
                <w:szCs w:val="20"/>
              </w:rPr>
              <w:t>91</w:t>
            </w:r>
            <w:r w:rsidR="00092A71">
              <w:rPr>
                <w:sz w:val="20"/>
                <w:szCs w:val="20"/>
              </w:rPr>
              <w:t>,</w:t>
            </w:r>
            <w:r>
              <w:rPr>
                <w:sz w:val="20"/>
                <w:szCs w:val="20"/>
              </w:rPr>
              <w:t>493</w:t>
            </w:r>
          </w:p>
        </w:tc>
        <w:tc>
          <w:tcPr>
            <w:tcW w:w="1452" w:type="dxa"/>
          </w:tcPr>
          <w:p w14:paraId="6366F69C" w14:textId="782D4FB4" w:rsidR="00C84610" w:rsidRPr="00863EC6" w:rsidRDefault="00092A71" w:rsidP="00C84610">
            <w:pPr>
              <w:jc w:val="center"/>
              <w:rPr>
                <w:sz w:val="20"/>
                <w:szCs w:val="20"/>
              </w:rPr>
            </w:pPr>
            <w:r>
              <w:rPr>
                <w:sz w:val="20"/>
                <w:szCs w:val="20"/>
              </w:rPr>
              <w:t>93,393</w:t>
            </w:r>
          </w:p>
        </w:tc>
        <w:tc>
          <w:tcPr>
            <w:tcW w:w="1454" w:type="dxa"/>
          </w:tcPr>
          <w:p w14:paraId="753A5EA4" w14:textId="3D69A95E" w:rsidR="00C84610" w:rsidRPr="00863EC6" w:rsidRDefault="00092A71" w:rsidP="00C84610">
            <w:pPr>
              <w:jc w:val="center"/>
              <w:rPr>
                <w:sz w:val="20"/>
                <w:szCs w:val="20"/>
              </w:rPr>
            </w:pPr>
            <w:r>
              <w:rPr>
                <w:sz w:val="20"/>
                <w:szCs w:val="20"/>
              </w:rPr>
              <w:t>7</w:t>
            </w:r>
            <w:r w:rsidR="00043F72">
              <w:rPr>
                <w:sz w:val="20"/>
                <w:szCs w:val="20"/>
              </w:rPr>
              <w:t>64</w:t>
            </w:r>
            <w:r>
              <w:rPr>
                <w:sz w:val="20"/>
                <w:szCs w:val="20"/>
              </w:rPr>
              <w:t>,</w:t>
            </w:r>
            <w:r w:rsidR="00043F72">
              <w:rPr>
                <w:sz w:val="20"/>
                <w:szCs w:val="20"/>
              </w:rPr>
              <w:t>720</w:t>
            </w:r>
          </w:p>
        </w:tc>
      </w:tr>
      <w:tr w:rsidR="00C84610" w:rsidRPr="00863EC6" w14:paraId="60979147" w14:textId="77777777" w:rsidTr="54F71CB4">
        <w:tc>
          <w:tcPr>
            <w:tcW w:w="2694" w:type="dxa"/>
          </w:tcPr>
          <w:p w14:paraId="4F72B1E6" w14:textId="2D69A7E3" w:rsidR="00C84610" w:rsidRPr="00863EC6" w:rsidRDefault="00C84610" w:rsidP="001B27EA">
            <w:pPr>
              <w:rPr>
                <w:sz w:val="20"/>
                <w:szCs w:val="20"/>
              </w:rPr>
            </w:pPr>
          </w:p>
        </w:tc>
        <w:tc>
          <w:tcPr>
            <w:tcW w:w="1950" w:type="dxa"/>
          </w:tcPr>
          <w:p w14:paraId="7E1FAD27" w14:textId="5A763436" w:rsidR="00C84610" w:rsidRPr="00863EC6" w:rsidRDefault="00C84610" w:rsidP="00C84610">
            <w:pPr>
              <w:jc w:val="center"/>
              <w:rPr>
                <w:sz w:val="20"/>
                <w:szCs w:val="20"/>
              </w:rPr>
            </w:pPr>
          </w:p>
        </w:tc>
        <w:tc>
          <w:tcPr>
            <w:tcW w:w="1417" w:type="dxa"/>
          </w:tcPr>
          <w:p w14:paraId="2042A0E3" w14:textId="782B4CF0" w:rsidR="00C84610" w:rsidRPr="00863EC6" w:rsidRDefault="00C84610" w:rsidP="00C84610">
            <w:pPr>
              <w:jc w:val="center"/>
              <w:rPr>
                <w:sz w:val="20"/>
                <w:szCs w:val="20"/>
              </w:rPr>
            </w:pPr>
          </w:p>
        </w:tc>
        <w:tc>
          <w:tcPr>
            <w:tcW w:w="1452" w:type="dxa"/>
          </w:tcPr>
          <w:p w14:paraId="3722F7B6" w14:textId="69AA61E6" w:rsidR="00C84610" w:rsidRPr="00863EC6" w:rsidRDefault="00C84610" w:rsidP="00C84610">
            <w:pPr>
              <w:jc w:val="center"/>
              <w:rPr>
                <w:sz w:val="20"/>
                <w:szCs w:val="20"/>
              </w:rPr>
            </w:pPr>
          </w:p>
        </w:tc>
        <w:tc>
          <w:tcPr>
            <w:tcW w:w="1454" w:type="dxa"/>
          </w:tcPr>
          <w:p w14:paraId="500B67BD" w14:textId="45E282C1" w:rsidR="00C84610" w:rsidRPr="00863EC6" w:rsidRDefault="00C84610" w:rsidP="00C84610">
            <w:pPr>
              <w:jc w:val="center"/>
              <w:rPr>
                <w:sz w:val="20"/>
                <w:szCs w:val="20"/>
              </w:rPr>
            </w:pPr>
          </w:p>
        </w:tc>
      </w:tr>
      <w:tr w:rsidR="00C84610" w14:paraId="102E5BDD" w14:textId="77777777" w:rsidTr="54F71CB4">
        <w:tc>
          <w:tcPr>
            <w:tcW w:w="2694" w:type="dxa"/>
          </w:tcPr>
          <w:p w14:paraId="5A968AB4" w14:textId="41C6A193" w:rsidR="00C84610" w:rsidRDefault="00092A71" w:rsidP="001B27EA">
            <w:pPr>
              <w:rPr>
                <w:sz w:val="20"/>
                <w:szCs w:val="20"/>
              </w:rPr>
            </w:pPr>
            <w:r>
              <w:rPr>
                <w:sz w:val="20"/>
                <w:szCs w:val="20"/>
              </w:rPr>
              <w:t>Revaluation</w:t>
            </w:r>
          </w:p>
        </w:tc>
        <w:tc>
          <w:tcPr>
            <w:tcW w:w="1950" w:type="dxa"/>
          </w:tcPr>
          <w:p w14:paraId="5C5402B7" w14:textId="4C4CFBB6" w:rsidR="00C84610" w:rsidRDefault="00043F72" w:rsidP="00C84610">
            <w:pPr>
              <w:jc w:val="center"/>
              <w:rPr>
                <w:sz w:val="20"/>
                <w:szCs w:val="20"/>
              </w:rPr>
            </w:pPr>
            <w:r>
              <w:rPr>
                <w:sz w:val="20"/>
                <w:szCs w:val="20"/>
              </w:rPr>
              <w:t>41</w:t>
            </w:r>
            <w:r w:rsidR="00092A71">
              <w:rPr>
                <w:sz w:val="20"/>
                <w:szCs w:val="20"/>
              </w:rPr>
              <w:t>,8</w:t>
            </w:r>
            <w:r>
              <w:rPr>
                <w:sz w:val="20"/>
                <w:szCs w:val="20"/>
              </w:rPr>
              <w:t>59</w:t>
            </w:r>
          </w:p>
        </w:tc>
        <w:tc>
          <w:tcPr>
            <w:tcW w:w="1417" w:type="dxa"/>
          </w:tcPr>
          <w:p w14:paraId="1DF912D4" w14:textId="77777777" w:rsidR="00C84610" w:rsidRDefault="00C84610" w:rsidP="00C84610">
            <w:pPr>
              <w:jc w:val="center"/>
              <w:rPr>
                <w:sz w:val="20"/>
                <w:szCs w:val="20"/>
              </w:rPr>
            </w:pPr>
            <w:r>
              <w:rPr>
                <w:sz w:val="20"/>
                <w:szCs w:val="20"/>
              </w:rPr>
              <w:t>0</w:t>
            </w:r>
          </w:p>
        </w:tc>
        <w:tc>
          <w:tcPr>
            <w:tcW w:w="1452" w:type="dxa"/>
          </w:tcPr>
          <w:p w14:paraId="77541B84" w14:textId="70B03D98" w:rsidR="00C84610" w:rsidRDefault="00C84610" w:rsidP="00C84610">
            <w:pPr>
              <w:jc w:val="center"/>
              <w:rPr>
                <w:sz w:val="20"/>
                <w:szCs w:val="20"/>
              </w:rPr>
            </w:pPr>
            <w:r>
              <w:rPr>
                <w:sz w:val="20"/>
                <w:szCs w:val="20"/>
              </w:rPr>
              <w:t>0</w:t>
            </w:r>
          </w:p>
        </w:tc>
        <w:tc>
          <w:tcPr>
            <w:tcW w:w="1454" w:type="dxa"/>
          </w:tcPr>
          <w:p w14:paraId="3E81AF49" w14:textId="3386ABC9" w:rsidR="00C84610" w:rsidRDefault="00043F72" w:rsidP="00C84610">
            <w:pPr>
              <w:jc w:val="center"/>
              <w:rPr>
                <w:sz w:val="20"/>
                <w:szCs w:val="20"/>
              </w:rPr>
            </w:pPr>
            <w:r>
              <w:rPr>
                <w:sz w:val="20"/>
                <w:szCs w:val="20"/>
              </w:rPr>
              <w:t>41</w:t>
            </w:r>
            <w:r w:rsidR="00092A71">
              <w:rPr>
                <w:sz w:val="20"/>
                <w:szCs w:val="20"/>
              </w:rPr>
              <w:t>,8</w:t>
            </w:r>
            <w:r>
              <w:rPr>
                <w:sz w:val="20"/>
                <w:szCs w:val="20"/>
              </w:rPr>
              <w:t>59</w:t>
            </w:r>
          </w:p>
        </w:tc>
      </w:tr>
      <w:tr w:rsidR="00C84610" w:rsidRPr="00863EC6" w14:paraId="0959773C" w14:textId="77777777" w:rsidTr="54F71CB4">
        <w:tc>
          <w:tcPr>
            <w:tcW w:w="2694" w:type="dxa"/>
          </w:tcPr>
          <w:p w14:paraId="5D86E6AE" w14:textId="57EF4070" w:rsidR="00C84610" w:rsidRPr="00863EC6" w:rsidRDefault="00C84610" w:rsidP="001B27EA">
            <w:pPr>
              <w:rPr>
                <w:sz w:val="20"/>
                <w:szCs w:val="20"/>
              </w:rPr>
            </w:pPr>
            <w:proofErr w:type="gramStart"/>
            <w:r w:rsidRPr="00863EC6">
              <w:rPr>
                <w:sz w:val="20"/>
                <w:szCs w:val="20"/>
              </w:rPr>
              <w:t>At</w:t>
            </w:r>
            <w:proofErr w:type="gramEnd"/>
            <w:r w:rsidRPr="00863EC6">
              <w:rPr>
                <w:sz w:val="20"/>
                <w:szCs w:val="20"/>
              </w:rPr>
              <w:t xml:space="preserve"> </w:t>
            </w:r>
            <w:r>
              <w:rPr>
                <w:sz w:val="20"/>
                <w:szCs w:val="20"/>
              </w:rPr>
              <w:t>31 March 202</w:t>
            </w:r>
            <w:r w:rsidR="00043F72">
              <w:rPr>
                <w:sz w:val="20"/>
                <w:szCs w:val="20"/>
              </w:rPr>
              <w:t>3</w:t>
            </w:r>
          </w:p>
        </w:tc>
        <w:tc>
          <w:tcPr>
            <w:tcW w:w="1950" w:type="dxa"/>
            <w:tcBorders>
              <w:top w:val="single" w:sz="4" w:space="0" w:color="auto"/>
              <w:bottom w:val="single" w:sz="4" w:space="0" w:color="auto"/>
            </w:tcBorders>
          </w:tcPr>
          <w:p w14:paraId="1B4C804C" w14:textId="7F4E787F" w:rsidR="00C84610" w:rsidRPr="00863EC6" w:rsidRDefault="00043F72" w:rsidP="00C84610">
            <w:pPr>
              <w:jc w:val="center"/>
              <w:rPr>
                <w:sz w:val="20"/>
                <w:szCs w:val="20"/>
              </w:rPr>
            </w:pPr>
            <w:r>
              <w:rPr>
                <w:sz w:val="20"/>
                <w:szCs w:val="20"/>
              </w:rPr>
              <w:t>621</w:t>
            </w:r>
            <w:r w:rsidR="00092A71">
              <w:rPr>
                <w:sz w:val="20"/>
                <w:szCs w:val="20"/>
              </w:rPr>
              <w:t>,</w:t>
            </w:r>
            <w:r>
              <w:rPr>
                <w:sz w:val="20"/>
                <w:szCs w:val="20"/>
              </w:rPr>
              <w:t>693</w:t>
            </w:r>
          </w:p>
        </w:tc>
        <w:tc>
          <w:tcPr>
            <w:tcW w:w="1417" w:type="dxa"/>
            <w:tcBorders>
              <w:top w:val="single" w:sz="4" w:space="0" w:color="auto"/>
              <w:bottom w:val="single" w:sz="4" w:space="0" w:color="auto"/>
            </w:tcBorders>
          </w:tcPr>
          <w:p w14:paraId="60E2AA57" w14:textId="42BD1003" w:rsidR="00C84610" w:rsidRPr="00863EC6" w:rsidRDefault="00092A71" w:rsidP="00C84610">
            <w:pPr>
              <w:jc w:val="center"/>
              <w:rPr>
                <w:sz w:val="20"/>
                <w:szCs w:val="20"/>
              </w:rPr>
            </w:pPr>
            <w:r>
              <w:rPr>
                <w:sz w:val="20"/>
                <w:szCs w:val="20"/>
              </w:rPr>
              <w:t>91,493</w:t>
            </w:r>
          </w:p>
        </w:tc>
        <w:tc>
          <w:tcPr>
            <w:tcW w:w="1452" w:type="dxa"/>
            <w:tcBorders>
              <w:top w:val="single" w:sz="4" w:space="0" w:color="auto"/>
              <w:bottom w:val="single" w:sz="4" w:space="0" w:color="auto"/>
            </w:tcBorders>
          </w:tcPr>
          <w:p w14:paraId="72ADB76D" w14:textId="62117AD4" w:rsidR="00C84610" w:rsidRPr="00863EC6" w:rsidRDefault="00C84610" w:rsidP="00C84610">
            <w:pPr>
              <w:jc w:val="center"/>
              <w:rPr>
                <w:sz w:val="20"/>
                <w:szCs w:val="20"/>
              </w:rPr>
            </w:pPr>
            <w:r>
              <w:rPr>
                <w:sz w:val="20"/>
                <w:szCs w:val="20"/>
              </w:rPr>
              <w:t>93,393</w:t>
            </w:r>
          </w:p>
        </w:tc>
        <w:tc>
          <w:tcPr>
            <w:tcW w:w="1454" w:type="dxa"/>
            <w:tcBorders>
              <w:top w:val="single" w:sz="4" w:space="0" w:color="auto"/>
              <w:bottom w:val="single" w:sz="4" w:space="0" w:color="auto"/>
            </w:tcBorders>
          </w:tcPr>
          <w:p w14:paraId="1F61E34B" w14:textId="1BB863A9" w:rsidR="00C84610" w:rsidRPr="00863EC6" w:rsidRDefault="00043F72" w:rsidP="00C84610">
            <w:pPr>
              <w:jc w:val="center"/>
              <w:rPr>
                <w:sz w:val="20"/>
                <w:szCs w:val="20"/>
              </w:rPr>
            </w:pPr>
            <w:r>
              <w:rPr>
                <w:sz w:val="20"/>
                <w:szCs w:val="20"/>
              </w:rPr>
              <w:t>806</w:t>
            </w:r>
            <w:r w:rsidR="00092A71">
              <w:rPr>
                <w:sz w:val="20"/>
                <w:szCs w:val="20"/>
              </w:rPr>
              <w:t>,</w:t>
            </w:r>
            <w:r>
              <w:rPr>
                <w:sz w:val="20"/>
                <w:szCs w:val="20"/>
              </w:rPr>
              <w:t>579</w:t>
            </w:r>
          </w:p>
        </w:tc>
      </w:tr>
      <w:tr w:rsidR="00C84610" w:rsidRPr="00863EC6" w14:paraId="647499A9" w14:textId="77777777" w:rsidTr="54F71CB4">
        <w:tc>
          <w:tcPr>
            <w:tcW w:w="2694" w:type="dxa"/>
          </w:tcPr>
          <w:p w14:paraId="7F9B11D9" w14:textId="77777777" w:rsidR="00092A71" w:rsidRDefault="00092A71" w:rsidP="001B27EA">
            <w:pPr>
              <w:rPr>
                <w:b/>
                <w:sz w:val="20"/>
                <w:szCs w:val="20"/>
              </w:rPr>
            </w:pPr>
          </w:p>
          <w:p w14:paraId="483FFB1C" w14:textId="785C14E8" w:rsidR="00C84610" w:rsidRPr="00863EC6" w:rsidRDefault="00C84610" w:rsidP="001B27EA">
            <w:pPr>
              <w:rPr>
                <w:b/>
                <w:sz w:val="20"/>
                <w:szCs w:val="20"/>
              </w:rPr>
            </w:pPr>
            <w:r w:rsidRPr="00863EC6">
              <w:rPr>
                <w:b/>
                <w:sz w:val="20"/>
                <w:szCs w:val="20"/>
              </w:rPr>
              <w:t>Depreciation</w:t>
            </w:r>
          </w:p>
        </w:tc>
        <w:tc>
          <w:tcPr>
            <w:tcW w:w="1950" w:type="dxa"/>
          </w:tcPr>
          <w:p w14:paraId="5991317E" w14:textId="77777777" w:rsidR="00C84610" w:rsidRPr="00863EC6" w:rsidRDefault="00C84610" w:rsidP="00C84610">
            <w:pPr>
              <w:jc w:val="center"/>
              <w:rPr>
                <w:sz w:val="20"/>
                <w:szCs w:val="20"/>
              </w:rPr>
            </w:pPr>
          </w:p>
        </w:tc>
        <w:tc>
          <w:tcPr>
            <w:tcW w:w="1417" w:type="dxa"/>
          </w:tcPr>
          <w:p w14:paraId="3224A430" w14:textId="77777777" w:rsidR="00C84610" w:rsidRPr="00863EC6" w:rsidRDefault="00C84610" w:rsidP="00C84610">
            <w:pPr>
              <w:jc w:val="center"/>
              <w:rPr>
                <w:sz w:val="20"/>
                <w:szCs w:val="20"/>
              </w:rPr>
            </w:pPr>
          </w:p>
        </w:tc>
        <w:tc>
          <w:tcPr>
            <w:tcW w:w="1452" w:type="dxa"/>
          </w:tcPr>
          <w:p w14:paraId="42BB911E" w14:textId="77777777" w:rsidR="00C84610" w:rsidRPr="00863EC6" w:rsidRDefault="00C84610" w:rsidP="00C84610">
            <w:pPr>
              <w:jc w:val="center"/>
              <w:rPr>
                <w:sz w:val="20"/>
                <w:szCs w:val="20"/>
              </w:rPr>
            </w:pPr>
          </w:p>
        </w:tc>
        <w:tc>
          <w:tcPr>
            <w:tcW w:w="1454" w:type="dxa"/>
          </w:tcPr>
          <w:p w14:paraId="0EB8D94A" w14:textId="77777777" w:rsidR="00C84610" w:rsidRPr="00863EC6" w:rsidRDefault="00C84610" w:rsidP="00C84610">
            <w:pPr>
              <w:jc w:val="center"/>
              <w:rPr>
                <w:sz w:val="20"/>
                <w:szCs w:val="20"/>
              </w:rPr>
            </w:pPr>
          </w:p>
        </w:tc>
      </w:tr>
      <w:tr w:rsidR="00C84610" w:rsidRPr="00863EC6" w14:paraId="36074DCC" w14:textId="77777777" w:rsidTr="54F71CB4">
        <w:tc>
          <w:tcPr>
            <w:tcW w:w="2694" w:type="dxa"/>
          </w:tcPr>
          <w:p w14:paraId="6837E7EC" w14:textId="4AD8C662" w:rsidR="00C84610" w:rsidRPr="00863EC6" w:rsidRDefault="00C84610" w:rsidP="001B27EA">
            <w:pPr>
              <w:rPr>
                <w:sz w:val="20"/>
                <w:szCs w:val="20"/>
              </w:rPr>
            </w:pPr>
            <w:proofErr w:type="gramStart"/>
            <w:r w:rsidRPr="00863EC6">
              <w:rPr>
                <w:sz w:val="20"/>
                <w:szCs w:val="20"/>
              </w:rPr>
              <w:t>At</w:t>
            </w:r>
            <w:proofErr w:type="gramEnd"/>
            <w:r w:rsidRPr="00863EC6">
              <w:rPr>
                <w:sz w:val="20"/>
                <w:szCs w:val="20"/>
              </w:rPr>
              <w:t xml:space="preserve"> 1 April 20</w:t>
            </w:r>
            <w:r>
              <w:rPr>
                <w:sz w:val="20"/>
                <w:szCs w:val="20"/>
              </w:rPr>
              <w:t>2</w:t>
            </w:r>
            <w:r w:rsidR="00043F72">
              <w:rPr>
                <w:sz w:val="20"/>
                <w:szCs w:val="20"/>
              </w:rPr>
              <w:t>2</w:t>
            </w:r>
          </w:p>
        </w:tc>
        <w:tc>
          <w:tcPr>
            <w:tcW w:w="1950" w:type="dxa"/>
          </w:tcPr>
          <w:p w14:paraId="43C9286B" w14:textId="5877B426" w:rsidR="00C84610" w:rsidRPr="00863EC6" w:rsidRDefault="00043F72" w:rsidP="00C84610">
            <w:pPr>
              <w:jc w:val="center"/>
              <w:rPr>
                <w:sz w:val="20"/>
                <w:szCs w:val="20"/>
              </w:rPr>
            </w:pPr>
            <w:r>
              <w:rPr>
                <w:sz w:val="20"/>
                <w:szCs w:val="20"/>
              </w:rPr>
              <w:t>125</w:t>
            </w:r>
            <w:r w:rsidR="00092A71">
              <w:rPr>
                <w:sz w:val="20"/>
                <w:szCs w:val="20"/>
              </w:rPr>
              <w:t>,59</w:t>
            </w:r>
            <w:r>
              <w:rPr>
                <w:sz w:val="20"/>
                <w:szCs w:val="20"/>
              </w:rPr>
              <w:t>9</w:t>
            </w:r>
          </w:p>
        </w:tc>
        <w:tc>
          <w:tcPr>
            <w:tcW w:w="1417" w:type="dxa"/>
          </w:tcPr>
          <w:p w14:paraId="172068FD" w14:textId="1513A877" w:rsidR="00C84610" w:rsidRPr="00863EC6" w:rsidRDefault="00043F72" w:rsidP="00C84610">
            <w:pPr>
              <w:jc w:val="center"/>
              <w:rPr>
                <w:sz w:val="20"/>
                <w:szCs w:val="20"/>
              </w:rPr>
            </w:pPr>
            <w:r>
              <w:rPr>
                <w:sz w:val="20"/>
                <w:szCs w:val="20"/>
              </w:rPr>
              <w:t>73</w:t>
            </w:r>
            <w:r w:rsidR="00092A71">
              <w:rPr>
                <w:sz w:val="20"/>
                <w:szCs w:val="20"/>
              </w:rPr>
              <w:t>,8</w:t>
            </w:r>
            <w:r>
              <w:rPr>
                <w:sz w:val="20"/>
                <w:szCs w:val="20"/>
              </w:rPr>
              <w:t>49</w:t>
            </w:r>
          </w:p>
        </w:tc>
        <w:tc>
          <w:tcPr>
            <w:tcW w:w="1452" w:type="dxa"/>
          </w:tcPr>
          <w:p w14:paraId="51687CC3" w14:textId="7F43FEF8" w:rsidR="00C84610" w:rsidRPr="00863EC6" w:rsidRDefault="00043F72" w:rsidP="00C84610">
            <w:pPr>
              <w:jc w:val="center"/>
              <w:rPr>
                <w:sz w:val="20"/>
                <w:szCs w:val="20"/>
              </w:rPr>
            </w:pPr>
            <w:r>
              <w:rPr>
                <w:sz w:val="20"/>
                <w:szCs w:val="20"/>
              </w:rPr>
              <w:t>28</w:t>
            </w:r>
            <w:r w:rsidR="00092A71">
              <w:rPr>
                <w:sz w:val="20"/>
                <w:szCs w:val="20"/>
              </w:rPr>
              <w:t>,</w:t>
            </w:r>
            <w:r>
              <w:rPr>
                <w:sz w:val="20"/>
                <w:szCs w:val="20"/>
              </w:rPr>
              <w:t>356</w:t>
            </w:r>
          </w:p>
        </w:tc>
        <w:tc>
          <w:tcPr>
            <w:tcW w:w="1454" w:type="dxa"/>
          </w:tcPr>
          <w:p w14:paraId="4D544C7E" w14:textId="5F525288" w:rsidR="00C84610" w:rsidRPr="00863EC6" w:rsidRDefault="00043F72" w:rsidP="00C84610">
            <w:pPr>
              <w:jc w:val="center"/>
              <w:rPr>
                <w:sz w:val="20"/>
                <w:szCs w:val="20"/>
              </w:rPr>
            </w:pPr>
            <w:r>
              <w:rPr>
                <w:sz w:val="20"/>
                <w:szCs w:val="20"/>
              </w:rPr>
              <w:t>227</w:t>
            </w:r>
            <w:r w:rsidR="00092A71">
              <w:rPr>
                <w:sz w:val="20"/>
                <w:szCs w:val="20"/>
              </w:rPr>
              <w:t>,</w:t>
            </w:r>
            <w:r>
              <w:rPr>
                <w:sz w:val="20"/>
                <w:szCs w:val="20"/>
              </w:rPr>
              <w:t>804</w:t>
            </w:r>
          </w:p>
        </w:tc>
      </w:tr>
      <w:tr w:rsidR="00C84610" w:rsidRPr="00863EC6" w14:paraId="1A80CBA8" w14:textId="77777777" w:rsidTr="54F71CB4">
        <w:tc>
          <w:tcPr>
            <w:tcW w:w="2694" w:type="dxa"/>
          </w:tcPr>
          <w:p w14:paraId="514064A6" w14:textId="77777777" w:rsidR="00C84610" w:rsidRPr="00863EC6" w:rsidRDefault="00C84610" w:rsidP="001B27EA">
            <w:pPr>
              <w:rPr>
                <w:sz w:val="20"/>
                <w:szCs w:val="20"/>
              </w:rPr>
            </w:pPr>
            <w:r w:rsidRPr="00863EC6">
              <w:rPr>
                <w:sz w:val="20"/>
                <w:szCs w:val="20"/>
              </w:rPr>
              <w:t>Charged in year</w:t>
            </w:r>
          </w:p>
        </w:tc>
        <w:tc>
          <w:tcPr>
            <w:tcW w:w="1950" w:type="dxa"/>
          </w:tcPr>
          <w:p w14:paraId="2E621078" w14:textId="07DCB50D" w:rsidR="00C84610" w:rsidRPr="00863EC6" w:rsidRDefault="00043F72" w:rsidP="00C84610">
            <w:pPr>
              <w:jc w:val="center"/>
              <w:rPr>
                <w:sz w:val="20"/>
                <w:szCs w:val="20"/>
              </w:rPr>
            </w:pPr>
            <w:r>
              <w:rPr>
                <w:sz w:val="20"/>
                <w:szCs w:val="20"/>
              </w:rPr>
              <w:t>71</w:t>
            </w:r>
            <w:r w:rsidR="00092A71">
              <w:rPr>
                <w:sz w:val="20"/>
                <w:szCs w:val="20"/>
              </w:rPr>
              <w:t>,</w:t>
            </w:r>
            <w:r>
              <w:rPr>
                <w:sz w:val="20"/>
                <w:szCs w:val="20"/>
              </w:rPr>
              <w:t>176</w:t>
            </w:r>
          </w:p>
        </w:tc>
        <w:tc>
          <w:tcPr>
            <w:tcW w:w="1417" w:type="dxa"/>
          </w:tcPr>
          <w:p w14:paraId="031E8F1C" w14:textId="00C43C30" w:rsidR="00C84610" w:rsidRPr="00863EC6" w:rsidRDefault="00043F72" w:rsidP="00C84610">
            <w:pPr>
              <w:jc w:val="center"/>
              <w:rPr>
                <w:sz w:val="20"/>
                <w:szCs w:val="20"/>
              </w:rPr>
            </w:pPr>
            <w:r>
              <w:rPr>
                <w:sz w:val="20"/>
                <w:szCs w:val="20"/>
              </w:rPr>
              <w:t>8</w:t>
            </w:r>
            <w:r w:rsidR="00092A71">
              <w:rPr>
                <w:sz w:val="20"/>
                <w:szCs w:val="20"/>
              </w:rPr>
              <w:t>,</w:t>
            </w:r>
            <w:r>
              <w:rPr>
                <w:sz w:val="20"/>
                <w:szCs w:val="20"/>
              </w:rPr>
              <w:t>612</w:t>
            </w:r>
          </w:p>
        </w:tc>
        <w:tc>
          <w:tcPr>
            <w:tcW w:w="1452" w:type="dxa"/>
          </w:tcPr>
          <w:p w14:paraId="4664CB89" w14:textId="21E1DA3D" w:rsidR="00C84610" w:rsidRPr="00863EC6" w:rsidRDefault="00092A71" w:rsidP="00C84610">
            <w:pPr>
              <w:jc w:val="center"/>
              <w:rPr>
                <w:sz w:val="20"/>
                <w:szCs w:val="20"/>
              </w:rPr>
            </w:pPr>
            <w:r>
              <w:rPr>
                <w:sz w:val="20"/>
                <w:szCs w:val="20"/>
              </w:rPr>
              <w:t>1</w:t>
            </w:r>
            <w:r w:rsidR="00043F72">
              <w:rPr>
                <w:sz w:val="20"/>
                <w:szCs w:val="20"/>
              </w:rPr>
              <w:t>8</w:t>
            </w:r>
            <w:r>
              <w:rPr>
                <w:sz w:val="20"/>
                <w:szCs w:val="20"/>
              </w:rPr>
              <w:t>,</w:t>
            </w:r>
            <w:r w:rsidR="00043F72">
              <w:rPr>
                <w:sz w:val="20"/>
                <w:szCs w:val="20"/>
              </w:rPr>
              <w:t>246</w:t>
            </w:r>
          </w:p>
        </w:tc>
        <w:tc>
          <w:tcPr>
            <w:tcW w:w="1454" w:type="dxa"/>
          </w:tcPr>
          <w:p w14:paraId="0EACE95A" w14:textId="7C3B7F54" w:rsidR="00C84610" w:rsidRPr="00863EC6" w:rsidRDefault="00043F72" w:rsidP="00C84610">
            <w:pPr>
              <w:jc w:val="center"/>
              <w:rPr>
                <w:sz w:val="20"/>
                <w:szCs w:val="20"/>
              </w:rPr>
            </w:pPr>
            <w:r>
              <w:rPr>
                <w:sz w:val="20"/>
                <w:szCs w:val="20"/>
              </w:rPr>
              <w:t>98</w:t>
            </w:r>
            <w:r w:rsidR="00092A71">
              <w:rPr>
                <w:sz w:val="20"/>
                <w:szCs w:val="20"/>
              </w:rPr>
              <w:t>,</w:t>
            </w:r>
            <w:r>
              <w:rPr>
                <w:sz w:val="20"/>
                <w:szCs w:val="20"/>
              </w:rPr>
              <w:t>034</w:t>
            </w:r>
          </w:p>
        </w:tc>
      </w:tr>
      <w:tr w:rsidR="00C84610" w14:paraId="30CFC4FC" w14:textId="77777777" w:rsidTr="54F71CB4">
        <w:tc>
          <w:tcPr>
            <w:tcW w:w="2694" w:type="dxa"/>
          </w:tcPr>
          <w:p w14:paraId="5A11BB14" w14:textId="3521AABD" w:rsidR="00C84610" w:rsidRPr="00F82840" w:rsidRDefault="00092A71" w:rsidP="001B27EA">
            <w:pPr>
              <w:rPr>
                <w:sz w:val="20"/>
                <w:szCs w:val="20"/>
              </w:rPr>
            </w:pPr>
            <w:r>
              <w:rPr>
                <w:sz w:val="20"/>
                <w:szCs w:val="20"/>
              </w:rPr>
              <w:t>Revaluation</w:t>
            </w:r>
          </w:p>
        </w:tc>
        <w:tc>
          <w:tcPr>
            <w:tcW w:w="1950" w:type="dxa"/>
          </w:tcPr>
          <w:p w14:paraId="7542E04E" w14:textId="7382FC3A" w:rsidR="00C84610" w:rsidRDefault="00043F72" w:rsidP="00C84610">
            <w:pPr>
              <w:jc w:val="center"/>
              <w:rPr>
                <w:sz w:val="20"/>
                <w:szCs w:val="20"/>
              </w:rPr>
            </w:pPr>
            <w:r>
              <w:rPr>
                <w:sz w:val="20"/>
                <w:szCs w:val="20"/>
              </w:rPr>
              <w:t>656</w:t>
            </w:r>
          </w:p>
        </w:tc>
        <w:tc>
          <w:tcPr>
            <w:tcW w:w="1417" w:type="dxa"/>
          </w:tcPr>
          <w:p w14:paraId="21A3FBB6" w14:textId="77777777" w:rsidR="00C84610" w:rsidRPr="00F82840" w:rsidRDefault="00C84610" w:rsidP="00C84610">
            <w:pPr>
              <w:jc w:val="center"/>
              <w:rPr>
                <w:sz w:val="20"/>
                <w:szCs w:val="20"/>
              </w:rPr>
            </w:pPr>
            <w:r>
              <w:rPr>
                <w:sz w:val="20"/>
                <w:szCs w:val="20"/>
              </w:rPr>
              <w:t>0</w:t>
            </w:r>
          </w:p>
        </w:tc>
        <w:tc>
          <w:tcPr>
            <w:tcW w:w="1452" w:type="dxa"/>
          </w:tcPr>
          <w:p w14:paraId="2AFC33D5" w14:textId="0E07BE39" w:rsidR="00C84610" w:rsidRPr="00F82840" w:rsidRDefault="00092A71" w:rsidP="00C84610">
            <w:pPr>
              <w:jc w:val="center"/>
              <w:rPr>
                <w:sz w:val="20"/>
                <w:szCs w:val="20"/>
              </w:rPr>
            </w:pPr>
            <w:r>
              <w:rPr>
                <w:sz w:val="20"/>
                <w:szCs w:val="20"/>
              </w:rPr>
              <w:t>0</w:t>
            </w:r>
          </w:p>
        </w:tc>
        <w:tc>
          <w:tcPr>
            <w:tcW w:w="1454" w:type="dxa"/>
          </w:tcPr>
          <w:p w14:paraId="1E72AFD2" w14:textId="5081180C" w:rsidR="00C84610" w:rsidRDefault="00043F72" w:rsidP="00C84610">
            <w:pPr>
              <w:jc w:val="center"/>
              <w:rPr>
                <w:sz w:val="20"/>
                <w:szCs w:val="20"/>
              </w:rPr>
            </w:pPr>
            <w:r>
              <w:rPr>
                <w:sz w:val="20"/>
                <w:szCs w:val="20"/>
              </w:rPr>
              <w:t>656</w:t>
            </w:r>
          </w:p>
        </w:tc>
      </w:tr>
      <w:tr w:rsidR="00C84610" w:rsidRPr="00F82840" w14:paraId="55C77E9B" w14:textId="77777777" w:rsidTr="54F71CB4">
        <w:tc>
          <w:tcPr>
            <w:tcW w:w="2694" w:type="dxa"/>
          </w:tcPr>
          <w:p w14:paraId="648A7647" w14:textId="139972EE" w:rsidR="00C84610" w:rsidRPr="00F82840" w:rsidRDefault="00C84610" w:rsidP="001B27EA">
            <w:pPr>
              <w:rPr>
                <w:sz w:val="20"/>
                <w:szCs w:val="20"/>
              </w:rPr>
            </w:pPr>
            <w:proofErr w:type="gramStart"/>
            <w:r w:rsidRPr="00F82840">
              <w:rPr>
                <w:sz w:val="20"/>
                <w:szCs w:val="20"/>
              </w:rPr>
              <w:t>At</w:t>
            </w:r>
            <w:proofErr w:type="gramEnd"/>
            <w:r w:rsidRPr="00F82840">
              <w:rPr>
                <w:sz w:val="20"/>
                <w:szCs w:val="20"/>
              </w:rPr>
              <w:t xml:space="preserve"> </w:t>
            </w:r>
            <w:r>
              <w:rPr>
                <w:sz w:val="20"/>
                <w:szCs w:val="20"/>
              </w:rPr>
              <w:t>31 March 202</w:t>
            </w:r>
            <w:r w:rsidR="00043F72">
              <w:rPr>
                <w:sz w:val="20"/>
                <w:szCs w:val="20"/>
              </w:rPr>
              <w:t>3</w:t>
            </w:r>
          </w:p>
        </w:tc>
        <w:tc>
          <w:tcPr>
            <w:tcW w:w="1950" w:type="dxa"/>
            <w:tcBorders>
              <w:top w:val="single" w:sz="4" w:space="0" w:color="auto"/>
              <w:bottom w:val="single" w:sz="4" w:space="0" w:color="auto"/>
            </w:tcBorders>
          </w:tcPr>
          <w:p w14:paraId="2EE868BF" w14:textId="20FB44E3" w:rsidR="00C84610" w:rsidRPr="00F82840" w:rsidRDefault="00092A71" w:rsidP="00C84610">
            <w:pPr>
              <w:jc w:val="center"/>
              <w:rPr>
                <w:sz w:val="20"/>
                <w:szCs w:val="20"/>
              </w:rPr>
            </w:pPr>
            <w:r>
              <w:rPr>
                <w:sz w:val="20"/>
                <w:szCs w:val="20"/>
              </w:rPr>
              <w:t>1</w:t>
            </w:r>
            <w:r w:rsidR="00043F72">
              <w:rPr>
                <w:sz w:val="20"/>
                <w:szCs w:val="20"/>
              </w:rPr>
              <w:t>97</w:t>
            </w:r>
            <w:r>
              <w:rPr>
                <w:sz w:val="20"/>
                <w:szCs w:val="20"/>
              </w:rPr>
              <w:t>,</w:t>
            </w:r>
            <w:r w:rsidR="00043F72">
              <w:rPr>
                <w:sz w:val="20"/>
                <w:szCs w:val="20"/>
              </w:rPr>
              <w:t>431</w:t>
            </w:r>
          </w:p>
        </w:tc>
        <w:tc>
          <w:tcPr>
            <w:tcW w:w="1417" w:type="dxa"/>
            <w:tcBorders>
              <w:top w:val="single" w:sz="4" w:space="0" w:color="auto"/>
              <w:bottom w:val="single" w:sz="4" w:space="0" w:color="auto"/>
            </w:tcBorders>
          </w:tcPr>
          <w:p w14:paraId="250730E5" w14:textId="48A3B78F" w:rsidR="00C84610" w:rsidRPr="00F82840" w:rsidRDefault="00043F72" w:rsidP="00C84610">
            <w:pPr>
              <w:jc w:val="center"/>
              <w:rPr>
                <w:sz w:val="20"/>
                <w:szCs w:val="20"/>
              </w:rPr>
            </w:pPr>
            <w:r>
              <w:rPr>
                <w:sz w:val="20"/>
                <w:szCs w:val="20"/>
              </w:rPr>
              <w:t>82</w:t>
            </w:r>
            <w:r w:rsidR="00092A71">
              <w:rPr>
                <w:sz w:val="20"/>
                <w:szCs w:val="20"/>
              </w:rPr>
              <w:t>,</w:t>
            </w:r>
            <w:r>
              <w:rPr>
                <w:sz w:val="20"/>
                <w:szCs w:val="20"/>
              </w:rPr>
              <w:t>461</w:t>
            </w:r>
          </w:p>
        </w:tc>
        <w:tc>
          <w:tcPr>
            <w:tcW w:w="1452" w:type="dxa"/>
            <w:tcBorders>
              <w:top w:val="single" w:sz="4" w:space="0" w:color="auto"/>
              <w:bottom w:val="single" w:sz="4" w:space="0" w:color="auto"/>
            </w:tcBorders>
          </w:tcPr>
          <w:p w14:paraId="1FEB7BF0" w14:textId="2C12294D" w:rsidR="00C84610" w:rsidRPr="00F82840" w:rsidRDefault="00043F72" w:rsidP="00C84610">
            <w:pPr>
              <w:jc w:val="center"/>
              <w:rPr>
                <w:sz w:val="20"/>
                <w:szCs w:val="20"/>
              </w:rPr>
            </w:pPr>
            <w:r>
              <w:rPr>
                <w:sz w:val="20"/>
                <w:szCs w:val="20"/>
              </w:rPr>
              <w:t>46</w:t>
            </w:r>
            <w:r w:rsidR="00092A71">
              <w:rPr>
                <w:sz w:val="20"/>
                <w:szCs w:val="20"/>
              </w:rPr>
              <w:t>,</w:t>
            </w:r>
            <w:r>
              <w:rPr>
                <w:sz w:val="20"/>
                <w:szCs w:val="20"/>
              </w:rPr>
              <w:t>602</w:t>
            </w:r>
          </w:p>
        </w:tc>
        <w:tc>
          <w:tcPr>
            <w:tcW w:w="1454" w:type="dxa"/>
            <w:tcBorders>
              <w:top w:val="single" w:sz="4" w:space="0" w:color="auto"/>
              <w:bottom w:val="single" w:sz="4" w:space="0" w:color="auto"/>
            </w:tcBorders>
          </w:tcPr>
          <w:p w14:paraId="66188587" w14:textId="7D95EBF0" w:rsidR="00C84610" w:rsidRPr="00F82840" w:rsidRDefault="00043F72" w:rsidP="00C84610">
            <w:pPr>
              <w:jc w:val="center"/>
              <w:rPr>
                <w:sz w:val="20"/>
                <w:szCs w:val="20"/>
              </w:rPr>
            </w:pPr>
            <w:r>
              <w:rPr>
                <w:sz w:val="20"/>
                <w:szCs w:val="20"/>
              </w:rPr>
              <w:t>3</w:t>
            </w:r>
            <w:r w:rsidR="003A3456">
              <w:rPr>
                <w:sz w:val="20"/>
                <w:szCs w:val="20"/>
              </w:rPr>
              <w:t>2</w:t>
            </w:r>
            <w:r>
              <w:rPr>
                <w:sz w:val="20"/>
                <w:szCs w:val="20"/>
              </w:rPr>
              <w:t>6</w:t>
            </w:r>
            <w:r w:rsidR="00092A71">
              <w:rPr>
                <w:sz w:val="20"/>
                <w:szCs w:val="20"/>
              </w:rPr>
              <w:t>,</w:t>
            </w:r>
            <w:r>
              <w:rPr>
                <w:sz w:val="20"/>
                <w:szCs w:val="20"/>
              </w:rPr>
              <w:t>494</w:t>
            </w:r>
          </w:p>
        </w:tc>
      </w:tr>
      <w:tr w:rsidR="00C84610" w:rsidRPr="00F82840" w14:paraId="2611D8B6" w14:textId="77777777" w:rsidTr="54F71CB4">
        <w:tc>
          <w:tcPr>
            <w:tcW w:w="2694" w:type="dxa"/>
          </w:tcPr>
          <w:p w14:paraId="6150F618" w14:textId="77777777" w:rsidR="00C84610" w:rsidRPr="00F82840" w:rsidRDefault="00C84610" w:rsidP="001B27EA">
            <w:pPr>
              <w:rPr>
                <w:sz w:val="20"/>
                <w:szCs w:val="20"/>
              </w:rPr>
            </w:pPr>
          </w:p>
          <w:p w14:paraId="79FDE53C" w14:textId="75444148" w:rsidR="00C84610" w:rsidRPr="00F82840" w:rsidRDefault="00C84610" w:rsidP="001B27EA">
            <w:pPr>
              <w:rPr>
                <w:sz w:val="20"/>
                <w:szCs w:val="20"/>
              </w:rPr>
            </w:pPr>
            <w:r w:rsidRPr="00F82840">
              <w:rPr>
                <w:sz w:val="20"/>
                <w:szCs w:val="20"/>
              </w:rPr>
              <w:t xml:space="preserve">Net book value </w:t>
            </w:r>
            <w:proofErr w:type="gramStart"/>
            <w:r w:rsidRPr="00F82840">
              <w:rPr>
                <w:sz w:val="20"/>
                <w:szCs w:val="20"/>
              </w:rPr>
              <w:t>at</w:t>
            </w:r>
            <w:proofErr w:type="gramEnd"/>
            <w:r w:rsidRPr="00F82840">
              <w:rPr>
                <w:sz w:val="20"/>
                <w:szCs w:val="20"/>
              </w:rPr>
              <w:t xml:space="preserve"> </w:t>
            </w:r>
            <w:r>
              <w:rPr>
                <w:sz w:val="20"/>
                <w:szCs w:val="20"/>
              </w:rPr>
              <w:t>31 March 202</w:t>
            </w:r>
            <w:r w:rsidR="00043F72">
              <w:rPr>
                <w:sz w:val="20"/>
                <w:szCs w:val="20"/>
              </w:rPr>
              <w:t>3</w:t>
            </w:r>
          </w:p>
        </w:tc>
        <w:tc>
          <w:tcPr>
            <w:tcW w:w="1950" w:type="dxa"/>
            <w:tcBorders>
              <w:top w:val="single" w:sz="4" w:space="0" w:color="auto"/>
              <w:bottom w:val="single" w:sz="4" w:space="0" w:color="auto"/>
            </w:tcBorders>
          </w:tcPr>
          <w:p w14:paraId="1C502BEE" w14:textId="77777777" w:rsidR="00C84610" w:rsidRDefault="00C84610" w:rsidP="00C84610">
            <w:pPr>
              <w:jc w:val="center"/>
              <w:rPr>
                <w:sz w:val="20"/>
                <w:szCs w:val="20"/>
              </w:rPr>
            </w:pPr>
          </w:p>
          <w:p w14:paraId="4AB20A20" w14:textId="77777777" w:rsidR="00C84610" w:rsidRDefault="00C84610" w:rsidP="00C84610">
            <w:pPr>
              <w:jc w:val="center"/>
              <w:rPr>
                <w:sz w:val="20"/>
                <w:szCs w:val="20"/>
              </w:rPr>
            </w:pPr>
          </w:p>
          <w:p w14:paraId="2B3B3E19" w14:textId="301D7915" w:rsidR="00C84610" w:rsidRPr="00F82840" w:rsidRDefault="00C84610" w:rsidP="00C84610">
            <w:pPr>
              <w:jc w:val="center"/>
              <w:rPr>
                <w:sz w:val="20"/>
                <w:szCs w:val="20"/>
              </w:rPr>
            </w:pPr>
            <w:r>
              <w:rPr>
                <w:sz w:val="20"/>
                <w:szCs w:val="20"/>
              </w:rPr>
              <w:t>4</w:t>
            </w:r>
            <w:r w:rsidR="00C10832">
              <w:rPr>
                <w:sz w:val="20"/>
                <w:szCs w:val="20"/>
              </w:rPr>
              <w:t>24</w:t>
            </w:r>
            <w:r w:rsidR="00092A71">
              <w:rPr>
                <w:sz w:val="20"/>
                <w:szCs w:val="20"/>
              </w:rPr>
              <w:t>,2</w:t>
            </w:r>
            <w:r w:rsidR="00C10832">
              <w:rPr>
                <w:sz w:val="20"/>
                <w:szCs w:val="20"/>
              </w:rPr>
              <w:t>62</w:t>
            </w:r>
          </w:p>
        </w:tc>
        <w:tc>
          <w:tcPr>
            <w:tcW w:w="1417" w:type="dxa"/>
            <w:tcBorders>
              <w:top w:val="single" w:sz="4" w:space="0" w:color="auto"/>
              <w:bottom w:val="single" w:sz="4" w:space="0" w:color="auto"/>
            </w:tcBorders>
          </w:tcPr>
          <w:p w14:paraId="1ACA2212" w14:textId="77777777" w:rsidR="00C84610" w:rsidRDefault="00C84610" w:rsidP="00C84610">
            <w:pPr>
              <w:jc w:val="center"/>
              <w:rPr>
                <w:sz w:val="20"/>
                <w:szCs w:val="20"/>
              </w:rPr>
            </w:pPr>
          </w:p>
          <w:p w14:paraId="5789CFF9" w14:textId="77777777" w:rsidR="00C84610" w:rsidRDefault="00C84610" w:rsidP="00C84610">
            <w:pPr>
              <w:jc w:val="center"/>
              <w:rPr>
                <w:sz w:val="20"/>
                <w:szCs w:val="20"/>
              </w:rPr>
            </w:pPr>
          </w:p>
          <w:p w14:paraId="5CFC6F94" w14:textId="2A831B47" w:rsidR="00C84610" w:rsidRPr="00F82840" w:rsidRDefault="00C10832" w:rsidP="00C84610">
            <w:pPr>
              <w:jc w:val="center"/>
              <w:rPr>
                <w:sz w:val="20"/>
                <w:szCs w:val="20"/>
              </w:rPr>
            </w:pPr>
            <w:r>
              <w:rPr>
                <w:sz w:val="20"/>
                <w:szCs w:val="20"/>
              </w:rPr>
              <w:t>9</w:t>
            </w:r>
            <w:r w:rsidR="00092A71">
              <w:rPr>
                <w:sz w:val="20"/>
                <w:szCs w:val="20"/>
              </w:rPr>
              <w:t>,</w:t>
            </w:r>
            <w:r>
              <w:rPr>
                <w:sz w:val="20"/>
                <w:szCs w:val="20"/>
              </w:rPr>
              <w:t>032</w:t>
            </w:r>
          </w:p>
        </w:tc>
        <w:tc>
          <w:tcPr>
            <w:tcW w:w="1452" w:type="dxa"/>
            <w:tcBorders>
              <w:top w:val="single" w:sz="4" w:space="0" w:color="auto"/>
              <w:bottom w:val="single" w:sz="4" w:space="0" w:color="auto"/>
            </w:tcBorders>
          </w:tcPr>
          <w:p w14:paraId="5B515EB9" w14:textId="77777777" w:rsidR="00C84610" w:rsidRDefault="00C84610" w:rsidP="00C84610">
            <w:pPr>
              <w:jc w:val="center"/>
              <w:rPr>
                <w:sz w:val="20"/>
                <w:szCs w:val="20"/>
              </w:rPr>
            </w:pPr>
          </w:p>
          <w:p w14:paraId="5BABD6DE" w14:textId="77777777" w:rsidR="00C84610" w:rsidRDefault="00C84610" w:rsidP="00C84610">
            <w:pPr>
              <w:jc w:val="center"/>
              <w:rPr>
                <w:sz w:val="20"/>
                <w:szCs w:val="20"/>
              </w:rPr>
            </w:pPr>
          </w:p>
          <w:p w14:paraId="6A5EDF8F" w14:textId="57B80860" w:rsidR="00C84610" w:rsidRPr="00F82840" w:rsidRDefault="00C10832" w:rsidP="00C84610">
            <w:pPr>
              <w:jc w:val="center"/>
              <w:rPr>
                <w:sz w:val="20"/>
                <w:szCs w:val="20"/>
              </w:rPr>
            </w:pPr>
            <w:r>
              <w:rPr>
                <w:sz w:val="20"/>
                <w:szCs w:val="20"/>
              </w:rPr>
              <w:t>46</w:t>
            </w:r>
            <w:r w:rsidR="00092A71">
              <w:rPr>
                <w:sz w:val="20"/>
                <w:szCs w:val="20"/>
              </w:rPr>
              <w:t>,</w:t>
            </w:r>
            <w:r>
              <w:rPr>
                <w:sz w:val="20"/>
                <w:szCs w:val="20"/>
              </w:rPr>
              <w:t>791</w:t>
            </w:r>
          </w:p>
        </w:tc>
        <w:tc>
          <w:tcPr>
            <w:tcW w:w="1454" w:type="dxa"/>
            <w:tcBorders>
              <w:top w:val="single" w:sz="4" w:space="0" w:color="auto"/>
              <w:bottom w:val="single" w:sz="4" w:space="0" w:color="auto"/>
            </w:tcBorders>
          </w:tcPr>
          <w:p w14:paraId="385F19F4" w14:textId="77777777" w:rsidR="00C84610" w:rsidRDefault="00C84610" w:rsidP="00C84610">
            <w:pPr>
              <w:jc w:val="center"/>
              <w:rPr>
                <w:sz w:val="20"/>
                <w:szCs w:val="20"/>
              </w:rPr>
            </w:pPr>
          </w:p>
          <w:p w14:paraId="337377C3" w14:textId="77777777" w:rsidR="00C84610" w:rsidRDefault="00C84610" w:rsidP="00C84610">
            <w:pPr>
              <w:jc w:val="center"/>
              <w:rPr>
                <w:sz w:val="20"/>
                <w:szCs w:val="20"/>
              </w:rPr>
            </w:pPr>
          </w:p>
          <w:p w14:paraId="6FC650AC" w14:textId="35579B01" w:rsidR="00C84610" w:rsidRPr="00F82840" w:rsidRDefault="00C10832" w:rsidP="00C84610">
            <w:pPr>
              <w:jc w:val="center"/>
              <w:rPr>
                <w:sz w:val="20"/>
                <w:szCs w:val="20"/>
              </w:rPr>
            </w:pPr>
            <w:r>
              <w:rPr>
                <w:sz w:val="20"/>
                <w:szCs w:val="20"/>
              </w:rPr>
              <w:t>480</w:t>
            </w:r>
            <w:r w:rsidR="00092A71">
              <w:rPr>
                <w:sz w:val="20"/>
                <w:szCs w:val="20"/>
              </w:rPr>
              <w:t>,</w:t>
            </w:r>
            <w:r>
              <w:rPr>
                <w:sz w:val="20"/>
                <w:szCs w:val="20"/>
              </w:rPr>
              <w:t>085</w:t>
            </w:r>
          </w:p>
        </w:tc>
      </w:tr>
      <w:tr w:rsidR="00C84610" w:rsidRPr="00F82840" w14:paraId="2A2E53D1" w14:textId="77777777" w:rsidTr="54F71CB4">
        <w:tc>
          <w:tcPr>
            <w:tcW w:w="2694" w:type="dxa"/>
          </w:tcPr>
          <w:p w14:paraId="15B38C45" w14:textId="77777777" w:rsidR="00C84610" w:rsidRPr="00F82840" w:rsidRDefault="00C84610" w:rsidP="001B27EA">
            <w:pPr>
              <w:rPr>
                <w:sz w:val="20"/>
                <w:szCs w:val="20"/>
              </w:rPr>
            </w:pPr>
          </w:p>
          <w:p w14:paraId="2418F7DA" w14:textId="6DC84357" w:rsidR="00C84610" w:rsidRPr="00F82840" w:rsidRDefault="00C84610" w:rsidP="001B27EA">
            <w:pPr>
              <w:rPr>
                <w:sz w:val="20"/>
                <w:szCs w:val="20"/>
              </w:rPr>
            </w:pPr>
            <w:r>
              <w:rPr>
                <w:sz w:val="20"/>
                <w:szCs w:val="20"/>
              </w:rPr>
              <w:t xml:space="preserve">Net book value </w:t>
            </w:r>
            <w:proofErr w:type="gramStart"/>
            <w:r>
              <w:rPr>
                <w:sz w:val="20"/>
                <w:szCs w:val="20"/>
              </w:rPr>
              <w:t>at</w:t>
            </w:r>
            <w:proofErr w:type="gramEnd"/>
            <w:r>
              <w:rPr>
                <w:sz w:val="20"/>
                <w:szCs w:val="20"/>
              </w:rPr>
              <w:t xml:space="preserve"> 31 March 202</w:t>
            </w:r>
            <w:r w:rsidR="00043F72">
              <w:rPr>
                <w:sz w:val="20"/>
                <w:szCs w:val="20"/>
              </w:rPr>
              <w:t>2</w:t>
            </w:r>
          </w:p>
        </w:tc>
        <w:tc>
          <w:tcPr>
            <w:tcW w:w="1950" w:type="dxa"/>
            <w:tcBorders>
              <w:top w:val="single" w:sz="4" w:space="0" w:color="auto"/>
              <w:bottom w:val="single" w:sz="4" w:space="0" w:color="auto"/>
            </w:tcBorders>
          </w:tcPr>
          <w:p w14:paraId="6CE9364B" w14:textId="77777777" w:rsidR="00C84610" w:rsidRDefault="00C84610" w:rsidP="00C84610">
            <w:pPr>
              <w:jc w:val="center"/>
              <w:rPr>
                <w:sz w:val="20"/>
                <w:szCs w:val="20"/>
              </w:rPr>
            </w:pPr>
          </w:p>
          <w:p w14:paraId="49D4BBC1" w14:textId="77777777" w:rsidR="00C84610" w:rsidRDefault="00C84610" w:rsidP="00C84610">
            <w:pPr>
              <w:jc w:val="center"/>
              <w:rPr>
                <w:sz w:val="20"/>
                <w:szCs w:val="20"/>
              </w:rPr>
            </w:pPr>
          </w:p>
          <w:p w14:paraId="0133B328" w14:textId="329EB6A4" w:rsidR="00C84610" w:rsidRPr="00F82840" w:rsidRDefault="00092A71" w:rsidP="00C84610">
            <w:pPr>
              <w:jc w:val="center"/>
              <w:rPr>
                <w:sz w:val="20"/>
                <w:szCs w:val="20"/>
              </w:rPr>
            </w:pPr>
            <w:r>
              <w:rPr>
                <w:sz w:val="20"/>
                <w:szCs w:val="20"/>
              </w:rPr>
              <w:t>4</w:t>
            </w:r>
            <w:r w:rsidR="00C10832">
              <w:rPr>
                <w:sz w:val="20"/>
                <w:szCs w:val="20"/>
              </w:rPr>
              <w:t>54</w:t>
            </w:r>
            <w:r>
              <w:rPr>
                <w:sz w:val="20"/>
                <w:szCs w:val="20"/>
              </w:rPr>
              <w:t>,</w:t>
            </w:r>
            <w:r w:rsidR="00C10832">
              <w:rPr>
                <w:sz w:val="20"/>
                <w:szCs w:val="20"/>
              </w:rPr>
              <w:t>235</w:t>
            </w:r>
          </w:p>
        </w:tc>
        <w:tc>
          <w:tcPr>
            <w:tcW w:w="1417" w:type="dxa"/>
            <w:tcBorders>
              <w:top w:val="single" w:sz="4" w:space="0" w:color="auto"/>
              <w:bottom w:val="single" w:sz="4" w:space="0" w:color="auto"/>
            </w:tcBorders>
          </w:tcPr>
          <w:p w14:paraId="376CC96B" w14:textId="77777777" w:rsidR="00C84610" w:rsidRDefault="00C84610" w:rsidP="00C84610">
            <w:pPr>
              <w:jc w:val="center"/>
              <w:rPr>
                <w:sz w:val="20"/>
                <w:szCs w:val="20"/>
              </w:rPr>
            </w:pPr>
          </w:p>
          <w:p w14:paraId="6377D713" w14:textId="77777777" w:rsidR="00C84610" w:rsidRDefault="00C84610" w:rsidP="00C84610">
            <w:pPr>
              <w:jc w:val="center"/>
              <w:rPr>
                <w:sz w:val="20"/>
                <w:szCs w:val="20"/>
              </w:rPr>
            </w:pPr>
          </w:p>
          <w:p w14:paraId="0782EAF8" w14:textId="0EA68A58" w:rsidR="00C84610" w:rsidRPr="00F82840" w:rsidRDefault="00092A71" w:rsidP="00C84610">
            <w:pPr>
              <w:jc w:val="center"/>
              <w:rPr>
                <w:sz w:val="20"/>
                <w:szCs w:val="20"/>
              </w:rPr>
            </w:pPr>
            <w:r>
              <w:rPr>
                <w:sz w:val="20"/>
                <w:szCs w:val="20"/>
              </w:rPr>
              <w:t>1</w:t>
            </w:r>
            <w:r w:rsidR="00C10832">
              <w:rPr>
                <w:sz w:val="20"/>
                <w:szCs w:val="20"/>
              </w:rPr>
              <w:t>7</w:t>
            </w:r>
            <w:r>
              <w:rPr>
                <w:sz w:val="20"/>
                <w:szCs w:val="20"/>
              </w:rPr>
              <w:t>,6</w:t>
            </w:r>
            <w:r w:rsidR="00C10832">
              <w:rPr>
                <w:sz w:val="20"/>
                <w:szCs w:val="20"/>
              </w:rPr>
              <w:t>44</w:t>
            </w:r>
          </w:p>
        </w:tc>
        <w:tc>
          <w:tcPr>
            <w:tcW w:w="1452" w:type="dxa"/>
            <w:tcBorders>
              <w:top w:val="single" w:sz="4" w:space="0" w:color="auto"/>
              <w:bottom w:val="single" w:sz="4" w:space="0" w:color="auto"/>
            </w:tcBorders>
          </w:tcPr>
          <w:p w14:paraId="447CD142" w14:textId="77777777" w:rsidR="00C84610" w:rsidRDefault="00C84610" w:rsidP="00C84610">
            <w:pPr>
              <w:jc w:val="center"/>
              <w:rPr>
                <w:sz w:val="20"/>
                <w:szCs w:val="20"/>
              </w:rPr>
            </w:pPr>
          </w:p>
          <w:p w14:paraId="0374AE6B" w14:textId="77777777" w:rsidR="00C84610" w:rsidRDefault="00C84610" w:rsidP="00C84610">
            <w:pPr>
              <w:jc w:val="center"/>
              <w:rPr>
                <w:sz w:val="20"/>
                <w:szCs w:val="20"/>
              </w:rPr>
            </w:pPr>
          </w:p>
          <w:p w14:paraId="2E53DF64" w14:textId="1451D908" w:rsidR="00C84610" w:rsidRPr="00F82840" w:rsidRDefault="00C10832" w:rsidP="00C84610">
            <w:pPr>
              <w:jc w:val="center"/>
              <w:rPr>
                <w:sz w:val="20"/>
                <w:szCs w:val="20"/>
              </w:rPr>
            </w:pPr>
            <w:r>
              <w:rPr>
                <w:sz w:val="20"/>
                <w:szCs w:val="20"/>
              </w:rPr>
              <w:t>65</w:t>
            </w:r>
            <w:r w:rsidR="00092A71">
              <w:rPr>
                <w:sz w:val="20"/>
                <w:szCs w:val="20"/>
              </w:rPr>
              <w:t>,</w:t>
            </w:r>
            <w:r>
              <w:rPr>
                <w:sz w:val="20"/>
                <w:szCs w:val="20"/>
              </w:rPr>
              <w:t>037</w:t>
            </w:r>
          </w:p>
        </w:tc>
        <w:tc>
          <w:tcPr>
            <w:tcW w:w="1454" w:type="dxa"/>
            <w:tcBorders>
              <w:top w:val="single" w:sz="4" w:space="0" w:color="auto"/>
              <w:bottom w:val="single" w:sz="4" w:space="0" w:color="auto"/>
            </w:tcBorders>
          </w:tcPr>
          <w:p w14:paraId="7C0A2000" w14:textId="77777777" w:rsidR="00C84610" w:rsidRDefault="00C84610" w:rsidP="00C84610">
            <w:pPr>
              <w:jc w:val="center"/>
              <w:rPr>
                <w:sz w:val="20"/>
                <w:szCs w:val="20"/>
              </w:rPr>
            </w:pPr>
          </w:p>
          <w:p w14:paraId="2B7A8E39" w14:textId="77777777" w:rsidR="00C84610" w:rsidRDefault="00C84610" w:rsidP="00C84610">
            <w:pPr>
              <w:jc w:val="center"/>
              <w:rPr>
                <w:sz w:val="20"/>
                <w:szCs w:val="20"/>
              </w:rPr>
            </w:pPr>
          </w:p>
          <w:p w14:paraId="17AEDBAE" w14:textId="0C50CCA3" w:rsidR="00C84610" w:rsidRPr="00F82840" w:rsidRDefault="00C84610" w:rsidP="00C84610">
            <w:pPr>
              <w:jc w:val="center"/>
              <w:rPr>
                <w:sz w:val="20"/>
                <w:szCs w:val="20"/>
              </w:rPr>
            </w:pPr>
            <w:r>
              <w:rPr>
                <w:sz w:val="20"/>
                <w:szCs w:val="20"/>
              </w:rPr>
              <w:t>5</w:t>
            </w:r>
            <w:r w:rsidR="00C10832">
              <w:rPr>
                <w:sz w:val="20"/>
                <w:szCs w:val="20"/>
              </w:rPr>
              <w:t>36</w:t>
            </w:r>
            <w:r w:rsidR="00092A71">
              <w:rPr>
                <w:sz w:val="20"/>
                <w:szCs w:val="20"/>
              </w:rPr>
              <w:t>,</w:t>
            </w:r>
            <w:r w:rsidR="00C10832">
              <w:rPr>
                <w:sz w:val="20"/>
                <w:szCs w:val="20"/>
              </w:rPr>
              <w:t>916</w:t>
            </w:r>
          </w:p>
        </w:tc>
      </w:tr>
      <w:tr w:rsidR="00C84610" w:rsidRPr="00F82840" w14:paraId="4FA6A1C4" w14:textId="77777777" w:rsidTr="54F71CB4">
        <w:tc>
          <w:tcPr>
            <w:tcW w:w="2694" w:type="dxa"/>
          </w:tcPr>
          <w:p w14:paraId="4E5235D8" w14:textId="77777777" w:rsidR="00C84610" w:rsidRPr="00F82840" w:rsidRDefault="00C84610" w:rsidP="001B27EA">
            <w:pPr>
              <w:rPr>
                <w:sz w:val="20"/>
                <w:szCs w:val="20"/>
              </w:rPr>
            </w:pPr>
          </w:p>
        </w:tc>
        <w:tc>
          <w:tcPr>
            <w:tcW w:w="1950" w:type="dxa"/>
            <w:tcBorders>
              <w:top w:val="single" w:sz="4" w:space="0" w:color="auto"/>
            </w:tcBorders>
          </w:tcPr>
          <w:p w14:paraId="42E86CCB" w14:textId="77777777" w:rsidR="00C84610" w:rsidRPr="00F82840" w:rsidRDefault="00C84610" w:rsidP="00C84610">
            <w:pPr>
              <w:jc w:val="center"/>
              <w:rPr>
                <w:sz w:val="20"/>
                <w:szCs w:val="20"/>
              </w:rPr>
            </w:pPr>
          </w:p>
        </w:tc>
        <w:tc>
          <w:tcPr>
            <w:tcW w:w="1417" w:type="dxa"/>
            <w:tcBorders>
              <w:top w:val="single" w:sz="4" w:space="0" w:color="auto"/>
            </w:tcBorders>
          </w:tcPr>
          <w:p w14:paraId="69A292F7" w14:textId="77777777" w:rsidR="00C84610" w:rsidRPr="00F82840" w:rsidRDefault="00C84610" w:rsidP="00C84610">
            <w:pPr>
              <w:jc w:val="center"/>
              <w:rPr>
                <w:sz w:val="20"/>
                <w:szCs w:val="20"/>
              </w:rPr>
            </w:pPr>
          </w:p>
        </w:tc>
        <w:tc>
          <w:tcPr>
            <w:tcW w:w="1452" w:type="dxa"/>
            <w:tcBorders>
              <w:top w:val="single" w:sz="4" w:space="0" w:color="auto"/>
            </w:tcBorders>
          </w:tcPr>
          <w:p w14:paraId="1CED0B2A" w14:textId="77777777" w:rsidR="00C84610" w:rsidRPr="00F82840" w:rsidRDefault="00C84610" w:rsidP="00C84610">
            <w:pPr>
              <w:jc w:val="center"/>
              <w:rPr>
                <w:sz w:val="20"/>
                <w:szCs w:val="20"/>
              </w:rPr>
            </w:pPr>
          </w:p>
        </w:tc>
        <w:tc>
          <w:tcPr>
            <w:tcW w:w="1454" w:type="dxa"/>
            <w:tcBorders>
              <w:top w:val="single" w:sz="4" w:space="0" w:color="auto"/>
            </w:tcBorders>
          </w:tcPr>
          <w:p w14:paraId="2F61A293" w14:textId="77777777" w:rsidR="00C84610" w:rsidRPr="00F82840" w:rsidRDefault="00C84610" w:rsidP="00C84610">
            <w:pPr>
              <w:jc w:val="center"/>
              <w:rPr>
                <w:sz w:val="20"/>
                <w:szCs w:val="20"/>
              </w:rPr>
            </w:pPr>
          </w:p>
        </w:tc>
      </w:tr>
    </w:tbl>
    <w:p w14:paraId="6C8A57F3" w14:textId="77777777" w:rsidR="006C0AAA" w:rsidRDefault="006C0AAA" w:rsidP="00A36F2F">
      <w:pPr>
        <w:rPr>
          <w:b/>
        </w:rPr>
      </w:pPr>
    </w:p>
    <w:p w14:paraId="553AE452" w14:textId="77777777" w:rsidR="00043F72" w:rsidRDefault="00043F72" w:rsidP="00A36F2F">
      <w:pPr>
        <w:rPr>
          <w:b/>
        </w:rPr>
      </w:pPr>
    </w:p>
    <w:p w14:paraId="7ED7F655" w14:textId="77777777" w:rsidR="00C10832" w:rsidRDefault="00C10832" w:rsidP="00A36F2F">
      <w:pPr>
        <w:rPr>
          <w:b/>
        </w:rPr>
      </w:pPr>
    </w:p>
    <w:p w14:paraId="590A3657" w14:textId="77777777" w:rsidR="00C10832" w:rsidRDefault="00C10832" w:rsidP="00A36F2F">
      <w:pPr>
        <w:rPr>
          <w:b/>
        </w:rPr>
      </w:pPr>
    </w:p>
    <w:p w14:paraId="073C6E0C" w14:textId="77777777" w:rsidR="00C10832" w:rsidRDefault="00C10832" w:rsidP="00A36F2F">
      <w:pPr>
        <w:rPr>
          <w:b/>
        </w:rPr>
      </w:pPr>
    </w:p>
    <w:p w14:paraId="18427353" w14:textId="77777777" w:rsidR="005F35DE" w:rsidRDefault="005F35DE" w:rsidP="00A36F2F">
      <w:pPr>
        <w:rPr>
          <w:b/>
        </w:rPr>
      </w:pPr>
    </w:p>
    <w:p w14:paraId="75749315" w14:textId="77777777" w:rsidR="00C10832" w:rsidRDefault="00C10832" w:rsidP="00A36F2F">
      <w:pPr>
        <w:rPr>
          <w:b/>
        </w:rPr>
      </w:pPr>
    </w:p>
    <w:p w14:paraId="4940B406" w14:textId="77777777" w:rsidR="00C10832" w:rsidRDefault="00C10832" w:rsidP="00A36F2F">
      <w:pPr>
        <w:rPr>
          <w:b/>
        </w:rPr>
      </w:pPr>
    </w:p>
    <w:p w14:paraId="2F6E7425" w14:textId="77777777" w:rsidR="00043F72" w:rsidRDefault="00043F72" w:rsidP="00A36F2F">
      <w:pPr>
        <w:rPr>
          <w:b/>
        </w:rPr>
      </w:pPr>
    </w:p>
    <w:p w14:paraId="473D7203" w14:textId="68D6C3EB" w:rsidR="00A36F2F" w:rsidRPr="00EF4A8A" w:rsidRDefault="000B0A57" w:rsidP="000F4C06">
      <w:pPr>
        <w:pStyle w:val="ListParagraph"/>
        <w:numPr>
          <w:ilvl w:val="0"/>
          <w:numId w:val="38"/>
        </w:numPr>
        <w:ind w:hanging="720"/>
        <w:rPr>
          <w:b/>
        </w:rPr>
      </w:pPr>
      <w:r>
        <w:rPr>
          <w:b/>
        </w:rPr>
        <w:t>Leases</w:t>
      </w:r>
    </w:p>
    <w:p w14:paraId="3F2C65E4" w14:textId="77777777" w:rsidR="00E34F6F" w:rsidRDefault="00E34F6F" w:rsidP="00E34F6F">
      <w:pPr>
        <w:rPr>
          <w:b/>
        </w:rPr>
      </w:pPr>
    </w:p>
    <w:p w14:paraId="0298B05E" w14:textId="20AAB7FF" w:rsidR="00245C91" w:rsidRDefault="00245C91" w:rsidP="00245C91">
      <w:pPr>
        <w:rPr>
          <w:bCs/>
        </w:rPr>
      </w:pPr>
      <w:r>
        <w:rPr>
          <w:bCs/>
        </w:rPr>
        <w:t xml:space="preserve">Following the adoption of IFRS16 in the 2022-23 financial accounts, the Commission’s leases are now recognised on the balance sheet, </w:t>
      </w:r>
      <w:proofErr w:type="gramStart"/>
      <w:r>
        <w:rPr>
          <w:bCs/>
        </w:rPr>
        <w:t>with the exception of</w:t>
      </w:r>
      <w:proofErr w:type="gramEnd"/>
      <w:r>
        <w:rPr>
          <w:bCs/>
        </w:rPr>
        <w:t xml:space="preserve"> those leases which are exempt by having less than 12 months to run from 31 March 2022 or are considered low value (less than £1,000).</w:t>
      </w:r>
    </w:p>
    <w:p w14:paraId="50468A02" w14:textId="77777777" w:rsidR="00097903" w:rsidRDefault="00097903" w:rsidP="00E34F6F">
      <w:pPr>
        <w:rPr>
          <w:bCs/>
        </w:rPr>
      </w:pPr>
    </w:p>
    <w:p w14:paraId="2366792B" w14:textId="1F5665EA" w:rsidR="00097903" w:rsidRDefault="00097903" w:rsidP="00E34F6F">
      <w:pPr>
        <w:rPr>
          <w:bCs/>
        </w:rPr>
      </w:pPr>
      <w:r>
        <w:rPr>
          <w:bCs/>
        </w:rPr>
        <w:t>The finance lease is recognised as an asset and a corresponding lease liability at the net present value of future lease payments.  Lease payments are apportioned between the finance charge and the reduction of the outstanding liability.</w:t>
      </w:r>
    </w:p>
    <w:p w14:paraId="257C89C3" w14:textId="77777777" w:rsidR="00097903" w:rsidRDefault="00097903" w:rsidP="00E34F6F">
      <w:pPr>
        <w:rPr>
          <w:bCs/>
        </w:rPr>
      </w:pPr>
    </w:p>
    <w:p w14:paraId="39C61FB3" w14:textId="166695D8" w:rsidR="00097903" w:rsidRDefault="00097903" w:rsidP="00E34F6F">
      <w:pPr>
        <w:rPr>
          <w:bCs/>
        </w:rPr>
      </w:pPr>
      <w:r>
        <w:rPr>
          <w:bCs/>
        </w:rPr>
        <w:t xml:space="preserve">A discount rate of 1.27% has been applied in the calculation on lease liabilities.  As </w:t>
      </w:r>
      <w:proofErr w:type="gramStart"/>
      <w:r>
        <w:rPr>
          <w:bCs/>
        </w:rPr>
        <w:t>at</w:t>
      </w:r>
      <w:proofErr w:type="gramEnd"/>
      <w:r>
        <w:rPr>
          <w:bCs/>
        </w:rPr>
        <w:t xml:space="preserve"> 31 March 202</w:t>
      </w:r>
      <w:r w:rsidR="005F35DE">
        <w:rPr>
          <w:bCs/>
        </w:rPr>
        <w:t>4</w:t>
      </w:r>
      <w:r>
        <w:rPr>
          <w:bCs/>
        </w:rPr>
        <w:t xml:space="preserve"> the Commission was committed to making the following payments in respect of finance leases:</w:t>
      </w:r>
    </w:p>
    <w:p w14:paraId="15648F44" w14:textId="77777777" w:rsidR="001E2AA0" w:rsidRDefault="001E2AA0" w:rsidP="00E34F6F">
      <w:pPr>
        <w:rPr>
          <w:bCs/>
        </w:rPr>
      </w:pPr>
    </w:p>
    <w:p w14:paraId="1B4BA4E0" w14:textId="77777777" w:rsidR="00A36F2F" w:rsidRDefault="00A36F2F" w:rsidP="00A36F2F">
      <w:pPr>
        <w:rPr>
          <w:b/>
        </w:rPr>
      </w:pPr>
    </w:p>
    <w:tbl>
      <w:tblPr>
        <w:tblW w:w="8741" w:type="dxa"/>
        <w:tblLayout w:type="fixed"/>
        <w:tblLook w:val="01E0" w:firstRow="1" w:lastRow="1" w:firstColumn="1" w:lastColumn="1" w:noHBand="0" w:noVBand="0"/>
      </w:tblPr>
      <w:tblGrid>
        <w:gridCol w:w="2835"/>
        <w:gridCol w:w="1843"/>
        <w:gridCol w:w="1541"/>
        <w:gridCol w:w="18"/>
        <w:gridCol w:w="2268"/>
        <w:gridCol w:w="236"/>
      </w:tblGrid>
      <w:tr w:rsidR="00A36F2F" w:rsidRPr="00863EC6" w14:paraId="632426AA" w14:textId="77777777" w:rsidTr="54F71CB4">
        <w:trPr>
          <w:gridAfter w:val="1"/>
          <w:wAfter w:w="236" w:type="dxa"/>
        </w:trPr>
        <w:tc>
          <w:tcPr>
            <w:tcW w:w="2835" w:type="dxa"/>
          </w:tcPr>
          <w:p w14:paraId="4000D94D" w14:textId="46A49094" w:rsidR="00A36F2F" w:rsidRPr="00D35926" w:rsidRDefault="00A36F2F" w:rsidP="001958BD">
            <w:pPr>
              <w:rPr>
                <w:b/>
                <w:sz w:val="22"/>
                <w:szCs w:val="22"/>
              </w:rPr>
            </w:pPr>
            <w:r>
              <w:rPr>
                <w:b/>
                <w:sz w:val="22"/>
                <w:szCs w:val="22"/>
              </w:rPr>
              <w:t>202</w:t>
            </w:r>
            <w:r w:rsidR="005F35DE">
              <w:rPr>
                <w:b/>
                <w:sz w:val="22"/>
                <w:szCs w:val="22"/>
              </w:rPr>
              <w:t>3</w:t>
            </w:r>
            <w:r>
              <w:rPr>
                <w:b/>
                <w:sz w:val="22"/>
                <w:szCs w:val="22"/>
              </w:rPr>
              <w:t>-2</w:t>
            </w:r>
            <w:r w:rsidR="005F35DE">
              <w:rPr>
                <w:b/>
                <w:sz w:val="22"/>
                <w:szCs w:val="22"/>
              </w:rPr>
              <w:t>4</w:t>
            </w:r>
          </w:p>
        </w:tc>
        <w:tc>
          <w:tcPr>
            <w:tcW w:w="1843" w:type="dxa"/>
          </w:tcPr>
          <w:p w14:paraId="7B9D3416" w14:textId="77777777" w:rsidR="00A36F2F" w:rsidRPr="00F267CA" w:rsidRDefault="00A36F2F" w:rsidP="001958BD">
            <w:pPr>
              <w:ind w:right="-171"/>
              <w:jc w:val="center"/>
              <w:rPr>
                <w:rFonts w:cs="Arial"/>
                <w:b/>
                <w:sz w:val="16"/>
                <w:szCs w:val="16"/>
              </w:rPr>
            </w:pPr>
            <w:r w:rsidRPr="00F267CA">
              <w:rPr>
                <w:rFonts w:cs="Arial"/>
                <w:b/>
                <w:sz w:val="16"/>
                <w:szCs w:val="16"/>
              </w:rPr>
              <w:t>Leasehold Improvements</w:t>
            </w:r>
          </w:p>
        </w:tc>
        <w:tc>
          <w:tcPr>
            <w:tcW w:w="1559" w:type="dxa"/>
            <w:gridSpan w:val="2"/>
          </w:tcPr>
          <w:p w14:paraId="4713A926" w14:textId="77777777" w:rsidR="00A36F2F" w:rsidRPr="00F267CA" w:rsidRDefault="00A36F2F" w:rsidP="001958BD">
            <w:pPr>
              <w:jc w:val="center"/>
              <w:rPr>
                <w:b/>
                <w:sz w:val="16"/>
                <w:szCs w:val="16"/>
              </w:rPr>
            </w:pPr>
            <w:r w:rsidRPr="00F267CA">
              <w:rPr>
                <w:b/>
                <w:sz w:val="16"/>
                <w:szCs w:val="16"/>
              </w:rPr>
              <w:t>Furniture &amp; fittings</w:t>
            </w:r>
          </w:p>
        </w:tc>
        <w:tc>
          <w:tcPr>
            <w:tcW w:w="2268" w:type="dxa"/>
          </w:tcPr>
          <w:p w14:paraId="584CFAC2" w14:textId="77777777" w:rsidR="00A36F2F" w:rsidRPr="00F267CA" w:rsidRDefault="00A36F2F" w:rsidP="001958BD">
            <w:pPr>
              <w:jc w:val="center"/>
              <w:rPr>
                <w:b/>
                <w:sz w:val="16"/>
                <w:szCs w:val="16"/>
              </w:rPr>
            </w:pPr>
            <w:r w:rsidRPr="00F267CA">
              <w:rPr>
                <w:b/>
                <w:sz w:val="16"/>
                <w:szCs w:val="16"/>
              </w:rPr>
              <w:t>Total</w:t>
            </w:r>
          </w:p>
          <w:p w14:paraId="1C3CCA28" w14:textId="77777777" w:rsidR="00A36F2F" w:rsidRPr="00F267CA" w:rsidRDefault="00A36F2F" w:rsidP="001958BD">
            <w:pPr>
              <w:jc w:val="center"/>
              <w:rPr>
                <w:b/>
                <w:sz w:val="16"/>
                <w:szCs w:val="16"/>
              </w:rPr>
            </w:pPr>
          </w:p>
        </w:tc>
      </w:tr>
      <w:tr w:rsidR="00A36F2F" w:rsidRPr="00863EC6" w14:paraId="656C234E" w14:textId="77777777" w:rsidTr="54F71CB4">
        <w:trPr>
          <w:gridAfter w:val="1"/>
          <w:wAfter w:w="236" w:type="dxa"/>
        </w:trPr>
        <w:tc>
          <w:tcPr>
            <w:tcW w:w="2835" w:type="dxa"/>
          </w:tcPr>
          <w:p w14:paraId="4326A2F2" w14:textId="7908B7C9" w:rsidR="0040613A" w:rsidRDefault="0040613A" w:rsidP="001958BD">
            <w:pPr>
              <w:rPr>
                <w:b/>
                <w:sz w:val="20"/>
                <w:szCs w:val="20"/>
              </w:rPr>
            </w:pPr>
            <w:r>
              <w:rPr>
                <w:b/>
                <w:sz w:val="20"/>
                <w:szCs w:val="20"/>
              </w:rPr>
              <w:t>Right of use asse</w:t>
            </w:r>
            <w:r w:rsidR="005C7A16">
              <w:rPr>
                <w:b/>
                <w:sz w:val="20"/>
                <w:szCs w:val="20"/>
              </w:rPr>
              <w:t>ts</w:t>
            </w:r>
          </w:p>
          <w:p w14:paraId="7CEC2231" w14:textId="141D4D2E" w:rsidR="00A36F2F" w:rsidRPr="00863EC6" w:rsidRDefault="00A36F2F" w:rsidP="001958BD">
            <w:pPr>
              <w:rPr>
                <w:b/>
                <w:sz w:val="20"/>
                <w:szCs w:val="20"/>
              </w:rPr>
            </w:pPr>
            <w:r w:rsidRPr="00863EC6">
              <w:rPr>
                <w:b/>
                <w:sz w:val="20"/>
                <w:szCs w:val="20"/>
              </w:rPr>
              <w:t xml:space="preserve">Cost or valuation </w:t>
            </w:r>
          </w:p>
        </w:tc>
        <w:tc>
          <w:tcPr>
            <w:tcW w:w="1843" w:type="dxa"/>
          </w:tcPr>
          <w:p w14:paraId="09E8BB39" w14:textId="77777777" w:rsidR="00A36F2F" w:rsidRPr="00863EC6" w:rsidRDefault="00A36F2F" w:rsidP="001958BD">
            <w:pPr>
              <w:jc w:val="center"/>
              <w:rPr>
                <w:b/>
                <w:sz w:val="20"/>
                <w:szCs w:val="20"/>
              </w:rPr>
            </w:pPr>
            <w:r w:rsidRPr="00863EC6">
              <w:rPr>
                <w:b/>
                <w:sz w:val="20"/>
                <w:szCs w:val="20"/>
              </w:rPr>
              <w:t>£</w:t>
            </w:r>
          </w:p>
        </w:tc>
        <w:tc>
          <w:tcPr>
            <w:tcW w:w="1559" w:type="dxa"/>
            <w:gridSpan w:val="2"/>
          </w:tcPr>
          <w:p w14:paraId="388CACF4" w14:textId="77777777" w:rsidR="00A36F2F" w:rsidRPr="00863EC6" w:rsidRDefault="00A36F2F" w:rsidP="001958BD">
            <w:pPr>
              <w:jc w:val="center"/>
              <w:rPr>
                <w:b/>
                <w:sz w:val="20"/>
                <w:szCs w:val="20"/>
              </w:rPr>
            </w:pPr>
            <w:r w:rsidRPr="00863EC6">
              <w:rPr>
                <w:b/>
                <w:sz w:val="20"/>
                <w:szCs w:val="20"/>
              </w:rPr>
              <w:t>£</w:t>
            </w:r>
          </w:p>
        </w:tc>
        <w:tc>
          <w:tcPr>
            <w:tcW w:w="2268" w:type="dxa"/>
          </w:tcPr>
          <w:p w14:paraId="07D3DA58" w14:textId="77777777" w:rsidR="00A36F2F" w:rsidRPr="00863EC6" w:rsidRDefault="00A36F2F" w:rsidP="001958BD">
            <w:pPr>
              <w:jc w:val="center"/>
              <w:rPr>
                <w:b/>
                <w:sz w:val="20"/>
                <w:szCs w:val="20"/>
              </w:rPr>
            </w:pPr>
            <w:r w:rsidRPr="00863EC6">
              <w:rPr>
                <w:b/>
                <w:sz w:val="20"/>
                <w:szCs w:val="20"/>
              </w:rPr>
              <w:t>£</w:t>
            </w:r>
          </w:p>
        </w:tc>
      </w:tr>
      <w:tr w:rsidR="00A36F2F" w:rsidRPr="00863EC6" w14:paraId="723F1B34" w14:textId="77777777" w:rsidTr="54F71CB4">
        <w:trPr>
          <w:gridAfter w:val="1"/>
          <w:wAfter w:w="236" w:type="dxa"/>
        </w:trPr>
        <w:tc>
          <w:tcPr>
            <w:tcW w:w="2835" w:type="dxa"/>
          </w:tcPr>
          <w:p w14:paraId="0093502A" w14:textId="10E2562C" w:rsidR="00A36F2F" w:rsidRPr="00863EC6" w:rsidRDefault="00A36F2F" w:rsidP="001958BD">
            <w:pPr>
              <w:rPr>
                <w:sz w:val="20"/>
                <w:szCs w:val="20"/>
              </w:rPr>
            </w:pPr>
            <w:proofErr w:type="gramStart"/>
            <w:r w:rsidRPr="00863EC6">
              <w:rPr>
                <w:sz w:val="20"/>
                <w:szCs w:val="20"/>
              </w:rPr>
              <w:t>At</w:t>
            </w:r>
            <w:proofErr w:type="gramEnd"/>
            <w:r w:rsidRPr="00863EC6">
              <w:rPr>
                <w:sz w:val="20"/>
                <w:szCs w:val="20"/>
              </w:rPr>
              <w:t xml:space="preserve"> 1 April 20</w:t>
            </w:r>
            <w:r>
              <w:rPr>
                <w:sz w:val="20"/>
                <w:szCs w:val="20"/>
              </w:rPr>
              <w:t>2</w:t>
            </w:r>
            <w:r w:rsidR="005F35DE">
              <w:rPr>
                <w:sz w:val="20"/>
                <w:szCs w:val="20"/>
              </w:rPr>
              <w:t>3</w:t>
            </w:r>
          </w:p>
        </w:tc>
        <w:tc>
          <w:tcPr>
            <w:tcW w:w="1843" w:type="dxa"/>
          </w:tcPr>
          <w:p w14:paraId="2E771328" w14:textId="70BBA103" w:rsidR="00A36F2F" w:rsidRPr="00863EC6" w:rsidRDefault="005F35DE" w:rsidP="001958BD">
            <w:pPr>
              <w:jc w:val="center"/>
              <w:rPr>
                <w:sz w:val="20"/>
                <w:szCs w:val="20"/>
              </w:rPr>
            </w:pPr>
            <w:r>
              <w:rPr>
                <w:sz w:val="20"/>
                <w:szCs w:val="20"/>
              </w:rPr>
              <w:t>593,068</w:t>
            </w:r>
          </w:p>
        </w:tc>
        <w:tc>
          <w:tcPr>
            <w:tcW w:w="1559" w:type="dxa"/>
            <w:gridSpan w:val="2"/>
          </w:tcPr>
          <w:p w14:paraId="4BAE5D89" w14:textId="78E8F27B" w:rsidR="00A36F2F" w:rsidRPr="00863EC6" w:rsidRDefault="005F35DE" w:rsidP="001958BD">
            <w:pPr>
              <w:jc w:val="center"/>
              <w:rPr>
                <w:sz w:val="20"/>
                <w:szCs w:val="20"/>
              </w:rPr>
            </w:pPr>
            <w:r>
              <w:rPr>
                <w:sz w:val="20"/>
                <w:szCs w:val="20"/>
              </w:rPr>
              <w:t>2,815</w:t>
            </w:r>
          </w:p>
        </w:tc>
        <w:tc>
          <w:tcPr>
            <w:tcW w:w="2268" w:type="dxa"/>
          </w:tcPr>
          <w:p w14:paraId="7B471D61" w14:textId="292165A5" w:rsidR="00A36F2F" w:rsidRPr="00863EC6" w:rsidRDefault="005F35DE" w:rsidP="001958BD">
            <w:pPr>
              <w:jc w:val="center"/>
              <w:rPr>
                <w:sz w:val="20"/>
                <w:szCs w:val="20"/>
              </w:rPr>
            </w:pPr>
            <w:r>
              <w:rPr>
                <w:sz w:val="20"/>
                <w:szCs w:val="20"/>
              </w:rPr>
              <w:t>595,883</w:t>
            </w:r>
          </w:p>
        </w:tc>
      </w:tr>
      <w:tr w:rsidR="00A36F2F" w:rsidRPr="00863EC6" w14:paraId="6C5C08D0" w14:textId="77777777" w:rsidTr="54F71CB4">
        <w:trPr>
          <w:gridAfter w:val="1"/>
          <w:wAfter w:w="236" w:type="dxa"/>
        </w:trPr>
        <w:tc>
          <w:tcPr>
            <w:tcW w:w="2835" w:type="dxa"/>
          </w:tcPr>
          <w:p w14:paraId="7A039B97" w14:textId="7DC23BCF" w:rsidR="00A36F2F" w:rsidRPr="00863EC6" w:rsidRDefault="00A36F2F" w:rsidP="001958BD">
            <w:pPr>
              <w:rPr>
                <w:sz w:val="20"/>
                <w:szCs w:val="20"/>
              </w:rPr>
            </w:pPr>
          </w:p>
        </w:tc>
        <w:tc>
          <w:tcPr>
            <w:tcW w:w="1843" w:type="dxa"/>
          </w:tcPr>
          <w:p w14:paraId="7774D9E0" w14:textId="1F55D3D0" w:rsidR="00A36F2F" w:rsidRPr="00863EC6" w:rsidRDefault="00A36F2F" w:rsidP="001958BD">
            <w:pPr>
              <w:jc w:val="center"/>
              <w:rPr>
                <w:sz w:val="20"/>
                <w:szCs w:val="20"/>
              </w:rPr>
            </w:pPr>
          </w:p>
        </w:tc>
        <w:tc>
          <w:tcPr>
            <w:tcW w:w="1559" w:type="dxa"/>
            <w:gridSpan w:val="2"/>
          </w:tcPr>
          <w:p w14:paraId="5AA98BF6" w14:textId="2FD8714B" w:rsidR="00A36F2F" w:rsidRPr="00863EC6" w:rsidRDefault="00A36F2F" w:rsidP="001958BD">
            <w:pPr>
              <w:jc w:val="center"/>
              <w:rPr>
                <w:sz w:val="20"/>
                <w:szCs w:val="20"/>
              </w:rPr>
            </w:pPr>
          </w:p>
        </w:tc>
        <w:tc>
          <w:tcPr>
            <w:tcW w:w="2268" w:type="dxa"/>
          </w:tcPr>
          <w:p w14:paraId="356B31A3" w14:textId="580836DB" w:rsidR="00A36F2F" w:rsidRPr="00863EC6" w:rsidRDefault="00A36F2F" w:rsidP="001958BD">
            <w:pPr>
              <w:jc w:val="center"/>
              <w:rPr>
                <w:sz w:val="20"/>
                <w:szCs w:val="20"/>
              </w:rPr>
            </w:pPr>
          </w:p>
        </w:tc>
      </w:tr>
      <w:tr w:rsidR="00A36F2F" w:rsidRPr="00863EC6" w14:paraId="5D3FE552" w14:textId="77777777" w:rsidTr="54F71CB4">
        <w:trPr>
          <w:gridAfter w:val="1"/>
          <w:wAfter w:w="236" w:type="dxa"/>
        </w:trPr>
        <w:tc>
          <w:tcPr>
            <w:tcW w:w="2835" w:type="dxa"/>
          </w:tcPr>
          <w:p w14:paraId="717ED216" w14:textId="5AE6867E" w:rsidR="00A36F2F" w:rsidRPr="00863EC6" w:rsidRDefault="00A36F2F" w:rsidP="001958BD">
            <w:pPr>
              <w:rPr>
                <w:sz w:val="20"/>
                <w:szCs w:val="20"/>
              </w:rPr>
            </w:pPr>
            <w:proofErr w:type="gramStart"/>
            <w:r w:rsidRPr="00863EC6">
              <w:rPr>
                <w:sz w:val="20"/>
                <w:szCs w:val="20"/>
              </w:rPr>
              <w:t>At</w:t>
            </w:r>
            <w:proofErr w:type="gramEnd"/>
            <w:r w:rsidRPr="00863EC6">
              <w:rPr>
                <w:sz w:val="20"/>
                <w:szCs w:val="20"/>
              </w:rPr>
              <w:t xml:space="preserve"> </w:t>
            </w:r>
            <w:r>
              <w:rPr>
                <w:sz w:val="20"/>
                <w:szCs w:val="20"/>
              </w:rPr>
              <w:t>31 March 202</w:t>
            </w:r>
            <w:r w:rsidR="005F35DE">
              <w:rPr>
                <w:sz w:val="20"/>
                <w:szCs w:val="20"/>
              </w:rPr>
              <w:t>4</w:t>
            </w:r>
          </w:p>
        </w:tc>
        <w:tc>
          <w:tcPr>
            <w:tcW w:w="1843" w:type="dxa"/>
            <w:tcBorders>
              <w:top w:val="single" w:sz="4" w:space="0" w:color="auto"/>
              <w:bottom w:val="single" w:sz="4" w:space="0" w:color="auto"/>
            </w:tcBorders>
          </w:tcPr>
          <w:p w14:paraId="294E8B8E" w14:textId="64CB380E" w:rsidR="00A36F2F" w:rsidRPr="00863EC6" w:rsidRDefault="008D01FB" w:rsidP="001958BD">
            <w:pPr>
              <w:jc w:val="center"/>
              <w:rPr>
                <w:sz w:val="20"/>
                <w:szCs w:val="20"/>
              </w:rPr>
            </w:pPr>
            <w:r>
              <w:rPr>
                <w:sz w:val="20"/>
                <w:szCs w:val="20"/>
              </w:rPr>
              <w:t>593,068</w:t>
            </w:r>
          </w:p>
        </w:tc>
        <w:tc>
          <w:tcPr>
            <w:tcW w:w="1559" w:type="dxa"/>
            <w:gridSpan w:val="2"/>
            <w:tcBorders>
              <w:top w:val="single" w:sz="4" w:space="0" w:color="auto"/>
              <w:bottom w:val="single" w:sz="4" w:space="0" w:color="auto"/>
            </w:tcBorders>
          </w:tcPr>
          <w:p w14:paraId="27AD8788" w14:textId="478D7470" w:rsidR="00A36F2F" w:rsidRPr="00863EC6" w:rsidRDefault="008D01FB" w:rsidP="001958BD">
            <w:pPr>
              <w:jc w:val="center"/>
              <w:rPr>
                <w:sz w:val="20"/>
                <w:szCs w:val="20"/>
              </w:rPr>
            </w:pPr>
            <w:r>
              <w:rPr>
                <w:sz w:val="20"/>
                <w:szCs w:val="20"/>
              </w:rPr>
              <w:t>2,815</w:t>
            </w:r>
          </w:p>
        </w:tc>
        <w:tc>
          <w:tcPr>
            <w:tcW w:w="2268" w:type="dxa"/>
            <w:tcBorders>
              <w:top w:val="single" w:sz="4" w:space="0" w:color="auto"/>
              <w:bottom w:val="single" w:sz="4" w:space="0" w:color="auto"/>
            </w:tcBorders>
          </w:tcPr>
          <w:p w14:paraId="473527AD" w14:textId="319FDFDA" w:rsidR="00A36F2F" w:rsidRPr="00863EC6" w:rsidRDefault="008D01FB" w:rsidP="001958BD">
            <w:pPr>
              <w:jc w:val="center"/>
              <w:rPr>
                <w:sz w:val="20"/>
                <w:szCs w:val="20"/>
              </w:rPr>
            </w:pPr>
            <w:r>
              <w:rPr>
                <w:sz w:val="20"/>
                <w:szCs w:val="20"/>
              </w:rPr>
              <w:t>595,883</w:t>
            </w:r>
          </w:p>
        </w:tc>
      </w:tr>
      <w:tr w:rsidR="00A36F2F" w:rsidRPr="00863EC6" w14:paraId="543C96C6" w14:textId="77777777" w:rsidTr="54F71CB4">
        <w:tc>
          <w:tcPr>
            <w:tcW w:w="2835" w:type="dxa"/>
          </w:tcPr>
          <w:p w14:paraId="774D73F2" w14:textId="77777777" w:rsidR="00A36F2F" w:rsidRDefault="00A36F2F" w:rsidP="001958BD">
            <w:pPr>
              <w:rPr>
                <w:b/>
                <w:sz w:val="20"/>
                <w:szCs w:val="20"/>
              </w:rPr>
            </w:pPr>
          </w:p>
          <w:p w14:paraId="71660019" w14:textId="77777777" w:rsidR="00A36F2F" w:rsidRPr="00863EC6" w:rsidRDefault="00A36F2F" w:rsidP="001958BD">
            <w:pPr>
              <w:rPr>
                <w:b/>
                <w:sz w:val="20"/>
                <w:szCs w:val="20"/>
              </w:rPr>
            </w:pPr>
            <w:r w:rsidRPr="00863EC6">
              <w:rPr>
                <w:b/>
                <w:sz w:val="20"/>
                <w:szCs w:val="20"/>
              </w:rPr>
              <w:t>Depreciation</w:t>
            </w:r>
          </w:p>
        </w:tc>
        <w:tc>
          <w:tcPr>
            <w:tcW w:w="1843" w:type="dxa"/>
          </w:tcPr>
          <w:p w14:paraId="711EC294" w14:textId="77777777" w:rsidR="00A36F2F" w:rsidRPr="00863EC6" w:rsidRDefault="00A36F2F" w:rsidP="001958BD">
            <w:pPr>
              <w:jc w:val="center"/>
              <w:rPr>
                <w:sz w:val="20"/>
                <w:szCs w:val="20"/>
              </w:rPr>
            </w:pPr>
          </w:p>
        </w:tc>
        <w:tc>
          <w:tcPr>
            <w:tcW w:w="1541" w:type="dxa"/>
          </w:tcPr>
          <w:p w14:paraId="441B9F93" w14:textId="77777777" w:rsidR="00A36F2F" w:rsidRPr="00863EC6" w:rsidRDefault="00A36F2F" w:rsidP="001958BD">
            <w:pPr>
              <w:jc w:val="center"/>
              <w:rPr>
                <w:sz w:val="20"/>
                <w:szCs w:val="20"/>
              </w:rPr>
            </w:pPr>
          </w:p>
        </w:tc>
        <w:tc>
          <w:tcPr>
            <w:tcW w:w="2286" w:type="dxa"/>
            <w:gridSpan w:val="2"/>
          </w:tcPr>
          <w:p w14:paraId="72C5B552" w14:textId="77777777" w:rsidR="00A36F2F" w:rsidRPr="00863EC6" w:rsidRDefault="00A36F2F" w:rsidP="001958BD">
            <w:pPr>
              <w:jc w:val="center"/>
              <w:rPr>
                <w:sz w:val="20"/>
                <w:szCs w:val="20"/>
              </w:rPr>
            </w:pPr>
          </w:p>
        </w:tc>
        <w:tc>
          <w:tcPr>
            <w:tcW w:w="236" w:type="dxa"/>
          </w:tcPr>
          <w:p w14:paraId="25CA12B6" w14:textId="77777777" w:rsidR="00A36F2F" w:rsidRPr="00863EC6" w:rsidRDefault="00A36F2F" w:rsidP="001958BD">
            <w:pPr>
              <w:jc w:val="center"/>
              <w:rPr>
                <w:sz w:val="20"/>
                <w:szCs w:val="20"/>
              </w:rPr>
            </w:pPr>
          </w:p>
        </w:tc>
      </w:tr>
      <w:tr w:rsidR="00A36F2F" w:rsidRPr="00863EC6" w14:paraId="235F89A2" w14:textId="77777777" w:rsidTr="54F71CB4">
        <w:trPr>
          <w:gridAfter w:val="1"/>
          <w:wAfter w:w="236" w:type="dxa"/>
        </w:trPr>
        <w:tc>
          <w:tcPr>
            <w:tcW w:w="2835" w:type="dxa"/>
          </w:tcPr>
          <w:p w14:paraId="33710EC9" w14:textId="07490C49" w:rsidR="00A36F2F" w:rsidRPr="00863EC6" w:rsidRDefault="00A36F2F" w:rsidP="001958BD">
            <w:pPr>
              <w:rPr>
                <w:sz w:val="20"/>
                <w:szCs w:val="20"/>
              </w:rPr>
            </w:pPr>
            <w:proofErr w:type="gramStart"/>
            <w:r w:rsidRPr="00863EC6">
              <w:rPr>
                <w:sz w:val="20"/>
                <w:szCs w:val="20"/>
              </w:rPr>
              <w:t>At</w:t>
            </w:r>
            <w:proofErr w:type="gramEnd"/>
            <w:r w:rsidRPr="00863EC6">
              <w:rPr>
                <w:sz w:val="20"/>
                <w:szCs w:val="20"/>
              </w:rPr>
              <w:t xml:space="preserve"> 1 April 20</w:t>
            </w:r>
            <w:r>
              <w:rPr>
                <w:sz w:val="20"/>
                <w:szCs w:val="20"/>
              </w:rPr>
              <w:t>2</w:t>
            </w:r>
            <w:r w:rsidR="005F35DE">
              <w:rPr>
                <w:sz w:val="20"/>
                <w:szCs w:val="20"/>
              </w:rPr>
              <w:t>3</w:t>
            </w:r>
          </w:p>
        </w:tc>
        <w:tc>
          <w:tcPr>
            <w:tcW w:w="1843" w:type="dxa"/>
          </w:tcPr>
          <w:p w14:paraId="1350FB3B" w14:textId="2B07F197" w:rsidR="00A36F2F" w:rsidRPr="00863EC6" w:rsidRDefault="005F35DE" w:rsidP="001958BD">
            <w:pPr>
              <w:jc w:val="center"/>
              <w:rPr>
                <w:sz w:val="20"/>
                <w:szCs w:val="20"/>
              </w:rPr>
            </w:pPr>
            <w:r>
              <w:rPr>
                <w:sz w:val="20"/>
                <w:szCs w:val="20"/>
              </w:rPr>
              <w:t>74,465</w:t>
            </w:r>
          </w:p>
        </w:tc>
        <w:tc>
          <w:tcPr>
            <w:tcW w:w="1559" w:type="dxa"/>
            <w:gridSpan w:val="2"/>
          </w:tcPr>
          <w:p w14:paraId="5E854441" w14:textId="04DEFD2A" w:rsidR="00A36F2F" w:rsidRPr="00863EC6" w:rsidRDefault="005F35DE" w:rsidP="001958BD">
            <w:pPr>
              <w:jc w:val="center"/>
              <w:rPr>
                <w:sz w:val="20"/>
                <w:szCs w:val="20"/>
              </w:rPr>
            </w:pPr>
            <w:r>
              <w:rPr>
                <w:sz w:val="20"/>
                <w:szCs w:val="20"/>
              </w:rPr>
              <w:t>966</w:t>
            </w:r>
          </w:p>
        </w:tc>
        <w:tc>
          <w:tcPr>
            <w:tcW w:w="2268" w:type="dxa"/>
          </w:tcPr>
          <w:p w14:paraId="399850C6" w14:textId="09566D40" w:rsidR="00A36F2F" w:rsidRPr="00863EC6" w:rsidRDefault="005F35DE" w:rsidP="001958BD">
            <w:pPr>
              <w:jc w:val="center"/>
              <w:rPr>
                <w:sz w:val="20"/>
                <w:szCs w:val="20"/>
              </w:rPr>
            </w:pPr>
            <w:r>
              <w:rPr>
                <w:sz w:val="20"/>
                <w:szCs w:val="20"/>
              </w:rPr>
              <w:t>75,431</w:t>
            </w:r>
          </w:p>
        </w:tc>
      </w:tr>
      <w:tr w:rsidR="00A36F2F" w:rsidRPr="00863EC6" w14:paraId="0E9CF33F" w14:textId="77777777" w:rsidTr="54F71CB4">
        <w:trPr>
          <w:gridAfter w:val="1"/>
          <w:wAfter w:w="236" w:type="dxa"/>
        </w:trPr>
        <w:tc>
          <w:tcPr>
            <w:tcW w:w="2835" w:type="dxa"/>
          </w:tcPr>
          <w:p w14:paraId="232FCD31" w14:textId="77777777" w:rsidR="00A36F2F" w:rsidRPr="00863EC6" w:rsidRDefault="00A36F2F" w:rsidP="001958BD">
            <w:pPr>
              <w:rPr>
                <w:sz w:val="20"/>
                <w:szCs w:val="20"/>
              </w:rPr>
            </w:pPr>
            <w:r w:rsidRPr="00863EC6">
              <w:rPr>
                <w:sz w:val="20"/>
                <w:szCs w:val="20"/>
              </w:rPr>
              <w:t>Charged in year</w:t>
            </w:r>
          </w:p>
        </w:tc>
        <w:tc>
          <w:tcPr>
            <w:tcW w:w="1843" w:type="dxa"/>
          </w:tcPr>
          <w:p w14:paraId="7BDF9342" w14:textId="62EA8DF8" w:rsidR="00A36F2F" w:rsidRPr="00863EC6" w:rsidRDefault="008D01FB" w:rsidP="001958BD">
            <w:pPr>
              <w:jc w:val="center"/>
              <w:rPr>
                <w:sz w:val="20"/>
                <w:szCs w:val="20"/>
              </w:rPr>
            </w:pPr>
            <w:r>
              <w:rPr>
                <w:sz w:val="20"/>
                <w:szCs w:val="20"/>
              </w:rPr>
              <w:t>74,465</w:t>
            </w:r>
          </w:p>
        </w:tc>
        <w:tc>
          <w:tcPr>
            <w:tcW w:w="1559" w:type="dxa"/>
            <w:gridSpan w:val="2"/>
          </w:tcPr>
          <w:p w14:paraId="57F78DE7" w14:textId="14430BAF" w:rsidR="00A36F2F" w:rsidRPr="00863EC6" w:rsidRDefault="008D01FB" w:rsidP="001958BD">
            <w:pPr>
              <w:jc w:val="center"/>
              <w:rPr>
                <w:sz w:val="20"/>
                <w:szCs w:val="20"/>
              </w:rPr>
            </w:pPr>
            <w:r>
              <w:rPr>
                <w:sz w:val="20"/>
                <w:szCs w:val="20"/>
              </w:rPr>
              <w:t>966</w:t>
            </w:r>
          </w:p>
        </w:tc>
        <w:tc>
          <w:tcPr>
            <w:tcW w:w="2268" w:type="dxa"/>
          </w:tcPr>
          <w:p w14:paraId="4F0BB148" w14:textId="69F25765" w:rsidR="00A36F2F" w:rsidRPr="00863EC6" w:rsidRDefault="008D01FB" w:rsidP="001958BD">
            <w:pPr>
              <w:jc w:val="center"/>
              <w:rPr>
                <w:sz w:val="20"/>
                <w:szCs w:val="20"/>
              </w:rPr>
            </w:pPr>
            <w:r>
              <w:rPr>
                <w:sz w:val="20"/>
                <w:szCs w:val="20"/>
              </w:rPr>
              <w:t>75,431</w:t>
            </w:r>
          </w:p>
        </w:tc>
      </w:tr>
      <w:tr w:rsidR="00A36F2F" w:rsidRPr="00F82840" w14:paraId="5F2DA801" w14:textId="77777777" w:rsidTr="54F71CB4">
        <w:trPr>
          <w:gridAfter w:val="1"/>
          <w:wAfter w:w="236" w:type="dxa"/>
        </w:trPr>
        <w:tc>
          <w:tcPr>
            <w:tcW w:w="2835" w:type="dxa"/>
          </w:tcPr>
          <w:p w14:paraId="1D84F285" w14:textId="0D883E74" w:rsidR="00A36F2F" w:rsidRPr="00F82840" w:rsidRDefault="00A36F2F" w:rsidP="001958BD">
            <w:pPr>
              <w:rPr>
                <w:sz w:val="20"/>
                <w:szCs w:val="20"/>
              </w:rPr>
            </w:pPr>
            <w:proofErr w:type="gramStart"/>
            <w:r w:rsidRPr="00F82840">
              <w:rPr>
                <w:sz w:val="20"/>
                <w:szCs w:val="20"/>
              </w:rPr>
              <w:t>At</w:t>
            </w:r>
            <w:proofErr w:type="gramEnd"/>
            <w:r w:rsidRPr="00F82840">
              <w:rPr>
                <w:sz w:val="20"/>
                <w:szCs w:val="20"/>
              </w:rPr>
              <w:t xml:space="preserve"> </w:t>
            </w:r>
            <w:r>
              <w:rPr>
                <w:sz w:val="20"/>
                <w:szCs w:val="20"/>
              </w:rPr>
              <w:t>31 March 202</w:t>
            </w:r>
            <w:r w:rsidR="005F35DE">
              <w:rPr>
                <w:sz w:val="20"/>
                <w:szCs w:val="20"/>
              </w:rPr>
              <w:t>4</w:t>
            </w:r>
          </w:p>
        </w:tc>
        <w:tc>
          <w:tcPr>
            <w:tcW w:w="1843" w:type="dxa"/>
            <w:tcBorders>
              <w:top w:val="single" w:sz="4" w:space="0" w:color="auto"/>
              <w:bottom w:val="single" w:sz="4" w:space="0" w:color="auto"/>
            </w:tcBorders>
          </w:tcPr>
          <w:p w14:paraId="1058A6EB" w14:textId="3267C668" w:rsidR="00A36F2F" w:rsidRPr="00F82840" w:rsidRDefault="005F35DE" w:rsidP="001958BD">
            <w:pPr>
              <w:jc w:val="center"/>
              <w:rPr>
                <w:sz w:val="20"/>
                <w:szCs w:val="20"/>
              </w:rPr>
            </w:pPr>
            <w:r>
              <w:rPr>
                <w:sz w:val="20"/>
                <w:szCs w:val="20"/>
              </w:rPr>
              <w:t>148</w:t>
            </w:r>
            <w:r w:rsidR="008D01FB">
              <w:rPr>
                <w:sz w:val="20"/>
                <w:szCs w:val="20"/>
              </w:rPr>
              <w:t>,</w:t>
            </w:r>
            <w:r>
              <w:rPr>
                <w:sz w:val="20"/>
                <w:szCs w:val="20"/>
              </w:rPr>
              <w:t>930</w:t>
            </w:r>
          </w:p>
        </w:tc>
        <w:tc>
          <w:tcPr>
            <w:tcW w:w="1559" w:type="dxa"/>
            <w:gridSpan w:val="2"/>
            <w:tcBorders>
              <w:top w:val="single" w:sz="4" w:space="0" w:color="auto"/>
              <w:bottom w:val="single" w:sz="4" w:space="0" w:color="auto"/>
            </w:tcBorders>
          </w:tcPr>
          <w:p w14:paraId="3D95EAAE" w14:textId="419F8179" w:rsidR="00A36F2F" w:rsidRPr="00F82840" w:rsidRDefault="005F35DE" w:rsidP="001958BD">
            <w:pPr>
              <w:jc w:val="center"/>
              <w:rPr>
                <w:sz w:val="20"/>
                <w:szCs w:val="20"/>
              </w:rPr>
            </w:pPr>
            <w:r w:rsidRPr="00976068">
              <w:rPr>
                <w:sz w:val="20"/>
                <w:szCs w:val="20"/>
              </w:rPr>
              <w:t>1,93</w:t>
            </w:r>
            <w:r w:rsidR="00FF582D">
              <w:rPr>
                <w:sz w:val="20"/>
                <w:szCs w:val="20"/>
              </w:rPr>
              <w:t>2</w:t>
            </w:r>
          </w:p>
        </w:tc>
        <w:tc>
          <w:tcPr>
            <w:tcW w:w="2268" w:type="dxa"/>
            <w:tcBorders>
              <w:top w:val="single" w:sz="4" w:space="0" w:color="auto"/>
              <w:bottom w:val="single" w:sz="4" w:space="0" w:color="auto"/>
            </w:tcBorders>
          </w:tcPr>
          <w:p w14:paraId="3B58F7F8" w14:textId="2252E7C6" w:rsidR="00A36F2F" w:rsidRPr="00F82840" w:rsidRDefault="005F35DE" w:rsidP="001958BD">
            <w:pPr>
              <w:jc w:val="center"/>
              <w:rPr>
                <w:sz w:val="20"/>
                <w:szCs w:val="20"/>
              </w:rPr>
            </w:pPr>
            <w:r w:rsidRPr="00976068">
              <w:rPr>
                <w:sz w:val="20"/>
                <w:szCs w:val="20"/>
              </w:rPr>
              <w:t>150</w:t>
            </w:r>
            <w:r w:rsidR="008D01FB" w:rsidRPr="00976068">
              <w:rPr>
                <w:sz w:val="20"/>
                <w:szCs w:val="20"/>
              </w:rPr>
              <w:t>,</w:t>
            </w:r>
            <w:r w:rsidRPr="00976068">
              <w:rPr>
                <w:sz w:val="20"/>
                <w:szCs w:val="20"/>
              </w:rPr>
              <w:t>86</w:t>
            </w:r>
            <w:r w:rsidR="00904667">
              <w:rPr>
                <w:sz w:val="20"/>
                <w:szCs w:val="20"/>
              </w:rPr>
              <w:t>2</w:t>
            </w:r>
          </w:p>
        </w:tc>
      </w:tr>
      <w:tr w:rsidR="00A36F2F" w:rsidRPr="00F82840" w14:paraId="42FA5DB4" w14:textId="77777777" w:rsidTr="54F71CB4">
        <w:trPr>
          <w:gridAfter w:val="1"/>
          <w:wAfter w:w="236" w:type="dxa"/>
        </w:trPr>
        <w:tc>
          <w:tcPr>
            <w:tcW w:w="2835" w:type="dxa"/>
          </w:tcPr>
          <w:p w14:paraId="75931011" w14:textId="77777777" w:rsidR="00A36F2F" w:rsidRPr="00F82840" w:rsidRDefault="00A36F2F" w:rsidP="001958BD">
            <w:pPr>
              <w:rPr>
                <w:sz w:val="20"/>
                <w:szCs w:val="20"/>
              </w:rPr>
            </w:pPr>
          </w:p>
          <w:p w14:paraId="25DC56FC" w14:textId="6BCC780C" w:rsidR="00A36F2F" w:rsidRPr="004520CE" w:rsidRDefault="00A36F2F" w:rsidP="001958BD">
            <w:pPr>
              <w:rPr>
                <w:b/>
                <w:bCs/>
                <w:sz w:val="20"/>
                <w:szCs w:val="20"/>
              </w:rPr>
            </w:pPr>
            <w:r w:rsidRPr="004520CE">
              <w:rPr>
                <w:b/>
                <w:bCs/>
                <w:sz w:val="20"/>
                <w:szCs w:val="20"/>
              </w:rPr>
              <w:t xml:space="preserve">Net book value </w:t>
            </w:r>
            <w:proofErr w:type="gramStart"/>
            <w:r w:rsidRPr="004520CE">
              <w:rPr>
                <w:b/>
                <w:bCs/>
                <w:sz w:val="20"/>
                <w:szCs w:val="20"/>
              </w:rPr>
              <w:t>at</w:t>
            </w:r>
            <w:proofErr w:type="gramEnd"/>
            <w:r w:rsidRPr="004520CE">
              <w:rPr>
                <w:b/>
                <w:bCs/>
                <w:sz w:val="20"/>
                <w:szCs w:val="20"/>
              </w:rPr>
              <w:t xml:space="preserve"> 31 March 202</w:t>
            </w:r>
            <w:r w:rsidR="005F35DE">
              <w:rPr>
                <w:b/>
                <w:bCs/>
                <w:sz w:val="20"/>
                <w:szCs w:val="20"/>
              </w:rPr>
              <w:t>4</w:t>
            </w:r>
          </w:p>
        </w:tc>
        <w:tc>
          <w:tcPr>
            <w:tcW w:w="1843" w:type="dxa"/>
            <w:tcBorders>
              <w:top w:val="single" w:sz="4" w:space="0" w:color="auto"/>
              <w:bottom w:val="single" w:sz="4" w:space="0" w:color="auto"/>
            </w:tcBorders>
          </w:tcPr>
          <w:p w14:paraId="1101D04D" w14:textId="77777777" w:rsidR="00A36F2F" w:rsidRDefault="00A36F2F" w:rsidP="001958BD">
            <w:pPr>
              <w:jc w:val="center"/>
              <w:rPr>
                <w:sz w:val="20"/>
                <w:szCs w:val="20"/>
              </w:rPr>
            </w:pPr>
          </w:p>
          <w:p w14:paraId="0DA0C9C8" w14:textId="77777777" w:rsidR="00A36F2F" w:rsidRDefault="00A36F2F" w:rsidP="001958BD">
            <w:pPr>
              <w:jc w:val="center"/>
              <w:rPr>
                <w:sz w:val="20"/>
                <w:szCs w:val="20"/>
              </w:rPr>
            </w:pPr>
          </w:p>
          <w:p w14:paraId="6C69ACC9" w14:textId="15BB99B1" w:rsidR="00A36F2F" w:rsidRPr="00F82840" w:rsidRDefault="005F35DE" w:rsidP="001958BD">
            <w:pPr>
              <w:jc w:val="center"/>
              <w:rPr>
                <w:sz w:val="20"/>
                <w:szCs w:val="20"/>
              </w:rPr>
            </w:pPr>
            <w:r>
              <w:rPr>
                <w:sz w:val="20"/>
                <w:szCs w:val="20"/>
              </w:rPr>
              <w:t>444</w:t>
            </w:r>
            <w:r w:rsidR="008D01FB">
              <w:rPr>
                <w:sz w:val="20"/>
                <w:szCs w:val="20"/>
              </w:rPr>
              <w:t>,</w:t>
            </w:r>
            <w:r>
              <w:rPr>
                <w:sz w:val="20"/>
                <w:szCs w:val="20"/>
              </w:rPr>
              <w:t>138</w:t>
            </w:r>
          </w:p>
        </w:tc>
        <w:tc>
          <w:tcPr>
            <w:tcW w:w="1559" w:type="dxa"/>
            <w:gridSpan w:val="2"/>
            <w:tcBorders>
              <w:top w:val="single" w:sz="4" w:space="0" w:color="auto"/>
              <w:bottom w:val="single" w:sz="4" w:space="0" w:color="auto"/>
            </w:tcBorders>
          </w:tcPr>
          <w:p w14:paraId="0DB1CE0F" w14:textId="77777777" w:rsidR="00A36F2F" w:rsidRDefault="00A36F2F" w:rsidP="001958BD">
            <w:pPr>
              <w:jc w:val="center"/>
              <w:rPr>
                <w:sz w:val="20"/>
                <w:szCs w:val="20"/>
              </w:rPr>
            </w:pPr>
          </w:p>
          <w:p w14:paraId="793AC0E8" w14:textId="77777777" w:rsidR="00A36F2F" w:rsidRDefault="00A36F2F" w:rsidP="001958BD">
            <w:pPr>
              <w:jc w:val="center"/>
              <w:rPr>
                <w:sz w:val="20"/>
                <w:szCs w:val="20"/>
              </w:rPr>
            </w:pPr>
          </w:p>
          <w:p w14:paraId="5E076B9B" w14:textId="5C213288" w:rsidR="00A36F2F" w:rsidRPr="00F82840" w:rsidRDefault="005F35DE" w:rsidP="001958BD">
            <w:pPr>
              <w:jc w:val="center"/>
              <w:rPr>
                <w:sz w:val="20"/>
                <w:szCs w:val="20"/>
              </w:rPr>
            </w:pPr>
            <w:r>
              <w:rPr>
                <w:sz w:val="20"/>
                <w:szCs w:val="20"/>
              </w:rPr>
              <w:t>88</w:t>
            </w:r>
            <w:r w:rsidR="0035278E">
              <w:rPr>
                <w:sz w:val="20"/>
                <w:szCs w:val="20"/>
              </w:rPr>
              <w:t>3</w:t>
            </w:r>
          </w:p>
        </w:tc>
        <w:tc>
          <w:tcPr>
            <w:tcW w:w="2268" w:type="dxa"/>
            <w:tcBorders>
              <w:top w:val="single" w:sz="4" w:space="0" w:color="auto"/>
              <w:bottom w:val="single" w:sz="4" w:space="0" w:color="auto"/>
            </w:tcBorders>
          </w:tcPr>
          <w:p w14:paraId="5DB805BA" w14:textId="77777777" w:rsidR="00A36F2F" w:rsidRDefault="00A36F2F" w:rsidP="001958BD">
            <w:pPr>
              <w:jc w:val="center"/>
              <w:rPr>
                <w:sz w:val="20"/>
                <w:szCs w:val="20"/>
              </w:rPr>
            </w:pPr>
          </w:p>
          <w:p w14:paraId="77C0AA67" w14:textId="77777777" w:rsidR="00A36F2F" w:rsidRDefault="00A36F2F" w:rsidP="001958BD">
            <w:pPr>
              <w:jc w:val="center"/>
              <w:rPr>
                <w:sz w:val="20"/>
                <w:szCs w:val="20"/>
              </w:rPr>
            </w:pPr>
          </w:p>
          <w:p w14:paraId="35561898" w14:textId="47E65F4B" w:rsidR="00A36F2F" w:rsidRPr="00F82840" w:rsidRDefault="005F35DE" w:rsidP="001958BD">
            <w:pPr>
              <w:jc w:val="center"/>
              <w:rPr>
                <w:sz w:val="20"/>
                <w:szCs w:val="20"/>
              </w:rPr>
            </w:pPr>
            <w:r>
              <w:rPr>
                <w:sz w:val="20"/>
                <w:szCs w:val="20"/>
              </w:rPr>
              <w:t>445</w:t>
            </w:r>
            <w:r w:rsidR="008D01FB">
              <w:rPr>
                <w:sz w:val="20"/>
                <w:szCs w:val="20"/>
              </w:rPr>
              <w:t>,</w:t>
            </w:r>
            <w:r>
              <w:rPr>
                <w:sz w:val="20"/>
                <w:szCs w:val="20"/>
              </w:rPr>
              <w:t>02</w:t>
            </w:r>
            <w:r w:rsidR="00904667">
              <w:rPr>
                <w:sz w:val="20"/>
                <w:szCs w:val="20"/>
              </w:rPr>
              <w:t>1</w:t>
            </w:r>
          </w:p>
        </w:tc>
      </w:tr>
      <w:tr w:rsidR="005F35DE" w:rsidRPr="00F82840" w14:paraId="6DF4A3BE" w14:textId="77777777" w:rsidTr="54F71CB4">
        <w:trPr>
          <w:gridAfter w:val="1"/>
          <w:wAfter w:w="236" w:type="dxa"/>
        </w:trPr>
        <w:tc>
          <w:tcPr>
            <w:tcW w:w="2835" w:type="dxa"/>
          </w:tcPr>
          <w:p w14:paraId="181C249D" w14:textId="77777777" w:rsidR="005F35DE" w:rsidRPr="00F82840" w:rsidRDefault="005F35DE" w:rsidP="0055153F">
            <w:pPr>
              <w:rPr>
                <w:sz w:val="20"/>
                <w:szCs w:val="20"/>
              </w:rPr>
            </w:pPr>
          </w:p>
          <w:p w14:paraId="0AB55EC6" w14:textId="2F4DF568" w:rsidR="005F35DE" w:rsidRPr="004520CE" w:rsidRDefault="005F35DE" w:rsidP="0055153F">
            <w:pPr>
              <w:rPr>
                <w:b/>
                <w:bCs/>
                <w:sz w:val="20"/>
                <w:szCs w:val="20"/>
              </w:rPr>
            </w:pPr>
            <w:r w:rsidRPr="004520CE">
              <w:rPr>
                <w:b/>
                <w:bCs/>
                <w:sz w:val="20"/>
                <w:szCs w:val="20"/>
              </w:rPr>
              <w:t xml:space="preserve">Net book value </w:t>
            </w:r>
            <w:proofErr w:type="gramStart"/>
            <w:r w:rsidRPr="004520CE">
              <w:rPr>
                <w:b/>
                <w:bCs/>
                <w:sz w:val="20"/>
                <w:szCs w:val="20"/>
              </w:rPr>
              <w:t>at</w:t>
            </w:r>
            <w:proofErr w:type="gramEnd"/>
            <w:r w:rsidRPr="004520CE">
              <w:rPr>
                <w:b/>
                <w:bCs/>
                <w:sz w:val="20"/>
                <w:szCs w:val="20"/>
              </w:rPr>
              <w:t xml:space="preserve"> 31 March 202</w:t>
            </w:r>
            <w:r>
              <w:rPr>
                <w:b/>
                <w:bCs/>
                <w:sz w:val="20"/>
                <w:szCs w:val="20"/>
              </w:rPr>
              <w:t>3</w:t>
            </w:r>
          </w:p>
        </w:tc>
        <w:tc>
          <w:tcPr>
            <w:tcW w:w="1843" w:type="dxa"/>
            <w:tcBorders>
              <w:top w:val="single" w:sz="4" w:space="0" w:color="auto"/>
              <w:bottom w:val="single" w:sz="4" w:space="0" w:color="auto"/>
            </w:tcBorders>
          </w:tcPr>
          <w:p w14:paraId="6B018D32" w14:textId="77777777" w:rsidR="005F35DE" w:rsidRDefault="005F35DE" w:rsidP="0055153F">
            <w:pPr>
              <w:jc w:val="center"/>
              <w:rPr>
                <w:sz w:val="20"/>
                <w:szCs w:val="20"/>
              </w:rPr>
            </w:pPr>
          </w:p>
          <w:p w14:paraId="3592AB01" w14:textId="77777777" w:rsidR="005F35DE" w:rsidRDefault="005F35DE" w:rsidP="0055153F">
            <w:pPr>
              <w:jc w:val="center"/>
              <w:rPr>
                <w:sz w:val="20"/>
                <w:szCs w:val="20"/>
              </w:rPr>
            </w:pPr>
          </w:p>
          <w:p w14:paraId="56B7184F" w14:textId="77777777" w:rsidR="005F35DE" w:rsidRPr="00F82840" w:rsidRDefault="005F35DE" w:rsidP="0055153F">
            <w:pPr>
              <w:jc w:val="center"/>
              <w:rPr>
                <w:sz w:val="20"/>
                <w:szCs w:val="20"/>
              </w:rPr>
            </w:pPr>
            <w:r>
              <w:rPr>
                <w:sz w:val="20"/>
                <w:szCs w:val="20"/>
              </w:rPr>
              <w:t>518,603</w:t>
            </w:r>
          </w:p>
        </w:tc>
        <w:tc>
          <w:tcPr>
            <w:tcW w:w="1559" w:type="dxa"/>
            <w:gridSpan w:val="2"/>
            <w:tcBorders>
              <w:top w:val="single" w:sz="4" w:space="0" w:color="auto"/>
              <w:bottom w:val="single" w:sz="4" w:space="0" w:color="auto"/>
            </w:tcBorders>
          </w:tcPr>
          <w:p w14:paraId="492C6B76" w14:textId="77777777" w:rsidR="005F35DE" w:rsidRDefault="005F35DE" w:rsidP="0055153F">
            <w:pPr>
              <w:jc w:val="center"/>
              <w:rPr>
                <w:sz w:val="20"/>
                <w:szCs w:val="20"/>
              </w:rPr>
            </w:pPr>
          </w:p>
          <w:p w14:paraId="482362C3" w14:textId="77777777" w:rsidR="005F35DE" w:rsidRDefault="005F35DE" w:rsidP="0055153F">
            <w:pPr>
              <w:jc w:val="center"/>
              <w:rPr>
                <w:sz w:val="20"/>
                <w:szCs w:val="20"/>
              </w:rPr>
            </w:pPr>
          </w:p>
          <w:p w14:paraId="1090A4F7" w14:textId="77777777" w:rsidR="005F35DE" w:rsidRPr="00F82840" w:rsidRDefault="005F35DE" w:rsidP="0055153F">
            <w:pPr>
              <w:jc w:val="center"/>
              <w:rPr>
                <w:sz w:val="20"/>
                <w:szCs w:val="20"/>
              </w:rPr>
            </w:pPr>
            <w:r>
              <w:rPr>
                <w:sz w:val="20"/>
                <w:szCs w:val="20"/>
              </w:rPr>
              <w:t>1,849</w:t>
            </w:r>
          </w:p>
        </w:tc>
        <w:tc>
          <w:tcPr>
            <w:tcW w:w="2268" w:type="dxa"/>
            <w:tcBorders>
              <w:top w:val="single" w:sz="4" w:space="0" w:color="auto"/>
              <w:bottom w:val="single" w:sz="4" w:space="0" w:color="auto"/>
            </w:tcBorders>
          </w:tcPr>
          <w:p w14:paraId="18154E35" w14:textId="77777777" w:rsidR="005F35DE" w:rsidRDefault="005F35DE" w:rsidP="0055153F">
            <w:pPr>
              <w:jc w:val="center"/>
              <w:rPr>
                <w:sz w:val="20"/>
                <w:szCs w:val="20"/>
              </w:rPr>
            </w:pPr>
          </w:p>
          <w:p w14:paraId="0465FCC2" w14:textId="77777777" w:rsidR="005F35DE" w:rsidRDefault="005F35DE" w:rsidP="0055153F">
            <w:pPr>
              <w:jc w:val="center"/>
              <w:rPr>
                <w:sz w:val="20"/>
                <w:szCs w:val="20"/>
              </w:rPr>
            </w:pPr>
          </w:p>
          <w:p w14:paraId="579E461D" w14:textId="77777777" w:rsidR="005F35DE" w:rsidRPr="00F82840" w:rsidRDefault="005F35DE" w:rsidP="0055153F">
            <w:pPr>
              <w:jc w:val="center"/>
              <w:rPr>
                <w:sz w:val="20"/>
                <w:szCs w:val="20"/>
              </w:rPr>
            </w:pPr>
            <w:r>
              <w:rPr>
                <w:sz w:val="20"/>
                <w:szCs w:val="20"/>
              </w:rPr>
              <w:t>520,452</w:t>
            </w:r>
          </w:p>
        </w:tc>
      </w:tr>
      <w:tr w:rsidR="005F35DE" w:rsidRPr="00F82840" w14:paraId="152E216E" w14:textId="77777777" w:rsidTr="54F71CB4">
        <w:trPr>
          <w:gridAfter w:val="5"/>
          <w:wAfter w:w="5906" w:type="dxa"/>
        </w:trPr>
        <w:tc>
          <w:tcPr>
            <w:tcW w:w="2835" w:type="dxa"/>
          </w:tcPr>
          <w:p w14:paraId="45B3D497" w14:textId="77777777" w:rsidR="005F35DE" w:rsidRPr="00F82840" w:rsidRDefault="005F35DE" w:rsidP="001958BD">
            <w:pPr>
              <w:rPr>
                <w:sz w:val="20"/>
                <w:szCs w:val="20"/>
              </w:rPr>
            </w:pPr>
          </w:p>
        </w:tc>
      </w:tr>
      <w:tr w:rsidR="005F35DE" w:rsidRPr="00F82840" w14:paraId="6104020C" w14:textId="77777777" w:rsidTr="54F71CB4">
        <w:trPr>
          <w:gridAfter w:val="5"/>
          <w:wAfter w:w="5906" w:type="dxa"/>
        </w:trPr>
        <w:tc>
          <w:tcPr>
            <w:tcW w:w="2835" w:type="dxa"/>
          </w:tcPr>
          <w:p w14:paraId="52595274" w14:textId="77777777" w:rsidR="005F35DE" w:rsidRDefault="005F35DE" w:rsidP="001958BD">
            <w:pPr>
              <w:rPr>
                <w:sz w:val="20"/>
                <w:szCs w:val="20"/>
              </w:rPr>
            </w:pPr>
          </w:p>
          <w:p w14:paraId="3D9A91D1" w14:textId="77777777" w:rsidR="005F35DE" w:rsidRDefault="005F35DE" w:rsidP="001958BD">
            <w:pPr>
              <w:rPr>
                <w:sz w:val="20"/>
                <w:szCs w:val="20"/>
              </w:rPr>
            </w:pPr>
          </w:p>
          <w:p w14:paraId="318AF9B0" w14:textId="77777777" w:rsidR="005F35DE" w:rsidRDefault="005F35DE" w:rsidP="001958BD">
            <w:pPr>
              <w:rPr>
                <w:sz w:val="20"/>
                <w:szCs w:val="20"/>
              </w:rPr>
            </w:pPr>
          </w:p>
          <w:p w14:paraId="118DDD12" w14:textId="77777777" w:rsidR="005F35DE" w:rsidRDefault="005F35DE" w:rsidP="001958BD">
            <w:pPr>
              <w:rPr>
                <w:sz w:val="20"/>
                <w:szCs w:val="20"/>
              </w:rPr>
            </w:pPr>
          </w:p>
          <w:p w14:paraId="2396989F" w14:textId="77777777" w:rsidR="005F35DE" w:rsidRDefault="005F35DE" w:rsidP="001958BD">
            <w:pPr>
              <w:rPr>
                <w:sz w:val="20"/>
                <w:szCs w:val="20"/>
              </w:rPr>
            </w:pPr>
          </w:p>
          <w:p w14:paraId="6FA8A17A" w14:textId="77777777" w:rsidR="005F35DE" w:rsidRDefault="005F35DE" w:rsidP="001958BD">
            <w:pPr>
              <w:rPr>
                <w:sz w:val="20"/>
                <w:szCs w:val="20"/>
              </w:rPr>
            </w:pPr>
          </w:p>
          <w:p w14:paraId="6382B6A6" w14:textId="77777777" w:rsidR="005F35DE" w:rsidRDefault="005F35DE" w:rsidP="001958BD">
            <w:pPr>
              <w:rPr>
                <w:sz w:val="20"/>
                <w:szCs w:val="20"/>
              </w:rPr>
            </w:pPr>
          </w:p>
          <w:p w14:paraId="00671254" w14:textId="77777777" w:rsidR="005F35DE" w:rsidRDefault="005F35DE" w:rsidP="001958BD">
            <w:pPr>
              <w:rPr>
                <w:sz w:val="20"/>
                <w:szCs w:val="20"/>
              </w:rPr>
            </w:pPr>
          </w:p>
          <w:p w14:paraId="0BF6A2DF" w14:textId="77777777" w:rsidR="005F35DE" w:rsidRDefault="005F35DE" w:rsidP="001958BD">
            <w:pPr>
              <w:rPr>
                <w:sz w:val="20"/>
                <w:szCs w:val="20"/>
              </w:rPr>
            </w:pPr>
          </w:p>
          <w:p w14:paraId="2D621447" w14:textId="77777777" w:rsidR="005F35DE" w:rsidRDefault="005F35DE" w:rsidP="001958BD">
            <w:pPr>
              <w:rPr>
                <w:sz w:val="20"/>
                <w:szCs w:val="20"/>
              </w:rPr>
            </w:pPr>
          </w:p>
          <w:p w14:paraId="650A00A5" w14:textId="77777777" w:rsidR="005F35DE" w:rsidRDefault="005F35DE" w:rsidP="001958BD">
            <w:pPr>
              <w:rPr>
                <w:sz w:val="20"/>
                <w:szCs w:val="20"/>
              </w:rPr>
            </w:pPr>
          </w:p>
          <w:p w14:paraId="229BC716" w14:textId="77777777" w:rsidR="00582E77" w:rsidRDefault="00582E77" w:rsidP="001958BD">
            <w:pPr>
              <w:rPr>
                <w:sz w:val="20"/>
                <w:szCs w:val="20"/>
              </w:rPr>
            </w:pPr>
          </w:p>
          <w:p w14:paraId="43CAA254" w14:textId="77777777" w:rsidR="005F35DE" w:rsidRDefault="005F35DE" w:rsidP="001958BD">
            <w:pPr>
              <w:rPr>
                <w:sz w:val="20"/>
                <w:szCs w:val="20"/>
              </w:rPr>
            </w:pPr>
          </w:p>
          <w:p w14:paraId="68F3B606" w14:textId="77777777" w:rsidR="005F35DE" w:rsidRDefault="005F35DE" w:rsidP="001958BD">
            <w:pPr>
              <w:rPr>
                <w:sz w:val="20"/>
                <w:szCs w:val="20"/>
              </w:rPr>
            </w:pPr>
          </w:p>
          <w:p w14:paraId="58516E07" w14:textId="77777777" w:rsidR="005F35DE" w:rsidRPr="00F82840" w:rsidRDefault="005F35DE" w:rsidP="001958BD">
            <w:pPr>
              <w:rPr>
                <w:sz w:val="20"/>
                <w:szCs w:val="20"/>
              </w:rPr>
            </w:pPr>
          </w:p>
        </w:tc>
      </w:tr>
      <w:tr w:rsidR="005F35DE" w:rsidRPr="00F82840" w14:paraId="17045FE5" w14:textId="77777777" w:rsidTr="54F71CB4">
        <w:trPr>
          <w:gridAfter w:val="5"/>
          <w:wAfter w:w="5906" w:type="dxa"/>
        </w:trPr>
        <w:tc>
          <w:tcPr>
            <w:tcW w:w="2835" w:type="dxa"/>
          </w:tcPr>
          <w:p w14:paraId="2580E47B" w14:textId="77777777" w:rsidR="005F35DE" w:rsidRDefault="005F35DE" w:rsidP="001958BD">
            <w:pPr>
              <w:rPr>
                <w:sz w:val="20"/>
                <w:szCs w:val="20"/>
              </w:rPr>
            </w:pPr>
          </w:p>
          <w:p w14:paraId="26B208B2" w14:textId="77777777" w:rsidR="005F35DE" w:rsidRDefault="005F35DE" w:rsidP="001958BD">
            <w:pPr>
              <w:rPr>
                <w:sz w:val="20"/>
                <w:szCs w:val="20"/>
              </w:rPr>
            </w:pPr>
          </w:p>
        </w:tc>
      </w:tr>
    </w:tbl>
    <w:p w14:paraId="5CCA1494" w14:textId="3E7700C7" w:rsidR="005F35DE" w:rsidRPr="005F35DE" w:rsidRDefault="005F35DE" w:rsidP="000F4C06">
      <w:pPr>
        <w:pStyle w:val="ListParagraph"/>
        <w:numPr>
          <w:ilvl w:val="0"/>
          <w:numId w:val="47"/>
        </w:numPr>
        <w:ind w:hanging="578"/>
        <w:rPr>
          <w:b/>
        </w:rPr>
      </w:pPr>
      <w:r>
        <w:rPr>
          <w:b/>
        </w:rPr>
        <w:t>Leases</w:t>
      </w:r>
      <w:r>
        <w:rPr>
          <w:bCs/>
        </w:rPr>
        <w:t xml:space="preserve"> </w:t>
      </w:r>
      <w:r w:rsidRPr="005F35DE">
        <w:rPr>
          <w:b/>
        </w:rPr>
        <w:t>(cont.)</w:t>
      </w:r>
    </w:p>
    <w:p w14:paraId="0B8391D8" w14:textId="77777777" w:rsidR="00BF7ED8" w:rsidRPr="005F35DE" w:rsidRDefault="00BF7ED8">
      <w:pPr>
        <w:rPr>
          <w:b/>
          <w:bCs/>
        </w:rPr>
      </w:pPr>
    </w:p>
    <w:tbl>
      <w:tblPr>
        <w:tblW w:w="8506" w:type="dxa"/>
        <w:tblLayout w:type="fixed"/>
        <w:tblLook w:val="01E0" w:firstRow="1" w:lastRow="1" w:firstColumn="1" w:lastColumn="1" w:noHBand="0" w:noVBand="0"/>
      </w:tblPr>
      <w:tblGrid>
        <w:gridCol w:w="2871"/>
        <w:gridCol w:w="1758"/>
        <w:gridCol w:w="1546"/>
        <w:gridCol w:w="2331"/>
      </w:tblGrid>
      <w:tr w:rsidR="00097903" w:rsidRPr="00F267CA" w14:paraId="7B553912" w14:textId="77777777" w:rsidTr="54F71CB4">
        <w:tc>
          <w:tcPr>
            <w:tcW w:w="2871" w:type="dxa"/>
          </w:tcPr>
          <w:p w14:paraId="4208F3D4" w14:textId="5A6BC464" w:rsidR="00097903" w:rsidRPr="00D35926" w:rsidRDefault="00097903" w:rsidP="0055153F">
            <w:pPr>
              <w:rPr>
                <w:b/>
                <w:sz w:val="22"/>
                <w:szCs w:val="22"/>
              </w:rPr>
            </w:pPr>
            <w:r>
              <w:rPr>
                <w:b/>
                <w:sz w:val="22"/>
                <w:szCs w:val="22"/>
              </w:rPr>
              <w:t>202</w:t>
            </w:r>
            <w:r w:rsidR="005F35DE">
              <w:rPr>
                <w:b/>
                <w:sz w:val="22"/>
                <w:szCs w:val="22"/>
              </w:rPr>
              <w:t>3</w:t>
            </w:r>
            <w:r>
              <w:rPr>
                <w:b/>
                <w:sz w:val="22"/>
                <w:szCs w:val="22"/>
              </w:rPr>
              <w:t>-2</w:t>
            </w:r>
            <w:r w:rsidR="005F35DE">
              <w:rPr>
                <w:b/>
                <w:sz w:val="22"/>
                <w:szCs w:val="22"/>
              </w:rPr>
              <w:t>4</w:t>
            </w:r>
          </w:p>
        </w:tc>
        <w:tc>
          <w:tcPr>
            <w:tcW w:w="1758" w:type="dxa"/>
          </w:tcPr>
          <w:p w14:paraId="6C7EF49D" w14:textId="77777777" w:rsidR="00097903" w:rsidRPr="00F267CA" w:rsidRDefault="00097903" w:rsidP="0055153F">
            <w:pPr>
              <w:ind w:right="-171"/>
              <w:jc w:val="center"/>
              <w:rPr>
                <w:rFonts w:cs="Arial"/>
                <w:b/>
                <w:sz w:val="16"/>
                <w:szCs w:val="16"/>
              </w:rPr>
            </w:pPr>
            <w:r w:rsidRPr="00F267CA">
              <w:rPr>
                <w:rFonts w:cs="Arial"/>
                <w:b/>
                <w:sz w:val="16"/>
                <w:szCs w:val="16"/>
              </w:rPr>
              <w:t>Leasehold Improvements</w:t>
            </w:r>
          </w:p>
        </w:tc>
        <w:tc>
          <w:tcPr>
            <w:tcW w:w="1546" w:type="dxa"/>
          </w:tcPr>
          <w:p w14:paraId="5D7B1AC0" w14:textId="77777777" w:rsidR="00097903" w:rsidRPr="00F267CA" w:rsidRDefault="00097903" w:rsidP="0055153F">
            <w:pPr>
              <w:jc w:val="center"/>
              <w:rPr>
                <w:b/>
                <w:sz w:val="16"/>
                <w:szCs w:val="16"/>
              </w:rPr>
            </w:pPr>
            <w:r w:rsidRPr="00F267CA">
              <w:rPr>
                <w:b/>
                <w:sz w:val="16"/>
                <w:szCs w:val="16"/>
              </w:rPr>
              <w:t>Furniture &amp; fittings</w:t>
            </w:r>
          </w:p>
        </w:tc>
        <w:tc>
          <w:tcPr>
            <w:tcW w:w="2331" w:type="dxa"/>
          </w:tcPr>
          <w:p w14:paraId="56BE315C" w14:textId="77777777" w:rsidR="00097903" w:rsidRPr="00F267CA" w:rsidRDefault="00097903" w:rsidP="0055153F">
            <w:pPr>
              <w:jc w:val="center"/>
              <w:rPr>
                <w:b/>
                <w:sz w:val="16"/>
                <w:szCs w:val="16"/>
              </w:rPr>
            </w:pPr>
            <w:r w:rsidRPr="00F267CA">
              <w:rPr>
                <w:b/>
                <w:sz w:val="16"/>
                <w:szCs w:val="16"/>
              </w:rPr>
              <w:t>Total</w:t>
            </w:r>
          </w:p>
          <w:p w14:paraId="597868B1" w14:textId="77777777" w:rsidR="00097903" w:rsidRPr="00F267CA" w:rsidRDefault="00097903" w:rsidP="0055153F">
            <w:pPr>
              <w:jc w:val="center"/>
              <w:rPr>
                <w:b/>
                <w:sz w:val="16"/>
                <w:szCs w:val="16"/>
              </w:rPr>
            </w:pPr>
          </w:p>
        </w:tc>
      </w:tr>
      <w:tr w:rsidR="00097903" w:rsidRPr="00863EC6" w14:paraId="6B6B9F43" w14:textId="77777777" w:rsidTr="54F71CB4">
        <w:tc>
          <w:tcPr>
            <w:tcW w:w="2871" w:type="dxa"/>
          </w:tcPr>
          <w:p w14:paraId="0F7B6187" w14:textId="2B88B43D" w:rsidR="00097903" w:rsidRPr="00863EC6" w:rsidRDefault="00097903" w:rsidP="0055153F">
            <w:pPr>
              <w:rPr>
                <w:b/>
                <w:sz w:val="20"/>
                <w:szCs w:val="20"/>
              </w:rPr>
            </w:pPr>
            <w:r>
              <w:rPr>
                <w:b/>
                <w:sz w:val="20"/>
                <w:szCs w:val="20"/>
              </w:rPr>
              <w:t>Lease Liabilities</w:t>
            </w:r>
            <w:r w:rsidRPr="00863EC6">
              <w:rPr>
                <w:b/>
                <w:sz w:val="20"/>
                <w:szCs w:val="20"/>
              </w:rPr>
              <w:t xml:space="preserve"> </w:t>
            </w:r>
          </w:p>
        </w:tc>
        <w:tc>
          <w:tcPr>
            <w:tcW w:w="1758" w:type="dxa"/>
          </w:tcPr>
          <w:p w14:paraId="0B59206F" w14:textId="77777777" w:rsidR="00097903" w:rsidRPr="00863EC6" w:rsidRDefault="00097903" w:rsidP="0055153F">
            <w:pPr>
              <w:jc w:val="center"/>
              <w:rPr>
                <w:b/>
                <w:sz w:val="20"/>
                <w:szCs w:val="20"/>
              </w:rPr>
            </w:pPr>
            <w:r w:rsidRPr="00863EC6">
              <w:rPr>
                <w:b/>
                <w:sz w:val="20"/>
                <w:szCs w:val="20"/>
              </w:rPr>
              <w:t>£</w:t>
            </w:r>
          </w:p>
        </w:tc>
        <w:tc>
          <w:tcPr>
            <w:tcW w:w="1546" w:type="dxa"/>
          </w:tcPr>
          <w:p w14:paraId="753DF220" w14:textId="77777777" w:rsidR="00097903" w:rsidRPr="00863EC6" w:rsidRDefault="00097903" w:rsidP="0055153F">
            <w:pPr>
              <w:jc w:val="center"/>
              <w:rPr>
                <w:b/>
                <w:sz w:val="20"/>
                <w:szCs w:val="20"/>
              </w:rPr>
            </w:pPr>
            <w:r w:rsidRPr="00863EC6">
              <w:rPr>
                <w:b/>
                <w:sz w:val="20"/>
                <w:szCs w:val="20"/>
              </w:rPr>
              <w:t>£</w:t>
            </w:r>
          </w:p>
        </w:tc>
        <w:tc>
          <w:tcPr>
            <w:tcW w:w="2331" w:type="dxa"/>
          </w:tcPr>
          <w:p w14:paraId="647EB17B" w14:textId="77777777" w:rsidR="00097903" w:rsidRPr="00863EC6" w:rsidRDefault="00097903" w:rsidP="0055153F">
            <w:pPr>
              <w:jc w:val="center"/>
              <w:rPr>
                <w:b/>
                <w:sz w:val="20"/>
                <w:szCs w:val="20"/>
              </w:rPr>
            </w:pPr>
            <w:r w:rsidRPr="00863EC6">
              <w:rPr>
                <w:b/>
                <w:sz w:val="20"/>
                <w:szCs w:val="20"/>
              </w:rPr>
              <w:t>£</w:t>
            </w:r>
          </w:p>
        </w:tc>
      </w:tr>
      <w:tr w:rsidR="00097903" w:rsidRPr="00863EC6" w14:paraId="3CC5C3E6" w14:textId="77777777" w:rsidTr="54F71CB4">
        <w:tc>
          <w:tcPr>
            <w:tcW w:w="2871" w:type="dxa"/>
          </w:tcPr>
          <w:p w14:paraId="1AC9B68B" w14:textId="63867FC9" w:rsidR="00097903" w:rsidRPr="00863EC6" w:rsidRDefault="00097903" w:rsidP="0055153F">
            <w:pPr>
              <w:rPr>
                <w:sz w:val="20"/>
                <w:szCs w:val="20"/>
              </w:rPr>
            </w:pPr>
            <w:proofErr w:type="gramStart"/>
            <w:r w:rsidRPr="00863EC6">
              <w:rPr>
                <w:sz w:val="20"/>
                <w:szCs w:val="20"/>
              </w:rPr>
              <w:t>At</w:t>
            </w:r>
            <w:proofErr w:type="gramEnd"/>
            <w:r w:rsidRPr="00863EC6">
              <w:rPr>
                <w:sz w:val="20"/>
                <w:szCs w:val="20"/>
              </w:rPr>
              <w:t xml:space="preserve"> 1 April 20</w:t>
            </w:r>
            <w:r>
              <w:rPr>
                <w:sz w:val="20"/>
                <w:szCs w:val="20"/>
              </w:rPr>
              <w:t>2</w:t>
            </w:r>
            <w:r w:rsidR="005F35DE">
              <w:rPr>
                <w:sz w:val="20"/>
                <w:szCs w:val="20"/>
              </w:rPr>
              <w:t>3</w:t>
            </w:r>
          </w:p>
        </w:tc>
        <w:tc>
          <w:tcPr>
            <w:tcW w:w="1758" w:type="dxa"/>
          </w:tcPr>
          <w:p w14:paraId="476CA6DF" w14:textId="49BE61F0" w:rsidR="00097903" w:rsidRPr="00863EC6" w:rsidRDefault="005F35DE" w:rsidP="0055153F">
            <w:pPr>
              <w:jc w:val="center"/>
              <w:rPr>
                <w:sz w:val="20"/>
                <w:szCs w:val="20"/>
              </w:rPr>
            </w:pPr>
            <w:r>
              <w:rPr>
                <w:sz w:val="20"/>
                <w:szCs w:val="20"/>
              </w:rPr>
              <w:t>(521,832)</w:t>
            </w:r>
          </w:p>
        </w:tc>
        <w:tc>
          <w:tcPr>
            <w:tcW w:w="1546" w:type="dxa"/>
          </w:tcPr>
          <w:p w14:paraId="2E4A9194" w14:textId="061F1371" w:rsidR="00097903" w:rsidRPr="00863EC6" w:rsidRDefault="004B308B" w:rsidP="0055153F">
            <w:pPr>
              <w:jc w:val="center"/>
              <w:rPr>
                <w:sz w:val="20"/>
                <w:szCs w:val="20"/>
              </w:rPr>
            </w:pPr>
            <w:r>
              <w:rPr>
                <w:sz w:val="20"/>
                <w:szCs w:val="20"/>
              </w:rPr>
              <w:t>(1,861)</w:t>
            </w:r>
          </w:p>
        </w:tc>
        <w:tc>
          <w:tcPr>
            <w:tcW w:w="2331" w:type="dxa"/>
          </w:tcPr>
          <w:p w14:paraId="7DBFA910" w14:textId="027E8A15" w:rsidR="00097903" w:rsidRPr="00863EC6" w:rsidRDefault="1DEED4A0" w:rsidP="0055153F">
            <w:pPr>
              <w:jc w:val="center"/>
              <w:rPr>
                <w:sz w:val="20"/>
                <w:szCs w:val="20"/>
              </w:rPr>
            </w:pPr>
            <w:r w:rsidRPr="54F71CB4">
              <w:rPr>
                <w:sz w:val="20"/>
                <w:szCs w:val="20"/>
              </w:rPr>
              <w:t>(523</w:t>
            </w:r>
            <w:r w:rsidR="3547B437" w:rsidRPr="54F71CB4">
              <w:rPr>
                <w:sz w:val="20"/>
                <w:szCs w:val="20"/>
              </w:rPr>
              <w:t>,693)</w:t>
            </w:r>
          </w:p>
        </w:tc>
      </w:tr>
      <w:tr w:rsidR="00097903" w:rsidRPr="00863EC6" w14:paraId="0455039A" w14:textId="77777777" w:rsidTr="54F71CB4">
        <w:tc>
          <w:tcPr>
            <w:tcW w:w="2871" w:type="dxa"/>
          </w:tcPr>
          <w:p w14:paraId="09F9166A" w14:textId="77777777" w:rsidR="00097903" w:rsidRPr="00863EC6" w:rsidRDefault="00097903" w:rsidP="0055153F">
            <w:pPr>
              <w:rPr>
                <w:sz w:val="20"/>
                <w:szCs w:val="20"/>
              </w:rPr>
            </w:pPr>
            <w:r w:rsidRPr="00863EC6">
              <w:rPr>
                <w:sz w:val="20"/>
                <w:szCs w:val="20"/>
              </w:rPr>
              <w:t>Additions</w:t>
            </w:r>
          </w:p>
        </w:tc>
        <w:tc>
          <w:tcPr>
            <w:tcW w:w="1758" w:type="dxa"/>
          </w:tcPr>
          <w:p w14:paraId="33DD9B67" w14:textId="0B14990A" w:rsidR="00097903" w:rsidRPr="00863EC6" w:rsidRDefault="005F35DE" w:rsidP="0055153F">
            <w:pPr>
              <w:jc w:val="center"/>
              <w:rPr>
                <w:sz w:val="20"/>
                <w:szCs w:val="20"/>
              </w:rPr>
            </w:pPr>
            <w:r>
              <w:rPr>
                <w:sz w:val="20"/>
                <w:szCs w:val="20"/>
              </w:rPr>
              <w:t>0</w:t>
            </w:r>
          </w:p>
        </w:tc>
        <w:tc>
          <w:tcPr>
            <w:tcW w:w="1546" w:type="dxa"/>
          </w:tcPr>
          <w:p w14:paraId="579F8F6A" w14:textId="5A883229" w:rsidR="00097903" w:rsidRPr="00863EC6" w:rsidRDefault="004B308B" w:rsidP="00097903">
            <w:pPr>
              <w:jc w:val="center"/>
              <w:rPr>
                <w:sz w:val="20"/>
                <w:szCs w:val="20"/>
              </w:rPr>
            </w:pPr>
            <w:r>
              <w:rPr>
                <w:sz w:val="20"/>
                <w:szCs w:val="20"/>
              </w:rPr>
              <w:t>0</w:t>
            </w:r>
          </w:p>
        </w:tc>
        <w:tc>
          <w:tcPr>
            <w:tcW w:w="2331" w:type="dxa"/>
          </w:tcPr>
          <w:p w14:paraId="1F4DBCE9" w14:textId="3F966AF9" w:rsidR="00097903" w:rsidRPr="00863EC6" w:rsidRDefault="00097903" w:rsidP="0055153F">
            <w:pPr>
              <w:jc w:val="center"/>
              <w:rPr>
                <w:sz w:val="20"/>
                <w:szCs w:val="20"/>
              </w:rPr>
            </w:pPr>
          </w:p>
        </w:tc>
      </w:tr>
      <w:tr w:rsidR="00097903" w:rsidRPr="00863EC6" w14:paraId="174EBC3A" w14:textId="77777777" w:rsidTr="54F71CB4">
        <w:tc>
          <w:tcPr>
            <w:tcW w:w="2871" w:type="dxa"/>
          </w:tcPr>
          <w:p w14:paraId="7D66C161" w14:textId="245E1C0E" w:rsidR="00097903" w:rsidRPr="00863EC6" w:rsidRDefault="00097903" w:rsidP="0055153F">
            <w:pPr>
              <w:rPr>
                <w:sz w:val="20"/>
                <w:szCs w:val="20"/>
              </w:rPr>
            </w:pPr>
            <w:r>
              <w:rPr>
                <w:sz w:val="20"/>
                <w:szCs w:val="20"/>
              </w:rPr>
              <w:t>Interest on lease liabilities @ 1.27%</w:t>
            </w:r>
          </w:p>
        </w:tc>
        <w:tc>
          <w:tcPr>
            <w:tcW w:w="1758" w:type="dxa"/>
          </w:tcPr>
          <w:p w14:paraId="3487F4B3" w14:textId="66DCEFA9" w:rsidR="00097903" w:rsidRDefault="00097903" w:rsidP="0055153F">
            <w:pPr>
              <w:jc w:val="center"/>
              <w:rPr>
                <w:sz w:val="20"/>
                <w:szCs w:val="20"/>
              </w:rPr>
            </w:pPr>
            <w:r>
              <w:rPr>
                <w:sz w:val="20"/>
                <w:szCs w:val="20"/>
              </w:rPr>
              <w:t>(</w:t>
            </w:r>
            <w:r w:rsidR="004B308B">
              <w:rPr>
                <w:sz w:val="20"/>
                <w:szCs w:val="20"/>
              </w:rPr>
              <w:t>6</w:t>
            </w:r>
            <w:r w:rsidR="008D01FB">
              <w:rPr>
                <w:sz w:val="20"/>
                <w:szCs w:val="20"/>
              </w:rPr>
              <w:t>,</w:t>
            </w:r>
            <w:r w:rsidR="004B308B">
              <w:rPr>
                <w:sz w:val="20"/>
                <w:szCs w:val="20"/>
              </w:rPr>
              <w:t>627</w:t>
            </w:r>
            <w:r>
              <w:rPr>
                <w:sz w:val="20"/>
                <w:szCs w:val="20"/>
              </w:rPr>
              <w:t>)</w:t>
            </w:r>
          </w:p>
          <w:p w14:paraId="6A159428" w14:textId="15E28AC5" w:rsidR="00097903" w:rsidRDefault="00097903" w:rsidP="0055153F">
            <w:pPr>
              <w:jc w:val="center"/>
              <w:rPr>
                <w:sz w:val="20"/>
                <w:szCs w:val="20"/>
              </w:rPr>
            </w:pPr>
          </w:p>
        </w:tc>
        <w:tc>
          <w:tcPr>
            <w:tcW w:w="1546" w:type="dxa"/>
          </w:tcPr>
          <w:p w14:paraId="58E1AE5A" w14:textId="01302004" w:rsidR="00097903" w:rsidRDefault="00097903" w:rsidP="0055153F">
            <w:pPr>
              <w:jc w:val="center"/>
              <w:rPr>
                <w:sz w:val="20"/>
                <w:szCs w:val="20"/>
              </w:rPr>
            </w:pPr>
            <w:r>
              <w:rPr>
                <w:sz w:val="20"/>
                <w:szCs w:val="20"/>
              </w:rPr>
              <w:t>(</w:t>
            </w:r>
            <w:r w:rsidR="004B308B">
              <w:rPr>
                <w:sz w:val="20"/>
                <w:szCs w:val="20"/>
              </w:rPr>
              <w:t>24</w:t>
            </w:r>
            <w:r>
              <w:rPr>
                <w:sz w:val="20"/>
                <w:szCs w:val="20"/>
              </w:rPr>
              <w:t>)</w:t>
            </w:r>
          </w:p>
        </w:tc>
        <w:tc>
          <w:tcPr>
            <w:tcW w:w="2331" w:type="dxa"/>
          </w:tcPr>
          <w:p w14:paraId="64EA9B25" w14:textId="1DE228EB" w:rsidR="00097903" w:rsidRDefault="005C373A" w:rsidP="0055153F">
            <w:pPr>
              <w:jc w:val="center"/>
              <w:rPr>
                <w:sz w:val="20"/>
                <w:szCs w:val="20"/>
              </w:rPr>
            </w:pPr>
            <w:r w:rsidRPr="54F71CB4">
              <w:rPr>
                <w:sz w:val="20"/>
                <w:szCs w:val="20"/>
              </w:rPr>
              <w:t>(6,651)</w:t>
            </w:r>
          </w:p>
        </w:tc>
      </w:tr>
      <w:tr w:rsidR="00097903" w:rsidRPr="00863EC6" w14:paraId="30554455" w14:textId="77777777" w:rsidTr="54F71CB4">
        <w:tc>
          <w:tcPr>
            <w:tcW w:w="2871" w:type="dxa"/>
          </w:tcPr>
          <w:p w14:paraId="7E339509" w14:textId="0FCCFE59" w:rsidR="00097903" w:rsidRPr="00863EC6" w:rsidRDefault="00097903" w:rsidP="0055153F">
            <w:pPr>
              <w:rPr>
                <w:sz w:val="20"/>
                <w:szCs w:val="20"/>
              </w:rPr>
            </w:pPr>
            <w:r>
              <w:rPr>
                <w:sz w:val="20"/>
                <w:szCs w:val="20"/>
              </w:rPr>
              <w:t>Cash Payment</w:t>
            </w:r>
          </w:p>
        </w:tc>
        <w:tc>
          <w:tcPr>
            <w:tcW w:w="1758" w:type="dxa"/>
          </w:tcPr>
          <w:p w14:paraId="1BE97F0C" w14:textId="10A32710" w:rsidR="00097903" w:rsidRDefault="008D01FB" w:rsidP="0055153F">
            <w:pPr>
              <w:jc w:val="center"/>
              <w:rPr>
                <w:sz w:val="20"/>
                <w:szCs w:val="20"/>
              </w:rPr>
            </w:pPr>
            <w:r>
              <w:rPr>
                <w:sz w:val="20"/>
                <w:szCs w:val="20"/>
              </w:rPr>
              <w:t>78,768</w:t>
            </w:r>
          </w:p>
        </w:tc>
        <w:tc>
          <w:tcPr>
            <w:tcW w:w="1546" w:type="dxa"/>
          </w:tcPr>
          <w:p w14:paraId="67BB9DBD" w14:textId="0C806EBD" w:rsidR="00097903" w:rsidRDefault="008D01FB" w:rsidP="0055153F">
            <w:pPr>
              <w:jc w:val="center"/>
              <w:rPr>
                <w:sz w:val="20"/>
                <w:szCs w:val="20"/>
              </w:rPr>
            </w:pPr>
            <w:r>
              <w:rPr>
                <w:sz w:val="20"/>
                <w:szCs w:val="20"/>
              </w:rPr>
              <w:t>990</w:t>
            </w:r>
          </w:p>
        </w:tc>
        <w:tc>
          <w:tcPr>
            <w:tcW w:w="2331" w:type="dxa"/>
          </w:tcPr>
          <w:p w14:paraId="239F4636" w14:textId="2D3E19BC" w:rsidR="00097903" w:rsidRDefault="00CC54C1" w:rsidP="0055153F">
            <w:pPr>
              <w:jc w:val="center"/>
              <w:rPr>
                <w:sz w:val="20"/>
                <w:szCs w:val="20"/>
              </w:rPr>
            </w:pPr>
            <w:r>
              <w:rPr>
                <w:sz w:val="20"/>
                <w:szCs w:val="20"/>
              </w:rPr>
              <w:t>79,758</w:t>
            </w:r>
          </w:p>
        </w:tc>
      </w:tr>
      <w:tr w:rsidR="00097903" w:rsidRPr="00863EC6" w14:paraId="63CA53E4" w14:textId="77777777" w:rsidTr="54F71CB4">
        <w:tc>
          <w:tcPr>
            <w:tcW w:w="2871" w:type="dxa"/>
          </w:tcPr>
          <w:p w14:paraId="4C77CCF6" w14:textId="10C4E13F" w:rsidR="00097903" w:rsidRPr="00863EC6" w:rsidRDefault="00097903" w:rsidP="0055153F">
            <w:pPr>
              <w:rPr>
                <w:sz w:val="20"/>
                <w:szCs w:val="20"/>
              </w:rPr>
            </w:pPr>
            <w:proofErr w:type="gramStart"/>
            <w:r w:rsidRPr="00863EC6">
              <w:rPr>
                <w:sz w:val="20"/>
                <w:szCs w:val="20"/>
              </w:rPr>
              <w:t>At</w:t>
            </w:r>
            <w:proofErr w:type="gramEnd"/>
            <w:r w:rsidRPr="00863EC6">
              <w:rPr>
                <w:sz w:val="20"/>
                <w:szCs w:val="20"/>
              </w:rPr>
              <w:t xml:space="preserve"> </w:t>
            </w:r>
            <w:r>
              <w:rPr>
                <w:sz w:val="20"/>
                <w:szCs w:val="20"/>
              </w:rPr>
              <w:t>31 March 202</w:t>
            </w:r>
            <w:r w:rsidR="005F35DE">
              <w:rPr>
                <w:sz w:val="20"/>
                <w:szCs w:val="20"/>
              </w:rPr>
              <w:t>4</w:t>
            </w:r>
          </w:p>
        </w:tc>
        <w:tc>
          <w:tcPr>
            <w:tcW w:w="1758" w:type="dxa"/>
            <w:tcBorders>
              <w:top w:val="single" w:sz="4" w:space="0" w:color="auto"/>
              <w:bottom w:val="single" w:sz="4" w:space="0" w:color="auto"/>
            </w:tcBorders>
          </w:tcPr>
          <w:p w14:paraId="2AFEE50A" w14:textId="5CEA97B3" w:rsidR="00097903" w:rsidRPr="00863EC6" w:rsidRDefault="00097903" w:rsidP="0055153F">
            <w:pPr>
              <w:jc w:val="center"/>
              <w:rPr>
                <w:sz w:val="20"/>
                <w:szCs w:val="20"/>
              </w:rPr>
            </w:pPr>
            <w:r>
              <w:rPr>
                <w:sz w:val="20"/>
                <w:szCs w:val="20"/>
              </w:rPr>
              <w:t>(</w:t>
            </w:r>
            <w:r w:rsidR="004B308B">
              <w:rPr>
                <w:sz w:val="20"/>
                <w:szCs w:val="20"/>
              </w:rPr>
              <w:t>449</w:t>
            </w:r>
            <w:r w:rsidR="008D01FB">
              <w:rPr>
                <w:sz w:val="20"/>
                <w:szCs w:val="20"/>
              </w:rPr>
              <w:t>,</w:t>
            </w:r>
            <w:r w:rsidR="004B308B">
              <w:rPr>
                <w:sz w:val="20"/>
                <w:szCs w:val="20"/>
              </w:rPr>
              <w:t>691</w:t>
            </w:r>
            <w:r>
              <w:rPr>
                <w:sz w:val="20"/>
                <w:szCs w:val="20"/>
              </w:rPr>
              <w:t>)</w:t>
            </w:r>
          </w:p>
        </w:tc>
        <w:tc>
          <w:tcPr>
            <w:tcW w:w="1546" w:type="dxa"/>
            <w:tcBorders>
              <w:top w:val="single" w:sz="4" w:space="0" w:color="auto"/>
              <w:bottom w:val="single" w:sz="4" w:space="0" w:color="auto"/>
            </w:tcBorders>
          </w:tcPr>
          <w:p w14:paraId="0FA58B26" w14:textId="0F2F1EF2" w:rsidR="00097903" w:rsidRPr="00863EC6" w:rsidRDefault="00097903" w:rsidP="0055153F">
            <w:pPr>
              <w:jc w:val="center"/>
              <w:rPr>
                <w:sz w:val="20"/>
                <w:szCs w:val="20"/>
              </w:rPr>
            </w:pPr>
            <w:r>
              <w:rPr>
                <w:sz w:val="20"/>
                <w:szCs w:val="20"/>
              </w:rPr>
              <w:t>(</w:t>
            </w:r>
            <w:r w:rsidR="004B308B">
              <w:rPr>
                <w:sz w:val="20"/>
                <w:szCs w:val="20"/>
              </w:rPr>
              <w:t>895</w:t>
            </w:r>
            <w:r>
              <w:rPr>
                <w:sz w:val="20"/>
                <w:szCs w:val="20"/>
              </w:rPr>
              <w:t>)</w:t>
            </w:r>
          </w:p>
        </w:tc>
        <w:tc>
          <w:tcPr>
            <w:tcW w:w="2331" w:type="dxa"/>
            <w:tcBorders>
              <w:top w:val="single" w:sz="4" w:space="0" w:color="auto"/>
              <w:bottom w:val="single" w:sz="4" w:space="0" w:color="auto"/>
            </w:tcBorders>
          </w:tcPr>
          <w:p w14:paraId="5CD7F477" w14:textId="387300B5" w:rsidR="00097903" w:rsidRPr="00863EC6" w:rsidRDefault="00775CA7" w:rsidP="0055153F">
            <w:pPr>
              <w:jc w:val="center"/>
              <w:rPr>
                <w:sz w:val="20"/>
                <w:szCs w:val="20"/>
              </w:rPr>
            </w:pPr>
            <w:r w:rsidRPr="54F71CB4">
              <w:rPr>
                <w:sz w:val="20"/>
                <w:szCs w:val="20"/>
              </w:rPr>
              <w:t>(</w:t>
            </w:r>
            <w:r w:rsidR="00A83734" w:rsidRPr="54F71CB4">
              <w:rPr>
                <w:sz w:val="20"/>
                <w:szCs w:val="20"/>
              </w:rPr>
              <w:t>450,586</w:t>
            </w:r>
            <w:r w:rsidRPr="54F71CB4">
              <w:rPr>
                <w:sz w:val="20"/>
                <w:szCs w:val="20"/>
              </w:rPr>
              <w:t>)</w:t>
            </w:r>
          </w:p>
        </w:tc>
      </w:tr>
      <w:tr w:rsidR="004520CE" w:rsidRPr="00F82840" w14:paraId="18D79ABB" w14:textId="77777777" w:rsidTr="54F71CB4">
        <w:tc>
          <w:tcPr>
            <w:tcW w:w="8506" w:type="dxa"/>
            <w:gridSpan w:val="4"/>
          </w:tcPr>
          <w:p w14:paraId="2D2A130F" w14:textId="77777777" w:rsidR="004520CE" w:rsidRDefault="004520CE" w:rsidP="004520CE">
            <w:pPr>
              <w:rPr>
                <w:b/>
                <w:bCs/>
                <w:sz w:val="20"/>
                <w:szCs w:val="20"/>
              </w:rPr>
            </w:pPr>
          </w:p>
          <w:p w14:paraId="36313554" w14:textId="3222A4DF" w:rsidR="004520CE" w:rsidRPr="00F7114B" w:rsidRDefault="004520CE" w:rsidP="004520CE">
            <w:pPr>
              <w:rPr>
                <w:b/>
                <w:bCs/>
                <w:sz w:val="20"/>
                <w:szCs w:val="20"/>
              </w:rPr>
            </w:pPr>
            <w:r w:rsidRPr="004520CE">
              <w:rPr>
                <w:b/>
                <w:bCs/>
                <w:sz w:val="20"/>
                <w:szCs w:val="20"/>
              </w:rPr>
              <w:t>Total future lease payments under leases are given in the table below for each of the following periods:</w:t>
            </w:r>
          </w:p>
        </w:tc>
      </w:tr>
      <w:tr w:rsidR="00097903" w14:paraId="7B620B2C" w14:textId="77777777" w:rsidTr="54F71CB4">
        <w:tc>
          <w:tcPr>
            <w:tcW w:w="2871" w:type="dxa"/>
          </w:tcPr>
          <w:p w14:paraId="2257A8CA" w14:textId="77777777" w:rsidR="00097903" w:rsidRPr="00F82840" w:rsidRDefault="00097903" w:rsidP="0055153F">
            <w:pPr>
              <w:rPr>
                <w:sz w:val="20"/>
                <w:szCs w:val="20"/>
              </w:rPr>
            </w:pPr>
            <w:r>
              <w:rPr>
                <w:sz w:val="20"/>
                <w:szCs w:val="20"/>
              </w:rPr>
              <w:t>No later than one year</w:t>
            </w:r>
          </w:p>
        </w:tc>
        <w:tc>
          <w:tcPr>
            <w:tcW w:w="1758" w:type="dxa"/>
            <w:tcBorders>
              <w:top w:val="single" w:sz="4" w:space="0" w:color="auto"/>
              <w:bottom w:val="single" w:sz="4" w:space="0" w:color="auto"/>
            </w:tcBorders>
          </w:tcPr>
          <w:p w14:paraId="17F31158" w14:textId="77777777" w:rsidR="00097903" w:rsidRDefault="00097903" w:rsidP="0055153F">
            <w:pPr>
              <w:jc w:val="center"/>
              <w:rPr>
                <w:sz w:val="20"/>
                <w:szCs w:val="20"/>
              </w:rPr>
            </w:pPr>
          </w:p>
          <w:p w14:paraId="62ED2D24" w14:textId="48219B63" w:rsidR="00097903" w:rsidRDefault="004520CE" w:rsidP="0055153F">
            <w:pPr>
              <w:jc w:val="center"/>
              <w:rPr>
                <w:sz w:val="20"/>
                <w:szCs w:val="20"/>
              </w:rPr>
            </w:pPr>
            <w:r>
              <w:rPr>
                <w:sz w:val="20"/>
                <w:szCs w:val="20"/>
              </w:rPr>
              <w:t>(</w:t>
            </w:r>
            <w:r w:rsidR="00CC54C1">
              <w:rPr>
                <w:sz w:val="20"/>
                <w:szCs w:val="20"/>
              </w:rPr>
              <w:t>7</w:t>
            </w:r>
            <w:r w:rsidR="004B308B">
              <w:rPr>
                <w:sz w:val="20"/>
                <w:szCs w:val="20"/>
              </w:rPr>
              <w:t>3</w:t>
            </w:r>
            <w:r w:rsidR="00CC54C1">
              <w:rPr>
                <w:sz w:val="20"/>
                <w:szCs w:val="20"/>
              </w:rPr>
              <w:t>,</w:t>
            </w:r>
            <w:r w:rsidR="004B308B">
              <w:rPr>
                <w:sz w:val="20"/>
                <w:szCs w:val="20"/>
              </w:rPr>
              <w:t>057</w:t>
            </w:r>
            <w:r>
              <w:rPr>
                <w:sz w:val="20"/>
                <w:szCs w:val="20"/>
              </w:rPr>
              <w:t>)</w:t>
            </w:r>
          </w:p>
        </w:tc>
        <w:tc>
          <w:tcPr>
            <w:tcW w:w="1546" w:type="dxa"/>
            <w:tcBorders>
              <w:top w:val="single" w:sz="4" w:space="0" w:color="auto"/>
              <w:bottom w:val="single" w:sz="4" w:space="0" w:color="auto"/>
            </w:tcBorders>
          </w:tcPr>
          <w:p w14:paraId="3FE9A58E" w14:textId="77777777" w:rsidR="00097903" w:rsidRDefault="00097903" w:rsidP="0055153F">
            <w:pPr>
              <w:jc w:val="center"/>
              <w:rPr>
                <w:sz w:val="20"/>
                <w:szCs w:val="20"/>
              </w:rPr>
            </w:pPr>
          </w:p>
          <w:p w14:paraId="01810C82" w14:textId="50F58162" w:rsidR="00097903" w:rsidRDefault="004520CE" w:rsidP="0055153F">
            <w:pPr>
              <w:jc w:val="center"/>
              <w:rPr>
                <w:sz w:val="20"/>
                <w:szCs w:val="20"/>
              </w:rPr>
            </w:pPr>
            <w:r>
              <w:rPr>
                <w:sz w:val="20"/>
                <w:szCs w:val="20"/>
              </w:rPr>
              <w:t>(</w:t>
            </w:r>
            <w:r w:rsidR="004B308B">
              <w:rPr>
                <w:sz w:val="20"/>
                <w:szCs w:val="20"/>
              </w:rPr>
              <w:t>895)</w:t>
            </w:r>
          </w:p>
        </w:tc>
        <w:tc>
          <w:tcPr>
            <w:tcW w:w="2331" w:type="dxa"/>
            <w:tcBorders>
              <w:top w:val="single" w:sz="4" w:space="0" w:color="auto"/>
              <w:bottom w:val="single" w:sz="4" w:space="0" w:color="auto"/>
            </w:tcBorders>
          </w:tcPr>
          <w:p w14:paraId="4EC99B7C" w14:textId="77777777" w:rsidR="00097903" w:rsidRDefault="00097903" w:rsidP="0055153F">
            <w:pPr>
              <w:jc w:val="center"/>
              <w:rPr>
                <w:sz w:val="20"/>
                <w:szCs w:val="20"/>
              </w:rPr>
            </w:pPr>
          </w:p>
          <w:p w14:paraId="275ED019" w14:textId="1F943E51" w:rsidR="00097903" w:rsidRDefault="004520CE" w:rsidP="0055153F">
            <w:pPr>
              <w:jc w:val="center"/>
              <w:rPr>
                <w:sz w:val="20"/>
                <w:szCs w:val="20"/>
              </w:rPr>
            </w:pPr>
            <w:r>
              <w:rPr>
                <w:sz w:val="20"/>
                <w:szCs w:val="20"/>
              </w:rPr>
              <w:t>(</w:t>
            </w:r>
            <w:r w:rsidR="00CC54C1">
              <w:rPr>
                <w:sz w:val="20"/>
                <w:szCs w:val="20"/>
              </w:rPr>
              <w:t>73,</w:t>
            </w:r>
            <w:r w:rsidR="004B308B">
              <w:rPr>
                <w:sz w:val="20"/>
                <w:szCs w:val="20"/>
              </w:rPr>
              <w:t>952</w:t>
            </w:r>
            <w:r>
              <w:rPr>
                <w:sz w:val="20"/>
                <w:szCs w:val="20"/>
              </w:rPr>
              <w:t>)</w:t>
            </w:r>
          </w:p>
        </w:tc>
      </w:tr>
      <w:tr w:rsidR="00097903" w14:paraId="216E92E0" w14:textId="77777777" w:rsidTr="54F71CB4">
        <w:tc>
          <w:tcPr>
            <w:tcW w:w="2871" w:type="dxa"/>
          </w:tcPr>
          <w:p w14:paraId="7B538ABF" w14:textId="77777777" w:rsidR="00097903" w:rsidRPr="00F82840" w:rsidRDefault="00097903" w:rsidP="0055153F">
            <w:pPr>
              <w:rPr>
                <w:sz w:val="20"/>
                <w:szCs w:val="20"/>
              </w:rPr>
            </w:pPr>
            <w:r>
              <w:rPr>
                <w:sz w:val="20"/>
                <w:szCs w:val="20"/>
              </w:rPr>
              <w:t>Later than one year and not later than five years</w:t>
            </w:r>
          </w:p>
        </w:tc>
        <w:tc>
          <w:tcPr>
            <w:tcW w:w="1758" w:type="dxa"/>
            <w:tcBorders>
              <w:top w:val="single" w:sz="4" w:space="0" w:color="auto"/>
              <w:bottom w:val="single" w:sz="4" w:space="0" w:color="auto"/>
            </w:tcBorders>
          </w:tcPr>
          <w:p w14:paraId="4EFEB3A7" w14:textId="77777777" w:rsidR="00097903" w:rsidRDefault="00097903" w:rsidP="0055153F">
            <w:pPr>
              <w:jc w:val="center"/>
              <w:rPr>
                <w:sz w:val="20"/>
                <w:szCs w:val="20"/>
              </w:rPr>
            </w:pPr>
          </w:p>
          <w:p w14:paraId="1C3EE7A9" w14:textId="77777777" w:rsidR="00097903" w:rsidRDefault="00097903" w:rsidP="0055153F">
            <w:pPr>
              <w:jc w:val="center"/>
              <w:rPr>
                <w:sz w:val="20"/>
                <w:szCs w:val="20"/>
              </w:rPr>
            </w:pPr>
          </w:p>
          <w:p w14:paraId="3449F7A4" w14:textId="3656D7CF" w:rsidR="00097903" w:rsidRDefault="004520CE" w:rsidP="0055153F">
            <w:pPr>
              <w:jc w:val="center"/>
              <w:rPr>
                <w:sz w:val="20"/>
                <w:szCs w:val="20"/>
              </w:rPr>
            </w:pPr>
            <w:r>
              <w:rPr>
                <w:sz w:val="20"/>
                <w:szCs w:val="20"/>
              </w:rPr>
              <w:t>(</w:t>
            </w:r>
            <w:r w:rsidR="004B308B">
              <w:rPr>
                <w:sz w:val="20"/>
                <w:szCs w:val="20"/>
              </w:rPr>
              <w:t>301</w:t>
            </w:r>
            <w:r w:rsidR="00CC54C1">
              <w:rPr>
                <w:sz w:val="20"/>
                <w:szCs w:val="20"/>
              </w:rPr>
              <w:t>,</w:t>
            </w:r>
            <w:r w:rsidR="004B308B">
              <w:rPr>
                <w:sz w:val="20"/>
                <w:szCs w:val="20"/>
              </w:rPr>
              <w:t>624</w:t>
            </w:r>
            <w:r>
              <w:rPr>
                <w:sz w:val="20"/>
                <w:szCs w:val="20"/>
              </w:rPr>
              <w:t>)</w:t>
            </w:r>
          </w:p>
        </w:tc>
        <w:tc>
          <w:tcPr>
            <w:tcW w:w="1546" w:type="dxa"/>
            <w:tcBorders>
              <w:top w:val="single" w:sz="4" w:space="0" w:color="auto"/>
              <w:bottom w:val="single" w:sz="4" w:space="0" w:color="auto"/>
            </w:tcBorders>
          </w:tcPr>
          <w:p w14:paraId="14AE1FBA" w14:textId="77777777" w:rsidR="00097903" w:rsidRDefault="00097903" w:rsidP="0055153F">
            <w:pPr>
              <w:jc w:val="center"/>
              <w:rPr>
                <w:sz w:val="20"/>
                <w:szCs w:val="20"/>
              </w:rPr>
            </w:pPr>
          </w:p>
          <w:p w14:paraId="7703F18B" w14:textId="77777777" w:rsidR="00097903" w:rsidRDefault="00097903" w:rsidP="0055153F">
            <w:pPr>
              <w:jc w:val="center"/>
              <w:rPr>
                <w:sz w:val="20"/>
                <w:szCs w:val="20"/>
              </w:rPr>
            </w:pPr>
          </w:p>
          <w:p w14:paraId="6D564C91" w14:textId="3A15504E" w:rsidR="00097903" w:rsidRDefault="004B308B" w:rsidP="0055153F">
            <w:pPr>
              <w:jc w:val="center"/>
              <w:rPr>
                <w:sz w:val="20"/>
                <w:szCs w:val="20"/>
              </w:rPr>
            </w:pPr>
            <w:r>
              <w:rPr>
                <w:sz w:val="20"/>
                <w:szCs w:val="20"/>
              </w:rPr>
              <w:t>0</w:t>
            </w:r>
          </w:p>
        </w:tc>
        <w:tc>
          <w:tcPr>
            <w:tcW w:w="2331" w:type="dxa"/>
            <w:tcBorders>
              <w:top w:val="single" w:sz="4" w:space="0" w:color="auto"/>
              <w:bottom w:val="single" w:sz="4" w:space="0" w:color="auto"/>
            </w:tcBorders>
          </w:tcPr>
          <w:p w14:paraId="22C4463F" w14:textId="77777777" w:rsidR="00097903" w:rsidRDefault="00097903" w:rsidP="0055153F">
            <w:pPr>
              <w:jc w:val="center"/>
              <w:rPr>
                <w:sz w:val="20"/>
                <w:szCs w:val="20"/>
              </w:rPr>
            </w:pPr>
          </w:p>
          <w:p w14:paraId="5EC7A432" w14:textId="77777777" w:rsidR="00097903" w:rsidRDefault="00097903" w:rsidP="0055153F">
            <w:pPr>
              <w:jc w:val="center"/>
              <w:rPr>
                <w:sz w:val="20"/>
                <w:szCs w:val="20"/>
              </w:rPr>
            </w:pPr>
          </w:p>
          <w:p w14:paraId="2BF2ECAE" w14:textId="2BD9E362" w:rsidR="00097903" w:rsidRDefault="004520CE" w:rsidP="0055153F">
            <w:pPr>
              <w:jc w:val="center"/>
              <w:rPr>
                <w:sz w:val="20"/>
                <w:szCs w:val="20"/>
              </w:rPr>
            </w:pPr>
            <w:r>
              <w:rPr>
                <w:sz w:val="20"/>
                <w:szCs w:val="20"/>
              </w:rPr>
              <w:t>(</w:t>
            </w:r>
            <w:r w:rsidR="004B308B">
              <w:rPr>
                <w:sz w:val="20"/>
                <w:szCs w:val="20"/>
              </w:rPr>
              <w:t>301,624</w:t>
            </w:r>
            <w:r>
              <w:rPr>
                <w:sz w:val="20"/>
                <w:szCs w:val="20"/>
              </w:rPr>
              <w:t>)</w:t>
            </w:r>
          </w:p>
        </w:tc>
      </w:tr>
      <w:tr w:rsidR="00097903" w14:paraId="31B12B4E" w14:textId="77777777" w:rsidTr="54F71CB4">
        <w:tc>
          <w:tcPr>
            <w:tcW w:w="2871" w:type="dxa"/>
          </w:tcPr>
          <w:p w14:paraId="2A054FAD" w14:textId="77777777" w:rsidR="00097903" w:rsidRDefault="00097903" w:rsidP="0055153F">
            <w:pPr>
              <w:rPr>
                <w:sz w:val="20"/>
                <w:szCs w:val="20"/>
              </w:rPr>
            </w:pPr>
            <w:r>
              <w:rPr>
                <w:sz w:val="20"/>
                <w:szCs w:val="20"/>
              </w:rPr>
              <w:t>Later than five years</w:t>
            </w:r>
          </w:p>
          <w:p w14:paraId="28CE7172" w14:textId="77777777" w:rsidR="00097903" w:rsidRPr="00F82840" w:rsidRDefault="00097903" w:rsidP="0055153F">
            <w:pPr>
              <w:rPr>
                <w:sz w:val="20"/>
                <w:szCs w:val="20"/>
              </w:rPr>
            </w:pPr>
          </w:p>
        </w:tc>
        <w:tc>
          <w:tcPr>
            <w:tcW w:w="1758" w:type="dxa"/>
            <w:tcBorders>
              <w:top w:val="single" w:sz="4" w:space="0" w:color="auto"/>
              <w:bottom w:val="single" w:sz="4" w:space="0" w:color="auto"/>
            </w:tcBorders>
          </w:tcPr>
          <w:p w14:paraId="12E2F4D7" w14:textId="77777777" w:rsidR="00097903" w:rsidRDefault="00097903" w:rsidP="0055153F">
            <w:pPr>
              <w:jc w:val="center"/>
              <w:rPr>
                <w:sz w:val="20"/>
                <w:szCs w:val="20"/>
              </w:rPr>
            </w:pPr>
          </w:p>
          <w:p w14:paraId="27D78817" w14:textId="0AFA4D59" w:rsidR="00097903" w:rsidRDefault="004520CE" w:rsidP="0055153F">
            <w:pPr>
              <w:jc w:val="center"/>
              <w:rPr>
                <w:sz w:val="20"/>
                <w:szCs w:val="20"/>
              </w:rPr>
            </w:pPr>
            <w:r>
              <w:rPr>
                <w:sz w:val="20"/>
                <w:szCs w:val="20"/>
              </w:rPr>
              <w:t>(</w:t>
            </w:r>
            <w:r w:rsidR="004B308B">
              <w:rPr>
                <w:sz w:val="20"/>
                <w:szCs w:val="20"/>
              </w:rPr>
              <w:t>75</w:t>
            </w:r>
            <w:r w:rsidR="00CC54C1">
              <w:rPr>
                <w:sz w:val="20"/>
                <w:szCs w:val="20"/>
              </w:rPr>
              <w:t>,</w:t>
            </w:r>
            <w:r w:rsidR="004B308B">
              <w:rPr>
                <w:sz w:val="20"/>
                <w:szCs w:val="20"/>
              </w:rPr>
              <w:t>010</w:t>
            </w:r>
            <w:r>
              <w:rPr>
                <w:sz w:val="20"/>
                <w:szCs w:val="20"/>
              </w:rPr>
              <w:t>)</w:t>
            </w:r>
          </w:p>
        </w:tc>
        <w:tc>
          <w:tcPr>
            <w:tcW w:w="1546" w:type="dxa"/>
            <w:tcBorders>
              <w:top w:val="single" w:sz="4" w:space="0" w:color="auto"/>
              <w:bottom w:val="single" w:sz="4" w:space="0" w:color="auto"/>
            </w:tcBorders>
          </w:tcPr>
          <w:p w14:paraId="128CA5BD" w14:textId="77777777" w:rsidR="00097903" w:rsidRDefault="00097903" w:rsidP="0055153F">
            <w:pPr>
              <w:jc w:val="center"/>
              <w:rPr>
                <w:sz w:val="20"/>
                <w:szCs w:val="20"/>
              </w:rPr>
            </w:pPr>
          </w:p>
          <w:p w14:paraId="38BEECCC" w14:textId="77777777" w:rsidR="00097903" w:rsidRDefault="00097903" w:rsidP="0055153F">
            <w:pPr>
              <w:jc w:val="center"/>
              <w:rPr>
                <w:sz w:val="20"/>
                <w:szCs w:val="20"/>
              </w:rPr>
            </w:pPr>
            <w:r>
              <w:rPr>
                <w:sz w:val="20"/>
                <w:szCs w:val="20"/>
              </w:rPr>
              <w:t>0</w:t>
            </w:r>
          </w:p>
        </w:tc>
        <w:tc>
          <w:tcPr>
            <w:tcW w:w="2331" w:type="dxa"/>
            <w:tcBorders>
              <w:top w:val="single" w:sz="4" w:space="0" w:color="auto"/>
              <w:bottom w:val="single" w:sz="4" w:space="0" w:color="auto"/>
            </w:tcBorders>
          </w:tcPr>
          <w:p w14:paraId="0F8F1D3D" w14:textId="77777777" w:rsidR="00097903" w:rsidRDefault="00097903" w:rsidP="0055153F">
            <w:pPr>
              <w:jc w:val="center"/>
              <w:rPr>
                <w:sz w:val="20"/>
                <w:szCs w:val="20"/>
              </w:rPr>
            </w:pPr>
          </w:p>
          <w:p w14:paraId="00615972" w14:textId="5C2A9555" w:rsidR="00097903" w:rsidRDefault="004520CE" w:rsidP="0055153F">
            <w:pPr>
              <w:jc w:val="center"/>
              <w:rPr>
                <w:sz w:val="20"/>
                <w:szCs w:val="20"/>
              </w:rPr>
            </w:pPr>
            <w:r>
              <w:rPr>
                <w:sz w:val="20"/>
                <w:szCs w:val="20"/>
              </w:rPr>
              <w:t>(</w:t>
            </w:r>
            <w:r w:rsidR="004B308B">
              <w:rPr>
                <w:sz w:val="20"/>
                <w:szCs w:val="20"/>
              </w:rPr>
              <w:t>75,010</w:t>
            </w:r>
            <w:r>
              <w:rPr>
                <w:sz w:val="20"/>
                <w:szCs w:val="20"/>
              </w:rPr>
              <w:t>)</w:t>
            </w:r>
          </w:p>
        </w:tc>
      </w:tr>
      <w:tr w:rsidR="004520CE" w:rsidRPr="00F82840" w14:paraId="531C615E" w14:textId="77777777" w:rsidTr="54F71CB4">
        <w:tc>
          <w:tcPr>
            <w:tcW w:w="2871" w:type="dxa"/>
          </w:tcPr>
          <w:p w14:paraId="2527A58C" w14:textId="2C57CF7A" w:rsidR="004520CE" w:rsidRPr="004520CE" w:rsidRDefault="004520CE" w:rsidP="0055153F">
            <w:pPr>
              <w:rPr>
                <w:b/>
                <w:bCs/>
                <w:sz w:val="20"/>
                <w:szCs w:val="20"/>
              </w:rPr>
            </w:pPr>
            <w:r w:rsidRPr="004520CE">
              <w:rPr>
                <w:b/>
                <w:bCs/>
                <w:sz w:val="20"/>
                <w:szCs w:val="20"/>
              </w:rPr>
              <w:t xml:space="preserve">Balance </w:t>
            </w:r>
            <w:proofErr w:type="gramStart"/>
            <w:r w:rsidRPr="004520CE">
              <w:rPr>
                <w:b/>
                <w:bCs/>
                <w:sz w:val="20"/>
                <w:szCs w:val="20"/>
              </w:rPr>
              <w:t>at</w:t>
            </w:r>
            <w:proofErr w:type="gramEnd"/>
            <w:r w:rsidRPr="004520CE">
              <w:rPr>
                <w:b/>
                <w:bCs/>
                <w:sz w:val="20"/>
                <w:szCs w:val="20"/>
              </w:rPr>
              <w:t xml:space="preserve"> 31 March 202</w:t>
            </w:r>
            <w:r w:rsidR="004B308B">
              <w:rPr>
                <w:b/>
                <w:bCs/>
                <w:sz w:val="20"/>
                <w:szCs w:val="20"/>
              </w:rPr>
              <w:t>4</w:t>
            </w:r>
          </w:p>
        </w:tc>
        <w:tc>
          <w:tcPr>
            <w:tcW w:w="1758" w:type="dxa"/>
            <w:tcBorders>
              <w:top w:val="single" w:sz="4" w:space="0" w:color="auto"/>
              <w:bottom w:val="single" w:sz="4" w:space="0" w:color="auto"/>
            </w:tcBorders>
          </w:tcPr>
          <w:p w14:paraId="7D06A0FB" w14:textId="77777777" w:rsidR="004520CE" w:rsidRDefault="004520CE" w:rsidP="004520CE">
            <w:pPr>
              <w:rPr>
                <w:sz w:val="20"/>
                <w:szCs w:val="20"/>
              </w:rPr>
            </w:pPr>
          </w:p>
          <w:p w14:paraId="025AB513" w14:textId="574FF9D9" w:rsidR="004520CE" w:rsidRPr="00F82840" w:rsidRDefault="004520CE" w:rsidP="0055153F">
            <w:pPr>
              <w:jc w:val="center"/>
              <w:rPr>
                <w:sz w:val="20"/>
                <w:szCs w:val="20"/>
              </w:rPr>
            </w:pPr>
            <w:r>
              <w:rPr>
                <w:sz w:val="20"/>
                <w:szCs w:val="20"/>
              </w:rPr>
              <w:t>(</w:t>
            </w:r>
            <w:r w:rsidR="004B308B">
              <w:rPr>
                <w:sz w:val="20"/>
                <w:szCs w:val="20"/>
              </w:rPr>
              <w:t>449</w:t>
            </w:r>
            <w:r w:rsidR="00CC54C1">
              <w:rPr>
                <w:sz w:val="20"/>
                <w:szCs w:val="20"/>
              </w:rPr>
              <w:t>,</w:t>
            </w:r>
            <w:r w:rsidR="004B308B">
              <w:rPr>
                <w:sz w:val="20"/>
                <w:szCs w:val="20"/>
              </w:rPr>
              <w:t>691</w:t>
            </w:r>
            <w:r>
              <w:rPr>
                <w:sz w:val="20"/>
                <w:szCs w:val="20"/>
              </w:rPr>
              <w:t>)</w:t>
            </w:r>
          </w:p>
        </w:tc>
        <w:tc>
          <w:tcPr>
            <w:tcW w:w="1546" w:type="dxa"/>
            <w:tcBorders>
              <w:top w:val="single" w:sz="4" w:space="0" w:color="auto"/>
              <w:bottom w:val="single" w:sz="4" w:space="0" w:color="auto"/>
            </w:tcBorders>
          </w:tcPr>
          <w:p w14:paraId="6CE13EFD" w14:textId="77777777" w:rsidR="004520CE" w:rsidRDefault="004520CE" w:rsidP="0055153F">
            <w:pPr>
              <w:jc w:val="center"/>
              <w:rPr>
                <w:sz w:val="20"/>
                <w:szCs w:val="20"/>
              </w:rPr>
            </w:pPr>
          </w:p>
          <w:p w14:paraId="183A6CBF" w14:textId="425CF61A" w:rsidR="004520CE" w:rsidRPr="00F82840" w:rsidRDefault="004520CE" w:rsidP="0055153F">
            <w:pPr>
              <w:jc w:val="center"/>
              <w:rPr>
                <w:sz w:val="20"/>
                <w:szCs w:val="20"/>
              </w:rPr>
            </w:pPr>
            <w:r>
              <w:rPr>
                <w:sz w:val="20"/>
                <w:szCs w:val="20"/>
              </w:rPr>
              <w:t>(</w:t>
            </w:r>
            <w:r w:rsidR="004B308B">
              <w:rPr>
                <w:sz w:val="20"/>
                <w:szCs w:val="20"/>
              </w:rPr>
              <w:t>895</w:t>
            </w:r>
            <w:r>
              <w:rPr>
                <w:sz w:val="20"/>
                <w:szCs w:val="20"/>
              </w:rPr>
              <w:t>)</w:t>
            </w:r>
          </w:p>
        </w:tc>
        <w:tc>
          <w:tcPr>
            <w:tcW w:w="2331" w:type="dxa"/>
            <w:tcBorders>
              <w:top w:val="single" w:sz="4" w:space="0" w:color="auto"/>
              <w:bottom w:val="single" w:sz="4" w:space="0" w:color="auto"/>
            </w:tcBorders>
          </w:tcPr>
          <w:p w14:paraId="146A971C" w14:textId="77777777" w:rsidR="004520CE" w:rsidRDefault="004520CE" w:rsidP="0055153F">
            <w:pPr>
              <w:jc w:val="center"/>
              <w:rPr>
                <w:sz w:val="20"/>
                <w:szCs w:val="20"/>
              </w:rPr>
            </w:pPr>
          </w:p>
          <w:p w14:paraId="5833B7BB" w14:textId="458A6E43" w:rsidR="004520CE" w:rsidRPr="00F82840" w:rsidRDefault="004520CE" w:rsidP="0055153F">
            <w:pPr>
              <w:jc w:val="center"/>
              <w:rPr>
                <w:sz w:val="20"/>
                <w:szCs w:val="20"/>
              </w:rPr>
            </w:pPr>
            <w:r>
              <w:rPr>
                <w:sz w:val="20"/>
                <w:szCs w:val="20"/>
              </w:rPr>
              <w:t>(</w:t>
            </w:r>
            <w:r w:rsidR="004B308B">
              <w:rPr>
                <w:sz w:val="20"/>
                <w:szCs w:val="20"/>
              </w:rPr>
              <w:t>450</w:t>
            </w:r>
            <w:r w:rsidR="00CC54C1">
              <w:rPr>
                <w:sz w:val="20"/>
                <w:szCs w:val="20"/>
              </w:rPr>
              <w:t>,</w:t>
            </w:r>
            <w:r w:rsidR="004B308B">
              <w:rPr>
                <w:sz w:val="20"/>
                <w:szCs w:val="20"/>
              </w:rPr>
              <w:t>586</w:t>
            </w:r>
            <w:r>
              <w:rPr>
                <w:sz w:val="20"/>
                <w:szCs w:val="20"/>
              </w:rPr>
              <w:t>)</w:t>
            </w:r>
          </w:p>
        </w:tc>
      </w:tr>
    </w:tbl>
    <w:p w14:paraId="52C674C8" w14:textId="77777777" w:rsidR="00A36F2F" w:rsidRDefault="00A36F2F" w:rsidP="00567379">
      <w:pPr>
        <w:rPr>
          <w:rFonts w:cs="Arial"/>
          <w:b/>
          <w:bCs/>
        </w:rPr>
      </w:pPr>
    </w:p>
    <w:p w14:paraId="0A84B5D6" w14:textId="77777777" w:rsidR="00F7114B" w:rsidRDefault="00F7114B" w:rsidP="00567379">
      <w:pPr>
        <w:rPr>
          <w:rFonts w:cs="Arial"/>
          <w:b/>
          <w:bCs/>
        </w:rPr>
      </w:pPr>
    </w:p>
    <w:p w14:paraId="4FB08E5B" w14:textId="77777777" w:rsidR="00EF4A8A" w:rsidRDefault="00EF4A8A" w:rsidP="00EF4A8A">
      <w:r>
        <w:t>The lease for the Alfred Street premises ends in March 2030 with a five-year break clause.</w:t>
      </w:r>
    </w:p>
    <w:p w14:paraId="4F5D99D7" w14:textId="77777777" w:rsidR="00EF4A8A" w:rsidRDefault="00EF4A8A" w:rsidP="00EF4A8A"/>
    <w:p w14:paraId="40C27B2C" w14:textId="48ED36D6" w:rsidR="00EF4A8A" w:rsidRDefault="00EF4A8A" w:rsidP="00EF4A8A">
      <w:r>
        <w:t>The lease for a photocopier at Alfred Street ends in February 2025.</w:t>
      </w:r>
    </w:p>
    <w:p w14:paraId="08B3D490" w14:textId="77777777" w:rsidR="00EF4A8A" w:rsidRDefault="00EF4A8A" w:rsidP="00EF4A8A"/>
    <w:p w14:paraId="2178288C" w14:textId="77777777" w:rsidR="001E2AA0" w:rsidRDefault="001E2AA0" w:rsidP="00567379">
      <w:pPr>
        <w:rPr>
          <w:rFonts w:cs="Arial"/>
          <w:b/>
          <w:bCs/>
        </w:rPr>
      </w:pPr>
    </w:p>
    <w:p w14:paraId="12CA8628" w14:textId="3D8F8F94" w:rsidR="000C2A54" w:rsidRPr="00676064" w:rsidRDefault="002A5A05" w:rsidP="001E2AA0">
      <w:pPr>
        <w:rPr>
          <w:rFonts w:cs="Arial"/>
          <w:b/>
          <w:bCs/>
        </w:rPr>
      </w:pPr>
      <w:r>
        <w:rPr>
          <w:rFonts w:cs="Arial"/>
          <w:b/>
          <w:bCs/>
        </w:rPr>
        <w:t>8</w:t>
      </w:r>
      <w:r w:rsidR="000C2A54" w:rsidRPr="00676064">
        <w:rPr>
          <w:rFonts w:cs="Arial"/>
          <w:b/>
          <w:bCs/>
        </w:rPr>
        <w:t>.</w:t>
      </w:r>
      <w:r w:rsidR="000C2A54" w:rsidRPr="00676064">
        <w:rPr>
          <w:rFonts w:cs="Arial"/>
          <w:b/>
          <w:bCs/>
        </w:rPr>
        <w:tab/>
        <w:t>Intangible Assets</w:t>
      </w:r>
    </w:p>
    <w:tbl>
      <w:tblPr>
        <w:tblStyle w:val="TableGrid"/>
        <w:tblW w:w="850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1820"/>
        <w:gridCol w:w="2055"/>
      </w:tblGrid>
      <w:tr w:rsidR="00A73CBF" w:rsidRPr="00676064" w14:paraId="4227AB26" w14:textId="77777777" w:rsidTr="00A73CBF">
        <w:tc>
          <w:tcPr>
            <w:tcW w:w="4629" w:type="dxa"/>
          </w:tcPr>
          <w:p w14:paraId="7E8954EA" w14:textId="77777777" w:rsidR="00A73CBF" w:rsidRPr="00676064" w:rsidRDefault="00A73CBF" w:rsidP="00A73CBF">
            <w:pPr>
              <w:widowControl w:val="0"/>
              <w:autoSpaceDE w:val="0"/>
              <w:autoSpaceDN w:val="0"/>
              <w:adjustRightInd w:val="0"/>
              <w:rPr>
                <w:rFonts w:cs="Arial"/>
                <w:b/>
                <w:bCs/>
              </w:rPr>
            </w:pPr>
          </w:p>
        </w:tc>
        <w:tc>
          <w:tcPr>
            <w:tcW w:w="1820" w:type="dxa"/>
          </w:tcPr>
          <w:p w14:paraId="758B9189"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 xml:space="preserve">Software &amp; </w:t>
            </w:r>
            <w:proofErr w:type="spellStart"/>
            <w:r w:rsidRPr="003061F1">
              <w:rPr>
                <w:rFonts w:cs="Arial"/>
                <w:b/>
                <w:bCs/>
                <w:sz w:val="20"/>
                <w:szCs w:val="20"/>
              </w:rPr>
              <w:t>Licences</w:t>
            </w:r>
            <w:proofErr w:type="spellEnd"/>
          </w:p>
          <w:p w14:paraId="065B30C8" w14:textId="2C8E8B24" w:rsidR="00A73CBF" w:rsidRPr="003061F1" w:rsidRDefault="00567379" w:rsidP="00A73CBF">
            <w:pPr>
              <w:widowControl w:val="0"/>
              <w:autoSpaceDE w:val="0"/>
              <w:autoSpaceDN w:val="0"/>
              <w:adjustRightInd w:val="0"/>
              <w:jc w:val="right"/>
              <w:rPr>
                <w:rFonts w:cs="Arial"/>
                <w:b/>
                <w:bCs/>
                <w:sz w:val="20"/>
                <w:szCs w:val="20"/>
              </w:rPr>
            </w:pPr>
            <w:r>
              <w:rPr>
                <w:rFonts w:cs="Arial"/>
                <w:b/>
                <w:bCs/>
                <w:sz w:val="20"/>
                <w:szCs w:val="20"/>
              </w:rPr>
              <w:t>202</w:t>
            </w:r>
            <w:r w:rsidR="004B308B">
              <w:rPr>
                <w:rFonts w:cs="Arial"/>
                <w:b/>
                <w:bCs/>
                <w:sz w:val="20"/>
                <w:szCs w:val="20"/>
              </w:rPr>
              <w:t>3</w:t>
            </w:r>
            <w:r>
              <w:rPr>
                <w:rFonts w:cs="Arial"/>
                <w:b/>
                <w:bCs/>
                <w:sz w:val="20"/>
                <w:szCs w:val="20"/>
              </w:rPr>
              <w:t>-2</w:t>
            </w:r>
            <w:r w:rsidR="004B308B">
              <w:rPr>
                <w:rFonts w:cs="Arial"/>
                <w:b/>
                <w:bCs/>
                <w:sz w:val="20"/>
                <w:szCs w:val="20"/>
              </w:rPr>
              <w:t>4</w:t>
            </w:r>
          </w:p>
        </w:tc>
        <w:tc>
          <w:tcPr>
            <w:tcW w:w="2055" w:type="dxa"/>
          </w:tcPr>
          <w:p w14:paraId="736B0D71"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 xml:space="preserve">Software &amp; </w:t>
            </w:r>
            <w:proofErr w:type="spellStart"/>
            <w:r w:rsidRPr="003061F1">
              <w:rPr>
                <w:rFonts w:cs="Arial"/>
                <w:b/>
                <w:bCs/>
                <w:sz w:val="20"/>
                <w:szCs w:val="20"/>
              </w:rPr>
              <w:t>Licences</w:t>
            </w:r>
            <w:proofErr w:type="spellEnd"/>
          </w:p>
          <w:p w14:paraId="6CEFAF5E" w14:textId="5329383F" w:rsidR="00A73CBF" w:rsidRPr="003061F1" w:rsidRDefault="00567379" w:rsidP="00A73CBF">
            <w:pPr>
              <w:widowControl w:val="0"/>
              <w:autoSpaceDE w:val="0"/>
              <w:autoSpaceDN w:val="0"/>
              <w:adjustRightInd w:val="0"/>
              <w:jc w:val="right"/>
              <w:rPr>
                <w:rFonts w:cs="Arial"/>
                <w:b/>
                <w:bCs/>
                <w:sz w:val="20"/>
                <w:szCs w:val="20"/>
              </w:rPr>
            </w:pPr>
            <w:r>
              <w:rPr>
                <w:rFonts w:cs="Arial"/>
                <w:b/>
                <w:bCs/>
                <w:sz w:val="20"/>
                <w:szCs w:val="20"/>
              </w:rPr>
              <w:t>202</w:t>
            </w:r>
            <w:r w:rsidR="004B308B">
              <w:rPr>
                <w:rFonts w:cs="Arial"/>
                <w:b/>
                <w:bCs/>
                <w:sz w:val="20"/>
                <w:szCs w:val="20"/>
              </w:rPr>
              <w:t>2</w:t>
            </w:r>
            <w:r>
              <w:rPr>
                <w:rFonts w:cs="Arial"/>
                <w:b/>
                <w:bCs/>
                <w:sz w:val="20"/>
                <w:szCs w:val="20"/>
              </w:rPr>
              <w:t>-2</w:t>
            </w:r>
            <w:r w:rsidR="004B308B">
              <w:rPr>
                <w:rFonts w:cs="Arial"/>
                <w:b/>
                <w:bCs/>
                <w:sz w:val="20"/>
                <w:szCs w:val="20"/>
              </w:rPr>
              <w:t>3</w:t>
            </w:r>
          </w:p>
        </w:tc>
      </w:tr>
      <w:tr w:rsidR="00A73CBF" w:rsidRPr="00676064" w14:paraId="0279483D" w14:textId="77777777" w:rsidTr="00A73CBF">
        <w:tc>
          <w:tcPr>
            <w:tcW w:w="4629" w:type="dxa"/>
          </w:tcPr>
          <w:p w14:paraId="06DDB058" w14:textId="77777777" w:rsidR="00A73CBF" w:rsidRPr="003061F1" w:rsidRDefault="00A73CBF" w:rsidP="00A73CBF">
            <w:pPr>
              <w:widowControl w:val="0"/>
              <w:autoSpaceDE w:val="0"/>
              <w:autoSpaceDN w:val="0"/>
              <w:adjustRightInd w:val="0"/>
              <w:rPr>
                <w:rFonts w:cs="Arial"/>
                <w:b/>
                <w:bCs/>
                <w:sz w:val="20"/>
                <w:szCs w:val="20"/>
              </w:rPr>
            </w:pPr>
            <w:r w:rsidRPr="003061F1">
              <w:rPr>
                <w:rFonts w:cs="Arial"/>
                <w:b/>
                <w:bCs/>
                <w:sz w:val="20"/>
                <w:szCs w:val="20"/>
              </w:rPr>
              <w:t>Cost or valuation</w:t>
            </w:r>
          </w:p>
        </w:tc>
        <w:tc>
          <w:tcPr>
            <w:tcW w:w="1820" w:type="dxa"/>
          </w:tcPr>
          <w:p w14:paraId="01C2C3CA"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w:t>
            </w:r>
          </w:p>
        </w:tc>
        <w:tc>
          <w:tcPr>
            <w:tcW w:w="2055" w:type="dxa"/>
          </w:tcPr>
          <w:p w14:paraId="27DDC91E" w14:textId="77777777" w:rsidR="00A73CBF" w:rsidRPr="003061F1" w:rsidRDefault="00A73CBF" w:rsidP="00A73CBF">
            <w:pPr>
              <w:widowControl w:val="0"/>
              <w:autoSpaceDE w:val="0"/>
              <w:autoSpaceDN w:val="0"/>
              <w:adjustRightInd w:val="0"/>
              <w:jc w:val="right"/>
              <w:rPr>
                <w:rFonts w:cs="Arial"/>
                <w:b/>
                <w:bCs/>
                <w:sz w:val="20"/>
                <w:szCs w:val="20"/>
              </w:rPr>
            </w:pPr>
            <w:r w:rsidRPr="003061F1">
              <w:rPr>
                <w:rFonts w:cs="Arial"/>
                <w:b/>
                <w:bCs/>
                <w:sz w:val="20"/>
                <w:szCs w:val="20"/>
              </w:rPr>
              <w:t>£</w:t>
            </w:r>
          </w:p>
        </w:tc>
      </w:tr>
      <w:tr w:rsidR="00A73CBF" w:rsidRPr="00676064" w14:paraId="51E5E6A3" w14:textId="77777777" w:rsidTr="00A73CBF">
        <w:tc>
          <w:tcPr>
            <w:tcW w:w="4629" w:type="dxa"/>
          </w:tcPr>
          <w:p w14:paraId="01D50975" w14:textId="0ED59DD7" w:rsidR="00A73CBF" w:rsidRPr="003061F1" w:rsidRDefault="00A73CBF" w:rsidP="00A73CBF">
            <w:pPr>
              <w:widowControl w:val="0"/>
              <w:autoSpaceDE w:val="0"/>
              <w:autoSpaceDN w:val="0"/>
              <w:adjustRightInd w:val="0"/>
              <w:rPr>
                <w:rFonts w:cs="Arial"/>
                <w:bCs/>
                <w:sz w:val="20"/>
                <w:szCs w:val="20"/>
              </w:rPr>
            </w:pPr>
            <w:proofErr w:type="gramStart"/>
            <w:r w:rsidRPr="003061F1">
              <w:rPr>
                <w:rFonts w:cs="Arial"/>
                <w:bCs/>
                <w:sz w:val="20"/>
                <w:szCs w:val="20"/>
              </w:rPr>
              <w:t>at</w:t>
            </w:r>
            <w:proofErr w:type="gramEnd"/>
            <w:r w:rsidRPr="003061F1">
              <w:rPr>
                <w:rFonts w:cs="Arial"/>
                <w:bCs/>
                <w:sz w:val="20"/>
                <w:szCs w:val="20"/>
              </w:rPr>
              <w:t xml:space="preserve"> 1 April</w:t>
            </w:r>
            <w:r w:rsidR="00A36F2F">
              <w:rPr>
                <w:rFonts w:cs="Arial"/>
                <w:bCs/>
                <w:sz w:val="20"/>
                <w:szCs w:val="20"/>
              </w:rPr>
              <w:t xml:space="preserve"> </w:t>
            </w:r>
          </w:p>
        </w:tc>
        <w:tc>
          <w:tcPr>
            <w:tcW w:w="1820" w:type="dxa"/>
          </w:tcPr>
          <w:p w14:paraId="64D870F2" w14:textId="0DE31A33" w:rsidR="00DD02ED" w:rsidRPr="003061F1" w:rsidRDefault="00144D0C" w:rsidP="007B1A0B">
            <w:pPr>
              <w:widowControl w:val="0"/>
              <w:autoSpaceDE w:val="0"/>
              <w:autoSpaceDN w:val="0"/>
              <w:adjustRightInd w:val="0"/>
              <w:jc w:val="right"/>
              <w:rPr>
                <w:rFonts w:cs="Arial"/>
                <w:bCs/>
                <w:sz w:val="20"/>
                <w:szCs w:val="20"/>
              </w:rPr>
            </w:pPr>
            <w:r>
              <w:rPr>
                <w:rFonts w:cs="Arial"/>
                <w:bCs/>
                <w:sz w:val="20"/>
                <w:szCs w:val="20"/>
              </w:rPr>
              <w:t xml:space="preserve">        </w:t>
            </w:r>
            <w:r w:rsidR="004B308B">
              <w:rPr>
                <w:rFonts w:cs="Arial"/>
                <w:bCs/>
                <w:sz w:val="20"/>
                <w:szCs w:val="20"/>
              </w:rPr>
              <w:t>33</w:t>
            </w:r>
            <w:r w:rsidR="00963912">
              <w:rPr>
                <w:rFonts w:cs="Arial"/>
                <w:bCs/>
                <w:sz w:val="20"/>
                <w:szCs w:val="20"/>
              </w:rPr>
              <w:t>,</w:t>
            </w:r>
            <w:r w:rsidR="004B308B">
              <w:rPr>
                <w:rFonts w:cs="Arial"/>
                <w:bCs/>
                <w:sz w:val="20"/>
                <w:szCs w:val="20"/>
              </w:rPr>
              <w:t>578</w:t>
            </w:r>
            <w:r>
              <w:rPr>
                <w:rFonts w:cs="Arial"/>
                <w:bCs/>
                <w:sz w:val="20"/>
                <w:szCs w:val="20"/>
              </w:rPr>
              <w:t xml:space="preserve"> </w:t>
            </w:r>
          </w:p>
        </w:tc>
        <w:tc>
          <w:tcPr>
            <w:tcW w:w="2055" w:type="dxa"/>
          </w:tcPr>
          <w:p w14:paraId="5E71E187" w14:textId="40BD734C" w:rsidR="00A73CBF" w:rsidRPr="003061F1" w:rsidRDefault="00567379" w:rsidP="00A73CBF">
            <w:pPr>
              <w:widowControl w:val="0"/>
              <w:autoSpaceDE w:val="0"/>
              <w:autoSpaceDN w:val="0"/>
              <w:adjustRightInd w:val="0"/>
              <w:jc w:val="right"/>
              <w:rPr>
                <w:rFonts w:cs="Arial"/>
                <w:bCs/>
                <w:sz w:val="20"/>
                <w:szCs w:val="20"/>
              </w:rPr>
            </w:pPr>
            <w:r>
              <w:rPr>
                <w:rFonts w:cs="Arial"/>
                <w:bCs/>
                <w:sz w:val="20"/>
                <w:szCs w:val="20"/>
              </w:rPr>
              <w:t>44</w:t>
            </w:r>
            <w:r w:rsidR="00A36F2F">
              <w:rPr>
                <w:rFonts w:cs="Arial"/>
                <w:bCs/>
                <w:sz w:val="20"/>
                <w:szCs w:val="20"/>
              </w:rPr>
              <w:t>,</w:t>
            </w:r>
            <w:r>
              <w:rPr>
                <w:rFonts w:cs="Arial"/>
                <w:bCs/>
                <w:sz w:val="20"/>
                <w:szCs w:val="20"/>
              </w:rPr>
              <w:t>103</w:t>
            </w:r>
          </w:p>
        </w:tc>
      </w:tr>
      <w:tr w:rsidR="00A73CBF" w:rsidRPr="00676064" w14:paraId="7DB55F28" w14:textId="77777777" w:rsidTr="00A73CBF">
        <w:tc>
          <w:tcPr>
            <w:tcW w:w="4629" w:type="dxa"/>
          </w:tcPr>
          <w:p w14:paraId="7BCDD8F2"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Additions</w:t>
            </w:r>
          </w:p>
        </w:tc>
        <w:tc>
          <w:tcPr>
            <w:tcW w:w="1820" w:type="dxa"/>
          </w:tcPr>
          <w:p w14:paraId="2308C509" w14:textId="77777777" w:rsidR="00A73CBF" w:rsidRPr="003061F1" w:rsidRDefault="007B1A0B" w:rsidP="00A73CBF">
            <w:pPr>
              <w:widowControl w:val="0"/>
              <w:autoSpaceDE w:val="0"/>
              <w:autoSpaceDN w:val="0"/>
              <w:adjustRightInd w:val="0"/>
              <w:jc w:val="right"/>
              <w:rPr>
                <w:rFonts w:cs="Arial"/>
                <w:bCs/>
                <w:sz w:val="20"/>
                <w:szCs w:val="20"/>
              </w:rPr>
            </w:pPr>
            <w:r>
              <w:rPr>
                <w:rFonts w:cs="Arial"/>
                <w:bCs/>
                <w:sz w:val="20"/>
                <w:szCs w:val="20"/>
              </w:rPr>
              <w:t>0</w:t>
            </w:r>
          </w:p>
        </w:tc>
        <w:tc>
          <w:tcPr>
            <w:tcW w:w="2055" w:type="dxa"/>
          </w:tcPr>
          <w:p w14:paraId="227BAD55" w14:textId="77777777" w:rsidR="00A73CBF" w:rsidRPr="003061F1" w:rsidRDefault="00567379" w:rsidP="00A73CBF">
            <w:pPr>
              <w:widowControl w:val="0"/>
              <w:autoSpaceDE w:val="0"/>
              <w:autoSpaceDN w:val="0"/>
              <w:adjustRightInd w:val="0"/>
              <w:jc w:val="right"/>
              <w:rPr>
                <w:rFonts w:cs="Arial"/>
                <w:bCs/>
                <w:sz w:val="20"/>
                <w:szCs w:val="20"/>
              </w:rPr>
            </w:pPr>
            <w:r>
              <w:rPr>
                <w:rFonts w:cs="Arial"/>
                <w:bCs/>
                <w:sz w:val="20"/>
                <w:szCs w:val="20"/>
              </w:rPr>
              <w:t>0</w:t>
            </w:r>
          </w:p>
        </w:tc>
      </w:tr>
      <w:tr w:rsidR="00A36F2F" w:rsidRPr="00676064" w14:paraId="147DD590" w14:textId="77777777" w:rsidTr="00A73CBF">
        <w:tc>
          <w:tcPr>
            <w:tcW w:w="4629" w:type="dxa"/>
          </w:tcPr>
          <w:p w14:paraId="4CCCD253" w14:textId="50E57AD7" w:rsidR="00A36F2F" w:rsidRPr="003061F1" w:rsidRDefault="00A36F2F" w:rsidP="00A73CBF">
            <w:pPr>
              <w:widowControl w:val="0"/>
              <w:autoSpaceDE w:val="0"/>
              <w:autoSpaceDN w:val="0"/>
              <w:adjustRightInd w:val="0"/>
              <w:rPr>
                <w:rFonts w:cs="Arial"/>
                <w:bCs/>
                <w:sz w:val="20"/>
                <w:szCs w:val="20"/>
              </w:rPr>
            </w:pPr>
            <w:r>
              <w:rPr>
                <w:rFonts w:cs="Arial"/>
                <w:bCs/>
                <w:sz w:val="20"/>
                <w:szCs w:val="20"/>
              </w:rPr>
              <w:t>Disposals</w:t>
            </w:r>
          </w:p>
        </w:tc>
        <w:tc>
          <w:tcPr>
            <w:tcW w:w="1820" w:type="dxa"/>
          </w:tcPr>
          <w:p w14:paraId="68AD9EC7" w14:textId="4643C340" w:rsidR="00A36F2F" w:rsidRDefault="004B308B" w:rsidP="00A73CBF">
            <w:pPr>
              <w:widowControl w:val="0"/>
              <w:autoSpaceDE w:val="0"/>
              <w:autoSpaceDN w:val="0"/>
              <w:adjustRightInd w:val="0"/>
              <w:jc w:val="right"/>
              <w:rPr>
                <w:rFonts w:cs="Arial"/>
                <w:bCs/>
                <w:sz w:val="20"/>
                <w:szCs w:val="20"/>
              </w:rPr>
            </w:pPr>
            <w:r>
              <w:rPr>
                <w:rFonts w:cs="Arial"/>
                <w:bCs/>
                <w:sz w:val="20"/>
                <w:szCs w:val="20"/>
              </w:rPr>
              <w:t>0</w:t>
            </w:r>
          </w:p>
        </w:tc>
        <w:tc>
          <w:tcPr>
            <w:tcW w:w="2055" w:type="dxa"/>
          </w:tcPr>
          <w:p w14:paraId="67B13652" w14:textId="071155A9" w:rsidR="00A36F2F" w:rsidRDefault="004B308B" w:rsidP="00A73CBF">
            <w:pPr>
              <w:widowControl w:val="0"/>
              <w:autoSpaceDE w:val="0"/>
              <w:autoSpaceDN w:val="0"/>
              <w:adjustRightInd w:val="0"/>
              <w:jc w:val="right"/>
              <w:rPr>
                <w:rFonts w:cs="Arial"/>
                <w:bCs/>
                <w:sz w:val="20"/>
                <w:szCs w:val="20"/>
              </w:rPr>
            </w:pPr>
            <w:r>
              <w:rPr>
                <w:rFonts w:cs="Arial"/>
                <w:bCs/>
                <w:sz w:val="20"/>
                <w:szCs w:val="20"/>
              </w:rPr>
              <w:t>(10,525)</w:t>
            </w:r>
          </w:p>
        </w:tc>
      </w:tr>
      <w:tr w:rsidR="00A73CBF" w:rsidRPr="00676064" w14:paraId="09D40943" w14:textId="77777777" w:rsidTr="00A73CBF">
        <w:tc>
          <w:tcPr>
            <w:tcW w:w="4629" w:type="dxa"/>
          </w:tcPr>
          <w:p w14:paraId="32107419" w14:textId="5959663B" w:rsidR="00A73CBF" w:rsidRPr="003061F1" w:rsidRDefault="00A73CBF" w:rsidP="00A73CBF">
            <w:pPr>
              <w:widowControl w:val="0"/>
              <w:autoSpaceDE w:val="0"/>
              <w:autoSpaceDN w:val="0"/>
              <w:adjustRightInd w:val="0"/>
              <w:rPr>
                <w:rFonts w:cs="Arial"/>
                <w:bCs/>
                <w:sz w:val="20"/>
                <w:szCs w:val="20"/>
              </w:rPr>
            </w:pPr>
            <w:proofErr w:type="gramStart"/>
            <w:r w:rsidRPr="003061F1">
              <w:rPr>
                <w:rFonts w:cs="Arial"/>
                <w:bCs/>
                <w:sz w:val="20"/>
                <w:szCs w:val="20"/>
              </w:rPr>
              <w:t>at</w:t>
            </w:r>
            <w:proofErr w:type="gramEnd"/>
            <w:r w:rsidRPr="003061F1">
              <w:rPr>
                <w:rFonts w:cs="Arial"/>
                <w:bCs/>
                <w:sz w:val="20"/>
                <w:szCs w:val="20"/>
              </w:rPr>
              <w:t xml:space="preserve"> 31 March</w:t>
            </w:r>
            <w:r w:rsidR="00A36F2F">
              <w:rPr>
                <w:rFonts w:cs="Arial"/>
                <w:bCs/>
                <w:sz w:val="20"/>
                <w:szCs w:val="20"/>
              </w:rPr>
              <w:t xml:space="preserve"> </w:t>
            </w:r>
          </w:p>
        </w:tc>
        <w:tc>
          <w:tcPr>
            <w:tcW w:w="1820" w:type="dxa"/>
            <w:tcBorders>
              <w:top w:val="single" w:sz="4" w:space="0" w:color="auto"/>
              <w:bottom w:val="single" w:sz="4" w:space="0" w:color="auto"/>
            </w:tcBorders>
          </w:tcPr>
          <w:p w14:paraId="3C42B295" w14:textId="227DC47D" w:rsidR="00BF0DCC" w:rsidRPr="003061F1" w:rsidRDefault="00A36F2F" w:rsidP="007B1A0B">
            <w:pPr>
              <w:widowControl w:val="0"/>
              <w:autoSpaceDE w:val="0"/>
              <w:autoSpaceDN w:val="0"/>
              <w:adjustRightInd w:val="0"/>
              <w:jc w:val="right"/>
              <w:rPr>
                <w:rFonts w:cs="Arial"/>
                <w:bCs/>
                <w:sz w:val="20"/>
                <w:szCs w:val="20"/>
              </w:rPr>
            </w:pPr>
            <w:r>
              <w:rPr>
                <w:rFonts w:cs="Arial"/>
                <w:bCs/>
                <w:sz w:val="20"/>
                <w:szCs w:val="20"/>
              </w:rPr>
              <w:t>33,578</w:t>
            </w:r>
          </w:p>
        </w:tc>
        <w:tc>
          <w:tcPr>
            <w:tcW w:w="2055" w:type="dxa"/>
            <w:tcBorders>
              <w:top w:val="single" w:sz="4" w:space="0" w:color="auto"/>
              <w:bottom w:val="single" w:sz="4" w:space="0" w:color="auto"/>
            </w:tcBorders>
          </w:tcPr>
          <w:p w14:paraId="65C9CD40" w14:textId="320759FF" w:rsidR="00A73CBF" w:rsidRPr="003061F1" w:rsidRDefault="004B308B" w:rsidP="00A73CBF">
            <w:pPr>
              <w:widowControl w:val="0"/>
              <w:autoSpaceDE w:val="0"/>
              <w:autoSpaceDN w:val="0"/>
              <w:adjustRightInd w:val="0"/>
              <w:jc w:val="right"/>
              <w:rPr>
                <w:rFonts w:cs="Arial"/>
                <w:bCs/>
                <w:sz w:val="20"/>
                <w:szCs w:val="20"/>
              </w:rPr>
            </w:pPr>
            <w:r>
              <w:rPr>
                <w:rFonts w:cs="Arial"/>
                <w:bCs/>
                <w:sz w:val="20"/>
                <w:szCs w:val="20"/>
              </w:rPr>
              <w:t>33</w:t>
            </w:r>
            <w:r w:rsidR="00642BF8">
              <w:rPr>
                <w:rFonts w:cs="Arial"/>
                <w:bCs/>
                <w:sz w:val="20"/>
                <w:szCs w:val="20"/>
              </w:rPr>
              <w:t>,</w:t>
            </w:r>
            <w:r>
              <w:rPr>
                <w:rFonts w:cs="Arial"/>
                <w:bCs/>
                <w:sz w:val="20"/>
                <w:szCs w:val="20"/>
              </w:rPr>
              <w:t>578</w:t>
            </w:r>
          </w:p>
        </w:tc>
      </w:tr>
      <w:tr w:rsidR="00A73CBF" w:rsidRPr="00676064" w14:paraId="2543A5FB" w14:textId="77777777" w:rsidTr="00A73CBF">
        <w:tc>
          <w:tcPr>
            <w:tcW w:w="4629" w:type="dxa"/>
          </w:tcPr>
          <w:p w14:paraId="2674103B" w14:textId="77777777" w:rsidR="00A73CBF" w:rsidRPr="003061F1" w:rsidRDefault="00A73CBF" w:rsidP="00A73CBF">
            <w:pPr>
              <w:widowControl w:val="0"/>
              <w:autoSpaceDE w:val="0"/>
              <w:autoSpaceDN w:val="0"/>
              <w:adjustRightInd w:val="0"/>
              <w:rPr>
                <w:rFonts w:cs="Arial"/>
                <w:bCs/>
                <w:sz w:val="20"/>
                <w:szCs w:val="20"/>
              </w:rPr>
            </w:pPr>
          </w:p>
        </w:tc>
        <w:tc>
          <w:tcPr>
            <w:tcW w:w="1820" w:type="dxa"/>
            <w:tcBorders>
              <w:top w:val="single" w:sz="4" w:space="0" w:color="auto"/>
            </w:tcBorders>
          </w:tcPr>
          <w:p w14:paraId="4D9F6673" w14:textId="77777777" w:rsidR="00A73CBF" w:rsidRPr="003061F1" w:rsidRDefault="00A73CBF" w:rsidP="00A73CBF">
            <w:pPr>
              <w:widowControl w:val="0"/>
              <w:autoSpaceDE w:val="0"/>
              <w:autoSpaceDN w:val="0"/>
              <w:adjustRightInd w:val="0"/>
              <w:jc w:val="right"/>
              <w:rPr>
                <w:rFonts w:cs="Arial"/>
                <w:bCs/>
                <w:sz w:val="20"/>
                <w:szCs w:val="20"/>
              </w:rPr>
            </w:pPr>
          </w:p>
        </w:tc>
        <w:tc>
          <w:tcPr>
            <w:tcW w:w="2055" w:type="dxa"/>
            <w:tcBorders>
              <w:top w:val="single" w:sz="4" w:space="0" w:color="auto"/>
            </w:tcBorders>
          </w:tcPr>
          <w:p w14:paraId="772A1A66"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2F1520FD" w14:textId="77777777" w:rsidTr="00A73CBF">
        <w:tc>
          <w:tcPr>
            <w:tcW w:w="4629" w:type="dxa"/>
          </w:tcPr>
          <w:p w14:paraId="2F434974" w14:textId="77777777" w:rsidR="00A73CBF" w:rsidRPr="003061F1" w:rsidRDefault="00A73CBF" w:rsidP="00A73CBF">
            <w:pPr>
              <w:widowControl w:val="0"/>
              <w:autoSpaceDE w:val="0"/>
              <w:autoSpaceDN w:val="0"/>
              <w:adjustRightInd w:val="0"/>
              <w:rPr>
                <w:rFonts w:cs="Arial"/>
                <w:b/>
                <w:bCs/>
                <w:sz w:val="20"/>
                <w:szCs w:val="20"/>
              </w:rPr>
            </w:pPr>
            <w:proofErr w:type="spellStart"/>
            <w:r w:rsidRPr="003061F1">
              <w:rPr>
                <w:rFonts w:cs="Arial"/>
                <w:b/>
                <w:bCs/>
                <w:sz w:val="20"/>
                <w:szCs w:val="20"/>
              </w:rPr>
              <w:t>Amortisation</w:t>
            </w:r>
            <w:proofErr w:type="spellEnd"/>
          </w:p>
        </w:tc>
        <w:tc>
          <w:tcPr>
            <w:tcW w:w="1820" w:type="dxa"/>
          </w:tcPr>
          <w:p w14:paraId="4365B49E" w14:textId="77777777" w:rsidR="00A73CBF" w:rsidRPr="003061F1" w:rsidRDefault="00A73CBF" w:rsidP="00A73CBF">
            <w:pPr>
              <w:widowControl w:val="0"/>
              <w:autoSpaceDE w:val="0"/>
              <w:autoSpaceDN w:val="0"/>
              <w:adjustRightInd w:val="0"/>
              <w:jc w:val="right"/>
              <w:rPr>
                <w:rFonts w:cs="Arial"/>
                <w:b/>
                <w:bCs/>
                <w:sz w:val="20"/>
                <w:szCs w:val="20"/>
              </w:rPr>
            </w:pPr>
          </w:p>
        </w:tc>
        <w:tc>
          <w:tcPr>
            <w:tcW w:w="2055" w:type="dxa"/>
          </w:tcPr>
          <w:p w14:paraId="2FCEE432"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5F95F758" w14:textId="77777777" w:rsidTr="00A73CBF">
        <w:tc>
          <w:tcPr>
            <w:tcW w:w="4629" w:type="dxa"/>
          </w:tcPr>
          <w:p w14:paraId="589F670B" w14:textId="71A3DFF2" w:rsidR="00A73CBF" w:rsidRPr="003061F1" w:rsidRDefault="00A73CBF" w:rsidP="00A73CBF">
            <w:pPr>
              <w:widowControl w:val="0"/>
              <w:autoSpaceDE w:val="0"/>
              <w:autoSpaceDN w:val="0"/>
              <w:adjustRightInd w:val="0"/>
              <w:rPr>
                <w:rFonts w:cs="Arial"/>
                <w:bCs/>
                <w:sz w:val="20"/>
                <w:szCs w:val="20"/>
              </w:rPr>
            </w:pPr>
            <w:proofErr w:type="gramStart"/>
            <w:r w:rsidRPr="003061F1">
              <w:rPr>
                <w:rFonts w:cs="Arial"/>
                <w:bCs/>
                <w:sz w:val="20"/>
                <w:szCs w:val="20"/>
              </w:rPr>
              <w:t>at</w:t>
            </w:r>
            <w:proofErr w:type="gramEnd"/>
            <w:r w:rsidRPr="003061F1">
              <w:rPr>
                <w:rFonts w:cs="Arial"/>
                <w:bCs/>
                <w:sz w:val="20"/>
                <w:szCs w:val="20"/>
              </w:rPr>
              <w:t xml:space="preserve"> 1 April</w:t>
            </w:r>
            <w:r w:rsidR="00A36F2F">
              <w:rPr>
                <w:rFonts w:cs="Arial"/>
                <w:bCs/>
                <w:sz w:val="20"/>
                <w:szCs w:val="20"/>
              </w:rPr>
              <w:t xml:space="preserve"> </w:t>
            </w:r>
          </w:p>
        </w:tc>
        <w:tc>
          <w:tcPr>
            <w:tcW w:w="1820" w:type="dxa"/>
          </w:tcPr>
          <w:p w14:paraId="764108BA" w14:textId="20690302" w:rsidR="00A73CBF" w:rsidRPr="003061F1" w:rsidRDefault="004B308B" w:rsidP="007B1A0B">
            <w:pPr>
              <w:widowControl w:val="0"/>
              <w:autoSpaceDE w:val="0"/>
              <w:autoSpaceDN w:val="0"/>
              <w:adjustRightInd w:val="0"/>
              <w:jc w:val="right"/>
              <w:rPr>
                <w:rFonts w:cs="Arial"/>
                <w:bCs/>
                <w:sz w:val="20"/>
                <w:szCs w:val="20"/>
              </w:rPr>
            </w:pPr>
            <w:r>
              <w:rPr>
                <w:rFonts w:cs="Arial"/>
                <w:bCs/>
                <w:sz w:val="20"/>
                <w:szCs w:val="20"/>
              </w:rPr>
              <w:t>32</w:t>
            </w:r>
            <w:r w:rsidR="00A36F2F">
              <w:rPr>
                <w:rFonts w:cs="Arial"/>
                <w:bCs/>
                <w:sz w:val="20"/>
                <w:szCs w:val="20"/>
              </w:rPr>
              <w:t>,</w:t>
            </w:r>
            <w:r>
              <w:rPr>
                <w:rFonts w:cs="Arial"/>
                <w:bCs/>
                <w:sz w:val="20"/>
                <w:szCs w:val="20"/>
              </w:rPr>
              <w:t>783</w:t>
            </w:r>
          </w:p>
        </w:tc>
        <w:tc>
          <w:tcPr>
            <w:tcW w:w="2055" w:type="dxa"/>
          </w:tcPr>
          <w:p w14:paraId="37F8D1D0" w14:textId="65001424" w:rsidR="00A73CBF" w:rsidRPr="003061F1" w:rsidRDefault="004B308B" w:rsidP="00A73CBF">
            <w:pPr>
              <w:widowControl w:val="0"/>
              <w:autoSpaceDE w:val="0"/>
              <w:autoSpaceDN w:val="0"/>
              <w:adjustRightInd w:val="0"/>
              <w:jc w:val="right"/>
              <w:rPr>
                <w:rFonts w:cs="Arial"/>
                <w:bCs/>
                <w:sz w:val="20"/>
                <w:szCs w:val="20"/>
              </w:rPr>
            </w:pPr>
            <w:r>
              <w:rPr>
                <w:rFonts w:cs="Arial"/>
                <w:bCs/>
                <w:sz w:val="20"/>
                <w:szCs w:val="20"/>
              </w:rPr>
              <w:t>40</w:t>
            </w:r>
            <w:r w:rsidR="002A5A05">
              <w:rPr>
                <w:rFonts w:cs="Arial"/>
                <w:bCs/>
                <w:sz w:val="20"/>
                <w:szCs w:val="20"/>
              </w:rPr>
              <w:t>,</w:t>
            </w:r>
            <w:r>
              <w:rPr>
                <w:rFonts w:cs="Arial"/>
                <w:bCs/>
                <w:sz w:val="20"/>
                <w:szCs w:val="20"/>
              </w:rPr>
              <w:t>881</w:t>
            </w:r>
          </w:p>
        </w:tc>
      </w:tr>
      <w:tr w:rsidR="00A73CBF" w:rsidRPr="00676064" w14:paraId="5C1E2C24" w14:textId="77777777" w:rsidTr="00A73CBF">
        <w:tc>
          <w:tcPr>
            <w:tcW w:w="4629" w:type="dxa"/>
          </w:tcPr>
          <w:p w14:paraId="173EE28F" w14:textId="77777777"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Charged in year</w:t>
            </w:r>
          </w:p>
        </w:tc>
        <w:tc>
          <w:tcPr>
            <w:tcW w:w="1820" w:type="dxa"/>
          </w:tcPr>
          <w:p w14:paraId="62863787" w14:textId="7B2A6E1F" w:rsidR="00A73CBF" w:rsidRPr="003061F1" w:rsidRDefault="004B308B" w:rsidP="007B1A0B">
            <w:pPr>
              <w:widowControl w:val="0"/>
              <w:autoSpaceDE w:val="0"/>
              <w:autoSpaceDN w:val="0"/>
              <w:adjustRightInd w:val="0"/>
              <w:jc w:val="right"/>
              <w:rPr>
                <w:rFonts w:cs="Arial"/>
                <w:bCs/>
                <w:sz w:val="20"/>
                <w:szCs w:val="20"/>
              </w:rPr>
            </w:pPr>
            <w:r>
              <w:rPr>
                <w:rFonts w:cs="Arial"/>
                <w:bCs/>
                <w:sz w:val="20"/>
                <w:szCs w:val="20"/>
              </w:rPr>
              <w:t>480</w:t>
            </w:r>
          </w:p>
        </w:tc>
        <w:tc>
          <w:tcPr>
            <w:tcW w:w="2055" w:type="dxa"/>
          </w:tcPr>
          <w:p w14:paraId="520D1CFE" w14:textId="66365871" w:rsidR="00A73CBF" w:rsidRPr="003061F1" w:rsidRDefault="004B308B" w:rsidP="00A73CBF">
            <w:pPr>
              <w:widowControl w:val="0"/>
              <w:autoSpaceDE w:val="0"/>
              <w:autoSpaceDN w:val="0"/>
              <w:adjustRightInd w:val="0"/>
              <w:jc w:val="right"/>
              <w:rPr>
                <w:rFonts w:cs="Arial"/>
                <w:bCs/>
                <w:sz w:val="20"/>
                <w:szCs w:val="20"/>
              </w:rPr>
            </w:pPr>
            <w:r>
              <w:rPr>
                <w:rFonts w:cs="Arial"/>
                <w:bCs/>
                <w:sz w:val="20"/>
                <w:szCs w:val="20"/>
              </w:rPr>
              <w:t>2</w:t>
            </w:r>
            <w:r w:rsidR="002A5A05">
              <w:rPr>
                <w:rFonts w:cs="Arial"/>
                <w:bCs/>
                <w:sz w:val="20"/>
                <w:szCs w:val="20"/>
              </w:rPr>
              <w:t>,</w:t>
            </w:r>
            <w:r>
              <w:rPr>
                <w:rFonts w:cs="Arial"/>
                <w:bCs/>
                <w:sz w:val="20"/>
                <w:szCs w:val="20"/>
              </w:rPr>
              <w:t>427</w:t>
            </w:r>
          </w:p>
        </w:tc>
      </w:tr>
      <w:tr w:rsidR="00A36F2F" w:rsidRPr="00676064" w14:paraId="7458F9F1" w14:textId="77777777" w:rsidTr="00A73CBF">
        <w:tc>
          <w:tcPr>
            <w:tcW w:w="4629" w:type="dxa"/>
          </w:tcPr>
          <w:p w14:paraId="4CC7B73E" w14:textId="0BFB4DBF" w:rsidR="00A36F2F" w:rsidRPr="003061F1" w:rsidRDefault="00A36F2F" w:rsidP="00A73CBF">
            <w:pPr>
              <w:widowControl w:val="0"/>
              <w:autoSpaceDE w:val="0"/>
              <w:autoSpaceDN w:val="0"/>
              <w:adjustRightInd w:val="0"/>
              <w:rPr>
                <w:rFonts w:cs="Arial"/>
                <w:bCs/>
                <w:sz w:val="20"/>
                <w:szCs w:val="20"/>
              </w:rPr>
            </w:pPr>
            <w:r>
              <w:rPr>
                <w:rFonts w:cs="Arial"/>
                <w:bCs/>
                <w:sz w:val="20"/>
                <w:szCs w:val="20"/>
              </w:rPr>
              <w:t>Disposals</w:t>
            </w:r>
          </w:p>
        </w:tc>
        <w:tc>
          <w:tcPr>
            <w:tcW w:w="1820" w:type="dxa"/>
          </w:tcPr>
          <w:p w14:paraId="24CDA62F" w14:textId="4B5B9E7D" w:rsidR="00A36F2F" w:rsidRDefault="004B308B" w:rsidP="007B1A0B">
            <w:pPr>
              <w:widowControl w:val="0"/>
              <w:autoSpaceDE w:val="0"/>
              <w:autoSpaceDN w:val="0"/>
              <w:adjustRightInd w:val="0"/>
              <w:jc w:val="right"/>
              <w:rPr>
                <w:rFonts w:cs="Arial"/>
                <w:bCs/>
                <w:sz w:val="20"/>
                <w:szCs w:val="20"/>
              </w:rPr>
            </w:pPr>
            <w:r>
              <w:rPr>
                <w:rFonts w:cs="Arial"/>
                <w:bCs/>
                <w:sz w:val="20"/>
                <w:szCs w:val="20"/>
              </w:rPr>
              <w:t>0</w:t>
            </w:r>
          </w:p>
        </w:tc>
        <w:tc>
          <w:tcPr>
            <w:tcW w:w="2055" w:type="dxa"/>
          </w:tcPr>
          <w:p w14:paraId="006D18B1" w14:textId="16D1308C" w:rsidR="00A36F2F" w:rsidRDefault="004B308B" w:rsidP="00A73CBF">
            <w:pPr>
              <w:widowControl w:val="0"/>
              <w:autoSpaceDE w:val="0"/>
              <w:autoSpaceDN w:val="0"/>
              <w:adjustRightInd w:val="0"/>
              <w:jc w:val="right"/>
              <w:rPr>
                <w:rFonts w:cs="Arial"/>
                <w:bCs/>
                <w:sz w:val="20"/>
                <w:szCs w:val="20"/>
              </w:rPr>
            </w:pPr>
            <w:r>
              <w:rPr>
                <w:rFonts w:cs="Arial"/>
                <w:bCs/>
                <w:sz w:val="20"/>
                <w:szCs w:val="20"/>
              </w:rPr>
              <w:t>(10,525)</w:t>
            </w:r>
          </w:p>
        </w:tc>
      </w:tr>
      <w:tr w:rsidR="00A73CBF" w:rsidRPr="00676064" w14:paraId="16A15DDC" w14:textId="77777777" w:rsidTr="00A73CBF">
        <w:tc>
          <w:tcPr>
            <w:tcW w:w="4629" w:type="dxa"/>
          </w:tcPr>
          <w:p w14:paraId="0C904230" w14:textId="463A6A28" w:rsidR="00A73CBF" w:rsidRPr="003061F1" w:rsidRDefault="00A73CBF" w:rsidP="00A73CBF">
            <w:pPr>
              <w:widowControl w:val="0"/>
              <w:autoSpaceDE w:val="0"/>
              <w:autoSpaceDN w:val="0"/>
              <w:adjustRightInd w:val="0"/>
              <w:rPr>
                <w:rFonts w:cs="Arial"/>
                <w:bCs/>
                <w:sz w:val="20"/>
                <w:szCs w:val="20"/>
              </w:rPr>
            </w:pPr>
            <w:proofErr w:type="gramStart"/>
            <w:r w:rsidRPr="003061F1">
              <w:rPr>
                <w:rFonts w:cs="Arial"/>
                <w:bCs/>
                <w:sz w:val="20"/>
                <w:szCs w:val="20"/>
              </w:rPr>
              <w:t>at</w:t>
            </w:r>
            <w:proofErr w:type="gramEnd"/>
            <w:r w:rsidRPr="003061F1">
              <w:rPr>
                <w:rFonts w:cs="Arial"/>
                <w:bCs/>
                <w:sz w:val="20"/>
                <w:szCs w:val="20"/>
              </w:rPr>
              <w:t xml:space="preserve"> 31 March</w:t>
            </w:r>
          </w:p>
        </w:tc>
        <w:tc>
          <w:tcPr>
            <w:tcW w:w="1820" w:type="dxa"/>
            <w:tcBorders>
              <w:top w:val="single" w:sz="4" w:space="0" w:color="auto"/>
              <w:bottom w:val="single" w:sz="4" w:space="0" w:color="auto"/>
            </w:tcBorders>
          </w:tcPr>
          <w:p w14:paraId="1547EE80" w14:textId="5F2BAD59" w:rsidR="00A73CBF" w:rsidRPr="003061F1" w:rsidRDefault="00A36F2F" w:rsidP="007B1A0B">
            <w:pPr>
              <w:widowControl w:val="0"/>
              <w:autoSpaceDE w:val="0"/>
              <w:autoSpaceDN w:val="0"/>
              <w:adjustRightInd w:val="0"/>
              <w:jc w:val="right"/>
              <w:rPr>
                <w:rFonts w:cs="Arial"/>
                <w:bCs/>
                <w:sz w:val="20"/>
                <w:szCs w:val="20"/>
              </w:rPr>
            </w:pPr>
            <w:r>
              <w:rPr>
                <w:rFonts w:cs="Arial"/>
                <w:bCs/>
                <w:sz w:val="20"/>
                <w:szCs w:val="20"/>
              </w:rPr>
              <w:t>3</w:t>
            </w:r>
            <w:r w:rsidR="004B308B">
              <w:rPr>
                <w:rFonts w:cs="Arial"/>
                <w:bCs/>
                <w:sz w:val="20"/>
                <w:szCs w:val="20"/>
              </w:rPr>
              <w:t>3</w:t>
            </w:r>
            <w:r>
              <w:rPr>
                <w:rFonts w:cs="Arial"/>
                <w:bCs/>
                <w:sz w:val="20"/>
                <w:szCs w:val="20"/>
              </w:rPr>
              <w:t>,</w:t>
            </w:r>
            <w:r w:rsidR="004B308B">
              <w:rPr>
                <w:rFonts w:cs="Arial"/>
                <w:bCs/>
                <w:sz w:val="20"/>
                <w:szCs w:val="20"/>
              </w:rPr>
              <w:t>263</w:t>
            </w:r>
          </w:p>
        </w:tc>
        <w:tc>
          <w:tcPr>
            <w:tcW w:w="2055" w:type="dxa"/>
            <w:tcBorders>
              <w:top w:val="single" w:sz="4" w:space="0" w:color="auto"/>
              <w:bottom w:val="single" w:sz="4" w:space="0" w:color="auto"/>
            </w:tcBorders>
          </w:tcPr>
          <w:p w14:paraId="03956DC9" w14:textId="5847FF4D" w:rsidR="00A73CBF" w:rsidRPr="003061F1" w:rsidRDefault="004B308B" w:rsidP="00A73CBF">
            <w:pPr>
              <w:widowControl w:val="0"/>
              <w:autoSpaceDE w:val="0"/>
              <w:autoSpaceDN w:val="0"/>
              <w:adjustRightInd w:val="0"/>
              <w:jc w:val="right"/>
              <w:rPr>
                <w:rFonts w:cs="Arial"/>
                <w:bCs/>
                <w:sz w:val="20"/>
                <w:szCs w:val="20"/>
              </w:rPr>
            </w:pPr>
            <w:r>
              <w:rPr>
                <w:rFonts w:cs="Arial"/>
                <w:bCs/>
                <w:sz w:val="20"/>
                <w:szCs w:val="20"/>
              </w:rPr>
              <w:t>32</w:t>
            </w:r>
            <w:r w:rsidR="002A5A05">
              <w:rPr>
                <w:rFonts w:cs="Arial"/>
                <w:bCs/>
                <w:sz w:val="20"/>
                <w:szCs w:val="20"/>
              </w:rPr>
              <w:t>,</w:t>
            </w:r>
            <w:r>
              <w:rPr>
                <w:rFonts w:cs="Arial"/>
                <w:bCs/>
                <w:sz w:val="20"/>
                <w:szCs w:val="20"/>
              </w:rPr>
              <w:t>783</w:t>
            </w:r>
          </w:p>
        </w:tc>
      </w:tr>
      <w:tr w:rsidR="00A73CBF" w:rsidRPr="00676064" w14:paraId="6D640D39" w14:textId="77777777" w:rsidTr="00A73CBF">
        <w:tc>
          <w:tcPr>
            <w:tcW w:w="4629" w:type="dxa"/>
          </w:tcPr>
          <w:p w14:paraId="479A9059" w14:textId="77777777" w:rsidR="00A73CBF" w:rsidRPr="003061F1" w:rsidRDefault="00A73CBF" w:rsidP="00A73CBF">
            <w:pPr>
              <w:widowControl w:val="0"/>
              <w:autoSpaceDE w:val="0"/>
              <w:autoSpaceDN w:val="0"/>
              <w:adjustRightInd w:val="0"/>
              <w:rPr>
                <w:rFonts w:cs="Arial"/>
                <w:bCs/>
                <w:sz w:val="20"/>
                <w:szCs w:val="20"/>
              </w:rPr>
            </w:pPr>
          </w:p>
        </w:tc>
        <w:tc>
          <w:tcPr>
            <w:tcW w:w="1820" w:type="dxa"/>
            <w:tcBorders>
              <w:top w:val="single" w:sz="4" w:space="0" w:color="auto"/>
              <w:bottom w:val="single" w:sz="4" w:space="0" w:color="auto"/>
            </w:tcBorders>
          </w:tcPr>
          <w:p w14:paraId="0FA06E7E" w14:textId="77777777" w:rsidR="00A73CBF" w:rsidRPr="003061F1" w:rsidRDefault="00A73CBF" w:rsidP="00A73CBF">
            <w:pPr>
              <w:widowControl w:val="0"/>
              <w:autoSpaceDE w:val="0"/>
              <w:autoSpaceDN w:val="0"/>
              <w:adjustRightInd w:val="0"/>
              <w:jc w:val="right"/>
              <w:rPr>
                <w:rFonts w:cs="Arial"/>
                <w:bCs/>
                <w:sz w:val="20"/>
                <w:szCs w:val="20"/>
              </w:rPr>
            </w:pPr>
          </w:p>
        </w:tc>
        <w:tc>
          <w:tcPr>
            <w:tcW w:w="2055" w:type="dxa"/>
            <w:tcBorders>
              <w:top w:val="single" w:sz="4" w:space="0" w:color="auto"/>
              <w:bottom w:val="single" w:sz="4" w:space="0" w:color="auto"/>
            </w:tcBorders>
          </w:tcPr>
          <w:p w14:paraId="18BB882E" w14:textId="77777777" w:rsidR="00A73CBF" w:rsidRPr="003061F1" w:rsidRDefault="00A73CBF" w:rsidP="00A73CBF">
            <w:pPr>
              <w:widowControl w:val="0"/>
              <w:autoSpaceDE w:val="0"/>
              <w:autoSpaceDN w:val="0"/>
              <w:adjustRightInd w:val="0"/>
              <w:jc w:val="right"/>
              <w:rPr>
                <w:rFonts w:cs="Arial"/>
                <w:bCs/>
                <w:sz w:val="20"/>
                <w:szCs w:val="20"/>
              </w:rPr>
            </w:pPr>
          </w:p>
        </w:tc>
      </w:tr>
      <w:tr w:rsidR="00A73CBF" w:rsidRPr="00676064" w14:paraId="4A5E2817" w14:textId="77777777" w:rsidTr="00A70EF7">
        <w:tc>
          <w:tcPr>
            <w:tcW w:w="4629" w:type="dxa"/>
          </w:tcPr>
          <w:p w14:paraId="325C2C9C" w14:textId="5131ADFF" w:rsidR="00A73CBF" w:rsidRPr="003061F1" w:rsidRDefault="00A73CBF" w:rsidP="00A73CBF">
            <w:pPr>
              <w:widowControl w:val="0"/>
              <w:autoSpaceDE w:val="0"/>
              <w:autoSpaceDN w:val="0"/>
              <w:adjustRightInd w:val="0"/>
              <w:rPr>
                <w:rFonts w:cs="Arial"/>
                <w:bCs/>
                <w:sz w:val="20"/>
                <w:szCs w:val="20"/>
              </w:rPr>
            </w:pPr>
            <w:r w:rsidRPr="003061F1">
              <w:rPr>
                <w:rFonts w:cs="Arial"/>
                <w:bCs/>
                <w:sz w:val="20"/>
                <w:szCs w:val="20"/>
              </w:rPr>
              <w:t xml:space="preserve">Net book value </w:t>
            </w:r>
            <w:proofErr w:type="gramStart"/>
            <w:r w:rsidRPr="003061F1">
              <w:rPr>
                <w:rFonts w:cs="Arial"/>
                <w:bCs/>
                <w:sz w:val="20"/>
                <w:szCs w:val="20"/>
              </w:rPr>
              <w:t>at</w:t>
            </w:r>
            <w:proofErr w:type="gramEnd"/>
            <w:r w:rsidRPr="003061F1">
              <w:rPr>
                <w:rFonts w:cs="Arial"/>
                <w:bCs/>
                <w:sz w:val="20"/>
                <w:szCs w:val="20"/>
              </w:rPr>
              <w:t xml:space="preserve"> 31 March</w:t>
            </w:r>
            <w:r w:rsidR="00A36F2F">
              <w:rPr>
                <w:rFonts w:cs="Arial"/>
                <w:bCs/>
                <w:sz w:val="20"/>
                <w:szCs w:val="20"/>
              </w:rPr>
              <w:t xml:space="preserve"> </w:t>
            </w:r>
          </w:p>
        </w:tc>
        <w:tc>
          <w:tcPr>
            <w:tcW w:w="1820" w:type="dxa"/>
            <w:tcBorders>
              <w:top w:val="single" w:sz="4" w:space="0" w:color="auto"/>
              <w:bottom w:val="single" w:sz="4" w:space="0" w:color="auto"/>
            </w:tcBorders>
          </w:tcPr>
          <w:p w14:paraId="15281B8A" w14:textId="4D1F1A0C" w:rsidR="00A73CBF" w:rsidRPr="003061F1" w:rsidRDefault="004B308B" w:rsidP="007B1A0B">
            <w:pPr>
              <w:widowControl w:val="0"/>
              <w:autoSpaceDE w:val="0"/>
              <w:autoSpaceDN w:val="0"/>
              <w:adjustRightInd w:val="0"/>
              <w:jc w:val="right"/>
              <w:rPr>
                <w:rFonts w:cs="Arial"/>
                <w:bCs/>
                <w:sz w:val="20"/>
                <w:szCs w:val="20"/>
              </w:rPr>
            </w:pPr>
            <w:r>
              <w:rPr>
                <w:rFonts w:cs="Arial"/>
                <w:bCs/>
                <w:sz w:val="20"/>
                <w:szCs w:val="20"/>
              </w:rPr>
              <w:t>315</w:t>
            </w:r>
          </w:p>
        </w:tc>
        <w:tc>
          <w:tcPr>
            <w:tcW w:w="2055" w:type="dxa"/>
            <w:tcBorders>
              <w:top w:val="single" w:sz="4" w:space="0" w:color="auto"/>
              <w:bottom w:val="single" w:sz="4" w:space="0" w:color="auto"/>
            </w:tcBorders>
          </w:tcPr>
          <w:p w14:paraId="3EB53FD2" w14:textId="4B613DB3" w:rsidR="00A73CBF" w:rsidRPr="003061F1" w:rsidRDefault="004B308B" w:rsidP="00A73CBF">
            <w:pPr>
              <w:widowControl w:val="0"/>
              <w:autoSpaceDE w:val="0"/>
              <w:autoSpaceDN w:val="0"/>
              <w:adjustRightInd w:val="0"/>
              <w:jc w:val="right"/>
              <w:rPr>
                <w:rFonts w:cs="Arial"/>
                <w:bCs/>
                <w:sz w:val="20"/>
                <w:szCs w:val="20"/>
              </w:rPr>
            </w:pPr>
            <w:r>
              <w:rPr>
                <w:rFonts w:cs="Arial"/>
                <w:bCs/>
                <w:sz w:val="20"/>
                <w:szCs w:val="20"/>
              </w:rPr>
              <w:t>795</w:t>
            </w:r>
          </w:p>
        </w:tc>
      </w:tr>
      <w:tr w:rsidR="00F7114B" w:rsidRPr="00676064" w14:paraId="1A8C06FB" w14:textId="77777777" w:rsidTr="00A70EF7">
        <w:tc>
          <w:tcPr>
            <w:tcW w:w="4629" w:type="dxa"/>
          </w:tcPr>
          <w:p w14:paraId="310C6B37" w14:textId="77777777" w:rsidR="00F7114B" w:rsidRPr="003061F1" w:rsidRDefault="00F7114B" w:rsidP="00A73CBF">
            <w:pPr>
              <w:widowControl w:val="0"/>
              <w:autoSpaceDE w:val="0"/>
              <w:autoSpaceDN w:val="0"/>
              <w:adjustRightInd w:val="0"/>
              <w:rPr>
                <w:rFonts w:cs="Arial"/>
                <w:bCs/>
                <w:sz w:val="20"/>
                <w:szCs w:val="20"/>
              </w:rPr>
            </w:pPr>
          </w:p>
        </w:tc>
        <w:tc>
          <w:tcPr>
            <w:tcW w:w="1820" w:type="dxa"/>
            <w:tcBorders>
              <w:top w:val="single" w:sz="4" w:space="0" w:color="auto"/>
            </w:tcBorders>
          </w:tcPr>
          <w:p w14:paraId="4479FB77" w14:textId="77777777" w:rsidR="00F7114B" w:rsidRDefault="00F7114B" w:rsidP="007B1A0B">
            <w:pPr>
              <w:widowControl w:val="0"/>
              <w:autoSpaceDE w:val="0"/>
              <w:autoSpaceDN w:val="0"/>
              <w:adjustRightInd w:val="0"/>
              <w:jc w:val="right"/>
              <w:rPr>
                <w:rFonts w:cs="Arial"/>
                <w:bCs/>
                <w:sz w:val="20"/>
                <w:szCs w:val="20"/>
              </w:rPr>
            </w:pPr>
          </w:p>
        </w:tc>
        <w:tc>
          <w:tcPr>
            <w:tcW w:w="2055" w:type="dxa"/>
            <w:tcBorders>
              <w:top w:val="single" w:sz="4" w:space="0" w:color="auto"/>
            </w:tcBorders>
          </w:tcPr>
          <w:p w14:paraId="16B0DFF2" w14:textId="77777777" w:rsidR="00F7114B" w:rsidRDefault="00F7114B" w:rsidP="00A73CBF">
            <w:pPr>
              <w:widowControl w:val="0"/>
              <w:autoSpaceDE w:val="0"/>
              <w:autoSpaceDN w:val="0"/>
              <w:adjustRightInd w:val="0"/>
              <w:jc w:val="right"/>
              <w:rPr>
                <w:rFonts w:cs="Arial"/>
                <w:bCs/>
                <w:sz w:val="20"/>
                <w:szCs w:val="20"/>
              </w:rPr>
            </w:pPr>
          </w:p>
        </w:tc>
      </w:tr>
    </w:tbl>
    <w:p w14:paraId="367C2FE2" w14:textId="77777777" w:rsidR="004B308B" w:rsidRDefault="004B308B" w:rsidP="000C2A54">
      <w:pPr>
        <w:widowControl w:val="0"/>
        <w:tabs>
          <w:tab w:val="left" w:pos="567"/>
        </w:tabs>
        <w:autoSpaceDE w:val="0"/>
        <w:autoSpaceDN w:val="0"/>
        <w:adjustRightInd w:val="0"/>
        <w:rPr>
          <w:rFonts w:cs="Arial"/>
          <w:b/>
          <w:bCs/>
        </w:rPr>
      </w:pPr>
    </w:p>
    <w:p w14:paraId="72C942BC" w14:textId="77777777" w:rsidR="004B308B" w:rsidRDefault="004B308B" w:rsidP="000C2A54">
      <w:pPr>
        <w:widowControl w:val="0"/>
        <w:tabs>
          <w:tab w:val="left" w:pos="567"/>
        </w:tabs>
        <w:autoSpaceDE w:val="0"/>
        <w:autoSpaceDN w:val="0"/>
        <w:adjustRightInd w:val="0"/>
        <w:rPr>
          <w:rFonts w:cs="Arial"/>
          <w:b/>
          <w:bCs/>
        </w:rPr>
      </w:pPr>
    </w:p>
    <w:p w14:paraId="091C9118" w14:textId="77777777" w:rsidR="004B308B" w:rsidRDefault="004B308B" w:rsidP="000C2A54">
      <w:pPr>
        <w:widowControl w:val="0"/>
        <w:tabs>
          <w:tab w:val="left" w:pos="567"/>
        </w:tabs>
        <w:autoSpaceDE w:val="0"/>
        <w:autoSpaceDN w:val="0"/>
        <w:adjustRightInd w:val="0"/>
        <w:rPr>
          <w:rFonts w:cs="Arial"/>
          <w:b/>
          <w:bCs/>
        </w:rPr>
      </w:pPr>
    </w:p>
    <w:p w14:paraId="4BD38188" w14:textId="77777777" w:rsidR="004B308B" w:rsidRDefault="004B308B" w:rsidP="000C2A54">
      <w:pPr>
        <w:widowControl w:val="0"/>
        <w:tabs>
          <w:tab w:val="left" w:pos="567"/>
        </w:tabs>
        <w:autoSpaceDE w:val="0"/>
        <w:autoSpaceDN w:val="0"/>
        <w:adjustRightInd w:val="0"/>
        <w:rPr>
          <w:rFonts w:cs="Arial"/>
          <w:b/>
          <w:bCs/>
        </w:rPr>
      </w:pPr>
    </w:p>
    <w:p w14:paraId="5146B0EE" w14:textId="77777777" w:rsidR="004B308B" w:rsidRDefault="004B308B" w:rsidP="000C2A54">
      <w:pPr>
        <w:widowControl w:val="0"/>
        <w:tabs>
          <w:tab w:val="left" w:pos="567"/>
        </w:tabs>
        <w:autoSpaceDE w:val="0"/>
        <w:autoSpaceDN w:val="0"/>
        <w:adjustRightInd w:val="0"/>
        <w:rPr>
          <w:rFonts w:cs="Arial"/>
          <w:b/>
          <w:bCs/>
        </w:rPr>
      </w:pPr>
    </w:p>
    <w:p w14:paraId="7BDA89F6" w14:textId="1FFE8A42" w:rsidR="000C2A54" w:rsidRPr="00676064" w:rsidRDefault="002A5A05" w:rsidP="000C2A54">
      <w:pPr>
        <w:widowControl w:val="0"/>
        <w:tabs>
          <w:tab w:val="left" w:pos="567"/>
        </w:tabs>
        <w:autoSpaceDE w:val="0"/>
        <w:autoSpaceDN w:val="0"/>
        <w:adjustRightInd w:val="0"/>
        <w:rPr>
          <w:rFonts w:cs="Arial"/>
          <w:b/>
          <w:bCs/>
        </w:rPr>
      </w:pPr>
      <w:r>
        <w:rPr>
          <w:rFonts w:cs="Arial"/>
          <w:b/>
          <w:bCs/>
        </w:rPr>
        <w:t>9</w:t>
      </w:r>
      <w:r w:rsidR="000C2A54">
        <w:rPr>
          <w:rFonts w:cs="Arial"/>
          <w:b/>
          <w:bCs/>
        </w:rPr>
        <w:t>.</w:t>
      </w:r>
      <w:r w:rsidR="000C2A54">
        <w:rPr>
          <w:rFonts w:cs="Arial"/>
          <w:b/>
          <w:bCs/>
        </w:rPr>
        <w:tab/>
      </w:r>
      <w:r w:rsidR="000C2A54" w:rsidRPr="00676064">
        <w:rPr>
          <w:rFonts w:cs="Arial"/>
          <w:b/>
          <w:bCs/>
        </w:rPr>
        <w:t>Financial instruments</w:t>
      </w:r>
    </w:p>
    <w:p w14:paraId="09EB9370" w14:textId="77777777" w:rsidR="000C2A54" w:rsidRPr="00676064" w:rsidRDefault="000C2A54" w:rsidP="000C2A54">
      <w:pPr>
        <w:widowControl w:val="0"/>
        <w:autoSpaceDE w:val="0"/>
        <w:autoSpaceDN w:val="0"/>
        <w:adjustRightInd w:val="0"/>
      </w:pPr>
    </w:p>
    <w:p w14:paraId="2D83E6E9" w14:textId="77777777" w:rsidR="000C2A54" w:rsidRPr="00676064" w:rsidRDefault="000C2A54" w:rsidP="000C2A54">
      <w:pPr>
        <w:pStyle w:val="BodyTextIndent"/>
        <w:spacing w:after="0"/>
        <w:ind w:left="567"/>
        <w:rPr>
          <w:rFonts w:cs="Arial"/>
          <w:bCs/>
        </w:rPr>
      </w:pPr>
      <w:r w:rsidRPr="00676064">
        <w:rPr>
          <w:rFonts w:cs="Arial"/>
          <w:bCs/>
        </w:rPr>
        <w:t xml:space="preserve">As the cash requirements of the Commission are met through </w:t>
      </w:r>
    </w:p>
    <w:p w14:paraId="383E4D77" w14:textId="77777777" w:rsidR="000C2A54" w:rsidRPr="00676064" w:rsidRDefault="000C2A54" w:rsidP="000C2A54">
      <w:pPr>
        <w:pStyle w:val="BodyTextIndent"/>
        <w:spacing w:after="0"/>
        <w:ind w:left="567"/>
        <w:rPr>
          <w:rFonts w:cs="Arial"/>
          <w:bCs/>
        </w:rPr>
      </w:pPr>
      <w:r w:rsidRPr="00676064">
        <w:rPr>
          <w:rFonts w:cs="Arial"/>
          <w:bCs/>
        </w:rPr>
        <w:t xml:space="preserve">grant-in-aid provided by </w:t>
      </w:r>
      <w:r w:rsidRPr="00676064">
        <w:rPr>
          <w:lang w:val="en-US"/>
        </w:rPr>
        <w:t>the Northern Ireland Office</w:t>
      </w:r>
      <w:r w:rsidRPr="00676064">
        <w:rPr>
          <w:rFonts w:cs="Arial"/>
          <w:bCs/>
        </w:rPr>
        <w:t xml:space="preserve">, financial instruments play a more limited role in creating and managing risk than would apply to a non-public sector body.  </w:t>
      </w:r>
      <w:proofErr w:type="gramStart"/>
      <w:r w:rsidRPr="00676064">
        <w:rPr>
          <w:rFonts w:cs="Arial"/>
          <w:bCs/>
        </w:rPr>
        <w:t>The majority of</w:t>
      </w:r>
      <w:proofErr w:type="gramEnd"/>
      <w:r w:rsidRPr="00676064">
        <w:rPr>
          <w:rFonts w:cs="Arial"/>
          <w:bCs/>
        </w:rPr>
        <w:t xml:space="preserve"> financial instruments relate to contracts to buy non</w:t>
      </w:r>
      <w:r w:rsidRPr="00676064">
        <w:t>-</w:t>
      </w:r>
      <w:r w:rsidRPr="00676064">
        <w:rPr>
          <w:rFonts w:cs="Arial"/>
          <w:bCs/>
        </w:rPr>
        <w:t xml:space="preserve">financial items in line with the </w:t>
      </w:r>
      <w:r w:rsidRPr="00676064">
        <w:t>Commission’s</w:t>
      </w:r>
      <w:r w:rsidRPr="00676064">
        <w:rPr>
          <w:rFonts w:cs="Arial"/>
          <w:bCs/>
        </w:rPr>
        <w:t xml:space="preserve"> expected purchase and usage requirements and the </w:t>
      </w:r>
      <w:r w:rsidRPr="00676064">
        <w:t>Commission</w:t>
      </w:r>
      <w:r w:rsidRPr="00676064">
        <w:rPr>
          <w:rFonts w:cs="Arial"/>
          <w:bCs/>
        </w:rPr>
        <w:t xml:space="preserve"> is therefore exposed to little credit, liquidity or market risk. </w:t>
      </w:r>
    </w:p>
    <w:p w14:paraId="6149C7A2" w14:textId="77777777" w:rsidR="00F7114B" w:rsidRPr="00676064" w:rsidRDefault="00F7114B" w:rsidP="000C2A54">
      <w:pPr>
        <w:pStyle w:val="BodyTextIndent"/>
        <w:spacing w:after="0"/>
        <w:ind w:left="0"/>
      </w:pPr>
    </w:p>
    <w:p w14:paraId="0F10BA71" w14:textId="0F58F326" w:rsidR="000C2A54" w:rsidRPr="00676064" w:rsidRDefault="002A5A05" w:rsidP="000C2A54">
      <w:pPr>
        <w:tabs>
          <w:tab w:val="left" w:pos="567"/>
        </w:tabs>
        <w:rPr>
          <w:rFonts w:cs="Arial"/>
          <w:b/>
          <w:bCs/>
        </w:rPr>
      </w:pPr>
      <w:r>
        <w:rPr>
          <w:rFonts w:cs="Arial"/>
          <w:b/>
          <w:bCs/>
        </w:rPr>
        <w:t>10</w:t>
      </w:r>
      <w:r w:rsidR="000C2A54" w:rsidRPr="00676064">
        <w:rPr>
          <w:rFonts w:cs="Arial"/>
          <w:b/>
          <w:bCs/>
        </w:rPr>
        <w:t>.</w:t>
      </w:r>
      <w:r w:rsidR="000C2A54">
        <w:rPr>
          <w:rFonts w:cs="Arial"/>
          <w:b/>
          <w:bCs/>
        </w:rPr>
        <w:tab/>
      </w:r>
      <w:r w:rsidR="000C2A54" w:rsidRPr="00676064">
        <w:rPr>
          <w:rFonts w:cs="Arial"/>
          <w:b/>
          <w:bCs/>
        </w:rPr>
        <w:t>Trade receivables and other current assets</w:t>
      </w:r>
    </w:p>
    <w:p w14:paraId="0FCD2C36"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bl>
      <w:tblPr>
        <w:tblW w:w="8527" w:type="dxa"/>
        <w:jc w:val="right"/>
        <w:tblLook w:val="01E0" w:firstRow="1" w:lastRow="1" w:firstColumn="1" w:lastColumn="1" w:noHBand="0" w:noVBand="0"/>
      </w:tblPr>
      <w:tblGrid>
        <w:gridCol w:w="5760"/>
        <w:gridCol w:w="1440"/>
        <w:gridCol w:w="1327"/>
      </w:tblGrid>
      <w:tr w:rsidR="000C2A54" w:rsidRPr="00676064" w14:paraId="33A11FF5" w14:textId="77777777" w:rsidTr="009264D8">
        <w:trPr>
          <w:jc w:val="right"/>
        </w:trPr>
        <w:tc>
          <w:tcPr>
            <w:tcW w:w="5760" w:type="dxa"/>
          </w:tcPr>
          <w:p w14:paraId="4D25DF12"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
                <w:bCs/>
              </w:rPr>
            </w:pPr>
          </w:p>
        </w:tc>
        <w:tc>
          <w:tcPr>
            <w:tcW w:w="1440" w:type="dxa"/>
          </w:tcPr>
          <w:p w14:paraId="40EB8C02" w14:textId="6D0A2060"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w:t>
            </w:r>
            <w:r w:rsidR="004B308B">
              <w:rPr>
                <w:rFonts w:cs="Arial"/>
                <w:b/>
                <w:bCs/>
                <w:sz w:val="20"/>
                <w:szCs w:val="20"/>
              </w:rPr>
              <w:t>3</w:t>
            </w:r>
            <w:r>
              <w:rPr>
                <w:rFonts w:cs="Arial"/>
                <w:b/>
                <w:bCs/>
                <w:sz w:val="20"/>
                <w:szCs w:val="20"/>
              </w:rPr>
              <w:t>-2</w:t>
            </w:r>
            <w:r w:rsidR="004B308B">
              <w:rPr>
                <w:rFonts w:cs="Arial"/>
                <w:b/>
                <w:bCs/>
                <w:sz w:val="20"/>
                <w:szCs w:val="20"/>
              </w:rPr>
              <w:t>4</w:t>
            </w:r>
          </w:p>
        </w:tc>
        <w:tc>
          <w:tcPr>
            <w:tcW w:w="1327" w:type="dxa"/>
          </w:tcPr>
          <w:p w14:paraId="2766F3BB" w14:textId="3581C081"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w:t>
            </w:r>
            <w:r w:rsidR="004B308B">
              <w:rPr>
                <w:rFonts w:cs="Arial"/>
                <w:b/>
                <w:bCs/>
                <w:sz w:val="20"/>
                <w:szCs w:val="20"/>
              </w:rPr>
              <w:t>2</w:t>
            </w:r>
            <w:r>
              <w:rPr>
                <w:rFonts w:cs="Arial"/>
                <w:b/>
                <w:bCs/>
                <w:sz w:val="20"/>
                <w:szCs w:val="20"/>
              </w:rPr>
              <w:t>-2</w:t>
            </w:r>
            <w:r w:rsidR="004B308B">
              <w:rPr>
                <w:rFonts w:cs="Arial"/>
                <w:b/>
                <w:bCs/>
                <w:sz w:val="20"/>
                <w:szCs w:val="20"/>
              </w:rPr>
              <w:t>3</w:t>
            </w:r>
          </w:p>
        </w:tc>
      </w:tr>
      <w:tr w:rsidR="000C2A54" w:rsidRPr="00676064" w14:paraId="0E1211D9" w14:textId="77777777" w:rsidTr="009264D8">
        <w:trPr>
          <w:jc w:val="right"/>
        </w:trPr>
        <w:tc>
          <w:tcPr>
            <w:tcW w:w="5760" w:type="dxa"/>
          </w:tcPr>
          <w:p w14:paraId="4753B75F"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Pr>
          <w:p w14:paraId="71AE8848"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327" w:type="dxa"/>
          </w:tcPr>
          <w:p w14:paraId="4FAF2B04"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318C5EB7" w14:textId="77777777" w:rsidTr="009264D8">
        <w:trPr>
          <w:jc w:val="right"/>
        </w:trPr>
        <w:tc>
          <w:tcPr>
            <w:tcW w:w="5760" w:type="dxa"/>
          </w:tcPr>
          <w:p w14:paraId="664359B1"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Amounts falling due within one year:</w:t>
            </w:r>
          </w:p>
        </w:tc>
        <w:tc>
          <w:tcPr>
            <w:tcW w:w="1440" w:type="dxa"/>
          </w:tcPr>
          <w:p w14:paraId="40D4CD6B"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c>
          <w:tcPr>
            <w:tcW w:w="1327" w:type="dxa"/>
          </w:tcPr>
          <w:p w14:paraId="3ED94DD9"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r>
      <w:tr w:rsidR="000C2A54" w:rsidRPr="00676064" w14:paraId="65C00AAD" w14:textId="77777777" w:rsidTr="009264D8">
        <w:trPr>
          <w:jc w:val="right"/>
        </w:trPr>
        <w:tc>
          <w:tcPr>
            <w:tcW w:w="5760" w:type="dxa"/>
          </w:tcPr>
          <w:p w14:paraId="711A66FF"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Trade Receivables</w:t>
            </w:r>
          </w:p>
        </w:tc>
        <w:tc>
          <w:tcPr>
            <w:tcW w:w="1440" w:type="dxa"/>
          </w:tcPr>
          <w:p w14:paraId="1CEE40A5" w14:textId="01A6C178" w:rsidR="000C2A54" w:rsidRPr="003061F1" w:rsidRDefault="002A5A05"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0</w:t>
            </w:r>
          </w:p>
        </w:tc>
        <w:tc>
          <w:tcPr>
            <w:tcW w:w="1327" w:type="dxa"/>
          </w:tcPr>
          <w:p w14:paraId="7B32C517" w14:textId="3419D2E8" w:rsidR="000C2A54" w:rsidRPr="003061F1" w:rsidRDefault="004B308B"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0</w:t>
            </w:r>
          </w:p>
        </w:tc>
      </w:tr>
      <w:tr w:rsidR="000C2A54" w:rsidRPr="00676064" w14:paraId="112E4BE8" w14:textId="77777777" w:rsidTr="009264D8">
        <w:trPr>
          <w:jc w:val="right"/>
        </w:trPr>
        <w:tc>
          <w:tcPr>
            <w:tcW w:w="5760" w:type="dxa"/>
          </w:tcPr>
          <w:p w14:paraId="13666A7D"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Prepayments and accrued income</w:t>
            </w:r>
          </w:p>
        </w:tc>
        <w:tc>
          <w:tcPr>
            <w:tcW w:w="1440" w:type="dxa"/>
          </w:tcPr>
          <w:p w14:paraId="5B0FF681" w14:textId="4251406C" w:rsidR="000C2A54" w:rsidRPr="003061F1" w:rsidRDefault="004B308B"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43</w:t>
            </w:r>
            <w:r w:rsidR="002A5A05">
              <w:rPr>
                <w:rFonts w:cs="Arial"/>
                <w:bCs/>
                <w:sz w:val="20"/>
                <w:szCs w:val="20"/>
              </w:rPr>
              <w:t>,</w:t>
            </w:r>
            <w:r>
              <w:rPr>
                <w:rFonts w:cs="Arial"/>
                <w:bCs/>
                <w:sz w:val="20"/>
                <w:szCs w:val="20"/>
              </w:rPr>
              <w:t>88</w:t>
            </w:r>
            <w:r w:rsidR="00B1028A">
              <w:rPr>
                <w:rFonts w:cs="Arial"/>
                <w:bCs/>
                <w:sz w:val="20"/>
                <w:szCs w:val="20"/>
              </w:rPr>
              <w:t>2</w:t>
            </w:r>
          </w:p>
        </w:tc>
        <w:tc>
          <w:tcPr>
            <w:tcW w:w="1327" w:type="dxa"/>
          </w:tcPr>
          <w:p w14:paraId="0E709C71" w14:textId="632F4520" w:rsidR="000C2A54" w:rsidRPr="003061F1" w:rsidRDefault="002A5A05"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6</w:t>
            </w:r>
            <w:r w:rsidR="004B308B">
              <w:rPr>
                <w:rFonts w:cs="Arial"/>
                <w:bCs/>
                <w:sz w:val="20"/>
                <w:szCs w:val="20"/>
              </w:rPr>
              <w:t>1</w:t>
            </w:r>
            <w:r>
              <w:rPr>
                <w:rFonts w:cs="Arial"/>
                <w:bCs/>
                <w:sz w:val="20"/>
                <w:szCs w:val="20"/>
              </w:rPr>
              <w:t>,</w:t>
            </w:r>
            <w:r w:rsidR="004B308B">
              <w:rPr>
                <w:rFonts w:cs="Arial"/>
                <w:bCs/>
                <w:sz w:val="20"/>
                <w:szCs w:val="20"/>
              </w:rPr>
              <w:t>525</w:t>
            </w:r>
          </w:p>
        </w:tc>
      </w:tr>
      <w:tr w:rsidR="000C2A54" w:rsidRPr="00676064" w14:paraId="05731E07" w14:textId="77777777" w:rsidTr="009264D8">
        <w:trPr>
          <w:jc w:val="right"/>
        </w:trPr>
        <w:tc>
          <w:tcPr>
            <w:tcW w:w="5760" w:type="dxa"/>
          </w:tcPr>
          <w:p w14:paraId="3822C73E"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Borders>
              <w:top w:val="single" w:sz="4" w:space="0" w:color="auto"/>
              <w:bottom w:val="single" w:sz="4" w:space="0" w:color="auto"/>
            </w:tcBorders>
          </w:tcPr>
          <w:p w14:paraId="294265B3"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73444523" w14:textId="1179AD7A" w:rsidR="00567379" w:rsidRPr="003061F1" w:rsidRDefault="004B308B"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43</w:t>
            </w:r>
            <w:r w:rsidR="00567379">
              <w:rPr>
                <w:rFonts w:cs="Arial"/>
                <w:b/>
                <w:bCs/>
                <w:sz w:val="20"/>
                <w:szCs w:val="20"/>
              </w:rPr>
              <w:t>,</w:t>
            </w:r>
            <w:r>
              <w:rPr>
                <w:rFonts w:cs="Arial"/>
                <w:b/>
                <w:bCs/>
                <w:sz w:val="20"/>
                <w:szCs w:val="20"/>
              </w:rPr>
              <w:t>88</w:t>
            </w:r>
            <w:r w:rsidR="00B1028A">
              <w:rPr>
                <w:rFonts w:cs="Arial"/>
                <w:b/>
                <w:bCs/>
                <w:sz w:val="20"/>
                <w:szCs w:val="20"/>
              </w:rPr>
              <w:t>2</w:t>
            </w:r>
          </w:p>
        </w:tc>
        <w:tc>
          <w:tcPr>
            <w:tcW w:w="1327" w:type="dxa"/>
            <w:tcBorders>
              <w:top w:val="single" w:sz="4" w:space="0" w:color="auto"/>
              <w:bottom w:val="single" w:sz="4" w:space="0" w:color="auto"/>
            </w:tcBorders>
          </w:tcPr>
          <w:p w14:paraId="1D1D4A00" w14:textId="77777777" w:rsidR="00642BF8" w:rsidRDefault="00642BF8" w:rsidP="00642BF8">
            <w:pPr>
              <w:widowControl w:val="0"/>
              <w:tabs>
                <w:tab w:val="left" w:pos="567"/>
                <w:tab w:val="right" w:pos="7371"/>
                <w:tab w:val="right" w:pos="9356"/>
              </w:tabs>
              <w:autoSpaceDE w:val="0"/>
              <w:autoSpaceDN w:val="0"/>
              <w:adjustRightInd w:val="0"/>
              <w:jc w:val="right"/>
              <w:rPr>
                <w:rFonts w:cs="Arial"/>
                <w:b/>
                <w:bCs/>
                <w:sz w:val="20"/>
                <w:szCs w:val="20"/>
              </w:rPr>
            </w:pPr>
          </w:p>
          <w:p w14:paraId="07ACA643" w14:textId="40A72BAB" w:rsidR="00567379" w:rsidRPr="003061F1" w:rsidRDefault="002A5A05" w:rsidP="00642BF8">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61,5</w:t>
            </w:r>
            <w:r w:rsidR="004B308B">
              <w:rPr>
                <w:rFonts w:cs="Arial"/>
                <w:b/>
                <w:bCs/>
                <w:sz w:val="20"/>
                <w:szCs w:val="20"/>
              </w:rPr>
              <w:t>25</w:t>
            </w:r>
          </w:p>
        </w:tc>
      </w:tr>
    </w:tbl>
    <w:p w14:paraId="1FA7A468" w14:textId="77777777" w:rsidR="003061F1" w:rsidRPr="00676064" w:rsidRDefault="003061F1" w:rsidP="000C2A54">
      <w:pPr>
        <w:widowControl w:val="0"/>
        <w:tabs>
          <w:tab w:val="left" w:pos="567"/>
          <w:tab w:val="right" w:pos="7371"/>
          <w:tab w:val="right" w:pos="9356"/>
        </w:tabs>
        <w:autoSpaceDE w:val="0"/>
        <w:autoSpaceDN w:val="0"/>
        <w:adjustRightInd w:val="0"/>
        <w:rPr>
          <w:rFonts w:cs="Arial"/>
          <w:b/>
          <w:bCs/>
        </w:rPr>
      </w:pPr>
    </w:p>
    <w:p w14:paraId="7D5ADFF3" w14:textId="0B8BF5FC" w:rsidR="000C2A54" w:rsidRPr="00612DE1" w:rsidRDefault="000C2A54" w:rsidP="002A5A05">
      <w:pPr>
        <w:pStyle w:val="ListParagraph"/>
        <w:numPr>
          <w:ilvl w:val="0"/>
          <w:numId w:val="28"/>
        </w:numPr>
        <w:rPr>
          <w:rFonts w:cs="Arial"/>
          <w:b/>
          <w:bCs/>
        </w:rPr>
      </w:pPr>
      <w:r w:rsidRPr="00612DE1">
        <w:rPr>
          <w:rFonts w:cs="Arial"/>
          <w:b/>
          <w:bCs/>
        </w:rPr>
        <w:t>Cash and cash equivalents</w:t>
      </w:r>
    </w:p>
    <w:p w14:paraId="224E79FF" w14:textId="77777777" w:rsidR="000C2A54" w:rsidRPr="00676064" w:rsidRDefault="000C2A54" w:rsidP="000C2A54">
      <w:pPr>
        <w:widowControl w:val="0"/>
        <w:tabs>
          <w:tab w:val="left" w:pos="567"/>
        </w:tabs>
        <w:autoSpaceDE w:val="0"/>
        <w:autoSpaceDN w:val="0"/>
        <w:adjustRightInd w:val="0"/>
        <w:rPr>
          <w:rFonts w:cs="Arial"/>
          <w:b/>
          <w:bCs/>
        </w:rPr>
      </w:pPr>
    </w:p>
    <w:tbl>
      <w:tblPr>
        <w:tblW w:w="8639" w:type="dxa"/>
        <w:jc w:val="right"/>
        <w:tblLook w:val="01E0" w:firstRow="1" w:lastRow="1" w:firstColumn="1" w:lastColumn="1" w:noHBand="0" w:noVBand="0"/>
      </w:tblPr>
      <w:tblGrid>
        <w:gridCol w:w="5760"/>
        <w:gridCol w:w="1440"/>
        <w:gridCol w:w="1439"/>
      </w:tblGrid>
      <w:tr w:rsidR="000C2A54" w:rsidRPr="00676064" w14:paraId="7ECD4C24" w14:textId="77777777" w:rsidTr="000C2A54">
        <w:trPr>
          <w:jc w:val="right"/>
        </w:trPr>
        <w:tc>
          <w:tcPr>
            <w:tcW w:w="5760" w:type="dxa"/>
          </w:tcPr>
          <w:p w14:paraId="37AAE3E9" w14:textId="77777777" w:rsidR="000C2A54" w:rsidRPr="00676064" w:rsidRDefault="000C2A54" w:rsidP="000C2A54">
            <w:pPr>
              <w:widowControl w:val="0"/>
              <w:tabs>
                <w:tab w:val="left" w:pos="567"/>
                <w:tab w:val="right" w:pos="7371"/>
                <w:tab w:val="right" w:pos="9356"/>
              </w:tabs>
              <w:autoSpaceDE w:val="0"/>
              <w:autoSpaceDN w:val="0"/>
              <w:adjustRightInd w:val="0"/>
              <w:rPr>
                <w:rFonts w:cs="Arial"/>
                <w:b/>
                <w:bCs/>
              </w:rPr>
            </w:pPr>
          </w:p>
        </w:tc>
        <w:tc>
          <w:tcPr>
            <w:tcW w:w="1440" w:type="dxa"/>
          </w:tcPr>
          <w:p w14:paraId="31F624EE" w14:textId="27D1EA0C"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w:t>
            </w:r>
            <w:r w:rsidR="004B308B">
              <w:rPr>
                <w:rFonts w:cs="Arial"/>
                <w:b/>
                <w:bCs/>
                <w:sz w:val="20"/>
                <w:szCs w:val="20"/>
              </w:rPr>
              <w:t>3</w:t>
            </w:r>
            <w:r>
              <w:rPr>
                <w:rFonts w:cs="Arial"/>
                <w:b/>
                <w:bCs/>
                <w:sz w:val="20"/>
                <w:szCs w:val="20"/>
              </w:rPr>
              <w:t>-2</w:t>
            </w:r>
            <w:r w:rsidR="004B308B">
              <w:rPr>
                <w:rFonts w:cs="Arial"/>
                <w:b/>
                <w:bCs/>
                <w:sz w:val="20"/>
                <w:szCs w:val="20"/>
              </w:rPr>
              <w:t>4</w:t>
            </w:r>
          </w:p>
        </w:tc>
        <w:tc>
          <w:tcPr>
            <w:tcW w:w="1439" w:type="dxa"/>
          </w:tcPr>
          <w:p w14:paraId="4AF39CA5" w14:textId="627BD53D"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202</w:t>
            </w:r>
            <w:r w:rsidR="004B308B">
              <w:rPr>
                <w:rFonts w:cs="Arial"/>
                <w:b/>
                <w:bCs/>
                <w:sz w:val="20"/>
                <w:szCs w:val="20"/>
              </w:rPr>
              <w:t>2</w:t>
            </w:r>
            <w:r>
              <w:rPr>
                <w:rFonts w:cs="Arial"/>
                <w:b/>
                <w:bCs/>
                <w:sz w:val="20"/>
                <w:szCs w:val="20"/>
              </w:rPr>
              <w:t>-2</w:t>
            </w:r>
            <w:r w:rsidR="004B308B">
              <w:rPr>
                <w:rFonts w:cs="Arial"/>
                <w:b/>
                <w:bCs/>
                <w:sz w:val="20"/>
                <w:szCs w:val="20"/>
              </w:rPr>
              <w:t>3</w:t>
            </w:r>
          </w:p>
        </w:tc>
      </w:tr>
      <w:tr w:rsidR="000C2A54" w:rsidRPr="00676064" w14:paraId="0B8012E8" w14:textId="77777777" w:rsidTr="000C2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5760" w:type="dxa"/>
            <w:tcBorders>
              <w:top w:val="nil"/>
              <w:left w:val="nil"/>
              <w:bottom w:val="nil"/>
              <w:right w:val="nil"/>
            </w:tcBorders>
          </w:tcPr>
          <w:p w14:paraId="24EEF7FE" w14:textId="77777777" w:rsidR="000C2A54" w:rsidRPr="00676064" w:rsidRDefault="000C2A54" w:rsidP="000C2A54">
            <w:pPr>
              <w:widowControl w:val="0"/>
              <w:tabs>
                <w:tab w:val="left" w:pos="567"/>
                <w:tab w:val="right" w:pos="7371"/>
                <w:tab w:val="right" w:pos="9356"/>
              </w:tabs>
              <w:autoSpaceDE w:val="0"/>
              <w:autoSpaceDN w:val="0"/>
              <w:adjustRightInd w:val="0"/>
              <w:rPr>
                <w:rFonts w:cs="Arial"/>
                <w:bCs/>
              </w:rPr>
            </w:pPr>
          </w:p>
        </w:tc>
        <w:tc>
          <w:tcPr>
            <w:tcW w:w="1440" w:type="dxa"/>
            <w:tcBorders>
              <w:top w:val="nil"/>
              <w:left w:val="nil"/>
              <w:bottom w:val="nil"/>
              <w:right w:val="nil"/>
            </w:tcBorders>
          </w:tcPr>
          <w:p w14:paraId="7EAC88F0"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439" w:type="dxa"/>
            <w:tcBorders>
              <w:top w:val="nil"/>
              <w:left w:val="nil"/>
              <w:bottom w:val="nil"/>
              <w:right w:val="nil"/>
            </w:tcBorders>
          </w:tcPr>
          <w:p w14:paraId="3C0E4BD6"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7BAF2CBD" w14:textId="77777777" w:rsidTr="000C2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5760" w:type="dxa"/>
            <w:tcBorders>
              <w:top w:val="nil"/>
              <w:left w:val="nil"/>
              <w:bottom w:val="nil"/>
              <w:right w:val="nil"/>
            </w:tcBorders>
          </w:tcPr>
          <w:p w14:paraId="4B6210AB"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 xml:space="preserve">Balance </w:t>
            </w:r>
            <w:proofErr w:type="gramStart"/>
            <w:r w:rsidRPr="003061F1">
              <w:rPr>
                <w:rFonts w:cs="Arial"/>
                <w:b/>
                <w:bCs/>
                <w:sz w:val="20"/>
                <w:szCs w:val="20"/>
              </w:rPr>
              <w:t>at</w:t>
            </w:r>
            <w:proofErr w:type="gramEnd"/>
            <w:r w:rsidRPr="003061F1">
              <w:rPr>
                <w:rFonts w:cs="Arial"/>
                <w:b/>
                <w:bCs/>
                <w:sz w:val="20"/>
                <w:szCs w:val="20"/>
              </w:rPr>
              <w:t xml:space="preserve"> 1</w:t>
            </w:r>
            <w:r w:rsidRPr="003061F1">
              <w:rPr>
                <w:rFonts w:cs="Arial"/>
                <w:b/>
                <w:bCs/>
                <w:sz w:val="20"/>
                <w:szCs w:val="20"/>
                <w:vertAlign w:val="superscript"/>
              </w:rPr>
              <w:t xml:space="preserve"> </w:t>
            </w:r>
            <w:r w:rsidRPr="003061F1">
              <w:rPr>
                <w:rFonts w:cs="Arial"/>
                <w:b/>
                <w:bCs/>
                <w:sz w:val="20"/>
                <w:szCs w:val="20"/>
              </w:rPr>
              <w:t>April</w:t>
            </w:r>
          </w:p>
        </w:tc>
        <w:tc>
          <w:tcPr>
            <w:tcW w:w="1440" w:type="dxa"/>
            <w:tcBorders>
              <w:top w:val="nil"/>
              <w:left w:val="nil"/>
              <w:bottom w:val="nil"/>
              <w:right w:val="nil"/>
            </w:tcBorders>
          </w:tcPr>
          <w:p w14:paraId="0C26476B" w14:textId="07A6816D" w:rsidR="000C2A54" w:rsidRPr="003061F1" w:rsidRDefault="002A5A05"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w:t>
            </w:r>
            <w:r w:rsidR="004B308B">
              <w:rPr>
                <w:rFonts w:cs="Arial"/>
                <w:bCs/>
                <w:sz w:val="20"/>
                <w:szCs w:val="20"/>
              </w:rPr>
              <w:t>56</w:t>
            </w:r>
            <w:r>
              <w:rPr>
                <w:rFonts w:cs="Arial"/>
                <w:bCs/>
                <w:sz w:val="20"/>
                <w:szCs w:val="20"/>
              </w:rPr>
              <w:t>,</w:t>
            </w:r>
            <w:r w:rsidR="004B308B">
              <w:rPr>
                <w:rFonts w:cs="Arial"/>
                <w:bCs/>
                <w:sz w:val="20"/>
                <w:szCs w:val="20"/>
              </w:rPr>
              <w:t>606</w:t>
            </w:r>
          </w:p>
        </w:tc>
        <w:tc>
          <w:tcPr>
            <w:tcW w:w="1439" w:type="dxa"/>
            <w:tcBorders>
              <w:top w:val="nil"/>
              <w:left w:val="nil"/>
              <w:bottom w:val="nil"/>
              <w:right w:val="nil"/>
            </w:tcBorders>
          </w:tcPr>
          <w:p w14:paraId="338E7870" w14:textId="1C00291D" w:rsidR="000C2A54" w:rsidRPr="003061F1" w:rsidRDefault="004B308B"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541</w:t>
            </w:r>
            <w:r w:rsidR="002A5A05">
              <w:rPr>
                <w:rFonts w:cs="Arial"/>
                <w:bCs/>
                <w:sz w:val="20"/>
                <w:szCs w:val="20"/>
              </w:rPr>
              <w:t>,</w:t>
            </w:r>
            <w:r>
              <w:rPr>
                <w:rFonts w:cs="Arial"/>
                <w:bCs/>
                <w:sz w:val="20"/>
                <w:szCs w:val="20"/>
              </w:rPr>
              <w:t>738</w:t>
            </w:r>
          </w:p>
        </w:tc>
      </w:tr>
      <w:tr w:rsidR="000C2A54" w:rsidRPr="00676064" w14:paraId="70416FCC" w14:textId="77777777" w:rsidTr="000C2A54">
        <w:trPr>
          <w:jc w:val="right"/>
        </w:trPr>
        <w:tc>
          <w:tcPr>
            <w:tcW w:w="5760" w:type="dxa"/>
          </w:tcPr>
          <w:p w14:paraId="0A543684"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Net change in cash and cash equivalent balances</w:t>
            </w:r>
          </w:p>
        </w:tc>
        <w:tc>
          <w:tcPr>
            <w:tcW w:w="1440" w:type="dxa"/>
            <w:tcBorders>
              <w:bottom w:val="single" w:sz="4" w:space="0" w:color="auto"/>
            </w:tcBorders>
          </w:tcPr>
          <w:p w14:paraId="5BBC1023" w14:textId="3E549FD1" w:rsidR="000C2A54" w:rsidRPr="003061F1" w:rsidRDefault="004B308B"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433</w:t>
            </w:r>
            <w:r w:rsidR="002A5A05">
              <w:rPr>
                <w:rFonts w:cs="Arial"/>
                <w:bCs/>
                <w:sz w:val="20"/>
                <w:szCs w:val="20"/>
              </w:rPr>
              <w:t>,</w:t>
            </w:r>
            <w:r>
              <w:rPr>
                <w:rFonts w:cs="Arial"/>
                <w:bCs/>
                <w:sz w:val="20"/>
                <w:szCs w:val="20"/>
              </w:rPr>
              <w:t>41</w:t>
            </w:r>
            <w:r w:rsidR="00780832">
              <w:rPr>
                <w:rFonts w:cs="Arial"/>
                <w:bCs/>
                <w:sz w:val="20"/>
                <w:szCs w:val="20"/>
              </w:rPr>
              <w:t>3</w:t>
            </w:r>
          </w:p>
        </w:tc>
        <w:tc>
          <w:tcPr>
            <w:tcW w:w="1439" w:type="dxa"/>
            <w:tcBorders>
              <w:bottom w:val="single" w:sz="4" w:space="0" w:color="auto"/>
            </w:tcBorders>
          </w:tcPr>
          <w:p w14:paraId="58C3F2AB" w14:textId="163BC769" w:rsidR="000C2A54" w:rsidRPr="003061F1" w:rsidRDefault="004B308B"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14</w:t>
            </w:r>
            <w:r w:rsidR="002A5A05">
              <w:rPr>
                <w:rFonts w:cs="Arial"/>
                <w:bCs/>
                <w:sz w:val="20"/>
                <w:szCs w:val="20"/>
              </w:rPr>
              <w:t>,</w:t>
            </w:r>
            <w:r>
              <w:rPr>
                <w:rFonts w:cs="Arial"/>
                <w:bCs/>
                <w:sz w:val="20"/>
                <w:szCs w:val="20"/>
              </w:rPr>
              <w:t>868</w:t>
            </w:r>
          </w:p>
        </w:tc>
      </w:tr>
      <w:tr w:rsidR="000C2A54" w:rsidRPr="00676064" w14:paraId="71D3046F" w14:textId="77777777" w:rsidTr="000C2A54">
        <w:trPr>
          <w:jc w:val="right"/>
        </w:trPr>
        <w:tc>
          <w:tcPr>
            <w:tcW w:w="5760" w:type="dxa"/>
          </w:tcPr>
          <w:p w14:paraId="196AD19C"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p w14:paraId="31F801C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 xml:space="preserve">Balance </w:t>
            </w:r>
            <w:proofErr w:type="gramStart"/>
            <w:r w:rsidRPr="003061F1">
              <w:rPr>
                <w:rFonts w:cs="Arial"/>
                <w:b/>
                <w:bCs/>
                <w:sz w:val="20"/>
                <w:szCs w:val="20"/>
              </w:rPr>
              <w:t>at</w:t>
            </w:r>
            <w:proofErr w:type="gramEnd"/>
            <w:r w:rsidRPr="003061F1">
              <w:rPr>
                <w:rFonts w:cs="Arial"/>
                <w:b/>
                <w:bCs/>
                <w:sz w:val="20"/>
                <w:szCs w:val="20"/>
              </w:rPr>
              <w:t xml:space="preserve"> 31 March</w:t>
            </w:r>
          </w:p>
        </w:tc>
        <w:tc>
          <w:tcPr>
            <w:tcW w:w="1440" w:type="dxa"/>
            <w:tcBorders>
              <w:top w:val="single" w:sz="4" w:space="0" w:color="auto"/>
              <w:bottom w:val="single" w:sz="4" w:space="0" w:color="auto"/>
            </w:tcBorders>
          </w:tcPr>
          <w:p w14:paraId="1267DF72" w14:textId="77777777" w:rsidR="00642BF8" w:rsidRDefault="00642BF8" w:rsidP="00642BF8">
            <w:pPr>
              <w:widowControl w:val="0"/>
              <w:tabs>
                <w:tab w:val="left" w:pos="567"/>
                <w:tab w:val="right" w:pos="7371"/>
                <w:tab w:val="right" w:pos="9356"/>
              </w:tabs>
              <w:autoSpaceDE w:val="0"/>
              <w:autoSpaceDN w:val="0"/>
              <w:adjustRightInd w:val="0"/>
              <w:jc w:val="right"/>
              <w:rPr>
                <w:rFonts w:cs="Arial"/>
                <w:b/>
                <w:bCs/>
                <w:sz w:val="20"/>
                <w:szCs w:val="20"/>
              </w:rPr>
            </w:pPr>
          </w:p>
          <w:p w14:paraId="35F3D0D6" w14:textId="5105768F" w:rsidR="00567379" w:rsidRPr="003061F1" w:rsidRDefault="004B308B" w:rsidP="00642BF8">
            <w:pPr>
              <w:widowControl w:val="0"/>
              <w:tabs>
                <w:tab w:val="left" w:pos="567"/>
                <w:tab w:val="right" w:pos="7371"/>
                <w:tab w:val="right" w:pos="9356"/>
              </w:tabs>
              <w:autoSpaceDE w:val="0"/>
              <w:autoSpaceDN w:val="0"/>
              <w:adjustRightInd w:val="0"/>
              <w:jc w:val="right"/>
              <w:rPr>
                <w:rFonts w:cs="Arial"/>
                <w:b/>
                <w:bCs/>
                <w:sz w:val="20"/>
                <w:szCs w:val="20"/>
              </w:rPr>
            </w:pPr>
            <w:r w:rsidRPr="00D620CA">
              <w:rPr>
                <w:rFonts w:cs="Arial"/>
                <w:b/>
                <w:bCs/>
                <w:sz w:val="20"/>
                <w:szCs w:val="20"/>
              </w:rPr>
              <w:t>990</w:t>
            </w:r>
            <w:r w:rsidR="002A5A05" w:rsidRPr="00D620CA">
              <w:rPr>
                <w:rFonts w:cs="Arial"/>
                <w:b/>
                <w:bCs/>
                <w:sz w:val="20"/>
                <w:szCs w:val="20"/>
              </w:rPr>
              <w:t>,</w:t>
            </w:r>
            <w:r w:rsidRPr="00D620CA">
              <w:rPr>
                <w:rFonts w:cs="Arial"/>
                <w:b/>
                <w:bCs/>
                <w:sz w:val="20"/>
                <w:szCs w:val="20"/>
              </w:rPr>
              <w:t>019</w:t>
            </w:r>
          </w:p>
        </w:tc>
        <w:tc>
          <w:tcPr>
            <w:tcW w:w="1439" w:type="dxa"/>
            <w:tcBorders>
              <w:top w:val="single" w:sz="4" w:space="0" w:color="auto"/>
              <w:bottom w:val="single" w:sz="4" w:space="0" w:color="auto"/>
            </w:tcBorders>
          </w:tcPr>
          <w:p w14:paraId="659F72F6"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310A43AD" w14:textId="0809A5DF" w:rsidR="00567379" w:rsidRPr="003061F1" w:rsidRDefault="002A5A05"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5</w:t>
            </w:r>
            <w:r w:rsidR="004B308B">
              <w:rPr>
                <w:rFonts w:cs="Arial"/>
                <w:b/>
                <w:bCs/>
                <w:sz w:val="20"/>
                <w:szCs w:val="20"/>
              </w:rPr>
              <w:t>56</w:t>
            </w:r>
            <w:r>
              <w:rPr>
                <w:rFonts w:cs="Arial"/>
                <w:b/>
                <w:bCs/>
                <w:sz w:val="20"/>
                <w:szCs w:val="20"/>
              </w:rPr>
              <w:t>,</w:t>
            </w:r>
            <w:r w:rsidR="004B308B">
              <w:rPr>
                <w:rFonts w:cs="Arial"/>
                <w:b/>
                <w:bCs/>
                <w:sz w:val="20"/>
                <w:szCs w:val="20"/>
              </w:rPr>
              <w:t>606</w:t>
            </w:r>
          </w:p>
        </w:tc>
      </w:tr>
      <w:tr w:rsidR="000C2A54" w:rsidRPr="00676064" w14:paraId="412C41ED" w14:textId="77777777" w:rsidTr="000C2A54">
        <w:trPr>
          <w:jc w:val="right"/>
        </w:trPr>
        <w:tc>
          <w:tcPr>
            <w:tcW w:w="5760" w:type="dxa"/>
          </w:tcPr>
          <w:p w14:paraId="475E0631" w14:textId="77777777" w:rsidR="000C2A54" w:rsidRPr="00676064" w:rsidRDefault="000C2A54" w:rsidP="000C2A54">
            <w:pPr>
              <w:widowControl w:val="0"/>
              <w:tabs>
                <w:tab w:val="left" w:pos="567"/>
                <w:tab w:val="right" w:pos="7371"/>
                <w:tab w:val="right" w:pos="9356"/>
              </w:tabs>
              <w:autoSpaceDE w:val="0"/>
              <w:autoSpaceDN w:val="0"/>
              <w:adjustRightInd w:val="0"/>
              <w:rPr>
                <w:rFonts w:cs="Arial"/>
                <w:bCs/>
              </w:rPr>
            </w:pPr>
          </w:p>
        </w:tc>
        <w:tc>
          <w:tcPr>
            <w:tcW w:w="1440" w:type="dxa"/>
            <w:tcBorders>
              <w:top w:val="single" w:sz="4" w:space="0" w:color="auto"/>
            </w:tcBorders>
          </w:tcPr>
          <w:p w14:paraId="7D2066FB"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Cs/>
              </w:rPr>
            </w:pPr>
          </w:p>
        </w:tc>
        <w:tc>
          <w:tcPr>
            <w:tcW w:w="1439" w:type="dxa"/>
            <w:tcBorders>
              <w:top w:val="single" w:sz="4" w:space="0" w:color="auto"/>
            </w:tcBorders>
          </w:tcPr>
          <w:p w14:paraId="5F1B9B93" w14:textId="77777777" w:rsidR="000C2A54" w:rsidRPr="00676064" w:rsidRDefault="000C2A54" w:rsidP="000C2A54">
            <w:pPr>
              <w:widowControl w:val="0"/>
              <w:tabs>
                <w:tab w:val="left" w:pos="567"/>
                <w:tab w:val="right" w:pos="7371"/>
                <w:tab w:val="right" w:pos="9356"/>
              </w:tabs>
              <w:autoSpaceDE w:val="0"/>
              <w:autoSpaceDN w:val="0"/>
              <w:adjustRightInd w:val="0"/>
              <w:jc w:val="right"/>
              <w:rPr>
                <w:rFonts w:cs="Arial"/>
                <w:bCs/>
              </w:rPr>
            </w:pPr>
          </w:p>
        </w:tc>
      </w:tr>
      <w:tr w:rsidR="000C2A54" w:rsidRPr="003061F1" w14:paraId="2FD72E66" w14:textId="77777777" w:rsidTr="000C2A54">
        <w:trPr>
          <w:jc w:val="right"/>
        </w:trPr>
        <w:tc>
          <w:tcPr>
            <w:tcW w:w="5760" w:type="dxa"/>
          </w:tcPr>
          <w:p w14:paraId="59E9EDAC"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 xml:space="preserve">The following balances </w:t>
            </w:r>
            <w:proofErr w:type="gramStart"/>
            <w:r w:rsidRPr="003061F1">
              <w:rPr>
                <w:rFonts w:cs="Arial"/>
                <w:bCs/>
                <w:sz w:val="20"/>
                <w:szCs w:val="20"/>
              </w:rPr>
              <w:t>at</w:t>
            </w:r>
            <w:proofErr w:type="gramEnd"/>
            <w:r w:rsidRPr="003061F1">
              <w:rPr>
                <w:rFonts w:cs="Arial"/>
                <w:bCs/>
                <w:sz w:val="20"/>
                <w:szCs w:val="20"/>
              </w:rPr>
              <w:t xml:space="preserve"> 31 March were held at:</w:t>
            </w:r>
          </w:p>
        </w:tc>
        <w:tc>
          <w:tcPr>
            <w:tcW w:w="1440" w:type="dxa"/>
          </w:tcPr>
          <w:p w14:paraId="7E4FD1BF"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Cs/>
                <w:sz w:val="20"/>
                <w:szCs w:val="20"/>
              </w:rPr>
            </w:pPr>
          </w:p>
        </w:tc>
        <w:tc>
          <w:tcPr>
            <w:tcW w:w="1439" w:type="dxa"/>
          </w:tcPr>
          <w:p w14:paraId="572E8CAA"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Cs/>
                <w:sz w:val="20"/>
                <w:szCs w:val="20"/>
              </w:rPr>
            </w:pPr>
          </w:p>
        </w:tc>
      </w:tr>
      <w:tr w:rsidR="000C2A54" w:rsidRPr="003061F1" w14:paraId="70BE2392" w14:textId="77777777" w:rsidTr="000C2A54">
        <w:trPr>
          <w:jc w:val="right"/>
        </w:trPr>
        <w:tc>
          <w:tcPr>
            <w:tcW w:w="5760" w:type="dxa"/>
          </w:tcPr>
          <w:p w14:paraId="6D1BD452" w14:textId="77777777" w:rsidR="000C2A54" w:rsidRPr="003061F1" w:rsidRDefault="000C2A54" w:rsidP="000C2A54">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Commercial banks and cash in hand</w:t>
            </w:r>
          </w:p>
        </w:tc>
        <w:tc>
          <w:tcPr>
            <w:tcW w:w="1440" w:type="dxa"/>
          </w:tcPr>
          <w:p w14:paraId="5FAD42C0" w14:textId="05FFC590" w:rsidR="000C2A54" w:rsidRPr="003061F1" w:rsidRDefault="00C75A0E"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990</w:t>
            </w:r>
            <w:r w:rsidR="002A5A05">
              <w:rPr>
                <w:rFonts w:cs="Arial"/>
                <w:bCs/>
                <w:sz w:val="20"/>
                <w:szCs w:val="20"/>
              </w:rPr>
              <w:t>,</w:t>
            </w:r>
            <w:r>
              <w:rPr>
                <w:rFonts w:cs="Arial"/>
                <w:bCs/>
                <w:sz w:val="20"/>
                <w:szCs w:val="20"/>
              </w:rPr>
              <w:t>019</w:t>
            </w:r>
          </w:p>
        </w:tc>
        <w:tc>
          <w:tcPr>
            <w:tcW w:w="1439" w:type="dxa"/>
          </w:tcPr>
          <w:p w14:paraId="14E6AE6C" w14:textId="2C2E189B" w:rsidR="000C2A54" w:rsidRPr="003061F1" w:rsidRDefault="00C75A0E" w:rsidP="000C2A54">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556</w:t>
            </w:r>
            <w:r w:rsidR="002A5A05">
              <w:rPr>
                <w:rFonts w:cs="Arial"/>
                <w:bCs/>
                <w:sz w:val="20"/>
                <w:szCs w:val="20"/>
              </w:rPr>
              <w:t>,</w:t>
            </w:r>
            <w:r>
              <w:rPr>
                <w:rFonts w:cs="Arial"/>
                <w:bCs/>
                <w:sz w:val="20"/>
                <w:szCs w:val="20"/>
              </w:rPr>
              <w:t>606</w:t>
            </w:r>
          </w:p>
        </w:tc>
      </w:tr>
      <w:tr w:rsidR="000C2A54" w:rsidRPr="003061F1" w14:paraId="106F9318" w14:textId="77777777" w:rsidTr="000C2A54">
        <w:trPr>
          <w:jc w:val="right"/>
        </w:trPr>
        <w:tc>
          <w:tcPr>
            <w:tcW w:w="5760" w:type="dxa"/>
          </w:tcPr>
          <w:p w14:paraId="49679D09"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p w14:paraId="27004BFF"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 xml:space="preserve">Balance </w:t>
            </w:r>
            <w:proofErr w:type="gramStart"/>
            <w:r w:rsidRPr="003061F1">
              <w:rPr>
                <w:rFonts w:cs="Arial"/>
                <w:b/>
                <w:bCs/>
                <w:sz w:val="20"/>
                <w:szCs w:val="20"/>
              </w:rPr>
              <w:t>at</w:t>
            </w:r>
            <w:proofErr w:type="gramEnd"/>
            <w:r w:rsidRPr="003061F1">
              <w:rPr>
                <w:rFonts w:cs="Arial"/>
                <w:b/>
                <w:bCs/>
                <w:sz w:val="20"/>
                <w:szCs w:val="20"/>
              </w:rPr>
              <w:t xml:space="preserve"> 31 March</w:t>
            </w:r>
          </w:p>
        </w:tc>
        <w:tc>
          <w:tcPr>
            <w:tcW w:w="1440" w:type="dxa"/>
            <w:tcBorders>
              <w:top w:val="single" w:sz="4" w:space="0" w:color="auto"/>
              <w:bottom w:val="single" w:sz="4" w:space="0" w:color="auto"/>
            </w:tcBorders>
          </w:tcPr>
          <w:p w14:paraId="5170346D"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58981BAD" w14:textId="5A817197" w:rsidR="00567379" w:rsidRPr="003061F1" w:rsidRDefault="00C75A0E"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990</w:t>
            </w:r>
            <w:r w:rsidR="002A5A05">
              <w:rPr>
                <w:rFonts w:cs="Arial"/>
                <w:b/>
                <w:bCs/>
                <w:sz w:val="20"/>
                <w:szCs w:val="20"/>
              </w:rPr>
              <w:t>,</w:t>
            </w:r>
            <w:r>
              <w:rPr>
                <w:rFonts w:cs="Arial"/>
                <w:b/>
                <w:bCs/>
                <w:sz w:val="20"/>
                <w:szCs w:val="20"/>
              </w:rPr>
              <w:t>019</w:t>
            </w:r>
          </w:p>
        </w:tc>
        <w:tc>
          <w:tcPr>
            <w:tcW w:w="1439" w:type="dxa"/>
            <w:tcBorders>
              <w:top w:val="single" w:sz="4" w:space="0" w:color="auto"/>
              <w:bottom w:val="single" w:sz="4" w:space="0" w:color="auto"/>
            </w:tcBorders>
          </w:tcPr>
          <w:p w14:paraId="5E6AB322" w14:textId="77777777" w:rsidR="00642BF8" w:rsidRDefault="00642BF8" w:rsidP="000C2A54">
            <w:pPr>
              <w:widowControl w:val="0"/>
              <w:tabs>
                <w:tab w:val="left" w:pos="567"/>
                <w:tab w:val="right" w:pos="7371"/>
                <w:tab w:val="right" w:pos="9356"/>
              </w:tabs>
              <w:autoSpaceDE w:val="0"/>
              <w:autoSpaceDN w:val="0"/>
              <w:adjustRightInd w:val="0"/>
              <w:jc w:val="right"/>
              <w:rPr>
                <w:rFonts w:cs="Arial"/>
                <w:b/>
                <w:bCs/>
                <w:sz w:val="20"/>
                <w:szCs w:val="20"/>
              </w:rPr>
            </w:pPr>
          </w:p>
          <w:p w14:paraId="3E66FFC9" w14:textId="72CE21DD" w:rsidR="00567379" w:rsidRPr="003061F1" w:rsidRDefault="002A5A05"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5</w:t>
            </w:r>
            <w:r w:rsidR="00C75A0E">
              <w:rPr>
                <w:rFonts w:cs="Arial"/>
                <w:b/>
                <w:bCs/>
                <w:sz w:val="20"/>
                <w:szCs w:val="20"/>
              </w:rPr>
              <w:t>56</w:t>
            </w:r>
            <w:r>
              <w:rPr>
                <w:rFonts w:cs="Arial"/>
                <w:b/>
                <w:bCs/>
                <w:sz w:val="20"/>
                <w:szCs w:val="20"/>
              </w:rPr>
              <w:t>,</w:t>
            </w:r>
            <w:r w:rsidR="00C75A0E">
              <w:rPr>
                <w:rFonts w:cs="Arial"/>
                <w:b/>
                <w:bCs/>
                <w:sz w:val="20"/>
                <w:szCs w:val="20"/>
              </w:rPr>
              <w:t>606</w:t>
            </w:r>
          </w:p>
        </w:tc>
      </w:tr>
    </w:tbl>
    <w:p w14:paraId="29C56E62" w14:textId="77777777" w:rsidR="00C75A0E" w:rsidRDefault="00C75A0E" w:rsidP="001E2AA0">
      <w:pPr>
        <w:widowControl w:val="0"/>
        <w:autoSpaceDE w:val="0"/>
        <w:autoSpaceDN w:val="0"/>
        <w:adjustRightInd w:val="0"/>
        <w:rPr>
          <w:rFonts w:cs="Arial"/>
          <w:b/>
          <w:bCs/>
        </w:rPr>
      </w:pPr>
    </w:p>
    <w:p w14:paraId="25F3BA2C" w14:textId="77777777" w:rsidR="00C75A0E" w:rsidRDefault="00C75A0E" w:rsidP="001E2AA0">
      <w:pPr>
        <w:widowControl w:val="0"/>
        <w:autoSpaceDE w:val="0"/>
        <w:autoSpaceDN w:val="0"/>
        <w:adjustRightInd w:val="0"/>
        <w:rPr>
          <w:rFonts w:cs="Arial"/>
          <w:b/>
          <w:bCs/>
        </w:rPr>
      </w:pPr>
    </w:p>
    <w:p w14:paraId="7525A322" w14:textId="16285FE6" w:rsidR="000C2A54" w:rsidRPr="00676064" w:rsidRDefault="000C2A54" w:rsidP="001E2AA0">
      <w:pPr>
        <w:widowControl w:val="0"/>
        <w:autoSpaceDE w:val="0"/>
        <w:autoSpaceDN w:val="0"/>
        <w:adjustRightInd w:val="0"/>
        <w:rPr>
          <w:rFonts w:cs="Arial"/>
          <w:b/>
          <w:bCs/>
        </w:rPr>
      </w:pPr>
      <w:r w:rsidRPr="00676064">
        <w:rPr>
          <w:rFonts w:cs="Arial"/>
          <w:b/>
          <w:bCs/>
        </w:rPr>
        <w:t>1</w:t>
      </w:r>
      <w:r w:rsidR="002A5A05">
        <w:rPr>
          <w:rFonts w:cs="Arial"/>
          <w:b/>
          <w:bCs/>
        </w:rPr>
        <w:t>2</w:t>
      </w:r>
      <w:r w:rsidRPr="00676064">
        <w:rPr>
          <w:rFonts w:cs="Arial"/>
          <w:b/>
          <w:bCs/>
        </w:rPr>
        <w:t>.</w:t>
      </w:r>
      <w:r w:rsidRPr="00676064">
        <w:rPr>
          <w:rFonts w:cs="Arial"/>
          <w:b/>
          <w:bCs/>
        </w:rPr>
        <w:tab/>
        <w:t xml:space="preserve">Trade payables and other current liabilities </w:t>
      </w:r>
    </w:p>
    <w:p w14:paraId="3FF03BA0" w14:textId="77777777" w:rsidR="000C2A54" w:rsidRPr="00676064" w:rsidRDefault="000C2A54" w:rsidP="000C2A54">
      <w:pPr>
        <w:widowControl w:val="0"/>
        <w:tabs>
          <w:tab w:val="left" w:pos="567"/>
          <w:tab w:val="right" w:pos="7371"/>
          <w:tab w:val="right" w:pos="8976"/>
        </w:tabs>
        <w:autoSpaceDE w:val="0"/>
        <w:autoSpaceDN w:val="0"/>
        <w:adjustRightInd w:val="0"/>
        <w:rPr>
          <w:rFonts w:cs="Arial"/>
          <w:b/>
          <w:bCs/>
        </w:rPr>
      </w:pPr>
    </w:p>
    <w:tbl>
      <w:tblPr>
        <w:tblW w:w="8640" w:type="dxa"/>
        <w:jc w:val="right"/>
        <w:tblLook w:val="01E0" w:firstRow="1" w:lastRow="1" w:firstColumn="1" w:lastColumn="1" w:noHBand="0" w:noVBand="0"/>
      </w:tblPr>
      <w:tblGrid>
        <w:gridCol w:w="5761"/>
        <w:gridCol w:w="1440"/>
        <w:gridCol w:w="1439"/>
      </w:tblGrid>
      <w:tr w:rsidR="000C2A54" w:rsidRPr="00676064" w14:paraId="2C73EBAE" w14:textId="77777777" w:rsidTr="000C2A54">
        <w:trPr>
          <w:jc w:val="right"/>
        </w:trPr>
        <w:tc>
          <w:tcPr>
            <w:tcW w:w="5761" w:type="dxa"/>
          </w:tcPr>
          <w:p w14:paraId="7E2C2EBB"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tc>
        <w:tc>
          <w:tcPr>
            <w:tcW w:w="1440" w:type="dxa"/>
          </w:tcPr>
          <w:p w14:paraId="0009B253" w14:textId="0D353D00"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w:t>
            </w:r>
            <w:r w:rsidR="00C75A0E">
              <w:rPr>
                <w:rFonts w:cs="Arial"/>
                <w:b/>
                <w:bCs/>
                <w:sz w:val="20"/>
                <w:szCs w:val="20"/>
              </w:rPr>
              <w:t>3</w:t>
            </w:r>
            <w:r>
              <w:rPr>
                <w:rFonts w:cs="Arial"/>
                <w:b/>
                <w:bCs/>
                <w:sz w:val="20"/>
                <w:szCs w:val="20"/>
              </w:rPr>
              <w:t>-2</w:t>
            </w:r>
            <w:r w:rsidR="00C75A0E">
              <w:rPr>
                <w:rFonts w:cs="Arial"/>
                <w:b/>
                <w:bCs/>
                <w:sz w:val="20"/>
                <w:szCs w:val="20"/>
              </w:rPr>
              <w:t>4</w:t>
            </w:r>
          </w:p>
        </w:tc>
        <w:tc>
          <w:tcPr>
            <w:tcW w:w="1439" w:type="dxa"/>
          </w:tcPr>
          <w:p w14:paraId="0F0ACD55" w14:textId="5D1F6730" w:rsidR="000C2A54" w:rsidRPr="003061F1" w:rsidRDefault="00567379" w:rsidP="000C2A54">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20</w:t>
            </w:r>
            <w:r w:rsidR="00642BF8">
              <w:rPr>
                <w:rFonts w:cs="Arial"/>
                <w:b/>
                <w:bCs/>
                <w:sz w:val="20"/>
                <w:szCs w:val="20"/>
              </w:rPr>
              <w:t>2</w:t>
            </w:r>
            <w:r w:rsidR="00C75A0E">
              <w:rPr>
                <w:rFonts w:cs="Arial"/>
                <w:b/>
                <w:bCs/>
                <w:sz w:val="20"/>
                <w:szCs w:val="20"/>
              </w:rPr>
              <w:t>2</w:t>
            </w:r>
            <w:r>
              <w:rPr>
                <w:rFonts w:cs="Arial"/>
                <w:b/>
                <w:bCs/>
                <w:sz w:val="20"/>
                <w:szCs w:val="20"/>
              </w:rPr>
              <w:t>-2</w:t>
            </w:r>
            <w:r w:rsidR="00C75A0E">
              <w:rPr>
                <w:rFonts w:cs="Arial"/>
                <w:b/>
                <w:bCs/>
                <w:sz w:val="20"/>
                <w:szCs w:val="20"/>
              </w:rPr>
              <w:t>3</w:t>
            </w:r>
          </w:p>
        </w:tc>
      </w:tr>
      <w:tr w:rsidR="000C2A54" w:rsidRPr="00676064" w14:paraId="19B8E1C9" w14:textId="77777777" w:rsidTr="000C2A54">
        <w:trPr>
          <w:jc w:val="right"/>
        </w:trPr>
        <w:tc>
          <w:tcPr>
            <w:tcW w:w="5761" w:type="dxa"/>
          </w:tcPr>
          <w:p w14:paraId="7625436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p>
        </w:tc>
        <w:tc>
          <w:tcPr>
            <w:tcW w:w="1440" w:type="dxa"/>
          </w:tcPr>
          <w:p w14:paraId="0E96A759"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c>
          <w:tcPr>
            <w:tcW w:w="1439" w:type="dxa"/>
          </w:tcPr>
          <w:p w14:paraId="449EC358"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r w:rsidRPr="003061F1">
              <w:rPr>
                <w:rFonts w:cs="Arial"/>
                <w:b/>
                <w:bCs/>
                <w:sz w:val="20"/>
                <w:szCs w:val="20"/>
              </w:rPr>
              <w:t>£</w:t>
            </w:r>
          </w:p>
        </w:tc>
      </w:tr>
      <w:tr w:rsidR="000C2A54" w:rsidRPr="00676064" w14:paraId="4242107E" w14:textId="77777777" w:rsidTr="000C2A54">
        <w:trPr>
          <w:jc w:val="right"/>
        </w:trPr>
        <w:tc>
          <w:tcPr>
            <w:tcW w:w="5761" w:type="dxa"/>
          </w:tcPr>
          <w:p w14:paraId="64BA9530" w14:textId="77777777" w:rsidR="000C2A54" w:rsidRPr="003061F1" w:rsidRDefault="000C2A54" w:rsidP="000C2A54">
            <w:pPr>
              <w:widowControl w:val="0"/>
              <w:tabs>
                <w:tab w:val="left" w:pos="567"/>
                <w:tab w:val="right" w:pos="7371"/>
                <w:tab w:val="right" w:pos="9356"/>
              </w:tabs>
              <w:autoSpaceDE w:val="0"/>
              <w:autoSpaceDN w:val="0"/>
              <w:adjustRightInd w:val="0"/>
              <w:rPr>
                <w:rFonts w:cs="Arial"/>
                <w:b/>
                <w:bCs/>
                <w:sz w:val="20"/>
                <w:szCs w:val="20"/>
              </w:rPr>
            </w:pPr>
            <w:r w:rsidRPr="003061F1">
              <w:rPr>
                <w:rFonts w:cs="Arial"/>
                <w:b/>
                <w:bCs/>
                <w:sz w:val="20"/>
                <w:szCs w:val="20"/>
              </w:rPr>
              <w:t>Amounts falling due within one year:</w:t>
            </w:r>
          </w:p>
        </w:tc>
        <w:tc>
          <w:tcPr>
            <w:tcW w:w="1440" w:type="dxa"/>
          </w:tcPr>
          <w:p w14:paraId="64FA42FA"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c>
          <w:tcPr>
            <w:tcW w:w="1439" w:type="dxa"/>
          </w:tcPr>
          <w:p w14:paraId="6FE86A47" w14:textId="77777777" w:rsidR="000C2A54" w:rsidRPr="003061F1" w:rsidRDefault="000C2A54" w:rsidP="000C2A54">
            <w:pPr>
              <w:widowControl w:val="0"/>
              <w:tabs>
                <w:tab w:val="left" w:pos="567"/>
                <w:tab w:val="right" w:pos="7371"/>
                <w:tab w:val="right" w:pos="9356"/>
              </w:tabs>
              <w:autoSpaceDE w:val="0"/>
              <w:autoSpaceDN w:val="0"/>
              <w:adjustRightInd w:val="0"/>
              <w:jc w:val="right"/>
              <w:rPr>
                <w:rFonts w:cs="Arial"/>
                <w:b/>
                <w:bCs/>
                <w:sz w:val="20"/>
                <w:szCs w:val="20"/>
              </w:rPr>
            </w:pPr>
          </w:p>
        </w:tc>
      </w:tr>
      <w:tr w:rsidR="002B6EF7" w:rsidRPr="00676064" w14:paraId="0EB339B9" w14:textId="77777777" w:rsidTr="000C2A54">
        <w:trPr>
          <w:jc w:val="right"/>
        </w:trPr>
        <w:tc>
          <w:tcPr>
            <w:tcW w:w="5761" w:type="dxa"/>
          </w:tcPr>
          <w:p w14:paraId="7B7F7E6C"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Taxation and social security</w:t>
            </w:r>
          </w:p>
        </w:tc>
        <w:tc>
          <w:tcPr>
            <w:tcW w:w="1440" w:type="dxa"/>
          </w:tcPr>
          <w:p w14:paraId="6521EE77" w14:textId="782E8DE8" w:rsidR="002B6EF7" w:rsidRPr="003061F1" w:rsidRDefault="00C75A0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41</w:t>
            </w:r>
            <w:r w:rsidR="002A58CE">
              <w:rPr>
                <w:rFonts w:cs="Arial"/>
                <w:bCs/>
                <w:sz w:val="20"/>
                <w:szCs w:val="20"/>
              </w:rPr>
              <w:t>,</w:t>
            </w:r>
            <w:r>
              <w:rPr>
                <w:rFonts w:cs="Arial"/>
                <w:bCs/>
                <w:sz w:val="20"/>
                <w:szCs w:val="20"/>
              </w:rPr>
              <w:t>50</w:t>
            </w:r>
            <w:r w:rsidR="001C5521">
              <w:rPr>
                <w:rFonts w:cs="Arial"/>
                <w:bCs/>
                <w:sz w:val="20"/>
                <w:szCs w:val="20"/>
              </w:rPr>
              <w:t>3</w:t>
            </w:r>
          </w:p>
        </w:tc>
        <w:tc>
          <w:tcPr>
            <w:tcW w:w="1439" w:type="dxa"/>
          </w:tcPr>
          <w:p w14:paraId="61C64789" w14:textId="785D1F29" w:rsidR="002B6EF7" w:rsidRPr="003061F1" w:rsidRDefault="002A58C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w:t>
            </w:r>
            <w:r w:rsidR="00C75A0E">
              <w:rPr>
                <w:rFonts w:cs="Arial"/>
                <w:bCs/>
                <w:sz w:val="20"/>
                <w:szCs w:val="20"/>
              </w:rPr>
              <w:t>3</w:t>
            </w:r>
            <w:r>
              <w:rPr>
                <w:rFonts w:cs="Arial"/>
                <w:bCs/>
                <w:sz w:val="20"/>
                <w:szCs w:val="20"/>
              </w:rPr>
              <w:t>,</w:t>
            </w:r>
            <w:r w:rsidR="00C75A0E">
              <w:rPr>
                <w:rFonts w:cs="Arial"/>
                <w:bCs/>
                <w:sz w:val="20"/>
                <w:szCs w:val="20"/>
              </w:rPr>
              <w:t>653</w:t>
            </w:r>
          </w:p>
        </w:tc>
      </w:tr>
      <w:tr w:rsidR="002B6EF7" w:rsidRPr="00676064" w14:paraId="4101B7A2" w14:textId="77777777" w:rsidTr="000C2A54">
        <w:trPr>
          <w:jc w:val="right"/>
        </w:trPr>
        <w:tc>
          <w:tcPr>
            <w:tcW w:w="5761" w:type="dxa"/>
          </w:tcPr>
          <w:p w14:paraId="0CBA37B7" w14:textId="77777777" w:rsidR="002B6EF7" w:rsidRPr="003061F1" w:rsidRDefault="002B6EF7" w:rsidP="007B2D55">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Trade</w:t>
            </w:r>
            <w:r w:rsidR="00256432">
              <w:rPr>
                <w:rFonts w:cs="Arial"/>
                <w:bCs/>
                <w:sz w:val="20"/>
                <w:szCs w:val="20"/>
              </w:rPr>
              <w:t xml:space="preserve"> </w:t>
            </w:r>
            <w:r w:rsidRPr="003061F1">
              <w:rPr>
                <w:rFonts w:cs="Arial"/>
                <w:bCs/>
                <w:sz w:val="20"/>
                <w:szCs w:val="20"/>
              </w:rPr>
              <w:t>payables</w:t>
            </w:r>
          </w:p>
        </w:tc>
        <w:tc>
          <w:tcPr>
            <w:tcW w:w="1440" w:type="dxa"/>
          </w:tcPr>
          <w:p w14:paraId="5EF82239" w14:textId="62C96787" w:rsidR="002B6EF7" w:rsidRPr="003061F1" w:rsidRDefault="00C75A0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5,770</w:t>
            </w:r>
          </w:p>
        </w:tc>
        <w:tc>
          <w:tcPr>
            <w:tcW w:w="1439" w:type="dxa"/>
          </w:tcPr>
          <w:p w14:paraId="7045CE21" w14:textId="29192920" w:rsidR="002B6EF7" w:rsidRPr="003061F1" w:rsidRDefault="002A58C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94</w:t>
            </w:r>
            <w:r w:rsidR="00C75A0E">
              <w:rPr>
                <w:rFonts w:cs="Arial"/>
                <w:bCs/>
                <w:sz w:val="20"/>
                <w:szCs w:val="20"/>
              </w:rPr>
              <w:t>2</w:t>
            </w:r>
          </w:p>
        </w:tc>
      </w:tr>
      <w:tr w:rsidR="002B6EF7" w:rsidRPr="00676064" w14:paraId="6EB8E94C" w14:textId="77777777" w:rsidTr="000C2A54">
        <w:trPr>
          <w:jc w:val="right"/>
        </w:trPr>
        <w:tc>
          <w:tcPr>
            <w:tcW w:w="5761" w:type="dxa"/>
          </w:tcPr>
          <w:p w14:paraId="79EE8E33"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Other payables</w:t>
            </w:r>
          </w:p>
        </w:tc>
        <w:tc>
          <w:tcPr>
            <w:tcW w:w="1440" w:type="dxa"/>
          </w:tcPr>
          <w:p w14:paraId="4FD23E40" w14:textId="354F1BDD" w:rsidR="002B6EF7" w:rsidRPr="003061F1" w:rsidRDefault="00C75A0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9,144</w:t>
            </w:r>
          </w:p>
        </w:tc>
        <w:tc>
          <w:tcPr>
            <w:tcW w:w="1439" w:type="dxa"/>
          </w:tcPr>
          <w:p w14:paraId="4FAB03AD" w14:textId="46ECC573" w:rsidR="002B6EF7" w:rsidRPr="003061F1" w:rsidRDefault="00C75A0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5</w:t>
            </w:r>
            <w:r w:rsidR="002A58CE">
              <w:rPr>
                <w:rFonts w:cs="Arial"/>
                <w:bCs/>
                <w:sz w:val="20"/>
                <w:szCs w:val="20"/>
              </w:rPr>
              <w:t>,</w:t>
            </w:r>
            <w:r>
              <w:rPr>
                <w:rFonts w:cs="Arial"/>
                <w:bCs/>
                <w:sz w:val="20"/>
                <w:szCs w:val="20"/>
              </w:rPr>
              <w:t>252</w:t>
            </w:r>
          </w:p>
        </w:tc>
      </w:tr>
      <w:tr w:rsidR="002B6EF7" w:rsidRPr="00676064" w14:paraId="661BEB78" w14:textId="77777777" w:rsidTr="000C2A54">
        <w:trPr>
          <w:jc w:val="right"/>
        </w:trPr>
        <w:tc>
          <w:tcPr>
            <w:tcW w:w="5761" w:type="dxa"/>
          </w:tcPr>
          <w:p w14:paraId="46DB0690" w14:textId="77777777" w:rsidR="002B6EF7" w:rsidRPr="003061F1" w:rsidRDefault="002B6EF7" w:rsidP="002B6EF7">
            <w:pPr>
              <w:widowControl w:val="0"/>
              <w:tabs>
                <w:tab w:val="left" w:pos="567"/>
                <w:tab w:val="right" w:pos="7371"/>
                <w:tab w:val="right" w:pos="9356"/>
              </w:tabs>
              <w:autoSpaceDE w:val="0"/>
              <w:autoSpaceDN w:val="0"/>
              <w:adjustRightInd w:val="0"/>
              <w:rPr>
                <w:rFonts w:cs="Arial"/>
                <w:bCs/>
                <w:sz w:val="20"/>
                <w:szCs w:val="20"/>
              </w:rPr>
            </w:pPr>
            <w:r w:rsidRPr="003061F1">
              <w:rPr>
                <w:rFonts w:cs="Arial"/>
                <w:bCs/>
                <w:sz w:val="20"/>
                <w:szCs w:val="20"/>
              </w:rPr>
              <w:t>Accruals</w:t>
            </w:r>
          </w:p>
        </w:tc>
        <w:tc>
          <w:tcPr>
            <w:tcW w:w="1440" w:type="dxa"/>
          </w:tcPr>
          <w:p w14:paraId="5B97A930" w14:textId="5B999E08" w:rsidR="002B6EF7" w:rsidRPr="003061F1" w:rsidRDefault="00C75A0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399,919</w:t>
            </w:r>
          </w:p>
        </w:tc>
        <w:tc>
          <w:tcPr>
            <w:tcW w:w="1439" w:type="dxa"/>
          </w:tcPr>
          <w:p w14:paraId="64427F56" w14:textId="5A5FDB38" w:rsidR="002B6EF7" w:rsidRPr="003061F1" w:rsidRDefault="00C75A0E" w:rsidP="002B6EF7">
            <w:pPr>
              <w:widowControl w:val="0"/>
              <w:tabs>
                <w:tab w:val="left" w:pos="567"/>
                <w:tab w:val="right" w:pos="7371"/>
                <w:tab w:val="right" w:pos="9356"/>
              </w:tabs>
              <w:autoSpaceDE w:val="0"/>
              <w:autoSpaceDN w:val="0"/>
              <w:adjustRightInd w:val="0"/>
              <w:jc w:val="right"/>
              <w:rPr>
                <w:rFonts w:cs="Arial"/>
                <w:bCs/>
                <w:sz w:val="20"/>
                <w:szCs w:val="20"/>
              </w:rPr>
            </w:pPr>
            <w:r>
              <w:rPr>
                <w:rFonts w:cs="Arial"/>
                <w:bCs/>
                <w:sz w:val="20"/>
                <w:szCs w:val="20"/>
              </w:rPr>
              <w:t>285</w:t>
            </w:r>
            <w:r w:rsidR="002A58CE">
              <w:rPr>
                <w:rFonts w:cs="Arial"/>
                <w:bCs/>
                <w:sz w:val="20"/>
                <w:szCs w:val="20"/>
              </w:rPr>
              <w:t>,</w:t>
            </w:r>
            <w:r>
              <w:rPr>
                <w:rFonts w:cs="Arial"/>
                <w:bCs/>
                <w:sz w:val="20"/>
                <w:szCs w:val="20"/>
              </w:rPr>
              <w:t>521</w:t>
            </w:r>
          </w:p>
        </w:tc>
      </w:tr>
      <w:tr w:rsidR="002B6EF7" w:rsidRPr="00676064" w14:paraId="4D2EB684" w14:textId="77777777" w:rsidTr="000C2A54">
        <w:trPr>
          <w:jc w:val="right"/>
        </w:trPr>
        <w:tc>
          <w:tcPr>
            <w:tcW w:w="5761" w:type="dxa"/>
          </w:tcPr>
          <w:p w14:paraId="582543A4" w14:textId="77777777" w:rsidR="002B6EF7" w:rsidRPr="003061F1" w:rsidRDefault="002B6EF7" w:rsidP="002B6EF7">
            <w:pPr>
              <w:widowControl w:val="0"/>
              <w:tabs>
                <w:tab w:val="left" w:pos="567"/>
                <w:tab w:val="right" w:pos="7371"/>
                <w:tab w:val="right" w:pos="9356"/>
              </w:tabs>
              <w:autoSpaceDE w:val="0"/>
              <w:autoSpaceDN w:val="0"/>
              <w:adjustRightInd w:val="0"/>
              <w:rPr>
                <w:rFonts w:cs="Arial"/>
                <w:b/>
                <w:bCs/>
                <w:sz w:val="20"/>
                <w:szCs w:val="20"/>
              </w:rPr>
            </w:pPr>
          </w:p>
          <w:p w14:paraId="28A0DDBF" w14:textId="77777777" w:rsidR="002B6EF7" w:rsidRPr="003061F1" w:rsidRDefault="002B6EF7" w:rsidP="002B6EF7">
            <w:pPr>
              <w:widowControl w:val="0"/>
              <w:tabs>
                <w:tab w:val="left" w:pos="567"/>
                <w:tab w:val="right" w:pos="7371"/>
                <w:tab w:val="right" w:pos="9356"/>
              </w:tabs>
              <w:autoSpaceDE w:val="0"/>
              <w:autoSpaceDN w:val="0"/>
              <w:adjustRightInd w:val="0"/>
              <w:rPr>
                <w:rFonts w:cs="Arial"/>
                <w:b/>
                <w:bCs/>
                <w:sz w:val="20"/>
                <w:szCs w:val="20"/>
              </w:rPr>
            </w:pPr>
          </w:p>
        </w:tc>
        <w:tc>
          <w:tcPr>
            <w:tcW w:w="1440" w:type="dxa"/>
            <w:tcBorders>
              <w:top w:val="single" w:sz="4" w:space="0" w:color="auto"/>
              <w:bottom w:val="single" w:sz="4" w:space="0" w:color="auto"/>
            </w:tcBorders>
          </w:tcPr>
          <w:p w14:paraId="3E67A2D5" w14:textId="77777777" w:rsidR="00BF0DCC" w:rsidRDefault="00BF0DCC" w:rsidP="002B6EF7">
            <w:pPr>
              <w:widowControl w:val="0"/>
              <w:tabs>
                <w:tab w:val="left" w:pos="567"/>
                <w:tab w:val="right" w:pos="7371"/>
                <w:tab w:val="right" w:pos="9356"/>
              </w:tabs>
              <w:autoSpaceDE w:val="0"/>
              <w:autoSpaceDN w:val="0"/>
              <w:adjustRightInd w:val="0"/>
              <w:jc w:val="right"/>
              <w:rPr>
                <w:rFonts w:cs="Arial"/>
                <w:b/>
                <w:bCs/>
                <w:sz w:val="20"/>
                <w:szCs w:val="20"/>
              </w:rPr>
            </w:pPr>
          </w:p>
          <w:p w14:paraId="28DE92EE" w14:textId="38F14584" w:rsidR="00567379" w:rsidRPr="003061F1" w:rsidRDefault="00C75A0E" w:rsidP="002B6EF7">
            <w:pPr>
              <w:widowControl w:val="0"/>
              <w:tabs>
                <w:tab w:val="left" w:pos="567"/>
                <w:tab w:val="right" w:pos="7371"/>
                <w:tab w:val="right" w:pos="9356"/>
              </w:tabs>
              <w:autoSpaceDE w:val="0"/>
              <w:autoSpaceDN w:val="0"/>
              <w:adjustRightInd w:val="0"/>
              <w:jc w:val="right"/>
              <w:rPr>
                <w:rFonts w:cs="Arial"/>
                <w:b/>
                <w:bCs/>
                <w:sz w:val="20"/>
                <w:szCs w:val="20"/>
              </w:rPr>
            </w:pPr>
            <w:r w:rsidRPr="001C5521">
              <w:rPr>
                <w:rFonts w:cs="Arial"/>
                <w:b/>
                <w:bCs/>
                <w:sz w:val="20"/>
                <w:szCs w:val="20"/>
              </w:rPr>
              <w:t>456,336</w:t>
            </w:r>
          </w:p>
        </w:tc>
        <w:tc>
          <w:tcPr>
            <w:tcW w:w="1439" w:type="dxa"/>
            <w:tcBorders>
              <w:top w:val="single" w:sz="4" w:space="0" w:color="auto"/>
              <w:bottom w:val="single" w:sz="4" w:space="0" w:color="auto"/>
            </w:tcBorders>
          </w:tcPr>
          <w:p w14:paraId="7DB78E39" w14:textId="77777777" w:rsidR="00642BF8" w:rsidRDefault="00642BF8" w:rsidP="002B6EF7">
            <w:pPr>
              <w:widowControl w:val="0"/>
              <w:tabs>
                <w:tab w:val="left" w:pos="567"/>
                <w:tab w:val="right" w:pos="7371"/>
                <w:tab w:val="right" w:pos="9356"/>
              </w:tabs>
              <w:autoSpaceDE w:val="0"/>
              <w:autoSpaceDN w:val="0"/>
              <w:adjustRightInd w:val="0"/>
              <w:jc w:val="right"/>
              <w:rPr>
                <w:rFonts w:cs="Arial"/>
                <w:b/>
                <w:bCs/>
                <w:sz w:val="20"/>
                <w:szCs w:val="20"/>
              </w:rPr>
            </w:pPr>
          </w:p>
          <w:p w14:paraId="05D811C7" w14:textId="65D25D8A" w:rsidR="00567379" w:rsidRPr="003061F1" w:rsidRDefault="00C75A0E" w:rsidP="002B6EF7">
            <w:pPr>
              <w:widowControl w:val="0"/>
              <w:tabs>
                <w:tab w:val="left" w:pos="567"/>
                <w:tab w:val="right" w:pos="7371"/>
                <w:tab w:val="right" w:pos="9356"/>
              </w:tabs>
              <w:autoSpaceDE w:val="0"/>
              <w:autoSpaceDN w:val="0"/>
              <w:adjustRightInd w:val="0"/>
              <w:jc w:val="right"/>
              <w:rPr>
                <w:rFonts w:cs="Arial"/>
                <w:b/>
                <w:bCs/>
                <w:sz w:val="20"/>
                <w:szCs w:val="20"/>
              </w:rPr>
            </w:pPr>
            <w:r>
              <w:rPr>
                <w:rFonts w:cs="Arial"/>
                <w:b/>
                <w:bCs/>
                <w:sz w:val="20"/>
                <w:szCs w:val="20"/>
              </w:rPr>
              <w:t>325</w:t>
            </w:r>
            <w:r w:rsidR="002A58CE">
              <w:rPr>
                <w:rFonts w:cs="Arial"/>
                <w:b/>
                <w:bCs/>
                <w:sz w:val="20"/>
                <w:szCs w:val="20"/>
              </w:rPr>
              <w:t>,3</w:t>
            </w:r>
            <w:r>
              <w:rPr>
                <w:rFonts w:cs="Arial"/>
                <w:b/>
                <w:bCs/>
                <w:sz w:val="20"/>
                <w:szCs w:val="20"/>
              </w:rPr>
              <w:t>68</w:t>
            </w:r>
          </w:p>
        </w:tc>
      </w:tr>
    </w:tbl>
    <w:p w14:paraId="4F5E3AD5" w14:textId="57E79CBD" w:rsidR="00250101" w:rsidRDefault="00250101">
      <w:pPr>
        <w:rPr>
          <w:b/>
          <w:sz w:val="22"/>
          <w:szCs w:val="22"/>
        </w:rPr>
      </w:pPr>
    </w:p>
    <w:p w14:paraId="522B1B71" w14:textId="77777777" w:rsidR="00C75A0E" w:rsidRDefault="00C75A0E" w:rsidP="000C2A54">
      <w:pPr>
        <w:rPr>
          <w:b/>
          <w:sz w:val="22"/>
          <w:szCs w:val="22"/>
        </w:rPr>
      </w:pPr>
    </w:p>
    <w:p w14:paraId="5E12E501" w14:textId="77777777" w:rsidR="00C75A0E" w:rsidRDefault="00C75A0E" w:rsidP="000C2A54">
      <w:pPr>
        <w:rPr>
          <w:b/>
          <w:sz w:val="22"/>
          <w:szCs w:val="22"/>
        </w:rPr>
      </w:pPr>
    </w:p>
    <w:p w14:paraId="0B4F200D" w14:textId="77777777" w:rsidR="00C75A0E" w:rsidRDefault="00C75A0E" w:rsidP="000C2A54">
      <w:pPr>
        <w:rPr>
          <w:b/>
          <w:sz w:val="22"/>
          <w:szCs w:val="22"/>
        </w:rPr>
      </w:pPr>
    </w:p>
    <w:p w14:paraId="4AB362B4" w14:textId="77777777" w:rsidR="00C75A0E" w:rsidRDefault="00C75A0E" w:rsidP="000C2A54">
      <w:pPr>
        <w:rPr>
          <w:b/>
          <w:sz w:val="22"/>
          <w:szCs w:val="22"/>
        </w:rPr>
      </w:pPr>
    </w:p>
    <w:p w14:paraId="6BEB94FA" w14:textId="758D599A" w:rsidR="000C2A54" w:rsidRPr="00EB5423" w:rsidRDefault="000C2A54" w:rsidP="000C2A54">
      <w:pPr>
        <w:rPr>
          <w:b/>
          <w:sz w:val="22"/>
          <w:szCs w:val="22"/>
        </w:rPr>
      </w:pPr>
      <w:r w:rsidRPr="00EB5423">
        <w:rPr>
          <w:b/>
          <w:sz w:val="22"/>
          <w:szCs w:val="22"/>
        </w:rPr>
        <w:t>1</w:t>
      </w:r>
      <w:r w:rsidR="002A5A05">
        <w:rPr>
          <w:b/>
          <w:sz w:val="22"/>
          <w:szCs w:val="22"/>
        </w:rPr>
        <w:t>3</w:t>
      </w:r>
      <w:r w:rsidRPr="00EB5423">
        <w:rPr>
          <w:b/>
          <w:sz w:val="22"/>
          <w:szCs w:val="22"/>
        </w:rPr>
        <w:t xml:space="preserve">. </w:t>
      </w:r>
      <w:r w:rsidRPr="002E138D">
        <w:rPr>
          <w:b/>
        </w:rPr>
        <w:t>Provisions for liabilities and charges</w:t>
      </w:r>
    </w:p>
    <w:p w14:paraId="47BF32B5" w14:textId="77777777" w:rsidR="000C2A54" w:rsidRPr="00EB5423" w:rsidRDefault="000C2A54" w:rsidP="000C2A54">
      <w:pPr>
        <w:pStyle w:val="BodyTextIndent2"/>
        <w:spacing w:after="0" w:line="240" w:lineRule="auto"/>
        <w:ind w:left="567" w:hanging="567"/>
        <w:rPr>
          <w:rFonts w:ascii="Verdana" w:hAnsi="Verdana"/>
          <w:b/>
          <w:sz w:val="22"/>
          <w:szCs w:val="22"/>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906"/>
        <w:gridCol w:w="1559"/>
      </w:tblGrid>
      <w:tr w:rsidR="00477ABD" w14:paraId="21935AB0" w14:textId="77777777" w:rsidTr="007E1108">
        <w:tc>
          <w:tcPr>
            <w:tcW w:w="1501" w:type="dxa"/>
          </w:tcPr>
          <w:p w14:paraId="0D091536" w14:textId="77777777" w:rsidR="00477ABD" w:rsidRPr="00EA0107" w:rsidRDefault="00477ABD" w:rsidP="000C2A54">
            <w:pPr>
              <w:pStyle w:val="BodyTextIndent2"/>
              <w:spacing w:after="0" w:line="240" w:lineRule="auto"/>
              <w:ind w:left="0"/>
              <w:rPr>
                <w:rFonts w:ascii="Verdana" w:hAnsi="Verdana"/>
                <w:b/>
                <w:sz w:val="20"/>
                <w:szCs w:val="20"/>
              </w:rPr>
            </w:pPr>
          </w:p>
        </w:tc>
        <w:tc>
          <w:tcPr>
            <w:tcW w:w="1906" w:type="dxa"/>
          </w:tcPr>
          <w:p w14:paraId="307F68B9" w14:textId="2A59EDE6" w:rsidR="00477ABD" w:rsidRPr="00EA0107" w:rsidRDefault="00477ABD" w:rsidP="00EA0107">
            <w:pPr>
              <w:pStyle w:val="BodyTextIndent2"/>
              <w:spacing w:after="0" w:line="240" w:lineRule="auto"/>
              <w:ind w:left="0"/>
              <w:jc w:val="center"/>
              <w:rPr>
                <w:rFonts w:ascii="Verdana" w:hAnsi="Verdana"/>
                <w:b/>
                <w:sz w:val="20"/>
                <w:szCs w:val="20"/>
              </w:rPr>
            </w:pPr>
            <w:r>
              <w:rPr>
                <w:rFonts w:ascii="Verdana" w:hAnsi="Verdana"/>
                <w:b/>
                <w:sz w:val="20"/>
                <w:szCs w:val="20"/>
              </w:rPr>
              <w:t>202</w:t>
            </w:r>
            <w:r w:rsidR="00C75A0E">
              <w:rPr>
                <w:rFonts w:ascii="Verdana" w:hAnsi="Verdana"/>
                <w:b/>
                <w:sz w:val="20"/>
                <w:szCs w:val="20"/>
              </w:rPr>
              <w:t>3</w:t>
            </w:r>
            <w:r>
              <w:rPr>
                <w:rFonts w:ascii="Verdana" w:hAnsi="Verdana"/>
                <w:b/>
                <w:sz w:val="20"/>
                <w:szCs w:val="20"/>
              </w:rPr>
              <w:t>-2</w:t>
            </w:r>
            <w:r w:rsidR="00C75A0E">
              <w:rPr>
                <w:rFonts w:ascii="Verdana" w:hAnsi="Verdana"/>
                <w:b/>
                <w:sz w:val="20"/>
                <w:szCs w:val="20"/>
              </w:rPr>
              <w:t>4</w:t>
            </w:r>
          </w:p>
        </w:tc>
        <w:tc>
          <w:tcPr>
            <w:tcW w:w="1559" w:type="dxa"/>
          </w:tcPr>
          <w:p w14:paraId="22E14C36" w14:textId="7C0EF784" w:rsidR="00477ABD" w:rsidRPr="00EA0107" w:rsidRDefault="00477ABD" w:rsidP="00EA0107">
            <w:pPr>
              <w:pStyle w:val="BodyTextIndent2"/>
              <w:spacing w:after="0" w:line="240" w:lineRule="auto"/>
              <w:ind w:left="0"/>
              <w:jc w:val="center"/>
              <w:rPr>
                <w:rFonts w:ascii="Verdana" w:hAnsi="Verdana"/>
                <w:b/>
                <w:sz w:val="20"/>
                <w:szCs w:val="20"/>
              </w:rPr>
            </w:pPr>
            <w:r>
              <w:rPr>
                <w:rFonts w:ascii="Verdana" w:hAnsi="Verdana"/>
                <w:b/>
                <w:sz w:val="20"/>
                <w:szCs w:val="20"/>
              </w:rPr>
              <w:t>202</w:t>
            </w:r>
            <w:r w:rsidR="00C75A0E">
              <w:rPr>
                <w:rFonts w:ascii="Verdana" w:hAnsi="Verdana"/>
                <w:b/>
                <w:sz w:val="20"/>
                <w:szCs w:val="20"/>
              </w:rPr>
              <w:t>3</w:t>
            </w:r>
            <w:r>
              <w:rPr>
                <w:rFonts w:ascii="Verdana" w:hAnsi="Verdana"/>
                <w:b/>
                <w:sz w:val="20"/>
                <w:szCs w:val="20"/>
              </w:rPr>
              <w:t>-2</w:t>
            </w:r>
            <w:r w:rsidR="00C75A0E">
              <w:rPr>
                <w:rFonts w:ascii="Verdana" w:hAnsi="Verdana"/>
                <w:b/>
                <w:sz w:val="20"/>
                <w:szCs w:val="20"/>
              </w:rPr>
              <w:t>4</w:t>
            </w:r>
          </w:p>
        </w:tc>
      </w:tr>
      <w:tr w:rsidR="00477ABD" w14:paraId="37874938" w14:textId="77777777" w:rsidTr="007E1108">
        <w:tc>
          <w:tcPr>
            <w:tcW w:w="1501" w:type="dxa"/>
          </w:tcPr>
          <w:p w14:paraId="2D0AE496" w14:textId="77777777" w:rsidR="00477ABD" w:rsidRPr="00EA0107" w:rsidRDefault="00477ABD" w:rsidP="000C2A54">
            <w:pPr>
              <w:pStyle w:val="BodyTextIndent2"/>
              <w:spacing w:after="0" w:line="240" w:lineRule="auto"/>
              <w:ind w:left="0"/>
              <w:rPr>
                <w:rFonts w:ascii="Verdana" w:hAnsi="Verdana"/>
                <w:b/>
                <w:sz w:val="20"/>
                <w:szCs w:val="20"/>
              </w:rPr>
            </w:pPr>
          </w:p>
        </w:tc>
        <w:tc>
          <w:tcPr>
            <w:tcW w:w="1906" w:type="dxa"/>
          </w:tcPr>
          <w:p w14:paraId="15F00F62"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Other</w:t>
            </w:r>
          </w:p>
        </w:tc>
        <w:tc>
          <w:tcPr>
            <w:tcW w:w="1559" w:type="dxa"/>
          </w:tcPr>
          <w:p w14:paraId="358AE19E"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Total</w:t>
            </w:r>
          </w:p>
        </w:tc>
      </w:tr>
      <w:tr w:rsidR="00477ABD" w14:paraId="0A19BDBC" w14:textId="77777777" w:rsidTr="007E1108">
        <w:tc>
          <w:tcPr>
            <w:tcW w:w="1501" w:type="dxa"/>
          </w:tcPr>
          <w:p w14:paraId="5C10AFDA" w14:textId="77777777" w:rsidR="00477ABD" w:rsidRPr="00EA0107" w:rsidRDefault="00477ABD" w:rsidP="000C2A54">
            <w:pPr>
              <w:pStyle w:val="BodyTextIndent2"/>
              <w:spacing w:after="0" w:line="240" w:lineRule="auto"/>
              <w:ind w:left="0"/>
              <w:rPr>
                <w:rFonts w:ascii="Verdana" w:hAnsi="Verdana"/>
                <w:b/>
                <w:sz w:val="20"/>
                <w:szCs w:val="20"/>
              </w:rPr>
            </w:pPr>
          </w:p>
        </w:tc>
        <w:tc>
          <w:tcPr>
            <w:tcW w:w="1906" w:type="dxa"/>
          </w:tcPr>
          <w:p w14:paraId="0737151E"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w:t>
            </w:r>
          </w:p>
        </w:tc>
        <w:tc>
          <w:tcPr>
            <w:tcW w:w="1559" w:type="dxa"/>
          </w:tcPr>
          <w:p w14:paraId="6731C7FC" w14:textId="77777777" w:rsidR="00477ABD" w:rsidRPr="00EA0107" w:rsidRDefault="00477ABD" w:rsidP="00EA0107">
            <w:pPr>
              <w:pStyle w:val="BodyTextIndent2"/>
              <w:spacing w:after="0" w:line="240" w:lineRule="auto"/>
              <w:ind w:left="0"/>
              <w:jc w:val="center"/>
              <w:rPr>
                <w:rFonts w:ascii="Verdana" w:hAnsi="Verdana"/>
                <w:b/>
                <w:sz w:val="20"/>
                <w:szCs w:val="20"/>
              </w:rPr>
            </w:pPr>
            <w:r w:rsidRPr="00EA0107">
              <w:rPr>
                <w:rFonts w:ascii="Verdana" w:hAnsi="Verdana"/>
                <w:b/>
                <w:sz w:val="20"/>
                <w:szCs w:val="20"/>
              </w:rPr>
              <w:t>£</w:t>
            </w:r>
          </w:p>
        </w:tc>
      </w:tr>
      <w:tr w:rsidR="00477ABD" w14:paraId="1C4C6400" w14:textId="77777777" w:rsidTr="007E1108">
        <w:tc>
          <w:tcPr>
            <w:tcW w:w="1501" w:type="dxa"/>
          </w:tcPr>
          <w:p w14:paraId="18907FDC" w14:textId="77777777" w:rsidR="00477ABD" w:rsidRPr="00EA0107" w:rsidRDefault="00477ABD" w:rsidP="000C2A54">
            <w:pPr>
              <w:pStyle w:val="BodyTextIndent2"/>
              <w:spacing w:after="0" w:line="240" w:lineRule="auto"/>
              <w:ind w:left="0"/>
              <w:rPr>
                <w:rFonts w:ascii="Verdana" w:hAnsi="Verdana"/>
                <w:b/>
                <w:sz w:val="20"/>
                <w:szCs w:val="20"/>
              </w:rPr>
            </w:pPr>
            <w:r w:rsidRPr="00EA0107">
              <w:rPr>
                <w:rFonts w:ascii="Verdana" w:hAnsi="Verdana"/>
                <w:b/>
                <w:sz w:val="20"/>
                <w:szCs w:val="20"/>
              </w:rPr>
              <w:t xml:space="preserve">Balance </w:t>
            </w:r>
            <w:proofErr w:type="gramStart"/>
            <w:r w:rsidRPr="00EA0107">
              <w:rPr>
                <w:rFonts w:ascii="Verdana" w:hAnsi="Verdana"/>
                <w:b/>
                <w:sz w:val="20"/>
                <w:szCs w:val="20"/>
              </w:rPr>
              <w:t>at</w:t>
            </w:r>
            <w:proofErr w:type="gramEnd"/>
            <w:r w:rsidRPr="00EA0107">
              <w:rPr>
                <w:rFonts w:ascii="Verdana" w:hAnsi="Verdana"/>
                <w:b/>
                <w:sz w:val="20"/>
                <w:szCs w:val="20"/>
              </w:rPr>
              <w:t xml:space="preserve"> 1 April</w:t>
            </w:r>
          </w:p>
        </w:tc>
        <w:tc>
          <w:tcPr>
            <w:tcW w:w="1906" w:type="dxa"/>
          </w:tcPr>
          <w:p w14:paraId="7A85D4FD" w14:textId="77777777" w:rsidR="00477ABD" w:rsidRDefault="00477ABD" w:rsidP="00CA7A3B">
            <w:pPr>
              <w:pStyle w:val="BodyTextIndent2"/>
              <w:spacing w:after="0" w:line="240" w:lineRule="auto"/>
              <w:ind w:left="0"/>
              <w:jc w:val="right"/>
              <w:rPr>
                <w:rFonts w:ascii="Verdana" w:hAnsi="Verdana"/>
                <w:sz w:val="20"/>
                <w:szCs w:val="20"/>
              </w:rPr>
            </w:pPr>
          </w:p>
          <w:p w14:paraId="7B48E558"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75,000</w:t>
            </w:r>
          </w:p>
        </w:tc>
        <w:tc>
          <w:tcPr>
            <w:tcW w:w="1559" w:type="dxa"/>
          </w:tcPr>
          <w:p w14:paraId="36934F7D" w14:textId="77777777" w:rsidR="00477ABD" w:rsidRDefault="00477ABD" w:rsidP="00CA7A3B">
            <w:pPr>
              <w:pStyle w:val="BodyTextIndent2"/>
              <w:spacing w:after="0" w:line="240" w:lineRule="auto"/>
              <w:ind w:left="0"/>
              <w:jc w:val="right"/>
              <w:rPr>
                <w:rFonts w:ascii="Verdana" w:hAnsi="Verdana"/>
                <w:sz w:val="20"/>
                <w:szCs w:val="20"/>
              </w:rPr>
            </w:pPr>
          </w:p>
          <w:p w14:paraId="4C5D4540"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75,000</w:t>
            </w:r>
          </w:p>
        </w:tc>
      </w:tr>
      <w:tr w:rsidR="00477ABD" w14:paraId="1D1BB746" w14:textId="77777777" w:rsidTr="007E1108">
        <w:tc>
          <w:tcPr>
            <w:tcW w:w="1501" w:type="dxa"/>
          </w:tcPr>
          <w:p w14:paraId="39A51051" w14:textId="77777777" w:rsidR="00477ABD" w:rsidRDefault="00477ABD" w:rsidP="000C2A54">
            <w:pPr>
              <w:pStyle w:val="BodyTextIndent2"/>
              <w:spacing w:after="0" w:line="240" w:lineRule="auto"/>
              <w:ind w:left="0"/>
              <w:rPr>
                <w:rFonts w:ascii="Verdana" w:hAnsi="Verdana"/>
                <w:sz w:val="20"/>
                <w:szCs w:val="20"/>
              </w:rPr>
            </w:pPr>
          </w:p>
          <w:p w14:paraId="0C6FD5BC" w14:textId="77777777" w:rsidR="00477ABD" w:rsidRPr="00EA0107" w:rsidRDefault="00477ABD" w:rsidP="000C2A54">
            <w:pPr>
              <w:pStyle w:val="BodyTextIndent2"/>
              <w:spacing w:after="0" w:line="240" w:lineRule="auto"/>
              <w:ind w:left="0"/>
              <w:rPr>
                <w:rFonts w:ascii="Verdana" w:hAnsi="Verdana"/>
                <w:sz w:val="20"/>
                <w:szCs w:val="20"/>
              </w:rPr>
            </w:pPr>
            <w:r w:rsidRPr="00EA0107">
              <w:rPr>
                <w:rFonts w:ascii="Verdana" w:hAnsi="Verdana"/>
                <w:sz w:val="20"/>
                <w:szCs w:val="20"/>
              </w:rPr>
              <w:t>Provided in-year</w:t>
            </w:r>
          </w:p>
        </w:tc>
        <w:tc>
          <w:tcPr>
            <w:tcW w:w="1906" w:type="dxa"/>
          </w:tcPr>
          <w:p w14:paraId="39674CC3" w14:textId="77777777" w:rsidR="00477ABD" w:rsidRDefault="00477ABD" w:rsidP="00CA7A3B">
            <w:pPr>
              <w:pStyle w:val="BodyTextIndent2"/>
              <w:spacing w:after="0" w:line="240" w:lineRule="auto"/>
              <w:ind w:left="0"/>
              <w:jc w:val="right"/>
              <w:rPr>
                <w:rFonts w:ascii="Verdana" w:hAnsi="Verdana"/>
                <w:sz w:val="20"/>
                <w:szCs w:val="20"/>
              </w:rPr>
            </w:pPr>
          </w:p>
          <w:p w14:paraId="4AF8A8E9" w14:textId="77777777" w:rsidR="00477ABD" w:rsidRDefault="00477ABD" w:rsidP="00CA7A3B">
            <w:pPr>
              <w:pStyle w:val="BodyTextIndent2"/>
              <w:spacing w:after="0" w:line="240" w:lineRule="auto"/>
              <w:ind w:left="0"/>
              <w:jc w:val="right"/>
              <w:rPr>
                <w:rFonts w:ascii="Verdana" w:hAnsi="Verdana"/>
                <w:sz w:val="20"/>
                <w:szCs w:val="20"/>
              </w:rPr>
            </w:pPr>
          </w:p>
          <w:p w14:paraId="4074C4D7"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559" w:type="dxa"/>
          </w:tcPr>
          <w:p w14:paraId="5AB04FE9" w14:textId="77777777" w:rsidR="00477ABD" w:rsidRDefault="00477ABD" w:rsidP="00CA7A3B">
            <w:pPr>
              <w:pStyle w:val="BodyTextIndent2"/>
              <w:spacing w:after="0" w:line="240" w:lineRule="auto"/>
              <w:ind w:left="0"/>
              <w:jc w:val="right"/>
              <w:rPr>
                <w:rFonts w:ascii="Verdana" w:hAnsi="Verdana"/>
                <w:sz w:val="20"/>
                <w:szCs w:val="20"/>
              </w:rPr>
            </w:pPr>
          </w:p>
          <w:p w14:paraId="38F67563" w14:textId="77777777" w:rsidR="00477ABD" w:rsidRDefault="00477ABD" w:rsidP="00CA7A3B">
            <w:pPr>
              <w:pStyle w:val="BodyTextIndent2"/>
              <w:spacing w:after="0" w:line="240" w:lineRule="auto"/>
              <w:ind w:left="0"/>
              <w:jc w:val="right"/>
              <w:rPr>
                <w:rFonts w:ascii="Verdana" w:hAnsi="Verdana"/>
                <w:sz w:val="20"/>
                <w:szCs w:val="20"/>
              </w:rPr>
            </w:pPr>
          </w:p>
          <w:p w14:paraId="62022557"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r>
      <w:tr w:rsidR="00477ABD" w14:paraId="0CC42D64" w14:textId="77777777" w:rsidTr="007E1108">
        <w:tc>
          <w:tcPr>
            <w:tcW w:w="1501" w:type="dxa"/>
          </w:tcPr>
          <w:p w14:paraId="4B52C648" w14:textId="77777777" w:rsidR="00477ABD" w:rsidRDefault="00477ABD" w:rsidP="000C2A54">
            <w:pPr>
              <w:pStyle w:val="BodyTextIndent2"/>
              <w:spacing w:after="0" w:line="240" w:lineRule="auto"/>
              <w:ind w:left="0"/>
              <w:rPr>
                <w:rFonts w:ascii="Verdana" w:hAnsi="Verdana"/>
                <w:sz w:val="20"/>
                <w:szCs w:val="20"/>
              </w:rPr>
            </w:pPr>
          </w:p>
          <w:p w14:paraId="418D876E" w14:textId="77777777" w:rsidR="00477ABD" w:rsidRPr="00EA0107" w:rsidRDefault="00477ABD" w:rsidP="000C2A54">
            <w:pPr>
              <w:pStyle w:val="BodyTextIndent2"/>
              <w:spacing w:after="0" w:line="240" w:lineRule="auto"/>
              <w:ind w:left="0"/>
              <w:rPr>
                <w:rFonts w:ascii="Verdana" w:hAnsi="Verdana"/>
                <w:sz w:val="20"/>
                <w:szCs w:val="20"/>
              </w:rPr>
            </w:pPr>
            <w:r w:rsidRPr="00EA0107">
              <w:rPr>
                <w:rFonts w:ascii="Verdana" w:hAnsi="Verdana"/>
                <w:sz w:val="20"/>
                <w:szCs w:val="20"/>
              </w:rPr>
              <w:t>Provisions written off in-year</w:t>
            </w:r>
          </w:p>
        </w:tc>
        <w:tc>
          <w:tcPr>
            <w:tcW w:w="1906" w:type="dxa"/>
            <w:tcBorders>
              <w:bottom w:val="single" w:sz="4" w:space="0" w:color="auto"/>
            </w:tcBorders>
          </w:tcPr>
          <w:p w14:paraId="6D91678B" w14:textId="77777777" w:rsidR="00477ABD" w:rsidRDefault="00477ABD" w:rsidP="00CA7A3B">
            <w:pPr>
              <w:pStyle w:val="BodyTextIndent2"/>
              <w:spacing w:after="0" w:line="240" w:lineRule="auto"/>
              <w:ind w:left="0"/>
              <w:jc w:val="right"/>
              <w:rPr>
                <w:rFonts w:ascii="Verdana" w:hAnsi="Verdana"/>
                <w:sz w:val="20"/>
                <w:szCs w:val="20"/>
              </w:rPr>
            </w:pPr>
          </w:p>
          <w:p w14:paraId="7E3E1E80" w14:textId="77777777" w:rsidR="00477ABD" w:rsidRDefault="00477ABD" w:rsidP="00CA7A3B">
            <w:pPr>
              <w:pStyle w:val="BodyTextIndent2"/>
              <w:spacing w:after="0" w:line="240" w:lineRule="auto"/>
              <w:ind w:left="0"/>
              <w:jc w:val="right"/>
              <w:rPr>
                <w:rFonts w:ascii="Verdana" w:hAnsi="Verdana"/>
                <w:sz w:val="20"/>
                <w:szCs w:val="20"/>
              </w:rPr>
            </w:pPr>
          </w:p>
          <w:p w14:paraId="302520FE"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c>
          <w:tcPr>
            <w:tcW w:w="1559" w:type="dxa"/>
            <w:tcBorders>
              <w:bottom w:val="single" w:sz="4" w:space="0" w:color="auto"/>
            </w:tcBorders>
          </w:tcPr>
          <w:p w14:paraId="1B6F79EE" w14:textId="77777777" w:rsidR="00477ABD" w:rsidRDefault="00477ABD" w:rsidP="00CA7A3B">
            <w:pPr>
              <w:pStyle w:val="BodyTextIndent2"/>
              <w:spacing w:after="0" w:line="240" w:lineRule="auto"/>
              <w:ind w:left="0"/>
              <w:jc w:val="right"/>
              <w:rPr>
                <w:rFonts w:ascii="Verdana" w:hAnsi="Verdana"/>
                <w:sz w:val="20"/>
                <w:szCs w:val="20"/>
              </w:rPr>
            </w:pPr>
          </w:p>
          <w:p w14:paraId="1EA56825" w14:textId="77777777" w:rsidR="00477ABD" w:rsidRDefault="00477ABD" w:rsidP="00CA7A3B">
            <w:pPr>
              <w:pStyle w:val="BodyTextIndent2"/>
              <w:spacing w:after="0" w:line="240" w:lineRule="auto"/>
              <w:ind w:left="0"/>
              <w:jc w:val="right"/>
              <w:rPr>
                <w:rFonts w:ascii="Verdana" w:hAnsi="Verdana"/>
                <w:sz w:val="20"/>
                <w:szCs w:val="20"/>
              </w:rPr>
            </w:pPr>
          </w:p>
          <w:p w14:paraId="4A990E43" w14:textId="77777777" w:rsidR="00477ABD" w:rsidRPr="00EA0107" w:rsidRDefault="00477ABD" w:rsidP="00CA7A3B">
            <w:pPr>
              <w:pStyle w:val="BodyTextIndent2"/>
              <w:spacing w:after="0" w:line="240" w:lineRule="auto"/>
              <w:ind w:left="0"/>
              <w:jc w:val="right"/>
              <w:rPr>
                <w:rFonts w:ascii="Verdana" w:hAnsi="Verdana"/>
                <w:sz w:val="20"/>
                <w:szCs w:val="20"/>
              </w:rPr>
            </w:pPr>
            <w:r>
              <w:rPr>
                <w:rFonts w:ascii="Verdana" w:hAnsi="Verdana"/>
                <w:sz w:val="20"/>
                <w:szCs w:val="20"/>
              </w:rPr>
              <w:t>0</w:t>
            </w:r>
          </w:p>
        </w:tc>
      </w:tr>
      <w:tr w:rsidR="00477ABD" w14:paraId="0E84FE93" w14:textId="77777777" w:rsidTr="007E1108">
        <w:tc>
          <w:tcPr>
            <w:tcW w:w="1501" w:type="dxa"/>
          </w:tcPr>
          <w:p w14:paraId="5D0E0B33" w14:textId="77777777" w:rsidR="00477ABD" w:rsidRDefault="00477ABD" w:rsidP="000C2A54">
            <w:pPr>
              <w:pStyle w:val="BodyTextIndent2"/>
              <w:spacing w:after="0" w:line="240" w:lineRule="auto"/>
              <w:ind w:left="0"/>
              <w:rPr>
                <w:rFonts w:ascii="Verdana" w:hAnsi="Verdana"/>
                <w:b/>
                <w:sz w:val="20"/>
                <w:szCs w:val="20"/>
              </w:rPr>
            </w:pPr>
          </w:p>
          <w:p w14:paraId="7ED0945E" w14:textId="77777777" w:rsidR="00477ABD" w:rsidRPr="00EA0107" w:rsidRDefault="00477ABD" w:rsidP="000C2A54">
            <w:pPr>
              <w:pStyle w:val="BodyTextIndent2"/>
              <w:spacing w:after="0" w:line="240" w:lineRule="auto"/>
              <w:ind w:left="0"/>
              <w:rPr>
                <w:rFonts w:ascii="Verdana" w:hAnsi="Verdana"/>
                <w:b/>
                <w:sz w:val="20"/>
                <w:szCs w:val="20"/>
              </w:rPr>
            </w:pPr>
            <w:r w:rsidRPr="00EA0107">
              <w:rPr>
                <w:rFonts w:ascii="Verdana" w:hAnsi="Verdana"/>
                <w:b/>
                <w:sz w:val="20"/>
                <w:szCs w:val="20"/>
              </w:rPr>
              <w:t xml:space="preserve">Balance </w:t>
            </w:r>
            <w:proofErr w:type="gramStart"/>
            <w:r w:rsidRPr="00EA0107">
              <w:rPr>
                <w:rFonts w:ascii="Verdana" w:hAnsi="Verdana"/>
                <w:b/>
                <w:sz w:val="20"/>
                <w:szCs w:val="20"/>
              </w:rPr>
              <w:t>at</w:t>
            </w:r>
            <w:proofErr w:type="gramEnd"/>
            <w:r w:rsidRPr="00EA0107">
              <w:rPr>
                <w:rFonts w:ascii="Verdana" w:hAnsi="Verdana"/>
                <w:b/>
                <w:sz w:val="20"/>
                <w:szCs w:val="20"/>
              </w:rPr>
              <w:t xml:space="preserve"> 31 March</w:t>
            </w:r>
          </w:p>
        </w:tc>
        <w:tc>
          <w:tcPr>
            <w:tcW w:w="1906" w:type="dxa"/>
            <w:tcBorders>
              <w:top w:val="single" w:sz="4" w:space="0" w:color="auto"/>
              <w:bottom w:val="single" w:sz="4" w:space="0" w:color="auto"/>
            </w:tcBorders>
          </w:tcPr>
          <w:p w14:paraId="22D8C91F" w14:textId="77777777" w:rsidR="00477ABD" w:rsidRDefault="00477ABD" w:rsidP="00CA7A3B">
            <w:pPr>
              <w:pStyle w:val="BodyTextIndent2"/>
              <w:spacing w:after="0" w:line="240" w:lineRule="auto"/>
              <w:ind w:left="0"/>
              <w:jc w:val="right"/>
              <w:rPr>
                <w:rFonts w:ascii="Verdana" w:hAnsi="Verdana"/>
                <w:b/>
                <w:sz w:val="20"/>
                <w:szCs w:val="20"/>
              </w:rPr>
            </w:pPr>
          </w:p>
          <w:p w14:paraId="71A85E2F" w14:textId="77777777" w:rsidR="00477ABD" w:rsidRDefault="00477ABD" w:rsidP="00CA7A3B">
            <w:pPr>
              <w:pStyle w:val="BodyTextIndent2"/>
              <w:spacing w:after="0" w:line="240" w:lineRule="auto"/>
              <w:ind w:left="0"/>
              <w:jc w:val="right"/>
              <w:rPr>
                <w:rFonts w:ascii="Verdana" w:hAnsi="Verdana"/>
                <w:b/>
                <w:sz w:val="20"/>
                <w:szCs w:val="20"/>
              </w:rPr>
            </w:pPr>
          </w:p>
          <w:p w14:paraId="63322C8E" w14:textId="77777777" w:rsidR="00477ABD" w:rsidRPr="00EA0107" w:rsidRDefault="00477ABD" w:rsidP="00CA7A3B">
            <w:pPr>
              <w:pStyle w:val="BodyTextIndent2"/>
              <w:spacing w:after="0" w:line="240" w:lineRule="auto"/>
              <w:ind w:left="0"/>
              <w:jc w:val="right"/>
              <w:rPr>
                <w:rFonts w:ascii="Verdana" w:hAnsi="Verdana"/>
                <w:b/>
                <w:sz w:val="20"/>
                <w:szCs w:val="20"/>
              </w:rPr>
            </w:pPr>
            <w:r>
              <w:rPr>
                <w:rFonts w:ascii="Verdana" w:hAnsi="Verdana"/>
                <w:b/>
                <w:sz w:val="20"/>
                <w:szCs w:val="20"/>
              </w:rPr>
              <w:t>75,000</w:t>
            </w:r>
          </w:p>
        </w:tc>
        <w:tc>
          <w:tcPr>
            <w:tcW w:w="1559" w:type="dxa"/>
            <w:tcBorders>
              <w:top w:val="single" w:sz="4" w:space="0" w:color="auto"/>
              <w:bottom w:val="single" w:sz="4" w:space="0" w:color="auto"/>
            </w:tcBorders>
          </w:tcPr>
          <w:p w14:paraId="16E42A9D" w14:textId="77777777" w:rsidR="00477ABD" w:rsidRDefault="00477ABD" w:rsidP="00CA7A3B">
            <w:pPr>
              <w:pStyle w:val="BodyTextIndent2"/>
              <w:spacing w:after="0" w:line="240" w:lineRule="auto"/>
              <w:ind w:left="0"/>
              <w:jc w:val="right"/>
              <w:rPr>
                <w:rFonts w:ascii="Verdana" w:hAnsi="Verdana"/>
                <w:b/>
                <w:sz w:val="20"/>
                <w:szCs w:val="20"/>
              </w:rPr>
            </w:pPr>
          </w:p>
          <w:p w14:paraId="4A439982" w14:textId="77777777" w:rsidR="00477ABD" w:rsidRDefault="00477ABD" w:rsidP="00CA7A3B">
            <w:pPr>
              <w:pStyle w:val="BodyTextIndent2"/>
              <w:spacing w:after="0" w:line="240" w:lineRule="auto"/>
              <w:ind w:left="0"/>
              <w:jc w:val="right"/>
              <w:rPr>
                <w:rFonts w:ascii="Verdana" w:hAnsi="Verdana"/>
                <w:b/>
                <w:sz w:val="20"/>
                <w:szCs w:val="20"/>
              </w:rPr>
            </w:pPr>
          </w:p>
          <w:p w14:paraId="1E64ED37" w14:textId="77777777" w:rsidR="00477ABD" w:rsidRPr="00EA0107" w:rsidRDefault="00477ABD" w:rsidP="00CA7A3B">
            <w:pPr>
              <w:pStyle w:val="BodyTextIndent2"/>
              <w:spacing w:after="0" w:line="240" w:lineRule="auto"/>
              <w:ind w:left="0"/>
              <w:jc w:val="right"/>
              <w:rPr>
                <w:rFonts w:ascii="Verdana" w:hAnsi="Verdana"/>
                <w:b/>
                <w:sz w:val="20"/>
                <w:szCs w:val="20"/>
              </w:rPr>
            </w:pPr>
            <w:r>
              <w:rPr>
                <w:rFonts w:ascii="Verdana" w:hAnsi="Verdana"/>
                <w:b/>
                <w:sz w:val="20"/>
                <w:szCs w:val="20"/>
              </w:rPr>
              <w:t>75,000</w:t>
            </w:r>
          </w:p>
        </w:tc>
      </w:tr>
    </w:tbl>
    <w:p w14:paraId="1F2704C7" w14:textId="77777777" w:rsidR="00CA7A3B" w:rsidRDefault="00CA7A3B" w:rsidP="000C2A54">
      <w:pPr>
        <w:pStyle w:val="BodyTextIndent2"/>
        <w:spacing w:after="0" w:line="240" w:lineRule="auto"/>
        <w:ind w:left="567" w:hanging="567"/>
        <w:rPr>
          <w:rFonts w:ascii="Verdana" w:hAnsi="Verdana"/>
          <w:b/>
          <w:sz w:val="22"/>
          <w:szCs w:val="22"/>
        </w:rPr>
      </w:pPr>
    </w:p>
    <w:p w14:paraId="36EF02B0" w14:textId="77777777" w:rsidR="000C2A54" w:rsidRPr="00EB5423" w:rsidRDefault="000C2A54" w:rsidP="000C2A54">
      <w:pPr>
        <w:pStyle w:val="BodyTextIndent2"/>
        <w:spacing w:after="0" w:line="240" w:lineRule="auto"/>
        <w:ind w:left="567" w:hanging="567"/>
        <w:rPr>
          <w:rFonts w:ascii="Verdana" w:hAnsi="Verdana"/>
          <w:b/>
          <w:sz w:val="22"/>
          <w:szCs w:val="22"/>
        </w:rPr>
      </w:pPr>
      <w:r w:rsidRPr="00EB5423">
        <w:rPr>
          <w:rFonts w:ascii="Verdana" w:hAnsi="Verdana"/>
          <w:b/>
          <w:sz w:val="22"/>
          <w:szCs w:val="22"/>
        </w:rPr>
        <w:tab/>
      </w:r>
      <w:r w:rsidRPr="00EB5423">
        <w:rPr>
          <w:rFonts w:ascii="Verdana" w:hAnsi="Verdana"/>
          <w:b/>
          <w:sz w:val="22"/>
          <w:szCs w:val="22"/>
        </w:rPr>
        <w:tab/>
      </w:r>
      <w:r w:rsidRPr="00EB5423">
        <w:rPr>
          <w:rFonts w:ascii="Verdana" w:hAnsi="Verdana"/>
          <w:b/>
          <w:sz w:val="22"/>
          <w:szCs w:val="22"/>
        </w:rPr>
        <w:tab/>
      </w:r>
      <w:r w:rsidRPr="00EB5423">
        <w:rPr>
          <w:rFonts w:ascii="Verdana" w:hAnsi="Verdana"/>
          <w:b/>
          <w:sz w:val="22"/>
          <w:szCs w:val="22"/>
        </w:rPr>
        <w:tab/>
      </w:r>
    </w:p>
    <w:p w14:paraId="0A46DCDA" w14:textId="54FFCFB2" w:rsidR="000C2A54" w:rsidRDefault="00642BF8" w:rsidP="000C2A54">
      <w:r>
        <w:t>The amount of £75</w:t>
      </w:r>
      <w:r w:rsidR="00634673">
        <w:t xml:space="preserve">,000 </w:t>
      </w:r>
      <w:r w:rsidR="002A58CE">
        <w:t>in the 202</w:t>
      </w:r>
      <w:r w:rsidR="00C75A0E">
        <w:t>3</w:t>
      </w:r>
      <w:r w:rsidR="002A58CE">
        <w:t>-2</w:t>
      </w:r>
      <w:r w:rsidR="00C75A0E">
        <w:t>4</w:t>
      </w:r>
      <w:r w:rsidR="002A58CE">
        <w:t xml:space="preserve"> above figures</w:t>
      </w:r>
      <w:r>
        <w:t xml:space="preserve"> </w:t>
      </w:r>
      <w:r w:rsidR="002A58CE">
        <w:t>relates to</w:t>
      </w:r>
      <w:r w:rsidR="00634673">
        <w:t xml:space="preserve"> provision </w:t>
      </w:r>
      <w:r w:rsidR="00D33D70">
        <w:t xml:space="preserve">made </w:t>
      </w:r>
      <w:r w:rsidR="00AB5D96">
        <w:t>for</w:t>
      </w:r>
      <w:r>
        <w:t xml:space="preserve"> the estimated</w:t>
      </w:r>
      <w:r w:rsidR="00AB5D96">
        <w:t xml:space="preserve"> </w:t>
      </w:r>
      <w:r>
        <w:t xml:space="preserve">dilapidation costs at the end of the Commission’s </w:t>
      </w:r>
      <w:proofErr w:type="gramStart"/>
      <w:r>
        <w:t>ten year</w:t>
      </w:r>
      <w:proofErr w:type="gramEnd"/>
      <w:r>
        <w:t xml:space="preserve"> lease for its premises in Alfred Street, Belfast.</w:t>
      </w:r>
      <w:r w:rsidR="008D3513">
        <w:t xml:space="preserve">  The Commission’s lease allows for a </w:t>
      </w:r>
      <w:proofErr w:type="gramStart"/>
      <w:r w:rsidR="008D3513">
        <w:t>5 year</w:t>
      </w:r>
      <w:proofErr w:type="gramEnd"/>
      <w:r w:rsidR="008D3513">
        <w:t xml:space="preserve"> break clause which</w:t>
      </w:r>
      <w:r w:rsidR="005E340A">
        <w:t>, at present, the Commission does not plan to exercise.</w:t>
      </w:r>
    </w:p>
    <w:p w14:paraId="6242A20E" w14:textId="77777777" w:rsidR="00C75A0E" w:rsidRDefault="00C75A0E" w:rsidP="00EF4A8A">
      <w:pPr>
        <w:rPr>
          <w:b/>
        </w:rPr>
      </w:pPr>
    </w:p>
    <w:p w14:paraId="733900EC" w14:textId="4ABC79C6" w:rsidR="000C2A54" w:rsidRPr="001B78C1" w:rsidRDefault="000C2A54" w:rsidP="000C2A54">
      <w:pPr>
        <w:ind w:left="567" w:hanging="567"/>
        <w:rPr>
          <w:b/>
          <w:color w:val="FF0000"/>
        </w:rPr>
      </w:pPr>
      <w:r w:rsidRPr="003F2009">
        <w:rPr>
          <w:b/>
        </w:rPr>
        <w:t>1</w:t>
      </w:r>
      <w:r w:rsidR="00EF4A8A">
        <w:rPr>
          <w:b/>
        </w:rPr>
        <w:t>4</w:t>
      </w:r>
      <w:r w:rsidRPr="003F2009">
        <w:rPr>
          <w:b/>
        </w:rPr>
        <w:t>.</w:t>
      </w:r>
      <w:r w:rsidRPr="003F2009">
        <w:rPr>
          <w:b/>
        </w:rPr>
        <w:tab/>
        <w:t>Contingent liabilities disclosed under IAS 37</w:t>
      </w:r>
      <w:r w:rsidR="001B78C1">
        <w:rPr>
          <w:b/>
        </w:rPr>
        <w:t xml:space="preserve"> </w:t>
      </w:r>
    </w:p>
    <w:p w14:paraId="48794B9B" w14:textId="77777777" w:rsidR="000538DE" w:rsidRDefault="000538DE" w:rsidP="00F803F4">
      <w:pPr>
        <w:ind w:left="720"/>
      </w:pPr>
    </w:p>
    <w:p w14:paraId="4D7A831F" w14:textId="70CBB161" w:rsidR="000538DE" w:rsidRDefault="000538DE" w:rsidP="00F803F4">
      <w:pPr>
        <w:ind w:left="720"/>
      </w:pPr>
      <w:r>
        <w:t>One legal case has a contingent liability of £117,233 due to an unsuccessful outcome in the Court of Appeal in April 2023 where costs were awarded against the Commission.  The Commission has been granted leave to appeal this decision to the UK Supreme Court with a hearing date in October 2024.  The payment of this liability is contingent on the decision from the UK Supreme Court.  </w:t>
      </w:r>
      <w:r w:rsidR="00F6385C">
        <w:t>(2022-23: £</w:t>
      </w:r>
      <w:r w:rsidR="002033AE">
        <w:t>67,233)</w:t>
      </w:r>
    </w:p>
    <w:p w14:paraId="0D813CE1" w14:textId="77777777" w:rsidR="000538DE" w:rsidRDefault="000538DE" w:rsidP="00F803F4">
      <w:pPr>
        <w:ind w:left="720"/>
      </w:pPr>
    </w:p>
    <w:p w14:paraId="39279A1A" w14:textId="7C146A45" w:rsidR="00F803F4" w:rsidRDefault="00F803F4" w:rsidP="00F803F4">
      <w:pPr>
        <w:ind w:left="720"/>
        <w:rPr>
          <w:color w:val="auto"/>
          <w:sz w:val="22"/>
          <w:szCs w:val="22"/>
        </w:rPr>
      </w:pPr>
      <w:r>
        <w:t xml:space="preserve">The second legal case has a contingent liability of £40,350 due to an unsuccessful outcome in the Court of Appeal. The written judgment has been published and costs will be awarded against us.  The Commission has issued judicial review </w:t>
      </w:r>
      <w:proofErr w:type="gramStart"/>
      <w:r>
        <w:t>proceedings</w:t>
      </w:r>
      <w:proofErr w:type="gramEnd"/>
      <w:r>
        <w:t xml:space="preserve"> and a leave hearing was held on October 2023. </w:t>
      </w:r>
      <w:r w:rsidR="00E141A5">
        <w:t xml:space="preserve">A decision on leave may not be made until the Autumn 2024.  </w:t>
      </w:r>
      <w:r>
        <w:t>The payment of this liability is contingent on a decision on judicial review proceedings. (2022-23: £</w:t>
      </w:r>
      <w:r w:rsidR="002033AE">
        <w:t>40,350</w:t>
      </w:r>
      <w:r>
        <w:t>).</w:t>
      </w:r>
    </w:p>
    <w:p w14:paraId="56631E7C" w14:textId="77777777" w:rsidR="000538DE" w:rsidRDefault="000538DE" w:rsidP="000C2A54">
      <w:pPr>
        <w:rPr>
          <w:b/>
        </w:rPr>
      </w:pPr>
    </w:p>
    <w:p w14:paraId="5DE1B7A7" w14:textId="5456D923" w:rsidR="000C2A54" w:rsidRPr="003F2009" w:rsidRDefault="000C2A54" w:rsidP="000C2A54">
      <w:pPr>
        <w:rPr>
          <w:b/>
        </w:rPr>
      </w:pPr>
      <w:r w:rsidRPr="003F2009">
        <w:rPr>
          <w:b/>
        </w:rPr>
        <w:t>1</w:t>
      </w:r>
      <w:r w:rsidR="00EF4A8A">
        <w:rPr>
          <w:b/>
        </w:rPr>
        <w:t>5</w:t>
      </w:r>
      <w:r w:rsidRPr="003F2009">
        <w:rPr>
          <w:b/>
        </w:rPr>
        <w:t>.  Capital Commitments</w:t>
      </w:r>
    </w:p>
    <w:p w14:paraId="374F70CA" w14:textId="77777777" w:rsidR="000C2A54" w:rsidRPr="003F2009" w:rsidRDefault="000C2A54" w:rsidP="000C2A54">
      <w:pPr>
        <w:pStyle w:val="BodyTextIndent"/>
        <w:spacing w:after="0"/>
        <w:ind w:left="0"/>
      </w:pPr>
    </w:p>
    <w:p w14:paraId="17068ECD" w14:textId="71B69AF1" w:rsidR="003C598E" w:rsidRDefault="000C2A54" w:rsidP="00250101">
      <w:pPr>
        <w:pStyle w:val="BodyTextIndent"/>
        <w:spacing w:after="0"/>
        <w:ind w:left="567"/>
      </w:pPr>
      <w:r w:rsidRPr="003F2009">
        <w:t xml:space="preserve">The Commission </w:t>
      </w:r>
      <w:r w:rsidR="008E3972">
        <w:t xml:space="preserve">has </w:t>
      </w:r>
      <w:r w:rsidR="00507D74">
        <w:t xml:space="preserve">no </w:t>
      </w:r>
      <w:r w:rsidR="008E3972">
        <w:t>capital commitments</w:t>
      </w:r>
      <w:r w:rsidR="00507D74">
        <w:t xml:space="preserve"> for </w:t>
      </w:r>
      <w:r w:rsidR="00A670FC">
        <w:t>202</w:t>
      </w:r>
      <w:r w:rsidR="00C75A0E">
        <w:t>3</w:t>
      </w:r>
      <w:r w:rsidR="00A670FC">
        <w:t>-2</w:t>
      </w:r>
      <w:r w:rsidR="00C75A0E">
        <w:t>4</w:t>
      </w:r>
      <w:r w:rsidR="00A670FC">
        <w:t xml:space="preserve"> (</w:t>
      </w:r>
      <w:r w:rsidR="007E1108">
        <w:t>202</w:t>
      </w:r>
      <w:r w:rsidR="00C75A0E">
        <w:t>2</w:t>
      </w:r>
      <w:r w:rsidR="007E1108">
        <w:t>-2</w:t>
      </w:r>
      <w:r w:rsidR="00C75A0E">
        <w:t>3</w:t>
      </w:r>
      <w:r w:rsidR="00A670FC">
        <w:t>: £nil).</w:t>
      </w:r>
      <w:r w:rsidR="008E3972">
        <w:t xml:space="preserve">  </w:t>
      </w:r>
    </w:p>
    <w:p w14:paraId="6853BF5F" w14:textId="77777777" w:rsidR="00250101" w:rsidRDefault="00250101" w:rsidP="00250101">
      <w:pPr>
        <w:pStyle w:val="BodyTextIndent"/>
        <w:spacing w:after="0"/>
        <w:ind w:left="567"/>
      </w:pPr>
    </w:p>
    <w:p w14:paraId="604BCD74" w14:textId="77777777" w:rsidR="000538DE" w:rsidRDefault="000538DE" w:rsidP="00250101">
      <w:pPr>
        <w:pStyle w:val="BodyTextIndent"/>
        <w:spacing w:after="0"/>
        <w:ind w:left="567"/>
      </w:pPr>
    </w:p>
    <w:p w14:paraId="778A8A51" w14:textId="77777777" w:rsidR="000538DE" w:rsidRDefault="000538DE" w:rsidP="00250101">
      <w:pPr>
        <w:pStyle w:val="BodyTextIndent"/>
        <w:spacing w:after="0"/>
        <w:ind w:left="567"/>
      </w:pPr>
    </w:p>
    <w:p w14:paraId="71A11E91" w14:textId="22D4E3AA" w:rsidR="000C2A54" w:rsidRPr="003F2009" w:rsidRDefault="000C2A54" w:rsidP="000C2A54">
      <w:pPr>
        <w:ind w:left="567" w:hanging="567"/>
        <w:rPr>
          <w:b/>
        </w:rPr>
      </w:pPr>
      <w:r w:rsidRPr="003F2009">
        <w:rPr>
          <w:b/>
        </w:rPr>
        <w:t>1</w:t>
      </w:r>
      <w:r w:rsidR="00EF4A8A">
        <w:rPr>
          <w:b/>
        </w:rPr>
        <w:t>6</w:t>
      </w:r>
      <w:r w:rsidRPr="003F2009">
        <w:rPr>
          <w:b/>
        </w:rPr>
        <w:t>.</w:t>
      </w:r>
      <w:r w:rsidRPr="003F2009">
        <w:rPr>
          <w:b/>
        </w:rPr>
        <w:tab/>
        <w:t>Related-party transactions</w:t>
      </w:r>
    </w:p>
    <w:p w14:paraId="4D1EA78C" w14:textId="77777777" w:rsidR="000C2A54" w:rsidRPr="003F2009" w:rsidRDefault="000C2A54" w:rsidP="000C2A54">
      <w:pPr>
        <w:pStyle w:val="BodyTextIndent"/>
        <w:spacing w:after="0"/>
        <w:ind w:left="539"/>
      </w:pPr>
    </w:p>
    <w:p w14:paraId="2C0E7DE7" w14:textId="77777777" w:rsidR="000C2A54" w:rsidRPr="003F2009" w:rsidRDefault="000C2A54" w:rsidP="000C2A54">
      <w:pPr>
        <w:pStyle w:val="BodyTextIndent"/>
        <w:spacing w:after="0"/>
        <w:ind w:left="539"/>
      </w:pPr>
      <w:r w:rsidRPr="003F2009">
        <w:t>The Commission is a non</w:t>
      </w:r>
      <w:r w:rsidRPr="003F2009">
        <w:rPr>
          <w:rFonts w:cs="Arial"/>
        </w:rPr>
        <w:t>-</w:t>
      </w:r>
      <w:r w:rsidRPr="003F2009">
        <w:t xml:space="preserve">departmental public body sponsored by the Northern Ireland Office (NIO).  </w:t>
      </w:r>
    </w:p>
    <w:p w14:paraId="4300CACE" w14:textId="77777777" w:rsidR="000C2A54" w:rsidRPr="003F2009" w:rsidRDefault="000C2A54" w:rsidP="000C2A54">
      <w:pPr>
        <w:pStyle w:val="BodyTextIndent"/>
        <w:spacing w:after="0"/>
        <w:ind w:left="539"/>
      </w:pPr>
    </w:p>
    <w:p w14:paraId="10710A0B" w14:textId="77777777" w:rsidR="000C2A54" w:rsidRPr="003F2009" w:rsidRDefault="000C2A54" w:rsidP="000C2A54">
      <w:pPr>
        <w:pStyle w:val="BodyTextIndent"/>
        <w:spacing w:after="0"/>
        <w:ind w:left="539"/>
      </w:pPr>
      <w:r w:rsidRPr="003F2009">
        <w:t xml:space="preserve">The NIO is regarded as a related party. During the </w:t>
      </w:r>
      <w:r w:rsidR="00176472" w:rsidRPr="003F2009">
        <w:t>year,</w:t>
      </w:r>
      <w:r w:rsidRPr="003F2009">
        <w:t xml:space="preserve"> the Commission had various transactions with NIO, associated with the receipt of grant</w:t>
      </w:r>
      <w:r w:rsidRPr="003F2009">
        <w:rPr>
          <w:rFonts w:cs="Arial"/>
        </w:rPr>
        <w:t>-</w:t>
      </w:r>
      <w:r w:rsidRPr="003F2009">
        <w:t>in</w:t>
      </w:r>
      <w:r w:rsidRPr="003F2009">
        <w:rPr>
          <w:rFonts w:cs="Arial"/>
        </w:rPr>
        <w:t>-</w:t>
      </w:r>
      <w:r w:rsidRPr="003F2009">
        <w:t xml:space="preserve">aid.  </w:t>
      </w:r>
    </w:p>
    <w:p w14:paraId="5B9B0D3A" w14:textId="77777777" w:rsidR="000C2A54" w:rsidRPr="003F2009" w:rsidRDefault="000C2A54" w:rsidP="000C2A54">
      <w:pPr>
        <w:pStyle w:val="BodyTextIndent"/>
        <w:spacing w:after="0"/>
        <w:ind w:left="539"/>
      </w:pPr>
    </w:p>
    <w:p w14:paraId="665763FA" w14:textId="77777777" w:rsidR="000C2A54" w:rsidRPr="003F2009" w:rsidRDefault="000C2A54" w:rsidP="000C2A54">
      <w:pPr>
        <w:pStyle w:val="BodyTextIndent"/>
        <w:spacing w:after="0"/>
        <w:ind w:left="539"/>
      </w:pPr>
      <w:r w:rsidRPr="003F2009">
        <w:t xml:space="preserve">In </w:t>
      </w:r>
      <w:r w:rsidR="00176472" w:rsidRPr="003F2009">
        <w:t>addition,</w:t>
      </w:r>
      <w:r w:rsidRPr="003F2009">
        <w:t xml:space="preserve"> the Commission has had various transactions with other Government departments.</w:t>
      </w:r>
    </w:p>
    <w:p w14:paraId="41A35BF7" w14:textId="77777777" w:rsidR="000C2A54" w:rsidRPr="003F2009" w:rsidRDefault="000C2A54" w:rsidP="000C2A54">
      <w:pPr>
        <w:pStyle w:val="BodyTextIndent"/>
        <w:spacing w:after="0"/>
        <w:ind w:left="539"/>
      </w:pPr>
    </w:p>
    <w:p w14:paraId="330BED05" w14:textId="26201E04" w:rsidR="000C2A54" w:rsidRPr="003F2009" w:rsidRDefault="00A044E4" w:rsidP="000C2A54">
      <w:pPr>
        <w:pStyle w:val="BodyTextIndent"/>
        <w:spacing w:after="0"/>
        <w:ind w:left="539"/>
      </w:pPr>
      <w:r>
        <w:t xml:space="preserve">Except for the remuneration disclosed in the Remuneration and Staff Report on pages </w:t>
      </w:r>
      <w:r w:rsidR="00320CF6">
        <w:t>4</w:t>
      </w:r>
      <w:r w:rsidR="007C6637">
        <w:t>1</w:t>
      </w:r>
      <w:r>
        <w:t>-</w:t>
      </w:r>
      <w:r w:rsidR="00320CF6">
        <w:t>5</w:t>
      </w:r>
      <w:r w:rsidR="007C6637">
        <w:t>3</w:t>
      </w:r>
      <w:r>
        <w:t>, none of the Commissioners, Management Team or other related parties has undertaken any material transactions with the Commission during the year.</w:t>
      </w:r>
    </w:p>
    <w:p w14:paraId="286D90DA" w14:textId="77777777" w:rsidR="00746D2B" w:rsidRDefault="00746D2B" w:rsidP="000C2A54">
      <w:pPr>
        <w:widowControl w:val="0"/>
        <w:tabs>
          <w:tab w:val="left" w:pos="567"/>
        </w:tabs>
        <w:autoSpaceDE w:val="0"/>
        <w:autoSpaceDN w:val="0"/>
        <w:adjustRightInd w:val="0"/>
        <w:rPr>
          <w:b/>
        </w:rPr>
      </w:pPr>
    </w:p>
    <w:p w14:paraId="0E5ACBBF" w14:textId="599C73AD" w:rsidR="000C2A54" w:rsidRPr="003F2009" w:rsidRDefault="000C2A54" w:rsidP="000C2A54">
      <w:pPr>
        <w:widowControl w:val="0"/>
        <w:tabs>
          <w:tab w:val="left" w:pos="567"/>
        </w:tabs>
        <w:autoSpaceDE w:val="0"/>
        <w:autoSpaceDN w:val="0"/>
        <w:adjustRightInd w:val="0"/>
        <w:rPr>
          <w:b/>
        </w:rPr>
      </w:pPr>
      <w:r>
        <w:rPr>
          <w:b/>
        </w:rPr>
        <w:t>1</w:t>
      </w:r>
      <w:r w:rsidR="00EF4A8A">
        <w:rPr>
          <w:b/>
        </w:rPr>
        <w:t>7</w:t>
      </w:r>
      <w:r w:rsidRPr="003F2009">
        <w:rPr>
          <w:b/>
        </w:rPr>
        <w:t>.</w:t>
      </w:r>
      <w:r w:rsidRPr="003F2009">
        <w:rPr>
          <w:b/>
        </w:rPr>
        <w:tab/>
        <w:t>Events after the reporting period</w:t>
      </w:r>
    </w:p>
    <w:p w14:paraId="4C471BFA" w14:textId="77777777" w:rsidR="00937BB4" w:rsidRDefault="00937BB4" w:rsidP="000B3B3C">
      <w:pPr>
        <w:autoSpaceDE w:val="0"/>
        <w:autoSpaceDN w:val="0"/>
        <w:adjustRightInd w:val="0"/>
        <w:rPr>
          <w:lang w:val="en-US"/>
        </w:rPr>
      </w:pPr>
    </w:p>
    <w:p w14:paraId="5F092B7F" w14:textId="5ACA1D1F" w:rsidR="00094BB4" w:rsidRDefault="000C2A54" w:rsidP="00B61C59">
      <w:pPr>
        <w:autoSpaceDE w:val="0"/>
        <w:autoSpaceDN w:val="0"/>
        <w:adjustRightInd w:val="0"/>
        <w:ind w:left="567"/>
        <w:rPr>
          <w:lang w:val="en-US"/>
        </w:rPr>
      </w:pPr>
      <w:r w:rsidRPr="003F2009">
        <w:rPr>
          <w:lang w:val="en-US"/>
        </w:rPr>
        <w:t xml:space="preserve">The Annual Report and Accounts are </w:t>
      </w:r>
      <w:proofErr w:type="spellStart"/>
      <w:r w:rsidRPr="003F2009">
        <w:rPr>
          <w:lang w:val="en-US"/>
        </w:rPr>
        <w:t>authorised</w:t>
      </w:r>
      <w:proofErr w:type="spellEnd"/>
      <w:r w:rsidRPr="003F2009">
        <w:rPr>
          <w:lang w:val="en-US"/>
        </w:rPr>
        <w:t xml:space="preserve"> for issue on the same date as the Comptroller and Auditor General signed the audit certificate.</w:t>
      </w:r>
    </w:p>
    <w:p w14:paraId="16CC2241" w14:textId="304AD1FC" w:rsidR="00925C6F" w:rsidRDefault="00925C6F" w:rsidP="00B61C59">
      <w:pPr>
        <w:autoSpaceDE w:val="0"/>
        <w:autoSpaceDN w:val="0"/>
        <w:adjustRightInd w:val="0"/>
        <w:ind w:left="567"/>
        <w:rPr>
          <w:lang w:val="en-US"/>
        </w:rPr>
      </w:pPr>
    </w:p>
    <w:p w14:paraId="11BAA2B6" w14:textId="77777777" w:rsidR="00952E25" w:rsidRDefault="00925C6F" w:rsidP="00953497">
      <w:pPr>
        <w:autoSpaceDE w:val="0"/>
        <w:autoSpaceDN w:val="0"/>
        <w:adjustRightInd w:val="0"/>
        <w:ind w:left="567"/>
        <w:rPr>
          <w:lang w:val="en-US"/>
        </w:rPr>
      </w:pPr>
      <w:r>
        <w:rPr>
          <w:lang w:val="en-US"/>
        </w:rPr>
        <w:t>There were no significant events after the reporting date.</w:t>
      </w:r>
    </w:p>
    <w:p w14:paraId="7BB42FC6" w14:textId="77777777" w:rsidR="00C03FE4" w:rsidRDefault="00C03FE4" w:rsidP="00953497">
      <w:pPr>
        <w:autoSpaceDE w:val="0"/>
        <w:autoSpaceDN w:val="0"/>
        <w:adjustRightInd w:val="0"/>
        <w:ind w:left="567"/>
        <w:rPr>
          <w:lang w:val="en-US"/>
        </w:rPr>
      </w:pPr>
    </w:p>
    <w:p w14:paraId="08F299C2" w14:textId="77777777" w:rsidR="00C03FE4" w:rsidRDefault="00C03FE4" w:rsidP="00953497">
      <w:pPr>
        <w:autoSpaceDE w:val="0"/>
        <w:autoSpaceDN w:val="0"/>
        <w:adjustRightInd w:val="0"/>
        <w:ind w:left="567"/>
        <w:rPr>
          <w:lang w:val="en-US"/>
        </w:rPr>
      </w:pPr>
    </w:p>
    <w:p w14:paraId="089D72CB" w14:textId="77777777" w:rsidR="00C03FE4" w:rsidRDefault="00C03FE4" w:rsidP="00953497">
      <w:pPr>
        <w:autoSpaceDE w:val="0"/>
        <w:autoSpaceDN w:val="0"/>
        <w:adjustRightInd w:val="0"/>
        <w:ind w:left="567"/>
        <w:rPr>
          <w:lang w:val="en-US"/>
        </w:rPr>
      </w:pPr>
    </w:p>
    <w:p w14:paraId="7080D199" w14:textId="77777777" w:rsidR="00C03FE4" w:rsidRDefault="00C03FE4" w:rsidP="00953497">
      <w:pPr>
        <w:autoSpaceDE w:val="0"/>
        <w:autoSpaceDN w:val="0"/>
        <w:adjustRightInd w:val="0"/>
        <w:ind w:left="567"/>
        <w:rPr>
          <w:lang w:val="en-US"/>
        </w:rPr>
      </w:pPr>
    </w:p>
    <w:p w14:paraId="2E40C0B4" w14:textId="77777777" w:rsidR="00C03FE4" w:rsidRDefault="00C03FE4" w:rsidP="00953497">
      <w:pPr>
        <w:autoSpaceDE w:val="0"/>
        <w:autoSpaceDN w:val="0"/>
        <w:adjustRightInd w:val="0"/>
        <w:ind w:left="567"/>
        <w:rPr>
          <w:lang w:val="en-US"/>
        </w:rPr>
        <w:sectPr w:rsidR="00C03FE4" w:rsidSect="00210451">
          <w:footerReference w:type="default" r:id="rId41"/>
          <w:pgSz w:w="11907" w:h="16840" w:code="9"/>
          <w:pgMar w:top="1418" w:right="1418" w:bottom="851" w:left="1418" w:header="709" w:footer="709" w:gutter="0"/>
          <w:cols w:space="708"/>
          <w:docGrid w:linePitch="360"/>
        </w:sectPr>
      </w:pPr>
    </w:p>
    <w:p w14:paraId="54857CEF" w14:textId="77777777" w:rsidR="00952E25" w:rsidRDefault="00952E25" w:rsidP="00953497">
      <w:pPr>
        <w:autoSpaceDE w:val="0"/>
        <w:autoSpaceDN w:val="0"/>
        <w:adjustRightInd w:val="0"/>
        <w:ind w:left="567"/>
        <w:rPr>
          <w:lang w:val="en-US"/>
        </w:rPr>
        <w:sectPr w:rsidR="00952E25" w:rsidSect="00210451">
          <w:footerReference w:type="default" r:id="rId42"/>
          <w:pgSz w:w="11907" w:h="16840" w:code="9"/>
          <w:pgMar w:top="1418" w:right="1418" w:bottom="851" w:left="1418" w:header="709" w:footer="709" w:gutter="0"/>
          <w:cols w:space="708"/>
          <w:docGrid w:linePitch="360"/>
        </w:sectPr>
      </w:pPr>
    </w:p>
    <w:p w14:paraId="4F347545" w14:textId="0033F684" w:rsidR="00094BB4" w:rsidRDefault="00094BB4" w:rsidP="00953497">
      <w:pPr>
        <w:autoSpaceDE w:val="0"/>
        <w:autoSpaceDN w:val="0"/>
        <w:adjustRightInd w:val="0"/>
        <w:ind w:left="567"/>
      </w:pPr>
    </w:p>
    <w:p w14:paraId="2A83C64A" w14:textId="77777777" w:rsidR="00094BB4" w:rsidRDefault="00094BB4" w:rsidP="00094BB4">
      <w:pPr>
        <w:jc w:val="right"/>
      </w:pPr>
    </w:p>
    <w:p w14:paraId="1C5ABFC7" w14:textId="77777777" w:rsidR="00094BB4" w:rsidRDefault="00094BB4" w:rsidP="00094BB4">
      <w:pPr>
        <w:jc w:val="right"/>
      </w:pPr>
    </w:p>
    <w:p w14:paraId="607C064A" w14:textId="77777777" w:rsidR="00094BB4" w:rsidRDefault="00094BB4" w:rsidP="00094BB4">
      <w:pPr>
        <w:jc w:val="right"/>
      </w:pPr>
    </w:p>
    <w:p w14:paraId="110A2C49" w14:textId="77777777" w:rsidR="00094BB4" w:rsidRDefault="00094BB4" w:rsidP="00094BB4">
      <w:pPr>
        <w:jc w:val="right"/>
      </w:pPr>
    </w:p>
    <w:p w14:paraId="4E51B978" w14:textId="77777777" w:rsidR="00094BB4" w:rsidRDefault="00094BB4" w:rsidP="00094BB4">
      <w:pPr>
        <w:jc w:val="right"/>
      </w:pPr>
    </w:p>
    <w:p w14:paraId="30451F57" w14:textId="77777777" w:rsidR="00094BB4" w:rsidRDefault="00094BB4" w:rsidP="00094BB4">
      <w:pPr>
        <w:jc w:val="right"/>
      </w:pPr>
    </w:p>
    <w:p w14:paraId="66D011E9" w14:textId="77777777" w:rsidR="00094BB4" w:rsidRDefault="00094BB4" w:rsidP="00094BB4">
      <w:pPr>
        <w:jc w:val="right"/>
      </w:pPr>
    </w:p>
    <w:p w14:paraId="574C1885" w14:textId="77777777" w:rsidR="00094BB4" w:rsidRDefault="00094BB4" w:rsidP="00094BB4">
      <w:pPr>
        <w:jc w:val="right"/>
      </w:pPr>
    </w:p>
    <w:p w14:paraId="1D559058" w14:textId="77777777" w:rsidR="00094BB4" w:rsidRDefault="00094BB4" w:rsidP="00094BB4">
      <w:pPr>
        <w:jc w:val="right"/>
      </w:pPr>
    </w:p>
    <w:p w14:paraId="768F3444" w14:textId="77777777" w:rsidR="00094BB4" w:rsidRDefault="00094BB4" w:rsidP="00094BB4">
      <w:pPr>
        <w:jc w:val="right"/>
      </w:pPr>
    </w:p>
    <w:p w14:paraId="6ED50CA9" w14:textId="77777777" w:rsidR="00094BB4" w:rsidRDefault="00094BB4" w:rsidP="00094BB4">
      <w:pPr>
        <w:jc w:val="right"/>
      </w:pPr>
    </w:p>
    <w:p w14:paraId="7E53A840" w14:textId="77777777" w:rsidR="00094BB4" w:rsidRDefault="00094BB4" w:rsidP="00094BB4">
      <w:pPr>
        <w:jc w:val="right"/>
      </w:pPr>
    </w:p>
    <w:p w14:paraId="6A6A9F00" w14:textId="77777777" w:rsidR="00094BB4" w:rsidRDefault="00094BB4" w:rsidP="00094BB4">
      <w:pPr>
        <w:jc w:val="right"/>
      </w:pPr>
    </w:p>
    <w:p w14:paraId="1762B7AB" w14:textId="77777777" w:rsidR="00094BB4" w:rsidRDefault="00094BB4" w:rsidP="00094BB4">
      <w:pPr>
        <w:jc w:val="right"/>
      </w:pPr>
    </w:p>
    <w:p w14:paraId="412CC77B" w14:textId="77777777" w:rsidR="00094BB4" w:rsidRDefault="00094BB4" w:rsidP="00094BB4">
      <w:pPr>
        <w:jc w:val="right"/>
      </w:pPr>
    </w:p>
    <w:p w14:paraId="6DED818A" w14:textId="77777777" w:rsidR="00094BB4" w:rsidRDefault="00094BB4" w:rsidP="00094BB4">
      <w:pPr>
        <w:jc w:val="right"/>
      </w:pPr>
    </w:p>
    <w:p w14:paraId="4B8F6C64" w14:textId="77777777" w:rsidR="00094BB4" w:rsidRDefault="00094BB4" w:rsidP="00094BB4">
      <w:pPr>
        <w:jc w:val="right"/>
      </w:pPr>
    </w:p>
    <w:p w14:paraId="583E0979" w14:textId="77777777" w:rsidR="00094BB4" w:rsidRDefault="00094BB4" w:rsidP="00094BB4">
      <w:pPr>
        <w:jc w:val="right"/>
      </w:pPr>
    </w:p>
    <w:p w14:paraId="5EFE5C4B" w14:textId="77777777" w:rsidR="00094BB4" w:rsidRDefault="00094BB4" w:rsidP="00094BB4">
      <w:pPr>
        <w:jc w:val="right"/>
      </w:pPr>
    </w:p>
    <w:p w14:paraId="5F279451" w14:textId="77777777" w:rsidR="00094BB4" w:rsidRDefault="00094BB4" w:rsidP="00094BB4">
      <w:pPr>
        <w:jc w:val="right"/>
      </w:pPr>
    </w:p>
    <w:p w14:paraId="0C71D6EC" w14:textId="77777777" w:rsidR="00094BB4" w:rsidRDefault="00094BB4" w:rsidP="00094BB4">
      <w:pPr>
        <w:jc w:val="right"/>
      </w:pPr>
    </w:p>
    <w:p w14:paraId="064EDA01" w14:textId="77777777" w:rsidR="00094BB4" w:rsidRDefault="00094BB4" w:rsidP="00094BB4">
      <w:pPr>
        <w:jc w:val="right"/>
      </w:pPr>
    </w:p>
    <w:p w14:paraId="6F408E5F" w14:textId="77777777" w:rsidR="00953497" w:rsidRDefault="00953497" w:rsidP="00094BB4">
      <w:pPr>
        <w:jc w:val="right"/>
      </w:pPr>
    </w:p>
    <w:p w14:paraId="73F062D9" w14:textId="77777777" w:rsidR="00953497" w:rsidRDefault="00953497" w:rsidP="00094BB4">
      <w:pPr>
        <w:jc w:val="right"/>
      </w:pPr>
    </w:p>
    <w:p w14:paraId="580829A3" w14:textId="77777777" w:rsidR="00953497" w:rsidRDefault="00953497" w:rsidP="00094BB4">
      <w:pPr>
        <w:jc w:val="right"/>
      </w:pPr>
    </w:p>
    <w:p w14:paraId="3D26F75E" w14:textId="77777777" w:rsidR="00953497" w:rsidRDefault="00953497" w:rsidP="00094BB4">
      <w:pPr>
        <w:jc w:val="right"/>
      </w:pPr>
    </w:p>
    <w:p w14:paraId="05965002" w14:textId="77777777" w:rsidR="00953497" w:rsidRDefault="00953497" w:rsidP="00094BB4">
      <w:pPr>
        <w:jc w:val="right"/>
      </w:pPr>
    </w:p>
    <w:p w14:paraId="67361FD4" w14:textId="77777777" w:rsidR="00953497" w:rsidRDefault="00953497" w:rsidP="00094BB4">
      <w:pPr>
        <w:jc w:val="right"/>
      </w:pPr>
    </w:p>
    <w:p w14:paraId="3EF25E46" w14:textId="77777777" w:rsidR="00953497" w:rsidRDefault="00953497" w:rsidP="00094BB4">
      <w:pPr>
        <w:jc w:val="right"/>
      </w:pPr>
    </w:p>
    <w:p w14:paraId="68588449" w14:textId="77777777" w:rsidR="00953497" w:rsidRDefault="00953497" w:rsidP="00094BB4">
      <w:pPr>
        <w:jc w:val="right"/>
      </w:pPr>
    </w:p>
    <w:p w14:paraId="4265EAC7" w14:textId="77777777" w:rsidR="00953497" w:rsidRDefault="00953497" w:rsidP="00094BB4">
      <w:pPr>
        <w:jc w:val="right"/>
      </w:pPr>
    </w:p>
    <w:p w14:paraId="4423688F" w14:textId="77777777" w:rsidR="00953497" w:rsidRDefault="00953497" w:rsidP="00094BB4">
      <w:pPr>
        <w:jc w:val="right"/>
      </w:pPr>
    </w:p>
    <w:p w14:paraId="493084E2" w14:textId="77777777" w:rsidR="00953497" w:rsidRDefault="00953497" w:rsidP="00094BB4">
      <w:pPr>
        <w:jc w:val="right"/>
      </w:pPr>
    </w:p>
    <w:p w14:paraId="2D18E2A8" w14:textId="77777777" w:rsidR="00953497" w:rsidRDefault="00953497" w:rsidP="00094BB4">
      <w:pPr>
        <w:jc w:val="right"/>
      </w:pPr>
    </w:p>
    <w:p w14:paraId="020C5F46" w14:textId="77777777" w:rsidR="00953497" w:rsidRDefault="00953497" w:rsidP="00094BB4">
      <w:pPr>
        <w:jc w:val="right"/>
      </w:pPr>
    </w:p>
    <w:p w14:paraId="035ED3E8" w14:textId="77777777" w:rsidR="00953497" w:rsidRDefault="00953497" w:rsidP="00094BB4">
      <w:pPr>
        <w:jc w:val="right"/>
      </w:pPr>
    </w:p>
    <w:p w14:paraId="1BB165A0" w14:textId="77777777" w:rsidR="00953497" w:rsidRDefault="00953497" w:rsidP="00094BB4">
      <w:pPr>
        <w:jc w:val="right"/>
      </w:pPr>
    </w:p>
    <w:p w14:paraId="7B4E5C7C" w14:textId="77777777" w:rsidR="00953497" w:rsidRDefault="00953497" w:rsidP="00094BB4">
      <w:pPr>
        <w:jc w:val="right"/>
      </w:pPr>
    </w:p>
    <w:p w14:paraId="70CCEC46" w14:textId="77777777" w:rsidR="00953497" w:rsidRDefault="00953497" w:rsidP="00094BB4">
      <w:pPr>
        <w:jc w:val="right"/>
      </w:pPr>
    </w:p>
    <w:p w14:paraId="5E2BEFDF" w14:textId="77777777" w:rsidR="00953497" w:rsidRDefault="00953497" w:rsidP="00094BB4">
      <w:pPr>
        <w:jc w:val="right"/>
      </w:pPr>
    </w:p>
    <w:p w14:paraId="0B0B7791" w14:textId="77777777" w:rsidR="00953497" w:rsidRDefault="00953497" w:rsidP="00094BB4">
      <w:pPr>
        <w:jc w:val="right"/>
      </w:pPr>
    </w:p>
    <w:p w14:paraId="7EC9CE94" w14:textId="77777777" w:rsidR="00953497" w:rsidRDefault="00953497" w:rsidP="00094BB4">
      <w:pPr>
        <w:jc w:val="right"/>
      </w:pPr>
    </w:p>
    <w:p w14:paraId="69E2A1D7" w14:textId="77777777" w:rsidR="00953497" w:rsidRDefault="00953497" w:rsidP="00094BB4">
      <w:pPr>
        <w:jc w:val="right"/>
      </w:pPr>
    </w:p>
    <w:p w14:paraId="608BC382" w14:textId="10AB9CF4" w:rsidR="00DA5E04" w:rsidRDefault="001C49E3" w:rsidP="001C49E3">
      <w:pPr>
        <w:jc w:val="right"/>
      </w:pPr>
      <w:r>
        <w:t>E</w:t>
      </w:r>
      <w:r w:rsidR="00575E33">
        <w:t>0</w:t>
      </w:r>
      <w:r w:rsidR="006762B4">
        <w:t>3149682</w:t>
      </w:r>
      <w:r w:rsidR="005B1FA8">
        <w:t xml:space="preserve">     </w:t>
      </w:r>
    </w:p>
    <w:p w14:paraId="340894DB" w14:textId="117182EA" w:rsidR="00C22A18" w:rsidRPr="00952E25" w:rsidRDefault="00DA5E04" w:rsidP="001C49E3">
      <w:pPr>
        <w:jc w:val="right"/>
        <w:rPr>
          <w:b/>
          <w:bCs/>
        </w:rPr>
      </w:pPr>
      <w:r>
        <w:t>978-1-5286-</w:t>
      </w:r>
      <w:r w:rsidR="002148F0">
        <w:t>5027</w:t>
      </w:r>
      <w:r w:rsidR="00575E33">
        <w:t>-</w:t>
      </w:r>
      <w:r w:rsidR="002148F0">
        <w:t>4</w:t>
      </w:r>
      <w:r w:rsidR="005B1FA8">
        <w:t xml:space="preserve">         </w:t>
      </w:r>
    </w:p>
    <w:sectPr w:rsidR="00C22A18" w:rsidRPr="00952E25" w:rsidSect="00952E25">
      <w:type w:val="continuous"/>
      <w:pgSz w:w="11907" w:h="16840"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23F16" w14:textId="77777777" w:rsidR="00BE7B34" w:rsidRDefault="00BE7B34">
      <w:r>
        <w:separator/>
      </w:r>
    </w:p>
  </w:endnote>
  <w:endnote w:type="continuationSeparator" w:id="0">
    <w:p w14:paraId="159D6194" w14:textId="77777777" w:rsidR="00BE7B34" w:rsidRDefault="00BE7B34">
      <w:r>
        <w:continuationSeparator/>
      </w:r>
    </w:p>
  </w:endnote>
  <w:endnote w:type="continuationNotice" w:id="1">
    <w:p w14:paraId="2DD730DE" w14:textId="77777777" w:rsidR="00BE7B34" w:rsidRDefault="00BE7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50t00">
    <w:altName w:val="Calibri"/>
    <w:panose1 w:val="00000000000000000000"/>
    <w:charset w:val="00"/>
    <w:family w:val="auto"/>
    <w:notTrueType/>
    <w:pitch w:val="default"/>
    <w:sig w:usb0="00000003" w:usb1="00000000" w:usb2="00000000" w:usb3="00000000" w:csb0="00000001" w:csb1="00000000"/>
  </w:font>
  <w:font w:name="Futura Md BT">
    <w:altName w:val="Century Gothic"/>
    <w:charset w:val="00"/>
    <w:family w:val="swiss"/>
    <w:pitch w:val="variable"/>
    <w:sig w:usb0="800000AF" w:usb1="1000204A" w:usb2="00000000" w:usb3="00000000" w:csb0="00000011" w:csb1="00000000"/>
  </w:font>
  <w:font w:name="Futura Bk BT">
    <w:altName w:val="Century Gothic"/>
    <w:charset w:val="00"/>
    <w:family w:val="swiss"/>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BT-LightCondensed">
    <w:panose1 w:val="00000000000000000000"/>
    <w:charset w:val="00"/>
    <w:family w:val="swiss"/>
    <w:notTrueType/>
    <w:pitch w:val="default"/>
    <w:sig w:usb0="00000003" w:usb1="00000000" w:usb2="00000000" w:usb3="00000000" w:csb0="00000001" w:csb1="00000000"/>
  </w:font>
  <w:font w:name="ZurichBT-BoldCondensed">
    <w:panose1 w:val="00000000000000000000"/>
    <w:charset w:val="00"/>
    <w:family w:val="swiss"/>
    <w:notTrueType/>
    <w:pitch w:val="default"/>
    <w:sig w:usb0="00000003" w:usb1="00000000" w:usb2="00000000" w:usb3="00000000" w:csb0="00000001" w:csb1="00000000"/>
  </w:font>
  <w:font w:name="VGOJM V+ Zurich BT">
    <w:altName w:val="Zurich"/>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etaPlusNormal-Roman">
    <w:panose1 w:val="00000000000000000000"/>
    <w:charset w:val="00"/>
    <w:family w:val="auto"/>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Bold">
    <w:panose1 w:val="00000000000000000000"/>
    <w:charset w:val="00"/>
    <w:family w:val="auto"/>
    <w:notTrueType/>
    <w:pitch w:val="default"/>
    <w:sig w:usb0="00000003" w:usb1="00000000" w:usb2="00000000" w:usb3="00000000" w:csb0="00000001" w:csb1="00000000"/>
  </w:font>
  <w:font w:name="Univers-Light">
    <w:altName w:val="MS Gothic"/>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15349" w14:textId="77777777" w:rsidR="002667DD" w:rsidRDefault="002667DD" w:rsidP="001958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30F4E79E" w14:textId="77777777" w:rsidR="002667DD" w:rsidRDefault="002667DD" w:rsidP="001958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93452" w14:textId="77777777" w:rsidR="002667DD" w:rsidRDefault="002667DD" w:rsidP="001958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899EF" w14:textId="77777777" w:rsidR="002667DD" w:rsidRDefault="002667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9C98F" w14:textId="77777777" w:rsidR="00B208B5" w:rsidRDefault="00B208B5" w:rsidP="00F244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7AE63FD3" w14:textId="77777777" w:rsidR="00B208B5" w:rsidRDefault="00B208B5" w:rsidP="00F244A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86A78" w14:textId="0B7529A2" w:rsidR="00B208B5" w:rsidRDefault="00B208B5" w:rsidP="00F244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2ACA">
      <w:rPr>
        <w:rStyle w:val="PageNumber"/>
        <w:noProof/>
      </w:rPr>
      <w:t>34</w:t>
    </w:r>
    <w:r>
      <w:rPr>
        <w:rStyle w:val="PageNumber"/>
      </w:rPr>
      <w:fldChar w:fldCharType="end"/>
    </w:r>
  </w:p>
  <w:p w14:paraId="3099386A" w14:textId="77777777" w:rsidR="00B208B5" w:rsidRDefault="00B208B5" w:rsidP="00F244A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263705"/>
      <w:docPartObj>
        <w:docPartGallery w:val="Page Numbers (Bottom of Page)"/>
        <w:docPartUnique/>
      </w:docPartObj>
    </w:sdtPr>
    <w:sdtEndPr>
      <w:rPr>
        <w:noProof/>
      </w:rPr>
    </w:sdtEndPr>
    <w:sdtContent>
      <w:p w14:paraId="238E1C2E" w14:textId="3469A48B" w:rsidR="00C87C4B" w:rsidRDefault="00C87C4B">
        <w:pPr>
          <w:pStyle w:val="Footer"/>
          <w:jc w:val="right"/>
        </w:pPr>
        <w:r>
          <w:fldChar w:fldCharType="begin"/>
        </w:r>
        <w:r>
          <w:instrText xml:space="preserve"> PAGE   \* MERGEFORMAT </w:instrText>
        </w:r>
        <w:r>
          <w:fldChar w:fldCharType="separate"/>
        </w:r>
        <w:r w:rsidR="00CD2ACA">
          <w:rPr>
            <w:noProof/>
          </w:rPr>
          <w:t>58</w:t>
        </w:r>
        <w:r>
          <w:rPr>
            <w:noProof/>
          </w:rPr>
          <w:fldChar w:fldCharType="end"/>
        </w:r>
      </w:p>
    </w:sdtContent>
  </w:sdt>
  <w:p w14:paraId="6872480D" w14:textId="77777777" w:rsidR="00B208B5" w:rsidRDefault="00B208B5" w:rsidP="00F244A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8EC51" w14:textId="77777777" w:rsidR="00952E25" w:rsidRDefault="00952E25" w:rsidP="00F244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1E5C1" w14:textId="77777777" w:rsidR="00BE7B34" w:rsidRDefault="00BE7B34">
      <w:r>
        <w:separator/>
      </w:r>
    </w:p>
  </w:footnote>
  <w:footnote w:type="continuationSeparator" w:id="0">
    <w:p w14:paraId="08040093" w14:textId="77777777" w:rsidR="00BE7B34" w:rsidRDefault="00BE7B34">
      <w:r>
        <w:continuationSeparator/>
      </w:r>
    </w:p>
  </w:footnote>
  <w:footnote w:type="continuationNotice" w:id="1">
    <w:p w14:paraId="5EB70DF5" w14:textId="77777777" w:rsidR="00BE7B34" w:rsidRDefault="00BE7B34"/>
  </w:footnote>
  <w:footnote w:id="2">
    <w:p w14:paraId="1E31891E" w14:textId="3A988E46" w:rsidR="002667DD" w:rsidRPr="00E16EF2" w:rsidRDefault="002667DD" w:rsidP="002667DD">
      <w:pPr>
        <w:pStyle w:val="FootnoteText"/>
        <w:rPr>
          <w:rFonts w:ascii="Verdana" w:hAnsi="Verdana"/>
          <w:color w:val="7030A0"/>
          <w:sz w:val="16"/>
          <w:szCs w:val="16"/>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w:t>
      </w:r>
      <w:hyperlink r:id="rId1" w:history="1">
        <w:r w:rsidRPr="00E16EF2">
          <w:rPr>
            <w:rStyle w:val="Hyperlink"/>
            <w:rFonts w:ascii="Verdana" w:hAnsi="Verdana"/>
            <w:color w:val="7030A0"/>
            <w:sz w:val="16"/>
            <w:szCs w:val="16"/>
          </w:rPr>
          <w:t>Publication - Annual Statement 202</w:t>
        </w:r>
        <w:r w:rsidR="006652D2">
          <w:rPr>
            <w:rStyle w:val="Hyperlink"/>
            <w:rFonts w:ascii="Verdana" w:hAnsi="Verdana"/>
            <w:color w:val="7030A0"/>
            <w:sz w:val="16"/>
            <w:szCs w:val="16"/>
          </w:rPr>
          <w:t>3</w:t>
        </w:r>
        <w:r w:rsidRPr="00E16EF2">
          <w:rPr>
            <w:rStyle w:val="Hyperlink"/>
            <w:rFonts w:ascii="Verdana" w:hAnsi="Verdana"/>
            <w:color w:val="7030A0"/>
            <w:sz w:val="16"/>
            <w:szCs w:val="16"/>
          </w:rPr>
          <w:t xml:space="preserve"> | Northern Ireland Human Rights Commission (nihrc.org)</w:t>
        </w:r>
      </w:hyperlink>
    </w:p>
  </w:footnote>
  <w:footnote w:id="3">
    <w:p w14:paraId="306DAF11" w14:textId="13B0A627" w:rsidR="00B208B5" w:rsidRPr="0056637D" w:rsidRDefault="00B208B5">
      <w:pPr>
        <w:pStyle w:val="FootnoteText"/>
        <w:rPr>
          <w:rFonts w:ascii="Verdana" w:hAnsi="Verdana"/>
          <w:color w:val="7030A0"/>
          <w:sz w:val="16"/>
          <w:szCs w:val="16"/>
        </w:rPr>
      </w:pPr>
      <w:r w:rsidRPr="0056637D">
        <w:rPr>
          <w:rStyle w:val="FootnoteReference"/>
          <w:rFonts w:ascii="Verdana" w:hAnsi="Verdana"/>
          <w:color w:val="7030A0"/>
          <w:sz w:val="16"/>
          <w:szCs w:val="16"/>
        </w:rPr>
        <w:footnoteRef/>
      </w:r>
      <w:r w:rsidRPr="0056637D">
        <w:rPr>
          <w:rFonts w:ascii="Verdana" w:hAnsi="Verdana"/>
          <w:color w:val="7030A0"/>
          <w:sz w:val="16"/>
          <w:szCs w:val="16"/>
        </w:rPr>
        <w:t xml:space="preserve"> </w:t>
      </w:r>
      <w:r w:rsidR="009C4BC4" w:rsidRPr="009C4BC4">
        <w:rPr>
          <w:rFonts w:ascii="Verdana" w:hAnsi="Verdana"/>
          <w:color w:val="7030A0"/>
          <w:sz w:val="16"/>
          <w:szCs w:val="16"/>
        </w:rPr>
        <w:t>Accrued pension benefits for directors are not included in this table for 2023/24 due to an exceptional delay in the calculation of these figures following the application of the public service pensions remedy</w:t>
      </w:r>
      <w:r w:rsidR="009C4BC4">
        <w:rPr>
          <w:rFonts w:ascii="Verdana" w:hAnsi="Verdana"/>
          <w:color w:val="7030A0"/>
          <w:sz w:val="16"/>
          <w:szCs w:val="16"/>
        </w:rPr>
        <w:t>.</w:t>
      </w:r>
    </w:p>
  </w:footnote>
  <w:footnote w:id="4">
    <w:p w14:paraId="3E94C2B9" w14:textId="08279B0C" w:rsidR="00194B60" w:rsidRPr="00186220" w:rsidRDefault="00194B60">
      <w:pPr>
        <w:pStyle w:val="FootnoteText"/>
        <w:rPr>
          <w:rFonts w:ascii="Verdana" w:hAnsi="Verdana"/>
          <w:sz w:val="16"/>
          <w:szCs w:val="16"/>
        </w:rPr>
      </w:pPr>
      <w:r w:rsidRPr="00186220">
        <w:rPr>
          <w:rStyle w:val="FootnoteReference"/>
          <w:rFonts w:ascii="Verdana" w:hAnsi="Verdana"/>
          <w:color w:val="7030A0"/>
          <w:sz w:val="16"/>
          <w:szCs w:val="16"/>
        </w:rPr>
        <w:footnoteRef/>
      </w:r>
      <w:r w:rsidRPr="00186220">
        <w:rPr>
          <w:rFonts w:ascii="Verdana" w:hAnsi="Verdana"/>
          <w:color w:val="7030A0"/>
          <w:sz w:val="16"/>
          <w:szCs w:val="16"/>
        </w:rPr>
        <w:t xml:space="preserve"> </w:t>
      </w:r>
      <w:r w:rsidR="00124B25" w:rsidRPr="00186220">
        <w:rPr>
          <w:rFonts w:ascii="Verdana" w:hAnsi="Verdana"/>
          <w:color w:val="7030A0"/>
          <w:sz w:val="16"/>
          <w:szCs w:val="16"/>
        </w:rPr>
        <w:t>The figure quoted is for the period 1 April 2023 to 31 August 2023.  The full year equi</w:t>
      </w:r>
      <w:r w:rsidR="00186220" w:rsidRPr="00186220">
        <w:rPr>
          <w:rFonts w:ascii="Verdana" w:hAnsi="Verdana"/>
          <w:color w:val="7030A0"/>
          <w:sz w:val="16"/>
          <w:szCs w:val="16"/>
        </w:rPr>
        <w:t>valent i</w:t>
      </w:r>
      <w:r w:rsidR="00BE5C01">
        <w:rPr>
          <w:rFonts w:ascii="Verdana" w:hAnsi="Verdana"/>
          <w:color w:val="7030A0"/>
          <w:sz w:val="16"/>
          <w:szCs w:val="16"/>
        </w:rPr>
        <w:t>s</w:t>
      </w:r>
      <w:r w:rsidR="00186220" w:rsidRPr="00186220">
        <w:rPr>
          <w:rFonts w:ascii="Verdana" w:hAnsi="Verdana"/>
          <w:color w:val="7030A0"/>
          <w:sz w:val="16"/>
          <w:szCs w:val="16"/>
        </w:rPr>
        <w:t xml:space="preserve"> £5-£10k.</w:t>
      </w:r>
    </w:p>
  </w:footnote>
  <w:footnote w:id="5">
    <w:p w14:paraId="77E1EC0D" w14:textId="77777777" w:rsidR="00602A07" w:rsidRPr="00760EB1" w:rsidRDefault="00602A07" w:rsidP="00602A07">
      <w:pPr>
        <w:pStyle w:val="FootnoteText"/>
        <w:rPr>
          <w:rFonts w:ascii="Verdana" w:hAnsi="Verdana"/>
          <w:sz w:val="16"/>
          <w:szCs w:val="16"/>
        </w:rPr>
      </w:pPr>
      <w:r w:rsidRPr="00186220">
        <w:rPr>
          <w:rStyle w:val="FootnoteReference"/>
          <w:rFonts w:ascii="Verdana" w:hAnsi="Verdana"/>
          <w:color w:val="7030A0"/>
          <w:sz w:val="16"/>
          <w:szCs w:val="16"/>
        </w:rPr>
        <w:footnoteRef/>
      </w:r>
      <w:r w:rsidRPr="00186220">
        <w:rPr>
          <w:rFonts w:ascii="Verdana" w:hAnsi="Verdana"/>
          <w:color w:val="7030A0"/>
          <w:sz w:val="16"/>
          <w:szCs w:val="16"/>
        </w:rPr>
        <w:t xml:space="preserve"> The figure quoted is for the period 1 September 2022 to 31 March 2023. The full year equivalent is £5-£10k</w:t>
      </w:r>
      <w:r w:rsidRPr="00760EB1">
        <w:rPr>
          <w:rFonts w:ascii="Verdana" w:hAnsi="Verdana"/>
          <w:color w:val="7030A0"/>
          <w:sz w:val="16"/>
          <w:szCs w:val="16"/>
        </w:rPr>
        <w:t>.</w:t>
      </w:r>
    </w:p>
  </w:footnote>
  <w:footnote w:id="6">
    <w:p w14:paraId="12F44AC3" w14:textId="37B4DEDB" w:rsidR="000E0884" w:rsidRPr="000E0884" w:rsidRDefault="000E0884">
      <w:pPr>
        <w:pStyle w:val="FootnoteText"/>
        <w:rPr>
          <w:rFonts w:ascii="Verdana" w:hAnsi="Verdana"/>
          <w:color w:val="7030A0"/>
          <w:sz w:val="16"/>
          <w:szCs w:val="16"/>
        </w:rPr>
      </w:pPr>
      <w:r w:rsidRPr="000E0884">
        <w:rPr>
          <w:rStyle w:val="FootnoteReference"/>
          <w:rFonts w:ascii="Verdana" w:hAnsi="Verdana"/>
          <w:color w:val="7030A0"/>
          <w:sz w:val="16"/>
          <w:szCs w:val="16"/>
        </w:rPr>
        <w:footnoteRef/>
      </w:r>
      <w:r w:rsidRPr="000E0884">
        <w:rPr>
          <w:rFonts w:ascii="Verdana" w:hAnsi="Verdana"/>
          <w:color w:val="7030A0"/>
          <w:sz w:val="16"/>
          <w:szCs w:val="16"/>
        </w:rPr>
        <w:t xml:space="preserve"> Charges a fee, which is processed </w:t>
      </w:r>
      <w:r w:rsidR="00582E77">
        <w:rPr>
          <w:rFonts w:ascii="Verdana" w:hAnsi="Verdana"/>
          <w:color w:val="7030A0"/>
          <w:sz w:val="16"/>
          <w:szCs w:val="16"/>
        </w:rPr>
        <w:t xml:space="preserve">in </w:t>
      </w:r>
      <w:r w:rsidRPr="000E0884">
        <w:rPr>
          <w:rFonts w:ascii="Verdana" w:hAnsi="Verdana"/>
          <w:color w:val="7030A0"/>
          <w:sz w:val="16"/>
          <w:szCs w:val="16"/>
        </w:rPr>
        <w:t>the Commission’s payroll.</w:t>
      </w:r>
    </w:p>
  </w:footnote>
  <w:footnote w:id="7">
    <w:p w14:paraId="3C4EF2B8" w14:textId="2E25D971" w:rsidR="00582E77" w:rsidRPr="00582E77" w:rsidRDefault="00582E77">
      <w:pPr>
        <w:pStyle w:val="FootnoteText"/>
        <w:rPr>
          <w:rFonts w:ascii="Verdana" w:hAnsi="Verdana"/>
          <w:color w:val="7030A0"/>
          <w:sz w:val="16"/>
          <w:szCs w:val="16"/>
        </w:rPr>
      </w:pPr>
      <w:r w:rsidRPr="00582E77">
        <w:rPr>
          <w:rStyle w:val="FootnoteReference"/>
          <w:rFonts w:ascii="Verdana" w:hAnsi="Verdana"/>
          <w:color w:val="7030A0"/>
          <w:sz w:val="16"/>
          <w:szCs w:val="16"/>
        </w:rPr>
        <w:footnoteRef/>
      </w:r>
      <w:r w:rsidRPr="00582E77">
        <w:rPr>
          <w:rFonts w:ascii="Verdana" w:hAnsi="Verdana"/>
          <w:color w:val="7030A0"/>
          <w:sz w:val="16"/>
          <w:szCs w:val="16"/>
        </w:rPr>
        <w:t xml:space="preserve"> Charges a fee, which is processed in the Commission’s payroll.</w:t>
      </w:r>
    </w:p>
  </w:footnote>
  <w:footnote w:id="8">
    <w:p w14:paraId="49DA5C14" w14:textId="77777777" w:rsidR="00D34FCE" w:rsidRPr="0046013C" w:rsidRDefault="00D34FCE" w:rsidP="00D34FCE">
      <w:pPr>
        <w:pStyle w:val="FootnoteText"/>
        <w:rPr>
          <w:rFonts w:ascii="Verdana" w:hAnsi="Verdana"/>
        </w:rPr>
      </w:pPr>
      <w:r w:rsidRPr="0046013C">
        <w:rPr>
          <w:rStyle w:val="FootnoteReference"/>
          <w:rFonts w:ascii="Verdana" w:hAnsi="Verdana"/>
          <w:color w:val="7030A0"/>
          <w:sz w:val="16"/>
          <w:szCs w:val="16"/>
        </w:rPr>
        <w:footnoteRef/>
      </w:r>
      <w:r w:rsidRPr="0046013C">
        <w:rPr>
          <w:rFonts w:ascii="Verdana" w:hAnsi="Verdana"/>
          <w:color w:val="7030A0"/>
          <w:sz w:val="16"/>
          <w:szCs w:val="16"/>
        </w:rPr>
        <w:t xml:space="preserve"> The figure quoted is for the period 1 August 2022 to 31 March 2023.  The full year equivalent is £65-£70k.</w:t>
      </w:r>
    </w:p>
  </w:footnote>
  <w:footnote w:id="9">
    <w:p w14:paraId="5D961094" w14:textId="77777777" w:rsidR="00D16421" w:rsidRPr="00D16421" w:rsidRDefault="00D16421" w:rsidP="00D16421">
      <w:pPr>
        <w:rPr>
          <w:color w:val="7030A0"/>
          <w:sz w:val="16"/>
          <w:szCs w:val="16"/>
        </w:rPr>
      </w:pPr>
      <w:r w:rsidRPr="00D16421">
        <w:rPr>
          <w:rStyle w:val="FootnoteReference"/>
          <w:color w:val="7030A0"/>
          <w:sz w:val="16"/>
          <w:szCs w:val="16"/>
        </w:rPr>
        <w:footnoteRef/>
      </w:r>
      <w:r w:rsidRPr="00D16421">
        <w:rPr>
          <w:color w:val="7030A0"/>
          <w:sz w:val="16"/>
          <w:szCs w:val="16"/>
        </w:rPr>
        <w:t xml:space="preserve"> Further details about the Civil Service pension arrangements can be found at the website </w:t>
      </w:r>
      <w:hyperlink r:id="rId2" w:history="1">
        <w:r w:rsidRPr="00D16421">
          <w:rPr>
            <w:rStyle w:val="Hyperlink"/>
            <w:color w:val="7030A0"/>
            <w:sz w:val="16"/>
            <w:szCs w:val="16"/>
          </w:rPr>
          <w:t>www.civilservicepensionscheme.org.uk</w:t>
        </w:r>
      </w:hyperlink>
      <w:r w:rsidRPr="00D16421">
        <w:rPr>
          <w:color w:val="7030A0"/>
          <w:sz w:val="16"/>
          <w:szCs w:val="16"/>
        </w:rPr>
        <w:t xml:space="preserve"> </w:t>
      </w:r>
    </w:p>
    <w:p w14:paraId="6FDE8F03" w14:textId="6106F1FA" w:rsidR="00D16421" w:rsidRDefault="00D16421">
      <w:pPr>
        <w:pStyle w:val="FootnoteText"/>
      </w:pPr>
    </w:p>
  </w:footnote>
  <w:footnote w:id="10">
    <w:p w14:paraId="3DB6B55A" w14:textId="1425F361" w:rsidR="00B208B5" w:rsidRPr="00E16EF2" w:rsidRDefault="00B208B5">
      <w:pPr>
        <w:pStyle w:val="FootnoteText"/>
        <w:rPr>
          <w:rFonts w:ascii="Verdana" w:hAnsi="Verdana"/>
          <w:sz w:val="16"/>
          <w:szCs w:val="16"/>
          <w:lang w:val="en-US"/>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Includes staff costs for Dedicated Mechanism staff of £</w:t>
      </w:r>
      <w:r w:rsidR="00C4616A" w:rsidRPr="00E16EF2">
        <w:rPr>
          <w:rFonts w:ascii="Verdana" w:hAnsi="Verdana"/>
          <w:color w:val="7030A0"/>
          <w:sz w:val="16"/>
          <w:szCs w:val="16"/>
        </w:rPr>
        <w:t>5</w:t>
      </w:r>
      <w:r w:rsidR="00234AF5">
        <w:rPr>
          <w:rFonts w:ascii="Verdana" w:hAnsi="Verdana"/>
          <w:color w:val="7030A0"/>
          <w:sz w:val="16"/>
          <w:szCs w:val="16"/>
        </w:rPr>
        <w:t>25,554</w:t>
      </w:r>
    </w:p>
  </w:footnote>
  <w:footnote w:id="11">
    <w:p w14:paraId="255804F4" w14:textId="7693443B" w:rsidR="00B208B5" w:rsidRPr="008215DC" w:rsidRDefault="00B208B5">
      <w:pPr>
        <w:pStyle w:val="FootnoteText"/>
        <w:rPr>
          <w:lang w:val="en-US"/>
        </w:rPr>
      </w:pPr>
      <w:r w:rsidRPr="00E16EF2">
        <w:rPr>
          <w:rStyle w:val="FootnoteReference"/>
          <w:rFonts w:ascii="Verdana" w:hAnsi="Verdana"/>
          <w:color w:val="7030A0"/>
          <w:sz w:val="16"/>
          <w:szCs w:val="16"/>
        </w:rPr>
        <w:footnoteRef/>
      </w:r>
      <w:r w:rsidRPr="00E16EF2">
        <w:rPr>
          <w:rFonts w:ascii="Verdana" w:hAnsi="Verdana"/>
          <w:color w:val="7030A0"/>
          <w:sz w:val="16"/>
          <w:szCs w:val="16"/>
        </w:rPr>
        <w:t xml:space="preserve"> </w:t>
      </w:r>
      <w:r w:rsidRPr="00E16EF2">
        <w:rPr>
          <w:rFonts w:ascii="Verdana" w:hAnsi="Verdana"/>
          <w:color w:val="7030A0"/>
          <w:sz w:val="16"/>
          <w:szCs w:val="16"/>
          <w:lang w:val="en-US"/>
        </w:rPr>
        <w:t>Includes pension costs for Dedicated Mechanism staff of £</w:t>
      </w:r>
      <w:r w:rsidR="00234AF5">
        <w:rPr>
          <w:rFonts w:ascii="Verdana" w:hAnsi="Verdana"/>
          <w:color w:val="7030A0"/>
          <w:sz w:val="16"/>
          <w:szCs w:val="16"/>
          <w:lang w:val="en-US"/>
        </w:rPr>
        <w:t>89,051</w:t>
      </w:r>
    </w:p>
  </w:footnote>
  <w:footnote w:id="12">
    <w:p w14:paraId="3CC2D484" w14:textId="6CEF5830" w:rsidR="00B208B5" w:rsidRPr="009824E9" w:rsidRDefault="00B208B5">
      <w:pPr>
        <w:pStyle w:val="FootnoteText"/>
        <w:rPr>
          <w:rFonts w:ascii="Verdana" w:hAnsi="Verdana"/>
          <w:color w:val="7030A0"/>
          <w:sz w:val="16"/>
          <w:szCs w:val="16"/>
        </w:rPr>
      </w:pPr>
      <w:r w:rsidRPr="009824E9">
        <w:rPr>
          <w:rStyle w:val="FootnoteReference"/>
          <w:rFonts w:ascii="Verdana" w:hAnsi="Verdana"/>
          <w:color w:val="7030A0"/>
          <w:sz w:val="16"/>
          <w:szCs w:val="16"/>
        </w:rPr>
        <w:footnoteRef/>
      </w:r>
      <w:r w:rsidRPr="009824E9">
        <w:rPr>
          <w:rFonts w:ascii="Verdana" w:hAnsi="Verdana"/>
          <w:color w:val="7030A0"/>
          <w:sz w:val="16"/>
          <w:szCs w:val="16"/>
        </w:rPr>
        <w:t xml:space="preserve"> Average number of persons employed can be found in the staff report on page </w:t>
      </w:r>
      <w:r w:rsidR="00C23550">
        <w:rPr>
          <w:rFonts w:ascii="Verdana" w:hAnsi="Verdana"/>
          <w:color w:val="7030A0"/>
          <w:sz w:val="16"/>
          <w:szCs w:val="16"/>
        </w:rPr>
        <w:t>52</w:t>
      </w:r>
      <w:r>
        <w:rPr>
          <w:rFonts w:ascii="Verdana" w:hAnsi="Verdana"/>
          <w:color w:val="7030A0"/>
          <w:sz w:val="16"/>
          <w:szCs w:val="16"/>
        </w:rPr>
        <w:t>.</w:t>
      </w:r>
    </w:p>
  </w:footnote>
  <w:footnote w:id="13">
    <w:p w14:paraId="77063395" w14:textId="7CF4F853" w:rsidR="009402EF" w:rsidRPr="007F37CB" w:rsidRDefault="00B208B5">
      <w:pPr>
        <w:pStyle w:val="FootnoteText"/>
        <w:rPr>
          <w:rFonts w:ascii="Verdana" w:hAnsi="Verdana"/>
          <w:color w:val="7030A0"/>
          <w:sz w:val="16"/>
          <w:szCs w:val="16"/>
        </w:rPr>
      </w:pPr>
      <w:r w:rsidRPr="00225BE2">
        <w:rPr>
          <w:rStyle w:val="FootnoteReference"/>
          <w:rFonts w:ascii="Verdana" w:hAnsi="Verdana"/>
          <w:color w:val="7030A0"/>
          <w:sz w:val="16"/>
          <w:szCs w:val="16"/>
        </w:rPr>
        <w:footnoteRef/>
      </w:r>
      <w:r w:rsidRPr="00225BE2">
        <w:rPr>
          <w:rFonts w:ascii="Verdana" w:hAnsi="Verdana"/>
          <w:color w:val="7030A0"/>
          <w:sz w:val="16"/>
          <w:szCs w:val="16"/>
        </w:rPr>
        <w:t xml:space="preserve"> Includes staff costs for Dedicated Mechanism of £</w:t>
      </w:r>
      <w:r w:rsidR="00917CB7">
        <w:rPr>
          <w:rFonts w:ascii="Verdana" w:hAnsi="Verdana"/>
          <w:color w:val="7030A0"/>
          <w:sz w:val="16"/>
          <w:szCs w:val="16"/>
        </w:rPr>
        <w:t>5</w:t>
      </w:r>
      <w:r w:rsidR="00043F72">
        <w:rPr>
          <w:rFonts w:ascii="Verdana" w:hAnsi="Verdana"/>
          <w:color w:val="7030A0"/>
          <w:sz w:val="16"/>
          <w:szCs w:val="16"/>
        </w:rPr>
        <w:t>25,554</w:t>
      </w:r>
    </w:p>
  </w:footnote>
  <w:footnote w:id="14">
    <w:p w14:paraId="4B611E72" w14:textId="1052649C" w:rsidR="007F37CB" w:rsidRPr="007F37CB" w:rsidRDefault="007F37CB">
      <w:pPr>
        <w:pStyle w:val="FootnoteText"/>
        <w:rPr>
          <w:rFonts w:ascii="Verdana" w:hAnsi="Verdana"/>
          <w:color w:val="7030A0"/>
          <w:sz w:val="16"/>
          <w:szCs w:val="16"/>
        </w:rPr>
      </w:pPr>
      <w:r w:rsidRPr="007F37CB">
        <w:rPr>
          <w:rStyle w:val="FootnoteReference"/>
          <w:rFonts w:ascii="Verdana" w:hAnsi="Verdana"/>
          <w:color w:val="7030A0"/>
          <w:sz w:val="16"/>
          <w:szCs w:val="16"/>
        </w:rPr>
        <w:footnoteRef/>
      </w:r>
      <w:r w:rsidRPr="007F37CB">
        <w:rPr>
          <w:rFonts w:ascii="Verdana" w:hAnsi="Verdana"/>
          <w:color w:val="7030A0"/>
          <w:sz w:val="16"/>
          <w:szCs w:val="16"/>
        </w:rPr>
        <w:t xml:space="preserve"> Includes additional charges of £150 for 2022/23 audit fee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ACE67" w14:textId="77777777" w:rsidR="002667DD" w:rsidRDefault="00266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1D6B6" w14:textId="77777777" w:rsidR="002667DD" w:rsidRDefault="002667DD" w:rsidP="001958B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C00FD" w14:textId="77777777" w:rsidR="002667DD" w:rsidRDefault="002667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485AA" w14:textId="77777777" w:rsidR="00B208B5" w:rsidRDefault="00B208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71F77" w14:textId="77777777" w:rsidR="00B208B5" w:rsidRPr="006278CA" w:rsidRDefault="00B208B5" w:rsidP="00A83BA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8E74B" w14:textId="77777777" w:rsidR="00B208B5" w:rsidRDefault="00B20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57762"/>
    <w:multiLevelType w:val="hybridMultilevel"/>
    <w:tmpl w:val="23C82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74A2A"/>
    <w:multiLevelType w:val="hybridMultilevel"/>
    <w:tmpl w:val="FB6E397A"/>
    <w:lvl w:ilvl="0" w:tplc="488EBFCE">
      <w:start w:val="1"/>
      <w:numFmt w:val="decimal"/>
      <w:lvlText w:val="%1."/>
      <w:lvlJc w:val="left"/>
      <w:pPr>
        <w:ind w:left="720" w:hanging="360"/>
      </w:pPr>
      <w:rPr>
        <w:rFonts w:cs="TT150t00"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51F00"/>
    <w:multiLevelType w:val="hybridMultilevel"/>
    <w:tmpl w:val="FF2CE9F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126446C9"/>
    <w:multiLevelType w:val="hybridMultilevel"/>
    <w:tmpl w:val="9C0C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A4F6F"/>
    <w:multiLevelType w:val="multilevel"/>
    <w:tmpl w:val="27484CE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907DB3"/>
    <w:multiLevelType w:val="hybridMultilevel"/>
    <w:tmpl w:val="215AEBA6"/>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6" w15:restartNumberingAfterBreak="0">
    <w:nsid w:val="19BC642E"/>
    <w:multiLevelType w:val="hybridMultilevel"/>
    <w:tmpl w:val="1812E0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06F7070"/>
    <w:multiLevelType w:val="multilevel"/>
    <w:tmpl w:val="98B8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30E1C"/>
    <w:multiLevelType w:val="hybridMultilevel"/>
    <w:tmpl w:val="107A6118"/>
    <w:lvl w:ilvl="0" w:tplc="08090001">
      <w:start w:val="1"/>
      <w:numFmt w:val="bullet"/>
      <w:lvlText w:val=""/>
      <w:lvlJc w:val="left"/>
      <w:pPr>
        <w:ind w:left="699" w:hanging="360"/>
      </w:pPr>
      <w:rPr>
        <w:rFonts w:ascii="Symbol" w:hAnsi="Symbol" w:hint="default"/>
      </w:rPr>
    </w:lvl>
    <w:lvl w:ilvl="1" w:tplc="08090003" w:tentative="1">
      <w:start w:val="1"/>
      <w:numFmt w:val="bullet"/>
      <w:lvlText w:val="o"/>
      <w:lvlJc w:val="left"/>
      <w:pPr>
        <w:ind w:left="1419" w:hanging="360"/>
      </w:pPr>
      <w:rPr>
        <w:rFonts w:ascii="Courier New" w:hAnsi="Courier New" w:cs="Courier New" w:hint="default"/>
      </w:rPr>
    </w:lvl>
    <w:lvl w:ilvl="2" w:tplc="08090005" w:tentative="1">
      <w:start w:val="1"/>
      <w:numFmt w:val="bullet"/>
      <w:lvlText w:val=""/>
      <w:lvlJc w:val="left"/>
      <w:pPr>
        <w:ind w:left="2139" w:hanging="360"/>
      </w:pPr>
      <w:rPr>
        <w:rFonts w:ascii="Wingdings" w:hAnsi="Wingdings" w:hint="default"/>
      </w:rPr>
    </w:lvl>
    <w:lvl w:ilvl="3" w:tplc="08090001" w:tentative="1">
      <w:start w:val="1"/>
      <w:numFmt w:val="bullet"/>
      <w:lvlText w:val=""/>
      <w:lvlJc w:val="left"/>
      <w:pPr>
        <w:ind w:left="2859" w:hanging="360"/>
      </w:pPr>
      <w:rPr>
        <w:rFonts w:ascii="Symbol" w:hAnsi="Symbol" w:hint="default"/>
      </w:rPr>
    </w:lvl>
    <w:lvl w:ilvl="4" w:tplc="08090003" w:tentative="1">
      <w:start w:val="1"/>
      <w:numFmt w:val="bullet"/>
      <w:lvlText w:val="o"/>
      <w:lvlJc w:val="left"/>
      <w:pPr>
        <w:ind w:left="3579" w:hanging="360"/>
      </w:pPr>
      <w:rPr>
        <w:rFonts w:ascii="Courier New" w:hAnsi="Courier New" w:cs="Courier New" w:hint="default"/>
      </w:rPr>
    </w:lvl>
    <w:lvl w:ilvl="5" w:tplc="08090005" w:tentative="1">
      <w:start w:val="1"/>
      <w:numFmt w:val="bullet"/>
      <w:lvlText w:val=""/>
      <w:lvlJc w:val="left"/>
      <w:pPr>
        <w:ind w:left="4299" w:hanging="360"/>
      </w:pPr>
      <w:rPr>
        <w:rFonts w:ascii="Wingdings" w:hAnsi="Wingdings" w:hint="default"/>
      </w:rPr>
    </w:lvl>
    <w:lvl w:ilvl="6" w:tplc="08090001" w:tentative="1">
      <w:start w:val="1"/>
      <w:numFmt w:val="bullet"/>
      <w:lvlText w:val=""/>
      <w:lvlJc w:val="left"/>
      <w:pPr>
        <w:ind w:left="5019" w:hanging="360"/>
      </w:pPr>
      <w:rPr>
        <w:rFonts w:ascii="Symbol" w:hAnsi="Symbol" w:hint="default"/>
      </w:rPr>
    </w:lvl>
    <w:lvl w:ilvl="7" w:tplc="08090003" w:tentative="1">
      <w:start w:val="1"/>
      <w:numFmt w:val="bullet"/>
      <w:lvlText w:val="o"/>
      <w:lvlJc w:val="left"/>
      <w:pPr>
        <w:ind w:left="5739" w:hanging="360"/>
      </w:pPr>
      <w:rPr>
        <w:rFonts w:ascii="Courier New" w:hAnsi="Courier New" w:cs="Courier New" w:hint="default"/>
      </w:rPr>
    </w:lvl>
    <w:lvl w:ilvl="8" w:tplc="08090005" w:tentative="1">
      <w:start w:val="1"/>
      <w:numFmt w:val="bullet"/>
      <w:lvlText w:val=""/>
      <w:lvlJc w:val="left"/>
      <w:pPr>
        <w:ind w:left="6459" w:hanging="360"/>
      </w:pPr>
      <w:rPr>
        <w:rFonts w:ascii="Wingdings" w:hAnsi="Wingdings" w:hint="default"/>
      </w:rPr>
    </w:lvl>
  </w:abstractNum>
  <w:abstractNum w:abstractNumId="9" w15:restartNumberingAfterBreak="0">
    <w:nsid w:val="22A00AB5"/>
    <w:multiLevelType w:val="hybridMultilevel"/>
    <w:tmpl w:val="12164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A4D06"/>
    <w:multiLevelType w:val="hybridMultilevel"/>
    <w:tmpl w:val="3F9A58E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25903B17"/>
    <w:multiLevelType w:val="hybridMultilevel"/>
    <w:tmpl w:val="48D2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1137D"/>
    <w:multiLevelType w:val="hybridMultilevel"/>
    <w:tmpl w:val="BFD62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C5AD9"/>
    <w:multiLevelType w:val="hybridMultilevel"/>
    <w:tmpl w:val="6B9EE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154B2"/>
    <w:multiLevelType w:val="hybridMultilevel"/>
    <w:tmpl w:val="F5265D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F21D54"/>
    <w:multiLevelType w:val="hybridMultilevel"/>
    <w:tmpl w:val="CF0EC15E"/>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6" w15:restartNumberingAfterBreak="0">
    <w:nsid w:val="2CB54F68"/>
    <w:multiLevelType w:val="hybridMultilevel"/>
    <w:tmpl w:val="F8883B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D5B29D4"/>
    <w:multiLevelType w:val="hybridMultilevel"/>
    <w:tmpl w:val="EC02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E159D"/>
    <w:multiLevelType w:val="hybridMultilevel"/>
    <w:tmpl w:val="BF50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793E0F"/>
    <w:multiLevelType w:val="hybridMultilevel"/>
    <w:tmpl w:val="FC3AE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DD2528"/>
    <w:multiLevelType w:val="hybridMultilevel"/>
    <w:tmpl w:val="2EF4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5497E"/>
    <w:multiLevelType w:val="hybridMultilevel"/>
    <w:tmpl w:val="99CC8C9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2A21CF"/>
    <w:multiLevelType w:val="hybridMultilevel"/>
    <w:tmpl w:val="8C16C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C30D4"/>
    <w:multiLevelType w:val="hybridMultilevel"/>
    <w:tmpl w:val="CF28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C53A3"/>
    <w:multiLevelType w:val="hybridMultilevel"/>
    <w:tmpl w:val="D4B011AA"/>
    <w:lvl w:ilvl="0" w:tplc="00D08728">
      <w:start w:val="1"/>
      <w:numFmt w:val="bullet"/>
      <w:lvlText w:val=""/>
      <w:lvlJc w:val="left"/>
      <w:pPr>
        <w:ind w:left="1080" w:hanging="360"/>
      </w:pPr>
      <w:rPr>
        <w:rFonts w:ascii="Symbol" w:hAnsi="Symbol"/>
      </w:rPr>
    </w:lvl>
    <w:lvl w:ilvl="1" w:tplc="8B801B94">
      <w:start w:val="1"/>
      <w:numFmt w:val="bullet"/>
      <w:lvlText w:val=""/>
      <w:lvlJc w:val="left"/>
      <w:pPr>
        <w:ind w:left="1080" w:hanging="360"/>
      </w:pPr>
      <w:rPr>
        <w:rFonts w:ascii="Symbol" w:hAnsi="Symbol"/>
      </w:rPr>
    </w:lvl>
    <w:lvl w:ilvl="2" w:tplc="478663C6">
      <w:start w:val="1"/>
      <w:numFmt w:val="bullet"/>
      <w:lvlText w:val=""/>
      <w:lvlJc w:val="left"/>
      <w:pPr>
        <w:ind w:left="1080" w:hanging="360"/>
      </w:pPr>
      <w:rPr>
        <w:rFonts w:ascii="Symbol" w:hAnsi="Symbol"/>
      </w:rPr>
    </w:lvl>
    <w:lvl w:ilvl="3" w:tplc="2BA243BA">
      <w:start w:val="1"/>
      <w:numFmt w:val="bullet"/>
      <w:lvlText w:val=""/>
      <w:lvlJc w:val="left"/>
      <w:pPr>
        <w:ind w:left="1080" w:hanging="360"/>
      </w:pPr>
      <w:rPr>
        <w:rFonts w:ascii="Symbol" w:hAnsi="Symbol"/>
      </w:rPr>
    </w:lvl>
    <w:lvl w:ilvl="4" w:tplc="815AEE30">
      <w:start w:val="1"/>
      <w:numFmt w:val="bullet"/>
      <w:lvlText w:val=""/>
      <w:lvlJc w:val="left"/>
      <w:pPr>
        <w:ind w:left="1080" w:hanging="360"/>
      </w:pPr>
      <w:rPr>
        <w:rFonts w:ascii="Symbol" w:hAnsi="Symbol"/>
      </w:rPr>
    </w:lvl>
    <w:lvl w:ilvl="5" w:tplc="2C8C3EFE">
      <w:start w:val="1"/>
      <w:numFmt w:val="bullet"/>
      <w:lvlText w:val=""/>
      <w:lvlJc w:val="left"/>
      <w:pPr>
        <w:ind w:left="1080" w:hanging="360"/>
      </w:pPr>
      <w:rPr>
        <w:rFonts w:ascii="Symbol" w:hAnsi="Symbol"/>
      </w:rPr>
    </w:lvl>
    <w:lvl w:ilvl="6" w:tplc="29BA1A8E">
      <w:start w:val="1"/>
      <w:numFmt w:val="bullet"/>
      <w:lvlText w:val=""/>
      <w:lvlJc w:val="left"/>
      <w:pPr>
        <w:ind w:left="1080" w:hanging="360"/>
      </w:pPr>
      <w:rPr>
        <w:rFonts w:ascii="Symbol" w:hAnsi="Symbol"/>
      </w:rPr>
    </w:lvl>
    <w:lvl w:ilvl="7" w:tplc="444474D0">
      <w:start w:val="1"/>
      <w:numFmt w:val="bullet"/>
      <w:lvlText w:val=""/>
      <w:lvlJc w:val="left"/>
      <w:pPr>
        <w:ind w:left="1080" w:hanging="360"/>
      </w:pPr>
      <w:rPr>
        <w:rFonts w:ascii="Symbol" w:hAnsi="Symbol"/>
      </w:rPr>
    </w:lvl>
    <w:lvl w:ilvl="8" w:tplc="C5EEBC5C">
      <w:start w:val="1"/>
      <w:numFmt w:val="bullet"/>
      <w:lvlText w:val=""/>
      <w:lvlJc w:val="left"/>
      <w:pPr>
        <w:ind w:left="1080" w:hanging="360"/>
      </w:pPr>
      <w:rPr>
        <w:rFonts w:ascii="Symbol" w:hAnsi="Symbol"/>
      </w:rPr>
    </w:lvl>
  </w:abstractNum>
  <w:abstractNum w:abstractNumId="25" w15:restartNumberingAfterBreak="0">
    <w:nsid w:val="42C832DC"/>
    <w:multiLevelType w:val="hybridMultilevel"/>
    <w:tmpl w:val="BBDEA8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C67F5A"/>
    <w:multiLevelType w:val="hybridMultilevel"/>
    <w:tmpl w:val="E2E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D4DBC"/>
    <w:multiLevelType w:val="hybridMultilevel"/>
    <w:tmpl w:val="BA283BD6"/>
    <w:lvl w:ilvl="0" w:tplc="CC601E36">
      <w:start w:val="1"/>
      <w:numFmt w:val="lowerRoman"/>
      <w:lvlText w:val="%1)"/>
      <w:lvlJc w:val="right"/>
      <w:pPr>
        <w:ind w:left="1080" w:hanging="360"/>
      </w:pPr>
    </w:lvl>
    <w:lvl w:ilvl="1" w:tplc="3F6A272C">
      <w:start w:val="1"/>
      <w:numFmt w:val="lowerRoman"/>
      <w:lvlText w:val="%2)"/>
      <w:lvlJc w:val="right"/>
      <w:pPr>
        <w:ind w:left="1080" w:hanging="360"/>
      </w:pPr>
    </w:lvl>
    <w:lvl w:ilvl="2" w:tplc="1178AE6E">
      <w:start w:val="1"/>
      <w:numFmt w:val="lowerRoman"/>
      <w:lvlText w:val="%3)"/>
      <w:lvlJc w:val="right"/>
      <w:pPr>
        <w:ind w:left="1080" w:hanging="360"/>
      </w:pPr>
    </w:lvl>
    <w:lvl w:ilvl="3" w:tplc="4704DB44">
      <w:start w:val="1"/>
      <w:numFmt w:val="lowerRoman"/>
      <w:lvlText w:val="%4)"/>
      <w:lvlJc w:val="right"/>
      <w:pPr>
        <w:ind w:left="1080" w:hanging="360"/>
      </w:pPr>
    </w:lvl>
    <w:lvl w:ilvl="4" w:tplc="61FA077A">
      <w:start w:val="1"/>
      <w:numFmt w:val="lowerRoman"/>
      <w:lvlText w:val="%5)"/>
      <w:lvlJc w:val="right"/>
      <w:pPr>
        <w:ind w:left="1080" w:hanging="360"/>
      </w:pPr>
    </w:lvl>
    <w:lvl w:ilvl="5" w:tplc="34EEE69A">
      <w:start w:val="1"/>
      <w:numFmt w:val="lowerRoman"/>
      <w:lvlText w:val="%6)"/>
      <w:lvlJc w:val="right"/>
      <w:pPr>
        <w:ind w:left="1080" w:hanging="360"/>
      </w:pPr>
    </w:lvl>
    <w:lvl w:ilvl="6" w:tplc="56F2E5C6">
      <w:start w:val="1"/>
      <w:numFmt w:val="lowerRoman"/>
      <w:lvlText w:val="%7)"/>
      <w:lvlJc w:val="right"/>
      <w:pPr>
        <w:ind w:left="1080" w:hanging="360"/>
      </w:pPr>
    </w:lvl>
    <w:lvl w:ilvl="7" w:tplc="A2447946">
      <w:start w:val="1"/>
      <w:numFmt w:val="lowerRoman"/>
      <w:lvlText w:val="%8)"/>
      <w:lvlJc w:val="right"/>
      <w:pPr>
        <w:ind w:left="1080" w:hanging="360"/>
      </w:pPr>
    </w:lvl>
    <w:lvl w:ilvl="8" w:tplc="FA9CCA5E">
      <w:start w:val="1"/>
      <w:numFmt w:val="lowerRoman"/>
      <w:lvlText w:val="%9)"/>
      <w:lvlJc w:val="right"/>
      <w:pPr>
        <w:ind w:left="1080" w:hanging="360"/>
      </w:pPr>
    </w:lvl>
  </w:abstractNum>
  <w:abstractNum w:abstractNumId="28" w15:restartNumberingAfterBreak="0">
    <w:nsid w:val="4C482C62"/>
    <w:multiLevelType w:val="hybridMultilevel"/>
    <w:tmpl w:val="E40658AC"/>
    <w:lvl w:ilvl="0" w:tplc="3F24BA9A">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D75503"/>
    <w:multiLevelType w:val="hybridMultilevel"/>
    <w:tmpl w:val="99CC8C98"/>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02496F"/>
    <w:multiLevelType w:val="hybridMultilevel"/>
    <w:tmpl w:val="EFBE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19312E"/>
    <w:multiLevelType w:val="hybridMultilevel"/>
    <w:tmpl w:val="CCB841DC"/>
    <w:lvl w:ilvl="0" w:tplc="ED92827C">
      <w:start w:val="1"/>
      <w:numFmt w:val="lowerRoman"/>
      <w:lvlText w:val="%1)"/>
      <w:lvlJc w:val="right"/>
      <w:pPr>
        <w:ind w:left="1080" w:hanging="360"/>
      </w:pPr>
    </w:lvl>
    <w:lvl w:ilvl="1" w:tplc="2E2000A8">
      <w:start w:val="1"/>
      <w:numFmt w:val="lowerRoman"/>
      <w:lvlText w:val="%2)"/>
      <w:lvlJc w:val="right"/>
      <w:pPr>
        <w:ind w:left="1080" w:hanging="360"/>
      </w:pPr>
    </w:lvl>
    <w:lvl w:ilvl="2" w:tplc="A664E4CE">
      <w:start w:val="1"/>
      <w:numFmt w:val="lowerRoman"/>
      <w:lvlText w:val="%3)"/>
      <w:lvlJc w:val="right"/>
      <w:pPr>
        <w:ind w:left="1080" w:hanging="360"/>
      </w:pPr>
    </w:lvl>
    <w:lvl w:ilvl="3" w:tplc="700ABF42">
      <w:start w:val="1"/>
      <w:numFmt w:val="lowerRoman"/>
      <w:lvlText w:val="%4)"/>
      <w:lvlJc w:val="right"/>
      <w:pPr>
        <w:ind w:left="1080" w:hanging="360"/>
      </w:pPr>
    </w:lvl>
    <w:lvl w:ilvl="4" w:tplc="DA126E4E">
      <w:start w:val="1"/>
      <w:numFmt w:val="lowerRoman"/>
      <w:lvlText w:val="%5)"/>
      <w:lvlJc w:val="right"/>
      <w:pPr>
        <w:ind w:left="1080" w:hanging="360"/>
      </w:pPr>
    </w:lvl>
    <w:lvl w:ilvl="5" w:tplc="09346662">
      <w:start w:val="1"/>
      <w:numFmt w:val="lowerRoman"/>
      <w:lvlText w:val="%6)"/>
      <w:lvlJc w:val="right"/>
      <w:pPr>
        <w:ind w:left="1080" w:hanging="360"/>
      </w:pPr>
    </w:lvl>
    <w:lvl w:ilvl="6" w:tplc="3B20A2F0">
      <w:start w:val="1"/>
      <w:numFmt w:val="lowerRoman"/>
      <w:lvlText w:val="%7)"/>
      <w:lvlJc w:val="right"/>
      <w:pPr>
        <w:ind w:left="1080" w:hanging="360"/>
      </w:pPr>
    </w:lvl>
    <w:lvl w:ilvl="7" w:tplc="6220E654">
      <w:start w:val="1"/>
      <w:numFmt w:val="lowerRoman"/>
      <w:lvlText w:val="%8)"/>
      <w:lvlJc w:val="right"/>
      <w:pPr>
        <w:ind w:left="1080" w:hanging="360"/>
      </w:pPr>
    </w:lvl>
    <w:lvl w:ilvl="8" w:tplc="BD5AA78C">
      <w:start w:val="1"/>
      <w:numFmt w:val="lowerRoman"/>
      <w:lvlText w:val="%9)"/>
      <w:lvlJc w:val="right"/>
      <w:pPr>
        <w:ind w:left="1080" w:hanging="360"/>
      </w:pPr>
    </w:lvl>
  </w:abstractNum>
  <w:abstractNum w:abstractNumId="32" w15:restartNumberingAfterBreak="0">
    <w:nsid w:val="59E45319"/>
    <w:multiLevelType w:val="multilevel"/>
    <w:tmpl w:val="69BCE3B6"/>
    <w:name w:val="OBRChapters"/>
    <w:styleLink w:val="OBRChapterNumbers"/>
    <w:lvl w:ilvl="0">
      <w:start w:val="1"/>
      <w:numFmt w:val="decimal"/>
      <w:lvlText w:val="%1"/>
      <w:lvlJc w:val="left"/>
      <w:pPr>
        <w:tabs>
          <w:tab w:val="num" w:pos="794"/>
        </w:tabs>
        <w:ind w:left="794" w:hanging="794"/>
      </w:pPr>
      <w:rPr>
        <w:rFonts w:ascii="Futura Md BT" w:hAnsi="Futura Md BT" w:hint="default"/>
        <w:b/>
        <w:i w:val="0"/>
        <w:color w:val="4F81BD" w:themeColor="accent1"/>
        <w:sz w:val="48"/>
      </w:rPr>
    </w:lvl>
    <w:lvl w:ilvl="1">
      <w:start w:val="1"/>
      <w:numFmt w:val="decimal"/>
      <w:lvlText w:val="%1.%2"/>
      <w:lvlJc w:val="left"/>
      <w:pPr>
        <w:tabs>
          <w:tab w:val="num" w:pos="794"/>
        </w:tabs>
        <w:ind w:left="794" w:hanging="794"/>
      </w:pPr>
      <w:rPr>
        <w:rFonts w:ascii="Futura Bk BT" w:hAnsi="Futura Bk BT" w:hint="default"/>
        <w:b w:val="0"/>
        <w:i w:val="0"/>
        <w:color w:val="4F81BD" w:themeColor="accent1"/>
        <w:sz w:val="22"/>
      </w:rPr>
    </w:lvl>
    <w:lvl w:ilvl="2">
      <w:start w:val="1"/>
      <w:numFmt w:val="decimal"/>
      <w:lvlRestart w:val="1"/>
      <w:suff w:val="space"/>
      <w:lvlText w:val="Chart %1.%3:"/>
      <w:lvlJc w:val="left"/>
      <w:pPr>
        <w:ind w:left="0" w:firstLine="0"/>
      </w:pPr>
      <w:rPr>
        <w:rFonts w:ascii="Futura Bk BT" w:hAnsi="Futura Bk BT" w:hint="default"/>
        <w:b w:val="0"/>
        <w:i w:val="0"/>
        <w:color w:val="4F81BD" w:themeColor="accent1"/>
        <w:sz w:val="26"/>
      </w:rPr>
    </w:lvl>
    <w:lvl w:ilvl="3">
      <w:start w:val="1"/>
      <w:numFmt w:val="decimal"/>
      <w:lvlRestart w:val="1"/>
      <w:suff w:val="space"/>
      <w:lvlText w:val="Table %1.%4:"/>
      <w:lvlJc w:val="left"/>
      <w:pPr>
        <w:ind w:left="0" w:firstLine="0"/>
      </w:pPr>
      <w:rPr>
        <w:rFonts w:ascii="Futura Bk BT" w:hAnsi="Futura Bk BT" w:hint="default"/>
        <w:b w:val="0"/>
        <w:i w:val="0"/>
        <w:color w:val="4F81BD" w:themeColor="accent1"/>
        <w:sz w:val="26"/>
      </w:rPr>
    </w:lvl>
    <w:lvl w:ilvl="4">
      <w:start w:val="1"/>
      <w:numFmt w:val="decimal"/>
      <w:lvlRestart w:val="1"/>
      <w:suff w:val="space"/>
      <w:lvlText w:val="Box %1.%5:"/>
      <w:lvlJc w:val="left"/>
      <w:pPr>
        <w:ind w:left="0" w:firstLine="0"/>
      </w:pPr>
      <w:rPr>
        <w:rFonts w:ascii="Futura Bk BT" w:hAnsi="Futura Bk BT" w:hint="default"/>
        <w:b w:val="0"/>
        <w:i w:val="0"/>
        <w:color w:val="4F81BD" w:themeColor="accent1"/>
        <w:sz w:val="26"/>
      </w:rPr>
    </w:lvl>
    <w:lvl w:ilvl="5">
      <w:start w:val="1"/>
      <w:numFmt w:val="decimal"/>
      <w:lvlRestart w:val="1"/>
      <w:suff w:val="space"/>
      <w:lvlText w:val="Figure %1.%6:"/>
      <w:lvlJc w:val="left"/>
      <w:pPr>
        <w:ind w:left="0" w:firstLine="0"/>
      </w:pPr>
      <w:rPr>
        <w:rFonts w:ascii="Futura Bk BT" w:hAnsi="Futura Bk BT" w:hint="default"/>
        <w:b w:val="0"/>
        <w:i w:val="0"/>
        <w:color w:val="4F81BD" w:themeColor="accent1"/>
        <w:sz w:val="26"/>
      </w:rPr>
    </w:lvl>
    <w:lvl w:ilvl="6">
      <w:start w:val="1"/>
      <w:numFmt w:val="none"/>
      <w:lvlRestart w:val="1"/>
      <w:suff w:val="space"/>
      <w:lvlText w:val=""/>
      <w:lvlJc w:val="left"/>
      <w:pPr>
        <w:ind w:left="0" w:firstLine="0"/>
      </w:pPr>
      <w:rPr>
        <w:rFonts w:ascii="Futura Bk BT" w:hAnsi="Futura Bk BT" w:hint="default"/>
        <w:b w:val="0"/>
        <w:i w:val="0"/>
        <w:color w:val="4F81BD" w:themeColor="accent1"/>
        <w:sz w:val="2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AF40F29"/>
    <w:multiLevelType w:val="hybridMultilevel"/>
    <w:tmpl w:val="B344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943072"/>
    <w:multiLevelType w:val="hybridMultilevel"/>
    <w:tmpl w:val="D7E056DE"/>
    <w:lvl w:ilvl="0" w:tplc="08090001">
      <w:start w:val="1"/>
      <w:numFmt w:val="bullet"/>
      <w:lvlText w:val=""/>
      <w:lvlJc w:val="left"/>
      <w:pPr>
        <w:ind w:left="3763"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E2314A"/>
    <w:multiLevelType w:val="hybridMultilevel"/>
    <w:tmpl w:val="33220B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5D44322"/>
    <w:multiLevelType w:val="hybridMultilevel"/>
    <w:tmpl w:val="6504B848"/>
    <w:lvl w:ilvl="0" w:tplc="A186FDB6">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B06A51"/>
    <w:multiLevelType w:val="hybridMultilevel"/>
    <w:tmpl w:val="EA30B0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A423D13"/>
    <w:multiLevelType w:val="hybridMultilevel"/>
    <w:tmpl w:val="7E5621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2E0278"/>
    <w:multiLevelType w:val="hybridMultilevel"/>
    <w:tmpl w:val="BB8EAD0C"/>
    <w:lvl w:ilvl="0" w:tplc="1372406E">
      <w:start w:val="1"/>
      <w:numFmt w:val="lowerLetter"/>
      <w:pStyle w:val="a"/>
      <w:lvlText w:val="%1)"/>
      <w:lvlJc w:val="left"/>
      <w:pPr>
        <w:tabs>
          <w:tab w:val="num" w:pos="2094"/>
        </w:tabs>
        <w:ind w:left="2094" w:hanging="698"/>
      </w:pPr>
      <w:rPr>
        <w:rFonts w:ascii="Times New Roman" w:hAnsi="Times New Roman" w:hint="default"/>
        <w:b w:val="0"/>
        <w:i w:val="0"/>
        <w:sz w:val="22"/>
      </w:rPr>
    </w:lvl>
    <w:lvl w:ilvl="1" w:tplc="04090019" w:tentative="1">
      <w:start w:val="1"/>
      <w:numFmt w:val="lowerLetter"/>
      <w:lvlText w:val="%2."/>
      <w:lvlJc w:val="left"/>
      <w:pPr>
        <w:tabs>
          <w:tab w:val="num" w:pos="1756"/>
        </w:tabs>
        <w:ind w:left="1756" w:hanging="360"/>
      </w:pPr>
    </w:lvl>
    <w:lvl w:ilvl="2" w:tplc="0409001B" w:tentative="1">
      <w:start w:val="1"/>
      <w:numFmt w:val="lowerRoman"/>
      <w:lvlText w:val="%3."/>
      <w:lvlJc w:val="right"/>
      <w:pPr>
        <w:tabs>
          <w:tab w:val="num" w:pos="2476"/>
        </w:tabs>
        <w:ind w:left="2476" w:hanging="180"/>
      </w:pPr>
    </w:lvl>
    <w:lvl w:ilvl="3" w:tplc="0409000F" w:tentative="1">
      <w:start w:val="1"/>
      <w:numFmt w:val="decimal"/>
      <w:lvlText w:val="%4."/>
      <w:lvlJc w:val="left"/>
      <w:pPr>
        <w:tabs>
          <w:tab w:val="num" w:pos="3196"/>
        </w:tabs>
        <w:ind w:left="3196" w:hanging="360"/>
      </w:pPr>
    </w:lvl>
    <w:lvl w:ilvl="4" w:tplc="04090019" w:tentative="1">
      <w:start w:val="1"/>
      <w:numFmt w:val="lowerLetter"/>
      <w:lvlText w:val="%5."/>
      <w:lvlJc w:val="left"/>
      <w:pPr>
        <w:tabs>
          <w:tab w:val="num" w:pos="3916"/>
        </w:tabs>
        <w:ind w:left="3916" w:hanging="360"/>
      </w:pPr>
    </w:lvl>
    <w:lvl w:ilvl="5" w:tplc="0409001B" w:tentative="1">
      <w:start w:val="1"/>
      <w:numFmt w:val="lowerRoman"/>
      <w:lvlText w:val="%6."/>
      <w:lvlJc w:val="right"/>
      <w:pPr>
        <w:tabs>
          <w:tab w:val="num" w:pos="4636"/>
        </w:tabs>
        <w:ind w:left="4636" w:hanging="180"/>
      </w:pPr>
    </w:lvl>
    <w:lvl w:ilvl="6" w:tplc="0409000F" w:tentative="1">
      <w:start w:val="1"/>
      <w:numFmt w:val="decimal"/>
      <w:lvlText w:val="%7."/>
      <w:lvlJc w:val="left"/>
      <w:pPr>
        <w:tabs>
          <w:tab w:val="num" w:pos="5356"/>
        </w:tabs>
        <w:ind w:left="5356" w:hanging="360"/>
      </w:pPr>
    </w:lvl>
    <w:lvl w:ilvl="7" w:tplc="04090019" w:tentative="1">
      <w:start w:val="1"/>
      <w:numFmt w:val="lowerLetter"/>
      <w:lvlText w:val="%8."/>
      <w:lvlJc w:val="left"/>
      <w:pPr>
        <w:tabs>
          <w:tab w:val="num" w:pos="6076"/>
        </w:tabs>
        <w:ind w:left="6076" w:hanging="360"/>
      </w:pPr>
    </w:lvl>
    <w:lvl w:ilvl="8" w:tplc="0409001B" w:tentative="1">
      <w:start w:val="1"/>
      <w:numFmt w:val="lowerRoman"/>
      <w:lvlText w:val="%9."/>
      <w:lvlJc w:val="right"/>
      <w:pPr>
        <w:tabs>
          <w:tab w:val="num" w:pos="6796"/>
        </w:tabs>
        <w:ind w:left="6796" w:hanging="180"/>
      </w:pPr>
    </w:lvl>
  </w:abstractNum>
  <w:abstractNum w:abstractNumId="40" w15:restartNumberingAfterBreak="0">
    <w:nsid w:val="6FF12F47"/>
    <w:multiLevelType w:val="hybridMultilevel"/>
    <w:tmpl w:val="E39A4A02"/>
    <w:lvl w:ilvl="0" w:tplc="08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B4746C"/>
    <w:multiLevelType w:val="hybridMultilevel"/>
    <w:tmpl w:val="4E3C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C19BD"/>
    <w:multiLevelType w:val="hybridMultilevel"/>
    <w:tmpl w:val="35AA06AE"/>
    <w:lvl w:ilvl="0" w:tplc="BF443DF0">
      <w:start w:val="1"/>
      <w:numFmt w:val="decimal"/>
      <w:lvlText w:val="%1."/>
      <w:lvlJc w:val="left"/>
      <w:pPr>
        <w:ind w:left="720" w:hanging="360"/>
      </w:pPr>
    </w:lvl>
    <w:lvl w:ilvl="1" w:tplc="A88EBCAC">
      <w:start w:val="1"/>
      <w:numFmt w:val="lowerLetter"/>
      <w:lvlText w:val="%2."/>
      <w:lvlJc w:val="left"/>
      <w:pPr>
        <w:ind w:left="1440" w:hanging="360"/>
      </w:pPr>
    </w:lvl>
    <w:lvl w:ilvl="2" w:tplc="C6CCF6EC">
      <w:start w:val="1"/>
      <w:numFmt w:val="lowerRoman"/>
      <w:lvlText w:val="%3."/>
      <w:lvlJc w:val="right"/>
      <w:pPr>
        <w:ind w:left="2160" w:hanging="180"/>
      </w:pPr>
    </w:lvl>
    <w:lvl w:ilvl="3" w:tplc="61488EB2">
      <w:start w:val="1"/>
      <w:numFmt w:val="decimal"/>
      <w:lvlText w:val="%4."/>
      <w:lvlJc w:val="left"/>
      <w:pPr>
        <w:ind w:left="2880" w:hanging="360"/>
      </w:pPr>
    </w:lvl>
    <w:lvl w:ilvl="4" w:tplc="C240A238">
      <w:start w:val="1"/>
      <w:numFmt w:val="lowerLetter"/>
      <w:lvlText w:val="%5."/>
      <w:lvlJc w:val="left"/>
      <w:pPr>
        <w:ind w:left="3600" w:hanging="360"/>
      </w:pPr>
    </w:lvl>
    <w:lvl w:ilvl="5" w:tplc="E61C7CDA">
      <w:start w:val="1"/>
      <w:numFmt w:val="lowerRoman"/>
      <w:lvlText w:val="%6."/>
      <w:lvlJc w:val="right"/>
      <w:pPr>
        <w:ind w:left="4320" w:hanging="180"/>
      </w:pPr>
    </w:lvl>
    <w:lvl w:ilvl="6" w:tplc="5CE2AED0">
      <w:start w:val="1"/>
      <w:numFmt w:val="decimal"/>
      <w:lvlText w:val="%7."/>
      <w:lvlJc w:val="left"/>
      <w:pPr>
        <w:ind w:left="5040" w:hanging="360"/>
      </w:pPr>
    </w:lvl>
    <w:lvl w:ilvl="7" w:tplc="F1A883D4">
      <w:start w:val="1"/>
      <w:numFmt w:val="lowerLetter"/>
      <w:lvlText w:val="%8."/>
      <w:lvlJc w:val="left"/>
      <w:pPr>
        <w:ind w:left="5760" w:hanging="360"/>
      </w:pPr>
    </w:lvl>
    <w:lvl w:ilvl="8" w:tplc="F5DCB94E">
      <w:start w:val="1"/>
      <w:numFmt w:val="lowerRoman"/>
      <w:lvlText w:val="%9."/>
      <w:lvlJc w:val="right"/>
      <w:pPr>
        <w:ind w:left="6480" w:hanging="180"/>
      </w:pPr>
    </w:lvl>
  </w:abstractNum>
  <w:abstractNum w:abstractNumId="43" w15:restartNumberingAfterBreak="0">
    <w:nsid w:val="72BC76C6"/>
    <w:multiLevelType w:val="hybridMultilevel"/>
    <w:tmpl w:val="BCD6E3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3C9360B"/>
    <w:multiLevelType w:val="hybridMultilevel"/>
    <w:tmpl w:val="E4B8F4EE"/>
    <w:lvl w:ilvl="0" w:tplc="E96457B4">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4B80C7C"/>
    <w:multiLevelType w:val="multilevel"/>
    <w:tmpl w:val="98B8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FA5F7B"/>
    <w:multiLevelType w:val="multilevel"/>
    <w:tmpl w:val="8E4C94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D8104FC"/>
    <w:multiLevelType w:val="hybridMultilevel"/>
    <w:tmpl w:val="DF8A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37258"/>
    <w:multiLevelType w:val="multilevel"/>
    <w:tmpl w:val="BF96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4097676">
    <w:abstractNumId w:val="42"/>
  </w:num>
  <w:num w:numId="2" w16cid:durableId="1257640196">
    <w:abstractNumId w:val="44"/>
  </w:num>
  <w:num w:numId="3" w16cid:durableId="254018029">
    <w:abstractNumId w:val="39"/>
  </w:num>
  <w:num w:numId="4" w16cid:durableId="364408076">
    <w:abstractNumId w:val="40"/>
  </w:num>
  <w:num w:numId="5" w16cid:durableId="749884081">
    <w:abstractNumId w:val="25"/>
  </w:num>
  <w:num w:numId="6" w16cid:durableId="320930000">
    <w:abstractNumId w:val="34"/>
  </w:num>
  <w:num w:numId="7" w16cid:durableId="1968004468">
    <w:abstractNumId w:val="10"/>
  </w:num>
  <w:num w:numId="8" w16cid:durableId="1001278635">
    <w:abstractNumId w:val="22"/>
  </w:num>
  <w:num w:numId="9" w16cid:durableId="313336870">
    <w:abstractNumId w:val="13"/>
  </w:num>
  <w:num w:numId="10" w16cid:durableId="1953852782">
    <w:abstractNumId w:val="41"/>
  </w:num>
  <w:num w:numId="11" w16cid:durableId="1008556852">
    <w:abstractNumId w:val="0"/>
  </w:num>
  <w:num w:numId="12" w16cid:durableId="1177768828">
    <w:abstractNumId w:val="33"/>
  </w:num>
  <w:num w:numId="13" w16cid:durableId="411896375">
    <w:abstractNumId w:val="32"/>
  </w:num>
  <w:num w:numId="14" w16cid:durableId="259026620">
    <w:abstractNumId w:val="14"/>
  </w:num>
  <w:num w:numId="15" w16cid:durableId="1447505966">
    <w:abstractNumId w:val="2"/>
  </w:num>
  <w:num w:numId="16" w16cid:durableId="1850289215">
    <w:abstractNumId w:val="46"/>
  </w:num>
  <w:num w:numId="17" w16cid:durableId="321735212">
    <w:abstractNumId w:val="3"/>
  </w:num>
  <w:num w:numId="18" w16cid:durableId="1134102071">
    <w:abstractNumId w:val="5"/>
  </w:num>
  <w:num w:numId="19" w16cid:durableId="1149981951">
    <w:abstractNumId w:val="36"/>
  </w:num>
  <w:num w:numId="20" w16cid:durableId="1592547169">
    <w:abstractNumId w:val="17"/>
  </w:num>
  <w:num w:numId="21" w16cid:durableId="803347492">
    <w:abstractNumId w:val="30"/>
  </w:num>
  <w:num w:numId="22" w16cid:durableId="2008705623">
    <w:abstractNumId w:val="26"/>
  </w:num>
  <w:num w:numId="23" w16cid:durableId="946083723">
    <w:abstractNumId w:val="23"/>
  </w:num>
  <w:num w:numId="24" w16cid:durableId="1442645732">
    <w:abstractNumId w:val="38"/>
  </w:num>
  <w:num w:numId="25" w16cid:durableId="722096612">
    <w:abstractNumId w:val="9"/>
  </w:num>
  <w:num w:numId="26" w16cid:durableId="528690666">
    <w:abstractNumId w:val="12"/>
  </w:num>
  <w:num w:numId="27" w16cid:durableId="10423213">
    <w:abstractNumId w:val="18"/>
  </w:num>
  <w:num w:numId="28" w16cid:durableId="184170297">
    <w:abstractNumId w:val="28"/>
  </w:num>
  <w:num w:numId="29" w16cid:durableId="77022591">
    <w:abstractNumId w:val="4"/>
  </w:num>
  <w:num w:numId="30" w16cid:durableId="1765880661">
    <w:abstractNumId w:val="15"/>
  </w:num>
  <w:num w:numId="31" w16cid:durableId="41708680">
    <w:abstractNumId w:val="8"/>
  </w:num>
  <w:num w:numId="32" w16cid:durableId="1988976210">
    <w:abstractNumId w:val="31"/>
  </w:num>
  <w:num w:numId="33" w16cid:durableId="886457837">
    <w:abstractNumId w:val="24"/>
  </w:num>
  <w:num w:numId="34" w16cid:durableId="1481312169">
    <w:abstractNumId w:val="11"/>
  </w:num>
  <w:num w:numId="35" w16cid:durableId="416487876">
    <w:abstractNumId w:val="27"/>
  </w:num>
  <w:num w:numId="36" w16cid:durableId="1689601564">
    <w:abstractNumId w:val="7"/>
    <w:lvlOverride w:ilvl="0">
      <w:lvl w:ilvl="0">
        <w:numFmt w:val="lowerRoman"/>
        <w:lvlText w:val="%1."/>
        <w:lvlJc w:val="right"/>
      </w:lvl>
    </w:lvlOverride>
  </w:num>
  <w:num w:numId="37" w16cid:durableId="1465394726">
    <w:abstractNumId w:val="45"/>
  </w:num>
  <w:num w:numId="38" w16cid:durableId="1155683955">
    <w:abstractNumId w:val="21"/>
  </w:num>
  <w:num w:numId="39" w16cid:durableId="1834639665">
    <w:abstractNumId w:val="43"/>
  </w:num>
  <w:num w:numId="40" w16cid:durableId="1459185246">
    <w:abstractNumId w:val="35"/>
  </w:num>
  <w:num w:numId="41" w16cid:durableId="201330314">
    <w:abstractNumId w:val="37"/>
  </w:num>
  <w:num w:numId="42" w16cid:durableId="1457871574">
    <w:abstractNumId w:val="6"/>
  </w:num>
  <w:num w:numId="43" w16cid:durableId="566109606">
    <w:abstractNumId w:val="47"/>
  </w:num>
  <w:num w:numId="44" w16cid:durableId="1227452034">
    <w:abstractNumId w:val="20"/>
  </w:num>
  <w:num w:numId="45" w16cid:durableId="1310281637">
    <w:abstractNumId w:val="19"/>
  </w:num>
  <w:num w:numId="46" w16cid:durableId="349260455">
    <w:abstractNumId w:val="16"/>
  </w:num>
  <w:num w:numId="47" w16cid:durableId="447361823">
    <w:abstractNumId w:val="29"/>
  </w:num>
  <w:num w:numId="48" w16cid:durableId="1830167560">
    <w:abstractNumId w:val="48"/>
  </w:num>
  <w:num w:numId="49" w16cid:durableId="155543406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A9"/>
    <w:rsid w:val="00000A37"/>
    <w:rsid w:val="00000DE5"/>
    <w:rsid w:val="00001C31"/>
    <w:rsid w:val="00001F30"/>
    <w:rsid w:val="00002099"/>
    <w:rsid w:val="00002D0B"/>
    <w:rsid w:val="00003307"/>
    <w:rsid w:val="00003387"/>
    <w:rsid w:val="00003431"/>
    <w:rsid w:val="00004D67"/>
    <w:rsid w:val="00004E9E"/>
    <w:rsid w:val="00005237"/>
    <w:rsid w:val="0000578D"/>
    <w:rsid w:val="00006A98"/>
    <w:rsid w:val="00006BE3"/>
    <w:rsid w:val="00007C62"/>
    <w:rsid w:val="000101B6"/>
    <w:rsid w:val="00010ACD"/>
    <w:rsid w:val="00011A15"/>
    <w:rsid w:val="00012388"/>
    <w:rsid w:val="00012AC0"/>
    <w:rsid w:val="00013EDA"/>
    <w:rsid w:val="000143A4"/>
    <w:rsid w:val="000149F6"/>
    <w:rsid w:val="00014CBD"/>
    <w:rsid w:val="0001521D"/>
    <w:rsid w:val="00015433"/>
    <w:rsid w:val="00016EE9"/>
    <w:rsid w:val="0001768F"/>
    <w:rsid w:val="00020530"/>
    <w:rsid w:val="000211C5"/>
    <w:rsid w:val="00021832"/>
    <w:rsid w:val="00021CAC"/>
    <w:rsid w:val="00022385"/>
    <w:rsid w:val="00022DC6"/>
    <w:rsid w:val="00022ECA"/>
    <w:rsid w:val="00023AAA"/>
    <w:rsid w:val="00023B73"/>
    <w:rsid w:val="00024A9C"/>
    <w:rsid w:val="00024DBF"/>
    <w:rsid w:val="00024DC9"/>
    <w:rsid w:val="00025082"/>
    <w:rsid w:val="000252C1"/>
    <w:rsid w:val="000255BE"/>
    <w:rsid w:val="0002645A"/>
    <w:rsid w:val="00026C65"/>
    <w:rsid w:val="000273B8"/>
    <w:rsid w:val="0002742C"/>
    <w:rsid w:val="00027716"/>
    <w:rsid w:val="00027FD7"/>
    <w:rsid w:val="0003127C"/>
    <w:rsid w:val="00031CC5"/>
    <w:rsid w:val="00033356"/>
    <w:rsid w:val="000345BC"/>
    <w:rsid w:val="00034AE8"/>
    <w:rsid w:val="00034D86"/>
    <w:rsid w:val="00035826"/>
    <w:rsid w:val="000365E6"/>
    <w:rsid w:val="00036A25"/>
    <w:rsid w:val="0003751E"/>
    <w:rsid w:val="00037E48"/>
    <w:rsid w:val="00037E5B"/>
    <w:rsid w:val="000400FE"/>
    <w:rsid w:val="00040401"/>
    <w:rsid w:val="00040B95"/>
    <w:rsid w:val="00041E6B"/>
    <w:rsid w:val="000420C1"/>
    <w:rsid w:val="000421B0"/>
    <w:rsid w:val="00042210"/>
    <w:rsid w:val="00042BB0"/>
    <w:rsid w:val="00042F1B"/>
    <w:rsid w:val="00043C18"/>
    <w:rsid w:val="00043E33"/>
    <w:rsid w:val="00043F72"/>
    <w:rsid w:val="00043FCE"/>
    <w:rsid w:val="00044038"/>
    <w:rsid w:val="0004464C"/>
    <w:rsid w:val="000457B1"/>
    <w:rsid w:val="00045A2B"/>
    <w:rsid w:val="00046023"/>
    <w:rsid w:val="000460E1"/>
    <w:rsid w:val="0004629C"/>
    <w:rsid w:val="000469E1"/>
    <w:rsid w:val="00046D85"/>
    <w:rsid w:val="000474D6"/>
    <w:rsid w:val="00047867"/>
    <w:rsid w:val="00047ECA"/>
    <w:rsid w:val="000503DA"/>
    <w:rsid w:val="00051C2A"/>
    <w:rsid w:val="00051C92"/>
    <w:rsid w:val="000524D9"/>
    <w:rsid w:val="00052AEC"/>
    <w:rsid w:val="000538DE"/>
    <w:rsid w:val="00053EF7"/>
    <w:rsid w:val="00053FAF"/>
    <w:rsid w:val="00054872"/>
    <w:rsid w:val="00054F53"/>
    <w:rsid w:val="00055338"/>
    <w:rsid w:val="00057B00"/>
    <w:rsid w:val="00057CF0"/>
    <w:rsid w:val="000606A1"/>
    <w:rsid w:val="00060F33"/>
    <w:rsid w:val="0006141F"/>
    <w:rsid w:val="000634E9"/>
    <w:rsid w:val="00064883"/>
    <w:rsid w:val="00064F7F"/>
    <w:rsid w:val="000651D3"/>
    <w:rsid w:val="00065202"/>
    <w:rsid w:val="00065486"/>
    <w:rsid w:val="00066ECE"/>
    <w:rsid w:val="00067076"/>
    <w:rsid w:val="00070D78"/>
    <w:rsid w:val="00070F2F"/>
    <w:rsid w:val="0007156E"/>
    <w:rsid w:val="0007193B"/>
    <w:rsid w:val="000722C6"/>
    <w:rsid w:val="00073318"/>
    <w:rsid w:val="00073777"/>
    <w:rsid w:val="00074821"/>
    <w:rsid w:val="00074A7B"/>
    <w:rsid w:val="00075980"/>
    <w:rsid w:val="00075B38"/>
    <w:rsid w:val="00075FFD"/>
    <w:rsid w:val="00076A51"/>
    <w:rsid w:val="00077077"/>
    <w:rsid w:val="000771D2"/>
    <w:rsid w:val="00077B1D"/>
    <w:rsid w:val="00077C90"/>
    <w:rsid w:val="00077DF3"/>
    <w:rsid w:val="0008016D"/>
    <w:rsid w:val="0008061A"/>
    <w:rsid w:val="000808D8"/>
    <w:rsid w:val="00080AB2"/>
    <w:rsid w:val="00080E2F"/>
    <w:rsid w:val="0008101B"/>
    <w:rsid w:val="0008108C"/>
    <w:rsid w:val="00081D96"/>
    <w:rsid w:val="00082D64"/>
    <w:rsid w:val="00083951"/>
    <w:rsid w:val="0008457D"/>
    <w:rsid w:val="00084677"/>
    <w:rsid w:val="000862EE"/>
    <w:rsid w:val="000867EA"/>
    <w:rsid w:val="00086B48"/>
    <w:rsid w:val="00086B4D"/>
    <w:rsid w:val="00086E89"/>
    <w:rsid w:val="00087A27"/>
    <w:rsid w:val="00091326"/>
    <w:rsid w:val="00092A71"/>
    <w:rsid w:val="0009306C"/>
    <w:rsid w:val="00093B54"/>
    <w:rsid w:val="00093D9E"/>
    <w:rsid w:val="00094275"/>
    <w:rsid w:val="0009486F"/>
    <w:rsid w:val="00094BB4"/>
    <w:rsid w:val="00095DA3"/>
    <w:rsid w:val="000960B2"/>
    <w:rsid w:val="00096162"/>
    <w:rsid w:val="00096CE4"/>
    <w:rsid w:val="00096E7B"/>
    <w:rsid w:val="00097903"/>
    <w:rsid w:val="00097A0D"/>
    <w:rsid w:val="000A0042"/>
    <w:rsid w:val="000A0725"/>
    <w:rsid w:val="000A07D7"/>
    <w:rsid w:val="000A09CF"/>
    <w:rsid w:val="000A0B92"/>
    <w:rsid w:val="000A1018"/>
    <w:rsid w:val="000A1486"/>
    <w:rsid w:val="000A1F81"/>
    <w:rsid w:val="000A30FB"/>
    <w:rsid w:val="000A3201"/>
    <w:rsid w:val="000A3A02"/>
    <w:rsid w:val="000A3CAE"/>
    <w:rsid w:val="000A53B8"/>
    <w:rsid w:val="000A5CF1"/>
    <w:rsid w:val="000A5E1D"/>
    <w:rsid w:val="000A63D6"/>
    <w:rsid w:val="000A6ADD"/>
    <w:rsid w:val="000A6B1E"/>
    <w:rsid w:val="000A6CF1"/>
    <w:rsid w:val="000A6F4A"/>
    <w:rsid w:val="000A7480"/>
    <w:rsid w:val="000A7486"/>
    <w:rsid w:val="000A78F4"/>
    <w:rsid w:val="000B0A57"/>
    <w:rsid w:val="000B1763"/>
    <w:rsid w:val="000B198F"/>
    <w:rsid w:val="000B2111"/>
    <w:rsid w:val="000B24B6"/>
    <w:rsid w:val="000B26C4"/>
    <w:rsid w:val="000B300E"/>
    <w:rsid w:val="000B3433"/>
    <w:rsid w:val="000B3B3C"/>
    <w:rsid w:val="000B3BC2"/>
    <w:rsid w:val="000B41DD"/>
    <w:rsid w:val="000B4233"/>
    <w:rsid w:val="000B425E"/>
    <w:rsid w:val="000B453A"/>
    <w:rsid w:val="000B4E0F"/>
    <w:rsid w:val="000B51C3"/>
    <w:rsid w:val="000B5399"/>
    <w:rsid w:val="000B5BFF"/>
    <w:rsid w:val="000B5FC3"/>
    <w:rsid w:val="000B63E5"/>
    <w:rsid w:val="000B68B7"/>
    <w:rsid w:val="000B6AEC"/>
    <w:rsid w:val="000B6DDD"/>
    <w:rsid w:val="000B7074"/>
    <w:rsid w:val="000B7B5E"/>
    <w:rsid w:val="000B7C6C"/>
    <w:rsid w:val="000C09F5"/>
    <w:rsid w:val="000C15CF"/>
    <w:rsid w:val="000C1C84"/>
    <w:rsid w:val="000C1E05"/>
    <w:rsid w:val="000C2528"/>
    <w:rsid w:val="000C2A54"/>
    <w:rsid w:val="000C2D5A"/>
    <w:rsid w:val="000C352A"/>
    <w:rsid w:val="000C3D72"/>
    <w:rsid w:val="000C453B"/>
    <w:rsid w:val="000C4622"/>
    <w:rsid w:val="000C463C"/>
    <w:rsid w:val="000C587C"/>
    <w:rsid w:val="000C6C25"/>
    <w:rsid w:val="000C7A11"/>
    <w:rsid w:val="000C7C45"/>
    <w:rsid w:val="000D097C"/>
    <w:rsid w:val="000D0CCB"/>
    <w:rsid w:val="000D130C"/>
    <w:rsid w:val="000D1FD8"/>
    <w:rsid w:val="000D249C"/>
    <w:rsid w:val="000D2652"/>
    <w:rsid w:val="000D3561"/>
    <w:rsid w:val="000D3A35"/>
    <w:rsid w:val="000D4052"/>
    <w:rsid w:val="000D48C3"/>
    <w:rsid w:val="000D4FD3"/>
    <w:rsid w:val="000D55E2"/>
    <w:rsid w:val="000D5D96"/>
    <w:rsid w:val="000D6F60"/>
    <w:rsid w:val="000D7C2C"/>
    <w:rsid w:val="000E0884"/>
    <w:rsid w:val="000E0EB2"/>
    <w:rsid w:val="000E1653"/>
    <w:rsid w:val="000E1DB9"/>
    <w:rsid w:val="000E2A40"/>
    <w:rsid w:val="000E2D8B"/>
    <w:rsid w:val="000E3AC5"/>
    <w:rsid w:val="000E4145"/>
    <w:rsid w:val="000E510E"/>
    <w:rsid w:val="000E57FE"/>
    <w:rsid w:val="000E659F"/>
    <w:rsid w:val="000E7172"/>
    <w:rsid w:val="000E7801"/>
    <w:rsid w:val="000F0C89"/>
    <w:rsid w:val="000F0E43"/>
    <w:rsid w:val="000F1C9A"/>
    <w:rsid w:val="000F2DC4"/>
    <w:rsid w:val="000F3455"/>
    <w:rsid w:val="000F3534"/>
    <w:rsid w:val="000F368D"/>
    <w:rsid w:val="000F3E64"/>
    <w:rsid w:val="000F49DE"/>
    <w:rsid w:val="000F4C06"/>
    <w:rsid w:val="000F57DA"/>
    <w:rsid w:val="000F5BB9"/>
    <w:rsid w:val="000F5E52"/>
    <w:rsid w:val="000F5ED9"/>
    <w:rsid w:val="000F6635"/>
    <w:rsid w:val="000F6ABD"/>
    <w:rsid w:val="000F707B"/>
    <w:rsid w:val="00100336"/>
    <w:rsid w:val="00100597"/>
    <w:rsid w:val="001011E8"/>
    <w:rsid w:val="0010180A"/>
    <w:rsid w:val="001018E2"/>
    <w:rsid w:val="00101D55"/>
    <w:rsid w:val="001022CA"/>
    <w:rsid w:val="00102EAF"/>
    <w:rsid w:val="0010435B"/>
    <w:rsid w:val="0010450B"/>
    <w:rsid w:val="00104D8B"/>
    <w:rsid w:val="00105E57"/>
    <w:rsid w:val="00106848"/>
    <w:rsid w:val="00107A49"/>
    <w:rsid w:val="00110755"/>
    <w:rsid w:val="00110B61"/>
    <w:rsid w:val="00110CF3"/>
    <w:rsid w:val="00111CE9"/>
    <w:rsid w:val="00111E68"/>
    <w:rsid w:val="001122B7"/>
    <w:rsid w:val="00112624"/>
    <w:rsid w:val="0011279B"/>
    <w:rsid w:val="00112AF2"/>
    <w:rsid w:val="001138DC"/>
    <w:rsid w:val="00114300"/>
    <w:rsid w:val="001151E6"/>
    <w:rsid w:val="00115334"/>
    <w:rsid w:val="00115DB2"/>
    <w:rsid w:val="00116966"/>
    <w:rsid w:val="00117A9F"/>
    <w:rsid w:val="001203D3"/>
    <w:rsid w:val="00120F83"/>
    <w:rsid w:val="001221C9"/>
    <w:rsid w:val="00122772"/>
    <w:rsid w:val="00122962"/>
    <w:rsid w:val="00122C34"/>
    <w:rsid w:val="00123123"/>
    <w:rsid w:val="00123279"/>
    <w:rsid w:val="0012345F"/>
    <w:rsid w:val="001238D4"/>
    <w:rsid w:val="001241C8"/>
    <w:rsid w:val="00124B25"/>
    <w:rsid w:val="00124F08"/>
    <w:rsid w:val="001251F4"/>
    <w:rsid w:val="001269B6"/>
    <w:rsid w:val="00126BDD"/>
    <w:rsid w:val="00127D7D"/>
    <w:rsid w:val="00127DA2"/>
    <w:rsid w:val="00127FEE"/>
    <w:rsid w:val="001314E3"/>
    <w:rsid w:val="0013161B"/>
    <w:rsid w:val="001324BD"/>
    <w:rsid w:val="0013284B"/>
    <w:rsid w:val="00133CDD"/>
    <w:rsid w:val="0013596B"/>
    <w:rsid w:val="00135D0B"/>
    <w:rsid w:val="00136BDD"/>
    <w:rsid w:val="00136C76"/>
    <w:rsid w:val="00136FE9"/>
    <w:rsid w:val="00137F0E"/>
    <w:rsid w:val="001402B3"/>
    <w:rsid w:val="00141799"/>
    <w:rsid w:val="001418F9"/>
    <w:rsid w:val="00141A0C"/>
    <w:rsid w:val="00141D9C"/>
    <w:rsid w:val="00141EDB"/>
    <w:rsid w:val="00142058"/>
    <w:rsid w:val="00142068"/>
    <w:rsid w:val="0014296C"/>
    <w:rsid w:val="00142B5E"/>
    <w:rsid w:val="00144D0C"/>
    <w:rsid w:val="00145346"/>
    <w:rsid w:val="001459AA"/>
    <w:rsid w:val="00146BCC"/>
    <w:rsid w:val="00147858"/>
    <w:rsid w:val="00147C9E"/>
    <w:rsid w:val="00147DA6"/>
    <w:rsid w:val="0015051C"/>
    <w:rsid w:val="00150E9A"/>
    <w:rsid w:val="001515FF"/>
    <w:rsid w:val="0015190D"/>
    <w:rsid w:val="00151DD4"/>
    <w:rsid w:val="00152443"/>
    <w:rsid w:val="00153A3C"/>
    <w:rsid w:val="00153D19"/>
    <w:rsid w:val="0015430A"/>
    <w:rsid w:val="00154981"/>
    <w:rsid w:val="0015499F"/>
    <w:rsid w:val="00156E79"/>
    <w:rsid w:val="00157C6B"/>
    <w:rsid w:val="00157E0F"/>
    <w:rsid w:val="001600DF"/>
    <w:rsid w:val="001601E5"/>
    <w:rsid w:val="001606F0"/>
    <w:rsid w:val="0016090D"/>
    <w:rsid w:val="00160999"/>
    <w:rsid w:val="00160B5E"/>
    <w:rsid w:val="0016186F"/>
    <w:rsid w:val="00161E9E"/>
    <w:rsid w:val="001620BE"/>
    <w:rsid w:val="001622E3"/>
    <w:rsid w:val="00162A3A"/>
    <w:rsid w:val="00162D2A"/>
    <w:rsid w:val="001630A9"/>
    <w:rsid w:val="0016456A"/>
    <w:rsid w:val="001647CC"/>
    <w:rsid w:val="00164967"/>
    <w:rsid w:val="00164B0C"/>
    <w:rsid w:val="00164D75"/>
    <w:rsid w:val="00164DE8"/>
    <w:rsid w:val="0016533B"/>
    <w:rsid w:val="00165462"/>
    <w:rsid w:val="0016577F"/>
    <w:rsid w:val="00165BDD"/>
    <w:rsid w:val="00166131"/>
    <w:rsid w:val="00166C9A"/>
    <w:rsid w:val="0016728B"/>
    <w:rsid w:val="001677C3"/>
    <w:rsid w:val="00167CBD"/>
    <w:rsid w:val="00167DDE"/>
    <w:rsid w:val="00170598"/>
    <w:rsid w:val="00170965"/>
    <w:rsid w:val="001709F4"/>
    <w:rsid w:val="00171220"/>
    <w:rsid w:val="0017151A"/>
    <w:rsid w:val="00172050"/>
    <w:rsid w:val="001723B0"/>
    <w:rsid w:val="001724DC"/>
    <w:rsid w:val="0017264A"/>
    <w:rsid w:val="00172696"/>
    <w:rsid w:val="00172D59"/>
    <w:rsid w:val="00172EEE"/>
    <w:rsid w:val="001730DC"/>
    <w:rsid w:val="001732BE"/>
    <w:rsid w:val="00173367"/>
    <w:rsid w:val="001733C1"/>
    <w:rsid w:val="001734F9"/>
    <w:rsid w:val="00173B8E"/>
    <w:rsid w:val="00174226"/>
    <w:rsid w:val="00174411"/>
    <w:rsid w:val="00174634"/>
    <w:rsid w:val="00174985"/>
    <w:rsid w:val="00175033"/>
    <w:rsid w:val="00176472"/>
    <w:rsid w:val="00176876"/>
    <w:rsid w:val="00177913"/>
    <w:rsid w:val="001802BC"/>
    <w:rsid w:val="0018101C"/>
    <w:rsid w:val="00181537"/>
    <w:rsid w:val="0018222E"/>
    <w:rsid w:val="00182B17"/>
    <w:rsid w:val="001830BE"/>
    <w:rsid w:val="00183C1A"/>
    <w:rsid w:val="001843D8"/>
    <w:rsid w:val="001848D3"/>
    <w:rsid w:val="00184BE8"/>
    <w:rsid w:val="00184D46"/>
    <w:rsid w:val="00185E8C"/>
    <w:rsid w:val="00186220"/>
    <w:rsid w:val="001862EC"/>
    <w:rsid w:val="00187AC7"/>
    <w:rsid w:val="00191193"/>
    <w:rsid w:val="001917A1"/>
    <w:rsid w:val="001927B0"/>
    <w:rsid w:val="00192E19"/>
    <w:rsid w:val="00193983"/>
    <w:rsid w:val="0019425A"/>
    <w:rsid w:val="00194788"/>
    <w:rsid w:val="00194B60"/>
    <w:rsid w:val="00194D6D"/>
    <w:rsid w:val="00195176"/>
    <w:rsid w:val="00195884"/>
    <w:rsid w:val="001958BD"/>
    <w:rsid w:val="001959CC"/>
    <w:rsid w:val="0019661B"/>
    <w:rsid w:val="0019666E"/>
    <w:rsid w:val="00196A5D"/>
    <w:rsid w:val="00196E42"/>
    <w:rsid w:val="00196F98"/>
    <w:rsid w:val="00197037"/>
    <w:rsid w:val="00197746"/>
    <w:rsid w:val="00197D57"/>
    <w:rsid w:val="001A0836"/>
    <w:rsid w:val="001A0C19"/>
    <w:rsid w:val="001A1AAB"/>
    <w:rsid w:val="001A28FF"/>
    <w:rsid w:val="001A2FF2"/>
    <w:rsid w:val="001A3628"/>
    <w:rsid w:val="001A3E70"/>
    <w:rsid w:val="001A511A"/>
    <w:rsid w:val="001A5161"/>
    <w:rsid w:val="001A5D5E"/>
    <w:rsid w:val="001A6055"/>
    <w:rsid w:val="001A613A"/>
    <w:rsid w:val="001A7032"/>
    <w:rsid w:val="001A7BA5"/>
    <w:rsid w:val="001A7FA4"/>
    <w:rsid w:val="001B0514"/>
    <w:rsid w:val="001B056E"/>
    <w:rsid w:val="001B180C"/>
    <w:rsid w:val="001B1B54"/>
    <w:rsid w:val="001B24E4"/>
    <w:rsid w:val="001B25DA"/>
    <w:rsid w:val="001B27EA"/>
    <w:rsid w:val="001B2969"/>
    <w:rsid w:val="001B2F84"/>
    <w:rsid w:val="001B36EC"/>
    <w:rsid w:val="001B38FA"/>
    <w:rsid w:val="001B3B33"/>
    <w:rsid w:val="001B3D2D"/>
    <w:rsid w:val="001B40A5"/>
    <w:rsid w:val="001B4304"/>
    <w:rsid w:val="001B45CC"/>
    <w:rsid w:val="001B5F53"/>
    <w:rsid w:val="001B60C1"/>
    <w:rsid w:val="001B6F51"/>
    <w:rsid w:val="001B6FF4"/>
    <w:rsid w:val="001B78C1"/>
    <w:rsid w:val="001B791D"/>
    <w:rsid w:val="001B7925"/>
    <w:rsid w:val="001B7D6F"/>
    <w:rsid w:val="001C00B7"/>
    <w:rsid w:val="001C06AC"/>
    <w:rsid w:val="001C0B54"/>
    <w:rsid w:val="001C2444"/>
    <w:rsid w:val="001C2FBB"/>
    <w:rsid w:val="001C3878"/>
    <w:rsid w:val="001C39A7"/>
    <w:rsid w:val="001C3FE5"/>
    <w:rsid w:val="001C40F0"/>
    <w:rsid w:val="001C49E3"/>
    <w:rsid w:val="001C4D92"/>
    <w:rsid w:val="001C4E0F"/>
    <w:rsid w:val="001C5521"/>
    <w:rsid w:val="001C5FCA"/>
    <w:rsid w:val="001C6A09"/>
    <w:rsid w:val="001C7349"/>
    <w:rsid w:val="001C734F"/>
    <w:rsid w:val="001C7663"/>
    <w:rsid w:val="001C7925"/>
    <w:rsid w:val="001C7F57"/>
    <w:rsid w:val="001D020B"/>
    <w:rsid w:val="001D02E7"/>
    <w:rsid w:val="001D0663"/>
    <w:rsid w:val="001D06C1"/>
    <w:rsid w:val="001D0777"/>
    <w:rsid w:val="001D0DE7"/>
    <w:rsid w:val="001D111A"/>
    <w:rsid w:val="001D12C4"/>
    <w:rsid w:val="001D1E00"/>
    <w:rsid w:val="001D2D71"/>
    <w:rsid w:val="001D36E2"/>
    <w:rsid w:val="001D3707"/>
    <w:rsid w:val="001D3F77"/>
    <w:rsid w:val="001D4CFC"/>
    <w:rsid w:val="001D5398"/>
    <w:rsid w:val="001D551F"/>
    <w:rsid w:val="001D5687"/>
    <w:rsid w:val="001D56D4"/>
    <w:rsid w:val="001D5F99"/>
    <w:rsid w:val="001D67EA"/>
    <w:rsid w:val="001D71ED"/>
    <w:rsid w:val="001D785A"/>
    <w:rsid w:val="001D7B5D"/>
    <w:rsid w:val="001D7B61"/>
    <w:rsid w:val="001E07EE"/>
    <w:rsid w:val="001E0AD9"/>
    <w:rsid w:val="001E0F20"/>
    <w:rsid w:val="001E1550"/>
    <w:rsid w:val="001E1BBD"/>
    <w:rsid w:val="001E24FD"/>
    <w:rsid w:val="001E2945"/>
    <w:rsid w:val="001E2AA0"/>
    <w:rsid w:val="001E448A"/>
    <w:rsid w:val="001E499F"/>
    <w:rsid w:val="001E4CF4"/>
    <w:rsid w:val="001E5219"/>
    <w:rsid w:val="001E5939"/>
    <w:rsid w:val="001E5A61"/>
    <w:rsid w:val="001E70AE"/>
    <w:rsid w:val="001E7E4C"/>
    <w:rsid w:val="001F0440"/>
    <w:rsid w:val="001F0FFE"/>
    <w:rsid w:val="001F14BB"/>
    <w:rsid w:val="001F1A84"/>
    <w:rsid w:val="001F1C90"/>
    <w:rsid w:val="001F2533"/>
    <w:rsid w:val="001F337B"/>
    <w:rsid w:val="001F3AD0"/>
    <w:rsid w:val="001F3B52"/>
    <w:rsid w:val="001F3FCA"/>
    <w:rsid w:val="001F47AF"/>
    <w:rsid w:val="001F4C32"/>
    <w:rsid w:val="001F4F2E"/>
    <w:rsid w:val="001F5808"/>
    <w:rsid w:val="001F5E43"/>
    <w:rsid w:val="001F61FA"/>
    <w:rsid w:val="001F6483"/>
    <w:rsid w:val="001F66D9"/>
    <w:rsid w:val="001F685B"/>
    <w:rsid w:val="001F6CB4"/>
    <w:rsid w:val="001F71B0"/>
    <w:rsid w:val="001F78AA"/>
    <w:rsid w:val="001F795E"/>
    <w:rsid w:val="001F7D24"/>
    <w:rsid w:val="00200F3F"/>
    <w:rsid w:val="00201E96"/>
    <w:rsid w:val="00201F9C"/>
    <w:rsid w:val="002029F0"/>
    <w:rsid w:val="00202A40"/>
    <w:rsid w:val="00202B29"/>
    <w:rsid w:val="002033AE"/>
    <w:rsid w:val="0020373A"/>
    <w:rsid w:val="00204A6B"/>
    <w:rsid w:val="00204DA2"/>
    <w:rsid w:val="002050C8"/>
    <w:rsid w:val="00205BCD"/>
    <w:rsid w:val="00206E90"/>
    <w:rsid w:val="00210451"/>
    <w:rsid w:val="00211933"/>
    <w:rsid w:val="00211A96"/>
    <w:rsid w:val="00211CB4"/>
    <w:rsid w:val="00212CF2"/>
    <w:rsid w:val="002133C6"/>
    <w:rsid w:val="0021343C"/>
    <w:rsid w:val="002139E5"/>
    <w:rsid w:val="00213CA3"/>
    <w:rsid w:val="002148F0"/>
    <w:rsid w:val="0021497F"/>
    <w:rsid w:val="00214B6A"/>
    <w:rsid w:val="00215C42"/>
    <w:rsid w:val="00216086"/>
    <w:rsid w:val="002165A9"/>
    <w:rsid w:val="002167B4"/>
    <w:rsid w:val="0021697E"/>
    <w:rsid w:val="00216E67"/>
    <w:rsid w:val="0021726E"/>
    <w:rsid w:val="0022077D"/>
    <w:rsid w:val="00220967"/>
    <w:rsid w:val="00220BC8"/>
    <w:rsid w:val="00220EA3"/>
    <w:rsid w:val="002216A6"/>
    <w:rsid w:val="0022484D"/>
    <w:rsid w:val="00225239"/>
    <w:rsid w:val="00225BE2"/>
    <w:rsid w:val="00225FE0"/>
    <w:rsid w:val="0022609A"/>
    <w:rsid w:val="00226391"/>
    <w:rsid w:val="002265A4"/>
    <w:rsid w:val="00226730"/>
    <w:rsid w:val="00226F25"/>
    <w:rsid w:val="002279F0"/>
    <w:rsid w:val="00227D02"/>
    <w:rsid w:val="002301DE"/>
    <w:rsid w:val="002313AA"/>
    <w:rsid w:val="0023260E"/>
    <w:rsid w:val="002329F7"/>
    <w:rsid w:val="00232EB6"/>
    <w:rsid w:val="00233187"/>
    <w:rsid w:val="002335A8"/>
    <w:rsid w:val="00233A70"/>
    <w:rsid w:val="0023451F"/>
    <w:rsid w:val="00234AF5"/>
    <w:rsid w:val="00234EB0"/>
    <w:rsid w:val="00235025"/>
    <w:rsid w:val="0023535F"/>
    <w:rsid w:val="00235A1F"/>
    <w:rsid w:val="00235AC9"/>
    <w:rsid w:val="00236909"/>
    <w:rsid w:val="002369A4"/>
    <w:rsid w:val="00237BB1"/>
    <w:rsid w:val="00240C97"/>
    <w:rsid w:val="002412B8"/>
    <w:rsid w:val="0024187D"/>
    <w:rsid w:val="00241BA0"/>
    <w:rsid w:val="002420AB"/>
    <w:rsid w:val="002422F9"/>
    <w:rsid w:val="00242B8A"/>
    <w:rsid w:val="00243C7E"/>
    <w:rsid w:val="00243E7B"/>
    <w:rsid w:val="002449ED"/>
    <w:rsid w:val="00244ADF"/>
    <w:rsid w:val="00244BD7"/>
    <w:rsid w:val="00245858"/>
    <w:rsid w:val="00245907"/>
    <w:rsid w:val="00245C91"/>
    <w:rsid w:val="00245DCE"/>
    <w:rsid w:val="00247310"/>
    <w:rsid w:val="002474A1"/>
    <w:rsid w:val="002475ED"/>
    <w:rsid w:val="00247F9D"/>
    <w:rsid w:val="00250101"/>
    <w:rsid w:val="00251E9E"/>
    <w:rsid w:val="002520DB"/>
    <w:rsid w:val="002523EA"/>
    <w:rsid w:val="002525FD"/>
    <w:rsid w:val="00252AD3"/>
    <w:rsid w:val="00252BBA"/>
    <w:rsid w:val="00252DE0"/>
    <w:rsid w:val="002531F4"/>
    <w:rsid w:val="00253D2F"/>
    <w:rsid w:val="00254309"/>
    <w:rsid w:val="002543BC"/>
    <w:rsid w:val="002543F5"/>
    <w:rsid w:val="00254515"/>
    <w:rsid w:val="00254655"/>
    <w:rsid w:val="002547B0"/>
    <w:rsid w:val="00254DDB"/>
    <w:rsid w:val="00254DF3"/>
    <w:rsid w:val="00255020"/>
    <w:rsid w:val="002552F7"/>
    <w:rsid w:val="00255670"/>
    <w:rsid w:val="0025578B"/>
    <w:rsid w:val="00256382"/>
    <w:rsid w:val="00256432"/>
    <w:rsid w:val="0025644E"/>
    <w:rsid w:val="00256FD1"/>
    <w:rsid w:val="002578C2"/>
    <w:rsid w:val="002602B2"/>
    <w:rsid w:val="002603AF"/>
    <w:rsid w:val="00260437"/>
    <w:rsid w:val="0026129D"/>
    <w:rsid w:val="00262E4A"/>
    <w:rsid w:val="00263A53"/>
    <w:rsid w:val="0026436F"/>
    <w:rsid w:val="00264C3D"/>
    <w:rsid w:val="002651B5"/>
    <w:rsid w:val="00265406"/>
    <w:rsid w:val="00266428"/>
    <w:rsid w:val="002667DD"/>
    <w:rsid w:val="00267DFA"/>
    <w:rsid w:val="00267FE4"/>
    <w:rsid w:val="002707A4"/>
    <w:rsid w:val="00270A21"/>
    <w:rsid w:val="00270FC3"/>
    <w:rsid w:val="002711B5"/>
    <w:rsid w:val="00271BEB"/>
    <w:rsid w:val="00272565"/>
    <w:rsid w:val="00272693"/>
    <w:rsid w:val="0027305F"/>
    <w:rsid w:val="00273286"/>
    <w:rsid w:val="002748DB"/>
    <w:rsid w:val="002754CF"/>
    <w:rsid w:val="00275744"/>
    <w:rsid w:val="00275EFE"/>
    <w:rsid w:val="00276847"/>
    <w:rsid w:val="00277459"/>
    <w:rsid w:val="002774EB"/>
    <w:rsid w:val="00280D8F"/>
    <w:rsid w:val="00280EA2"/>
    <w:rsid w:val="00281F8F"/>
    <w:rsid w:val="0028264F"/>
    <w:rsid w:val="002828FC"/>
    <w:rsid w:val="00283547"/>
    <w:rsid w:val="00283726"/>
    <w:rsid w:val="00283CC4"/>
    <w:rsid w:val="002840FD"/>
    <w:rsid w:val="002843CE"/>
    <w:rsid w:val="0028543A"/>
    <w:rsid w:val="00285993"/>
    <w:rsid w:val="00286301"/>
    <w:rsid w:val="00286528"/>
    <w:rsid w:val="00286C52"/>
    <w:rsid w:val="00286CAD"/>
    <w:rsid w:val="0028726E"/>
    <w:rsid w:val="002874DD"/>
    <w:rsid w:val="00287771"/>
    <w:rsid w:val="00287A60"/>
    <w:rsid w:val="00290387"/>
    <w:rsid w:val="002913DD"/>
    <w:rsid w:val="0029176F"/>
    <w:rsid w:val="00291806"/>
    <w:rsid w:val="00291C74"/>
    <w:rsid w:val="00292F7E"/>
    <w:rsid w:val="00293540"/>
    <w:rsid w:val="00293D76"/>
    <w:rsid w:val="00294C3D"/>
    <w:rsid w:val="00294FD3"/>
    <w:rsid w:val="002953D2"/>
    <w:rsid w:val="0029565E"/>
    <w:rsid w:val="002962AB"/>
    <w:rsid w:val="0029665C"/>
    <w:rsid w:val="00296B82"/>
    <w:rsid w:val="002977A1"/>
    <w:rsid w:val="002A0985"/>
    <w:rsid w:val="002A2679"/>
    <w:rsid w:val="002A274B"/>
    <w:rsid w:val="002A2875"/>
    <w:rsid w:val="002A2C16"/>
    <w:rsid w:val="002A3B6B"/>
    <w:rsid w:val="002A4142"/>
    <w:rsid w:val="002A4EEF"/>
    <w:rsid w:val="002A501C"/>
    <w:rsid w:val="002A5182"/>
    <w:rsid w:val="002A524F"/>
    <w:rsid w:val="002A529C"/>
    <w:rsid w:val="002A58CE"/>
    <w:rsid w:val="002A58E0"/>
    <w:rsid w:val="002A5A05"/>
    <w:rsid w:val="002A615F"/>
    <w:rsid w:val="002A61FE"/>
    <w:rsid w:val="002A6ED0"/>
    <w:rsid w:val="002B01BC"/>
    <w:rsid w:val="002B1252"/>
    <w:rsid w:val="002B1B93"/>
    <w:rsid w:val="002B1F41"/>
    <w:rsid w:val="002B23D2"/>
    <w:rsid w:val="002B369A"/>
    <w:rsid w:val="002B3EF1"/>
    <w:rsid w:val="002B406D"/>
    <w:rsid w:val="002B43F4"/>
    <w:rsid w:val="002B4406"/>
    <w:rsid w:val="002B495A"/>
    <w:rsid w:val="002B4B94"/>
    <w:rsid w:val="002B4C5F"/>
    <w:rsid w:val="002B5963"/>
    <w:rsid w:val="002B5A1F"/>
    <w:rsid w:val="002B6000"/>
    <w:rsid w:val="002B6EF7"/>
    <w:rsid w:val="002B7829"/>
    <w:rsid w:val="002B787F"/>
    <w:rsid w:val="002B79C0"/>
    <w:rsid w:val="002C06EB"/>
    <w:rsid w:val="002C07AF"/>
    <w:rsid w:val="002C13B8"/>
    <w:rsid w:val="002C26A8"/>
    <w:rsid w:val="002C2BB9"/>
    <w:rsid w:val="002C344A"/>
    <w:rsid w:val="002C43C6"/>
    <w:rsid w:val="002C487C"/>
    <w:rsid w:val="002C5071"/>
    <w:rsid w:val="002C5BFB"/>
    <w:rsid w:val="002C5E7B"/>
    <w:rsid w:val="002C611D"/>
    <w:rsid w:val="002C647F"/>
    <w:rsid w:val="002C6510"/>
    <w:rsid w:val="002C6783"/>
    <w:rsid w:val="002C7407"/>
    <w:rsid w:val="002C776D"/>
    <w:rsid w:val="002C7E46"/>
    <w:rsid w:val="002D0423"/>
    <w:rsid w:val="002D0D7D"/>
    <w:rsid w:val="002D11DF"/>
    <w:rsid w:val="002D1384"/>
    <w:rsid w:val="002D15B0"/>
    <w:rsid w:val="002D2485"/>
    <w:rsid w:val="002D250B"/>
    <w:rsid w:val="002D27A0"/>
    <w:rsid w:val="002D3016"/>
    <w:rsid w:val="002D3EC3"/>
    <w:rsid w:val="002D47AF"/>
    <w:rsid w:val="002D52AC"/>
    <w:rsid w:val="002D58D7"/>
    <w:rsid w:val="002D6006"/>
    <w:rsid w:val="002D6300"/>
    <w:rsid w:val="002D6301"/>
    <w:rsid w:val="002D6423"/>
    <w:rsid w:val="002D707D"/>
    <w:rsid w:val="002D7210"/>
    <w:rsid w:val="002D7758"/>
    <w:rsid w:val="002E000C"/>
    <w:rsid w:val="002E0981"/>
    <w:rsid w:val="002E09ED"/>
    <w:rsid w:val="002E138D"/>
    <w:rsid w:val="002E1C36"/>
    <w:rsid w:val="002E22FA"/>
    <w:rsid w:val="002E25C0"/>
    <w:rsid w:val="002E2D5B"/>
    <w:rsid w:val="002E3223"/>
    <w:rsid w:val="002E3343"/>
    <w:rsid w:val="002E33CF"/>
    <w:rsid w:val="002E4234"/>
    <w:rsid w:val="002E426A"/>
    <w:rsid w:val="002E453D"/>
    <w:rsid w:val="002E4C1A"/>
    <w:rsid w:val="002E54D6"/>
    <w:rsid w:val="002E6C1D"/>
    <w:rsid w:val="002E730C"/>
    <w:rsid w:val="002E736F"/>
    <w:rsid w:val="002E74FB"/>
    <w:rsid w:val="002E7752"/>
    <w:rsid w:val="002E7843"/>
    <w:rsid w:val="002E789F"/>
    <w:rsid w:val="002E795D"/>
    <w:rsid w:val="002F0651"/>
    <w:rsid w:val="002F07AD"/>
    <w:rsid w:val="002F2B65"/>
    <w:rsid w:val="002F2F19"/>
    <w:rsid w:val="002F3761"/>
    <w:rsid w:val="002F3B45"/>
    <w:rsid w:val="002F417A"/>
    <w:rsid w:val="002F4E26"/>
    <w:rsid w:val="002F595E"/>
    <w:rsid w:val="002F59AD"/>
    <w:rsid w:val="002F59B3"/>
    <w:rsid w:val="002F5AD7"/>
    <w:rsid w:val="002F6BB9"/>
    <w:rsid w:val="002F779F"/>
    <w:rsid w:val="00300B46"/>
    <w:rsid w:val="00301313"/>
    <w:rsid w:val="00301575"/>
    <w:rsid w:val="00301976"/>
    <w:rsid w:val="00302632"/>
    <w:rsid w:val="00302923"/>
    <w:rsid w:val="00302DEA"/>
    <w:rsid w:val="00303A38"/>
    <w:rsid w:val="00303DFF"/>
    <w:rsid w:val="0030411E"/>
    <w:rsid w:val="0030465B"/>
    <w:rsid w:val="00304A2F"/>
    <w:rsid w:val="00305334"/>
    <w:rsid w:val="003059B8"/>
    <w:rsid w:val="003061F1"/>
    <w:rsid w:val="003067DE"/>
    <w:rsid w:val="00306F4F"/>
    <w:rsid w:val="00307A50"/>
    <w:rsid w:val="00310243"/>
    <w:rsid w:val="00310B14"/>
    <w:rsid w:val="00310B25"/>
    <w:rsid w:val="00311152"/>
    <w:rsid w:val="00313661"/>
    <w:rsid w:val="00314087"/>
    <w:rsid w:val="003145DE"/>
    <w:rsid w:val="00315757"/>
    <w:rsid w:val="00315EAB"/>
    <w:rsid w:val="00316D6D"/>
    <w:rsid w:val="003173D1"/>
    <w:rsid w:val="00317C56"/>
    <w:rsid w:val="0032051B"/>
    <w:rsid w:val="003208E2"/>
    <w:rsid w:val="00320CF6"/>
    <w:rsid w:val="0032117B"/>
    <w:rsid w:val="003212AA"/>
    <w:rsid w:val="00321D32"/>
    <w:rsid w:val="00323358"/>
    <w:rsid w:val="00325307"/>
    <w:rsid w:val="00325426"/>
    <w:rsid w:val="0032565A"/>
    <w:rsid w:val="00325E27"/>
    <w:rsid w:val="00325E3C"/>
    <w:rsid w:val="0032642A"/>
    <w:rsid w:val="00326824"/>
    <w:rsid w:val="00326ABE"/>
    <w:rsid w:val="00326BFF"/>
    <w:rsid w:val="00326CF0"/>
    <w:rsid w:val="00327694"/>
    <w:rsid w:val="00327B62"/>
    <w:rsid w:val="00330186"/>
    <w:rsid w:val="00330814"/>
    <w:rsid w:val="00330FA7"/>
    <w:rsid w:val="0033117C"/>
    <w:rsid w:val="00331495"/>
    <w:rsid w:val="0033200B"/>
    <w:rsid w:val="003325E2"/>
    <w:rsid w:val="003326AC"/>
    <w:rsid w:val="00332FA1"/>
    <w:rsid w:val="00333951"/>
    <w:rsid w:val="00333A7A"/>
    <w:rsid w:val="00336264"/>
    <w:rsid w:val="0033626E"/>
    <w:rsid w:val="003376F2"/>
    <w:rsid w:val="00337D6C"/>
    <w:rsid w:val="003404D0"/>
    <w:rsid w:val="0034131C"/>
    <w:rsid w:val="00341494"/>
    <w:rsid w:val="00341659"/>
    <w:rsid w:val="0034208F"/>
    <w:rsid w:val="00342D0A"/>
    <w:rsid w:val="00343720"/>
    <w:rsid w:val="00343734"/>
    <w:rsid w:val="0034400C"/>
    <w:rsid w:val="00344E0E"/>
    <w:rsid w:val="003450A3"/>
    <w:rsid w:val="00345285"/>
    <w:rsid w:val="00345613"/>
    <w:rsid w:val="0034603D"/>
    <w:rsid w:val="003476A0"/>
    <w:rsid w:val="003501CD"/>
    <w:rsid w:val="00350617"/>
    <w:rsid w:val="00351147"/>
    <w:rsid w:val="00351158"/>
    <w:rsid w:val="00351262"/>
    <w:rsid w:val="0035154E"/>
    <w:rsid w:val="003526FA"/>
    <w:rsid w:val="0035278E"/>
    <w:rsid w:val="00353872"/>
    <w:rsid w:val="00353BB7"/>
    <w:rsid w:val="0035490D"/>
    <w:rsid w:val="00354A84"/>
    <w:rsid w:val="00354D6A"/>
    <w:rsid w:val="00354DBE"/>
    <w:rsid w:val="00355968"/>
    <w:rsid w:val="00355D7C"/>
    <w:rsid w:val="00355EF8"/>
    <w:rsid w:val="00356738"/>
    <w:rsid w:val="00356A70"/>
    <w:rsid w:val="00356F0A"/>
    <w:rsid w:val="00356F6D"/>
    <w:rsid w:val="003572E7"/>
    <w:rsid w:val="00357518"/>
    <w:rsid w:val="00360216"/>
    <w:rsid w:val="00360325"/>
    <w:rsid w:val="00360775"/>
    <w:rsid w:val="00361CB5"/>
    <w:rsid w:val="00361E7A"/>
    <w:rsid w:val="00362981"/>
    <w:rsid w:val="00362EF7"/>
    <w:rsid w:val="003632FA"/>
    <w:rsid w:val="003633D6"/>
    <w:rsid w:val="00363543"/>
    <w:rsid w:val="00363D01"/>
    <w:rsid w:val="0036488B"/>
    <w:rsid w:val="00364ADF"/>
    <w:rsid w:val="0036519B"/>
    <w:rsid w:val="0036576B"/>
    <w:rsid w:val="00366447"/>
    <w:rsid w:val="00367065"/>
    <w:rsid w:val="00370541"/>
    <w:rsid w:val="003709D0"/>
    <w:rsid w:val="00370B59"/>
    <w:rsid w:val="003712A4"/>
    <w:rsid w:val="00371360"/>
    <w:rsid w:val="00372145"/>
    <w:rsid w:val="003721A2"/>
    <w:rsid w:val="003733E0"/>
    <w:rsid w:val="003742AD"/>
    <w:rsid w:val="00374696"/>
    <w:rsid w:val="00375260"/>
    <w:rsid w:val="00375309"/>
    <w:rsid w:val="0037540C"/>
    <w:rsid w:val="00377CF3"/>
    <w:rsid w:val="00380C52"/>
    <w:rsid w:val="00380E62"/>
    <w:rsid w:val="00382359"/>
    <w:rsid w:val="003826F9"/>
    <w:rsid w:val="0038392C"/>
    <w:rsid w:val="00383E3F"/>
    <w:rsid w:val="00383EDF"/>
    <w:rsid w:val="003850C6"/>
    <w:rsid w:val="003851F7"/>
    <w:rsid w:val="003864D0"/>
    <w:rsid w:val="003867FD"/>
    <w:rsid w:val="00386F56"/>
    <w:rsid w:val="003874D6"/>
    <w:rsid w:val="00387652"/>
    <w:rsid w:val="003902AD"/>
    <w:rsid w:val="003904FA"/>
    <w:rsid w:val="00390542"/>
    <w:rsid w:val="00390A34"/>
    <w:rsid w:val="00390D70"/>
    <w:rsid w:val="00391274"/>
    <w:rsid w:val="00391358"/>
    <w:rsid w:val="003917E1"/>
    <w:rsid w:val="003918B1"/>
    <w:rsid w:val="00391B50"/>
    <w:rsid w:val="00391E17"/>
    <w:rsid w:val="00391EFD"/>
    <w:rsid w:val="0039280F"/>
    <w:rsid w:val="003931EC"/>
    <w:rsid w:val="00393E07"/>
    <w:rsid w:val="00394317"/>
    <w:rsid w:val="00394E8F"/>
    <w:rsid w:val="00394F82"/>
    <w:rsid w:val="003951B2"/>
    <w:rsid w:val="0039604A"/>
    <w:rsid w:val="0039721C"/>
    <w:rsid w:val="003978F0"/>
    <w:rsid w:val="00397C61"/>
    <w:rsid w:val="003A070F"/>
    <w:rsid w:val="003A0F0C"/>
    <w:rsid w:val="003A1392"/>
    <w:rsid w:val="003A1773"/>
    <w:rsid w:val="003A1C8B"/>
    <w:rsid w:val="003A21E0"/>
    <w:rsid w:val="003A272F"/>
    <w:rsid w:val="003A27B6"/>
    <w:rsid w:val="003A3109"/>
    <w:rsid w:val="003A3456"/>
    <w:rsid w:val="003A4468"/>
    <w:rsid w:val="003A5566"/>
    <w:rsid w:val="003A68DF"/>
    <w:rsid w:val="003A70E7"/>
    <w:rsid w:val="003A7F30"/>
    <w:rsid w:val="003B1348"/>
    <w:rsid w:val="003B17F4"/>
    <w:rsid w:val="003B1D19"/>
    <w:rsid w:val="003B2440"/>
    <w:rsid w:val="003B276F"/>
    <w:rsid w:val="003B2CCE"/>
    <w:rsid w:val="003B308D"/>
    <w:rsid w:val="003B35C4"/>
    <w:rsid w:val="003B3E74"/>
    <w:rsid w:val="003B42D9"/>
    <w:rsid w:val="003B5970"/>
    <w:rsid w:val="003B5C76"/>
    <w:rsid w:val="003B5D45"/>
    <w:rsid w:val="003B67CB"/>
    <w:rsid w:val="003B6BEC"/>
    <w:rsid w:val="003B78AB"/>
    <w:rsid w:val="003C0020"/>
    <w:rsid w:val="003C03FA"/>
    <w:rsid w:val="003C09E8"/>
    <w:rsid w:val="003C12F4"/>
    <w:rsid w:val="003C130F"/>
    <w:rsid w:val="003C1759"/>
    <w:rsid w:val="003C1FD4"/>
    <w:rsid w:val="003C2788"/>
    <w:rsid w:val="003C29ED"/>
    <w:rsid w:val="003C425F"/>
    <w:rsid w:val="003C43BB"/>
    <w:rsid w:val="003C44FC"/>
    <w:rsid w:val="003C45FA"/>
    <w:rsid w:val="003C4A4C"/>
    <w:rsid w:val="003C4C2D"/>
    <w:rsid w:val="003C55BB"/>
    <w:rsid w:val="003C598E"/>
    <w:rsid w:val="003C71E6"/>
    <w:rsid w:val="003C726F"/>
    <w:rsid w:val="003C7A98"/>
    <w:rsid w:val="003D0678"/>
    <w:rsid w:val="003D0DEB"/>
    <w:rsid w:val="003D1042"/>
    <w:rsid w:val="003D164C"/>
    <w:rsid w:val="003D1DAB"/>
    <w:rsid w:val="003D2736"/>
    <w:rsid w:val="003D5134"/>
    <w:rsid w:val="003D586E"/>
    <w:rsid w:val="003D5944"/>
    <w:rsid w:val="003D66A3"/>
    <w:rsid w:val="003D7099"/>
    <w:rsid w:val="003D75A7"/>
    <w:rsid w:val="003E11F7"/>
    <w:rsid w:val="003E221D"/>
    <w:rsid w:val="003E2E29"/>
    <w:rsid w:val="003E37ED"/>
    <w:rsid w:val="003E54FA"/>
    <w:rsid w:val="003E59B1"/>
    <w:rsid w:val="003E5D07"/>
    <w:rsid w:val="003E6121"/>
    <w:rsid w:val="003E6A09"/>
    <w:rsid w:val="003E6C8C"/>
    <w:rsid w:val="003F013D"/>
    <w:rsid w:val="003F0604"/>
    <w:rsid w:val="003F0DB2"/>
    <w:rsid w:val="003F2009"/>
    <w:rsid w:val="003F24CD"/>
    <w:rsid w:val="003F2BBE"/>
    <w:rsid w:val="003F2F22"/>
    <w:rsid w:val="003F3D6B"/>
    <w:rsid w:val="003F3EC7"/>
    <w:rsid w:val="003F41F3"/>
    <w:rsid w:val="003F4B46"/>
    <w:rsid w:val="003F4D7E"/>
    <w:rsid w:val="003F4E9A"/>
    <w:rsid w:val="003F51D1"/>
    <w:rsid w:val="003F5682"/>
    <w:rsid w:val="003F5D74"/>
    <w:rsid w:val="003F5EDC"/>
    <w:rsid w:val="003F655A"/>
    <w:rsid w:val="003F76C3"/>
    <w:rsid w:val="003F76DD"/>
    <w:rsid w:val="003F7E43"/>
    <w:rsid w:val="003F7FE5"/>
    <w:rsid w:val="00400660"/>
    <w:rsid w:val="00400A2D"/>
    <w:rsid w:val="004016F8"/>
    <w:rsid w:val="004019B3"/>
    <w:rsid w:val="0040294B"/>
    <w:rsid w:val="00402B2E"/>
    <w:rsid w:val="00402F91"/>
    <w:rsid w:val="00403686"/>
    <w:rsid w:val="00403C79"/>
    <w:rsid w:val="00404E7D"/>
    <w:rsid w:val="004051D8"/>
    <w:rsid w:val="00405502"/>
    <w:rsid w:val="004059BF"/>
    <w:rsid w:val="00405DBD"/>
    <w:rsid w:val="0040613A"/>
    <w:rsid w:val="0040697A"/>
    <w:rsid w:val="00406C03"/>
    <w:rsid w:val="00406CF9"/>
    <w:rsid w:val="00407731"/>
    <w:rsid w:val="00410972"/>
    <w:rsid w:val="0041109A"/>
    <w:rsid w:val="004113D9"/>
    <w:rsid w:val="00411669"/>
    <w:rsid w:val="00411A14"/>
    <w:rsid w:val="00412121"/>
    <w:rsid w:val="00412E35"/>
    <w:rsid w:val="004139C1"/>
    <w:rsid w:val="004140E4"/>
    <w:rsid w:val="004146AA"/>
    <w:rsid w:val="004148F5"/>
    <w:rsid w:val="0041597D"/>
    <w:rsid w:val="00416598"/>
    <w:rsid w:val="004167D1"/>
    <w:rsid w:val="00416BBC"/>
    <w:rsid w:val="00416FA6"/>
    <w:rsid w:val="00417185"/>
    <w:rsid w:val="00417B43"/>
    <w:rsid w:val="00417CAC"/>
    <w:rsid w:val="00420566"/>
    <w:rsid w:val="00420C19"/>
    <w:rsid w:val="00422DD3"/>
    <w:rsid w:val="00422EEA"/>
    <w:rsid w:val="0042305D"/>
    <w:rsid w:val="00423176"/>
    <w:rsid w:val="00424706"/>
    <w:rsid w:val="00424A4A"/>
    <w:rsid w:val="00424C5A"/>
    <w:rsid w:val="00426FD8"/>
    <w:rsid w:val="0043012D"/>
    <w:rsid w:val="00430E1C"/>
    <w:rsid w:val="00431AE4"/>
    <w:rsid w:val="00432133"/>
    <w:rsid w:val="00432330"/>
    <w:rsid w:val="0043334D"/>
    <w:rsid w:val="00433999"/>
    <w:rsid w:val="00433CC3"/>
    <w:rsid w:val="00434583"/>
    <w:rsid w:val="00434941"/>
    <w:rsid w:val="0043501C"/>
    <w:rsid w:val="004359DC"/>
    <w:rsid w:val="0043653E"/>
    <w:rsid w:val="004371CA"/>
    <w:rsid w:val="0044079C"/>
    <w:rsid w:val="00440BCB"/>
    <w:rsid w:val="0044103A"/>
    <w:rsid w:val="00441377"/>
    <w:rsid w:val="004413B9"/>
    <w:rsid w:val="00441A02"/>
    <w:rsid w:val="00441E93"/>
    <w:rsid w:val="00442012"/>
    <w:rsid w:val="00442458"/>
    <w:rsid w:val="00442EC5"/>
    <w:rsid w:val="004438D2"/>
    <w:rsid w:val="00443943"/>
    <w:rsid w:val="004440FF"/>
    <w:rsid w:val="00444E60"/>
    <w:rsid w:val="00446515"/>
    <w:rsid w:val="00446AB7"/>
    <w:rsid w:val="0044751C"/>
    <w:rsid w:val="00447A5D"/>
    <w:rsid w:val="0045027A"/>
    <w:rsid w:val="00450391"/>
    <w:rsid w:val="004506F1"/>
    <w:rsid w:val="004509F0"/>
    <w:rsid w:val="00450CAE"/>
    <w:rsid w:val="00450D09"/>
    <w:rsid w:val="00451996"/>
    <w:rsid w:val="004520CE"/>
    <w:rsid w:val="00453297"/>
    <w:rsid w:val="00456B39"/>
    <w:rsid w:val="004575AC"/>
    <w:rsid w:val="00457709"/>
    <w:rsid w:val="0046013C"/>
    <w:rsid w:val="00460496"/>
    <w:rsid w:val="00460FDF"/>
    <w:rsid w:val="00461E9E"/>
    <w:rsid w:val="0046273A"/>
    <w:rsid w:val="00463B3B"/>
    <w:rsid w:val="00463EE5"/>
    <w:rsid w:val="004643C5"/>
    <w:rsid w:val="00464BFD"/>
    <w:rsid w:val="004657FC"/>
    <w:rsid w:val="004662BD"/>
    <w:rsid w:val="004663A6"/>
    <w:rsid w:val="00467038"/>
    <w:rsid w:val="00467207"/>
    <w:rsid w:val="0047289F"/>
    <w:rsid w:val="0047393A"/>
    <w:rsid w:val="00474422"/>
    <w:rsid w:val="00475BC8"/>
    <w:rsid w:val="00476C25"/>
    <w:rsid w:val="00476EC0"/>
    <w:rsid w:val="004778FA"/>
    <w:rsid w:val="00477ABD"/>
    <w:rsid w:val="00477C6A"/>
    <w:rsid w:val="0048054A"/>
    <w:rsid w:val="00480D9A"/>
    <w:rsid w:val="00481761"/>
    <w:rsid w:val="00482895"/>
    <w:rsid w:val="004828A5"/>
    <w:rsid w:val="00482DEE"/>
    <w:rsid w:val="0048363E"/>
    <w:rsid w:val="0048456B"/>
    <w:rsid w:val="00484906"/>
    <w:rsid w:val="0048494E"/>
    <w:rsid w:val="00485493"/>
    <w:rsid w:val="00485DEB"/>
    <w:rsid w:val="00486EF8"/>
    <w:rsid w:val="00490747"/>
    <w:rsid w:val="0049092B"/>
    <w:rsid w:val="00490EF8"/>
    <w:rsid w:val="00491768"/>
    <w:rsid w:val="004919F3"/>
    <w:rsid w:val="00491DF6"/>
    <w:rsid w:val="00493138"/>
    <w:rsid w:val="004936CC"/>
    <w:rsid w:val="00494BEF"/>
    <w:rsid w:val="0049647B"/>
    <w:rsid w:val="0049664F"/>
    <w:rsid w:val="0049688D"/>
    <w:rsid w:val="0049691F"/>
    <w:rsid w:val="00496A2C"/>
    <w:rsid w:val="00497422"/>
    <w:rsid w:val="004976C4"/>
    <w:rsid w:val="004A0497"/>
    <w:rsid w:val="004A0564"/>
    <w:rsid w:val="004A0F58"/>
    <w:rsid w:val="004A14D8"/>
    <w:rsid w:val="004A19D3"/>
    <w:rsid w:val="004A2674"/>
    <w:rsid w:val="004A26A9"/>
    <w:rsid w:val="004A26CC"/>
    <w:rsid w:val="004A276C"/>
    <w:rsid w:val="004A2CEE"/>
    <w:rsid w:val="004A3087"/>
    <w:rsid w:val="004A4374"/>
    <w:rsid w:val="004A4706"/>
    <w:rsid w:val="004A4756"/>
    <w:rsid w:val="004A48CC"/>
    <w:rsid w:val="004A4B19"/>
    <w:rsid w:val="004A4CDD"/>
    <w:rsid w:val="004A60FF"/>
    <w:rsid w:val="004A68BF"/>
    <w:rsid w:val="004A6EB7"/>
    <w:rsid w:val="004A73A8"/>
    <w:rsid w:val="004B0428"/>
    <w:rsid w:val="004B0E4C"/>
    <w:rsid w:val="004B155C"/>
    <w:rsid w:val="004B308B"/>
    <w:rsid w:val="004B3A39"/>
    <w:rsid w:val="004B3F43"/>
    <w:rsid w:val="004B5033"/>
    <w:rsid w:val="004B7569"/>
    <w:rsid w:val="004B75E6"/>
    <w:rsid w:val="004C0C95"/>
    <w:rsid w:val="004C0F46"/>
    <w:rsid w:val="004C1162"/>
    <w:rsid w:val="004C14D6"/>
    <w:rsid w:val="004C1B56"/>
    <w:rsid w:val="004C1B5E"/>
    <w:rsid w:val="004C24BB"/>
    <w:rsid w:val="004C449C"/>
    <w:rsid w:val="004C4736"/>
    <w:rsid w:val="004C540F"/>
    <w:rsid w:val="004C5C9A"/>
    <w:rsid w:val="004C617F"/>
    <w:rsid w:val="004C65CF"/>
    <w:rsid w:val="004C6636"/>
    <w:rsid w:val="004D02D7"/>
    <w:rsid w:val="004D061F"/>
    <w:rsid w:val="004D0AC1"/>
    <w:rsid w:val="004D1416"/>
    <w:rsid w:val="004D2028"/>
    <w:rsid w:val="004D2413"/>
    <w:rsid w:val="004D325C"/>
    <w:rsid w:val="004D4282"/>
    <w:rsid w:val="004D4F77"/>
    <w:rsid w:val="004D4FF1"/>
    <w:rsid w:val="004D57C1"/>
    <w:rsid w:val="004D708C"/>
    <w:rsid w:val="004D720B"/>
    <w:rsid w:val="004D73D1"/>
    <w:rsid w:val="004D7959"/>
    <w:rsid w:val="004E0B7E"/>
    <w:rsid w:val="004E147E"/>
    <w:rsid w:val="004E1EAB"/>
    <w:rsid w:val="004E20B2"/>
    <w:rsid w:val="004E26E9"/>
    <w:rsid w:val="004E2BAD"/>
    <w:rsid w:val="004E2BC1"/>
    <w:rsid w:val="004E2C73"/>
    <w:rsid w:val="004E343C"/>
    <w:rsid w:val="004E3DEE"/>
    <w:rsid w:val="004E4970"/>
    <w:rsid w:val="004E4A09"/>
    <w:rsid w:val="004E4A86"/>
    <w:rsid w:val="004E50A3"/>
    <w:rsid w:val="004E5A0C"/>
    <w:rsid w:val="004E679F"/>
    <w:rsid w:val="004E6BF5"/>
    <w:rsid w:val="004E6F61"/>
    <w:rsid w:val="004F01A1"/>
    <w:rsid w:val="004F03E6"/>
    <w:rsid w:val="004F04CA"/>
    <w:rsid w:val="004F0B1F"/>
    <w:rsid w:val="004F0C79"/>
    <w:rsid w:val="004F116F"/>
    <w:rsid w:val="004F12AA"/>
    <w:rsid w:val="004F13AB"/>
    <w:rsid w:val="004F15B4"/>
    <w:rsid w:val="004F3328"/>
    <w:rsid w:val="004F33F5"/>
    <w:rsid w:val="004F35FC"/>
    <w:rsid w:val="004F36F4"/>
    <w:rsid w:val="004F3BCC"/>
    <w:rsid w:val="004F3F37"/>
    <w:rsid w:val="004F4E9F"/>
    <w:rsid w:val="004F50CD"/>
    <w:rsid w:val="004F538D"/>
    <w:rsid w:val="004F5936"/>
    <w:rsid w:val="004F71D4"/>
    <w:rsid w:val="00500BE2"/>
    <w:rsid w:val="00500D03"/>
    <w:rsid w:val="00500D76"/>
    <w:rsid w:val="005020AB"/>
    <w:rsid w:val="005027E7"/>
    <w:rsid w:val="00502A62"/>
    <w:rsid w:val="00502DAC"/>
    <w:rsid w:val="005035BB"/>
    <w:rsid w:val="0050369A"/>
    <w:rsid w:val="00503AA2"/>
    <w:rsid w:val="00503D7F"/>
    <w:rsid w:val="00503EB5"/>
    <w:rsid w:val="00503F24"/>
    <w:rsid w:val="00504415"/>
    <w:rsid w:val="0050481D"/>
    <w:rsid w:val="00504954"/>
    <w:rsid w:val="005049F6"/>
    <w:rsid w:val="005059F8"/>
    <w:rsid w:val="00505FB8"/>
    <w:rsid w:val="00506034"/>
    <w:rsid w:val="00506F6B"/>
    <w:rsid w:val="00507630"/>
    <w:rsid w:val="00507975"/>
    <w:rsid w:val="00507D74"/>
    <w:rsid w:val="00507E29"/>
    <w:rsid w:val="00510377"/>
    <w:rsid w:val="00510981"/>
    <w:rsid w:val="005109F1"/>
    <w:rsid w:val="00510C15"/>
    <w:rsid w:val="00513046"/>
    <w:rsid w:val="00513661"/>
    <w:rsid w:val="00513A0D"/>
    <w:rsid w:val="00514144"/>
    <w:rsid w:val="005144AF"/>
    <w:rsid w:val="00514559"/>
    <w:rsid w:val="00514876"/>
    <w:rsid w:val="005148DE"/>
    <w:rsid w:val="00514944"/>
    <w:rsid w:val="00514B27"/>
    <w:rsid w:val="00514CD2"/>
    <w:rsid w:val="00516855"/>
    <w:rsid w:val="00517462"/>
    <w:rsid w:val="0051799C"/>
    <w:rsid w:val="00517E9A"/>
    <w:rsid w:val="00521110"/>
    <w:rsid w:val="00521220"/>
    <w:rsid w:val="00521B1A"/>
    <w:rsid w:val="00521F45"/>
    <w:rsid w:val="0052239C"/>
    <w:rsid w:val="00522714"/>
    <w:rsid w:val="00522A61"/>
    <w:rsid w:val="00522B90"/>
    <w:rsid w:val="00522DCD"/>
    <w:rsid w:val="00523FCB"/>
    <w:rsid w:val="00524648"/>
    <w:rsid w:val="00525DAE"/>
    <w:rsid w:val="00526749"/>
    <w:rsid w:val="005267C6"/>
    <w:rsid w:val="0052683A"/>
    <w:rsid w:val="00526860"/>
    <w:rsid w:val="0052699A"/>
    <w:rsid w:val="00527502"/>
    <w:rsid w:val="00527708"/>
    <w:rsid w:val="00530316"/>
    <w:rsid w:val="0053063B"/>
    <w:rsid w:val="00530A87"/>
    <w:rsid w:val="00530B3A"/>
    <w:rsid w:val="00531E94"/>
    <w:rsid w:val="00533B5B"/>
    <w:rsid w:val="00533EDC"/>
    <w:rsid w:val="0053482D"/>
    <w:rsid w:val="005350A4"/>
    <w:rsid w:val="00535340"/>
    <w:rsid w:val="005353A0"/>
    <w:rsid w:val="00536EB4"/>
    <w:rsid w:val="00537245"/>
    <w:rsid w:val="005379A7"/>
    <w:rsid w:val="0054023F"/>
    <w:rsid w:val="00540433"/>
    <w:rsid w:val="00541437"/>
    <w:rsid w:val="00541C24"/>
    <w:rsid w:val="00541F20"/>
    <w:rsid w:val="00542294"/>
    <w:rsid w:val="00542DDF"/>
    <w:rsid w:val="00542FB2"/>
    <w:rsid w:val="0054315F"/>
    <w:rsid w:val="005442B5"/>
    <w:rsid w:val="0054495E"/>
    <w:rsid w:val="005451DA"/>
    <w:rsid w:val="00545EEE"/>
    <w:rsid w:val="005468AD"/>
    <w:rsid w:val="00547269"/>
    <w:rsid w:val="005472EE"/>
    <w:rsid w:val="005478A4"/>
    <w:rsid w:val="005504D0"/>
    <w:rsid w:val="0055052E"/>
    <w:rsid w:val="00550726"/>
    <w:rsid w:val="00550AFB"/>
    <w:rsid w:val="00550EEF"/>
    <w:rsid w:val="0055153F"/>
    <w:rsid w:val="005517B3"/>
    <w:rsid w:val="00551AD4"/>
    <w:rsid w:val="00551DA7"/>
    <w:rsid w:val="00552838"/>
    <w:rsid w:val="00554001"/>
    <w:rsid w:val="00554FF9"/>
    <w:rsid w:val="00555496"/>
    <w:rsid w:val="0055562E"/>
    <w:rsid w:val="00555648"/>
    <w:rsid w:val="00556685"/>
    <w:rsid w:val="00556A20"/>
    <w:rsid w:val="005570B9"/>
    <w:rsid w:val="005607D8"/>
    <w:rsid w:val="005608E1"/>
    <w:rsid w:val="00560F25"/>
    <w:rsid w:val="00561419"/>
    <w:rsid w:val="00561C55"/>
    <w:rsid w:val="00561EDB"/>
    <w:rsid w:val="005621A3"/>
    <w:rsid w:val="005623CB"/>
    <w:rsid w:val="00562768"/>
    <w:rsid w:val="00562927"/>
    <w:rsid w:val="005630C2"/>
    <w:rsid w:val="00563298"/>
    <w:rsid w:val="00563893"/>
    <w:rsid w:val="00563D4A"/>
    <w:rsid w:val="00563E73"/>
    <w:rsid w:val="0056483B"/>
    <w:rsid w:val="00565355"/>
    <w:rsid w:val="0056637D"/>
    <w:rsid w:val="00566B25"/>
    <w:rsid w:val="00567379"/>
    <w:rsid w:val="005674C7"/>
    <w:rsid w:val="00567E72"/>
    <w:rsid w:val="00570C54"/>
    <w:rsid w:val="005719A6"/>
    <w:rsid w:val="00572615"/>
    <w:rsid w:val="00572F15"/>
    <w:rsid w:val="00573084"/>
    <w:rsid w:val="005731BA"/>
    <w:rsid w:val="005737EE"/>
    <w:rsid w:val="00573F7E"/>
    <w:rsid w:val="00574137"/>
    <w:rsid w:val="005749B9"/>
    <w:rsid w:val="00575975"/>
    <w:rsid w:val="00575E33"/>
    <w:rsid w:val="0057710A"/>
    <w:rsid w:val="00580421"/>
    <w:rsid w:val="005806A9"/>
    <w:rsid w:val="0058098F"/>
    <w:rsid w:val="00580B66"/>
    <w:rsid w:val="00582023"/>
    <w:rsid w:val="00582180"/>
    <w:rsid w:val="00582766"/>
    <w:rsid w:val="00582BA5"/>
    <w:rsid w:val="00582C59"/>
    <w:rsid w:val="00582E77"/>
    <w:rsid w:val="00582EB9"/>
    <w:rsid w:val="00584E89"/>
    <w:rsid w:val="00586ECE"/>
    <w:rsid w:val="00587F0E"/>
    <w:rsid w:val="0059055F"/>
    <w:rsid w:val="005916C3"/>
    <w:rsid w:val="00591E25"/>
    <w:rsid w:val="00592635"/>
    <w:rsid w:val="00592667"/>
    <w:rsid w:val="00592C16"/>
    <w:rsid w:val="00592C7B"/>
    <w:rsid w:val="005934E2"/>
    <w:rsid w:val="00593F3E"/>
    <w:rsid w:val="00594081"/>
    <w:rsid w:val="0059541E"/>
    <w:rsid w:val="00595973"/>
    <w:rsid w:val="00595F9C"/>
    <w:rsid w:val="00596135"/>
    <w:rsid w:val="00596158"/>
    <w:rsid w:val="005965F7"/>
    <w:rsid w:val="0059749A"/>
    <w:rsid w:val="00597D6B"/>
    <w:rsid w:val="00597DD2"/>
    <w:rsid w:val="005A1DA8"/>
    <w:rsid w:val="005A2F07"/>
    <w:rsid w:val="005A3BB2"/>
    <w:rsid w:val="005A4119"/>
    <w:rsid w:val="005A5017"/>
    <w:rsid w:val="005A5173"/>
    <w:rsid w:val="005A53F8"/>
    <w:rsid w:val="005A5724"/>
    <w:rsid w:val="005A5842"/>
    <w:rsid w:val="005A5B00"/>
    <w:rsid w:val="005A5B86"/>
    <w:rsid w:val="005A5F14"/>
    <w:rsid w:val="005A600D"/>
    <w:rsid w:val="005A6A32"/>
    <w:rsid w:val="005A6C4D"/>
    <w:rsid w:val="005A76B1"/>
    <w:rsid w:val="005B007D"/>
    <w:rsid w:val="005B063F"/>
    <w:rsid w:val="005B1A34"/>
    <w:rsid w:val="005B1FA8"/>
    <w:rsid w:val="005B20B7"/>
    <w:rsid w:val="005B3306"/>
    <w:rsid w:val="005B3DFB"/>
    <w:rsid w:val="005B3FDD"/>
    <w:rsid w:val="005B432E"/>
    <w:rsid w:val="005B43DE"/>
    <w:rsid w:val="005B5328"/>
    <w:rsid w:val="005B5ED0"/>
    <w:rsid w:val="005B61D6"/>
    <w:rsid w:val="005B6801"/>
    <w:rsid w:val="005B6EE3"/>
    <w:rsid w:val="005B72C1"/>
    <w:rsid w:val="005C083D"/>
    <w:rsid w:val="005C26D2"/>
    <w:rsid w:val="005C2E03"/>
    <w:rsid w:val="005C2E30"/>
    <w:rsid w:val="005C373A"/>
    <w:rsid w:val="005C39B8"/>
    <w:rsid w:val="005C416D"/>
    <w:rsid w:val="005C4310"/>
    <w:rsid w:val="005C45A2"/>
    <w:rsid w:val="005C4DD5"/>
    <w:rsid w:val="005C50F5"/>
    <w:rsid w:val="005C6D9D"/>
    <w:rsid w:val="005C6FEE"/>
    <w:rsid w:val="005C701E"/>
    <w:rsid w:val="005C717D"/>
    <w:rsid w:val="005C741F"/>
    <w:rsid w:val="005C776C"/>
    <w:rsid w:val="005C7A16"/>
    <w:rsid w:val="005D0B55"/>
    <w:rsid w:val="005D0BE5"/>
    <w:rsid w:val="005D1FE1"/>
    <w:rsid w:val="005D25E3"/>
    <w:rsid w:val="005D2CD3"/>
    <w:rsid w:val="005D2E9D"/>
    <w:rsid w:val="005D3E6C"/>
    <w:rsid w:val="005D4033"/>
    <w:rsid w:val="005D4C69"/>
    <w:rsid w:val="005D4D1E"/>
    <w:rsid w:val="005D69D1"/>
    <w:rsid w:val="005D716D"/>
    <w:rsid w:val="005D7A47"/>
    <w:rsid w:val="005E01E7"/>
    <w:rsid w:val="005E0E32"/>
    <w:rsid w:val="005E206F"/>
    <w:rsid w:val="005E31A9"/>
    <w:rsid w:val="005E33F1"/>
    <w:rsid w:val="005E340A"/>
    <w:rsid w:val="005E370B"/>
    <w:rsid w:val="005E37E6"/>
    <w:rsid w:val="005E38A3"/>
    <w:rsid w:val="005E436C"/>
    <w:rsid w:val="005E4DDC"/>
    <w:rsid w:val="005E56C5"/>
    <w:rsid w:val="005E65EC"/>
    <w:rsid w:val="005E6C6D"/>
    <w:rsid w:val="005E6D62"/>
    <w:rsid w:val="005E7112"/>
    <w:rsid w:val="005E7B1D"/>
    <w:rsid w:val="005F17D7"/>
    <w:rsid w:val="005F1FEE"/>
    <w:rsid w:val="005F2189"/>
    <w:rsid w:val="005F228C"/>
    <w:rsid w:val="005F25C2"/>
    <w:rsid w:val="005F2697"/>
    <w:rsid w:val="005F342F"/>
    <w:rsid w:val="005F35DE"/>
    <w:rsid w:val="005F3CA4"/>
    <w:rsid w:val="005F4126"/>
    <w:rsid w:val="005F4708"/>
    <w:rsid w:val="005F55EF"/>
    <w:rsid w:val="005F591B"/>
    <w:rsid w:val="005F5B3E"/>
    <w:rsid w:val="005F6328"/>
    <w:rsid w:val="005F6AC8"/>
    <w:rsid w:val="005F6CB4"/>
    <w:rsid w:val="0060020E"/>
    <w:rsid w:val="00600366"/>
    <w:rsid w:val="00600AD1"/>
    <w:rsid w:val="00600FB7"/>
    <w:rsid w:val="0060120F"/>
    <w:rsid w:val="006014B0"/>
    <w:rsid w:val="00601CD9"/>
    <w:rsid w:val="006024AD"/>
    <w:rsid w:val="00602A07"/>
    <w:rsid w:val="006034AB"/>
    <w:rsid w:val="00604076"/>
    <w:rsid w:val="006041FB"/>
    <w:rsid w:val="006048AC"/>
    <w:rsid w:val="00604982"/>
    <w:rsid w:val="00604C51"/>
    <w:rsid w:val="0060595D"/>
    <w:rsid w:val="006063F8"/>
    <w:rsid w:val="00606D69"/>
    <w:rsid w:val="00607470"/>
    <w:rsid w:val="00607881"/>
    <w:rsid w:val="00607C0F"/>
    <w:rsid w:val="00612253"/>
    <w:rsid w:val="00612978"/>
    <w:rsid w:val="00612B90"/>
    <w:rsid w:val="00612DE1"/>
    <w:rsid w:val="00613E33"/>
    <w:rsid w:val="00613E77"/>
    <w:rsid w:val="006145B5"/>
    <w:rsid w:val="006166DD"/>
    <w:rsid w:val="00616A42"/>
    <w:rsid w:val="00616BDC"/>
    <w:rsid w:val="00616DA2"/>
    <w:rsid w:val="006174A3"/>
    <w:rsid w:val="006178F7"/>
    <w:rsid w:val="00617A1A"/>
    <w:rsid w:val="006202E0"/>
    <w:rsid w:val="0062054C"/>
    <w:rsid w:val="006214DF"/>
    <w:rsid w:val="006222C5"/>
    <w:rsid w:val="00622919"/>
    <w:rsid w:val="00623004"/>
    <w:rsid w:val="00623425"/>
    <w:rsid w:val="0062396D"/>
    <w:rsid w:val="00623C38"/>
    <w:rsid w:val="00624C8B"/>
    <w:rsid w:val="00624CF4"/>
    <w:rsid w:val="006251B0"/>
    <w:rsid w:val="006253C9"/>
    <w:rsid w:val="006269AD"/>
    <w:rsid w:val="00626BA8"/>
    <w:rsid w:val="006278CA"/>
    <w:rsid w:val="00627E1D"/>
    <w:rsid w:val="00630201"/>
    <w:rsid w:val="00630876"/>
    <w:rsid w:val="006315E2"/>
    <w:rsid w:val="00631ABB"/>
    <w:rsid w:val="00631B49"/>
    <w:rsid w:val="00632027"/>
    <w:rsid w:val="006321A7"/>
    <w:rsid w:val="00632319"/>
    <w:rsid w:val="0063323D"/>
    <w:rsid w:val="0063330A"/>
    <w:rsid w:val="00633DEF"/>
    <w:rsid w:val="00633E4C"/>
    <w:rsid w:val="00634673"/>
    <w:rsid w:val="006346EA"/>
    <w:rsid w:val="00635805"/>
    <w:rsid w:val="006358D4"/>
    <w:rsid w:val="00635A14"/>
    <w:rsid w:val="00636AA4"/>
    <w:rsid w:val="00636C50"/>
    <w:rsid w:val="00637AD6"/>
    <w:rsid w:val="00640086"/>
    <w:rsid w:val="00640398"/>
    <w:rsid w:val="006407B8"/>
    <w:rsid w:val="00642111"/>
    <w:rsid w:val="00642832"/>
    <w:rsid w:val="00642BF8"/>
    <w:rsid w:val="00642C3F"/>
    <w:rsid w:val="006444A4"/>
    <w:rsid w:val="00645A1F"/>
    <w:rsid w:val="00645B20"/>
    <w:rsid w:val="00645C03"/>
    <w:rsid w:val="00646770"/>
    <w:rsid w:val="006476E7"/>
    <w:rsid w:val="00647C81"/>
    <w:rsid w:val="00650284"/>
    <w:rsid w:val="0065044A"/>
    <w:rsid w:val="006507A8"/>
    <w:rsid w:val="0065094E"/>
    <w:rsid w:val="006509E4"/>
    <w:rsid w:val="00650CF4"/>
    <w:rsid w:val="00652846"/>
    <w:rsid w:val="00653020"/>
    <w:rsid w:val="00653092"/>
    <w:rsid w:val="0065329E"/>
    <w:rsid w:val="006536C3"/>
    <w:rsid w:val="00654B06"/>
    <w:rsid w:val="00654D72"/>
    <w:rsid w:val="006556F6"/>
    <w:rsid w:val="0065578F"/>
    <w:rsid w:val="006559A9"/>
    <w:rsid w:val="00655F17"/>
    <w:rsid w:val="0065613B"/>
    <w:rsid w:val="0065643E"/>
    <w:rsid w:val="00656698"/>
    <w:rsid w:val="006573FB"/>
    <w:rsid w:val="00657C2D"/>
    <w:rsid w:val="00657F64"/>
    <w:rsid w:val="00660836"/>
    <w:rsid w:val="00660ACB"/>
    <w:rsid w:val="00660AE7"/>
    <w:rsid w:val="006620E6"/>
    <w:rsid w:val="006629E0"/>
    <w:rsid w:val="00662D26"/>
    <w:rsid w:val="006635E9"/>
    <w:rsid w:val="006637BC"/>
    <w:rsid w:val="006638EA"/>
    <w:rsid w:val="00663AFF"/>
    <w:rsid w:val="00664580"/>
    <w:rsid w:val="00664A13"/>
    <w:rsid w:val="00664F10"/>
    <w:rsid w:val="006652D2"/>
    <w:rsid w:val="006655D2"/>
    <w:rsid w:val="006660F8"/>
    <w:rsid w:val="006663C7"/>
    <w:rsid w:val="00666B29"/>
    <w:rsid w:val="006672B1"/>
    <w:rsid w:val="00667443"/>
    <w:rsid w:val="006679BF"/>
    <w:rsid w:val="006718D8"/>
    <w:rsid w:val="00671DA5"/>
    <w:rsid w:val="00673318"/>
    <w:rsid w:val="006737BA"/>
    <w:rsid w:val="00673894"/>
    <w:rsid w:val="006749C4"/>
    <w:rsid w:val="00675033"/>
    <w:rsid w:val="006750F9"/>
    <w:rsid w:val="006758E0"/>
    <w:rsid w:val="00676064"/>
    <w:rsid w:val="00676158"/>
    <w:rsid w:val="006762B4"/>
    <w:rsid w:val="00680423"/>
    <w:rsid w:val="006818D1"/>
    <w:rsid w:val="00681F37"/>
    <w:rsid w:val="006827B7"/>
    <w:rsid w:val="006834AF"/>
    <w:rsid w:val="00683DAE"/>
    <w:rsid w:val="00684D46"/>
    <w:rsid w:val="00684EA9"/>
    <w:rsid w:val="00684F41"/>
    <w:rsid w:val="00685F8B"/>
    <w:rsid w:val="006860CE"/>
    <w:rsid w:val="0068665A"/>
    <w:rsid w:val="006867D6"/>
    <w:rsid w:val="00686C36"/>
    <w:rsid w:val="00687488"/>
    <w:rsid w:val="006876C4"/>
    <w:rsid w:val="00687839"/>
    <w:rsid w:val="00687A8C"/>
    <w:rsid w:val="00687E9C"/>
    <w:rsid w:val="00690523"/>
    <w:rsid w:val="00690B14"/>
    <w:rsid w:val="00690EAE"/>
    <w:rsid w:val="00691471"/>
    <w:rsid w:val="006919D0"/>
    <w:rsid w:val="00691EB8"/>
    <w:rsid w:val="006920E7"/>
    <w:rsid w:val="00692D04"/>
    <w:rsid w:val="00693502"/>
    <w:rsid w:val="00694270"/>
    <w:rsid w:val="00694392"/>
    <w:rsid w:val="006952B5"/>
    <w:rsid w:val="006956D5"/>
    <w:rsid w:val="00696058"/>
    <w:rsid w:val="00696379"/>
    <w:rsid w:val="00696574"/>
    <w:rsid w:val="006965E5"/>
    <w:rsid w:val="00696CCE"/>
    <w:rsid w:val="00697F4C"/>
    <w:rsid w:val="00697FC0"/>
    <w:rsid w:val="006A0589"/>
    <w:rsid w:val="006A0939"/>
    <w:rsid w:val="006A16F8"/>
    <w:rsid w:val="006A1A6F"/>
    <w:rsid w:val="006A2806"/>
    <w:rsid w:val="006A40A8"/>
    <w:rsid w:val="006A4865"/>
    <w:rsid w:val="006A4C01"/>
    <w:rsid w:val="006A5252"/>
    <w:rsid w:val="006A5F52"/>
    <w:rsid w:val="006A5F7E"/>
    <w:rsid w:val="006A611A"/>
    <w:rsid w:val="006A63C1"/>
    <w:rsid w:val="006A67FC"/>
    <w:rsid w:val="006A6FA8"/>
    <w:rsid w:val="006A7136"/>
    <w:rsid w:val="006A739C"/>
    <w:rsid w:val="006A73B6"/>
    <w:rsid w:val="006A773D"/>
    <w:rsid w:val="006A7D9B"/>
    <w:rsid w:val="006B0C96"/>
    <w:rsid w:val="006B10B0"/>
    <w:rsid w:val="006B3FAF"/>
    <w:rsid w:val="006B4772"/>
    <w:rsid w:val="006B48F3"/>
    <w:rsid w:val="006B4C2D"/>
    <w:rsid w:val="006B4DB4"/>
    <w:rsid w:val="006B54F3"/>
    <w:rsid w:val="006B5CDC"/>
    <w:rsid w:val="006B7931"/>
    <w:rsid w:val="006C0AAA"/>
    <w:rsid w:val="006C0ADE"/>
    <w:rsid w:val="006C1168"/>
    <w:rsid w:val="006C14CA"/>
    <w:rsid w:val="006C1D83"/>
    <w:rsid w:val="006C2013"/>
    <w:rsid w:val="006C2813"/>
    <w:rsid w:val="006C2DD7"/>
    <w:rsid w:val="006C392B"/>
    <w:rsid w:val="006C3FFE"/>
    <w:rsid w:val="006C4A7B"/>
    <w:rsid w:val="006C5A02"/>
    <w:rsid w:val="006C5E92"/>
    <w:rsid w:val="006C5F48"/>
    <w:rsid w:val="006C693F"/>
    <w:rsid w:val="006C6D23"/>
    <w:rsid w:val="006C6E4C"/>
    <w:rsid w:val="006C7E49"/>
    <w:rsid w:val="006D0900"/>
    <w:rsid w:val="006D13EB"/>
    <w:rsid w:val="006D1646"/>
    <w:rsid w:val="006D2D48"/>
    <w:rsid w:val="006D3343"/>
    <w:rsid w:val="006D4EB9"/>
    <w:rsid w:val="006D62F6"/>
    <w:rsid w:val="006D635B"/>
    <w:rsid w:val="006D68E4"/>
    <w:rsid w:val="006D6A42"/>
    <w:rsid w:val="006D75B5"/>
    <w:rsid w:val="006D75F8"/>
    <w:rsid w:val="006D76FA"/>
    <w:rsid w:val="006D7AFC"/>
    <w:rsid w:val="006D7C90"/>
    <w:rsid w:val="006E0C83"/>
    <w:rsid w:val="006E0D50"/>
    <w:rsid w:val="006E1D33"/>
    <w:rsid w:val="006E2211"/>
    <w:rsid w:val="006E2472"/>
    <w:rsid w:val="006E28A2"/>
    <w:rsid w:val="006E2D2D"/>
    <w:rsid w:val="006E379C"/>
    <w:rsid w:val="006E3F7E"/>
    <w:rsid w:val="006E4551"/>
    <w:rsid w:val="006E5771"/>
    <w:rsid w:val="006E6A8E"/>
    <w:rsid w:val="006E6AE8"/>
    <w:rsid w:val="006E6CD4"/>
    <w:rsid w:val="006E74BA"/>
    <w:rsid w:val="006E7851"/>
    <w:rsid w:val="006E7A59"/>
    <w:rsid w:val="006E7AB4"/>
    <w:rsid w:val="006F08BB"/>
    <w:rsid w:val="006F1684"/>
    <w:rsid w:val="006F1756"/>
    <w:rsid w:val="006F18B0"/>
    <w:rsid w:val="006F26A2"/>
    <w:rsid w:val="006F289C"/>
    <w:rsid w:val="006F36A0"/>
    <w:rsid w:val="006F3FEF"/>
    <w:rsid w:val="006F4123"/>
    <w:rsid w:val="006F4998"/>
    <w:rsid w:val="006F4BE9"/>
    <w:rsid w:val="006F6C2A"/>
    <w:rsid w:val="006F7092"/>
    <w:rsid w:val="006F7D57"/>
    <w:rsid w:val="007014FD"/>
    <w:rsid w:val="00701733"/>
    <w:rsid w:val="00701AE3"/>
    <w:rsid w:val="00701E5E"/>
    <w:rsid w:val="00701FED"/>
    <w:rsid w:val="0070244A"/>
    <w:rsid w:val="00702C75"/>
    <w:rsid w:val="007030D6"/>
    <w:rsid w:val="007034AC"/>
    <w:rsid w:val="00703705"/>
    <w:rsid w:val="00703A99"/>
    <w:rsid w:val="0070445C"/>
    <w:rsid w:val="00704791"/>
    <w:rsid w:val="00704DAD"/>
    <w:rsid w:val="00706291"/>
    <w:rsid w:val="00706957"/>
    <w:rsid w:val="00707ADB"/>
    <w:rsid w:val="00710DA5"/>
    <w:rsid w:val="007117EA"/>
    <w:rsid w:val="007124E7"/>
    <w:rsid w:val="0071322E"/>
    <w:rsid w:val="00713312"/>
    <w:rsid w:val="00713362"/>
    <w:rsid w:val="007145E2"/>
    <w:rsid w:val="00714871"/>
    <w:rsid w:val="00714B19"/>
    <w:rsid w:val="00714E27"/>
    <w:rsid w:val="00715F36"/>
    <w:rsid w:val="00716D78"/>
    <w:rsid w:val="00717345"/>
    <w:rsid w:val="00720626"/>
    <w:rsid w:val="007220CF"/>
    <w:rsid w:val="007225ED"/>
    <w:rsid w:val="00723588"/>
    <w:rsid w:val="007238D0"/>
    <w:rsid w:val="00723B1B"/>
    <w:rsid w:val="0072420C"/>
    <w:rsid w:val="007245E3"/>
    <w:rsid w:val="00724606"/>
    <w:rsid w:val="0072512F"/>
    <w:rsid w:val="0072523F"/>
    <w:rsid w:val="00726FBA"/>
    <w:rsid w:val="0072751B"/>
    <w:rsid w:val="0073049C"/>
    <w:rsid w:val="00730E98"/>
    <w:rsid w:val="00731545"/>
    <w:rsid w:val="00731E65"/>
    <w:rsid w:val="00731FD6"/>
    <w:rsid w:val="00732AE8"/>
    <w:rsid w:val="007330CB"/>
    <w:rsid w:val="007334AD"/>
    <w:rsid w:val="00733579"/>
    <w:rsid w:val="00733584"/>
    <w:rsid w:val="0073377C"/>
    <w:rsid w:val="00733EBA"/>
    <w:rsid w:val="0073456F"/>
    <w:rsid w:val="007346C3"/>
    <w:rsid w:val="0073482A"/>
    <w:rsid w:val="0073509A"/>
    <w:rsid w:val="007360E1"/>
    <w:rsid w:val="007370B2"/>
    <w:rsid w:val="0073714C"/>
    <w:rsid w:val="007375E0"/>
    <w:rsid w:val="00737A8F"/>
    <w:rsid w:val="00737A9F"/>
    <w:rsid w:val="00737D30"/>
    <w:rsid w:val="00737DE3"/>
    <w:rsid w:val="007407FB"/>
    <w:rsid w:val="00740BB4"/>
    <w:rsid w:val="00742BD7"/>
    <w:rsid w:val="00742FDD"/>
    <w:rsid w:val="00743470"/>
    <w:rsid w:val="007437E4"/>
    <w:rsid w:val="00744858"/>
    <w:rsid w:val="00744D64"/>
    <w:rsid w:val="00745860"/>
    <w:rsid w:val="0074586D"/>
    <w:rsid w:val="00745995"/>
    <w:rsid w:val="00745BC4"/>
    <w:rsid w:val="00745D70"/>
    <w:rsid w:val="00745FEB"/>
    <w:rsid w:val="00746079"/>
    <w:rsid w:val="00746D2B"/>
    <w:rsid w:val="0074726A"/>
    <w:rsid w:val="007472F5"/>
    <w:rsid w:val="00747B92"/>
    <w:rsid w:val="00750293"/>
    <w:rsid w:val="00750490"/>
    <w:rsid w:val="007506BF"/>
    <w:rsid w:val="0075120C"/>
    <w:rsid w:val="00751518"/>
    <w:rsid w:val="00751567"/>
    <w:rsid w:val="00751592"/>
    <w:rsid w:val="0075174B"/>
    <w:rsid w:val="00751D02"/>
    <w:rsid w:val="007520FB"/>
    <w:rsid w:val="007521F2"/>
    <w:rsid w:val="00752CED"/>
    <w:rsid w:val="00752D3B"/>
    <w:rsid w:val="00753C31"/>
    <w:rsid w:val="007543BD"/>
    <w:rsid w:val="007544D5"/>
    <w:rsid w:val="00754AC9"/>
    <w:rsid w:val="00754B64"/>
    <w:rsid w:val="0075722B"/>
    <w:rsid w:val="00757767"/>
    <w:rsid w:val="0076068C"/>
    <w:rsid w:val="00760EB1"/>
    <w:rsid w:val="00761577"/>
    <w:rsid w:val="00761714"/>
    <w:rsid w:val="00761B90"/>
    <w:rsid w:val="00762019"/>
    <w:rsid w:val="007621F5"/>
    <w:rsid w:val="007625E9"/>
    <w:rsid w:val="0076420E"/>
    <w:rsid w:val="0076474C"/>
    <w:rsid w:val="007647AA"/>
    <w:rsid w:val="007649E7"/>
    <w:rsid w:val="007662C9"/>
    <w:rsid w:val="00767D3D"/>
    <w:rsid w:val="00770016"/>
    <w:rsid w:val="00770763"/>
    <w:rsid w:val="00770C41"/>
    <w:rsid w:val="00771155"/>
    <w:rsid w:val="007713F9"/>
    <w:rsid w:val="0077197B"/>
    <w:rsid w:val="007721B4"/>
    <w:rsid w:val="00772696"/>
    <w:rsid w:val="00772EE1"/>
    <w:rsid w:val="0077372E"/>
    <w:rsid w:val="00773D2D"/>
    <w:rsid w:val="007745D8"/>
    <w:rsid w:val="007757A2"/>
    <w:rsid w:val="00775C00"/>
    <w:rsid w:val="00775CA7"/>
    <w:rsid w:val="00775E9C"/>
    <w:rsid w:val="00776043"/>
    <w:rsid w:val="00777C29"/>
    <w:rsid w:val="00777E5A"/>
    <w:rsid w:val="007806F6"/>
    <w:rsid w:val="00780832"/>
    <w:rsid w:val="00780E7F"/>
    <w:rsid w:val="00782084"/>
    <w:rsid w:val="00782744"/>
    <w:rsid w:val="0078279B"/>
    <w:rsid w:val="00782AA0"/>
    <w:rsid w:val="00782F24"/>
    <w:rsid w:val="007838BD"/>
    <w:rsid w:val="00783D6C"/>
    <w:rsid w:val="00783D98"/>
    <w:rsid w:val="00783E56"/>
    <w:rsid w:val="007842F8"/>
    <w:rsid w:val="0078447A"/>
    <w:rsid w:val="00784957"/>
    <w:rsid w:val="00784C2B"/>
    <w:rsid w:val="00785127"/>
    <w:rsid w:val="00785676"/>
    <w:rsid w:val="00785A92"/>
    <w:rsid w:val="00785B8D"/>
    <w:rsid w:val="00787B71"/>
    <w:rsid w:val="00790117"/>
    <w:rsid w:val="00790773"/>
    <w:rsid w:val="00790F29"/>
    <w:rsid w:val="00792B80"/>
    <w:rsid w:val="00793CA4"/>
    <w:rsid w:val="00793D52"/>
    <w:rsid w:val="00794005"/>
    <w:rsid w:val="007943B0"/>
    <w:rsid w:val="007953D7"/>
    <w:rsid w:val="007954F0"/>
    <w:rsid w:val="00795BF8"/>
    <w:rsid w:val="00795ED0"/>
    <w:rsid w:val="00796323"/>
    <w:rsid w:val="007973AC"/>
    <w:rsid w:val="00797586"/>
    <w:rsid w:val="00797C1F"/>
    <w:rsid w:val="007A03A7"/>
    <w:rsid w:val="007A0FF0"/>
    <w:rsid w:val="007A1018"/>
    <w:rsid w:val="007A1570"/>
    <w:rsid w:val="007A1AE4"/>
    <w:rsid w:val="007A23C9"/>
    <w:rsid w:val="007A282A"/>
    <w:rsid w:val="007A2C1A"/>
    <w:rsid w:val="007A2E1A"/>
    <w:rsid w:val="007A36F7"/>
    <w:rsid w:val="007A3D31"/>
    <w:rsid w:val="007A5111"/>
    <w:rsid w:val="007A5147"/>
    <w:rsid w:val="007A54CF"/>
    <w:rsid w:val="007A61D4"/>
    <w:rsid w:val="007A6566"/>
    <w:rsid w:val="007A768C"/>
    <w:rsid w:val="007B094E"/>
    <w:rsid w:val="007B19A0"/>
    <w:rsid w:val="007B1A0B"/>
    <w:rsid w:val="007B1DC4"/>
    <w:rsid w:val="007B28F0"/>
    <w:rsid w:val="007B2D55"/>
    <w:rsid w:val="007B2F66"/>
    <w:rsid w:val="007B36A4"/>
    <w:rsid w:val="007B4033"/>
    <w:rsid w:val="007B476B"/>
    <w:rsid w:val="007B48AC"/>
    <w:rsid w:val="007B4D04"/>
    <w:rsid w:val="007B50CB"/>
    <w:rsid w:val="007B5AC6"/>
    <w:rsid w:val="007B5DCD"/>
    <w:rsid w:val="007B63EE"/>
    <w:rsid w:val="007B646D"/>
    <w:rsid w:val="007B699D"/>
    <w:rsid w:val="007B7291"/>
    <w:rsid w:val="007B768A"/>
    <w:rsid w:val="007B7747"/>
    <w:rsid w:val="007C018D"/>
    <w:rsid w:val="007C0DDC"/>
    <w:rsid w:val="007C1A7B"/>
    <w:rsid w:val="007C2464"/>
    <w:rsid w:val="007C2DDB"/>
    <w:rsid w:val="007C2FD9"/>
    <w:rsid w:val="007C3238"/>
    <w:rsid w:val="007C3498"/>
    <w:rsid w:val="007C3C91"/>
    <w:rsid w:val="007C3D0A"/>
    <w:rsid w:val="007C40C2"/>
    <w:rsid w:val="007C4571"/>
    <w:rsid w:val="007C49DA"/>
    <w:rsid w:val="007C5C06"/>
    <w:rsid w:val="007C6637"/>
    <w:rsid w:val="007C6B78"/>
    <w:rsid w:val="007C6CE3"/>
    <w:rsid w:val="007C6FA9"/>
    <w:rsid w:val="007C72AC"/>
    <w:rsid w:val="007C7313"/>
    <w:rsid w:val="007C74AA"/>
    <w:rsid w:val="007C752F"/>
    <w:rsid w:val="007C7F0A"/>
    <w:rsid w:val="007D0485"/>
    <w:rsid w:val="007D087E"/>
    <w:rsid w:val="007D1892"/>
    <w:rsid w:val="007D1C3D"/>
    <w:rsid w:val="007D1D9C"/>
    <w:rsid w:val="007D2198"/>
    <w:rsid w:val="007D21A4"/>
    <w:rsid w:val="007D22C8"/>
    <w:rsid w:val="007D23DF"/>
    <w:rsid w:val="007D2A26"/>
    <w:rsid w:val="007D2C64"/>
    <w:rsid w:val="007D2D73"/>
    <w:rsid w:val="007D2E2E"/>
    <w:rsid w:val="007D38B3"/>
    <w:rsid w:val="007D4327"/>
    <w:rsid w:val="007D4BD2"/>
    <w:rsid w:val="007D4E63"/>
    <w:rsid w:val="007D5128"/>
    <w:rsid w:val="007D5391"/>
    <w:rsid w:val="007D58EF"/>
    <w:rsid w:val="007D6A4B"/>
    <w:rsid w:val="007D6AD0"/>
    <w:rsid w:val="007D6C3F"/>
    <w:rsid w:val="007D7986"/>
    <w:rsid w:val="007D7FBE"/>
    <w:rsid w:val="007E0461"/>
    <w:rsid w:val="007E0CB5"/>
    <w:rsid w:val="007E1108"/>
    <w:rsid w:val="007E14B0"/>
    <w:rsid w:val="007E1610"/>
    <w:rsid w:val="007E1C06"/>
    <w:rsid w:val="007E2369"/>
    <w:rsid w:val="007E28B7"/>
    <w:rsid w:val="007E33FE"/>
    <w:rsid w:val="007E395A"/>
    <w:rsid w:val="007E440A"/>
    <w:rsid w:val="007E48E7"/>
    <w:rsid w:val="007E5F40"/>
    <w:rsid w:val="007E6009"/>
    <w:rsid w:val="007E63FB"/>
    <w:rsid w:val="007E6992"/>
    <w:rsid w:val="007E6B7B"/>
    <w:rsid w:val="007E6F26"/>
    <w:rsid w:val="007E74FF"/>
    <w:rsid w:val="007EACD2"/>
    <w:rsid w:val="007F0AAB"/>
    <w:rsid w:val="007F0D37"/>
    <w:rsid w:val="007F16EA"/>
    <w:rsid w:val="007F2305"/>
    <w:rsid w:val="007F291E"/>
    <w:rsid w:val="007F2A92"/>
    <w:rsid w:val="007F2DCD"/>
    <w:rsid w:val="007F35D2"/>
    <w:rsid w:val="007F37CB"/>
    <w:rsid w:val="007F3B4C"/>
    <w:rsid w:val="007F41AD"/>
    <w:rsid w:val="007F45A9"/>
    <w:rsid w:val="007F4D84"/>
    <w:rsid w:val="007F582C"/>
    <w:rsid w:val="007F5A2B"/>
    <w:rsid w:val="007F5A8C"/>
    <w:rsid w:val="007F5E94"/>
    <w:rsid w:val="007F636E"/>
    <w:rsid w:val="007F6EFD"/>
    <w:rsid w:val="007F7607"/>
    <w:rsid w:val="007F7A27"/>
    <w:rsid w:val="0080022C"/>
    <w:rsid w:val="00800E11"/>
    <w:rsid w:val="008015B0"/>
    <w:rsid w:val="0080205D"/>
    <w:rsid w:val="008026D2"/>
    <w:rsid w:val="00802ACD"/>
    <w:rsid w:val="00804A8F"/>
    <w:rsid w:val="00804D02"/>
    <w:rsid w:val="00805AE3"/>
    <w:rsid w:val="00805D2B"/>
    <w:rsid w:val="00805DBF"/>
    <w:rsid w:val="00807093"/>
    <w:rsid w:val="00807CDA"/>
    <w:rsid w:val="00807E97"/>
    <w:rsid w:val="0081025D"/>
    <w:rsid w:val="00810A6C"/>
    <w:rsid w:val="00810B78"/>
    <w:rsid w:val="00810EED"/>
    <w:rsid w:val="00811387"/>
    <w:rsid w:val="0081246C"/>
    <w:rsid w:val="00812965"/>
    <w:rsid w:val="00812EA7"/>
    <w:rsid w:val="0081310F"/>
    <w:rsid w:val="0081317E"/>
    <w:rsid w:val="00814998"/>
    <w:rsid w:val="00814B3E"/>
    <w:rsid w:val="00814E66"/>
    <w:rsid w:val="0081586B"/>
    <w:rsid w:val="00817536"/>
    <w:rsid w:val="00817BBC"/>
    <w:rsid w:val="008202A4"/>
    <w:rsid w:val="00820476"/>
    <w:rsid w:val="008204C6"/>
    <w:rsid w:val="00820F41"/>
    <w:rsid w:val="008210A5"/>
    <w:rsid w:val="008215DC"/>
    <w:rsid w:val="00821887"/>
    <w:rsid w:val="008221CD"/>
    <w:rsid w:val="008230A4"/>
    <w:rsid w:val="00823BFD"/>
    <w:rsid w:val="008244B9"/>
    <w:rsid w:val="00824709"/>
    <w:rsid w:val="008254E0"/>
    <w:rsid w:val="00825746"/>
    <w:rsid w:val="008273B6"/>
    <w:rsid w:val="008278D7"/>
    <w:rsid w:val="00827A87"/>
    <w:rsid w:val="00827D54"/>
    <w:rsid w:val="00827D65"/>
    <w:rsid w:val="00827E4A"/>
    <w:rsid w:val="00832133"/>
    <w:rsid w:val="0083222D"/>
    <w:rsid w:val="008328EC"/>
    <w:rsid w:val="008329AC"/>
    <w:rsid w:val="008336CE"/>
    <w:rsid w:val="008342C7"/>
    <w:rsid w:val="008350BB"/>
    <w:rsid w:val="0083538D"/>
    <w:rsid w:val="00835B2C"/>
    <w:rsid w:val="00835BD3"/>
    <w:rsid w:val="00836EA3"/>
    <w:rsid w:val="0083761C"/>
    <w:rsid w:val="00837A48"/>
    <w:rsid w:val="00837A67"/>
    <w:rsid w:val="00837BFC"/>
    <w:rsid w:val="008404EB"/>
    <w:rsid w:val="008405AC"/>
    <w:rsid w:val="00840A52"/>
    <w:rsid w:val="00840DE0"/>
    <w:rsid w:val="0084122D"/>
    <w:rsid w:val="0084227A"/>
    <w:rsid w:val="008424B7"/>
    <w:rsid w:val="008440C8"/>
    <w:rsid w:val="00844556"/>
    <w:rsid w:val="00844592"/>
    <w:rsid w:val="00844B36"/>
    <w:rsid w:val="00845A56"/>
    <w:rsid w:val="008460D1"/>
    <w:rsid w:val="008460F6"/>
    <w:rsid w:val="008462AB"/>
    <w:rsid w:val="0084632B"/>
    <w:rsid w:val="00846689"/>
    <w:rsid w:val="008474EF"/>
    <w:rsid w:val="0084752B"/>
    <w:rsid w:val="008479F2"/>
    <w:rsid w:val="00847EC4"/>
    <w:rsid w:val="0084B063"/>
    <w:rsid w:val="008505FA"/>
    <w:rsid w:val="00851138"/>
    <w:rsid w:val="00851781"/>
    <w:rsid w:val="00851A51"/>
    <w:rsid w:val="00851CBE"/>
    <w:rsid w:val="00851F0F"/>
    <w:rsid w:val="00852A8C"/>
    <w:rsid w:val="00852A98"/>
    <w:rsid w:val="00853D4C"/>
    <w:rsid w:val="0085445B"/>
    <w:rsid w:val="00855C80"/>
    <w:rsid w:val="00856545"/>
    <w:rsid w:val="00856C41"/>
    <w:rsid w:val="0085759E"/>
    <w:rsid w:val="00860D82"/>
    <w:rsid w:val="00861855"/>
    <w:rsid w:val="00862472"/>
    <w:rsid w:val="008626EA"/>
    <w:rsid w:val="00862A92"/>
    <w:rsid w:val="00862D6E"/>
    <w:rsid w:val="00863804"/>
    <w:rsid w:val="00863A14"/>
    <w:rsid w:val="00863A80"/>
    <w:rsid w:val="00864C09"/>
    <w:rsid w:val="0086528F"/>
    <w:rsid w:val="00865748"/>
    <w:rsid w:val="008666E5"/>
    <w:rsid w:val="0086670C"/>
    <w:rsid w:val="008667E1"/>
    <w:rsid w:val="008667F0"/>
    <w:rsid w:val="00866963"/>
    <w:rsid w:val="00866B98"/>
    <w:rsid w:val="00866CF5"/>
    <w:rsid w:val="00867325"/>
    <w:rsid w:val="0086754F"/>
    <w:rsid w:val="00870281"/>
    <w:rsid w:val="00870615"/>
    <w:rsid w:val="008711E7"/>
    <w:rsid w:val="00871CD1"/>
    <w:rsid w:val="00871DB1"/>
    <w:rsid w:val="008726BC"/>
    <w:rsid w:val="0087285C"/>
    <w:rsid w:val="0087328E"/>
    <w:rsid w:val="00874198"/>
    <w:rsid w:val="00874636"/>
    <w:rsid w:val="00874C45"/>
    <w:rsid w:val="00874F76"/>
    <w:rsid w:val="008751F2"/>
    <w:rsid w:val="00875734"/>
    <w:rsid w:val="008763A5"/>
    <w:rsid w:val="008765D5"/>
    <w:rsid w:val="00876793"/>
    <w:rsid w:val="00876BFE"/>
    <w:rsid w:val="00877AF9"/>
    <w:rsid w:val="00877E6E"/>
    <w:rsid w:val="0088046B"/>
    <w:rsid w:val="008804C8"/>
    <w:rsid w:val="008811D8"/>
    <w:rsid w:val="008812BB"/>
    <w:rsid w:val="00881325"/>
    <w:rsid w:val="00881D48"/>
    <w:rsid w:val="00881D49"/>
    <w:rsid w:val="00881DE1"/>
    <w:rsid w:val="00881F66"/>
    <w:rsid w:val="0088209B"/>
    <w:rsid w:val="00882FE7"/>
    <w:rsid w:val="00884DB7"/>
    <w:rsid w:val="00885293"/>
    <w:rsid w:val="0088552B"/>
    <w:rsid w:val="008855BA"/>
    <w:rsid w:val="00885625"/>
    <w:rsid w:val="00885ED5"/>
    <w:rsid w:val="008860A2"/>
    <w:rsid w:val="00886561"/>
    <w:rsid w:val="0088659A"/>
    <w:rsid w:val="0088665A"/>
    <w:rsid w:val="0088675A"/>
    <w:rsid w:val="0088685D"/>
    <w:rsid w:val="00886A01"/>
    <w:rsid w:val="00886E65"/>
    <w:rsid w:val="008878A8"/>
    <w:rsid w:val="0089003B"/>
    <w:rsid w:val="00891180"/>
    <w:rsid w:val="0089306A"/>
    <w:rsid w:val="00893A77"/>
    <w:rsid w:val="00893C33"/>
    <w:rsid w:val="00893D41"/>
    <w:rsid w:val="00894C46"/>
    <w:rsid w:val="00894E50"/>
    <w:rsid w:val="00895BA6"/>
    <w:rsid w:val="00895CDC"/>
    <w:rsid w:val="008962EB"/>
    <w:rsid w:val="00896F28"/>
    <w:rsid w:val="00897156"/>
    <w:rsid w:val="00897C45"/>
    <w:rsid w:val="008A15BA"/>
    <w:rsid w:val="008A1C04"/>
    <w:rsid w:val="008A3034"/>
    <w:rsid w:val="008A3041"/>
    <w:rsid w:val="008A3E9B"/>
    <w:rsid w:val="008A40D9"/>
    <w:rsid w:val="008A495F"/>
    <w:rsid w:val="008A5796"/>
    <w:rsid w:val="008A5CCF"/>
    <w:rsid w:val="008A5DB5"/>
    <w:rsid w:val="008A6DA9"/>
    <w:rsid w:val="008A6F4E"/>
    <w:rsid w:val="008B0D21"/>
    <w:rsid w:val="008B1232"/>
    <w:rsid w:val="008B2B4F"/>
    <w:rsid w:val="008B2DB2"/>
    <w:rsid w:val="008B4419"/>
    <w:rsid w:val="008B47FB"/>
    <w:rsid w:val="008B52DD"/>
    <w:rsid w:val="008B54DE"/>
    <w:rsid w:val="008B5533"/>
    <w:rsid w:val="008B56D2"/>
    <w:rsid w:val="008B592E"/>
    <w:rsid w:val="008B5989"/>
    <w:rsid w:val="008B5992"/>
    <w:rsid w:val="008B5D36"/>
    <w:rsid w:val="008B5E7F"/>
    <w:rsid w:val="008B62C9"/>
    <w:rsid w:val="008B715D"/>
    <w:rsid w:val="008B71A9"/>
    <w:rsid w:val="008B722F"/>
    <w:rsid w:val="008B7C99"/>
    <w:rsid w:val="008C0441"/>
    <w:rsid w:val="008C071B"/>
    <w:rsid w:val="008C0A34"/>
    <w:rsid w:val="008C0EFC"/>
    <w:rsid w:val="008C13C1"/>
    <w:rsid w:val="008C15CF"/>
    <w:rsid w:val="008C1DE4"/>
    <w:rsid w:val="008C2357"/>
    <w:rsid w:val="008C2B0C"/>
    <w:rsid w:val="008C3EC9"/>
    <w:rsid w:val="008C44F5"/>
    <w:rsid w:val="008C45E0"/>
    <w:rsid w:val="008C462E"/>
    <w:rsid w:val="008C4701"/>
    <w:rsid w:val="008C5393"/>
    <w:rsid w:val="008C55B5"/>
    <w:rsid w:val="008C57E8"/>
    <w:rsid w:val="008C5F22"/>
    <w:rsid w:val="008C5FAB"/>
    <w:rsid w:val="008C65C1"/>
    <w:rsid w:val="008C72A8"/>
    <w:rsid w:val="008C73A2"/>
    <w:rsid w:val="008D01FB"/>
    <w:rsid w:val="008D0988"/>
    <w:rsid w:val="008D0E8C"/>
    <w:rsid w:val="008D22DB"/>
    <w:rsid w:val="008D2B25"/>
    <w:rsid w:val="008D34CA"/>
    <w:rsid w:val="008D3513"/>
    <w:rsid w:val="008D363B"/>
    <w:rsid w:val="008D428E"/>
    <w:rsid w:val="008D4357"/>
    <w:rsid w:val="008D53CC"/>
    <w:rsid w:val="008D5600"/>
    <w:rsid w:val="008D6627"/>
    <w:rsid w:val="008D6AAB"/>
    <w:rsid w:val="008D6E36"/>
    <w:rsid w:val="008D6E75"/>
    <w:rsid w:val="008D760E"/>
    <w:rsid w:val="008D7A27"/>
    <w:rsid w:val="008E052A"/>
    <w:rsid w:val="008E0680"/>
    <w:rsid w:val="008E0FF4"/>
    <w:rsid w:val="008E1531"/>
    <w:rsid w:val="008E1A8B"/>
    <w:rsid w:val="008E2FA0"/>
    <w:rsid w:val="008E3972"/>
    <w:rsid w:val="008E3A74"/>
    <w:rsid w:val="008E45D1"/>
    <w:rsid w:val="008E4808"/>
    <w:rsid w:val="008E5580"/>
    <w:rsid w:val="008E564E"/>
    <w:rsid w:val="008E5A90"/>
    <w:rsid w:val="008E6942"/>
    <w:rsid w:val="008E6EB5"/>
    <w:rsid w:val="008E7394"/>
    <w:rsid w:val="008E7631"/>
    <w:rsid w:val="008E7AC5"/>
    <w:rsid w:val="008E7EA2"/>
    <w:rsid w:val="008F05CD"/>
    <w:rsid w:val="008F0AE9"/>
    <w:rsid w:val="008F0B46"/>
    <w:rsid w:val="008F0E1C"/>
    <w:rsid w:val="008F11DD"/>
    <w:rsid w:val="008F13CC"/>
    <w:rsid w:val="008F24F5"/>
    <w:rsid w:val="008F287E"/>
    <w:rsid w:val="008F2A20"/>
    <w:rsid w:val="008F2BE0"/>
    <w:rsid w:val="008F2F88"/>
    <w:rsid w:val="008F3A4A"/>
    <w:rsid w:val="008F3D4F"/>
    <w:rsid w:val="008F4754"/>
    <w:rsid w:val="008F49BC"/>
    <w:rsid w:val="008F49D8"/>
    <w:rsid w:val="008F5195"/>
    <w:rsid w:val="008F5B9A"/>
    <w:rsid w:val="008F6741"/>
    <w:rsid w:val="008F6773"/>
    <w:rsid w:val="008F677F"/>
    <w:rsid w:val="008F679D"/>
    <w:rsid w:val="008F7047"/>
    <w:rsid w:val="008F70B2"/>
    <w:rsid w:val="008F7192"/>
    <w:rsid w:val="008F7E47"/>
    <w:rsid w:val="009003D9"/>
    <w:rsid w:val="009006D7"/>
    <w:rsid w:val="0090090E"/>
    <w:rsid w:val="00900EEE"/>
    <w:rsid w:val="009011FC"/>
    <w:rsid w:val="00901996"/>
    <w:rsid w:val="00903034"/>
    <w:rsid w:val="0090316F"/>
    <w:rsid w:val="00903341"/>
    <w:rsid w:val="00903A06"/>
    <w:rsid w:val="00903E11"/>
    <w:rsid w:val="009044F1"/>
    <w:rsid w:val="00904539"/>
    <w:rsid w:val="00904667"/>
    <w:rsid w:val="0090577C"/>
    <w:rsid w:val="00905B19"/>
    <w:rsid w:val="00905F41"/>
    <w:rsid w:val="00906276"/>
    <w:rsid w:val="00906967"/>
    <w:rsid w:val="00906BBD"/>
    <w:rsid w:val="00907152"/>
    <w:rsid w:val="0090730A"/>
    <w:rsid w:val="00910E54"/>
    <w:rsid w:val="00912417"/>
    <w:rsid w:val="009124D2"/>
    <w:rsid w:val="00913966"/>
    <w:rsid w:val="00914095"/>
    <w:rsid w:val="0091473F"/>
    <w:rsid w:val="00915572"/>
    <w:rsid w:val="00915B65"/>
    <w:rsid w:val="00916382"/>
    <w:rsid w:val="009170AA"/>
    <w:rsid w:val="00917451"/>
    <w:rsid w:val="00917A08"/>
    <w:rsid w:val="00917AAE"/>
    <w:rsid w:val="00917CB7"/>
    <w:rsid w:val="00917EC4"/>
    <w:rsid w:val="009206B2"/>
    <w:rsid w:val="00920AEB"/>
    <w:rsid w:val="009213BB"/>
    <w:rsid w:val="00921528"/>
    <w:rsid w:val="0092163E"/>
    <w:rsid w:val="00921704"/>
    <w:rsid w:val="0092177E"/>
    <w:rsid w:val="00921958"/>
    <w:rsid w:val="009219F0"/>
    <w:rsid w:val="00921DAF"/>
    <w:rsid w:val="009223BF"/>
    <w:rsid w:val="0092277B"/>
    <w:rsid w:val="009230DE"/>
    <w:rsid w:val="00923416"/>
    <w:rsid w:val="009237C0"/>
    <w:rsid w:val="009242B2"/>
    <w:rsid w:val="00924E0D"/>
    <w:rsid w:val="00924F18"/>
    <w:rsid w:val="00925C6F"/>
    <w:rsid w:val="00925DD8"/>
    <w:rsid w:val="009260D0"/>
    <w:rsid w:val="009264D8"/>
    <w:rsid w:val="00926551"/>
    <w:rsid w:val="00926C8E"/>
    <w:rsid w:val="00930240"/>
    <w:rsid w:val="00930D7D"/>
    <w:rsid w:val="00931273"/>
    <w:rsid w:val="00931324"/>
    <w:rsid w:val="0093180D"/>
    <w:rsid w:val="00931E92"/>
    <w:rsid w:val="00933525"/>
    <w:rsid w:val="009336A9"/>
    <w:rsid w:val="00935240"/>
    <w:rsid w:val="0093632C"/>
    <w:rsid w:val="009367E9"/>
    <w:rsid w:val="00937BB4"/>
    <w:rsid w:val="00937CFD"/>
    <w:rsid w:val="00937D02"/>
    <w:rsid w:val="00937F90"/>
    <w:rsid w:val="009401A6"/>
    <w:rsid w:val="009401E7"/>
    <w:rsid w:val="009402EF"/>
    <w:rsid w:val="009405F9"/>
    <w:rsid w:val="00940C0A"/>
    <w:rsid w:val="00941020"/>
    <w:rsid w:val="00941C81"/>
    <w:rsid w:val="009420B3"/>
    <w:rsid w:val="00942455"/>
    <w:rsid w:val="0094300F"/>
    <w:rsid w:val="0094314E"/>
    <w:rsid w:val="009436E0"/>
    <w:rsid w:val="00943BB6"/>
    <w:rsid w:val="009442A0"/>
    <w:rsid w:val="00944415"/>
    <w:rsid w:val="0094468A"/>
    <w:rsid w:val="009453D9"/>
    <w:rsid w:val="00945B13"/>
    <w:rsid w:val="00946390"/>
    <w:rsid w:val="009466B8"/>
    <w:rsid w:val="00947780"/>
    <w:rsid w:val="0094795E"/>
    <w:rsid w:val="00947BB5"/>
    <w:rsid w:val="00947FBD"/>
    <w:rsid w:val="00950FF1"/>
    <w:rsid w:val="0095226C"/>
    <w:rsid w:val="009522C2"/>
    <w:rsid w:val="009527E9"/>
    <w:rsid w:val="00952D79"/>
    <w:rsid w:val="00952E25"/>
    <w:rsid w:val="00953497"/>
    <w:rsid w:val="0095473F"/>
    <w:rsid w:val="00955505"/>
    <w:rsid w:val="009556DF"/>
    <w:rsid w:val="00955A9A"/>
    <w:rsid w:val="00955BEF"/>
    <w:rsid w:val="009563C6"/>
    <w:rsid w:val="00956762"/>
    <w:rsid w:val="0095693F"/>
    <w:rsid w:val="00956D33"/>
    <w:rsid w:val="00957183"/>
    <w:rsid w:val="00957371"/>
    <w:rsid w:val="0095738C"/>
    <w:rsid w:val="00957489"/>
    <w:rsid w:val="0095785D"/>
    <w:rsid w:val="00957929"/>
    <w:rsid w:val="00960150"/>
    <w:rsid w:val="0096068C"/>
    <w:rsid w:val="009606A0"/>
    <w:rsid w:val="0096160A"/>
    <w:rsid w:val="00963912"/>
    <w:rsid w:val="00963A97"/>
    <w:rsid w:val="00965179"/>
    <w:rsid w:val="009659FB"/>
    <w:rsid w:val="00965B86"/>
    <w:rsid w:val="00965FBC"/>
    <w:rsid w:val="00965FE6"/>
    <w:rsid w:val="00966172"/>
    <w:rsid w:val="00967589"/>
    <w:rsid w:val="00967D51"/>
    <w:rsid w:val="009716E5"/>
    <w:rsid w:val="0097191B"/>
    <w:rsid w:val="00972469"/>
    <w:rsid w:val="009728C5"/>
    <w:rsid w:val="00973B90"/>
    <w:rsid w:val="00973DD3"/>
    <w:rsid w:val="00973F31"/>
    <w:rsid w:val="0097592D"/>
    <w:rsid w:val="00975B47"/>
    <w:rsid w:val="00975D2D"/>
    <w:rsid w:val="00976068"/>
    <w:rsid w:val="00977899"/>
    <w:rsid w:val="009813EE"/>
    <w:rsid w:val="00981773"/>
    <w:rsid w:val="009824E9"/>
    <w:rsid w:val="00982B50"/>
    <w:rsid w:val="00982EBF"/>
    <w:rsid w:val="0098347E"/>
    <w:rsid w:val="00983758"/>
    <w:rsid w:val="009837FE"/>
    <w:rsid w:val="00983F2E"/>
    <w:rsid w:val="00984089"/>
    <w:rsid w:val="009854B2"/>
    <w:rsid w:val="00985D55"/>
    <w:rsid w:val="00986510"/>
    <w:rsid w:val="00986707"/>
    <w:rsid w:val="009867A9"/>
    <w:rsid w:val="00986C63"/>
    <w:rsid w:val="009871E3"/>
    <w:rsid w:val="00987225"/>
    <w:rsid w:val="0098738B"/>
    <w:rsid w:val="009873D3"/>
    <w:rsid w:val="00987AE2"/>
    <w:rsid w:val="00987EA7"/>
    <w:rsid w:val="00990688"/>
    <w:rsid w:val="00991139"/>
    <w:rsid w:val="00992457"/>
    <w:rsid w:val="009924F2"/>
    <w:rsid w:val="009927EC"/>
    <w:rsid w:val="00993225"/>
    <w:rsid w:val="00993943"/>
    <w:rsid w:val="00993AB2"/>
    <w:rsid w:val="00993DB0"/>
    <w:rsid w:val="009945D1"/>
    <w:rsid w:val="00994B0A"/>
    <w:rsid w:val="00995052"/>
    <w:rsid w:val="009952F5"/>
    <w:rsid w:val="00995602"/>
    <w:rsid w:val="00995704"/>
    <w:rsid w:val="009958BD"/>
    <w:rsid w:val="0099659C"/>
    <w:rsid w:val="00997949"/>
    <w:rsid w:val="00997B21"/>
    <w:rsid w:val="00997F8D"/>
    <w:rsid w:val="009A03EB"/>
    <w:rsid w:val="009A0633"/>
    <w:rsid w:val="009A093A"/>
    <w:rsid w:val="009A09D7"/>
    <w:rsid w:val="009A0ABC"/>
    <w:rsid w:val="009A0DF8"/>
    <w:rsid w:val="009A18FA"/>
    <w:rsid w:val="009A1B85"/>
    <w:rsid w:val="009A1D00"/>
    <w:rsid w:val="009A1F31"/>
    <w:rsid w:val="009A216A"/>
    <w:rsid w:val="009A22A2"/>
    <w:rsid w:val="009A269F"/>
    <w:rsid w:val="009A2C67"/>
    <w:rsid w:val="009A2C81"/>
    <w:rsid w:val="009A38E8"/>
    <w:rsid w:val="009A390F"/>
    <w:rsid w:val="009A4751"/>
    <w:rsid w:val="009A492E"/>
    <w:rsid w:val="009A4B3C"/>
    <w:rsid w:val="009A4DB9"/>
    <w:rsid w:val="009A5263"/>
    <w:rsid w:val="009A5BEC"/>
    <w:rsid w:val="009A606D"/>
    <w:rsid w:val="009A611F"/>
    <w:rsid w:val="009A6DE3"/>
    <w:rsid w:val="009B061D"/>
    <w:rsid w:val="009B1789"/>
    <w:rsid w:val="009B1DB4"/>
    <w:rsid w:val="009B1E4A"/>
    <w:rsid w:val="009B23D5"/>
    <w:rsid w:val="009B2BC5"/>
    <w:rsid w:val="009B335C"/>
    <w:rsid w:val="009B3A95"/>
    <w:rsid w:val="009B3D31"/>
    <w:rsid w:val="009B4441"/>
    <w:rsid w:val="009B55BB"/>
    <w:rsid w:val="009B5FC8"/>
    <w:rsid w:val="009B6E93"/>
    <w:rsid w:val="009B722B"/>
    <w:rsid w:val="009B78E1"/>
    <w:rsid w:val="009C0016"/>
    <w:rsid w:val="009C0129"/>
    <w:rsid w:val="009C066D"/>
    <w:rsid w:val="009C13EA"/>
    <w:rsid w:val="009C1DB8"/>
    <w:rsid w:val="009C214C"/>
    <w:rsid w:val="009C224F"/>
    <w:rsid w:val="009C3348"/>
    <w:rsid w:val="009C335D"/>
    <w:rsid w:val="009C387D"/>
    <w:rsid w:val="009C3FBE"/>
    <w:rsid w:val="009C4003"/>
    <w:rsid w:val="009C45B8"/>
    <w:rsid w:val="009C4A6F"/>
    <w:rsid w:val="009C4BC4"/>
    <w:rsid w:val="009C4DE4"/>
    <w:rsid w:val="009C5351"/>
    <w:rsid w:val="009C6C44"/>
    <w:rsid w:val="009C6DB3"/>
    <w:rsid w:val="009C75DA"/>
    <w:rsid w:val="009C7823"/>
    <w:rsid w:val="009C7851"/>
    <w:rsid w:val="009C7EA6"/>
    <w:rsid w:val="009D001E"/>
    <w:rsid w:val="009D020C"/>
    <w:rsid w:val="009D08FD"/>
    <w:rsid w:val="009D1493"/>
    <w:rsid w:val="009D1710"/>
    <w:rsid w:val="009D2288"/>
    <w:rsid w:val="009D27D1"/>
    <w:rsid w:val="009D2AF3"/>
    <w:rsid w:val="009D2BD6"/>
    <w:rsid w:val="009D2F63"/>
    <w:rsid w:val="009D375B"/>
    <w:rsid w:val="009D5136"/>
    <w:rsid w:val="009D540E"/>
    <w:rsid w:val="009D5775"/>
    <w:rsid w:val="009D5BE0"/>
    <w:rsid w:val="009D601C"/>
    <w:rsid w:val="009D6D7C"/>
    <w:rsid w:val="009D7D75"/>
    <w:rsid w:val="009D7E21"/>
    <w:rsid w:val="009E01AE"/>
    <w:rsid w:val="009E02BC"/>
    <w:rsid w:val="009E043E"/>
    <w:rsid w:val="009E0ACE"/>
    <w:rsid w:val="009E1CA1"/>
    <w:rsid w:val="009E2B5E"/>
    <w:rsid w:val="009E2DE6"/>
    <w:rsid w:val="009E4677"/>
    <w:rsid w:val="009E4A1D"/>
    <w:rsid w:val="009E5618"/>
    <w:rsid w:val="009E5947"/>
    <w:rsid w:val="009E5DDE"/>
    <w:rsid w:val="009E6173"/>
    <w:rsid w:val="009E695E"/>
    <w:rsid w:val="009E7AB1"/>
    <w:rsid w:val="009E7B03"/>
    <w:rsid w:val="009F0314"/>
    <w:rsid w:val="009F0840"/>
    <w:rsid w:val="009F1C78"/>
    <w:rsid w:val="009F42B5"/>
    <w:rsid w:val="009F599C"/>
    <w:rsid w:val="009F5DDC"/>
    <w:rsid w:val="009F6612"/>
    <w:rsid w:val="009F6727"/>
    <w:rsid w:val="009F6BF3"/>
    <w:rsid w:val="009F6F11"/>
    <w:rsid w:val="009F7092"/>
    <w:rsid w:val="009F7727"/>
    <w:rsid w:val="009F7936"/>
    <w:rsid w:val="009F7C68"/>
    <w:rsid w:val="00A00549"/>
    <w:rsid w:val="00A00E25"/>
    <w:rsid w:val="00A017EA"/>
    <w:rsid w:val="00A02529"/>
    <w:rsid w:val="00A0278E"/>
    <w:rsid w:val="00A02A15"/>
    <w:rsid w:val="00A03DC7"/>
    <w:rsid w:val="00A0402B"/>
    <w:rsid w:val="00A044E4"/>
    <w:rsid w:val="00A050F6"/>
    <w:rsid w:val="00A052F5"/>
    <w:rsid w:val="00A054D0"/>
    <w:rsid w:val="00A076E3"/>
    <w:rsid w:val="00A07A03"/>
    <w:rsid w:val="00A07DC9"/>
    <w:rsid w:val="00A10056"/>
    <w:rsid w:val="00A112C9"/>
    <w:rsid w:val="00A11DB7"/>
    <w:rsid w:val="00A125F5"/>
    <w:rsid w:val="00A12DC0"/>
    <w:rsid w:val="00A138D8"/>
    <w:rsid w:val="00A14CED"/>
    <w:rsid w:val="00A14E65"/>
    <w:rsid w:val="00A155F4"/>
    <w:rsid w:val="00A15A4D"/>
    <w:rsid w:val="00A15BFF"/>
    <w:rsid w:val="00A16732"/>
    <w:rsid w:val="00A17B5A"/>
    <w:rsid w:val="00A17D52"/>
    <w:rsid w:val="00A17E48"/>
    <w:rsid w:val="00A204DE"/>
    <w:rsid w:val="00A209A4"/>
    <w:rsid w:val="00A21012"/>
    <w:rsid w:val="00A2109B"/>
    <w:rsid w:val="00A211FF"/>
    <w:rsid w:val="00A21AC0"/>
    <w:rsid w:val="00A21BFA"/>
    <w:rsid w:val="00A21F1C"/>
    <w:rsid w:val="00A2214E"/>
    <w:rsid w:val="00A22300"/>
    <w:rsid w:val="00A22929"/>
    <w:rsid w:val="00A23D70"/>
    <w:rsid w:val="00A23F5B"/>
    <w:rsid w:val="00A266D7"/>
    <w:rsid w:val="00A27606"/>
    <w:rsid w:val="00A27B21"/>
    <w:rsid w:val="00A30F83"/>
    <w:rsid w:val="00A311D4"/>
    <w:rsid w:val="00A313D3"/>
    <w:rsid w:val="00A31532"/>
    <w:rsid w:val="00A3201A"/>
    <w:rsid w:val="00A3209B"/>
    <w:rsid w:val="00A322D8"/>
    <w:rsid w:val="00A335AD"/>
    <w:rsid w:val="00A33E0A"/>
    <w:rsid w:val="00A34100"/>
    <w:rsid w:val="00A3420B"/>
    <w:rsid w:val="00A34E6A"/>
    <w:rsid w:val="00A34F3F"/>
    <w:rsid w:val="00A34FF6"/>
    <w:rsid w:val="00A354F4"/>
    <w:rsid w:val="00A36274"/>
    <w:rsid w:val="00A3699D"/>
    <w:rsid w:val="00A36DAB"/>
    <w:rsid w:val="00A36F2F"/>
    <w:rsid w:val="00A40AEF"/>
    <w:rsid w:val="00A415F6"/>
    <w:rsid w:val="00A41DAD"/>
    <w:rsid w:val="00A421E4"/>
    <w:rsid w:val="00A429AF"/>
    <w:rsid w:val="00A433F6"/>
    <w:rsid w:val="00A43EE7"/>
    <w:rsid w:val="00A443E9"/>
    <w:rsid w:val="00A445C3"/>
    <w:rsid w:val="00A44DB0"/>
    <w:rsid w:val="00A4511E"/>
    <w:rsid w:val="00A45A8F"/>
    <w:rsid w:val="00A4662A"/>
    <w:rsid w:val="00A46A0C"/>
    <w:rsid w:val="00A50DA8"/>
    <w:rsid w:val="00A523DE"/>
    <w:rsid w:val="00A52579"/>
    <w:rsid w:val="00A52A71"/>
    <w:rsid w:val="00A52C0E"/>
    <w:rsid w:val="00A552DA"/>
    <w:rsid w:val="00A557DF"/>
    <w:rsid w:val="00A56191"/>
    <w:rsid w:val="00A56459"/>
    <w:rsid w:val="00A56A8D"/>
    <w:rsid w:val="00A56D41"/>
    <w:rsid w:val="00A57A5C"/>
    <w:rsid w:val="00A57A71"/>
    <w:rsid w:val="00A57AEB"/>
    <w:rsid w:val="00A60CFE"/>
    <w:rsid w:val="00A623F1"/>
    <w:rsid w:val="00A6252D"/>
    <w:rsid w:val="00A628DA"/>
    <w:rsid w:val="00A631AB"/>
    <w:rsid w:val="00A6340E"/>
    <w:rsid w:val="00A63DA3"/>
    <w:rsid w:val="00A64226"/>
    <w:rsid w:val="00A64AEE"/>
    <w:rsid w:val="00A6574C"/>
    <w:rsid w:val="00A6613F"/>
    <w:rsid w:val="00A66CF2"/>
    <w:rsid w:val="00A67023"/>
    <w:rsid w:val="00A670FC"/>
    <w:rsid w:val="00A672F7"/>
    <w:rsid w:val="00A67658"/>
    <w:rsid w:val="00A67683"/>
    <w:rsid w:val="00A67DAE"/>
    <w:rsid w:val="00A67EAB"/>
    <w:rsid w:val="00A67F16"/>
    <w:rsid w:val="00A70802"/>
    <w:rsid w:val="00A70A02"/>
    <w:rsid w:val="00A70EF7"/>
    <w:rsid w:val="00A70F55"/>
    <w:rsid w:val="00A71147"/>
    <w:rsid w:val="00A715D4"/>
    <w:rsid w:val="00A7191C"/>
    <w:rsid w:val="00A71E41"/>
    <w:rsid w:val="00A72A85"/>
    <w:rsid w:val="00A72BEF"/>
    <w:rsid w:val="00A730F4"/>
    <w:rsid w:val="00A73344"/>
    <w:rsid w:val="00A73CA1"/>
    <w:rsid w:val="00A73CBF"/>
    <w:rsid w:val="00A7412A"/>
    <w:rsid w:val="00A757CA"/>
    <w:rsid w:val="00A75C3E"/>
    <w:rsid w:val="00A76D17"/>
    <w:rsid w:val="00A7712C"/>
    <w:rsid w:val="00A7779B"/>
    <w:rsid w:val="00A77DAC"/>
    <w:rsid w:val="00A80575"/>
    <w:rsid w:val="00A8085C"/>
    <w:rsid w:val="00A808A9"/>
    <w:rsid w:val="00A80D37"/>
    <w:rsid w:val="00A80ED4"/>
    <w:rsid w:val="00A819A4"/>
    <w:rsid w:val="00A819F2"/>
    <w:rsid w:val="00A82149"/>
    <w:rsid w:val="00A8223D"/>
    <w:rsid w:val="00A82D95"/>
    <w:rsid w:val="00A83114"/>
    <w:rsid w:val="00A83539"/>
    <w:rsid w:val="00A83734"/>
    <w:rsid w:val="00A8374C"/>
    <w:rsid w:val="00A8394C"/>
    <w:rsid w:val="00A839F5"/>
    <w:rsid w:val="00A83BAA"/>
    <w:rsid w:val="00A84887"/>
    <w:rsid w:val="00A84FB2"/>
    <w:rsid w:val="00A85145"/>
    <w:rsid w:val="00A852A7"/>
    <w:rsid w:val="00A852AA"/>
    <w:rsid w:val="00A85ADF"/>
    <w:rsid w:val="00A85DBC"/>
    <w:rsid w:val="00A865BD"/>
    <w:rsid w:val="00A876B2"/>
    <w:rsid w:val="00A87A01"/>
    <w:rsid w:val="00A90736"/>
    <w:rsid w:val="00A90ACB"/>
    <w:rsid w:val="00A90C64"/>
    <w:rsid w:val="00A9176A"/>
    <w:rsid w:val="00A931BF"/>
    <w:rsid w:val="00A9374A"/>
    <w:rsid w:val="00A93CFC"/>
    <w:rsid w:val="00A94029"/>
    <w:rsid w:val="00A9441B"/>
    <w:rsid w:val="00A95808"/>
    <w:rsid w:val="00A959A1"/>
    <w:rsid w:val="00A96FDE"/>
    <w:rsid w:val="00A976D2"/>
    <w:rsid w:val="00AA0244"/>
    <w:rsid w:val="00AA0309"/>
    <w:rsid w:val="00AA256B"/>
    <w:rsid w:val="00AA2BC1"/>
    <w:rsid w:val="00AA3233"/>
    <w:rsid w:val="00AA3361"/>
    <w:rsid w:val="00AA33E8"/>
    <w:rsid w:val="00AA41C0"/>
    <w:rsid w:val="00AA44C7"/>
    <w:rsid w:val="00AA485F"/>
    <w:rsid w:val="00AA48E3"/>
    <w:rsid w:val="00AA4D9A"/>
    <w:rsid w:val="00AA5867"/>
    <w:rsid w:val="00AA6058"/>
    <w:rsid w:val="00AA6C59"/>
    <w:rsid w:val="00AA70A1"/>
    <w:rsid w:val="00AA72A6"/>
    <w:rsid w:val="00AA7D2A"/>
    <w:rsid w:val="00AA7E91"/>
    <w:rsid w:val="00AB04A7"/>
    <w:rsid w:val="00AB193C"/>
    <w:rsid w:val="00AB1DD4"/>
    <w:rsid w:val="00AB2759"/>
    <w:rsid w:val="00AB28E9"/>
    <w:rsid w:val="00AB32FD"/>
    <w:rsid w:val="00AB4AD3"/>
    <w:rsid w:val="00AB5030"/>
    <w:rsid w:val="00AB550B"/>
    <w:rsid w:val="00AB5D96"/>
    <w:rsid w:val="00AB61E5"/>
    <w:rsid w:val="00AB66E1"/>
    <w:rsid w:val="00AB6B82"/>
    <w:rsid w:val="00AB76A7"/>
    <w:rsid w:val="00AB7BAE"/>
    <w:rsid w:val="00AB7D04"/>
    <w:rsid w:val="00AC1D5B"/>
    <w:rsid w:val="00AC1FD8"/>
    <w:rsid w:val="00AC2562"/>
    <w:rsid w:val="00AC2A18"/>
    <w:rsid w:val="00AC33B8"/>
    <w:rsid w:val="00AC33E9"/>
    <w:rsid w:val="00AC3F33"/>
    <w:rsid w:val="00AC47A9"/>
    <w:rsid w:val="00AC4DA8"/>
    <w:rsid w:val="00AC5030"/>
    <w:rsid w:val="00AC50F6"/>
    <w:rsid w:val="00AC5DEE"/>
    <w:rsid w:val="00AC61EF"/>
    <w:rsid w:val="00AC6F6A"/>
    <w:rsid w:val="00AC7D91"/>
    <w:rsid w:val="00AC7F50"/>
    <w:rsid w:val="00AD05DC"/>
    <w:rsid w:val="00AD0821"/>
    <w:rsid w:val="00AD0845"/>
    <w:rsid w:val="00AD18C7"/>
    <w:rsid w:val="00AD1BBB"/>
    <w:rsid w:val="00AD2236"/>
    <w:rsid w:val="00AD345D"/>
    <w:rsid w:val="00AD377D"/>
    <w:rsid w:val="00AD3FB4"/>
    <w:rsid w:val="00AD4122"/>
    <w:rsid w:val="00AD4280"/>
    <w:rsid w:val="00AD4834"/>
    <w:rsid w:val="00AD5952"/>
    <w:rsid w:val="00AD5A81"/>
    <w:rsid w:val="00AD5C79"/>
    <w:rsid w:val="00AD6388"/>
    <w:rsid w:val="00AD6A1E"/>
    <w:rsid w:val="00AD6C95"/>
    <w:rsid w:val="00AD6E28"/>
    <w:rsid w:val="00AD7293"/>
    <w:rsid w:val="00AD75D7"/>
    <w:rsid w:val="00AD76A6"/>
    <w:rsid w:val="00AD77A5"/>
    <w:rsid w:val="00AD7870"/>
    <w:rsid w:val="00AE02A9"/>
    <w:rsid w:val="00AE0574"/>
    <w:rsid w:val="00AE0E5D"/>
    <w:rsid w:val="00AE1441"/>
    <w:rsid w:val="00AE16E0"/>
    <w:rsid w:val="00AE172B"/>
    <w:rsid w:val="00AE17FD"/>
    <w:rsid w:val="00AE1FB0"/>
    <w:rsid w:val="00AE2842"/>
    <w:rsid w:val="00AE2933"/>
    <w:rsid w:val="00AE2945"/>
    <w:rsid w:val="00AE29C3"/>
    <w:rsid w:val="00AE2D90"/>
    <w:rsid w:val="00AE3711"/>
    <w:rsid w:val="00AE37A4"/>
    <w:rsid w:val="00AE5F84"/>
    <w:rsid w:val="00AE6221"/>
    <w:rsid w:val="00AE6223"/>
    <w:rsid w:val="00AE6280"/>
    <w:rsid w:val="00AE6CCC"/>
    <w:rsid w:val="00AF05AF"/>
    <w:rsid w:val="00AF0C66"/>
    <w:rsid w:val="00AF0D48"/>
    <w:rsid w:val="00AF1B54"/>
    <w:rsid w:val="00AF2027"/>
    <w:rsid w:val="00AF2180"/>
    <w:rsid w:val="00AF287A"/>
    <w:rsid w:val="00AF2CF1"/>
    <w:rsid w:val="00AF2F4F"/>
    <w:rsid w:val="00AF3727"/>
    <w:rsid w:val="00AF4124"/>
    <w:rsid w:val="00AF461E"/>
    <w:rsid w:val="00AF5225"/>
    <w:rsid w:val="00AF5373"/>
    <w:rsid w:val="00AF53E2"/>
    <w:rsid w:val="00AF5776"/>
    <w:rsid w:val="00AF5CD5"/>
    <w:rsid w:val="00AF628D"/>
    <w:rsid w:val="00AF6376"/>
    <w:rsid w:val="00AF6E34"/>
    <w:rsid w:val="00AF6F29"/>
    <w:rsid w:val="00AF7169"/>
    <w:rsid w:val="00AF727D"/>
    <w:rsid w:val="00AF7AC1"/>
    <w:rsid w:val="00AF7B8A"/>
    <w:rsid w:val="00B001D4"/>
    <w:rsid w:val="00B0042C"/>
    <w:rsid w:val="00B0068B"/>
    <w:rsid w:val="00B009A2"/>
    <w:rsid w:val="00B01FDF"/>
    <w:rsid w:val="00B0221D"/>
    <w:rsid w:val="00B02913"/>
    <w:rsid w:val="00B029A8"/>
    <w:rsid w:val="00B02FB0"/>
    <w:rsid w:val="00B0408F"/>
    <w:rsid w:val="00B041C3"/>
    <w:rsid w:val="00B042C7"/>
    <w:rsid w:val="00B04B84"/>
    <w:rsid w:val="00B05076"/>
    <w:rsid w:val="00B052DC"/>
    <w:rsid w:val="00B05A0E"/>
    <w:rsid w:val="00B06202"/>
    <w:rsid w:val="00B06A3D"/>
    <w:rsid w:val="00B07AAC"/>
    <w:rsid w:val="00B07D1E"/>
    <w:rsid w:val="00B07E4A"/>
    <w:rsid w:val="00B1028A"/>
    <w:rsid w:val="00B10686"/>
    <w:rsid w:val="00B10DEF"/>
    <w:rsid w:val="00B1111F"/>
    <w:rsid w:val="00B11F9C"/>
    <w:rsid w:val="00B1288B"/>
    <w:rsid w:val="00B12D00"/>
    <w:rsid w:val="00B141F8"/>
    <w:rsid w:val="00B1430F"/>
    <w:rsid w:val="00B150C2"/>
    <w:rsid w:val="00B152E4"/>
    <w:rsid w:val="00B15450"/>
    <w:rsid w:val="00B16FC7"/>
    <w:rsid w:val="00B170B8"/>
    <w:rsid w:val="00B170F4"/>
    <w:rsid w:val="00B17227"/>
    <w:rsid w:val="00B174DB"/>
    <w:rsid w:val="00B17BAF"/>
    <w:rsid w:val="00B208B5"/>
    <w:rsid w:val="00B20E02"/>
    <w:rsid w:val="00B21211"/>
    <w:rsid w:val="00B21CDE"/>
    <w:rsid w:val="00B222DA"/>
    <w:rsid w:val="00B230F4"/>
    <w:rsid w:val="00B239DD"/>
    <w:rsid w:val="00B250C3"/>
    <w:rsid w:val="00B25174"/>
    <w:rsid w:val="00B25207"/>
    <w:rsid w:val="00B25884"/>
    <w:rsid w:val="00B262FC"/>
    <w:rsid w:val="00B2730A"/>
    <w:rsid w:val="00B27E80"/>
    <w:rsid w:val="00B3105C"/>
    <w:rsid w:val="00B31792"/>
    <w:rsid w:val="00B3245E"/>
    <w:rsid w:val="00B32737"/>
    <w:rsid w:val="00B32BFC"/>
    <w:rsid w:val="00B3313F"/>
    <w:rsid w:val="00B333C0"/>
    <w:rsid w:val="00B3349F"/>
    <w:rsid w:val="00B33507"/>
    <w:rsid w:val="00B33E86"/>
    <w:rsid w:val="00B345D0"/>
    <w:rsid w:val="00B34FAD"/>
    <w:rsid w:val="00B3581A"/>
    <w:rsid w:val="00B35ADC"/>
    <w:rsid w:val="00B35DC7"/>
    <w:rsid w:val="00B3623D"/>
    <w:rsid w:val="00B36318"/>
    <w:rsid w:val="00B36A7C"/>
    <w:rsid w:val="00B36B86"/>
    <w:rsid w:val="00B37242"/>
    <w:rsid w:val="00B37350"/>
    <w:rsid w:val="00B37601"/>
    <w:rsid w:val="00B37FF3"/>
    <w:rsid w:val="00B40839"/>
    <w:rsid w:val="00B4092D"/>
    <w:rsid w:val="00B40BF6"/>
    <w:rsid w:val="00B40C21"/>
    <w:rsid w:val="00B40CE8"/>
    <w:rsid w:val="00B40D26"/>
    <w:rsid w:val="00B41A94"/>
    <w:rsid w:val="00B41EA6"/>
    <w:rsid w:val="00B4218F"/>
    <w:rsid w:val="00B42502"/>
    <w:rsid w:val="00B44726"/>
    <w:rsid w:val="00B44C0F"/>
    <w:rsid w:val="00B44E41"/>
    <w:rsid w:val="00B452C5"/>
    <w:rsid w:val="00B45375"/>
    <w:rsid w:val="00B45AED"/>
    <w:rsid w:val="00B46C52"/>
    <w:rsid w:val="00B46DC5"/>
    <w:rsid w:val="00B47121"/>
    <w:rsid w:val="00B4759F"/>
    <w:rsid w:val="00B479EA"/>
    <w:rsid w:val="00B5234A"/>
    <w:rsid w:val="00B5348E"/>
    <w:rsid w:val="00B53A80"/>
    <w:rsid w:val="00B55299"/>
    <w:rsid w:val="00B55E87"/>
    <w:rsid w:val="00B561A3"/>
    <w:rsid w:val="00B561BA"/>
    <w:rsid w:val="00B566C9"/>
    <w:rsid w:val="00B56BAA"/>
    <w:rsid w:val="00B575AB"/>
    <w:rsid w:val="00B60F1F"/>
    <w:rsid w:val="00B61140"/>
    <w:rsid w:val="00B61303"/>
    <w:rsid w:val="00B61325"/>
    <w:rsid w:val="00B61C59"/>
    <w:rsid w:val="00B621B2"/>
    <w:rsid w:val="00B62714"/>
    <w:rsid w:val="00B62A8D"/>
    <w:rsid w:val="00B62B9E"/>
    <w:rsid w:val="00B6355E"/>
    <w:rsid w:val="00B63912"/>
    <w:rsid w:val="00B64402"/>
    <w:rsid w:val="00B66472"/>
    <w:rsid w:val="00B664F9"/>
    <w:rsid w:val="00B66606"/>
    <w:rsid w:val="00B677D4"/>
    <w:rsid w:val="00B6785F"/>
    <w:rsid w:val="00B67BD8"/>
    <w:rsid w:val="00B71CBE"/>
    <w:rsid w:val="00B71E32"/>
    <w:rsid w:val="00B7309E"/>
    <w:rsid w:val="00B735F3"/>
    <w:rsid w:val="00B73E77"/>
    <w:rsid w:val="00B747DF"/>
    <w:rsid w:val="00B75560"/>
    <w:rsid w:val="00B75754"/>
    <w:rsid w:val="00B757C0"/>
    <w:rsid w:val="00B75CE6"/>
    <w:rsid w:val="00B760E8"/>
    <w:rsid w:val="00B77F26"/>
    <w:rsid w:val="00B80D3A"/>
    <w:rsid w:val="00B80F07"/>
    <w:rsid w:val="00B814F8"/>
    <w:rsid w:val="00B81C8A"/>
    <w:rsid w:val="00B82F24"/>
    <w:rsid w:val="00B8365B"/>
    <w:rsid w:val="00B83889"/>
    <w:rsid w:val="00B83AC4"/>
    <w:rsid w:val="00B83C4E"/>
    <w:rsid w:val="00B83DFB"/>
    <w:rsid w:val="00B84415"/>
    <w:rsid w:val="00B84732"/>
    <w:rsid w:val="00B84FC1"/>
    <w:rsid w:val="00B85C30"/>
    <w:rsid w:val="00B85D41"/>
    <w:rsid w:val="00B85E51"/>
    <w:rsid w:val="00B869E5"/>
    <w:rsid w:val="00B873C7"/>
    <w:rsid w:val="00B90432"/>
    <w:rsid w:val="00B90FC7"/>
    <w:rsid w:val="00B9179A"/>
    <w:rsid w:val="00B92277"/>
    <w:rsid w:val="00B923C1"/>
    <w:rsid w:val="00B923C2"/>
    <w:rsid w:val="00B93F92"/>
    <w:rsid w:val="00B94079"/>
    <w:rsid w:val="00B941BF"/>
    <w:rsid w:val="00B943E9"/>
    <w:rsid w:val="00B95102"/>
    <w:rsid w:val="00B953DD"/>
    <w:rsid w:val="00B95756"/>
    <w:rsid w:val="00B971A5"/>
    <w:rsid w:val="00B971EB"/>
    <w:rsid w:val="00B97B1A"/>
    <w:rsid w:val="00B97B1D"/>
    <w:rsid w:val="00BA00AD"/>
    <w:rsid w:val="00BA00C5"/>
    <w:rsid w:val="00BA034F"/>
    <w:rsid w:val="00BA036B"/>
    <w:rsid w:val="00BA05B1"/>
    <w:rsid w:val="00BA07F3"/>
    <w:rsid w:val="00BA089A"/>
    <w:rsid w:val="00BA1190"/>
    <w:rsid w:val="00BA1627"/>
    <w:rsid w:val="00BA18E1"/>
    <w:rsid w:val="00BA205F"/>
    <w:rsid w:val="00BA2100"/>
    <w:rsid w:val="00BA2938"/>
    <w:rsid w:val="00BA350D"/>
    <w:rsid w:val="00BA35C0"/>
    <w:rsid w:val="00BA3A9C"/>
    <w:rsid w:val="00BA4315"/>
    <w:rsid w:val="00BA4816"/>
    <w:rsid w:val="00BA4EC9"/>
    <w:rsid w:val="00BA67BB"/>
    <w:rsid w:val="00BA6956"/>
    <w:rsid w:val="00BA6D56"/>
    <w:rsid w:val="00BA7642"/>
    <w:rsid w:val="00BA7A25"/>
    <w:rsid w:val="00BA7D49"/>
    <w:rsid w:val="00BB0077"/>
    <w:rsid w:val="00BB0202"/>
    <w:rsid w:val="00BB02F3"/>
    <w:rsid w:val="00BB03C9"/>
    <w:rsid w:val="00BB05E5"/>
    <w:rsid w:val="00BB0673"/>
    <w:rsid w:val="00BB13FE"/>
    <w:rsid w:val="00BB14FC"/>
    <w:rsid w:val="00BB1597"/>
    <w:rsid w:val="00BB1E98"/>
    <w:rsid w:val="00BB260F"/>
    <w:rsid w:val="00BB271D"/>
    <w:rsid w:val="00BB31EB"/>
    <w:rsid w:val="00BB3442"/>
    <w:rsid w:val="00BB36D3"/>
    <w:rsid w:val="00BB37D9"/>
    <w:rsid w:val="00BB4556"/>
    <w:rsid w:val="00BB5140"/>
    <w:rsid w:val="00BB58F7"/>
    <w:rsid w:val="00BB5F11"/>
    <w:rsid w:val="00BB62A8"/>
    <w:rsid w:val="00BB6645"/>
    <w:rsid w:val="00BB6934"/>
    <w:rsid w:val="00BB69DF"/>
    <w:rsid w:val="00BB6BD9"/>
    <w:rsid w:val="00BB6DD5"/>
    <w:rsid w:val="00BB74EA"/>
    <w:rsid w:val="00BC0150"/>
    <w:rsid w:val="00BC02F5"/>
    <w:rsid w:val="00BC070B"/>
    <w:rsid w:val="00BC0926"/>
    <w:rsid w:val="00BC0C64"/>
    <w:rsid w:val="00BC25A4"/>
    <w:rsid w:val="00BC2A47"/>
    <w:rsid w:val="00BC2CE3"/>
    <w:rsid w:val="00BC2E47"/>
    <w:rsid w:val="00BC30C5"/>
    <w:rsid w:val="00BC5851"/>
    <w:rsid w:val="00BC5D03"/>
    <w:rsid w:val="00BC6FED"/>
    <w:rsid w:val="00BC7120"/>
    <w:rsid w:val="00BC7712"/>
    <w:rsid w:val="00BC7750"/>
    <w:rsid w:val="00BC79D7"/>
    <w:rsid w:val="00BC7FDB"/>
    <w:rsid w:val="00BD0313"/>
    <w:rsid w:val="00BD07D3"/>
    <w:rsid w:val="00BD0DB8"/>
    <w:rsid w:val="00BD0EFE"/>
    <w:rsid w:val="00BD1575"/>
    <w:rsid w:val="00BD1E76"/>
    <w:rsid w:val="00BD1EB1"/>
    <w:rsid w:val="00BD290C"/>
    <w:rsid w:val="00BD3218"/>
    <w:rsid w:val="00BD3266"/>
    <w:rsid w:val="00BD3EE8"/>
    <w:rsid w:val="00BD5CE2"/>
    <w:rsid w:val="00BD7394"/>
    <w:rsid w:val="00BD77E6"/>
    <w:rsid w:val="00BD7C91"/>
    <w:rsid w:val="00BE0099"/>
    <w:rsid w:val="00BE0670"/>
    <w:rsid w:val="00BE088F"/>
    <w:rsid w:val="00BE1411"/>
    <w:rsid w:val="00BE169B"/>
    <w:rsid w:val="00BE16D9"/>
    <w:rsid w:val="00BE1714"/>
    <w:rsid w:val="00BE174F"/>
    <w:rsid w:val="00BE2258"/>
    <w:rsid w:val="00BE259E"/>
    <w:rsid w:val="00BE3AF8"/>
    <w:rsid w:val="00BE4A8A"/>
    <w:rsid w:val="00BE5012"/>
    <w:rsid w:val="00BE5140"/>
    <w:rsid w:val="00BE575E"/>
    <w:rsid w:val="00BE57BF"/>
    <w:rsid w:val="00BE5A39"/>
    <w:rsid w:val="00BE5C01"/>
    <w:rsid w:val="00BE6357"/>
    <w:rsid w:val="00BE638E"/>
    <w:rsid w:val="00BE6974"/>
    <w:rsid w:val="00BE6A96"/>
    <w:rsid w:val="00BE6D16"/>
    <w:rsid w:val="00BE7187"/>
    <w:rsid w:val="00BE7B34"/>
    <w:rsid w:val="00BE7FEA"/>
    <w:rsid w:val="00BF0211"/>
    <w:rsid w:val="00BF0CC9"/>
    <w:rsid w:val="00BF0DCC"/>
    <w:rsid w:val="00BF172B"/>
    <w:rsid w:val="00BF268E"/>
    <w:rsid w:val="00BF2882"/>
    <w:rsid w:val="00BF3AB4"/>
    <w:rsid w:val="00BF407E"/>
    <w:rsid w:val="00BF4538"/>
    <w:rsid w:val="00BF460E"/>
    <w:rsid w:val="00BF4BBD"/>
    <w:rsid w:val="00BF5877"/>
    <w:rsid w:val="00BF62F1"/>
    <w:rsid w:val="00BF6BD2"/>
    <w:rsid w:val="00BF74AE"/>
    <w:rsid w:val="00BF75CA"/>
    <w:rsid w:val="00BF760C"/>
    <w:rsid w:val="00BF77A2"/>
    <w:rsid w:val="00BF7AB1"/>
    <w:rsid w:val="00BF7C54"/>
    <w:rsid w:val="00BF7ED8"/>
    <w:rsid w:val="00C01535"/>
    <w:rsid w:val="00C0192C"/>
    <w:rsid w:val="00C0209E"/>
    <w:rsid w:val="00C02487"/>
    <w:rsid w:val="00C02C30"/>
    <w:rsid w:val="00C02FA1"/>
    <w:rsid w:val="00C0377B"/>
    <w:rsid w:val="00C03D08"/>
    <w:rsid w:val="00C03FE4"/>
    <w:rsid w:val="00C04967"/>
    <w:rsid w:val="00C04C0C"/>
    <w:rsid w:val="00C05B40"/>
    <w:rsid w:val="00C0641A"/>
    <w:rsid w:val="00C0695B"/>
    <w:rsid w:val="00C06FB6"/>
    <w:rsid w:val="00C070D8"/>
    <w:rsid w:val="00C076B5"/>
    <w:rsid w:val="00C07F81"/>
    <w:rsid w:val="00C10832"/>
    <w:rsid w:val="00C114C9"/>
    <w:rsid w:val="00C128FA"/>
    <w:rsid w:val="00C1313D"/>
    <w:rsid w:val="00C133B3"/>
    <w:rsid w:val="00C13D09"/>
    <w:rsid w:val="00C141C6"/>
    <w:rsid w:val="00C146CF"/>
    <w:rsid w:val="00C14722"/>
    <w:rsid w:val="00C14B5F"/>
    <w:rsid w:val="00C14DD8"/>
    <w:rsid w:val="00C150A7"/>
    <w:rsid w:val="00C15523"/>
    <w:rsid w:val="00C16308"/>
    <w:rsid w:val="00C16A0B"/>
    <w:rsid w:val="00C170C1"/>
    <w:rsid w:val="00C174B5"/>
    <w:rsid w:val="00C17ABF"/>
    <w:rsid w:val="00C200AF"/>
    <w:rsid w:val="00C206C0"/>
    <w:rsid w:val="00C20F0F"/>
    <w:rsid w:val="00C21326"/>
    <w:rsid w:val="00C21FB3"/>
    <w:rsid w:val="00C22993"/>
    <w:rsid w:val="00C22A18"/>
    <w:rsid w:val="00C22E5F"/>
    <w:rsid w:val="00C23550"/>
    <w:rsid w:val="00C23A25"/>
    <w:rsid w:val="00C23DDA"/>
    <w:rsid w:val="00C24199"/>
    <w:rsid w:val="00C248F3"/>
    <w:rsid w:val="00C25799"/>
    <w:rsid w:val="00C25C54"/>
    <w:rsid w:val="00C26084"/>
    <w:rsid w:val="00C2687A"/>
    <w:rsid w:val="00C27BE8"/>
    <w:rsid w:val="00C303BF"/>
    <w:rsid w:val="00C30C08"/>
    <w:rsid w:val="00C30D95"/>
    <w:rsid w:val="00C31B72"/>
    <w:rsid w:val="00C31BA7"/>
    <w:rsid w:val="00C31C0E"/>
    <w:rsid w:val="00C31D35"/>
    <w:rsid w:val="00C31E49"/>
    <w:rsid w:val="00C328AC"/>
    <w:rsid w:val="00C32BF6"/>
    <w:rsid w:val="00C33DC6"/>
    <w:rsid w:val="00C33FEB"/>
    <w:rsid w:val="00C34C15"/>
    <w:rsid w:val="00C3570F"/>
    <w:rsid w:val="00C36371"/>
    <w:rsid w:val="00C36A65"/>
    <w:rsid w:val="00C36B1E"/>
    <w:rsid w:val="00C37D7B"/>
    <w:rsid w:val="00C40256"/>
    <w:rsid w:val="00C4032B"/>
    <w:rsid w:val="00C40606"/>
    <w:rsid w:val="00C4078F"/>
    <w:rsid w:val="00C40EA6"/>
    <w:rsid w:val="00C4118D"/>
    <w:rsid w:val="00C415B1"/>
    <w:rsid w:val="00C418E7"/>
    <w:rsid w:val="00C425E0"/>
    <w:rsid w:val="00C428F4"/>
    <w:rsid w:val="00C43014"/>
    <w:rsid w:val="00C43516"/>
    <w:rsid w:val="00C44AB5"/>
    <w:rsid w:val="00C44BCA"/>
    <w:rsid w:val="00C45544"/>
    <w:rsid w:val="00C45C8F"/>
    <w:rsid w:val="00C4616A"/>
    <w:rsid w:val="00C46528"/>
    <w:rsid w:val="00C46713"/>
    <w:rsid w:val="00C46896"/>
    <w:rsid w:val="00C46CF5"/>
    <w:rsid w:val="00C4701D"/>
    <w:rsid w:val="00C471BB"/>
    <w:rsid w:val="00C4735C"/>
    <w:rsid w:val="00C47E31"/>
    <w:rsid w:val="00C50DDA"/>
    <w:rsid w:val="00C51466"/>
    <w:rsid w:val="00C52307"/>
    <w:rsid w:val="00C52450"/>
    <w:rsid w:val="00C529B8"/>
    <w:rsid w:val="00C52E19"/>
    <w:rsid w:val="00C5305F"/>
    <w:rsid w:val="00C5314F"/>
    <w:rsid w:val="00C53A2B"/>
    <w:rsid w:val="00C53DAF"/>
    <w:rsid w:val="00C542AF"/>
    <w:rsid w:val="00C54DF1"/>
    <w:rsid w:val="00C55632"/>
    <w:rsid w:val="00C55978"/>
    <w:rsid w:val="00C56484"/>
    <w:rsid w:val="00C5648C"/>
    <w:rsid w:val="00C6005E"/>
    <w:rsid w:val="00C603D2"/>
    <w:rsid w:val="00C606DC"/>
    <w:rsid w:val="00C612B3"/>
    <w:rsid w:val="00C61583"/>
    <w:rsid w:val="00C61642"/>
    <w:rsid w:val="00C61869"/>
    <w:rsid w:val="00C620C3"/>
    <w:rsid w:val="00C6256C"/>
    <w:rsid w:val="00C62A5A"/>
    <w:rsid w:val="00C62B2D"/>
    <w:rsid w:val="00C636C9"/>
    <w:rsid w:val="00C64054"/>
    <w:rsid w:val="00C64196"/>
    <w:rsid w:val="00C64F80"/>
    <w:rsid w:val="00C67D2A"/>
    <w:rsid w:val="00C70445"/>
    <w:rsid w:val="00C7063B"/>
    <w:rsid w:val="00C7084D"/>
    <w:rsid w:val="00C724C3"/>
    <w:rsid w:val="00C727E5"/>
    <w:rsid w:val="00C73041"/>
    <w:rsid w:val="00C73173"/>
    <w:rsid w:val="00C735C3"/>
    <w:rsid w:val="00C73B00"/>
    <w:rsid w:val="00C73D82"/>
    <w:rsid w:val="00C75A0E"/>
    <w:rsid w:val="00C76BD5"/>
    <w:rsid w:val="00C7718A"/>
    <w:rsid w:val="00C77BC7"/>
    <w:rsid w:val="00C801FC"/>
    <w:rsid w:val="00C805C0"/>
    <w:rsid w:val="00C80BF8"/>
    <w:rsid w:val="00C81E83"/>
    <w:rsid w:val="00C824EF"/>
    <w:rsid w:val="00C82898"/>
    <w:rsid w:val="00C8342E"/>
    <w:rsid w:val="00C837A2"/>
    <w:rsid w:val="00C83853"/>
    <w:rsid w:val="00C83FD1"/>
    <w:rsid w:val="00C842DA"/>
    <w:rsid w:val="00C84610"/>
    <w:rsid w:val="00C84BD6"/>
    <w:rsid w:val="00C8610E"/>
    <w:rsid w:val="00C86574"/>
    <w:rsid w:val="00C87C4B"/>
    <w:rsid w:val="00C90B41"/>
    <w:rsid w:val="00C910F0"/>
    <w:rsid w:val="00C915A6"/>
    <w:rsid w:val="00C9166E"/>
    <w:rsid w:val="00C93755"/>
    <w:rsid w:val="00C943AE"/>
    <w:rsid w:val="00C94F03"/>
    <w:rsid w:val="00C95126"/>
    <w:rsid w:val="00C95D1D"/>
    <w:rsid w:val="00C95FCE"/>
    <w:rsid w:val="00C9655B"/>
    <w:rsid w:val="00C96B9E"/>
    <w:rsid w:val="00C96BB3"/>
    <w:rsid w:val="00C97A1E"/>
    <w:rsid w:val="00C97C03"/>
    <w:rsid w:val="00C97E58"/>
    <w:rsid w:val="00CA0E4C"/>
    <w:rsid w:val="00CA0FBE"/>
    <w:rsid w:val="00CA11D4"/>
    <w:rsid w:val="00CA16D9"/>
    <w:rsid w:val="00CA2E74"/>
    <w:rsid w:val="00CA3328"/>
    <w:rsid w:val="00CA3F82"/>
    <w:rsid w:val="00CA4EDC"/>
    <w:rsid w:val="00CA4F7A"/>
    <w:rsid w:val="00CA5077"/>
    <w:rsid w:val="00CA542F"/>
    <w:rsid w:val="00CA5ECC"/>
    <w:rsid w:val="00CA6B5D"/>
    <w:rsid w:val="00CA6C63"/>
    <w:rsid w:val="00CA7026"/>
    <w:rsid w:val="00CA7689"/>
    <w:rsid w:val="00CA7741"/>
    <w:rsid w:val="00CA79A6"/>
    <w:rsid w:val="00CA7A3B"/>
    <w:rsid w:val="00CA7A47"/>
    <w:rsid w:val="00CA7F5C"/>
    <w:rsid w:val="00CB0042"/>
    <w:rsid w:val="00CB0BC2"/>
    <w:rsid w:val="00CB0D04"/>
    <w:rsid w:val="00CB146B"/>
    <w:rsid w:val="00CB184E"/>
    <w:rsid w:val="00CB1B2D"/>
    <w:rsid w:val="00CB2FB2"/>
    <w:rsid w:val="00CB348C"/>
    <w:rsid w:val="00CB397C"/>
    <w:rsid w:val="00CB48B9"/>
    <w:rsid w:val="00CB5595"/>
    <w:rsid w:val="00CB5C58"/>
    <w:rsid w:val="00CB6350"/>
    <w:rsid w:val="00CB654D"/>
    <w:rsid w:val="00CB6EC3"/>
    <w:rsid w:val="00CB712F"/>
    <w:rsid w:val="00CB74FC"/>
    <w:rsid w:val="00CC02A7"/>
    <w:rsid w:val="00CC0F28"/>
    <w:rsid w:val="00CC1435"/>
    <w:rsid w:val="00CC1DBD"/>
    <w:rsid w:val="00CC1DC6"/>
    <w:rsid w:val="00CC2580"/>
    <w:rsid w:val="00CC26DC"/>
    <w:rsid w:val="00CC3C0D"/>
    <w:rsid w:val="00CC41B2"/>
    <w:rsid w:val="00CC54C1"/>
    <w:rsid w:val="00CC62B1"/>
    <w:rsid w:val="00CC70A5"/>
    <w:rsid w:val="00CC7273"/>
    <w:rsid w:val="00CC7987"/>
    <w:rsid w:val="00CC7B53"/>
    <w:rsid w:val="00CD00BD"/>
    <w:rsid w:val="00CD02F0"/>
    <w:rsid w:val="00CD05D9"/>
    <w:rsid w:val="00CD1841"/>
    <w:rsid w:val="00CD1B4B"/>
    <w:rsid w:val="00CD2ACA"/>
    <w:rsid w:val="00CD2C51"/>
    <w:rsid w:val="00CD2E70"/>
    <w:rsid w:val="00CD31F3"/>
    <w:rsid w:val="00CD3505"/>
    <w:rsid w:val="00CD3913"/>
    <w:rsid w:val="00CD3B4E"/>
    <w:rsid w:val="00CD3CE7"/>
    <w:rsid w:val="00CD49A3"/>
    <w:rsid w:val="00CD541B"/>
    <w:rsid w:val="00CD622D"/>
    <w:rsid w:val="00CD6E61"/>
    <w:rsid w:val="00CD7239"/>
    <w:rsid w:val="00CD78D9"/>
    <w:rsid w:val="00CD7AD0"/>
    <w:rsid w:val="00CE28E1"/>
    <w:rsid w:val="00CE4DBD"/>
    <w:rsid w:val="00CE4F1A"/>
    <w:rsid w:val="00CE5422"/>
    <w:rsid w:val="00CE5B67"/>
    <w:rsid w:val="00CE604B"/>
    <w:rsid w:val="00CE69C2"/>
    <w:rsid w:val="00CE6E3A"/>
    <w:rsid w:val="00CE75C1"/>
    <w:rsid w:val="00CE7805"/>
    <w:rsid w:val="00CF03F1"/>
    <w:rsid w:val="00CF21B2"/>
    <w:rsid w:val="00CF28A0"/>
    <w:rsid w:val="00CF2FCF"/>
    <w:rsid w:val="00CF352C"/>
    <w:rsid w:val="00CF4433"/>
    <w:rsid w:val="00CF446E"/>
    <w:rsid w:val="00CF4DE6"/>
    <w:rsid w:val="00CF4E0B"/>
    <w:rsid w:val="00CF4E0F"/>
    <w:rsid w:val="00CF5076"/>
    <w:rsid w:val="00CF537C"/>
    <w:rsid w:val="00CF5740"/>
    <w:rsid w:val="00CF630D"/>
    <w:rsid w:val="00CF6387"/>
    <w:rsid w:val="00CF6522"/>
    <w:rsid w:val="00CF6FC4"/>
    <w:rsid w:val="00CF7957"/>
    <w:rsid w:val="00CF7EA1"/>
    <w:rsid w:val="00CF7F78"/>
    <w:rsid w:val="00D0009A"/>
    <w:rsid w:val="00D0146A"/>
    <w:rsid w:val="00D0167D"/>
    <w:rsid w:val="00D018F5"/>
    <w:rsid w:val="00D01A1A"/>
    <w:rsid w:val="00D03297"/>
    <w:rsid w:val="00D03903"/>
    <w:rsid w:val="00D03AEE"/>
    <w:rsid w:val="00D0421D"/>
    <w:rsid w:val="00D04316"/>
    <w:rsid w:val="00D049A2"/>
    <w:rsid w:val="00D04A60"/>
    <w:rsid w:val="00D04A90"/>
    <w:rsid w:val="00D04F50"/>
    <w:rsid w:val="00D0619F"/>
    <w:rsid w:val="00D0684B"/>
    <w:rsid w:val="00D06B60"/>
    <w:rsid w:val="00D06DAF"/>
    <w:rsid w:val="00D106A7"/>
    <w:rsid w:val="00D12271"/>
    <w:rsid w:val="00D127F0"/>
    <w:rsid w:val="00D128CE"/>
    <w:rsid w:val="00D12FB6"/>
    <w:rsid w:val="00D13870"/>
    <w:rsid w:val="00D13D4A"/>
    <w:rsid w:val="00D13D5E"/>
    <w:rsid w:val="00D142A0"/>
    <w:rsid w:val="00D1439C"/>
    <w:rsid w:val="00D14957"/>
    <w:rsid w:val="00D14C01"/>
    <w:rsid w:val="00D14EA0"/>
    <w:rsid w:val="00D1552B"/>
    <w:rsid w:val="00D15D5F"/>
    <w:rsid w:val="00D16421"/>
    <w:rsid w:val="00D16A29"/>
    <w:rsid w:val="00D16CE7"/>
    <w:rsid w:val="00D202DA"/>
    <w:rsid w:val="00D202E2"/>
    <w:rsid w:val="00D21661"/>
    <w:rsid w:val="00D21B15"/>
    <w:rsid w:val="00D222D8"/>
    <w:rsid w:val="00D223C0"/>
    <w:rsid w:val="00D223CE"/>
    <w:rsid w:val="00D237E2"/>
    <w:rsid w:val="00D23811"/>
    <w:rsid w:val="00D23890"/>
    <w:rsid w:val="00D2397D"/>
    <w:rsid w:val="00D23C76"/>
    <w:rsid w:val="00D24541"/>
    <w:rsid w:val="00D25270"/>
    <w:rsid w:val="00D257FC"/>
    <w:rsid w:val="00D25860"/>
    <w:rsid w:val="00D25930"/>
    <w:rsid w:val="00D25DBE"/>
    <w:rsid w:val="00D26752"/>
    <w:rsid w:val="00D2703A"/>
    <w:rsid w:val="00D27041"/>
    <w:rsid w:val="00D272B1"/>
    <w:rsid w:val="00D278E2"/>
    <w:rsid w:val="00D3064D"/>
    <w:rsid w:val="00D315BA"/>
    <w:rsid w:val="00D32375"/>
    <w:rsid w:val="00D32577"/>
    <w:rsid w:val="00D325F6"/>
    <w:rsid w:val="00D32B57"/>
    <w:rsid w:val="00D33C76"/>
    <w:rsid w:val="00D33D70"/>
    <w:rsid w:val="00D346AC"/>
    <w:rsid w:val="00D34ED2"/>
    <w:rsid w:val="00D34FCE"/>
    <w:rsid w:val="00D355C6"/>
    <w:rsid w:val="00D358C8"/>
    <w:rsid w:val="00D359DB"/>
    <w:rsid w:val="00D36B7B"/>
    <w:rsid w:val="00D3720D"/>
    <w:rsid w:val="00D37B0D"/>
    <w:rsid w:val="00D401B4"/>
    <w:rsid w:val="00D40275"/>
    <w:rsid w:val="00D40587"/>
    <w:rsid w:val="00D40995"/>
    <w:rsid w:val="00D40A5E"/>
    <w:rsid w:val="00D414EE"/>
    <w:rsid w:val="00D41E2A"/>
    <w:rsid w:val="00D425E3"/>
    <w:rsid w:val="00D42A55"/>
    <w:rsid w:val="00D42F2B"/>
    <w:rsid w:val="00D44BE1"/>
    <w:rsid w:val="00D455AF"/>
    <w:rsid w:val="00D47146"/>
    <w:rsid w:val="00D475A2"/>
    <w:rsid w:val="00D479D1"/>
    <w:rsid w:val="00D50568"/>
    <w:rsid w:val="00D50CD8"/>
    <w:rsid w:val="00D5128A"/>
    <w:rsid w:val="00D51446"/>
    <w:rsid w:val="00D5192D"/>
    <w:rsid w:val="00D52735"/>
    <w:rsid w:val="00D53904"/>
    <w:rsid w:val="00D53BC8"/>
    <w:rsid w:val="00D548E9"/>
    <w:rsid w:val="00D54AA5"/>
    <w:rsid w:val="00D5501A"/>
    <w:rsid w:val="00D56D0F"/>
    <w:rsid w:val="00D57001"/>
    <w:rsid w:val="00D577B0"/>
    <w:rsid w:val="00D60364"/>
    <w:rsid w:val="00D60995"/>
    <w:rsid w:val="00D60A7D"/>
    <w:rsid w:val="00D60DB0"/>
    <w:rsid w:val="00D619EC"/>
    <w:rsid w:val="00D61B6D"/>
    <w:rsid w:val="00D61BC7"/>
    <w:rsid w:val="00D620CA"/>
    <w:rsid w:val="00D621A5"/>
    <w:rsid w:val="00D623A0"/>
    <w:rsid w:val="00D6302D"/>
    <w:rsid w:val="00D63523"/>
    <w:rsid w:val="00D63B6F"/>
    <w:rsid w:val="00D63FA3"/>
    <w:rsid w:val="00D64423"/>
    <w:rsid w:val="00D6517F"/>
    <w:rsid w:val="00D651FB"/>
    <w:rsid w:val="00D655FB"/>
    <w:rsid w:val="00D657CA"/>
    <w:rsid w:val="00D65A0A"/>
    <w:rsid w:val="00D65D83"/>
    <w:rsid w:val="00D66239"/>
    <w:rsid w:val="00D66FF7"/>
    <w:rsid w:val="00D7049A"/>
    <w:rsid w:val="00D704AE"/>
    <w:rsid w:val="00D70BF8"/>
    <w:rsid w:val="00D70FAE"/>
    <w:rsid w:val="00D71065"/>
    <w:rsid w:val="00D71B2E"/>
    <w:rsid w:val="00D721E5"/>
    <w:rsid w:val="00D725AA"/>
    <w:rsid w:val="00D72820"/>
    <w:rsid w:val="00D72F50"/>
    <w:rsid w:val="00D73014"/>
    <w:rsid w:val="00D730A1"/>
    <w:rsid w:val="00D75ECC"/>
    <w:rsid w:val="00D76596"/>
    <w:rsid w:val="00D768D0"/>
    <w:rsid w:val="00D76B88"/>
    <w:rsid w:val="00D7755C"/>
    <w:rsid w:val="00D77A8A"/>
    <w:rsid w:val="00D80497"/>
    <w:rsid w:val="00D80542"/>
    <w:rsid w:val="00D80963"/>
    <w:rsid w:val="00D81752"/>
    <w:rsid w:val="00D817BB"/>
    <w:rsid w:val="00D81FF2"/>
    <w:rsid w:val="00D8281D"/>
    <w:rsid w:val="00D828B7"/>
    <w:rsid w:val="00D8443F"/>
    <w:rsid w:val="00D852C5"/>
    <w:rsid w:val="00D853A2"/>
    <w:rsid w:val="00D85BFA"/>
    <w:rsid w:val="00D85C6B"/>
    <w:rsid w:val="00D85E8B"/>
    <w:rsid w:val="00D862E1"/>
    <w:rsid w:val="00D86F6F"/>
    <w:rsid w:val="00D86FF4"/>
    <w:rsid w:val="00D9025F"/>
    <w:rsid w:val="00D90CA8"/>
    <w:rsid w:val="00D90E1D"/>
    <w:rsid w:val="00D91131"/>
    <w:rsid w:val="00D911BB"/>
    <w:rsid w:val="00D916AD"/>
    <w:rsid w:val="00D919BF"/>
    <w:rsid w:val="00D92D7A"/>
    <w:rsid w:val="00D93841"/>
    <w:rsid w:val="00D93B21"/>
    <w:rsid w:val="00D948A4"/>
    <w:rsid w:val="00D94B03"/>
    <w:rsid w:val="00D94BED"/>
    <w:rsid w:val="00D96E2D"/>
    <w:rsid w:val="00D970E1"/>
    <w:rsid w:val="00D97CF7"/>
    <w:rsid w:val="00D97E2A"/>
    <w:rsid w:val="00DA0A68"/>
    <w:rsid w:val="00DA1919"/>
    <w:rsid w:val="00DA21EE"/>
    <w:rsid w:val="00DA24A9"/>
    <w:rsid w:val="00DA26C0"/>
    <w:rsid w:val="00DA33C2"/>
    <w:rsid w:val="00DA3610"/>
    <w:rsid w:val="00DA3DDA"/>
    <w:rsid w:val="00DA50F6"/>
    <w:rsid w:val="00DA51C0"/>
    <w:rsid w:val="00DA5517"/>
    <w:rsid w:val="00DA5569"/>
    <w:rsid w:val="00DA5E04"/>
    <w:rsid w:val="00DA60F4"/>
    <w:rsid w:val="00DA67DD"/>
    <w:rsid w:val="00DA6966"/>
    <w:rsid w:val="00DA79BF"/>
    <w:rsid w:val="00DB08D2"/>
    <w:rsid w:val="00DB0B31"/>
    <w:rsid w:val="00DB117A"/>
    <w:rsid w:val="00DB1567"/>
    <w:rsid w:val="00DB1652"/>
    <w:rsid w:val="00DB1EF9"/>
    <w:rsid w:val="00DB1FF2"/>
    <w:rsid w:val="00DB22EE"/>
    <w:rsid w:val="00DB2304"/>
    <w:rsid w:val="00DB3825"/>
    <w:rsid w:val="00DB40F6"/>
    <w:rsid w:val="00DB4643"/>
    <w:rsid w:val="00DB4C79"/>
    <w:rsid w:val="00DB4EE9"/>
    <w:rsid w:val="00DB5605"/>
    <w:rsid w:val="00DB5737"/>
    <w:rsid w:val="00DB6115"/>
    <w:rsid w:val="00DB665B"/>
    <w:rsid w:val="00DB69B7"/>
    <w:rsid w:val="00DB6D3F"/>
    <w:rsid w:val="00DB7CBE"/>
    <w:rsid w:val="00DC043C"/>
    <w:rsid w:val="00DC0886"/>
    <w:rsid w:val="00DC0FA7"/>
    <w:rsid w:val="00DC2685"/>
    <w:rsid w:val="00DC2DA5"/>
    <w:rsid w:val="00DC2E3E"/>
    <w:rsid w:val="00DC36FF"/>
    <w:rsid w:val="00DC44A2"/>
    <w:rsid w:val="00DC4C99"/>
    <w:rsid w:val="00DC4D95"/>
    <w:rsid w:val="00DC4E6A"/>
    <w:rsid w:val="00DC5B92"/>
    <w:rsid w:val="00DC5D9A"/>
    <w:rsid w:val="00DC62B3"/>
    <w:rsid w:val="00DC69EF"/>
    <w:rsid w:val="00DC6F1D"/>
    <w:rsid w:val="00DC71CB"/>
    <w:rsid w:val="00DC7319"/>
    <w:rsid w:val="00DC73A1"/>
    <w:rsid w:val="00DC7D63"/>
    <w:rsid w:val="00DC7D8F"/>
    <w:rsid w:val="00DD0097"/>
    <w:rsid w:val="00DD02ED"/>
    <w:rsid w:val="00DD0FB2"/>
    <w:rsid w:val="00DD1076"/>
    <w:rsid w:val="00DD1DAC"/>
    <w:rsid w:val="00DD1E90"/>
    <w:rsid w:val="00DD2474"/>
    <w:rsid w:val="00DD3447"/>
    <w:rsid w:val="00DD38DD"/>
    <w:rsid w:val="00DD3DA4"/>
    <w:rsid w:val="00DD4087"/>
    <w:rsid w:val="00DD6605"/>
    <w:rsid w:val="00DD6D05"/>
    <w:rsid w:val="00DD765C"/>
    <w:rsid w:val="00DD7949"/>
    <w:rsid w:val="00DE0019"/>
    <w:rsid w:val="00DE05A8"/>
    <w:rsid w:val="00DE191B"/>
    <w:rsid w:val="00DE1D34"/>
    <w:rsid w:val="00DE1D87"/>
    <w:rsid w:val="00DE2083"/>
    <w:rsid w:val="00DE2A4A"/>
    <w:rsid w:val="00DE2E63"/>
    <w:rsid w:val="00DE3AEE"/>
    <w:rsid w:val="00DE4668"/>
    <w:rsid w:val="00DE51C8"/>
    <w:rsid w:val="00DE56B4"/>
    <w:rsid w:val="00DE5804"/>
    <w:rsid w:val="00DE6FE2"/>
    <w:rsid w:val="00DE7EBF"/>
    <w:rsid w:val="00DF0C20"/>
    <w:rsid w:val="00DF2194"/>
    <w:rsid w:val="00DF24A1"/>
    <w:rsid w:val="00DF2506"/>
    <w:rsid w:val="00DF2C8C"/>
    <w:rsid w:val="00DF2F11"/>
    <w:rsid w:val="00DF3D92"/>
    <w:rsid w:val="00DF4344"/>
    <w:rsid w:val="00DF566D"/>
    <w:rsid w:val="00DF762B"/>
    <w:rsid w:val="00E011F1"/>
    <w:rsid w:val="00E01AB0"/>
    <w:rsid w:val="00E021B4"/>
    <w:rsid w:val="00E029DB"/>
    <w:rsid w:val="00E029FF"/>
    <w:rsid w:val="00E032E3"/>
    <w:rsid w:val="00E03DDE"/>
    <w:rsid w:val="00E0403A"/>
    <w:rsid w:val="00E0427D"/>
    <w:rsid w:val="00E0477B"/>
    <w:rsid w:val="00E04BAE"/>
    <w:rsid w:val="00E05EF2"/>
    <w:rsid w:val="00E0602E"/>
    <w:rsid w:val="00E0762A"/>
    <w:rsid w:val="00E07CEF"/>
    <w:rsid w:val="00E07F54"/>
    <w:rsid w:val="00E111D5"/>
    <w:rsid w:val="00E117B7"/>
    <w:rsid w:val="00E1261F"/>
    <w:rsid w:val="00E13F58"/>
    <w:rsid w:val="00E141A5"/>
    <w:rsid w:val="00E148DD"/>
    <w:rsid w:val="00E14AE5"/>
    <w:rsid w:val="00E14E6A"/>
    <w:rsid w:val="00E158AE"/>
    <w:rsid w:val="00E15EB5"/>
    <w:rsid w:val="00E163B7"/>
    <w:rsid w:val="00E1644F"/>
    <w:rsid w:val="00E16465"/>
    <w:rsid w:val="00E164FA"/>
    <w:rsid w:val="00E16AD5"/>
    <w:rsid w:val="00E16EF2"/>
    <w:rsid w:val="00E17AC3"/>
    <w:rsid w:val="00E17E00"/>
    <w:rsid w:val="00E207E6"/>
    <w:rsid w:val="00E21A1A"/>
    <w:rsid w:val="00E21DEF"/>
    <w:rsid w:val="00E21EEC"/>
    <w:rsid w:val="00E2251C"/>
    <w:rsid w:val="00E23051"/>
    <w:rsid w:val="00E23A5B"/>
    <w:rsid w:val="00E23D1F"/>
    <w:rsid w:val="00E23DC5"/>
    <w:rsid w:val="00E24158"/>
    <w:rsid w:val="00E24397"/>
    <w:rsid w:val="00E24A36"/>
    <w:rsid w:val="00E24EBB"/>
    <w:rsid w:val="00E2517F"/>
    <w:rsid w:val="00E25B33"/>
    <w:rsid w:val="00E25CDD"/>
    <w:rsid w:val="00E25F90"/>
    <w:rsid w:val="00E26A16"/>
    <w:rsid w:val="00E26DC7"/>
    <w:rsid w:val="00E27D84"/>
    <w:rsid w:val="00E30627"/>
    <w:rsid w:val="00E319BB"/>
    <w:rsid w:val="00E33828"/>
    <w:rsid w:val="00E344AC"/>
    <w:rsid w:val="00E34F6F"/>
    <w:rsid w:val="00E35206"/>
    <w:rsid w:val="00E36F3F"/>
    <w:rsid w:val="00E37132"/>
    <w:rsid w:val="00E37B18"/>
    <w:rsid w:val="00E409AD"/>
    <w:rsid w:val="00E416F6"/>
    <w:rsid w:val="00E41C2C"/>
    <w:rsid w:val="00E422A3"/>
    <w:rsid w:val="00E42BA7"/>
    <w:rsid w:val="00E42C5A"/>
    <w:rsid w:val="00E4361C"/>
    <w:rsid w:val="00E43A66"/>
    <w:rsid w:val="00E441A9"/>
    <w:rsid w:val="00E4437C"/>
    <w:rsid w:val="00E45DC6"/>
    <w:rsid w:val="00E4615D"/>
    <w:rsid w:val="00E46DAB"/>
    <w:rsid w:val="00E46E89"/>
    <w:rsid w:val="00E47729"/>
    <w:rsid w:val="00E47944"/>
    <w:rsid w:val="00E50254"/>
    <w:rsid w:val="00E502FE"/>
    <w:rsid w:val="00E50303"/>
    <w:rsid w:val="00E50C87"/>
    <w:rsid w:val="00E50EB8"/>
    <w:rsid w:val="00E50FFF"/>
    <w:rsid w:val="00E510C8"/>
    <w:rsid w:val="00E51366"/>
    <w:rsid w:val="00E51D1D"/>
    <w:rsid w:val="00E53041"/>
    <w:rsid w:val="00E53468"/>
    <w:rsid w:val="00E5476D"/>
    <w:rsid w:val="00E5493E"/>
    <w:rsid w:val="00E54A2C"/>
    <w:rsid w:val="00E55529"/>
    <w:rsid w:val="00E5662A"/>
    <w:rsid w:val="00E5667A"/>
    <w:rsid w:val="00E56A67"/>
    <w:rsid w:val="00E6065B"/>
    <w:rsid w:val="00E6077D"/>
    <w:rsid w:val="00E6129B"/>
    <w:rsid w:val="00E6199C"/>
    <w:rsid w:val="00E61CC9"/>
    <w:rsid w:val="00E62440"/>
    <w:rsid w:val="00E633B4"/>
    <w:rsid w:val="00E64B1A"/>
    <w:rsid w:val="00E64DD4"/>
    <w:rsid w:val="00E65131"/>
    <w:rsid w:val="00E658CF"/>
    <w:rsid w:val="00E65F9E"/>
    <w:rsid w:val="00E65FAF"/>
    <w:rsid w:val="00E663F0"/>
    <w:rsid w:val="00E664A6"/>
    <w:rsid w:val="00E67426"/>
    <w:rsid w:val="00E675F1"/>
    <w:rsid w:val="00E70E33"/>
    <w:rsid w:val="00E71ABB"/>
    <w:rsid w:val="00E71D9D"/>
    <w:rsid w:val="00E722C5"/>
    <w:rsid w:val="00E72C04"/>
    <w:rsid w:val="00E72F1C"/>
    <w:rsid w:val="00E734B7"/>
    <w:rsid w:val="00E73D98"/>
    <w:rsid w:val="00E73DC7"/>
    <w:rsid w:val="00E74144"/>
    <w:rsid w:val="00E751BC"/>
    <w:rsid w:val="00E751D1"/>
    <w:rsid w:val="00E76071"/>
    <w:rsid w:val="00E76408"/>
    <w:rsid w:val="00E80A5B"/>
    <w:rsid w:val="00E81FB5"/>
    <w:rsid w:val="00E82515"/>
    <w:rsid w:val="00E826AB"/>
    <w:rsid w:val="00E82962"/>
    <w:rsid w:val="00E83944"/>
    <w:rsid w:val="00E83BB0"/>
    <w:rsid w:val="00E8460C"/>
    <w:rsid w:val="00E84709"/>
    <w:rsid w:val="00E857C1"/>
    <w:rsid w:val="00E85F5E"/>
    <w:rsid w:val="00E860AD"/>
    <w:rsid w:val="00E863E7"/>
    <w:rsid w:val="00E86464"/>
    <w:rsid w:val="00E865B2"/>
    <w:rsid w:val="00E86FBB"/>
    <w:rsid w:val="00E871A0"/>
    <w:rsid w:val="00E9007F"/>
    <w:rsid w:val="00E904AF"/>
    <w:rsid w:val="00E906BA"/>
    <w:rsid w:val="00E9129C"/>
    <w:rsid w:val="00E915F3"/>
    <w:rsid w:val="00E916F9"/>
    <w:rsid w:val="00E91CC0"/>
    <w:rsid w:val="00E91FDB"/>
    <w:rsid w:val="00E92819"/>
    <w:rsid w:val="00E933D8"/>
    <w:rsid w:val="00E93CDA"/>
    <w:rsid w:val="00E942CE"/>
    <w:rsid w:val="00E94343"/>
    <w:rsid w:val="00E9538B"/>
    <w:rsid w:val="00E95526"/>
    <w:rsid w:val="00E95BAD"/>
    <w:rsid w:val="00E95E32"/>
    <w:rsid w:val="00E96CE4"/>
    <w:rsid w:val="00E97839"/>
    <w:rsid w:val="00EA0107"/>
    <w:rsid w:val="00EA069C"/>
    <w:rsid w:val="00EA0DAE"/>
    <w:rsid w:val="00EA1478"/>
    <w:rsid w:val="00EA279C"/>
    <w:rsid w:val="00EA2B58"/>
    <w:rsid w:val="00EA3032"/>
    <w:rsid w:val="00EA3F53"/>
    <w:rsid w:val="00EA41B6"/>
    <w:rsid w:val="00EA4232"/>
    <w:rsid w:val="00EA470F"/>
    <w:rsid w:val="00EA4AB9"/>
    <w:rsid w:val="00EA4B87"/>
    <w:rsid w:val="00EA4CEC"/>
    <w:rsid w:val="00EA536B"/>
    <w:rsid w:val="00EA5767"/>
    <w:rsid w:val="00EA6094"/>
    <w:rsid w:val="00EA6AD1"/>
    <w:rsid w:val="00EA6EB8"/>
    <w:rsid w:val="00EA7691"/>
    <w:rsid w:val="00EB0A08"/>
    <w:rsid w:val="00EB1C7B"/>
    <w:rsid w:val="00EB3A02"/>
    <w:rsid w:val="00EB3E1A"/>
    <w:rsid w:val="00EB52CC"/>
    <w:rsid w:val="00EB530B"/>
    <w:rsid w:val="00EB5423"/>
    <w:rsid w:val="00EB61EB"/>
    <w:rsid w:val="00EB624B"/>
    <w:rsid w:val="00EB6D74"/>
    <w:rsid w:val="00EB7EA1"/>
    <w:rsid w:val="00EC080A"/>
    <w:rsid w:val="00EC2157"/>
    <w:rsid w:val="00EC3201"/>
    <w:rsid w:val="00EC3355"/>
    <w:rsid w:val="00EC3646"/>
    <w:rsid w:val="00EC3A14"/>
    <w:rsid w:val="00EC3BB7"/>
    <w:rsid w:val="00EC433E"/>
    <w:rsid w:val="00EC46E3"/>
    <w:rsid w:val="00EC4F2C"/>
    <w:rsid w:val="00EC5246"/>
    <w:rsid w:val="00EC5B27"/>
    <w:rsid w:val="00EC617D"/>
    <w:rsid w:val="00EC7CA7"/>
    <w:rsid w:val="00ED06BA"/>
    <w:rsid w:val="00ED10E0"/>
    <w:rsid w:val="00ED1D96"/>
    <w:rsid w:val="00ED22EE"/>
    <w:rsid w:val="00ED25A0"/>
    <w:rsid w:val="00ED27FA"/>
    <w:rsid w:val="00ED28BB"/>
    <w:rsid w:val="00ED2BA0"/>
    <w:rsid w:val="00ED2C2B"/>
    <w:rsid w:val="00ED2D55"/>
    <w:rsid w:val="00ED3445"/>
    <w:rsid w:val="00ED356B"/>
    <w:rsid w:val="00ED406F"/>
    <w:rsid w:val="00ED455B"/>
    <w:rsid w:val="00ED4622"/>
    <w:rsid w:val="00ED4985"/>
    <w:rsid w:val="00ED4A1B"/>
    <w:rsid w:val="00ED4A54"/>
    <w:rsid w:val="00ED4B82"/>
    <w:rsid w:val="00ED4C99"/>
    <w:rsid w:val="00ED62A9"/>
    <w:rsid w:val="00ED684D"/>
    <w:rsid w:val="00ED7763"/>
    <w:rsid w:val="00ED7A81"/>
    <w:rsid w:val="00EE01AD"/>
    <w:rsid w:val="00EE02B5"/>
    <w:rsid w:val="00EE05BF"/>
    <w:rsid w:val="00EE05CB"/>
    <w:rsid w:val="00EE0A85"/>
    <w:rsid w:val="00EE1A45"/>
    <w:rsid w:val="00EE1BBE"/>
    <w:rsid w:val="00EE24BE"/>
    <w:rsid w:val="00EE2737"/>
    <w:rsid w:val="00EE402C"/>
    <w:rsid w:val="00EE4CD7"/>
    <w:rsid w:val="00EE6759"/>
    <w:rsid w:val="00EE6761"/>
    <w:rsid w:val="00EE7090"/>
    <w:rsid w:val="00EE7E88"/>
    <w:rsid w:val="00EF03EB"/>
    <w:rsid w:val="00EF1270"/>
    <w:rsid w:val="00EF147A"/>
    <w:rsid w:val="00EF22BB"/>
    <w:rsid w:val="00EF2360"/>
    <w:rsid w:val="00EF2640"/>
    <w:rsid w:val="00EF28AA"/>
    <w:rsid w:val="00EF42BE"/>
    <w:rsid w:val="00EF448D"/>
    <w:rsid w:val="00EF4A8A"/>
    <w:rsid w:val="00EF4DE1"/>
    <w:rsid w:val="00EF5348"/>
    <w:rsid w:val="00EF55EA"/>
    <w:rsid w:val="00EF5A4E"/>
    <w:rsid w:val="00EF5FBA"/>
    <w:rsid w:val="00EF670D"/>
    <w:rsid w:val="00EF74DE"/>
    <w:rsid w:val="00F00549"/>
    <w:rsid w:val="00F0089C"/>
    <w:rsid w:val="00F014AF"/>
    <w:rsid w:val="00F01719"/>
    <w:rsid w:val="00F01EB8"/>
    <w:rsid w:val="00F027C1"/>
    <w:rsid w:val="00F02F7A"/>
    <w:rsid w:val="00F037DE"/>
    <w:rsid w:val="00F03C8A"/>
    <w:rsid w:val="00F04493"/>
    <w:rsid w:val="00F0587C"/>
    <w:rsid w:val="00F06053"/>
    <w:rsid w:val="00F078F3"/>
    <w:rsid w:val="00F07E08"/>
    <w:rsid w:val="00F10A2B"/>
    <w:rsid w:val="00F11966"/>
    <w:rsid w:val="00F11FD5"/>
    <w:rsid w:val="00F1204D"/>
    <w:rsid w:val="00F120A0"/>
    <w:rsid w:val="00F125BE"/>
    <w:rsid w:val="00F130A1"/>
    <w:rsid w:val="00F13E08"/>
    <w:rsid w:val="00F14308"/>
    <w:rsid w:val="00F14643"/>
    <w:rsid w:val="00F14C18"/>
    <w:rsid w:val="00F14DE7"/>
    <w:rsid w:val="00F14FA6"/>
    <w:rsid w:val="00F15080"/>
    <w:rsid w:val="00F15A23"/>
    <w:rsid w:val="00F15F5C"/>
    <w:rsid w:val="00F16243"/>
    <w:rsid w:val="00F16B51"/>
    <w:rsid w:val="00F16B54"/>
    <w:rsid w:val="00F171D8"/>
    <w:rsid w:val="00F1789B"/>
    <w:rsid w:val="00F17CC2"/>
    <w:rsid w:val="00F20251"/>
    <w:rsid w:val="00F22378"/>
    <w:rsid w:val="00F235B1"/>
    <w:rsid w:val="00F242AA"/>
    <w:rsid w:val="00F244A1"/>
    <w:rsid w:val="00F245B1"/>
    <w:rsid w:val="00F246D1"/>
    <w:rsid w:val="00F24A34"/>
    <w:rsid w:val="00F24F90"/>
    <w:rsid w:val="00F26063"/>
    <w:rsid w:val="00F26196"/>
    <w:rsid w:val="00F267CA"/>
    <w:rsid w:val="00F26A00"/>
    <w:rsid w:val="00F26AEF"/>
    <w:rsid w:val="00F27F88"/>
    <w:rsid w:val="00F3097F"/>
    <w:rsid w:val="00F315E4"/>
    <w:rsid w:val="00F31800"/>
    <w:rsid w:val="00F31F82"/>
    <w:rsid w:val="00F321D2"/>
    <w:rsid w:val="00F32285"/>
    <w:rsid w:val="00F324DF"/>
    <w:rsid w:val="00F32586"/>
    <w:rsid w:val="00F32A87"/>
    <w:rsid w:val="00F33416"/>
    <w:rsid w:val="00F33466"/>
    <w:rsid w:val="00F33730"/>
    <w:rsid w:val="00F33A38"/>
    <w:rsid w:val="00F33AE6"/>
    <w:rsid w:val="00F348B2"/>
    <w:rsid w:val="00F3627E"/>
    <w:rsid w:val="00F36566"/>
    <w:rsid w:val="00F37AC1"/>
    <w:rsid w:val="00F37C5F"/>
    <w:rsid w:val="00F402E1"/>
    <w:rsid w:val="00F41464"/>
    <w:rsid w:val="00F422D6"/>
    <w:rsid w:val="00F42555"/>
    <w:rsid w:val="00F430F4"/>
    <w:rsid w:val="00F43371"/>
    <w:rsid w:val="00F435A2"/>
    <w:rsid w:val="00F43768"/>
    <w:rsid w:val="00F43809"/>
    <w:rsid w:val="00F43E51"/>
    <w:rsid w:val="00F4445C"/>
    <w:rsid w:val="00F44F50"/>
    <w:rsid w:val="00F45662"/>
    <w:rsid w:val="00F46752"/>
    <w:rsid w:val="00F46CF5"/>
    <w:rsid w:val="00F46F69"/>
    <w:rsid w:val="00F4768D"/>
    <w:rsid w:val="00F50D6F"/>
    <w:rsid w:val="00F528E6"/>
    <w:rsid w:val="00F53E4A"/>
    <w:rsid w:val="00F54347"/>
    <w:rsid w:val="00F5464A"/>
    <w:rsid w:val="00F54867"/>
    <w:rsid w:val="00F561D0"/>
    <w:rsid w:val="00F56AF2"/>
    <w:rsid w:val="00F56F97"/>
    <w:rsid w:val="00F60144"/>
    <w:rsid w:val="00F61316"/>
    <w:rsid w:val="00F618FC"/>
    <w:rsid w:val="00F61A65"/>
    <w:rsid w:val="00F62301"/>
    <w:rsid w:val="00F6272A"/>
    <w:rsid w:val="00F63803"/>
    <w:rsid w:val="00F6385C"/>
    <w:rsid w:val="00F643C2"/>
    <w:rsid w:val="00F64785"/>
    <w:rsid w:val="00F64B78"/>
    <w:rsid w:val="00F64E9F"/>
    <w:rsid w:val="00F65E80"/>
    <w:rsid w:val="00F674E9"/>
    <w:rsid w:val="00F67FE1"/>
    <w:rsid w:val="00F7079C"/>
    <w:rsid w:val="00F7114B"/>
    <w:rsid w:val="00F72045"/>
    <w:rsid w:val="00F729C0"/>
    <w:rsid w:val="00F731D5"/>
    <w:rsid w:val="00F734F0"/>
    <w:rsid w:val="00F743BB"/>
    <w:rsid w:val="00F7529E"/>
    <w:rsid w:val="00F76370"/>
    <w:rsid w:val="00F7715B"/>
    <w:rsid w:val="00F7740D"/>
    <w:rsid w:val="00F7774C"/>
    <w:rsid w:val="00F800AF"/>
    <w:rsid w:val="00F803F4"/>
    <w:rsid w:val="00F808FD"/>
    <w:rsid w:val="00F80CA3"/>
    <w:rsid w:val="00F80E2F"/>
    <w:rsid w:val="00F81D73"/>
    <w:rsid w:val="00F822EF"/>
    <w:rsid w:val="00F824B3"/>
    <w:rsid w:val="00F82840"/>
    <w:rsid w:val="00F82A9E"/>
    <w:rsid w:val="00F82F1F"/>
    <w:rsid w:val="00F83195"/>
    <w:rsid w:val="00F83D83"/>
    <w:rsid w:val="00F83F64"/>
    <w:rsid w:val="00F8558A"/>
    <w:rsid w:val="00F85814"/>
    <w:rsid w:val="00F85A73"/>
    <w:rsid w:val="00F85CCA"/>
    <w:rsid w:val="00F85EC7"/>
    <w:rsid w:val="00F86992"/>
    <w:rsid w:val="00F86CAB"/>
    <w:rsid w:val="00F8711D"/>
    <w:rsid w:val="00F879D2"/>
    <w:rsid w:val="00F87A48"/>
    <w:rsid w:val="00F87EFB"/>
    <w:rsid w:val="00F90F3D"/>
    <w:rsid w:val="00F9133E"/>
    <w:rsid w:val="00F9170B"/>
    <w:rsid w:val="00F91AD3"/>
    <w:rsid w:val="00F920F4"/>
    <w:rsid w:val="00F92B3B"/>
    <w:rsid w:val="00F931C1"/>
    <w:rsid w:val="00F940DC"/>
    <w:rsid w:val="00F94157"/>
    <w:rsid w:val="00F94922"/>
    <w:rsid w:val="00F94F9F"/>
    <w:rsid w:val="00F95078"/>
    <w:rsid w:val="00F95576"/>
    <w:rsid w:val="00F9565C"/>
    <w:rsid w:val="00F95FA1"/>
    <w:rsid w:val="00F96687"/>
    <w:rsid w:val="00F968CF"/>
    <w:rsid w:val="00F96B1B"/>
    <w:rsid w:val="00F970EF"/>
    <w:rsid w:val="00F9743C"/>
    <w:rsid w:val="00F9768B"/>
    <w:rsid w:val="00F97B80"/>
    <w:rsid w:val="00F97BF9"/>
    <w:rsid w:val="00F97E5F"/>
    <w:rsid w:val="00FA0C1C"/>
    <w:rsid w:val="00FA0F19"/>
    <w:rsid w:val="00FA0FFC"/>
    <w:rsid w:val="00FA1579"/>
    <w:rsid w:val="00FA209E"/>
    <w:rsid w:val="00FA2D5B"/>
    <w:rsid w:val="00FA395A"/>
    <w:rsid w:val="00FA3EF6"/>
    <w:rsid w:val="00FA4572"/>
    <w:rsid w:val="00FA48BC"/>
    <w:rsid w:val="00FA4B8B"/>
    <w:rsid w:val="00FA510F"/>
    <w:rsid w:val="00FA57FF"/>
    <w:rsid w:val="00FA5801"/>
    <w:rsid w:val="00FA67ED"/>
    <w:rsid w:val="00FB0BBB"/>
    <w:rsid w:val="00FB0EA8"/>
    <w:rsid w:val="00FB120A"/>
    <w:rsid w:val="00FB137F"/>
    <w:rsid w:val="00FB15E6"/>
    <w:rsid w:val="00FB1913"/>
    <w:rsid w:val="00FB222D"/>
    <w:rsid w:val="00FB35F1"/>
    <w:rsid w:val="00FB39F8"/>
    <w:rsid w:val="00FB45B3"/>
    <w:rsid w:val="00FB4F67"/>
    <w:rsid w:val="00FB55D7"/>
    <w:rsid w:val="00FB5897"/>
    <w:rsid w:val="00FB6166"/>
    <w:rsid w:val="00FB62E1"/>
    <w:rsid w:val="00FB6B61"/>
    <w:rsid w:val="00FB710D"/>
    <w:rsid w:val="00FB7E3A"/>
    <w:rsid w:val="00FC0DB3"/>
    <w:rsid w:val="00FC0F2D"/>
    <w:rsid w:val="00FC1AFF"/>
    <w:rsid w:val="00FC1DE7"/>
    <w:rsid w:val="00FC27FE"/>
    <w:rsid w:val="00FC3429"/>
    <w:rsid w:val="00FC40CF"/>
    <w:rsid w:val="00FC4406"/>
    <w:rsid w:val="00FC4A76"/>
    <w:rsid w:val="00FC4FC4"/>
    <w:rsid w:val="00FC5374"/>
    <w:rsid w:val="00FC564B"/>
    <w:rsid w:val="00FC58A9"/>
    <w:rsid w:val="00FC6914"/>
    <w:rsid w:val="00FC7090"/>
    <w:rsid w:val="00FD0AA4"/>
    <w:rsid w:val="00FD0DCA"/>
    <w:rsid w:val="00FD1894"/>
    <w:rsid w:val="00FD1F44"/>
    <w:rsid w:val="00FD23A7"/>
    <w:rsid w:val="00FD275F"/>
    <w:rsid w:val="00FD31C6"/>
    <w:rsid w:val="00FD3534"/>
    <w:rsid w:val="00FD3F1B"/>
    <w:rsid w:val="00FD3F75"/>
    <w:rsid w:val="00FD51D3"/>
    <w:rsid w:val="00FD6DD8"/>
    <w:rsid w:val="00FD745C"/>
    <w:rsid w:val="00FD79AD"/>
    <w:rsid w:val="00FD7E0C"/>
    <w:rsid w:val="00FD7FE0"/>
    <w:rsid w:val="00FE07EA"/>
    <w:rsid w:val="00FE0EEA"/>
    <w:rsid w:val="00FE10BB"/>
    <w:rsid w:val="00FE1577"/>
    <w:rsid w:val="00FE1B85"/>
    <w:rsid w:val="00FE24F7"/>
    <w:rsid w:val="00FE28A8"/>
    <w:rsid w:val="00FE4219"/>
    <w:rsid w:val="00FE4554"/>
    <w:rsid w:val="00FE45E0"/>
    <w:rsid w:val="00FE52E6"/>
    <w:rsid w:val="00FE573B"/>
    <w:rsid w:val="00FE7DD9"/>
    <w:rsid w:val="00FE7F50"/>
    <w:rsid w:val="00FF0F4D"/>
    <w:rsid w:val="00FF15BA"/>
    <w:rsid w:val="00FF15BF"/>
    <w:rsid w:val="00FF189F"/>
    <w:rsid w:val="00FF1C2B"/>
    <w:rsid w:val="00FF1ED7"/>
    <w:rsid w:val="00FF1FA8"/>
    <w:rsid w:val="00FF2421"/>
    <w:rsid w:val="00FF29E7"/>
    <w:rsid w:val="00FF2D5E"/>
    <w:rsid w:val="00FF2E4A"/>
    <w:rsid w:val="00FF4B97"/>
    <w:rsid w:val="00FF4DAD"/>
    <w:rsid w:val="00FF5576"/>
    <w:rsid w:val="00FF582D"/>
    <w:rsid w:val="00FF5BFA"/>
    <w:rsid w:val="00FF5FD5"/>
    <w:rsid w:val="00FF62D9"/>
    <w:rsid w:val="00FF695A"/>
    <w:rsid w:val="00FF7504"/>
    <w:rsid w:val="0143C086"/>
    <w:rsid w:val="01482CCA"/>
    <w:rsid w:val="01614E3D"/>
    <w:rsid w:val="01C15119"/>
    <w:rsid w:val="0253BE20"/>
    <w:rsid w:val="027716A4"/>
    <w:rsid w:val="02FD1E9E"/>
    <w:rsid w:val="03039C95"/>
    <w:rsid w:val="030A6506"/>
    <w:rsid w:val="0341A1C9"/>
    <w:rsid w:val="03A2DD16"/>
    <w:rsid w:val="03C55282"/>
    <w:rsid w:val="03DA9579"/>
    <w:rsid w:val="03DCF7DE"/>
    <w:rsid w:val="03E705D0"/>
    <w:rsid w:val="0423F75E"/>
    <w:rsid w:val="046FAA0A"/>
    <w:rsid w:val="04C5B9B0"/>
    <w:rsid w:val="04CD9DEC"/>
    <w:rsid w:val="053EAD77"/>
    <w:rsid w:val="053FEDBD"/>
    <w:rsid w:val="0566720B"/>
    <w:rsid w:val="05709BA0"/>
    <w:rsid w:val="0581CFF9"/>
    <w:rsid w:val="05C7B2CF"/>
    <w:rsid w:val="05F15037"/>
    <w:rsid w:val="0700DF38"/>
    <w:rsid w:val="0739BD2A"/>
    <w:rsid w:val="0791CE9C"/>
    <w:rsid w:val="07BE2207"/>
    <w:rsid w:val="07C30764"/>
    <w:rsid w:val="08200AD1"/>
    <w:rsid w:val="087A9D0D"/>
    <w:rsid w:val="08DA393A"/>
    <w:rsid w:val="09DD7AE8"/>
    <w:rsid w:val="09F13C6C"/>
    <w:rsid w:val="0A0BD8CE"/>
    <w:rsid w:val="0A1F520E"/>
    <w:rsid w:val="0A48DA2C"/>
    <w:rsid w:val="0A59EAF8"/>
    <w:rsid w:val="0A86E02A"/>
    <w:rsid w:val="0AB525EB"/>
    <w:rsid w:val="0B3E1216"/>
    <w:rsid w:val="0BADE0F6"/>
    <w:rsid w:val="0BADEEFB"/>
    <w:rsid w:val="0BE04952"/>
    <w:rsid w:val="0D2946CE"/>
    <w:rsid w:val="0D34E5D3"/>
    <w:rsid w:val="0E823DCA"/>
    <w:rsid w:val="0EB4445A"/>
    <w:rsid w:val="0EFE1958"/>
    <w:rsid w:val="0F1144C0"/>
    <w:rsid w:val="0F4D779A"/>
    <w:rsid w:val="0F840F04"/>
    <w:rsid w:val="0F88970E"/>
    <w:rsid w:val="1042EFCD"/>
    <w:rsid w:val="10F925DC"/>
    <w:rsid w:val="112971D5"/>
    <w:rsid w:val="1135A9E6"/>
    <w:rsid w:val="1165044D"/>
    <w:rsid w:val="11A1005A"/>
    <w:rsid w:val="127EE72F"/>
    <w:rsid w:val="1306510A"/>
    <w:rsid w:val="1362EFE6"/>
    <w:rsid w:val="13B75B67"/>
    <w:rsid w:val="13F5D962"/>
    <w:rsid w:val="146D4AA8"/>
    <w:rsid w:val="1476FC41"/>
    <w:rsid w:val="147BB0C0"/>
    <w:rsid w:val="14E900B8"/>
    <w:rsid w:val="14F588A0"/>
    <w:rsid w:val="1575135C"/>
    <w:rsid w:val="1625E3DA"/>
    <w:rsid w:val="16387570"/>
    <w:rsid w:val="16BA5364"/>
    <w:rsid w:val="16BE6934"/>
    <w:rsid w:val="16F995B2"/>
    <w:rsid w:val="174F1260"/>
    <w:rsid w:val="17CF4BFB"/>
    <w:rsid w:val="184ADFAB"/>
    <w:rsid w:val="187F8600"/>
    <w:rsid w:val="18EB37FF"/>
    <w:rsid w:val="18EDCCFA"/>
    <w:rsid w:val="199AF4AC"/>
    <w:rsid w:val="19BD49FE"/>
    <w:rsid w:val="19C4A1D7"/>
    <w:rsid w:val="1A4C1607"/>
    <w:rsid w:val="1AC45C3E"/>
    <w:rsid w:val="1B02DCFA"/>
    <w:rsid w:val="1B1A5FDE"/>
    <w:rsid w:val="1B34A968"/>
    <w:rsid w:val="1C0FC84A"/>
    <w:rsid w:val="1C40C1DB"/>
    <w:rsid w:val="1C9D4FEB"/>
    <w:rsid w:val="1CA856BA"/>
    <w:rsid w:val="1CDDBABA"/>
    <w:rsid w:val="1D3ED3D9"/>
    <w:rsid w:val="1DEED4A0"/>
    <w:rsid w:val="1E6C2FB4"/>
    <w:rsid w:val="1EB537E6"/>
    <w:rsid w:val="1EF20E2D"/>
    <w:rsid w:val="1FBA4AB2"/>
    <w:rsid w:val="1FC24E32"/>
    <w:rsid w:val="1FCCFC1B"/>
    <w:rsid w:val="1FD754A7"/>
    <w:rsid w:val="1FE08A99"/>
    <w:rsid w:val="2019709F"/>
    <w:rsid w:val="206397E3"/>
    <w:rsid w:val="2069B5CE"/>
    <w:rsid w:val="2069FE4E"/>
    <w:rsid w:val="211432FE"/>
    <w:rsid w:val="212EBF91"/>
    <w:rsid w:val="21721E7E"/>
    <w:rsid w:val="219B3808"/>
    <w:rsid w:val="21B866F4"/>
    <w:rsid w:val="21C22D12"/>
    <w:rsid w:val="225B3CEF"/>
    <w:rsid w:val="22899F5E"/>
    <w:rsid w:val="229AC436"/>
    <w:rsid w:val="22C13957"/>
    <w:rsid w:val="22D1BA57"/>
    <w:rsid w:val="24555F40"/>
    <w:rsid w:val="247CCD33"/>
    <w:rsid w:val="248455C0"/>
    <w:rsid w:val="24984393"/>
    <w:rsid w:val="24A819C7"/>
    <w:rsid w:val="24B53533"/>
    <w:rsid w:val="24DC9F2D"/>
    <w:rsid w:val="250C6897"/>
    <w:rsid w:val="258D636F"/>
    <w:rsid w:val="260ABBB2"/>
    <w:rsid w:val="2617629B"/>
    <w:rsid w:val="261CF63C"/>
    <w:rsid w:val="26458FA1"/>
    <w:rsid w:val="2670303E"/>
    <w:rsid w:val="269723A1"/>
    <w:rsid w:val="26B04BEB"/>
    <w:rsid w:val="273F9D83"/>
    <w:rsid w:val="2763129F"/>
    <w:rsid w:val="27C9370B"/>
    <w:rsid w:val="27EC344B"/>
    <w:rsid w:val="288CB34D"/>
    <w:rsid w:val="28C50431"/>
    <w:rsid w:val="293CFD46"/>
    <w:rsid w:val="298196B4"/>
    <w:rsid w:val="29EB5C56"/>
    <w:rsid w:val="2AE788E6"/>
    <w:rsid w:val="2B22FBF5"/>
    <w:rsid w:val="2B3FAFEA"/>
    <w:rsid w:val="2B53A758"/>
    <w:rsid w:val="2BDD7B46"/>
    <w:rsid w:val="2BFCA4F3"/>
    <w:rsid w:val="2CDE63C1"/>
    <w:rsid w:val="2D6CBCEA"/>
    <w:rsid w:val="2D7729DF"/>
    <w:rsid w:val="2DBFD051"/>
    <w:rsid w:val="2DD93192"/>
    <w:rsid w:val="2DE43CBB"/>
    <w:rsid w:val="2E06CF0F"/>
    <w:rsid w:val="2E0BE772"/>
    <w:rsid w:val="2EDE75A1"/>
    <w:rsid w:val="2F022127"/>
    <w:rsid w:val="2F7A2BE5"/>
    <w:rsid w:val="2FD85C02"/>
    <w:rsid w:val="3022C5FD"/>
    <w:rsid w:val="30B58A77"/>
    <w:rsid w:val="30DA52E7"/>
    <w:rsid w:val="3101E2AC"/>
    <w:rsid w:val="3135414C"/>
    <w:rsid w:val="3137565D"/>
    <w:rsid w:val="31D4BAE9"/>
    <w:rsid w:val="3228FAA3"/>
    <w:rsid w:val="3285EAFF"/>
    <w:rsid w:val="32861F3D"/>
    <w:rsid w:val="3289042F"/>
    <w:rsid w:val="328EBA27"/>
    <w:rsid w:val="33317809"/>
    <w:rsid w:val="3351D681"/>
    <w:rsid w:val="3382D8A5"/>
    <w:rsid w:val="33A4356A"/>
    <w:rsid w:val="3474C5F8"/>
    <w:rsid w:val="34B68CF2"/>
    <w:rsid w:val="34FA2AE7"/>
    <w:rsid w:val="3547B437"/>
    <w:rsid w:val="357DA82A"/>
    <w:rsid w:val="35ED7880"/>
    <w:rsid w:val="3614A635"/>
    <w:rsid w:val="3658F952"/>
    <w:rsid w:val="3661807A"/>
    <w:rsid w:val="3686CB26"/>
    <w:rsid w:val="36E446EE"/>
    <w:rsid w:val="37474520"/>
    <w:rsid w:val="374F765E"/>
    <w:rsid w:val="37EA97C9"/>
    <w:rsid w:val="37FA106E"/>
    <w:rsid w:val="380077DC"/>
    <w:rsid w:val="382735E6"/>
    <w:rsid w:val="383B19F5"/>
    <w:rsid w:val="3853248B"/>
    <w:rsid w:val="38C2BCC4"/>
    <w:rsid w:val="394F0DF4"/>
    <w:rsid w:val="3986682A"/>
    <w:rsid w:val="399CC660"/>
    <w:rsid w:val="39E99F42"/>
    <w:rsid w:val="3A67D055"/>
    <w:rsid w:val="3AB1B7BD"/>
    <w:rsid w:val="3AD049DD"/>
    <w:rsid w:val="3AD83363"/>
    <w:rsid w:val="3B604119"/>
    <w:rsid w:val="3B74ECE4"/>
    <w:rsid w:val="3BABD3A4"/>
    <w:rsid w:val="3C96E4DA"/>
    <w:rsid w:val="3CBE08EC"/>
    <w:rsid w:val="3CCE407F"/>
    <w:rsid w:val="3D30829D"/>
    <w:rsid w:val="3D58A5F4"/>
    <w:rsid w:val="3DA5E722"/>
    <w:rsid w:val="3E2F6ADB"/>
    <w:rsid w:val="3E5EBD4C"/>
    <w:rsid w:val="3EE770E4"/>
    <w:rsid w:val="3EF6A621"/>
    <w:rsid w:val="3F12E3AB"/>
    <w:rsid w:val="3F4DFF41"/>
    <w:rsid w:val="3F5A8843"/>
    <w:rsid w:val="3F65C18C"/>
    <w:rsid w:val="3FA7E097"/>
    <w:rsid w:val="3FEC0567"/>
    <w:rsid w:val="40317002"/>
    <w:rsid w:val="4107D0E4"/>
    <w:rsid w:val="415A16E6"/>
    <w:rsid w:val="41A5B4D6"/>
    <w:rsid w:val="41D44260"/>
    <w:rsid w:val="420DD786"/>
    <w:rsid w:val="42775B2F"/>
    <w:rsid w:val="428428DA"/>
    <w:rsid w:val="42853D02"/>
    <w:rsid w:val="428DC759"/>
    <w:rsid w:val="4291C56C"/>
    <w:rsid w:val="4328ED97"/>
    <w:rsid w:val="432D8442"/>
    <w:rsid w:val="4349D644"/>
    <w:rsid w:val="4416267B"/>
    <w:rsid w:val="442D5AA4"/>
    <w:rsid w:val="4462ADAA"/>
    <w:rsid w:val="44EF9EB1"/>
    <w:rsid w:val="4505EE62"/>
    <w:rsid w:val="453E10E1"/>
    <w:rsid w:val="45774447"/>
    <w:rsid w:val="45794B78"/>
    <w:rsid w:val="45829BAD"/>
    <w:rsid w:val="45A68424"/>
    <w:rsid w:val="45C19889"/>
    <w:rsid w:val="45C270C1"/>
    <w:rsid w:val="46290E39"/>
    <w:rsid w:val="46653122"/>
    <w:rsid w:val="46CD16C3"/>
    <w:rsid w:val="46E79A7F"/>
    <w:rsid w:val="46EA0571"/>
    <w:rsid w:val="46FBD00A"/>
    <w:rsid w:val="47A53F9C"/>
    <w:rsid w:val="47A5953E"/>
    <w:rsid w:val="47B7EACE"/>
    <w:rsid w:val="4890DF49"/>
    <w:rsid w:val="48A327D9"/>
    <w:rsid w:val="48F9394B"/>
    <w:rsid w:val="4917F446"/>
    <w:rsid w:val="49BB11B0"/>
    <w:rsid w:val="49F48EBA"/>
    <w:rsid w:val="49FAF456"/>
    <w:rsid w:val="4A33703B"/>
    <w:rsid w:val="4A4192CD"/>
    <w:rsid w:val="4A8D069D"/>
    <w:rsid w:val="4A9243A9"/>
    <w:rsid w:val="4B4E3DA1"/>
    <w:rsid w:val="4BAD291A"/>
    <w:rsid w:val="4C315B3C"/>
    <w:rsid w:val="4C87DCC4"/>
    <w:rsid w:val="4D17623F"/>
    <w:rsid w:val="4D1B0687"/>
    <w:rsid w:val="4D2C2F7C"/>
    <w:rsid w:val="4E74A253"/>
    <w:rsid w:val="4E86BEF9"/>
    <w:rsid w:val="4EBBB29C"/>
    <w:rsid w:val="4EC888E5"/>
    <w:rsid w:val="4FD432C6"/>
    <w:rsid w:val="4FDD8522"/>
    <w:rsid w:val="50093A71"/>
    <w:rsid w:val="5014A7AC"/>
    <w:rsid w:val="502A1934"/>
    <w:rsid w:val="503A626E"/>
    <w:rsid w:val="507AC440"/>
    <w:rsid w:val="51245C59"/>
    <w:rsid w:val="5190320E"/>
    <w:rsid w:val="519F0027"/>
    <w:rsid w:val="51B3CB26"/>
    <w:rsid w:val="51CE5292"/>
    <w:rsid w:val="529FAF4A"/>
    <w:rsid w:val="52C2D842"/>
    <w:rsid w:val="531E1019"/>
    <w:rsid w:val="5382B58F"/>
    <w:rsid w:val="5382E765"/>
    <w:rsid w:val="546CCDA5"/>
    <w:rsid w:val="547EEE80"/>
    <w:rsid w:val="549A3FF4"/>
    <w:rsid w:val="54DB9EB8"/>
    <w:rsid w:val="54E2DD4D"/>
    <w:rsid w:val="54F71CB4"/>
    <w:rsid w:val="5560CD8B"/>
    <w:rsid w:val="55DD4EF1"/>
    <w:rsid w:val="56138143"/>
    <w:rsid w:val="563DD69F"/>
    <w:rsid w:val="56780867"/>
    <w:rsid w:val="567FC7E4"/>
    <w:rsid w:val="56D5DADC"/>
    <w:rsid w:val="5734588D"/>
    <w:rsid w:val="581C02BC"/>
    <w:rsid w:val="58F179F3"/>
    <w:rsid w:val="58FA2AE4"/>
    <w:rsid w:val="58FE223E"/>
    <w:rsid w:val="591BCFF3"/>
    <w:rsid w:val="5939FCB7"/>
    <w:rsid w:val="595594ED"/>
    <w:rsid w:val="596B3F72"/>
    <w:rsid w:val="59704A2B"/>
    <w:rsid w:val="59FB1CF9"/>
    <w:rsid w:val="5A4CC6F8"/>
    <w:rsid w:val="5A508476"/>
    <w:rsid w:val="5ADA2EC9"/>
    <w:rsid w:val="5B581C4D"/>
    <w:rsid w:val="5B843A42"/>
    <w:rsid w:val="5BA75F4A"/>
    <w:rsid w:val="5BB899E7"/>
    <w:rsid w:val="5C1F770C"/>
    <w:rsid w:val="5C64B212"/>
    <w:rsid w:val="5C70BCF9"/>
    <w:rsid w:val="5C9227F9"/>
    <w:rsid w:val="5CC8EF4B"/>
    <w:rsid w:val="5CD2CB2E"/>
    <w:rsid w:val="5D16BCCF"/>
    <w:rsid w:val="5D3B41EB"/>
    <w:rsid w:val="5D652406"/>
    <w:rsid w:val="5D687584"/>
    <w:rsid w:val="5D7EE680"/>
    <w:rsid w:val="5DD81F26"/>
    <w:rsid w:val="5E2C8E61"/>
    <w:rsid w:val="5E55B168"/>
    <w:rsid w:val="5E785183"/>
    <w:rsid w:val="5EA8306D"/>
    <w:rsid w:val="5F37884C"/>
    <w:rsid w:val="5F4A1E23"/>
    <w:rsid w:val="5FA95BB0"/>
    <w:rsid w:val="5FDB4762"/>
    <w:rsid w:val="61116561"/>
    <w:rsid w:val="6144E521"/>
    <w:rsid w:val="619A9266"/>
    <w:rsid w:val="6233FA3B"/>
    <w:rsid w:val="6256EF8C"/>
    <w:rsid w:val="626EC6A5"/>
    <w:rsid w:val="62860D70"/>
    <w:rsid w:val="62E8CC83"/>
    <w:rsid w:val="62F0FDC1"/>
    <w:rsid w:val="62F844E5"/>
    <w:rsid w:val="6300C48E"/>
    <w:rsid w:val="6325D7B3"/>
    <w:rsid w:val="63397868"/>
    <w:rsid w:val="63B29211"/>
    <w:rsid w:val="641B0183"/>
    <w:rsid w:val="64250054"/>
    <w:rsid w:val="649B0697"/>
    <w:rsid w:val="64E4278E"/>
    <w:rsid w:val="6527EF8D"/>
    <w:rsid w:val="653512AF"/>
    <w:rsid w:val="6547A7A9"/>
    <w:rsid w:val="656F6B9B"/>
    <w:rsid w:val="661F1E61"/>
    <w:rsid w:val="66483038"/>
    <w:rsid w:val="66765D56"/>
    <w:rsid w:val="66D421E8"/>
    <w:rsid w:val="6775F563"/>
    <w:rsid w:val="678B2FC2"/>
    <w:rsid w:val="679AD513"/>
    <w:rsid w:val="68827637"/>
    <w:rsid w:val="6896EA1E"/>
    <w:rsid w:val="6898AD46"/>
    <w:rsid w:val="69F535FE"/>
    <w:rsid w:val="6A10B3CE"/>
    <w:rsid w:val="6A308FB2"/>
    <w:rsid w:val="6A3DDA2E"/>
    <w:rsid w:val="6A42D196"/>
    <w:rsid w:val="6A76D910"/>
    <w:rsid w:val="6ABADBF2"/>
    <w:rsid w:val="6AE041D3"/>
    <w:rsid w:val="6BBD82DA"/>
    <w:rsid w:val="6BC2C94A"/>
    <w:rsid w:val="6C1FAEAB"/>
    <w:rsid w:val="6C8E51E0"/>
    <w:rsid w:val="6C8E7755"/>
    <w:rsid w:val="6CAED55D"/>
    <w:rsid w:val="6D49DEB4"/>
    <w:rsid w:val="6D62E214"/>
    <w:rsid w:val="6D9E0A1E"/>
    <w:rsid w:val="6DEB2491"/>
    <w:rsid w:val="6E26D477"/>
    <w:rsid w:val="6E33435D"/>
    <w:rsid w:val="6E5B91BF"/>
    <w:rsid w:val="6EAA2E95"/>
    <w:rsid w:val="6EB26054"/>
    <w:rsid w:val="6F3E465D"/>
    <w:rsid w:val="6F65A46A"/>
    <w:rsid w:val="6F82FAAC"/>
    <w:rsid w:val="6F830E4F"/>
    <w:rsid w:val="6FAA1ED3"/>
    <w:rsid w:val="6FBA0CF0"/>
    <w:rsid w:val="6FC1E6A5"/>
    <w:rsid w:val="7012F3F4"/>
    <w:rsid w:val="70593D52"/>
    <w:rsid w:val="7090F3FD"/>
    <w:rsid w:val="70C6C3BE"/>
    <w:rsid w:val="70D4BBFC"/>
    <w:rsid w:val="70D57745"/>
    <w:rsid w:val="7115F08F"/>
    <w:rsid w:val="713C227A"/>
    <w:rsid w:val="713D8310"/>
    <w:rsid w:val="720184FF"/>
    <w:rsid w:val="72444B21"/>
    <w:rsid w:val="72989C49"/>
    <w:rsid w:val="72E8DDB3"/>
    <w:rsid w:val="73BB780F"/>
    <w:rsid w:val="7455B5E9"/>
    <w:rsid w:val="74635389"/>
    <w:rsid w:val="7499AEDE"/>
    <w:rsid w:val="74D96181"/>
    <w:rsid w:val="752DFA93"/>
    <w:rsid w:val="757FDB78"/>
    <w:rsid w:val="759F8407"/>
    <w:rsid w:val="75D04393"/>
    <w:rsid w:val="75E9BF77"/>
    <w:rsid w:val="7603BFC5"/>
    <w:rsid w:val="7649DA13"/>
    <w:rsid w:val="764AD5C0"/>
    <w:rsid w:val="766FB526"/>
    <w:rsid w:val="7671ADAC"/>
    <w:rsid w:val="767BE505"/>
    <w:rsid w:val="768037FF"/>
    <w:rsid w:val="76D4F622"/>
    <w:rsid w:val="7767756B"/>
    <w:rsid w:val="7767A1F5"/>
    <w:rsid w:val="781ACA6B"/>
    <w:rsid w:val="782E8C0F"/>
    <w:rsid w:val="78B55AC4"/>
    <w:rsid w:val="78C71169"/>
    <w:rsid w:val="791FBAC0"/>
    <w:rsid w:val="795CF6FA"/>
    <w:rsid w:val="798B718F"/>
    <w:rsid w:val="799DDE9E"/>
    <w:rsid w:val="7A5A8DFA"/>
    <w:rsid w:val="7A89E4BC"/>
    <w:rsid w:val="7A93D09A"/>
    <w:rsid w:val="7A985CDF"/>
    <w:rsid w:val="7AB86FFC"/>
    <w:rsid w:val="7AF8C75B"/>
    <w:rsid w:val="7B7D4706"/>
    <w:rsid w:val="7BA0D4C9"/>
    <w:rsid w:val="7BCD4A0C"/>
    <w:rsid w:val="7BDA0E46"/>
    <w:rsid w:val="7BF65E5B"/>
    <w:rsid w:val="7C224A3D"/>
    <w:rsid w:val="7C24D8F2"/>
    <w:rsid w:val="7C434314"/>
    <w:rsid w:val="7C693916"/>
    <w:rsid w:val="7C9B2381"/>
    <w:rsid w:val="7D079BE2"/>
    <w:rsid w:val="7D26286E"/>
    <w:rsid w:val="7D30145C"/>
    <w:rsid w:val="7D5C9AAD"/>
    <w:rsid w:val="7D7F1E45"/>
    <w:rsid w:val="7E036D93"/>
    <w:rsid w:val="7E5A8989"/>
    <w:rsid w:val="7E7EB050"/>
    <w:rsid w:val="7EE894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08829"/>
  <w15:docId w15:val="{1AEDD977-9CC3-492C-B34B-0942A390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9D7"/>
    <w:rPr>
      <w:rFonts w:ascii="Verdana" w:hAnsi="Verdana"/>
      <w:color w:val="000000"/>
      <w:sz w:val="24"/>
      <w:szCs w:val="24"/>
      <w:lang w:eastAsia="en-US"/>
    </w:rPr>
  </w:style>
  <w:style w:type="paragraph" w:styleId="Heading1">
    <w:name w:val="heading 1"/>
    <w:basedOn w:val="Normal"/>
    <w:next w:val="Normal"/>
    <w:link w:val="Heading1Char"/>
    <w:qFormat/>
    <w:rsid w:val="008B71A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71A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B71A9"/>
    <w:pPr>
      <w:keepNext/>
      <w:spacing w:before="240" w:after="60"/>
      <w:outlineLvl w:val="2"/>
    </w:pPr>
    <w:rPr>
      <w:rFonts w:ascii="Arial" w:hAnsi="Arial" w:cs="Arial"/>
      <w:b/>
      <w:bCs/>
      <w:color w:val="auto"/>
      <w:sz w:val="26"/>
      <w:szCs w:val="26"/>
    </w:rPr>
  </w:style>
  <w:style w:type="paragraph" w:styleId="Heading4">
    <w:name w:val="heading 4"/>
    <w:basedOn w:val="Normal"/>
    <w:next w:val="Normal"/>
    <w:link w:val="Heading4Char"/>
    <w:qFormat/>
    <w:rsid w:val="008B71A9"/>
    <w:pPr>
      <w:keepNext/>
      <w:spacing w:before="240" w:after="60"/>
      <w:outlineLvl w:val="3"/>
    </w:pPr>
    <w:rPr>
      <w:rFonts w:ascii="Times New Roman" w:hAnsi="Times New Roman"/>
      <w:b/>
      <w:bCs/>
      <w:color w:val="auto"/>
      <w:sz w:val="28"/>
      <w:szCs w:val="28"/>
    </w:rPr>
  </w:style>
  <w:style w:type="paragraph" w:styleId="Heading5">
    <w:name w:val="heading 5"/>
    <w:basedOn w:val="Normal"/>
    <w:next w:val="Normal"/>
    <w:link w:val="Heading5Char"/>
    <w:qFormat/>
    <w:rsid w:val="008B71A9"/>
    <w:pPr>
      <w:keepNext/>
      <w:widowControl w:val="0"/>
      <w:autoSpaceDE w:val="0"/>
      <w:autoSpaceDN w:val="0"/>
      <w:adjustRightInd w:val="0"/>
      <w:ind w:firstLine="567"/>
      <w:outlineLvl w:val="4"/>
    </w:pPr>
    <w:rPr>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6A01"/>
    <w:rPr>
      <w:rFonts w:ascii="Arial" w:hAnsi="Arial" w:cs="Arial"/>
      <w:b/>
      <w:bCs/>
      <w:color w:val="000000"/>
      <w:kern w:val="32"/>
      <w:sz w:val="32"/>
      <w:szCs w:val="32"/>
      <w:lang w:val="en-GB" w:eastAsia="en-US" w:bidi="ar-SA"/>
    </w:rPr>
  </w:style>
  <w:style w:type="character" w:customStyle="1" w:styleId="Heading2Char">
    <w:name w:val="Heading 2 Char"/>
    <w:link w:val="Heading2"/>
    <w:rsid w:val="00886A01"/>
    <w:rPr>
      <w:rFonts w:ascii="Arial" w:hAnsi="Arial" w:cs="Arial"/>
      <w:b/>
      <w:bCs/>
      <w:i/>
      <w:iCs/>
      <w:color w:val="000000"/>
      <w:sz w:val="28"/>
      <w:szCs w:val="28"/>
      <w:lang w:val="en-GB" w:eastAsia="en-US" w:bidi="ar-SA"/>
    </w:rPr>
  </w:style>
  <w:style w:type="character" w:customStyle="1" w:styleId="Heading3Char">
    <w:name w:val="Heading 3 Char"/>
    <w:link w:val="Heading3"/>
    <w:rsid w:val="00886A01"/>
    <w:rPr>
      <w:rFonts w:ascii="Arial" w:hAnsi="Arial" w:cs="Arial"/>
      <w:b/>
      <w:bCs/>
      <w:sz w:val="26"/>
      <w:szCs w:val="26"/>
      <w:lang w:val="en-GB" w:eastAsia="en-US" w:bidi="ar-SA"/>
    </w:rPr>
  </w:style>
  <w:style w:type="character" w:customStyle="1" w:styleId="Heading4Char">
    <w:name w:val="Heading 4 Char"/>
    <w:link w:val="Heading4"/>
    <w:rsid w:val="00886A01"/>
    <w:rPr>
      <w:b/>
      <w:bCs/>
      <w:sz w:val="28"/>
      <w:szCs w:val="28"/>
      <w:lang w:val="en-GB" w:eastAsia="en-US" w:bidi="ar-SA"/>
    </w:rPr>
  </w:style>
  <w:style w:type="character" w:customStyle="1" w:styleId="Heading5Char">
    <w:name w:val="Heading 5 Char"/>
    <w:link w:val="Heading5"/>
    <w:rsid w:val="00886A01"/>
    <w:rPr>
      <w:rFonts w:ascii="Verdana" w:hAnsi="Verdana"/>
      <w:b/>
      <w:sz w:val="22"/>
      <w:szCs w:val="22"/>
      <w:lang w:val="en-GB" w:eastAsia="en-US" w:bidi="ar-SA"/>
    </w:rPr>
  </w:style>
  <w:style w:type="paragraph" w:customStyle="1" w:styleId="HouseStyle1">
    <w:name w:val="House Style1"/>
    <w:basedOn w:val="Normal"/>
    <w:autoRedefine/>
    <w:rsid w:val="008B71A9"/>
    <w:pPr>
      <w:framePr w:wrap="around" w:vAnchor="text" w:hAnchor="text" w:y="1"/>
      <w:tabs>
        <w:tab w:val="left" w:pos="1701"/>
      </w:tabs>
      <w:ind w:left="-120"/>
    </w:pPr>
  </w:style>
  <w:style w:type="paragraph" w:customStyle="1" w:styleId="Style1">
    <w:name w:val="Style1"/>
    <w:basedOn w:val="Normal"/>
    <w:autoRedefine/>
    <w:rsid w:val="008B71A9"/>
    <w:pPr>
      <w:tabs>
        <w:tab w:val="left" w:pos="1701"/>
      </w:tabs>
    </w:pPr>
  </w:style>
  <w:style w:type="paragraph" w:styleId="Footer">
    <w:name w:val="footer"/>
    <w:basedOn w:val="Normal"/>
    <w:link w:val="FooterChar"/>
    <w:uiPriority w:val="99"/>
    <w:rsid w:val="008B71A9"/>
    <w:pPr>
      <w:tabs>
        <w:tab w:val="center" w:pos="4320"/>
        <w:tab w:val="right" w:pos="8640"/>
      </w:tabs>
    </w:pPr>
  </w:style>
  <w:style w:type="character" w:styleId="PageNumber">
    <w:name w:val="page number"/>
    <w:basedOn w:val="DefaultParagraphFont"/>
    <w:rsid w:val="008B71A9"/>
  </w:style>
  <w:style w:type="character" w:styleId="Hyperlink">
    <w:name w:val="Hyperlink"/>
    <w:uiPriority w:val="99"/>
    <w:rsid w:val="008B71A9"/>
    <w:rPr>
      <w:color w:val="0000FF"/>
      <w:u w:val="single"/>
    </w:rPr>
  </w:style>
  <w:style w:type="character" w:customStyle="1" w:styleId="HouseStyle1CharChar">
    <w:name w:val="House Style1 Char Char"/>
    <w:link w:val="HouseStyle1Char"/>
    <w:rsid w:val="008B71A9"/>
    <w:rPr>
      <w:rFonts w:ascii="Verdana" w:hAnsi="Verdana"/>
      <w:color w:val="000000"/>
      <w:sz w:val="24"/>
      <w:szCs w:val="24"/>
      <w:lang w:val="en-GB" w:eastAsia="en-US" w:bidi="ar-SA"/>
    </w:rPr>
  </w:style>
  <w:style w:type="paragraph" w:customStyle="1" w:styleId="HouseStyle1Char">
    <w:name w:val="House Style1 Char"/>
    <w:basedOn w:val="Normal"/>
    <w:link w:val="HouseStyle1CharChar"/>
    <w:autoRedefine/>
    <w:rsid w:val="008B71A9"/>
    <w:pPr>
      <w:framePr w:wrap="around" w:vAnchor="text" w:hAnchor="text" w:y="1"/>
      <w:tabs>
        <w:tab w:val="left" w:pos="1701"/>
      </w:tabs>
      <w:ind w:left="-120"/>
    </w:pPr>
  </w:style>
  <w:style w:type="paragraph" w:styleId="BodyText3">
    <w:name w:val="Body Text 3"/>
    <w:basedOn w:val="Normal"/>
    <w:link w:val="BodyText3Char"/>
    <w:rsid w:val="008B71A9"/>
    <w:pPr>
      <w:ind w:right="44"/>
      <w:jc w:val="both"/>
    </w:pPr>
    <w:rPr>
      <w:rFonts w:ascii="Times New Roman" w:hAnsi="Times New Roman"/>
      <w:color w:val="auto"/>
      <w:szCs w:val="22"/>
    </w:rPr>
  </w:style>
  <w:style w:type="character" w:customStyle="1" w:styleId="BodyText3Char">
    <w:name w:val="Body Text 3 Char"/>
    <w:link w:val="BodyText3"/>
    <w:rsid w:val="00517462"/>
    <w:rPr>
      <w:sz w:val="24"/>
      <w:szCs w:val="22"/>
      <w:lang w:val="en-GB" w:eastAsia="en-US" w:bidi="ar-SA"/>
    </w:rPr>
  </w:style>
  <w:style w:type="table" w:styleId="TableGrid">
    <w:name w:val="Table Grid"/>
    <w:basedOn w:val="TableNormal"/>
    <w:rsid w:val="008B71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B71A9"/>
    <w:rPr>
      <w:sz w:val="16"/>
      <w:szCs w:val="16"/>
    </w:rPr>
  </w:style>
  <w:style w:type="paragraph" w:styleId="CommentText">
    <w:name w:val="annotation text"/>
    <w:basedOn w:val="Normal"/>
    <w:link w:val="CommentTextChar"/>
    <w:uiPriority w:val="99"/>
    <w:rsid w:val="008B71A9"/>
    <w:rPr>
      <w:sz w:val="20"/>
      <w:szCs w:val="20"/>
    </w:rPr>
  </w:style>
  <w:style w:type="paragraph" w:styleId="CommentSubject">
    <w:name w:val="annotation subject"/>
    <w:basedOn w:val="CommentText"/>
    <w:next w:val="CommentText"/>
    <w:link w:val="CommentSubjectChar"/>
    <w:semiHidden/>
    <w:rsid w:val="008B71A9"/>
    <w:rPr>
      <w:b/>
      <w:bCs/>
    </w:rPr>
  </w:style>
  <w:style w:type="paragraph" w:styleId="BalloonText">
    <w:name w:val="Balloon Text"/>
    <w:basedOn w:val="Normal"/>
    <w:link w:val="BalloonTextChar"/>
    <w:rsid w:val="008B71A9"/>
    <w:rPr>
      <w:rFonts w:ascii="Tahoma" w:hAnsi="Tahoma" w:cs="Tahoma"/>
      <w:sz w:val="16"/>
      <w:szCs w:val="16"/>
    </w:rPr>
  </w:style>
  <w:style w:type="character" w:styleId="Strong">
    <w:name w:val="Strong"/>
    <w:qFormat/>
    <w:rsid w:val="008B71A9"/>
    <w:rPr>
      <w:b/>
      <w:bCs/>
    </w:rPr>
  </w:style>
  <w:style w:type="paragraph" w:styleId="NormalWeb">
    <w:name w:val="Normal (Web)"/>
    <w:basedOn w:val="Normal"/>
    <w:uiPriority w:val="99"/>
    <w:rsid w:val="008B71A9"/>
    <w:pPr>
      <w:spacing w:before="100" w:beforeAutospacing="1" w:after="100" w:afterAutospacing="1"/>
    </w:pPr>
    <w:rPr>
      <w:rFonts w:ascii="Times New Roman" w:hAnsi="Times New Roman"/>
      <w:color w:val="auto"/>
      <w:lang w:val="en-US"/>
    </w:rPr>
  </w:style>
  <w:style w:type="character" w:styleId="Emphasis">
    <w:name w:val="Emphasis"/>
    <w:qFormat/>
    <w:rsid w:val="008B71A9"/>
    <w:rPr>
      <w:i/>
      <w:iCs/>
    </w:rPr>
  </w:style>
  <w:style w:type="character" w:customStyle="1" w:styleId="doccontentheading1">
    <w:name w:val="doccontentheading1"/>
    <w:rsid w:val="008B71A9"/>
    <w:rPr>
      <w:b/>
      <w:bCs/>
      <w:color w:val="C64934"/>
      <w:sz w:val="17"/>
      <w:szCs w:val="17"/>
    </w:rPr>
  </w:style>
  <w:style w:type="paragraph" w:styleId="Header">
    <w:name w:val="header"/>
    <w:basedOn w:val="Normal"/>
    <w:link w:val="HeaderChar"/>
    <w:uiPriority w:val="99"/>
    <w:rsid w:val="008B71A9"/>
    <w:pPr>
      <w:tabs>
        <w:tab w:val="center" w:pos="4320"/>
        <w:tab w:val="right" w:pos="8640"/>
      </w:tabs>
    </w:pPr>
  </w:style>
  <w:style w:type="paragraph" w:styleId="BodyText">
    <w:name w:val="Body Text"/>
    <w:basedOn w:val="Normal"/>
    <w:link w:val="BodyTextChar"/>
    <w:qFormat/>
    <w:rsid w:val="008B71A9"/>
    <w:pPr>
      <w:spacing w:after="120"/>
    </w:pPr>
  </w:style>
  <w:style w:type="paragraph" w:styleId="BodyText2">
    <w:name w:val="Body Text 2"/>
    <w:basedOn w:val="Normal"/>
    <w:link w:val="BodyText2Char"/>
    <w:rsid w:val="008B71A9"/>
    <w:pPr>
      <w:spacing w:after="120" w:line="480" w:lineRule="auto"/>
    </w:pPr>
  </w:style>
  <w:style w:type="character" w:customStyle="1" w:styleId="BodyText2Char">
    <w:name w:val="Body Text 2 Char"/>
    <w:link w:val="BodyText2"/>
    <w:rsid w:val="00517462"/>
    <w:rPr>
      <w:rFonts w:ascii="Verdana" w:hAnsi="Verdana"/>
      <w:color w:val="000000"/>
      <w:sz w:val="24"/>
      <w:szCs w:val="24"/>
      <w:lang w:val="en-GB" w:eastAsia="en-US" w:bidi="ar-SA"/>
    </w:rPr>
  </w:style>
  <w:style w:type="paragraph" w:styleId="Title">
    <w:name w:val="Title"/>
    <w:basedOn w:val="Normal"/>
    <w:link w:val="TitleChar"/>
    <w:qFormat/>
    <w:rsid w:val="008B71A9"/>
    <w:pPr>
      <w:jc w:val="center"/>
    </w:pPr>
    <w:rPr>
      <w:rFonts w:ascii="Times New Roman" w:hAnsi="Times New Roman"/>
      <w:b/>
      <w:color w:val="auto"/>
      <w:sz w:val="28"/>
      <w:szCs w:val="20"/>
    </w:rPr>
  </w:style>
  <w:style w:type="character" w:customStyle="1" w:styleId="TitleChar">
    <w:name w:val="Title Char"/>
    <w:link w:val="Title"/>
    <w:rsid w:val="00517462"/>
    <w:rPr>
      <w:b/>
      <w:sz w:val="28"/>
      <w:lang w:val="en-GB" w:eastAsia="en-US" w:bidi="ar-SA"/>
    </w:rPr>
  </w:style>
  <w:style w:type="paragraph" w:styleId="BodyTextIndent">
    <w:name w:val="Body Text Indent"/>
    <w:basedOn w:val="Normal"/>
    <w:link w:val="BodyTextIndentChar"/>
    <w:rsid w:val="008B71A9"/>
    <w:pPr>
      <w:spacing w:after="120"/>
      <w:ind w:left="283"/>
    </w:pPr>
  </w:style>
  <w:style w:type="paragraph" w:styleId="BodyTextIndent3">
    <w:name w:val="Body Text Indent 3"/>
    <w:basedOn w:val="Normal"/>
    <w:link w:val="BodyTextIndent3Char"/>
    <w:rsid w:val="008B71A9"/>
    <w:pPr>
      <w:spacing w:after="120"/>
      <w:ind w:left="283"/>
    </w:pPr>
    <w:rPr>
      <w:sz w:val="16"/>
      <w:szCs w:val="16"/>
    </w:rPr>
  </w:style>
  <w:style w:type="character" w:customStyle="1" w:styleId="BodyTextIndent3Char">
    <w:name w:val="Body Text Indent 3 Char"/>
    <w:link w:val="BodyTextIndent3"/>
    <w:rsid w:val="00517462"/>
    <w:rPr>
      <w:rFonts w:ascii="Verdana" w:hAnsi="Verdana"/>
      <w:color w:val="000000"/>
      <w:sz w:val="16"/>
      <w:szCs w:val="16"/>
      <w:lang w:val="en-GB" w:eastAsia="en-US" w:bidi="ar-SA"/>
    </w:rPr>
  </w:style>
  <w:style w:type="paragraph" w:styleId="BodyTextIndent2">
    <w:name w:val="Body Text Indent 2"/>
    <w:basedOn w:val="Normal"/>
    <w:link w:val="BodyTextIndent2Char"/>
    <w:rsid w:val="008B71A9"/>
    <w:pPr>
      <w:spacing w:after="120" w:line="480" w:lineRule="auto"/>
      <w:ind w:left="283"/>
    </w:pPr>
    <w:rPr>
      <w:rFonts w:ascii="Times New Roman" w:hAnsi="Times New Roman"/>
      <w:color w:val="auto"/>
    </w:rPr>
  </w:style>
  <w:style w:type="character" w:customStyle="1" w:styleId="BodyTextIndent2Char">
    <w:name w:val="Body Text Indent 2 Char"/>
    <w:link w:val="BodyTextIndent2"/>
    <w:rsid w:val="00517462"/>
    <w:rPr>
      <w:sz w:val="24"/>
      <w:szCs w:val="24"/>
      <w:lang w:val="en-GB" w:eastAsia="en-US" w:bidi="ar-SA"/>
    </w:rPr>
  </w:style>
  <w:style w:type="character" w:styleId="FollowedHyperlink">
    <w:name w:val="FollowedHyperlink"/>
    <w:rsid w:val="008B71A9"/>
    <w:rPr>
      <w:color w:val="800080"/>
      <w:u w:val="single"/>
    </w:rPr>
  </w:style>
  <w:style w:type="paragraph" w:customStyle="1" w:styleId="sectionpara">
    <w:name w:val="sectionpara"/>
    <w:basedOn w:val="Normal"/>
    <w:rsid w:val="008B71A9"/>
    <w:pPr>
      <w:spacing w:after="240"/>
    </w:pPr>
    <w:rPr>
      <w:rFonts w:ascii="Arial" w:hAnsi="Arial" w:cs="Arial"/>
      <w:color w:val="auto"/>
      <w:lang w:val="en-US"/>
    </w:rPr>
  </w:style>
  <w:style w:type="paragraph" w:customStyle="1" w:styleId="H3">
    <w:name w:val="H3"/>
    <w:basedOn w:val="Normal"/>
    <w:next w:val="Normal"/>
    <w:rsid w:val="008B71A9"/>
    <w:pPr>
      <w:keepNext/>
      <w:spacing w:before="100" w:after="100"/>
      <w:outlineLvl w:val="3"/>
    </w:pPr>
    <w:rPr>
      <w:rFonts w:ascii="Times New Roman" w:hAnsi="Times New Roman"/>
      <w:b/>
      <w:snapToGrid w:val="0"/>
      <w:color w:val="auto"/>
      <w:sz w:val="28"/>
      <w:szCs w:val="20"/>
    </w:rPr>
  </w:style>
  <w:style w:type="paragraph" w:customStyle="1" w:styleId="DefinitionTerm">
    <w:name w:val="Definition Term"/>
    <w:basedOn w:val="Normal"/>
    <w:next w:val="Normal"/>
    <w:rsid w:val="008B71A9"/>
    <w:rPr>
      <w:rFonts w:ascii="Times New Roman" w:hAnsi="Times New Roman"/>
      <w:snapToGrid w:val="0"/>
      <w:color w:val="auto"/>
      <w:szCs w:val="20"/>
    </w:r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ootnote Text Char1,Footnote Text Char Cha"/>
    <w:basedOn w:val="Normal"/>
    <w:link w:val="FootnoteTextChar"/>
    <w:uiPriority w:val="99"/>
    <w:qFormat/>
    <w:rsid w:val="008B71A9"/>
    <w:rPr>
      <w:rFonts w:ascii="Times New Roman" w:hAnsi="Times New Roman"/>
      <w:color w:val="auto"/>
      <w:sz w:val="20"/>
      <w:szCs w:val="20"/>
      <w:lang w:eastAsia="en-GB"/>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
    <w:link w:val="FootnoteText"/>
    <w:uiPriority w:val="99"/>
    <w:rsid w:val="00517462"/>
    <w:rPr>
      <w:lang w:val="en-GB" w:eastAsia="en-GB" w:bidi="ar-SA"/>
    </w:rPr>
  </w:style>
  <w:style w:type="paragraph" w:customStyle="1" w:styleId="Default">
    <w:name w:val="Default"/>
    <w:rsid w:val="008B71A9"/>
    <w:pPr>
      <w:autoSpaceDE w:val="0"/>
      <w:autoSpaceDN w:val="0"/>
      <w:adjustRightInd w:val="0"/>
    </w:pPr>
    <w:rPr>
      <w:rFonts w:ascii="Arial" w:hAnsi="Arial" w:cs="Arial"/>
      <w:color w:val="000000"/>
      <w:sz w:val="24"/>
      <w:szCs w:val="24"/>
      <w:lang w:val="en-US" w:eastAsia="en-US"/>
    </w:rPr>
  </w:style>
  <w:style w:type="paragraph" w:customStyle="1" w:styleId="Style3">
    <w:name w:val="Style 3"/>
    <w:basedOn w:val="Default"/>
    <w:next w:val="Default"/>
    <w:rsid w:val="008B71A9"/>
    <w:pPr>
      <w:spacing w:before="240" w:after="60"/>
    </w:pPr>
    <w:rPr>
      <w:rFonts w:cs="Times New Roman"/>
      <w:color w:val="auto"/>
    </w:rPr>
  </w:style>
  <w:style w:type="paragraph" w:customStyle="1" w:styleId="NormalWeb2">
    <w:name w:val="Normal (Web)2"/>
    <w:basedOn w:val="Normal"/>
    <w:rsid w:val="008B71A9"/>
    <w:pPr>
      <w:spacing w:before="100" w:beforeAutospacing="1" w:after="100" w:afterAutospacing="1"/>
    </w:pPr>
    <w:rPr>
      <w:rFonts w:ascii="Times New Roman" w:hAnsi="Times New Roman"/>
      <w:color w:val="auto"/>
      <w:lang w:val="en-US"/>
    </w:rPr>
  </w:style>
  <w:style w:type="character" w:customStyle="1" w:styleId="EmailStyle58">
    <w:name w:val="EmailStyle58"/>
    <w:semiHidden/>
    <w:rsid w:val="0009306C"/>
    <w:rPr>
      <w:rFonts w:ascii="Verdana" w:hAnsi="Verdana" w:hint="default"/>
      <w:b w:val="0"/>
      <w:bCs w:val="0"/>
      <w:i w:val="0"/>
      <w:iCs w:val="0"/>
      <w:strike w:val="0"/>
      <w:dstrike w:val="0"/>
      <w:color w:val="auto"/>
      <w:sz w:val="24"/>
      <w:szCs w:val="24"/>
      <w:u w:val="none"/>
      <w:effect w:val="none"/>
    </w:rPr>
  </w:style>
  <w:style w:type="paragraph" w:styleId="PlainText">
    <w:name w:val="Plain Text"/>
    <w:basedOn w:val="Normal"/>
    <w:link w:val="PlainTextChar"/>
    <w:uiPriority w:val="99"/>
    <w:rsid w:val="000E7801"/>
    <w:rPr>
      <w:rFonts w:ascii="Arial" w:hAnsi="Arial" w:cs="Tahoma"/>
      <w:color w:val="auto"/>
      <w:sz w:val="28"/>
      <w:szCs w:val="20"/>
    </w:rPr>
  </w:style>
  <w:style w:type="character" w:customStyle="1" w:styleId="PlainTextChar">
    <w:name w:val="Plain Text Char"/>
    <w:link w:val="PlainText"/>
    <w:uiPriority w:val="99"/>
    <w:rsid w:val="00886A01"/>
    <w:rPr>
      <w:rFonts w:ascii="Arial" w:hAnsi="Arial" w:cs="Tahoma"/>
      <w:sz w:val="28"/>
      <w:lang w:val="en-GB" w:eastAsia="en-US" w:bidi="ar-SA"/>
    </w:rPr>
  </w:style>
  <w:style w:type="character" w:customStyle="1" w:styleId="td">
    <w:name w:val="td"/>
    <w:basedOn w:val="DefaultParagraphFont"/>
    <w:rsid w:val="00F244A1"/>
  </w:style>
  <w:style w:type="paragraph" w:customStyle="1" w:styleId="text">
    <w:name w:val="text"/>
    <w:basedOn w:val="Normal"/>
    <w:rsid w:val="00F244A1"/>
    <w:pPr>
      <w:spacing w:after="280" w:line="280" w:lineRule="atLeast"/>
    </w:pPr>
    <w:rPr>
      <w:rFonts w:ascii="Times" w:eastAsia="Times" w:hAnsi="Times"/>
      <w:color w:val="auto"/>
      <w:szCs w:val="20"/>
    </w:rPr>
  </w:style>
  <w:style w:type="paragraph" w:customStyle="1" w:styleId="a">
    <w:name w:val="a"/>
    <w:aliases w:val="b,c"/>
    <w:basedOn w:val="Normal"/>
    <w:autoRedefine/>
    <w:rsid w:val="00F244A1"/>
    <w:pPr>
      <w:widowControl w:val="0"/>
      <w:numPr>
        <w:numId w:val="3"/>
      </w:numPr>
      <w:tabs>
        <w:tab w:val="left" w:pos="720"/>
        <w:tab w:val="left" w:pos="1440"/>
      </w:tabs>
      <w:spacing w:before="144" w:after="144"/>
      <w:jc w:val="both"/>
    </w:pPr>
    <w:rPr>
      <w:rFonts w:ascii="Times New Roman" w:hAnsi="Times New Roman"/>
      <w:snapToGrid w:val="0"/>
      <w:sz w:val="22"/>
      <w:szCs w:val="20"/>
      <w:lang w:val="en-IE"/>
    </w:rPr>
  </w:style>
  <w:style w:type="character" w:customStyle="1" w:styleId="apple-style-span">
    <w:name w:val="apple-style-span"/>
    <w:basedOn w:val="DefaultParagraphFont"/>
    <w:rsid w:val="00517462"/>
  </w:style>
  <w:style w:type="character" w:customStyle="1" w:styleId="apple-converted-space">
    <w:name w:val="apple-converted-space"/>
    <w:basedOn w:val="DefaultParagraphFont"/>
    <w:rsid w:val="00517462"/>
  </w:style>
  <w:style w:type="paragraph" w:styleId="DocumentMap">
    <w:name w:val="Document Map"/>
    <w:basedOn w:val="Normal"/>
    <w:link w:val="DocumentMapChar"/>
    <w:rsid w:val="00517462"/>
    <w:pPr>
      <w:shd w:val="clear" w:color="auto" w:fill="000080"/>
    </w:pPr>
    <w:rPr>
      <w:rFonts w:ascii="Tahoma" w:hAnsi="Tahoma" w:cs="Tahoma"/>
      <w:color w:val="auto"/>
      <w:sz w:val="20"/>
      <w:szCs w:val="20"/>
    </w:rPr>
  </w:style>
  <w:style w:type="character" w:customStyle="1" w:styleId="DocumentMapChar">
    <w:name w:val="Document Map Char"/>
    <w:link w:val="DocumentMap"/>
    <w:rsid w:val="00886A01"/>
    <w:rPr>
      <w:rFonts w:ascii="Tahoma" w:hAnsi="Tahoma" w:cs="Tahoma"/>
      <w:lang w:val="en-GB" w:eastAsia="en-US" w:bidi="ar-SA"/>
    </w:rPr>
  </w:style>
  <w:style w:type="character" w:customStyle="1" w:styleId="doccontentheading">
    <w:name w:val="doccontentheading"/>
    <w:basedOn w:val="DefaultParagraphFont"/>
    <w:rsid w:val="00517462"/>
  </w:style>
  <w:style w:type="character" w:customStyle="1" w:styleId="mcontent">
    <w:name w:val="mcontent"/>
    <w:basedOn w:val="DefaultParagraphFont"/>
    <w:rsid w:val="00517462"/>
  </w:style>
  <w:style w:type="character" w:customStyle="1" w:styleId="CharChar12">
    <w:name w:val="Char Char12"/>
    <w:rsid w:val="00886A01"/>
    <w:rPr>
      <w:rFonts w:ascii="Arial" w:hAnsi="Arial" w:cs="Arial"/>
      <w:b/>
      <w:bCs/>
      <w:color w:val="000000"/>
      <w:kern w:val="32"/>
      <w:sz w:val="32"/>
      <w:szCs w:val="32"/>
      <w:lang w:val="en-GB" w:eastAsia="en-US" w:bidi="ar-SA"/>
    </w:rPr>
  </w:style>
  <w:style w:type="character" w:customStyle="1" w:styleId="BodyTextCharChar">
    <w:name w:val="BodyText Char Char"/>
    <w:link w:val="BodyText0"/>
    <w:rsid w:val="005C4DD5"/>
    <w:rPr>
      <w:rFonts w:ascii="Arial" w:hAnsi="Arial"/>
      <w:color w:val="3F454B"/>
      <w:lang w:val="en-GB" w:eastAsia="en-US" w:bidi="ar-SA"/>
    </w:rPr>
  </w:style>
  <w:style w:type="paragraph" w:customStyle="1" w:styleId="BodyText0">
    <w:name w:val="BodyText"/>
    <w:link w:val="BodyTextCharChar"/>
    <w:rsid w:val="005C4DD5"/>
    <w:pPr>
      <w:tabs>
        <w:tab w:val="left" w:pos="1080"/>
      </w:tabs>
      <w:adjustRightInd w:val="0"/>
      <w:spacing w:after="170" w:line="280" w:lineRule="exact"/>
      <w:textAlignment w:val="baseline"/>
    </w:pPr>
    <w:rPr>
      <w:rFonts w:ascii="Arial" w:hAnsi="Arial"/>
      <w:color w:val="3F454B"/>
      <w:lang w:eastAsia="en-US"/>
    </w:rPr>
  </w:style>
  <w:style w:type="character" w:customStyle="1" w:styleId="Slogan">
    <w:name w:val="Slogan"/>
    <w:rsid w:val="005C4DD5"/>
    <w:rPr>
      <w:i/>
      <w:spacing w:val="-6"/>
      <w:sz w:val="24"/>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EB3E1A"/>
    <w:pPr>
      <w:ind w:left="720"/>
    </w:pPr>
  </w:style>
  <w:style w:type="character" w:customStyle="1" w:styleId="FooterChar">
    <w:name w:val="Footer Char"/>
    <w:link w:val="Footer"/>
    <w:uiPriority w:val="99"/>
    <w:rsid w:val="00692D04"/>
    <w:rPr>
      <w:rFonts w:ascii="Verdana" w:hAnsi="Verdana"/>
      <w:color w:val="000000"/>
      <w:sz w:val="24"/>
      <w:szCs w:val="24"/>
      <w:lang w:eastAsia="en-US"/>
    </w:rPr>
  </w:style>
  <w:style w:type="character" w:styleId="FootnoteReference">
    <w:name w:val="footnote reference"/>
    <w:uiPriority w:val="99"/>
    <w:rsid w:val="00E4615D"/>
    <w:rPr>
      <w:vertAlign w:val="superscript"/>
    </w:rPr>
  </w:style>
  <w:style w:type="character" w:customStyle="1" w:styleId="HeaderChar">
    <w:name w:val="Header Char"/>
    <w:link w:val="Header"/>
    <w:uiPriority w:val="99"/>
    <w:rsid w:val="00444E60"/>
    <w:rPr>
      <w:rFonts w:ascii="Verdana" w:hAnsi="Verdana"/>
      <w:color w:val="000000"/>
      <w:sz w:val="24"/>
      <w:szCs w:val="24"/>
      <w:lang w:eastAsia="en-US"/>
    </w:rPr>
  </w:style>
  <w:style w:type="character" w:customStyle="1" w:styleId="BodyTextChar">
    <w:name w:val="Body Text Char"/>
    <w:link w:val="BodyText"/>
    <w:rsid w:val="00444E60"/>
    <w:rPr>
      <w:rFonts w:ascii="Verdana" w:hAnsi="Verdana"/>
      <w:color w:val="000000"/>
      <w:sz w:val="24"/>
      <w:szCs w:val="24"/>
      <w:lang w:eastAsia="en-US"/>
    </w:rPr>
  </w:style>
  <w:style w:type="character" w:customStyle="1" w:styleId="BodyTextIndentChar">
    <w:name w:val="Body Text Indent Char"/>
    <w:link w:val="BodyTextIndent"/>
    <w:rsid w:val="00444E60"/>
    <w:rPr>
      <w:rFonts w:ascii="Verdana" w:hAnsi="Verdana"/>
      <w:color w:val="000000"/>
      <w:sz w:val="24"/>
      <w:szCs w:val="24"/>
      <w:lang w:eastAsia="en-US"/>
    </w:rPr>
  </w:style>
  <w:style w:type="character" w:customStyle="1" w:styleId="BalloonTextChar">
    <w:name w:val="Balloon Text Char"/>
    <w:link w:val="BalloonText"/>
    <w:rsid w:val="00444E60"/>
    <w:rPr>
      <w:rFonts w:ascii="Tahoma" w:hAnsi="Tahoma" w:cs="Tahoma"/>
      <w:color w:val="000000"/>
      <w:sz w:val="16"/>
      <w:szCs w:val="16"/>
      <w:lang w:eastAsia="en-US"/>
    </w:rPr>
  </w:style>
  <w:style w:type="paragraph" w:styleId="Revision">
    <w:name w:val="Revision"/>
    <w:hidden/>
    <w:uiPriority w:val="99"/>
    <w:semiHidden/>
    <w:rsid w:val="005630C2"/>
    <w:rPr>
      <w:rFonts w:ascii="Verdana" w:hAnsi="Verdana"/>
      <w:color w:val="000000"/>
      <w:sz w:val="24"/>
      <w:szCs w:val="24"/>
      <w:lang w:eastAsia="en-US"/>
    </w:rPr>
  </w:style>
  <w:style w:type="character" w:customStyle="1" w:styleId="CommentTextChar">
    <w:name w:val="Comment Text Char"/>
    <w:basedOn w:val="DefaultParagraphFont"/>
    <w:link w:val="CommentText"/>
    <w:uiPriority w:val="99"/>
    <w:rsid w:val="006C693F"/>
    <w:rPr>
      <w:rFonts w:ascii="Verdana" w:hAnsi="Verdana"/>
      <w:color w:val="000000"/>
      <w:lang w:eastAsia="en-US"/>
    </w:rPr>
  </w:style>
  <w:style w:type="paragraph" w:customStyle="1" w:styleId="Pa7">
    <w:name w:val="Pa7"/>
    <w:basedOn w:val="Normal"/>
    <w:next w:val="Normal"/>
    <w:uiPriority w:val="99"/>
    <w:rsid w:val="0073049C"/>
    <w:pPr>
      <w:autoSpaceDE w:val="0"/>
      <w:autoSpaceDN w:val="0"/>
      <w:adjustRightInd w:val="0"/>
      <w:spacing w:line="181" w:lineRule="atLeast"/>
    </w:pPr>
    <w:rPr>
      <w:rFonts w:ascii="Frutiger LT Std 45 Light" w:eastAsia="Calibri" w:hAnsi="Frutiger LT Std 45 Light"/>
      <w:color w:val="auto"/>
    </w:rPr>
  </w:style>
  <w:style w:type="paragraph" w:styleId="NoSpacing">
    <w:name w:val="No Spacing"/>
    <w:link w:val="NoSpacingChar"/>
    <w:uiPriority w:val="1"/>
    <w:qFormat/>
    <w:rsid w:val="006A739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A739C"/>
    <w:rPr>
      <w:rFonts w:asciiTheme="minorHAnsi" w:eastAsiaTheme="minorEastAsia" w:hAnsiTheme="minorHAnsi" w:cstheme="minorBidi"/>
      <w:sz w:val="22"/>
      <w:szCs w:val="22"/>
      <w:lang w:val="en-US" w:eastAsia="ja-JP"/>
    </w:rPr>
  </w:style>
  <w:style w:type="character" w:styleId="LineNumber">
    <w:name w:val="line number"/>
    <w:basedOn w:val="DefaultParagraphFont"/>
    <w:rsid w:val="00D16A29"/>
  </w:style>
  <w:style w:type="paragraph" w:customStyle="1" w:styleId="BasicParagraph">
    <w:name w:val="[Basic Paragraph]"/>
    <w:basedOn w:val="Normal"/>
    <w:uiPriority w:val="99"/>
    <w:rsid w:val="007117EA"/>
    <w:pPr>
      <w:widowControl w:val="0"/>
      <w:autoSpaceDE w:val="0"/>
      <w:autoSpaceDN w:val="0"/>
      <w:adjustRightInd w:val="0"/>
      <w:spacing w:line="288" w:lineRule="auto"/>
      <w:textAlignment w:val="center"/>
    </w:pPr>
    <w:rPr>
      <w:rFonts w:ascii="MinionPro-Regular" w:eastAsiaTheme="minorEastAsia" w:hAnsi="MinionPro-Regular" w:cs="MinionPro-Regular"/>
    </w:rPr>
  </w:style>
  <w:style w:type="paragraph" w:customStyle="1" w:styleId="NIHRCFootnotes">
    <w:name w:val="NIHRC Footnotes"/>
    <w:basedOn w:val="Normal"/>
    <w:qFormat/>
    <w:rsid w:val="0045027A"/>
    <w:pPr>
      <w:tabs>
        <w:tab w:val="left" w:pos="284"/>
      </w:tabs>
    </w:pPr>
    <w:rPr>
      <w:rFonts w:eastAsiaTheme="minorEastAsia" w:cs="Arial"/>
      <w:color w:val="77328A"/>
      <w:sz w:val="16"/>
      <w:szCs w:val="16"/>
    </w:rPr>
  </w:style>
  <w:style w:type="paragraph" w:customStyle="1" w:styleId="BoxHeading">
    <w:name w:val="Box Heading"/>
    <w:basedOn w:val="Normal"/>
    <w:next w:val="Normal"/>
    <w:qFormat/>
    <w:rsid w:val="00F0089C"/>
    <w:pPr>
      <w:keepLines/>
      <w:spacing w:after="113" w:line="300" w:lineRule="exact"/>
      <w:outlineLvl w:val="1"/>
    </w:pPr>
    <w:rPr>
      <w:rFonts w:ascii="Futura Bk BT" w:eastAsiaTheme="minorHAnsi" w:hAnsi="Futura Bk BT" w:cstheme="minorBidi"/>
      <w:color w:val="4F81BD" w:themeColor="accent1"/>
      <w:sz w:val="26"/>
    </w:rPr>
  </w:style>
  <w:style w:type="numbering" w:customStyle="1" w:styleId="OBRChapterNumbers">
    <w:name w:val="OBR Chapter Numbers"/>
    <w:basedOn w:val="NoList"/>
    <w:uiPriority w:val="99"/>
    <w:rsid w:val="00F0089C"/>
    <w:pPr>
      <w:numPr>
        <w:numId w:val="13"/>
      </w:numPr>
    </w:pPr>
  </w:style>
  <w:style w:type="paragraph" w:customStyle="1" w:styleId="ChartHeading">
    <w:name w:val="Chart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FigureHeading">
    <w:name w:val="Figure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TableHeading">
    <w:name w:val="Table Heading"/>
    <w:basedOn w:val="Normal"/>
    <w:next w:val="Normal"/>
    <w:qFormat/>
    <w:rsid w:val="00F0089C"/>
    <w:pPr>
      <w:keepNext/>
      <w:keepLines/>
      <w:spacing w:after="113" w:line="300" w:lineRule="exact"/>
      <w:outlineLvl w:val="1"/>
    </w:pPr>
    <w:rPr>
      <w:rFonts w:ascii="Futura Bk BT" w:eastAsiaTheme="minorHAnsi" w:hAnsi="Futura Bk BT" w:cstheme="minorBidi"/>
      <w:color w:val="4F81BD" w:themeColor="accent1"/>
      <w:sz w:val="26"/>
    </w:rPr>
  </w:style>
  <w:style w:type="paragraph" w:customStyle="1" w:styleId="Standard">
    <w:name w:val="Standard"/>
    <w:rsid w:val="00C6256C"/>
    <w:pPr>
      <w:widowControl w:val="0"/>
      <w:suppressAutoHyphens/>
      <w:autoSpaceDN w:val="0"/>
      <w:textAlignment w:val="baseline"/>
    </w:pPr>
    <w:rPr>
      <w:rFonts w:eastAsia="SimSun" w:cs="Mangal"/>
      <w:kern w:val="3"/>
      <w:sz w:val="24"/>
      <w:szCs w:val="24"/>
      <w:lang w:eastAsia="zh-CN" w:bidi="hi-IN"/>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627E1D"/>
    <w:rPr>
      <w:rFonts w:ascii="Verdana" w:hAnsi="Verdana"/>
      <w:color w:val="000000"/>
      <w:sz w:val="24"/>
      <w:szCs w:val="24"/>
      <w:lang w:eastAsia="en-US"/>
    </w:rPr>
  </w:style>
  <w:style w:type="character" w:styleId="SubtleEmphasis">
    <w:name w:val="Subtle Emphasis"/>
    <w:basedOn w:val="DefaultParagraphFont"/>
    <w:uiPriority w:val="19"/>
    <w:qFormat/>
    <w:rsid w:val="00DC2DA5"/>
    <w:rPr>
      <w:i/>
      <w:iCs/>
      <w:color w:val="404040" w:themeColor="text1" w:themeTint="BF"/>
    </w:rPr>
  </w:style>
  <w:style w:type="paragraph" w:styleId="Subtitle">
    <w:name w:val="Subtitle"/>
    <w:basedOn w:val="Normal"/>
    <w:next w:val="Normal"/>
    <w:link w:val="SubtitleChar"/>
    <w:uiPriority w:val="11"/>
    <w:qFormat/>
    <w:rsid w:val="00DC2DA5"/>
    <w:pPr>
      <w:numPr>
        <w:ilvl w:val="1"/>
      </w:numPr>
      <w:spacing w:after="160"/>
    </w:pPr>
    <w:rPr>
      <w:rFonts w:asciiTheme="minorHAnsi" w:eastAsiaTheme="minorEastAsia" w:hAnsiTheme="minorHAnsi" w:cstheme="minorBidi"/>
      <w:color w:val="5A5A5A" w:themeColor="text1" w:themeTint="A5"/>
      <w:spacing w:val="15"/>
      <w:sz w:val="22"/>
      <w:szCs w:val="20"/>
      <w:lang w:eastAsia="en-GB" w:bidi="ne-NP"/>
    </w:rPr>
  </w:style>
  <w:style w:type="character" w:customStyle="1" w:styleId="SubtitleChar">
    <w:name w:val="Subtitle Char"/>
    <w:basedOn w:val="DefaultParagraphFont"/>
    <w:link w:val="Subtitle"/>
    <w:uiPriority w:val="11"/>
    <w:rsid w:val="00DC2DA5"/>
    <w:rPr>
      <w:rFonts w:asciiTheme="minorHAnsi" w:eastAsiaTheme="minorEastAsia" w:hAnsiTheme="minorHAnsi" w:cstheme="minorBidi"/>
      <w:color w:val="5A5A5A" w:themeColor="text1" w:themeTint="A5"/>
      <w:spacing w:val="15"/>
      <w:sz w:val="22"/>
      <w:lang w:bidi="ne-NP"/>
    </w:rPr>
  </w:style>
  <w:style w:type="paragraph" w:styleId="ListBullet">
    <w:name w:val="List Bullet"/>
    <w:basedOn w:val="Normal"/>
    <w:uiPriority w:val="99"/>
    <w:semiHidden/>
    <w:unhideWhenUsed/>
    <w:rsid w:val="00DC2DA5"/>
    <w:pPr>
      <w:contextualSpacing/>
    </w:pPr>
    <w:rPr>
      <w:rFonts w:ascii="Arial" w:hAnsi="Arial" w:cs="Mangal"/>
      <w:color w:val="auto"/>
      <w:sz w:val="20"/>
      <w:szCs w:val="18"/>
      <w:lang w:eastAsia="en-GB" w:bidi="ne-NP"/>
    </w:rPr>
  </w:style>
  <w:style w:type="character" w:customStyle="1" w:styleId="CommentSubjectChar">
    <w:name w:val="Comment Subject Char"/>
    <w:basedOn w:val="CommentTextChar"/>
    <w:link w:val="CommentSubject"/>
    <w:semiHidden/>
    <w:rsid w:val="002667DD"/>
    <w:rPr>
      <w:rFonts w:ascii="Verdana" w:hAnsi="Verdana"/>
      <w:b/>
      <w:bCs/>
      <w:color w:val="000000"/>
      <w:lang w:eastAsia="en-US"/>
    </w:rPr>
  </w:style>
  <w:style w:type="character" w:styleId="Mention">
    <w:name w:val="Mention"/>
    <w:basedOn w:val="DefaultParagraphFont"/>
    <w:uiPriority w:val="99"/>
    <w:unhideWhenUsed/>
    <w:rsid w:val="002667DD"/>
    <w:rPr>
      <w:color w:val="2B579A"/>
      <w:shd w:val="clear" w:color="auto" w:fill="E6E6E6"/>
    </w:rPr>
  </w:style>
  <w:style w:type="paragraph" w:customStyle="1" w:styleId="paragraph">
    <w:name w:val="paragraph"/>
    <w:basedOn w:val="Normal"/>
    <w:rsid w:val="002667DD"/>
    <w:pPr>
      <w:spacing w:before="100" w:beforeAutospacing="1" w:after="100" w:afterAutospacing="1"/>
    </w:pPr>
    <w:rPr>
      <w:rFonts w:ascii="Times New Roman" w:hAnsi="Times New Roman"/>
      <w:color w:val="auto"/>
      <w:lang w:eastAsia="en-GB"/>
    </w:rPr>
  </w:style>
  <w:style w:type="character" w:customStyle="1" w:styleId="normaltextrun">
    <w:name w:val="normaltextrun"/>
    <w:basedOn w:val="DefaultParagraphFont"/>
    <w:uiPriority w:val="1"/>
    <w:rsid w:val="002667DD"/>
  </w:style>
  <w:style w:type="paragraph" w:customStyle="1" w:styleId="pf0">
    <w:name w:val="pf0"/>
    <w:basedOn w:val="Normal"/>
    <w:rsid w:val="002667DD"/>
    <w:pPr>
      <w:spacing w:before="100" w:beforeAutospacing="1" w:after="100" w:afterAutospacing="1"/>
      <w:ind w:left="360"/>
    </w:pPr>
    <w:rPr>
      <w:rFonts w:ascii="Times New Roman" w:hAnsi="Times New Roman"/>
      <w:color w:val="auto"/>
      <w:lang w:eastAsia="en-GB"/>
    </w:rPr>
  </w:style>
  <w:style w:type="character" w:customStyle="1" w:styleId="cf01">
    <w:name w:val="cf01"/>
    <w:basedOn w:val="DefaultParagraphFont"/>
    <w:rsid w:val="002667DD"/>
    <w:rPr>
      <w:rFonts w:ascii="Segoe UI" w:hAnsi="Segoe UI" w:cs="Segoe UI" w:hint="default"/>
      <w:sz w:val="18"/>
      <w:szCs w:val="18"/>
    </w:rPr>
  </w:style>
  <w:style w:type="paragraph" w:styleId="EndnoteText">
    <w:name w:val="endnote text"/>
    <w:basedOn w:val="Normal"/>
    <w:link w:val="EndnoteTextChar"/>
    <w:semiHidden/>
    <w:unhideWhenUsed/>
    <w:rsid w:val="00194B60"/>
    <w:rPr>
      <w:sz w:val="20"/>
      <w:szCs w:val="20"/>
    </w:rPr>
  </w:style>
  <w:style w:type="character" w:customStyle="1" w:styleId="EndnoteTextChar">
    <w:name w:val="Endnote Text Char"/>
    <w:basedOn w:val="DefaultParagraphFont"/>
    <w:link w:val="EndnoteText"/>
    <w:semiHidden/>
    <w:rsid w:val="00194B60"/>
    <w:rPr>
      <w:rFonts w:ascii="Verdana" w:hAnsi="Verdana"/>
      <w:color w:val="000000"/>
      <w:lang w:eastAsia="en-US"/>
    </w:rPr>
  </w:style>
  <w:style w:type="character" w:styleId="EndnoteReference">
    <w:name w:val="endnote reference"/>
    <w:basedOn w:val="DefaultParagraphFont"/>
    <w:semiHidden/>
    <w:unhideWhenUsed/>
    <w:rsid w:val="00194B60"/>
    <w:rPr>
      <w:vertAlign w:val="superscript"/>
    </w:rPr>
  </w:style>
  <w:style w:type="character" w:styleId="UnresolvedMention">
    <w:name w:val="Unresolved Mention"/>
    <w:basedOn w:val="DefaultParagraphFont"/>
    <w:uiPriority w:val="99"/>
    <w:semiHidden/>
    <w:unhideWhenUsed/>
    <w:rsid w:val="00B57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53251">
      <w:bodyDiv w:val="1"/>
      <w:marLeft w:val="0"/>
      <w:marRight w:val="0"/>
      <w:marTop w:val="0"/>
      <w:marBottom w:val="0"/>
      <w:divBdr>
        <w:top w:val="none" w:sz="0" w:space="0" w:color="auto"/>
        <w:left w:val="none" w:sz="0" w:space="0" w:color="auto"/>
        <w:bottom w:val="none" w:sz="0" w:space="0" w:color="auto"/>
        <w:right w:val="none" w:sz="0" w:space="0" w:color="auto"/>
      </w:divBdr>
    </w:div>
    <w:div w:id="113909938">
      <w:bodyDiv w:val="1"/>
      <w:marLeft w:val="0"/>
      <w:marRight w:val="0"/>
      <w:marTop w:val="0"/>
      <w:marBottom w:val="0"/>
      <w:divBdr>
        <w:top w:val="none" w:sz="0" w:space="0" w:color="auto"/>
        <w:left w:val="none" w:sz="0" w:space="0" w:color="auto"/>
        <w:bottom w:val="none" w:sz="0" w:space="0" w:color="auto"/>
        <w:right w:val="none" w:sz="0" w:space="0" w:color="auto"/>
      </w:divBdr>
    </w:div>
    <w:div w:id="114108299">
      <w:bodyDiv w:val="1"/>
      <w:marLeft w:val="0"/>
      <w:marRight w:val="0"/>
      <w:marTop w:val="0"/>
      <w:marBottom w:val="0"/>
      <w:divBdr>
        <w:top w:val="none" w:sz="0" w:space="0" w:color="auto"/>
        <w:left w:val="none" w:sz="0" w:space="0" w:color="auto"/>
        <w:bottom w:val="none" w:sz="0" w:space="0" w:color="auto"/>
        <w:right w:val="none" w:sz="0" w:space="0" w:color="auto"/>
      </w:divBdr>
      <w:divsChild>
        <w:div w:id="653602647">
          <w:marLeft w:val="547"/>
          <w:marRight w:val="0"/>
          <w:marTop w:val="0"/>
          <w:marBottom w:val="120"/>
          <w:divBdr>
            <w:top w:val="none" w:sz="0" w:space="0" w:color="auto"/>
            <w:left w:val="none" w:sz="0" w:space="0" w:color="auto"/>
            <w:bottom w:val="none" w:sz="0" w:space="0" w:color="auto"/>
            <w:right w:val="none" w:sz="0" w:space="0" w:color="auto"/>
          </w:divBdr>
        </w:div>
        <w:div w:id="1907177970">
          <w:marLeft w:val="547"/>
          <w:marRight w:val="0"/>
          <w:marTop w:val="0"/>
          <w:marBottom w:val="120"/>
          <w:divBdr>
            <w:top w:val="none" w:sz="0" w:space="0" w:color="auto"/>
            <w:left w:val="none" w:sz="0" w:space="0" w:color="auto"/>
            <w:bottom w:val="none" w:sz="0" w:space="0" w:color="auto"/>
            <w:right w:val="none" w:sz="0" w:space="0" w:color="auto"/>
          </w:divBdr>
        </w:div>
      </w:divsChild>
    </w:div>
    <w:div w:id="183133582">
      <w:bodyDiv w:val="1"/>
      <w:marLeft w:val="0"/>
      <w:marRight w:val="0"/>
      <w:marTop w:val="0"/>
      <w:marBottom w:val="0"/>
      <w:divBdr>
        <w:top w:val="none" w:sz="0" w:space="0" w:color="auto"/>
        <w:left w:val="none" w:sz="0" w:space="0" w:color="auto"/>
        <w:bottom w:val="none" w:sz="0" w:space="0" w:color="auto"/>
        <w:right w:val="none" w:sz="0" w:space="0" w:color="auto"/>
      </w:divBdr>
    </w:div>
    <w:div w:id="206726071">
      <w:bodyDiv w:val="1"/>
      <w:marLeft w:val="0"/>
      <w:marRight w:val="0"/>
      <w:marTop w:val="0"/>
      <w:marBottom w:val="0"/>
      <w:divBdr>
        <w:top w:val="none" w:sz="0" w:space="0" w:color="auto"/>
        <w:left w:val="none" w:sz="0" w:space="0" w:color="auto"/>
        <w:bottom w:val="none" w:sz="0" w:space="0" w:color="auto"/>
        <w:right w:val="none" w:sz="0" w:space="0" w:color="auto"/>
      </w:divBdr>
    </w:div>
    <w:div w:id="226116077">
      <w:bodyDiv w:val="1"/>
      <w:marLeft w:val="0"/>
      <w:marRight w:val="0"/>
      <w:marTop w:val="0"/>
      <w:marBottom w:val="0"/>
      <w:divBdr>
        <w:top w:val="none" w:sz="0" w:space="0" w:color="auto"/>
        <w:left w:val="none" w:sz="0" w:space="0" w:color="auto"/>
        <w:bottom w:val="none" w:sz="0" w:space="0" w:color="auto"/>
        <w:right w:val="none" w:sz="0" w:space="0" w:color="auto"/>
      </w:divBdr>
      <w:divsChild>
        <w:div w:id="1467427179">
          <w:marLeft w:val="547"/>
          <w:marRight w:val="0"/>
          <w:marTop w:val="0"/>
          <w:marBottom w:val="0"/>
          <w:divBdr>
            <w:top w:val="none" w:sz="0" w:space="0" w:color="auto"/>
            <w:left w:val="none" w:sz="0" w:space="0" w:color="auto"/>
            <w:bottom w:val="none" w:sz="0" w:space="0" w:color="auto"/>
            <w:right w:val="none" w:sz="0" w:space="0" w:color="auto"/>
          </w:divBdr>
        </w:div>
      </w:divsChild>
    </w:div>
    <w:div w:id="263271139">
      <w:bodyDiv w:val="1"/>
      <w:marLeft w:val="0"/>
      <w:marRight w:val="0"/>
      <w:marTop w:val="0"/>
      <w:marBottom w:val="0"/>
      <w:divBdr>
        <w:top w:val="none" w:sz="0" w:space="0" w:color="auto"/>
        <w:left w:val="none" w:sz="0" w:space="0" w:color="auto"/>
        <w:bottom w:val="none" w:sz="0" w:space="0" w:color="auto"/>
        <w:right w:val="none" w:sz="0" w:space="0" w:color="auto"/>
      </w:divBdr>
      <w:divsChild>
        <w:div w:id="1088577863">
          <w:marLeft w:val="0"/>
          <w:marRight w:val="0"/>
          <w:marTop w:val="0"/>
          <w:marBottom w:val="0"/>
          <w:divBdr>
            <w:top w:val="none" w:sz="0" w:space="0" w:color="auto"/>
            <w:left w:val="none" w:sz="0" w:space="0" w:color="auto"/>
            <w:bottom w:val="none" w:sz="0" w:space="0" w:color="auto"/>
            <w:right w:val="none" w:sz="0" w:space="0" w:color="auto"/>
          </w:divBdr>
          <w:divsChild>
            <w:div w:id="116026204">
              <w:marLeft w:val="0"/>
              <w:marRight w:val="0"/>
              <w:marTop w:val="0"/>
              <w:marBottom w:val="0"/>
              <w:divBdr>
                <w:top w:val="none" w:sz="0" w:space="0" w:color="auto"/>
                <w:left w:val="none" w:sz="0" w:space="0" w:color="auto"/>
                <w:bottom w:val="none" w:sz="0" w:space="0" w:color="auto"/>
                <w:right w:val="none" w:sz="0" w:space="0" w:color="auto"/>
              </w:divBdr>
              <w:divsChild>
                <w:div w:id="17150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0374">
      <w:bodyDiv w:val="1"/>
      <w:marLeft w:val="0"/>
      <w:marRight w:val="0"/>
      <w:marTop w:val="0"/>
      <w:marBottom w:val="0"/>
      <w:divBdr>
        <w:top w:val="none" w:sz="0" w:space="0" w:color="auto"/>
        <w:left w:val="none" w:sz="0" w:space="0" w:color="auto"/>
        <w:bottom w:val="none" w:sz="0" w:space="0" w:color="auto"/>
        <w:right w:val="none" w:sz="0" w:space="0" w:color="auto"/>
      </w:divBdr>
    </w:div>
    <w:div w:id="304942446">
      <w:bodyDiv w:val="1"/>
      <w:marLeft w:val="0"/>
      <w:marRight w:val="0"/>
      <w:marTop w:val="0"/>
      <w:marBottom w:val="0"/>
      <w:divBdr>
        <w:top w:val="none" w:sz="0" w:space="0" w:color="auto"/>
        <w:left w:val="none" w:sz="0" w:space="0" w:color="auto"/>
        <w:bottom w:val="none" w:sz="0" w:space="0" w:color="auto"/>
        <w:right w:val="none" w:sz="0" w:space="0" w:color="auto"/>
      </w:divBdr>
    </w:div>
    <w:div w:id="343094585">
      <w:bodyDiv w:val="1"/>
      <w:marLeft w:val="0"/>
      <w:marRight w:val="0"/>
      <w:marTop w:val="0"/>
      <w:marBottom w:val="0"/>
      <w:divBdr>
        <w:top w:val="none" w:sz="0" w:space="0" w:color="auto"/>
        <w:left w:val="none" w:sz="0" w:space="0" w:color="auto"/>
        <w:bottom w:val="none" w:sz="0" w:space="0" w:color="auto"/>
        <w:right w:val="none" w:sz="0" w:space="0" w:color="auto"/>
      </w:divBdr>
    </w:div>
    <w:div w:id="388113009">
      <w:bodyDiv w:val="1"/>
      <w:marLeft w:val="0"/>
      <w:marRight w:val="0"/>
      <w:marTop w:val="0"/>
      <w:marBottom w:val="0"/>
      <w:divBdr>
        <w:top w:val="none" w:sz="0" w:space="0" w:color="auto"/>
        <w:left w:val="none" w:sz="0" w:space="0" w:color="auto"/>
        <w:bottom w:val="none" w:sz="0" w:space="0" w:color="auto"/>
        <w:right w:val="none" w:sz="0" w:space="0" w:color="auto"/>
      </w:divBdr>
    </w:div>
    <w:div w:id="401560007">
      <w:bodyDiv w:val="1"/>
      <w:marLeft w:val="0"/>
      <w:marRight w:val="0"/>
      <w:marTop w:val="0"/>
      <w:marBottom w:val="0"/>
      <w:divBdr>
        <w:top w:val="none" w:sz="0" w:space="0" w:color="auto"/>
        <w:left w:val="none" w:sz="0" w:space="0" w:color="auto"/>
        <w:bottom w:val="none" w:sz="0" w:space="0" w:color="auto"/>
        <w:right w:val="none" w:sz="0" w:space="0" w:color="auto"/>
      </w:divBdr>
    </w:div>
    <w:div w:id="407382924">
      <w:bodyDiv w:val="1"/>
      <w:marLeft w:val="0"/>
      <w:marRight w:val="0"/>
      <w:marTop w:val="0"/>
      <w:marBottom w:val="0"/>
      <w:divBdr>
        <w:top w:val="none" w:sz="0" w:space="0" w:color="auto"/>
        <w:left w:val="none" w:sz="0" w:space="0" w:color="auto"/>
        <w:bottom w:val="none" w:sz="0" w:space="0" w:color="auto"/>
        <w:right w:val="none" w:sz="0" w:space="0" w:color="auto"/>
      </w:divBdr>
    </w:div>
    <w:div w:id="499780149">
      <w:bodyDiv w:val="1"/>
      <w:marLeft w:val="0"/>
      <w:marRight w:val="0"/>
      <w:marTop w:val="0"/>
      <w:marBottom w:val="0"/>
      <w:divBdr>
        <w:top w:val="none" w:sz="0" w:space="0" w:color="auto"/>
        <w:left w:val="none" w:sz="0" w:space="0" w:color="auto"/>
        <w:bottom w:val="none" w:sz="0" w:space="0" w:color="auto"/>
        <w:right w:val="none" w:sz="0" w:space="0" w:color="auto"/>
      </w:divBdr>
      <w:divsChild>
        <w:div w:id="1806198615">
          <w:marLeft w:val="547"/>
          <w:marRight w:val="0"/>
          <w:marTop w:val="0"/>
          <w:marBottom w:val="0"/>
          <w:divBdr>
            <w:top w:val="none" w:sz="0" w:space="0" w:color="auto"/>
            <w:left w:val="none" w:sz="0" w:space="0" w:color="auto"/>
            <w:bottom w:val="none" w:sz="0" w:space="0" w:color="auto"/>
            <w:right w:val="none" w:sz="0" w:space="0" w:color="auto"/>
          </w:divBdr>
        </w:div>
      </w:divsChild>
    </w:div>
    <w:div w:id="500203161">
      <w:bodyDiv w:val="1"/>
      <w:marLeft w:val="0"/>
      <w:marRight w:val="0"/>
      <w:marTop w:val="0"/>
      <w:marBottom w:val="0"/>
      <w:divBdr>
        <w:top w:val="none" w:sz="0" w:space="0" w:color="auto"/>
        <w:left w:val="none" w:sz="0" w:space="0" w:color="auto"/>
        <w:bottom w:val="none" w:sz="0" w:space="0" w:color="auto"/>
        <w:right w:val="none" w:sz="0" w:space="0" w:color="auto"/>
      </w:divBdr>
      <w:divsChild>
        <w:div w:id="1445879752">
          <w:marLeft w:val="0"/>
          <w:marRight w:val="0"/>
          <w:marTop w:val="0"/>
          <w:marBottom w:val="0"/>
          <w:divBdr>
            <w:top w:val="none" w:sz="0" w:space="0" w:color="auto"/>
            <w:left w:val="none" w:sz="0" w:space="0" w:color="auto"/>
            <w:bottom w:val="none" w:sz="0" w:space="0" w:color="auto"/>
            <w:right w:val="none" w:sz="0" w:space="0" w:color="auto"/>
          </w:divBdr>
          <w:divsChild>
            <w:div w:id="1626890783">
              <w:marLeft w:val="0"/>
              <w:marRight w:val="0"/>
              <w:marTop w:val="0"/>
              <w:marBottom w:val="0"/>
              <w:divBdr>
                <w:top w:val="none" w:sz="0" w:space="0" w:color="auto"/>
                <w:left w:val="none" w:sz="0" w:space="0" w:color="auto"/>
                <w:bottom w:val="none" w:sz="0" w:space="0" w:color="auto"/>
                <w:right w:val="none" w:sz="0" w:space="0" w:color="auto"/>
              </w:divBdr>
              <w:divsChild>
                <w:div w:id="21263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3531">
      <w:bodyDiv w:val="1"/>
      <w:marLeft w:val="0"/>
      <w:marRight w:val="0"/>
      <w:marTop w:val="0"/>
      <w:marBottom w:val="0"/>
      <w:divBdr>
        <w:top w:val="none" w:sz="0" w:space="0" w:color="auto"/>
        <w:left w:val="none" w:sz="0" w:space="0" w:color="auto"/>
        <w:bottom w:val="none" w:sz="0" w:space="0" w:color="auto"/>
        <w:right w:val="none" w:sz="0" w:space="0" w:color="auto"/>
      </w:divBdr>
    </w:div>
    <w:div w:id="514156347">
      <w:bodyDiv w:val="1"/>
      <w:marLeft w:val="0"/>
      <w:marRight w:val="0"/>
      <w:marTop w:val="0"/>
      <w:marBottom w:val="0"/>
      <w:divBdr>
        <w:top w:val="none" w:sz="0" w:space="0" w:color="auto"/>
        <w:left w:val="none" w:sz="0" w:space="0" w:color="auto"/>
        <w:bottom w:val="none" w:sz="0" w:space="0" w:color="auto"/>
        <w:right w:val="none" w:sz="0" w:space="0" w:color="auto"/>
      </w:divBdr>
    </w:div>
    <w:div w:id="526411805">
      <w:bodyDiv w:val="1"/>
      <w:marLeft w:val="0"/>
      <w:marRight w:val="0"/>
      <w:marTop w:val="0"/>
      <w:marBottom w:val="0"/>
      <w:divBdr>
        <w:top w:val="none" w:sz="0" w:space="0" w:color="auto"/>
        <w:left w:val="none" w:sz="0" w:space="0" w:color="auto"/>
        <w:bottom w:val="none" w:sz="0" w:space="0" w:color="auto"/>
        <w:right w:val="none" w:sz="0" w:space="0" w:color="auto"/>
      </w:divBdr>
    </w:div>
    <w:div w:id="554973822">
      <w:bodyDiv w:val="1"/>
      <w:marLeft w:val="0"/>
      <w:marRight w:val="0"/>
      <w:marTop w:val="0"/>
      <w:marBottom w:val="0"/>
      <w:divBdr>
        <w:top w:val="none" w:sz="0" w:space="0" w:color="auto"/>
        <w:left w:val="none" w:sz="0" w:space="0" w:color="auto"/>
        <w:bottom w:val="none" w:sz="0" w:space="0" w:color="auto"/>
        <w:right w:val="none" w:sz="0" w:space="0" w:color="auto"/>
      </w:divBdr>
    </w:div>
    <w:div w:id="647591145">
      <w:bodyDiv w:val="1"/>
      <w:marLeft w:val="0"/>
      <w:marRight w:val="0"/>
      <w:marTop w:val="0"/>
      <w:marBottom w:val="0"/>
      <w:divBdr>
        <w:top w:val="none" w:sz="0" w:space="0" w:color="auto"/>
        <w:left w:val="none" w:sz="0" w:space="0" w:color="auto"/>
        <w:bottom w:val="none" w:sz="0" w:space="0" w:color="auto"/>
        <w:right w:val="none" w:sz="0" w:space="0" w:color="auto"/>
      </w:divBdr>
    </w:div>
    <w:div w:id="667371515">
      <w:bodyDiv w:val="1"/>
      <w:marLeft w:val="0"/>
      <w:marRight w:val="0"/>
      <w:marTop w:val="0"/>
      <w:marBottom w:val="0"/>
      <w:divBdr>
        <w:top w:val="none" w:sz="0" w:space="0" w:color="auto"/>
        <w:left w:val="none" w:sz="0" w:space="0" w:color="auto"/>
        <w:bottom w:val="none" w:sz="0" w:space="0" w:color="auto"/>
        <w:right w:val="none" w:sz="0" w:space="0" w:color="auto"/>
      </w:divBdr>
    </w:div>
    <w:div w:id="678703200">
      <w:bodyDiv w:val="1"/>
      <w:marLeft w:val="0"/>
      <w:marRight w:val="0"/>
      <w:marTop w:val="0"/>
      <w:marBottom w:val="0"/>
      <w:divBdr>
        <w:top w:val="none" w:sz="0" w:space="0" w:color="auto"/>
        <w:left w:val="none" w:sz="0" w:space="0" w:color="auto"/>
        <w:bottom w:val="none" w:sz="0" w:space="0" w:color="auto"/>
        <w:right w:val="none" w:sz="0" w:space="0" w:color="auto"/>
      </w:divBdr>
    </w:div>
    <w:div w:id="723988776">
      <w:bodyDiv w:val="1"/>
      <w:marLeft w:val="0"/>
      <w:marRight w:val="0"/>
      <w:marTop w:val="0"/>
      <w:marBottom w:val="0"/>
      <w:divBdr>
        <w:top w:val="none" w:sz="0" w:space="0" w:color="auto"/>
        <w:left w:val="none" w:sz="0" w:space="0" w:color="auto"/>
        <w:bottom w:val="none" w:sz="0" w:space="0" w:color="auto"/>
        <w:right w:val="none" w:sz="0" w:space="0" w:color="auto"/>
      </w:divBdr>
      <w:divsChild>
        <w:div w:id="1299989504">
          <w:marLeft w:val="547"/>
          <w:marRight w:val="0"/>
          <w:marTop w:val="0"/>
          <w:marBottom w:val="120"/>
          <w:divBdr>
            <w:top w:val="none" w:sz="0" w:space="0" w:color="auto"/>
            <w:left w:val="none" w:sz="0" w:space="0" w:color="auto"/>
            <w:bottom w:val="none" w:sz="0" w:space="0" w:color="auto"/>
            <w:right w:val="none" w:sz="0" w:space="0" w:color="auto"/>
          </w:divBdr>
        </w:div>
        <w:div w:id="1314722139">
          <w:marLeft w:val="547"/>
          <w:marRight w:val="0"/>
          <w:marTop w:val="0"/>
          <w:marBottom w:val="120"/>
          <w:divBdr>
            <w:top w:val="none" w:sz="0" w:space="0" w:color="auto"/>
            <w:left w:val="none" w:sz="0" w:space="0" w:color="auto"/>
            <w:bottom w:val="none" w:sz="0" w:space="0" w:color="auto"/>
            <w:right w:val="none" w:sz="0" w:space="0" w:color="auto"/>
          </w:divBdr>
        </w:div>
        <w:div w:id="1334139885">
          <w:marLeft w:val="547"/>
          <w:marRight w:val="0"/>
          <w:marTop w:val="0"/>
          <w:marBottom w:val="120"/>
          <w:divBdr>
            <w:top w:val="none" w:sz="0" w:space="0" w:color="auto"/>
            <w:left w:val="none" w:sz="0" w:space="0" w:color="auto"/>
            <w:bottom w:val="none" w:sz="0" w:space="0" w:color="auto"/>
            <w:right w:val="none" w:sz="0" w:space="0" w:color="auto"/>
          </w:divBdr>
        </w:div>
      </w:divsChild>
    </w:div>
    <w:div w:id="735663231">
      <w:bodyDiv w:val="1"/>
      <w:marLeft w:val="0"/>
      <w:marRight w:val="0"/>
      <w:marTop w:val="0"/>
      <w:marBottom w:val="0"/>
      <w:divBdr>
        <w:top w:val="none" w:sz="0" w:space="0" w:color="auto"/>
        <w:left w:val="none" w:sz="0" w:space="0" w:color="auto"/>
        <w:bottom w:val="none" w:sz="0" w:space="0" w:color="auto"/>
        <w:right w:val="none" w:sz="0" w:space="0" w:color="auto"/>
      </w:divBdr>
    </w:div>
    <w:div w:id="779644973">
      <w:bodyDiv w:val="1"/>
      <w:marLeft w:val="0"/>
      <w:marRight w:val="0"/>
      <w:marTop w:val="0"/>
      <w:marBottom w:val="0"/>
      <w:divBdr>
        <w:top w:val="none" w:sz="0" w:space="0" w:color="auto"/>
        <w:left w:val="none" w:sz="0" w:space="0" w:color="auto"/>
        <w:bottom w:val="none" w:sz="0" w:space="0" w:color="auto"/>
        <w:right w:val="none" w:sz="0" w:space="0" w:color="auto"/>
      </w:divBdr>
    </w:div>
    <w:div w:id="802312313">
      <w:bodyDiv w:val="1"/>
      <w:marLeft w:val="0"/>
      <w:marRight w:val="0"/>
      <w:marTop w:val="0"/>
      <w:marBottom w:val="0"/>
      <w:divBdr>
        <w:top w:val="none" w:sz="0" w:space="0" w:color="auto"/>
        <w:left w:val="none" w:sz="0" w:space="0" w:color="auto"/>
        <w:bottom w:val="none" w:sz="0" w:space="0" w:color="auto"/>
        <w:right w:val="none" w:sz="0" w:space="0" w:color="auto"/>
      </w:divBdr>
    </w:div>
    <w:div w:id="808549926">
      <w:bodyDiv w:val="1"/>
      <w:marLeft w:val="0"/>
      <w:marRight w:val="0"/>
      <w:marTop w:val="0"/>
      <w:marBottom w:val="0"/>
      <w:divBdr>
        <w:top w:val="none" w:sz="0" w:space="0" w:color="auto"/>
        <w:left w:val="none" w:sz="0" w:space="0" w:color="auto"/>
        <w:bottom w:val="none" w:sz="0" w:space="0" w:color="auto"/>
        <w:right w:val="none" w:sz="0" w:space="0" w:color="auto"/>
      </w:divBdr>
    </w:div>
    <w:div w:id="875393700">
      <w:bodyDiv w:val="1"/>
      <w:marLeft w:val="0"/>
      <w:marRight w:val="0"/>
      <w:marTop w:val="0"/>
      <w:marBottom w:val="0"/>
      <w:divBdr>
        <w:top w:val="none" w:sz="0" w:space="0" w:color="auto"/>
        <w:left w:val="none" w:sz="0" w:space="0" w:color="auto"/>
        <w:bottom w:val="none" w:sz="0" w:space="0" w:color="auto"/>
        <w:right w:val="none" w:sz="0" w:space="0" w:color="auto"/>
      </w:divBdr>
    </w:div>
    <w:div w:id="879972614">
      <w:bodyDiv w:val="1"/>
      <w:marLeft w:val="0"/>
      <w:marRight w:val="0"/>
      <w:marTop w:val="0"/>
      <w:marBottom w:val="0"/>
      <w:divBdr>
        <w:top w:val="none" w:sz="0" w:space="0" w:color="auto"/>
        <w:left w:val="none" w:sz="0" w:space="0" w:color="auto"/>
        <w:bottom w:val="none" w:sz="0" w:space="0" w:color="auto"/>
        <w:right w:val="none" w:sz="0" w:space="0" w:color="auto"/>
      </w:divBdr>
    </w:div>
    <w:div w:id="880629231">
      <w:bodyDiv w:val="1"/>
      <w:marLeft w:val="0"/>
      <w:marRight w:val="0"/>
      <w:marTop w:val="0"/>
      <w:marBottom w:val="0"/>
      <w:divBdr>
        <w:top w:val="none" w:sz="0" w:space="0" w:color="auto"/>
        <w:left w:val="none" w:sz="0" w:space="0" w:color="auto"/>
        <w:bottom w:val="none" w:sz="0" w:space="0" w:color="auto"/>
        <w:right w:val="none" w:sz="0" w:space="0" w:color="auto"/>
      </w:divBdr>
    </w:div>
    <w:div w:id="905870492">
      <w:bodyDiv w:val="1"/>
      <w:marLeft w:val="0"/>
      <w:marRight w:val="0"/>
      <w:marTop w:val="0"/>
      <w:marBottom w:val="0"/>
      <w:divBdr>
        <w:top w:val="none" w:sz="0" w:space="0" w:color="auto"/>
        <w:left w:val="none" w:sz="0" w:space="0" w:color="auto"/>
        <w:bottom w:val="none" w:sz="0" w:space="0" w:color="auto"/>
        <w:right w:val="none" w:sz="0" w:space="0" w:color="auto"/>
      </w:divBdr>
    </w:div>
    <w:div w:id="973675065">
      <w:bodyDiv w:val="1"/>
      <w:marLeft w:val="0"/>
      <w:marRight w:val="0"/>
      <w:marTop w:val="0"/>
      <w:marBottom w:val="0"/>
      <w:divBdr>
        <w:top w:val="none" w:sz="0" w:space="0" w:color="auto"/>
        <w:left w:val="none" w:sz="0" w:space="0" w:color="auto"/>
        <w:bottom w:val="none" w:sz="0" w:space="0" w:color="auto"/>
        <w:right w:val="none" w:sz="0" w:space="0" w:color="auto"/>
      </w:divBdr>
    </w:div>
    <w:div w:id="985627440">
      <w:bodyDiv w:val="1"/>
      <w:marLeft w:val="0"/>
      <w:marRight w:val="0"/>
      <w:marTop w:val="0"/>
      <w:marBottom w:val="0"/>
      <w:divBdr>
        <w:top w:val="none" w:sz="0" w:space="0" w:color="auto"/>
        <w:left w:val="none" w:sz="0" w:space="0" w:color="auto"/>
        <w:bottom w:val="none" w:sz="0" w:space="0" w:color="auto"/>
        <w:right w:val="none" w:sz="0" w:space="0" w:color="auto"/>
      </w:divBdr>
    </w:div>
    <w:div w:id="1077938208">
      <w:bodyDiv w:val="1"/>
      <w:marLeft w:val="0"/>
      <w:marRight w:val="0"/>
      <w:marTop w:val="0"/>
      <w:marBottom w:val="0"/>
      <w:divBdr>
        <w:top w:val="none" w:sz="0" w:space="0" w:color="auto"/>
        <w:left w:val="none" w:sz="0" w:space="0" w:color="auto"/>
        <w:bottom w:val="none" w:sz="0" w:space="0" w:color="auto"/>
        <w:right w:val="none" w:sz="0" w:space="0" w:color="auto"/>
      </w:divBdr>
      <w:divsChild>
        <w:div w:id="2119908681">
          <w:blockQuote w:val="1"/>
          <w:marLeft w:val="0"/>
          <w:marRight w:val="0"/>
          <w:marTop w:val="0"/>
          <w:marBottom w:val="360"/>
          <w:divBdr>
            <w:top w:val="none" w:sz="0" w:space="0" w:color="auto"/>
            <w:left w:val="single" w:sz="48" w:space="11" w:color="B1B4B6"/>
            <w:bottom w:val="none" w:sz="0" w:space="0" w:color="auto"/>
            <w:right w:val="none" w:sz="0" w:space="0" w:color="auto"/>
          </w:divBdr>
        </w:div>
      </w:divsChild>
    </w:div>
    <w:div w:id="1095904506">
      <w:bodyDiv w:val="1"/>
      <w:marLeft w:val="0"/>
      <w:marRight w:val="0"/>
      <w:marTop w:val="0"/>
      <w:marBottom w:val="0"/>
      <w:divBdr>
        <w:top w:val="none" w:sz="0" w:space="0" w:color="auto"/>
        <w:left w:val="none" w:sz="0" w:space="0" w:color="auto"/>
        <w:bottom w:val="none" w:sz="0" w:space="0" w:color="auto"/>
        <w:right w:val="none" w:sz="0" w:space="0" w:color="auto"/>
      </w:divBdr>
      <w:divsChild>
        <w:div w:id="2121216012">
          <w:marLeft w:val="0"/>
          <w:marRight w:val="0"/>
          <w:marTop w:val="0"/>
          <w:marBottom w:val="0"/>
          <w:divBdr>
            <w:top w:val="none" w:sz="0" w:space="0" w:color="auto"/>
            <w:left w:val="none" w:sz="0" w:space="0" w:color="auto"/>
            <w:bottom w:val="none" w:sz="0" w:space="0" w:color="auto"/>
            <w:right w:val="none" w:sz="0" w:space="0" w:color="auto"/>
          </w:divBdr>
          <w:divsChild>
            <w:div w:id="1555853023">
              <w:marLeft w:val="0"/>
              <w:marRight w:val="0"/>
              <w:marTop w:val="0"/>
              <w:marBottom w:val="0"/>
              <w:divBdr>
                <w:top w:val="none" w:sz="0" w:space="0" w:color="auto"/>
                <w:left w:val="none" w:sz="0" w:space="0" w:color="auto"/>
                <w:bottom w:val="none" w:sz="0" w:space="0" w:color="auto"/>
                <w:right w:val="none" w:sz="0" w:space="0" w:color="auto"/>
              </w:divBdr>
              <w:divsChild>
                <w:div w:id="17011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3618">
      <w:bodyDiv w:val="1"/>
      <w:marLeft w:val="0"/>
      <w:marRight w:val="0"/>
      <w:marTop w:val="0"/>
      <w:marBottom w:val="0"/>
      <w:divBdr>
        <w:top w:val="none" w:sz="0" w:space="0" w:color="auto"/>
        <w:left w:val="none" w:sz="0" w:space="0" w:color="auto"/>
        <w:bottom w:val="none" w:sz="0" w:space="0" w:color="auto"/>
        <w:right w:val="none" w:sz="0" w:space="0" w:color="auto"/>
      </w:divBdr>
      <w:divsChild>
        <w:div w:id="1316227214">
          <w:marLeft w:val="0"/>
          <w:marRight w:val="0"/>
          <w:marTop w:val="0"/>
          <w:marBottom w:val="0"/>
          <w:divBdr>
            <w:top w:val="none" w:sz="0" w:space="0" w:color="auto"/>
            <w:left w:val="none" w:sz="0" w:space="0" w:color="auto"/>
            <w:bottom w:val="none" w:sz="0" w:space="0" w:color="auto"/>
            <w:right w:val="none" w:sz="0" w:space="0" w:color="auto"/>
          </w:divBdr>
          <w:divsChild>
            <w:div w:id="2045867912">
              <w:marLeft w:val="0"/>
              <w:marRight w:val="0"/>
              <w:marTop w:val="0"/>
              <w:marBottom w:val="0"/>
              <w:divBdr>
                <w:top w:val="none" w:sz="0" w:space="0" w:color="auto"/>
                <w:left w:val="none" w:sz="0" w:space="0" w:color="auto"/>
                <w:bottom w:val="none" w:sz="0" w:space="0" w:color="auto"/>
                <w:right w:val="none" w:sz="0" w:space="0" w:color="auto"/>
              </w:divBdr>
              <w:divsChild>
                <w:div w:id="68776900">
                  <w:marLeft w:val="0"/>
                  <w:marRight w:val="0"/>
                  <w:marTop w:val="0"/>
                  <w:marBottom w:val="0"/>
                  <w:divBdr>
                    <w:top w:val="none" w:sz="0" w:space="0" w:color="auto"/>
                    <w:left w:val="none" w:sz="0" w:space="0" w:color="auto"/>
                    <w:bottom w:val="none" w:sz="0" w:space="0" w:color="auto"/>
                    <w:right w:val="none" w:sz="0" w:space="0" w:color="auto"/>
                  </w:divBdr>
                </w:div>
                <w:div w:id="14047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8247">
      <w:bodyDiv w:val="1"/>
      <w:marLeft w:val="0"/>
      <w:marRight w:val="0"/>
      <w:marTop w:val="0"/>
      <w:marBottom w:val="0"/>
      <w:divBdr>
        <w:top w:val="none" w:sz="0" w:space="0" w:color="auto"/>
        <w:left w:val="none" w:sz="0" w:space="0" w:color="auto"/>
        <w:bottom w:val="none" w:sz="0" w:space="0" w:color="auto"/>
        <w:right w:val="none" w:sz="0" w:space="0" w:color="auto"/>
      </w:divBdr>
      <w:divsChild>
        <w:div w:id="423189460">
          <w:marLeft w:val="547"/>
          <w:marRight w:val="0"/>
          <w:marTop w:val="0"/>
          <w:marBottom w:val="120"/>
          <w:divBdr>
            <w:top w:val="none" w:sz="0" w:space="0" w:color="auto"/>
            <w:left w:val="none" w:sz="0" w:space="0" w:color="auto"/>
            <w:bottom w:val="none" w:sz="0" w:space="0" w:color="auto"/>
            <w:right w:val="none" w:sz="0" w:space="0" w:color="auto"/>
          </w:divBdr>
        </w:div>
        <w:div w:id="1742171549">
          <w:marLeft w:val="547"/>
          <w:marRight w:val="0"/>
          <w:marTop w:val="0"/>
          <w:marBottom w:val="120"/>
          <w:divBdr>
            <w:top w:val="none" w:sz="0" w:space="0" w:color="auto"/>
            <w:left w:val="none" w:sz="0" w:space="0" w:color="auto"/>
            <w:bottom w:val="none" w:sz="0" w:space="0" w:color="auto"/>
            <w:right w:val="none" w:sz="0" w:space="0" w:color="auto"/>
          </w:divBdr>
        </w:div>
      </w:divsChild>
    </w:div>
    <w:div w:id="1293631058">
      <w:bodyDiv w:val="1"/>
      <w:marLeft w:val="0"/>
      <w:marRight w:val="0"/>
      <w:marTop w:val="0"/>
      <w:marBottom w:val="0"/>
      <w:divBdr>
        <w:top w:val="none" w:sz="0" w:space="0" w:color="auto"/>
        <w:left w:val="none" w:sz="0" w:space="0" w:color="auto"/>
        <w:bottom w:val="none" w:sz="0" w:space="0" w:color="auto"/>
        <w:right w:val="none" w:sz="0" w:space="0" w:color="auto"/>
      </w:divBdr>
    </w:div>
    <w:div w:id="1346206808">
      <w:bodyDiv w:val="1"/>
      <w:marLeft w:val="0"/>
      <w:marRight w:val="0"/>
      <w:marTop w:val="0"/>
      <w:marBottom w:val="0"/>
      <w:divBdr>
        <w:top w:val="none" w:sz="0" w:space="0" w:color="auto"/>
        <w:left w:val="none" w:sz="0" w:space="0" w:color="auto"/>
        <w:bottom w:val="none" w:sz="0" w:space="0" w:color="auto"/>
        <w:right w:val="none" w:sz="0" w:space="0" w:color="auto"/>
      </w:divBdr>
    </w:div>
    <w:div w:id="1356150465">
      <w:bodyDiv w:val="1"/>
      <w:marLeft w:val="0"/>
      <w:marRight w:val="0"/>
      <w:marTop w:val="0"/>
      <w:marBottom w:val="0"/>
      <w:divBdr>
        <w:top w:val="none" w:sz="0" w:space="0" w:color="auto"/>
        <w:left w:val="none" w:sz="0" w:space="0" w:color="auto"/>
        <w:bottom w:val="none" w:sz="0" w:space="0" w:color="auto"/>
        <w:right w:val="none" w:sz="0" w:space="0" w:color="auto"/>
      </w:divBdr>
      <w:divsChild>
        <w:div w:id="1086804693">
          <w:marLeft w:val="0"/>
          <w:marRight w:val="0"/>
          <w:marTop w:val="0"/>
          <w:marBottom w:val="0"/>
          <w:divBdr>
            <w:top w:val="none" w:sz="0" w:space="0" w:color="auto"/>
            <w:left w:val="none" w:sz="0" w:space="0" w:color="auto"/>
            <w:bottom w:val="none" w:sz="0" w:space="0" w:color="auto"/>
            <w:right w:val="none" w:sz="0" w:space="0" w:color="auto"/>
          </w:divBdr>
          <w:divsChild>
            <w:div w:id="2058697777">
              <w:marLeft w:val="0"/>
              <w:marRight w:val="0"/>
              <w:marTop w:val="0"/>
              <w:marBottom w:val="0"/>
              <w:divBdr>
                <w:top w:val="none" w:sz="0" w:space="0" w:color="auto"/>
                <w:left w:val="none" w:sz="0" w:space="0" w:color="auto"/>
                <w:bottom w:val="none" w:sz="0" w:space="0" w:color="auto"/>
                <w:right w:val="none" w:sz="0" w:space="0" w:color="auto"/>
              </w:divBdr>
              <w:divsChild>
                <w:div w:id="12941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99274">
      <w:bodyDiv w:val="1"/>
      <w:marLeft w:val="0"/>
      <w:marRight w:val="0"/>
      <w:marTop w:val="0"/>
      <w:marBottom w:val="0"/>
      <w:divBdr>
        <w:top w:val="none" w:sz="0" w:space="0" w:color="auto"/>
        <w:left w:val="none" w:sz="0" w:space="0" w:color="auto"/>
        <w:bottom w:val="none" w:sz="0" w:space="0" w:color="auto"/>
        <w:right w:val="none" w:sz="0" w:space="0" w:color="auto"/>
      </w:divBdr>
    </w:div>
    <w:div w:id="1405639098">
      <w:bodyDiv w:val="1"/>
      <w:marLeft w:val="0"/>
      <w:marRight w:val="0"/>
      <w:marTop w:val="0"/>
      <w:marBottom w:val="0"/>
      <w:divBdr>
        <w:top w:val="none" w:sz="0" w:space="0" w:color="auto"/>
        <w:left w:val="none" w:sz="0" w:space="0" w:color="auto"/>
        <w:bottom w:val="none" w:sz="0" w:space="0" w:color="auto"/>
        <w:right w:val="none" w:sz="0" w:space="0" w:color="auto"/>
      </w:divBdr>
    </w:div>
    <w:div w:id="1416633513">
      <w:bodyDiv w:val="1"/>
      <w:marLeft w:val="0"/>
      <w:marRight w:val="0"/>
      <w:marTop w:val="0"/>
      <w:marBottom w:val="0"/>
      <w:divBdr>
        <w:top w:val="none" w:sz="0" w:space="0" w:color="auto"/>
        <w:left w:val="none" w:sz="0" w:space="0" w:color="auto"/>
        <w:bottom w:val="none" w:sz="0" w:space="0" w:color="auto"/>
        <w:right w:val="none" w:sz="0" w:space="0" w:color="auto"/>
      </w:divBdr>
    </w:div>
    <w:div w:id="1449278173">
      <w:bodyDiv w:val="1"/>
      <w:marLeft w:val="0"/>
      <w:marRight w:val="0"/>
      <w:marTop w:val="0"/>
      <w:marBottom w:val="0"/>
      <w:divBdr>
        <w:top w:val="none" w:sz="0" w:space="0" w:color="auto"/>
        <w:left w:val="none" w:sz="0" w:space="0" w:color="auto"/>
        <w:bottom w:val="none" w:sz="0" w:space="0" w:color="auto"/>
        <w:right w:val="none" w:sz="0" w:space="0" w:color="auto"/>
      </w:divBdr>
      <w:divsChild>
        <w:div w:id="1329941868">
          <w:marLeft w:val="0"/>
          <w:marRight w:val="0"/>
          <w:marTop w:val="0"/>
          <w:marBottom w:val="0"/>
          <w:divBdr>
            <w:top w:val="none" w:sz="0" w:space="0" w:color="auto"/>
            <w:left w:val="none" w:sz="0" w:space="0" w:color="auto"/>
            <w:bottom w:val="none" w:sz="0" w:space="0" w:color="auto"/>
            <w:right w:val="none" w:sz="0" w:space="0" w:color="auto"/>
          </w:divBdr>
          <w:divsChild>
            <w:div w:id="1879002039">
              <w:marLeft w:val="0"/>
              <w:marRight w:val="0"/>
              <w:marTop w:val="0"/>
              <w:marBottom w:val="0"/>
              <w:divBdr>
                <w:top w:val="none" w:sz="0" w:space="0" w:color="auto"/>
                <w:left w:val="none" w:sz="0" w:space="0" w:color="auto"/>
                <w:bottom w:val="none" w:sz="0" w:space="0" w:color="auto"/>
                <w:right w:val="none" w:sz="0" w:space="0" w:color="auto"/>
              </w:divBdr>
              <w:divsChild>
                <w:div w:id="14017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12991">
      <w:bodyDiv w:val="1"/>
      <w:marLeft w:val="0"/>
      <w:marRight w:val="0"/>
      <w:marTop w:val="0"/>
      <w:marBottom w:val="0"/>
      <w:divBdr>
        <w:top w:val="none" w:sz="0" w:space="0" w:color="auto"/>
        <w:left w:val="none" w:sz="0" w:space="0" w:color="auto"/>
        <w:bottom w:val="none" w:sz="0" w:space="0" w:color="auto"/>
        <w:right w:val="none" w:sz="0" w:space="0" w:color="auto"/>
      </w:divBdr>
    </w:div>
    <w:div w:id="1596279781">
      <w:bodyDiv w:val="1"/>
      <w:marLeft w:val="0"/>
      <w:marRight w:val="0"/>
      <w:marTop w:val="0"/>
      <w:marBottom w:val="0"/>
      <w:divBdr>
        <w:top w:val="none" w:sz="0" w:space="0" w:color="auto"/>
        <w:left w:val="none" w:sz="0" w:space="0" w:color="auto"/>
        <w:bottom w:val="none" w:sz="0" w:space="0" w:color="auto"/>
        <w:right w:val="none" w:sz="0" w:space="0" w:color="auto"/>
      </w:divBdr>
    </w:div>
    <w:div w:id="1597056588">
      <w:bodyDiv w:val="1"/>
      <w:marLeft w:val="0"/>
      <w:marRight w:val="0"/>
      <w:marTop w:val="0"/>
      <w:marBottom w:val="0"/>
      <w:divBdr>
        <w:top w:val="none" w:sz="0" w:space="0" w:color="auto"/>
        <w:left w:val="none" w:sz="0" w:space="0" w:color="auto"/>
        <w:bottom w:val="none" w:sz="0" w:space="0" w:color="auto"/>
        <w:right w:val="none" w:sz="0" w:space="0" w:color="auto"/>
      </w:divBdr>
    </w:div>
    <w:div w:id="1683046752">
      <w:bodyDiv w:val="1"/>
      <w:marLeft w:val="0"/>
      <w:marRight w:val="0"/>
      <w:marTop w:val="0"/>
      <w:marBottom w:val="0"/>
      <w:divBdr>
        <w:top w:val="none" w:sz="0" w:space="0" w:color="auto"/>
        <w:left w:val="none" w:sz="0" w:space="0" w:color="auto"/>
        <w:bottom w:val="none" w:sz="0" w:space="0" w:color="auto"/>
        <w:right w:val="none" w:sz="0" w:space="0" w:color="auto"/>
      </w:divBdr>
    </w:div>
    <w:div w:id="1710716409">
      <w:bodyDiv w:val="1"/>
      <w:marLeft w:val="0"/>
      <w:marRight w:val="0"/>
      <w:marTop w:val="0"/>
      <w:marBottom w:val="0"/>
      <w:divBdr>
        <w:top w:val="none" w:sz="0" w:space="0" w:color="auto"/>
        <w:left w:val="none" w:sz="0" w:space="0" w:color="auto"/>
        <w:bottom w:val="none" w:sz="0" w:space="0" w:color="auto"/>
        <w:right w:val="none" w:sz="0" w:space="0" w:color="auto"/>
      </w:divBdr>
    </w:div>
    <w:div w:id="1764834845">
      <w:bodyDiv w:val="1"/>
      <w:marLeft w:val="0"/>
      <w:marRight w:val="0"/>
      <w:marTop w:val="0"/>
      <w:marBottom w:val="0"/>
      <w:divBdr>
        <w:top w:val="none" w:sz="0" w:space="0" w:color="auto"/>
        <w:left w:val="none" w:sz="0" w:space="0" w:color="auto"/>
        <w:bottom w:val="none" w:sz="0" w:space="0" w:color="auto"/>
        <w:right w:val="none" w:sz="0" w:space="0" w:color="auto"/>
      </w:divBdr>
    </w:div>
    <w:div w:id="17800554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069">
          <w:marLeft w:val="0"/>
          <w:marRight w:val="0"/>
          <w:marTop w:val="0"/>
          <w:marBottom w:val="0"/>
          <w:divBdr>
            <w:top w:val="none" w:sz="0" w:space="0" w:color="auto"/>
            <w:left w:val="none" w:sz="0" w:space="0" w:color="auto"/>
            <w:bottom w:val="none" w:sz="0" w:space="0" w:color="auto"/>
            <w:right w:val="none" w:sz="0" w:space="0" w:color="auto"/>
          </w:divBdr>
          <w:divsChild>
            <w:div w:id="239750715">
              <w:marLeft w:val="0"/>
              <w:marRight w:val="0"/>
              <w:marTop w:val="0"/>
              <w:marBottom w:val="0"/>
              <w:divBdr>
                <w:top w:val="none" w:sz="0" w:space="0" w:color="auto"/>
                <w:left w:val="none" w:sz="0" w:space="0" w:color="auto"/>
                <w:bottom w:val="none" w:sz="0" w:space="0" w:color="auto"/>
                <w:right w:val="none" w:sz="0" w:space="0" w:color="auto"/>
              </w:divBdr>
              <w:divsChild>
                <w:div w:id="19712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8385">
      <w:bodyDiv w:val="1"/>
      <w:marLeft w:val="0"/>
      <w:marRight w:val="0"/>
      <w:marTop w:val="0"/>
      <w:marBottom w:val="0"/>
      <w:divBdr>
        <w:top w:val="none" w:sz="0" w:space="0" w:color="auto"/>
        <w:left w:val="none" w:sz="0" w:space="0" w:color="auto"/>
        <w:bottom w:val="none" w:sz="0" w:space="0" w:color="auto"/>
        <w:right w:val="none" w:sz="0" w:space="0" w:color="auto"/>
      </w:divBdr>
    </w:div>
    <w:div w:id="1925605044">
      <w:bodyDiv w:val="1"/>
      <w:marLeft w:val="0"/>
      <w:marRight w:val="0"/>
      <w:marTop w:val="0"/>
      <w:marBottom w:val="0"/>
      <w:divBdr>
        <w:top w:val="none" w:sz="0" w:space="0" w:color="auto"/>
        <w:left w:val="none" w:sz="0" w:space="0" w:color="auto"/>
        <w:bottom w:val="none" w:sz="0" w:space="0" w:color="auto"/>
        <w:right w:val="none" w:sz="0" w:space="0" w:color="auto"/>
      </w:divBdr>
      <w:divsChild>
        <w:div w:id="1283878732">
          <w:marLeft w:val="0"/>
          <w:marRight w:val="0"/>
          <w:marTop w:val="0"/>
          <w:marBottom w:val="0"/>
          <w:divBdr>
            <w:top w:val="none" w:sz="0" w:space="0" w:color="auto"/>
            <w:left w:val="none" w:sz="0" w:space="0" w:color="auto"/>
            <w:bottom w:val="none" w:sz="0" w:space="0" w:color="auto"/>
            <w:right w:val="none" w:sz="0" w:space="0" w:color="auto"/>
          </w:divBdr>
          <w:divsChild>
            <w:div w:id="2129003272">
              <w:marLeft w:val="0"/>
              <w:marRight w:val="0"/>
              <w:marTop w:val="0"/>
              <w:marBottom w:val="0"/>
              <w:divBdr>
                <w:top w:val="none" w:sz="0" w:space="0" w:color="auto"/>
                <w:left w:val="none" w:sz="0" w:space="0" w:color="auto"/>
                <w:bottom w:val="none" w:sz="0" w:space="0" w:color="auto"/>
                <w:right w:val="none" w:sz="0" w:space="0" w:color="auto"/>
              </w:divBdr>
              <w:divsChild>
                <w:div w:id="5564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1531">
      <w:bodyDiv w:val="1"/>
      <w:marLeft w:val="0"/>
      <w:marRight w:val="0"/>
      <w:marTop w:val="0"/>
      <w:marBottom w:val="0"/>
      <w:divBdr>
        <w:top w:val="none" w:sz="0" w:space="0" w:color="auto"/>
        <w:left w:val="none" w:sz="0" w:space="0" w:color="auto"/>
        <w:bottom w:val="none" w:sz="0" w:space="0" w:color="auto"/>
        <w:right w:val="none" w:sz="0" w:space="0" w:color="auto"/>
      </w:divBdr>
    </w:div>
    <w:div w:id="1975601910">
      <w:bodyDiv w:val="1"/>
      <w:marLeft w:val="0"/>
      <w:marRight w:val="0"/>
      <w:marTop w:val="0"/>
      <w:marBottom w:val="0"/>
      <w:divBdr>
        <w:top w:val="none" w:sz="0" w:space="0" w:color="auto"/>
        <w:left w:val="none" w:sz="0" w:space="0" w:color="auto"/>
        <w:bottom w:val="none" w:sz="0" w:space="0" w:color="auto"/>
        <w:right w:val="none" w:sz="0" w:space="0" w:color="auto"/>
      </w:divBdr>
    </w:div>
    <w:div w:id="1998261814">
      <w:bodyDiv w:val="1"/>
      <w:marLeft w:val="0"/>
      <w:marRight w:val="0"/>
      <w:marTop w:val="0"/>
      <w:marBottom w:val="0"/>
      <w:divBdr>
        <w:top w:val="none" w:sz="0" w:space="0" w:color="auto"/>
        <w:left w:val="none" w:sz="0" w:space="0" w:color="auto"/>
        <w:bottom w:val="none" w:sz="0" w:space="0" w:color="auto"/>
        <w:right w:val="none" w:sz="0" w:space="0" w:color="auto"/>
      </w:divBdr>
      <w:divsChild>
        <w:div w:id="365448180">
          <w:marLeft w:val="0"/>
          <w:marRight w:val="0"/>
          <w:marTop w:val="0"/>
          <w:marBottom w:val="0"/>
          <w:divBdr>
            <w:top w:val="none" w:sz="0" w:space="0" w:color="auto"/>
            <w:left w:val="none" w:sz="0" w:space="0" w:color="auto"/>
            <w:bottom w:val="none" w:sz="0" w:space="0" w:color="auto"/>
            <w:right w:val="none" w:sz="0" w:space="0" w:color="auto"/>
          </w:divBdr>
          <w:divsChild>
            <w:div w:id="534544340">
              <w:marLeft w:val="0"/>
              <w:marRight w:val="0"/>
              <w:marTop w:val="0"/>
              <w:marBottom w:val="0"/>
              <w:divBdr>
                <w:top w:val="none" w:sz="0" w:space="0" w:color="auto"/>
                <w:left w:val="none" w:sz="0" w:space="0" w:color="auto"/>
                <w:bottom w:val="none" w:sz="0" w:space="0" w:color="auto"/>
                <w:right w:val="none" w:sz="0" w:space="0" w:color="auto"/>
              </w:divBdr>
              <w:divsChild>
                <w:div w:id="20704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76">
      <w:bodyDiv w:val="1"/>
      <w:marLeft w:val="0"/>
      <w:marRight w:val="0"/>
      <w:marTop w:val="0"/>
      <w:marBottom w:val="0"/>
      <w:divBdr>
        <w:top w:val="none" w:sz="0" w:space="0" w:color="auto"/>
        <w:left w:val="none" w:sz="0" w:space="0" w:color="auto"/>
        <w:bottom w:val="none" w:sz="0" w:space="0" w:color="auto"/>
        <w:right w:val="none" w:sz="0" w:space="0" w:color="auto"/>
      </w:divBdr>
    </w:div>
    <w:div w:id="2051998334">
      <w:bodyDiv w:val="1"/>
      <w:marLeft w:val="0"/>
      <w:marRight w:val="0"/>
      <w:marTop w:val="0"/>
      <w:marBottom w:val="0"/>
      <w:divBdr>
        <w:top w:val="none" w:sz="0" w:space="0" w:color="auto"/>
        <w:left w:val="none" w:sz="0" w:space="0" w:color="auto"/>
        <w:bottom w:val="none" w:sz="0" w:space="0" w:color="auto"/>
        <w:right w:val="none" w:sz="0" w:space="0" w:color="auto"/>
      </w:divBdr>
      <w:divsChild>
        <w:div w:id="86968914">
          <w:marLeft w:val="0"/>
          <w:marRight w:val="0"/>
          <w:marTop w:val="0"/>
          <w:marBottom w:val="0"/>
          <w:divBdr>
            <w:top w:val="none" w:sz="0" w:space="0" w:color="auto"/>
            <w:left w:val="none" w:sz="0" w:space="0" w:color="auto"/>
            <w:bottom w:val="none" w:sz="0" w:space="0" w:color="auto"/>
            <w:right w:val="none" w:sz="0" w:space="0" w:color="auto"/>
          </w:divBdr>
          <w:divsChild>
            <w:div w:id="237835859">
              <w:marLeft w:val="0"/>
              <w:marRight w:val="0"/>
              <w:marTop w:val="0"/>
              <w:marBottom w:val="0"/>
              <w:divBdr>
                <w:top w:val="none" w:sz="0" w:space="0" w:color="auto"/>
                <w:left w:val="none" w:sz="0" w:space="0" w:color="auto"/>
                <w:bottom w:val="none" w:sz="0" w:space="0" w:color="auto"/>
                <w:right w:val="none" w:sz="0" w:space="0" w:color="auto"/>
              </w:divBdr>
              <w:divsChild>
                <w:div w:id="14223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3916">
      <w:bodyDiv w:val="1"/>
      <w:marLeft w:val="0"/>
      <w:marRight w:val="0"/>
      <w:marTop w:val="0"/>
      <w:marBottom w:val="0"/>
      <w:divBdr>
        <w:top w:val="none" w:sz="0" w:space="0" w:color="auto"/>
        <w:left w:val="none" w:sz="0" w:space="0" w:color="auto"/>
        <w:bottom w:val="none" w:sz="0" w:space="0" w:color="auto"/>
        <w:right w:val="none" w:sz="0" w:space="0" w:color="auto"/>
      </w:divBdr>
      <w:divsChild>
        <w:div w:id="656688386">
          <w:marLeft w:val="0"/>
          <w:marRight w:val="0"/>
          <w:marTop w:val="0"/>
          <w:marBottom w:val="0"/>
          <w:divBdr>
            <w:top w:val="none" w:sz="0" w:space="0" w:color="auto"/>
            <w:left w:val="none" w:sz="0" w:space="0" w:color="auto"/>
            <w:bottom w:val="none" w:sz="0" w:space="0" w:color="auto"/>
            <w:right w:val="none" w:sz="0" w:space="0" w:color="auto"/>
          </w:divBdr>
          <w:divsChild>
            <w:div w:id="1947497484">
              <w:marLeft w:val="0"/>
              <w:marRight w:val="0"/>
              <w:marTop w:val="0"/>
              <w:marBottom w:val="0"/>
              <w:divBdr>
                <w:top w:val="none" w:sz="0" w:space="0" w:color="auto"/>
                <w:left w:val="none" w:sz="0" w:space="0" w:color="auto"/>
                <w:bottom w:val="none" w:sz="0" w:space="0" w:color="auto"/>
                <w:right w:val="none" w:sz="0" w:space="0" w:color="auto"/>
              </w:divBdr>
              <w:divsChild>
                <w:div w:id="9670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5983">
      <w:bodyDiv w:val="1"/>
      <w:marLeft w:val="0"/>
      <w:marRight w:val="0"/>
      <w:marTop w:val="0"/>
      <w:marBottom w:val="0"/>
      <w:divBdr>
        <w:top w:val="none" w:sz="0" w:space="0" w:color="auto"/>
        <w:left w:val="none" w:sz="0" w:space="0" w:color="auto"/>
        <w:bottom w:val="none" w:sz="0" w:space="0" w:color="auto"/>
        <w:right w:val="none" w:sz="0" w:space="0" w:color="auto"/>
      </w:divBdr>
      <w:divsChild>
        <w:div w:id="1182285324">
          <w:marLeft w:val="547"/>
          <w:marRight w:val="0"/>
          <w:marTop w:val="0"/>
          <w:marBottom w:val="120"/>
          <w:divBdr>
            <w:top w:val="none" w:sz="0" w:space="0" w:color="auto"/>
            <w:left w:val="none" w:sz="0" w:space="0" w:color="auto"/>
            <w:bottom w:val="none" w:sz="0" w:space="0" w:color="auto"/>
            <w:right w:val="none" w:sz="0" w:space="0" w:color="auto"/>
          </w:divBdr>
        </w:div>
        <w:div w:id="1335306375">
          <w:marLeft w:val="547"/>
          <w:marRight w:val="0"/>
          <w:marTop w:val="0"/>
          <w:marBottom w:val="120"/>
          <w:divBdr>
            <w:top w:val="none" w:sz="0" w:space="0" w:color="auto"/>
            <w:left w:val="none" w:sz="0" w:space="0" w:color="auto"/>
            <w:bottom w:val="none" w:sz="0" w:space="0" w:color="auto"/>
            <w:right w:val="none" w:sz="0" w:space="0" w:color="auto"/>
          </w:divBdr>
        </w:div>
        <w:div w:id="1587768130">
          <w:marLeft w:val="547"/>
          <w:marRight w:val="0"/>
          <w:marTop w:val="0"/>
          <w:marBottom w:val="120"/>
          <w:divBdr>
            <w:top w:val="none" w:sz="0" w:space="0" w:color="auto"/>
            <w:left w:val="none" w:sz="0" w:space="0" w:color="auto"/>
            <w:bottom w:val="none" w:sz="0" w:space="0" w:color="auto"/>
            <w:right w:val="none" w:sz="0" w:space="0" w:color="auto"/>
          </w:divBdr>
        </w:div>
        <w:div w:id="1626304593">
          <w:marLeft w:val="547"/>
          <w:marRight w:val="0"/>
          <w:marTop w:val="0"/>
          <w:marBottom w:val="120"/>
          <w:divBdr>
            <w:top w:val="none" w:sz="0" w:space="0" w:color="auto"/>
            <w:left w:val="none" w:sz="0" w:space="0" w:color="auto"/>
            <w:bottom w:val="none" w:sz="0" w:space="0" w:color="auto"/>
            <w:right w:val="none" w:sz="0" w:space="0" w:color="auto"/>
          </w:divBdr>
        </w:div>
        <w:div w:id="1809664338">
          <w:marLeft w:val="547"/>
          <w:marRight w:val="0"/>
          <w:marTop w:val="0"/>
          <w:marBottom w:val="120"/>
          <w:divBdr>
            <w:top w:val="none" w:sz="0" w:space="0" w:color="auto"/>
            <w:left w:val="none" w:sz="0" w:space="0" w:color="auto"/>
            <w:bottom w:val="none" w:sz="0" w:space="0" w:color="auto"/>
            <w:right w:val="none" w:sz="0" w:space="0" w:color="auto"/>
          </w:divBdr>
        </w:div>
        <w:div w:id="1859390739">
          <w:marLeft w:val="547"/>
          <w:marRight w:val="0"/>
          <w:marTop w:val="0"/>
          <w:marBottom w:val="120"/>
          <w:divBdr>
            <w:top w:val="none" w:sz="0" w:space="0" w:color="auto"/>
            <w:left w:val="none" w:sz="0" w:space="0" w:color="auto"/>
            <w:bottom w:val="none" w:sz="0" w:space="0" w:color="auto"/>
            <w:right w:val="none" w:sz="0" w:space="0" w:color="auto"/>
          </w:divBdr>
        </w:div>
        <w:div w:id="1959220656">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archives.gov.uk/doc/open-government-licence/version/3" TargetMode="External"/><Relationship Id="rId18" Type="http://schemas.openxmlformats.org/officeDocument/2006/relationships/footer" Target="footer1.xml"/><Relationship Id="rId26" Type="http://schemas.openxmlformats.org/officeDocument/2006/relationships/diagramColors" Target="diagrams/colors1.xm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5.png"/><Relationship Id="rId42"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diagramQuickStyle" Target="diagrams/quickStyle1.xml"/><Relationship Id="rId33" Type="http://schemas.openxmlformats.org/officeDocument/2006/relationships/hyperlink" Target="https://www.civilservicepensionscheme.org.uk/about-us/scheme-valuation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nihrc.org"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1.xml"/><Relationship Id="rId32" Type="http://schemas.openxmlformats.org/officeDocument/2006/relationships/hyperlink" Target="http://www.civilservicepensionscheme.org.uk"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diagramData" Target="diagrams/data1.xml"/><Relationship Id="rId28" Type="http://schemas.openxmlformats.org/officeDocument/2006/relationships/image" Target="media/image4.png"/><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nihrc.org/publication/detail/strategic-plan-2022-202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official-documents" TargetMode="External"/><Relationship Id="rId22" Type="http://schemas.openxmlformats.org/officeDocument/2006/relationships/hyperlink" Target="https://www.ohchr.org/en/instruments-mechanisms/instruments/principles-relating-status-national-institutions-paris" TargetMode="External"/><Relationship Id="rId27" Type="http://schemas.microsoft.com/office/2007/relationships/diagramDrawing" Target="diagrams/drawing1.xml"/><Relationship Id="rId30" Type="http://schemas.openxmlformats.org/officeDocument/2006/relationships/hyperlink" Target="http://www.nihrc.org" TargetMode="External"/><Relationship Id="rId35" Type="http://schemas.openxmlformats.org/officeDocument/2006/relationships/hyperlink" Target="https://www.frc.org.uk/auditors/audit-assurance/auditor-s-responsibilities-for-the-audit-of-the-fi/description-of-the-auditor%e2%80%99s-responsibilities-for"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ivilservicepensionscheme.org.uk" TargetMode="External"/><Relationship Id="rId1" Type="http://schemas.openxmlformats.org/officeDocument/2006/relationships/hyperlink" Target="https://nihrc.org/publication/detail/annual-statement-202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A91A2C-1372-43A2-A421-115F3B916835}"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055D086B-AB15-4250-A620-793840C91487}">
      <dgm:prSet phldrT="[Text]" custT="1"/>
      <dgm:spPr>
        <a:solidFill>
          <a:srgbClr val="7030A0"/>
        </a:solidFill>
      </dgm:spPr>
      <dgm:t>
        <a:bodyPr/>
        <a:lstStyle/>
        <a:p>
          <a:r>
            <a:rPr lang="en-GB" sz="1800" baseline="0">
              <a:solidFill>
                <a:schemeClr val="bg1"/>
              </a:solidFill>
            </a:rPr>
            <a:t>Chief Executive &amp; Accounting Officer</a:t>
          </a:r>
        </a:p>
      </dgm:t>
    </dgm:pt>
    <dgm:pt modelId="{8C8AE3CA-0519-443B-AAC6-33061EC45E4F}" type="parTrans" cxnId="{39C84C32-38AF-42D8-9929-649C0506BE13}">
      <dgm:prSet/>
      <dgm:spPr/>
      <dgm:t>
        <a:bodyPr/>
        <a:lstStyle/>
        <a:p>
          <a:endParaRPr lang="en-GB"/>
        </a:p>
      </dgm:t>
    </dgm:pt>
    <dgm:pt modelId="{843C94DD-195F-4F9E-BC78-3B92B22BEA0E}" type="sibTrans" cxnId="{39C84C32-38AF-42D8-9929-649C0506BE13}">
      <dgm:prSet/>
      <dgm:spPr/>
      <dgm:t>
        <a:bodyPr/>
        <a:lstStyle/>
        <a:p>
          <a:endParaRPr lang="en-GB"/>
        </a:p>
      </dgm:t>
    </dgm:pt>
    <dgm:pt modelId="{74682392-1DD0-43C7-A0CC-A85421D311D0}">
      <dgm:prSet phldrT="[Text]"/>
      <dgm:spPr>
        <a:solidFill>
          <a:srgbClr val="7030A0"/>
        </a:solidFill>
      </dgm:spPr>
      <dgm:t>
        <a:bodyPr/>
        <a:lstStyle/>
        <a:p>
          <a:r>
            <a:rPr lang="en-GB" baseline="0">
              <a:solidFill>
                <a:schemeClr val="bg1"/>
              </a:solidFill>
            </a:rPr>
            <a:t>Director (Legal Services)</a:t>
          </a:r>
        </a:p>
      </dgm:t>
    </dgm:pt>
    <dgm:pt modelId="{89BC8241-3F98-4EBB-9119-10516A2A020D}" type="parTrans" cxnId="{498FF303-5BE0-49E6-B66E-B6595448F106}">
      <dgm:prSet/>
      <dgm:spPr/>
      <dgm:t>
        <a:bodyPr/>
        <a:lstStyle/>
        <a:p>
          <a:endParaRPr lang="en-GB"/>
        </a:p>
      </dgm:t>
    </dgm:pt>
    <dgm:pt modelId="{5E35FE08-FC61-4022-BEF5-F758742CD011}" type="sibTrans" cxnId="{498FF303-5BE0-49E6-B66E-B6595448F106}">
      <dgm:prSet/>
      <dgm:spPr/>
      <dgm:t>
        <a:bodyPr/>
        <a:lstStyle/>
        <a:p>
          <a:endParaRPr lang="en-GB"/>
        </a:p>
      </dgm:t>
    </dgm:pt>
    <dgm:pt modelId="{5F373A2B-8789-4FED-A249-EE0F669E5B31}">
      <dgm:prSet phldrT="[Text]"/>
      <dgm:spPr>
        <a:solidFill>
          <a:srgbClr val="7030A0"/>
        </a:solidFill>
      </dgm:spPr>
      <dgm:t>
        <a:bodyPr/>
        <a:lstStyle/>
        <a:p>
          <a:r>
            <a:rPr lang="en-GB" baseline="0">
              <a:solidFill>
                <a:schemeClr val="bg1"/>
              </a:solidFill>
            </a:rPr>
            <a:t>Solicitors (Legal &amp; Research Officers) x 3</a:t>
          </a:r>
        </a:p>
      </dgm:t>
    </dgm:pt>
    <dgm:pt modelId="{95ADC381-6E8E-4E1E-B5A4-A6AFDED78C00}" type="parTrans" cxnId="{4DCC4A86-C292-494B-A17A-A99C9ACFB5C6}">
      <dgm:prSet/>
      <dgm:spPr/>
      <dgm:t>
        <a:bodyPr/>
        <a:lstStyle/>
        <a:p>
          <a:endParaRPr lang="en-GB"/>
        </a:p>
      </dgm:t>
    </dgm:pt>
    <dgm:pt modelId="{F2D13C97-2937-4848-80D3-67921B7250B3}" type="sibTrans" cxnId="{4DCC4A86-C292-494B-A17A-A99C9ACFB5C6}">
      <dgm:prSet/>
      <dgm:spPr/>
      <dgm:t>
        <a:bodyPr/>
        <a:lstStyle/>
        <a:p>
          <a:endParaRPr lang="en-GB"/>
        </a:p>
      </dgm:t>
    </dgm:pt>
    <dgm:pt modelId="{375B24A6-4BBD-4A9C-BD7F-80ABED0E8D67}">
      <dgm:prSet phldrT="[Text]"/>
      <dgm:spPr>
        <a:solidFill>
          <a:srgbClr val="7030A0"/>
        </a:solidFill>
      </dgm:spPr>
      <dgm:t>
        <a:bodyPr/>
        <a:lstStyle/>
        <a:p>
          <a:r>
            <a:rPr lang="en-GB" baseline="0">
              <a:solidFill>
                <a:schemeClr val="bg1"/>
              </a:solidFill>
            </a:rPr>
            <a:t>Senior Policy &amp; Research Officer	</a:t>
          </a:r>
        </a:p>
      </dgm:t>
    </dgm:pt>
    <dgm:pt modelId="{BB7A3625-ED02-4C26-BF40-C4828D858686}" type="parTrans" cxnId="{649BC496-6E01-47A0-9330-77598DB031F1}">
      <dgm:prSet/>
      <dgm:spPr/>
      <dgm:t>
        <a:bodyPr/>
        <a:lstStyle/>
        <a:p>
          <a:endParaRPr lang="en-GB"/>
        </a:p>
      </dgm:t>
    </dgm:pt>
    <dgm:pt modelId="{015E3313-2602-4825-84D1-5FAA3C63FC06}" type="sibTrans" cxnId="{649BC496-6E01-47A0-9330-77598DB031F1}">
      <dgm:prSet/>
      <dgm:spPr/>
      <dgm:t>
        <a:bodyPr/>
        <a:lstStyle/>
        <a:p>
          <a:endParaRPr lang="en-GB"/>
        </a:p>
      </dgm:t>
    </dgm:pt>
    <dgm:pt modelId="{F79CA767-ABAC-48D3-89B3-B3FD31D67392}">
      <dgm:prSet phldrT="[Text]"/>
      <dgm:spPr>
        <a:solidFill>
          <a:srgbClr val="7030A0"/>
        </a:solidFill>
      </dgm:spPr>
      <dgm:t>
        <a:bodyPr/>
        <a:lstStyle/>
        <a:p>
          <a:r>
            <a:rPr lang="en-GB" baseline="0">
              <a:solidFill>
                <a:schemeClr val="bg1"/>
              </a:solidFill>
            </a:rPr>
            <a:t>Director (Finance, Personnel &amp; Corporate Affairs)</a:t>
          </a:r>
        </a:p>
      </dgm:t>
    </dgm:pt>
    <dgm:pt modelId="{9D8C39BB-F56D-40E1-821C-9F81B6BA855A}" type="parTrans" cxnId="{0A4BE452-2D30-439D-B6D7-64D15839C906}">
      <dgm:prSet/>
      <dgm:spPr/>
      <dgm:t>
        <a:bodyPr/>
        <a:lstStyle/>
        <a:p>
          <a:endParaRPr lang="en-GB"/>
        </a:p>
      </dgm:t>
    </dgm:pt>
    <dgm:pt modelId="{AD95F1A7-9AA7-4514-A2E3-75FE0962AB0C}" type="sibTrans" cxnId="{0A4BE452-2D30-439D-B6D7-64D15839C906}">
      <dgm:prSet/>
      <dgm:spPr/>
      <dgm:t>
        <a:bodyPr/>
        <a:lstStyle/>
        <a:p>
          <a:endParaRPr lang="en-GB"/>
        </a:p>
      </dgm:t>
    </dgm:pt>
    <dgm:pt modelId="{9A0B9B5E-18BE-45CC-995B-E8AA576BAB1F}">
      <dgm:prSet phldrT="[Text]"/>
      <dgm:spPr>
        <a:solidFill>
          <a:srgbClr val="7030A0"/>
        </a:solidFill>
      </dgm:spPr>
      <dgm:t>
        <a:bodyPr/>
        <a:lstStyle/>
        <a:p>
          <a:r>
            <a:rPr lang="en-GB" baseline="0">
              <a:solidFill>
                <a:schemeClr val="bg1"/>
              </a:solidFill>
            </a:rPr>
            <a:t>Senior Finance, Personnel &amp; Corporate Affairs Officer</a:t>
          </a:r>
        </a:p>
        <a:p>
          <a:r>
            <a:rPr lang="en-GB" baseline="0">
              <a:solidFill>
                <a:schemeClr val="bg1"/>
              </a:solidFill>
            </a:rPr>
            <a:t>(currently vacant)</a:t>
          </a:r>
        </a:p>
      </dgm:t>
    </dgm:pt>
    <dgm:pt modelId="{F7047F99-3856-408F-A52E-58A08DA76C9E}" type="parTrans" cxnId="{8BDE8CF4-615D-4ABF-957F-E2A3E9FB6CED}">
      <dgm:prSet/>
      <dgm:spPr/>
      <dgm:t>
        <a:bodyPr/>
        <a:lstStyle/>
        <a:p>
          <a:endParaRPr lang="en-GB"/>
        </a:p>
      </dgm:t>
    </dgm:pt>
    <dgm:pt modelId="{CB2E5F4F-9643-4D3B-97D8-0FC8B5CAE944}" type="sibTrans" cxnId="{8BDE8CF4-615D-4ABF-957F-E2A3E9FB6CED}">
      <dgm:prSet/>
      <dgm:spPr/>
      <dgm:t>
        <a:bodyPr/>
        <a:lstStyle/>
        <a:p>
          <a:endParaRPr lang="en-GB"/>
        </a:p>
      </dgm:t>
    </dgm:pt>
    <dgm:pt modelId="{AF2C8F75-15D0-4F7D-ABD6-30E100700F99}">
      <dgm:prSet/>
      <dgm:spPr>
        <a:solidFill>
          <a:srgbClr val="7030A0"/>
        </a:solidFill>
      </dgm:spPr>
      <dgm:t>
        <a:bodyPr/>
        <a:lstStyle/>
        <a:p>
          <a:r>
            <a:rPr lang="en-GB" baseline="0">
              <a:solidFill>
                <a:schemeClr val="bg1"/>
              </a:solidFill>
            </a:rPr>
            <a:t>Director (Engagement &amp; Communications)</a:t>
          </a:r>
        </a:p>
      </dgm:t>
    </dgm:pt>
    <dgm:pt modelId="{1724D17B-7E58-44B7-BDB6-6EF23DE8CE30}" type="parTrans" cxnId="{2F33CAC1-5347-4ADA-8A65-39EC2B234AAB}">
      <dgm:prSet/>
      <dgm:spPr/>
      <dgm:t>
        <a:bodyPr/>
        <a:lstStyle/>
        <a:p>
          <a:endParaRPr lang="en-GB"/>
        </a:p>
      </dgm:t>
    </dgm:pt>
    <dgm:pt modelId="{0CCC5833-D87C-4E0B-B862-4BF2735A51A7}" type="sibTrans" cxnId="{2F33CAC1-5347-4ADA-8A65-39EC2B234AAB}">
      <dgm:prSet/>
      <dgm:spPr/>
      <dgm:t>
        <a:bodyPr/>
        <a:lstStyle/>
        <a:p>
          <a:endParaRPr lang="en-GB"/>
        </a:p>
      </dgm:t>
    </dgm:pt>
    <dgm:pt modelId="{33CAFDE1-8B06-45B8-9772-FAD6CB376A33}">
      <dgm:prSet/>
      <dgm:spPr>
        <a:solidFill>
          <a:srgbClr val="7030A0"/>
        </a:solidFill>
      </dgm:spPr>
      <dgm:t>
        <a:bodyPr/>
        <a:lstStyle/>
        <a:p>
          <a:r>
            <a:rPr lang="en-GB" baseline="0">
              <a:solidFill>
                <a:schemeClr val="bg1"/>
              </a:solidFill>
            </a:rPr>
            <a:t>Director (Human Rights after Brexit)</a:t>
          </a:r>
        </a:p>
      </dgm:t>
    </dgm:pt>
    <dgm:pt modelId="{7331D93B-DA9C-44A5-9992-ABF61A6E90FD}" type="parTrans" cxnId="{AD046FCB-769A-4D7E-BB49-E797C3BE4734}">
      <dgm:prSet/>
      <dgm:spPr/>
      <dgm:t>
        <a:bodyPr/>
        <a:lstStyle/>
        <a:p>
          <a:endParaRPr lang="en-GB"/>
        </a:p>
      </dgm:t>
    </dgm:pt>
    <dgm:pt modelId="{EA83F9CA-38B4-476B-B131-A0469DDE6DEA}" type="sibTrans" cxnId="{AD046FCB-769A-4D7E-BB49-E797C3BE4734}">
      <dgm:prSet/>
      <dgm:spPr/>
      <dgm:t>
        <a:bodyPr/>
        <a:lstStyle/>
        <a:p>
          <a:endParaRPr lang="en-GB"/>
        </a:p>
      </dgm:t>
    </dgm:pt>
    <dgm:pt modelId="{46FDCEFF-5EF0-4D8D-96FB-0F510AF1185B}">
      <dgm:prSet/>
      <dgm:spPr>
        <a:solidFill>
          <a:srgbClr val="7030A0"/>
        </a:solidFill>
      </dgm:spPr>
      <dgm:t>
        <a:bodyPr/>
        <a:lstStyle/>
        <a:p>
          <a:r>
            <a:rPr lang="en-GB" baseline="0">
              <a:solidFill>
                <a:schemeClr val="bg1"/>
              </a:solidFill>
            </a:rPr>
            <a:t>Director (Advice to Government, Research &amp; Investigations)</a:t>
          </a:r>
        </a:p>
      </dgm:t>
    </dgm:pt>
    <dgm:pt modelId="{31F5B1FF-B3A2-4A2A-888A-6F4AF14F2F46}" type="parTrans" cxnId="{3CA1E97A-6D14-4A87-BAC7-FB77B164A932}">
      <dgm:prSet/>
      <dgm:spPr/>
      <dgm:t>
        <a:bodyPr/>
        <a:lstStyle/>
        <a:p>
          <a:endParaRPr lang="en-GB"/>
        </a:p>
      </dgm:t>
    </dgm:pt>
    <dgm:pt modelId="{B3510E34-C8AD-4414-AF48-C7D76C8574D3}" type="sibTrans" cxnId="{3CA1E97A-6D14-4A87-BAC7-FB77B164A932}">
      <dgm:prSet/>
      <dgm:spPr/>
      <dgm:t>
        <a:bodyPr/>
        <a:lstStyle/>
        <a:p>
          <a:endParaRPr lang="en-GB"/>
        </a:p>
      </dgm:t>
    </dgm:pt>
    <dgm:pt modelId="{881D7432-8CD0-4494-A45D-4439148962BE}">
      <dgm:prSet/>
      <dgm:spPr>
        <a:solidFill>
          <a:srgbClr val="7030A0"/>
        </a:solidFill>
      </dgm:spPr>
      <dgm:t>
        <a:bodyPr/>
        <a:lstStyle/>
        <a:p>
          <a:r>
            <a:rPr lang="en-GB" baseline="0">
              <a:solidFill>
                <a:schemeClr val="bg1"/>
              </a:solidFill>
            </a:rPr>
            <a:t>Senior Policy &amp; Research Officer</a:t>
          </a:r>
        </a:p>
      </dgm:t>
    </dgm:pt>
    <dgm:pt modelId="{611DDA1E-0B0D-4200-8895-6FF04BEA56DE}" type="parTrans" cxnId="{8440BECF-B4FB-4CD5-9BA3-54A8ADB8AB90}">
      <dgm:prSet/>
      <dgm:spPr/>
      <dgm:t>
        <a:bodyPr/>
        <a:lstStyle/>
        <a:p>
          <a:endParaRPr lang="en-GB"/>
        </a:p>
      </dgm:t>
    </dgm:pt>
    <dgm:pt modelId="{0AF6B7AE-EA4A-4842-9893-CE09EB36131D}" type="sibTrans" cxnId="{8440BECF-B4FB-4CD5-9BA3-54A8ADB8AB90}">
      <dgm:prSet/>
      <dgm:spPr/>
      <dgm:t>
        <a:bodyPr/>
        <a:lstStyle/>
        <a:p>
          <a:endParaRPr lang="en-GB"/>
        </a:p>
      </dgm:t>
    </dgm:pt>
    <dgm:pt modelId="{1B7DF147-5499-4D78-B6F1-23E6042733E3}">
      <dgm:prSet/>
      <dgm:spPr>
        <a:solidFill>
          <a:srgbClr val="7030A0"/>
        </a:solidFill>
      </dgm:spPr>
      <dgm:t>
        <a:bodyPr/>
        <a:lstStyle/>
        <a:p>
          <a:r>
            <a:rPr lang="en-GB" baseline="0">
              <a:solidFill>
                <a:schemeClr val="bg1"/>
              </a:solidFill>
            </a:rPr>
            <a:t>Senior Policy &amp; Research Officer</a:t>
          </a:r>
        </a:p>
      </dgm:t>
    </dgm:pt>
    <dgm:pt modelId="{16BDD566-4A8D-4C53-8866-C42D119004E1}" type="parTrans" cxnId="{E96B216E-81DB-45D7-A38A-55BB83667A31}">
      <dgm:prSet/>
      <dgm:spPr/>
      <dgm:t>
        <a:bodyPr/>
        <a:lstStyle/>
        <a:p>
          <a:endParaRPr lang="en-GB"/>
        </a:p>
      </dgm:t>
    </dgm:pt>
    <dgm:pt modelId="{813DE423-E8DA-49D9-BA92-CC65313A25C1}" type="sibTrans" cxnId="{E96B216E-81DB-45D7-A38A-55BB83667A31}">
      <dgm:prSet/>
      <dgm:spPr/>
      <dgm:t>
        <a:bodyPr/>
        <a:lstStyle/>
        <a:p>
          <a:endParaRPr lang="en-GB"/>
        </a:p>
      </dgm:t>
    </dgm:pt>
    <dgm:pt modelId="{B9E36E2E-AF80-4980-B8B3-2300B26633BC}">
      <dgm:prSet/>
      <dgm:spPr>
        <a:solidFill>
          <a:srgbClr val="7030A0"/>
        </a:solidFill>
      </dgm:spPr>
      <dgm:t>
        <a:bodyPr/>
        <a:lstStyle/>
        <a:p>
          <a:r>
            <a:rPr lang="en-GB" baseline="0">
              <a:solidFill>
                <a:schemeClr val="bg1"/>
              </a:solidFill>
            </a:rPr>
            <a:t>Senior Engagment &amp; Communications Officer</a:t>
          </a:r>
        </a:p>
      </dgm:t>
    </dgm:pt>
    <dgm:pt modelId="{84F630C2-936F-453A-9758-A29B09AF1590}" type="parTrans" cxnId="{823452E7-023B-4BEC-B588-8DEA545F2EED}">
      <dgm:prSet/>
      <dgm:spPr/>
      <dgm:t>
        <a:bodyPr/>
        <a:lstStyle/>
        <a:p>
          <a:endParaRPr lang="en-GB"/>
        </a:p>
      </dgm:t>
    </dgm:pt>
    <dgm:pt modelId="{B0EC7324-BCC5-4FB4-BE95-C197C8AA8954}" type="sibTrans" cxnId="{823452E7-023B-4BEC-B588-8DEA545F2EED}">
      <dgm:prSet/>
      <dgm:spPr/>
      <dgm:t>
        <a:bodyPr/>
        <a:lstStyle/>
        <a:p>
          <a:endParaRPr lang="en-GB"/>
        </a:p>
      </dgm:t>
    </dgm:pt>
    <dgm:pt modelId="{7057CF23-079D-4097-8966-732BE59D5678}">
      <dgm:prSet/>
      <dgm:spPr>
        <a:solidFill>
          <a:srgbClr val="7030A0"/>
        </a:solidFill>
      </dgm:spPr>
      <dgm:t>
        <a:bodyPr/>
        <a:lstStyle/>
        <a:p>
          <a:r>
            <a:rPr lang="en-GB" baseline="0">
              <a:solidFill>
                <a:schemeClr val="bg1"/>
              </a:solidFill>
            </a:rPr>
            <a:t>Project Manager</a:t>
          </a:r>
        </a:p>
      </dgm:t>
    </dgm:pt>
    <dgm:pt modelId="{264C43C3-53E7-4F58-BFB3-B17A6C4CFDA0}" type="parTrans" cxnId="{20F3F0AD-81AD-4120-A5F2-E179F7E228C7}">
      <dgm:prSet/>
      <dgm:spPr/>
      <dgm:t>
        <a:bodyPr/>
        <a:lstStyle/>
        <a:p>
          <a:endParaRPr lang="en-GB"/>
        </a:p>
      </dgm:t>
    </dgm:pt>
    <dgm:pt modelId="{0888D89C-1C2E-4605-BD2B-982B12099C58}" type="sibTrans" cxnId="{20F3F0AD-81AD-4120-A5F2-E179F7E228C7}">
      <dgm:prSet/>
      <dgm:spPr/>
      <dgm:t>
        <a:bodyPr/>
        <a:lstStyle/>
        <a:p>
          <a:endParaRPr lang="en-GB"/>
        </a:p>
      </dgm:t>
    </dgm:pt>
    <dgm:pt modelId="{EEA65B0D-0ED4-4949-B5C5-E3F69ECDB024}">
      <dgm:prSet/>
      <dgm:spPr>
        <a:solidFill>
          <a:srgbClr val="7030A0"/>
        </a:solidFill>
      </dgm:spPr>
      <dgm:t>
        <a:bodyPr/>
        <a:lstStyle/>
        <a:p>
          <a:r>
            <a:rPr lang="en-GB" baseline="0">
              <a:solidFill>
                <a:schemeClr val="bg1"/>
              </a:solidFill>
            </a:rPr>
            <a:t>Senior Engagement &amp; Communications Officer</a:t>
          </a:r>
        </a:p>
      </dgm:t>
    </dgm:pt>
    <dgm:pt modelId="{CFFAAD95-E640-4B6F-B862-3530C40EC969}" type="parTrans" cxnId="{D8149F0F-3C75-4989-9F58-4A0D6EE13147}">
      <dgm:prSet/>
      <dgm:spPr/>
      <dgm:t>
        <a:bodyPr/>
        <a:lstStyle/>
        <a:p>
          <a:endParaRPr lang="en-GB"/>
        </a:p>
      </dgm:t>
    </dgm:pt>
    <dgm:pt modelId="{436291F1-1FFF-4C96-A7CF-9DB66C7E9CC2}" type="sibTrans" cxnId="{D8149F0F-3C75-4989-9F58-4A0D6EE13147}">
      <dgm:prSet/>
      <dgm:spPr/>
      <dgm:t>
        <a:bodyPr/>
        <a:lstStyle/>
        <a:p>
          <a:endParaRPr lang="en-GB"/>
        </a:p>
      </dgm:t>
    </dgm:pt>
    <dgm:pt modelId="{167CDA3B-F08B-412B-B345-2965D304CC49}">
      <dgm:prSet/>
      <dgm:spPr>
        <a:solidFill>
          <a:srgbClr val="7030A0"/>
        </a:solidFill>
      </dgm:spPr>
      <dgm:t>
        <a:bodyPr/>
        <a:lstStyle/>
        <a:p>
          <a:r>
            <a:rPr lang="en-GB" baseline="0">
              <a:solidFill>
                <a:schemeClr val="bg1"/>
              </a:solidFill>
            </a:rPr>
            <a:t>Executive Assistant</a:t>
          </a:r>
        </a:p>
      </dgm:t>
    </dgm:pt>
    <dgm:pt modelId="{88B0A9D1-8470-4822-A7A5-928BF0308038}" type="parTrans" cxnId="{1AE01886-EB9A-47B0-B5F0-220F08540888}">
      <dgm:prSet/>
      <dgm:spPr/>
      <dgm:t>
        <a:bodyPr/>
        <a:lstStyle/>
        <a:p>
          <a:endParaRPr lang="en-GB"/>
        </a:p>
      </dgm:t>
    </dgm:pt>
    <dgm:pt modelId="{344FBAE8-B752-4B39-BBAA-31B1C7CAF456}" type="sibTrans" cxnId="{1AE01886-EB9A-47B0-B5F0-220F08540888}">
      <dgm:prSet/>
      <dgm:spPr/>
      <dgm:t>
        <a:bodyPr/>
        <a:lstStyle/>
        <a:p>
          <a:endParaRPr lang="en-GB"/>
        </a:p>
      </dgm:t>
    </dgm:pt>
    <dgm:pt modelId="{EFA9DE8D-1CC2-44AA-93AE-1E2346068C4C}">
      <dgm:prSet/>
      <dgm:spPr>
        <a:solidFill>
          <a:srgbClr val="7030A0"/>
        </a:solidFill>
      </dgm:spPr>
      <dgm:t>
        <a:bodyPr/>
        <a:lstStyle/>
        <a:p>
          <a:r>
            <a:rPr lang="en-GB" baseline="0">
              <a:solidFill>
                <a:schemeClr val="bg1"/>
              </a:solidFill>
            </a:rPr>
            <a:t>Paralegal</a:t>
          </a:r>
        </a:p>
      </dgm:t>
    </dgm:pt>
    <dgm:pt modelId="{E58BE69A-9B25-4BB3-BB05-CDF7CCE82D97}" type="parTrans" cxnId="{32C9480A-E392-4F12-B208-8689B7D4504B}">
      <dgm:prSet/>
      <dgm:spPr/>
      <dgm:t>
        <a:bodyPr/>
        <a:lstStyle/>
        <a:p>
          <a:endParaRPr lang="en-GB"/>
        </a:p>
      </dgm:t>
    </dgm:pt>
    <dgm:pt modelId="{372D80FD-2C00-4CDF-B3CC-BDFBF56F34AA}" type="sibTrans" cxnId="{32C9480A-E392-4F12-B208-8689B7D4504B}">
      <dgm:prSet/>
      <dgm:spPr/>
      <dgm:t>
        <a:bodyPr/>
        <a:lstStyle/>
        <a:p>
          <a:endParaRPr lang="en-GB"/>
        </a:p>
      </dgm:t>
    </dgm:pt>
    <dgm:pt modelId="{A7C629C7-3379-4B28-ACBF-814EFAED8A48}">
      <dgm:prSet/>
      <dgm:spPr>
        <a:solidFill>
          <a:srgbClr val="7030A0"/>
        </a:solidFill>
      </dgm:spPr>
      <dgm:t>
        <a:bodyPr/>
        <a:lstStyle/>
        <a:p>
          <a:r>
            <a:rPr lang="en-GB" baseline="0">
              <a:solidFill>
                <a:schemeClr val="bg1"/>
              </a:solidFill>
            </a:rPr>
            <a:t>Policy &amp; Research Officers x 2 </a:t>
          </a:r>
        </a:p>
        <a:p>
          <a:endParaRPr lang="en-GB" baseline="0">
            <a:solidFill>
              <a:schemeClr val="bg1"/>
            </a:solidFill>
          </a:endParaRPr>
        </a:p>
      </dgm:t>
    </dgm:pt>
    <dgm:pt modelId="{B0BB92DB-6DFA-4AA6-9B81-B521A991D380}" type="parTrans" cxnId="{80F9CEB0-6E5F-4712-BE37-CD847B7ADF53}">
      <dgm:prSet/>
      <dgm:spPr/>
      <dgm:t>
        <a:bodyPr/>
        <a:lstStyle/>
        <a:p>
          <a:endParaRPr lang="en-GB"/>
        </a:p>
      </dgm:t>
    </dgm:pt>
    <dgm:pt modelId="{D1255A9F-89AC-45EB-AAA9-FE52986443D6}" type="sibTrans" cxnId="{80F9CEB0-6E5F-4712-BE37-CD847B7ADF53}">
      <dgm:prSet/>
      <dgm:spPr/>
      <dgm:t>
        <a:bodyPr/>
        <a:lstStyle/>
        <a:p>
          <a:endParaRPr lang="en-GB"/>
        </a:p>
      </dgm:t>
    </dgm:pt>
    <dgm:pt modelId="{C217340C-41EF-4738-8386-EA209B07A167}">
      <dgm:prSet/>
      <dgm:spPr>
        <a:solidFill>
          <a:srgbClr val="7030A0"/>
        </a:solidFill>
      </dgm:spPr>
      <dgm:t>
        <a:bodyPr/>
        <a:lstStyle/>
        <a:p>
          <a:r>
            <a:rPr lang="en-GB" baseline="0">
              <a:solidFill>
                <a:schemeClr val="bg1"/>
              </a:solidFill>
            </a:rPr>
            <a:t>Policy &amp; Research Officers x 2</a:t>
          </a:r>
        </a:p>
        <a:p>
          <a:r>
            <a:rPr lang="en-GB" baseline="0">
              <a:solidFill>
                <a:schemeClr val="bg1"/>
              </a:solidFill>
            </a:rPr>
            <a:t>(1 currently vacant)</a:t>
          </a:r>
        </a:p>
      </dgm:t>
    </dgm:pt>
    <dgm:pt modelId="{9B6F4AA0-6B01-4E55-B3D3-8251B163E696}" type="parTrans" cxnId="{C7130B7B-1C89-4239-90E4-EB8386434586}">
      <dgm:prSet/>
      <dgm:spPr/>
      <dgm:t>
        <a:bodyPr/>
        <a:lstStyle/>
        <a:p>
          <a:endParaRPr lang="en-GB"/>
        </a:p>
      </dgm:t>
    </dgm:pt>
    <dgm:pt modelId="{58FB0DF1-E1A1-46FF-973B-FEF3765E9D8A}" type="sibTrans" cxnId="{C7130B7B-1C89-4239-90E4-EB8386434586}">
      <dgm:prSet/>
      <dgm:spPr/>
      <dgm:t>
        <a:bodyPr/>
        <a:lstStyle/>
        <a:p>
          <a:endParaRPr lang="en-GB"/>
        </a:p>
      </dgm:t>
    </dgm:pt>
    <dgm:pt modelId="{723A616D-9AE9-495F-87DC-ADF7656CB55E}">
      <dgm:prSet/>
      <dgm:spPr>
        <a:solidFill>
          <a:srgbClr val="7030A0"/>
        </a:solidFill>
      </dgm:spPr>
      <dgm:t>
        <a:bodyPr/>
        <a:lstStyle/>
        <a:p>
          <a:r>
            <a:rPr lang="en-GB" baseline="0">
              <a:solidFill>
                <a:schemeClr val="bg1"/>
              </a:solidFill>
            </a:rPr>
            <a:t>Policy &amp; Research Officers x 3</a:t>
          </a:r>
        </a:p>
        <a:p>
          <a:r>
            <a:rPr lang="en-GB" baseline="0">
              <a:solidFill>
                <a:schemeClr val="bg1"/>
              </a:solidFill>
            </a:rPr>
            <a:t>(1 currently vacant)</a:t>
          </a:r>
        </a:p>
      </dgm:t>
    </dgm:pt>
    <dgm:pt modelId="{664B28DF-80E1-4BF5-9804-09BD2DA2389F}" type="parTrans" cxnId="{9589FAA8-3651-4FA4-974C-F8CCE651E607}">
      <dgm:prSet/>
      <dgm:spPr/>
      <dgm:t>
        <a:bodyPr/>
        <a:lstStyle/>
        <a:p>
          <a:endParaRPr lang="en-GB"/>
        </a:p>
      </dgm:t>
    </dgm:pt>
    <dgm:pt modelId="{DBF72AE7-4A69-40F6-A71B-3E6B7FBB06C0}" type="sibTrans" cxnId="{9589FAA8-3651-4FA4-974C-F8CCE651E607}">
      <dgm:prSet/>
      <dgm:spPr/>
      <dgm:t>
        <a:bodyPr/>
        <a:lstStyle/>
        <a:p>
          <a:endParaRPr lang="en-GB"/>
        </a:p>
      </dgm:t>
    </dgm:pt>
    <dgm:pt modelId="{2C12309B-6B0A-4E03-B10A-4301834C1C7D}">
      <dgm:prSet/>
      <dgm:spPr>
        <a:solidFill>
          <a:srgbClr val="7030A0"/>
        </a:solidFill>
      </dgm:spPr>
      <dgm:t>
        <a:bodyPr/>
        <a:lstStyle/>
        <a:p>
          <a:r>
            <a:rPr lang="en-GB" baseline="0">
              <a:solidFill>
                <a:schemeClr val="bg1"/>
              </a:solidFill>
            </a:rPr>
            <a:t>Engagement &amp; Communications Officer x 2</a:t>
          </a:r>
        </a:p>
        <a:p>
          <a:r>
            <a:rPr lang="en-GB" baseline="0">
              <a:solidFill>
                <a:schemeClr val="bg1"/>
              </a:solidFill>
            </a:rPr>
            <a:t>(1 currently vacant)</a:t>
          </a:r>
        </a:p>
      </dgm:t>
    </dgm:pt>
    <dgm:pt modelId="{0478B478-EC20-4FE5-8FAE-1276E74D27FD}" type="parTrans" cxnId="{252DD74B-D069-483B-A217-A3FF606A19DF}">
      <dgm:prSet/>
      <dgm:spPr/>
      <dgm:t>
        <a:bodyPr/>
        <a:lstStyle/>
        <a:p>
          <a:endParaRPr lang="en-GB"/>
        </a:p>
      </dgm:t>
    </dgm:pt>
    <dgm:pt modelId="{709DC24D-66A1-45D7-8C55-98B4E68EF7CB}" type="sibTrans" cxnId="{252DD74B-D069-483B-A217-A3FF606A19DF}">
      <dgm:prSet/>
      <dgm:spPr/>
      <dgm:t>
        <a:bodyPr/>
        <a:lstStyle/>
        <a:p>
          <a:endParaRPr lang="en-GB"/>
        </a:p>
      </dgm:t>
    </dgm:pt>
    <dgm:pt modelId="{4E151958-5C8F-4C6B-8893-F93B3D221B81}">
      <dgm:prSet/>
      <dgm:spPr>
        <a:solidFill>
          <a:srgbClr val="7030A0"/>
        </a:solidFill>
      </dgm:spPr>
      <dgm:t>
        <a:bodyPr/>
        <a:lstStyle/>
        <a:p>
          <a:r>
            <a:rPr lang="en-GB" baseline="0">
              <a:solidFill>
                <a:schemeClr val="bg1"/>
              </a:solidFill>
            </a:rPr>
            <a:t>Engagement &amp; Communications Officer</a:t>
          </a:r>
        </a:p>
        <a:p>
          <a:r>
            <a:rPr lang="en-GB" baseline="0">
              <a:solidFill>
                <a:schemeClr val="bg1"/>
              </a:solidFill>
            </a:rPr>
            <a:t>(currently vacant)</a:t>
          </a:r>
        </a:p>
      </dgm:t>
    </dgm:pt>
    <dgm:pt modelId="{0306E3DD-4B34-4DD0-B8C8-8A90621621A8}" type="parTrans" cxnId="{FEBB6EBE-B4FB-47C8-9E36-D8152A644709}">
      <dgm:prSet/>
      <dgm:spPr/>
      <dgm:t>
        <a:bodyPr/>
        <a:lstStyle/>
        <a:p>
          <a:endParaRPr lang="en-GB"/>
        </a:p>
      </dgm:t>
    </dgm:pt>
    <dgm:pt modelId="{58FC1B1C-D913-4F59-B5DA-7439DAC6ED85}" type="sibTrans" cxnId="{FEBB6EBE-B4FB-47C8-9E36-D8152A644709}">
      <dgm:prSet/>
      <dgm:spPr/>
      <dgm:t>
        <a:bodyPr/>
        <a:lstStyle/>
        <a:p>
          <a:endParaRPr lang="en-GB"/>
        </a:p>
      </dgm:t>
    </dgm:pt>
    <dgm:pt modelId="{BBF4EFD6-1B96-4BB0-8BF0-90E008A47175}">
      <dgm:prSet/>
      <dgm:spPr>
        <a:solidFill>
          <a:srgbClr val="7030A0"/>
        </a:solidFill>
      </dgm:spPr>
      <dgm:t>
        <a:bodyPr/>
        <a:lstStyle/>
        <a:p>
          <a:r>
            <a:rPr lang="en-GB" baseline="0">
              <a:solidFill>
                <a:schemeClr val="bg1"/>
              </a:solidFill>
            </a:rPr>
            <a:t>Administrative Officers (Full-time x 2) </a:t>
          </a:r>
        </a:p>
        <a:p>
          <a:r>
            <a:rPr lang="en-GB" baseline="0">
              <a:solidFill>
                <a:schemeClr val="bg1"/>
              </a:solidFill>
            </a:rPr>
            <a:t>Administrative Officer (Part-time)</a:t>
          </a:r>
        </a:p>
        <a:p>
          <a:r>
            <a:rPr lang="en-GB" baseline="0">
              <a:solidFill>
                <a:schemeClr val="bg1"/>
              </a:solidFill>
            </a:rPr>
            <a:t>Administrative Officer (Agency)</a:t>
          </a:r>
        </a:p>
      </dgm:t>
    </dgm:pt>
    <dgm:pt modelId="{B5A53B6A-4B64-496B-9B83-C766311112B0}" type="parTrans" cxnId="{4DF55321-A66A-4DC7-B55B-14D2C1A05E82}">
      <dgm:prSet/>
      <dgm:spPr/>
      <dgm:t>
        <a:bodyPr/>
        <a:lstStyle/>
        <a:p>
          <a:endParaRPr lang="en-GB"/>
        </a:p>
      </dgm:t>
    </dgm:pt>
    <dgm:pt modelId="{7511F7F7-F760-444D-9C9C-5CE2900CE626}" type="sibTrans" cxnId="{4DF55321-A66A-4DC7-B55B-14D2C1A05E82}">
      <dgm:prSet/>
      <dgm:spPr/>
      <dgm:t>
        <a:bodyPr/>
        <a:lstStyle/>
        <a:p>
          <a:endParaRPr lang="en-GB"/>
        </a:p>
      </dgm:t>
    </dgm:pt>
    <dgm:pt modelId="{749AFA74-64FF-45B8-AD52-B82695E9CA77}" type="pres">
      <dgm:prSet presAssocID="{DFA91A2C-1372-43A2-A421-115F3B916835}" presName="Name0" presStyleCnt="0">
        <dgm:presLayoutVars>
          <dgm:chPref val="1"/>
          <dgm:dir/>
          <dgm:animOne val="branch"/>
          <dgm:animLvl val="lvl"/>
          <dgm:resizeHandles/>
        </dgm:presLayoutVars>
      </dgm:prSet>
      <dgm:spPr/>
    </dgm:pt>
    <dgm:pt modelId="{D5C86E72-AAC6-486E-8077-2D7B78645577}" type="pres">
      <dgm:prSet presAssocID="{055D086B-AB15-4250-A620-793840C91487}" presName="vertOne" presStyleCnt="0"/>
      <dgm:spPr/>
    </dgm:pt>
    <dgm:pt modelId="{42922883-BF52-4CA5-BD21-F614B41E9B43}" type="pres">
      <dgm:prSet presAssocID="{055D086B-AB15-4250-A620-793840C91487}" presName="txOne" presStyleLbl="node0" presStyleIdx="0" presStyleCnt="1">
        <dgm:presLayoutVars>
          <dgm:chPref val="3"/>
        </dgm:presLayoutVars>
      </dgm:prSet>
      <dgm:spPr/>
    </dgm:pt>
    <dgm:pt modelId="{092C6C07-CB65-4E1E-AED0-7315F6FA2544}" type="pres">
      <dgm:prSet presAssocID="{055D086B-AB15-4250-A620-793840C91487}" presName="parTransOne" presStyleCnt="0"/>
      <dgm:spPr/>
    </dgm:pt>
    <dgm:pt modelId="{A20EC388-A67D-4FE1-95BF-02A00C257095}" type="pres">
      <dgm:prSet presAssocID="{055D086B-AB15-4250-A620-793840C91487}" presName="horzOne" presStyleCnt="0"/>
      <dgm:spPr/>
    </dgm:pt>
    <dgm:pt modelId="{54159A59-E45C-48A7-B315-AA352C038D61}" type="pres">
      <dgm:prSet presAssocID="{74682392-1DD0-43C7-A0CC-A85421D311D0}" presName="vertTwo" presStyleCnt="0"/>
      <dgm:spPr/>
    </dgm:pt>
    <dgm:pt modelId="{5B89CF88-9AD3-4177-B113-9BD060DCC4DD}" type="pres">
      <dgm:prSet presAssocID="{74682392-1DD0-43C7-A0CC-A85421D311D0}" presName="txTwo" presStyleLbl="node2" presStyleIdx="0" presStyleCnt="5" custScaleX="32615" custLinFactNeighborX="-17439" custLinFactNeighborY="16509">
        <dgm:presLayoutVars>
          <dgm:chPref val="3"/>
        </dgm:presLayoutVars>
      </dgm:prSet>
      <dgm:spPr/>
    </dgm:pt>
    <dgm:pt modelId="{687D40D7-7683-4EB3-A60B-CE870C36A7AC}" type="pres">
      <dgm:prSet presAssocID="{74682392-1DD0-43C7-A0CC-A85421D311D0}" presName="parTransTwo" presStyleCnt="0"/>
      <dgm:spPr/>
    </dgm:pt>
    <dgm:pt modelId="{08C34DB1-C6A6-462F-9432-44141F9AFAC7}" type="pres">
      <dgm:prSet presAssocID="{74682392-1DD0-43C7-A0CC-A85421D311D0}" presName="horzTwo" presStyleCnt="0"/>
      <dgm:spPr/>
    </dgm:pt>
    <dgm:pt modelId="{F709F776-3B3C-4A0A-9A4E-3D89CA4E7AEE}" type="pres">
      <dgm:prSet presAssocID="{5F373A2B-8789-4FED-A249-EE0F669E5B31}" presName="vertThree" presStyleCnt="0"/>
      <dgm:spPr/>
    </dgm:pt>
    <dgm:pt modelId="{21EDFFE0-E30A-4743-A551-A56F58F60A23}" type="pres">
      <dgm:prSet presAssocID="{5F373A2B-8789-4FED-A249-EE0F669E5B31}" presName="txThree" presStyleLbl="node3" presStyleIdx="0" presStyleCnt="9" custLinFactNeighborX="51052" custLinFactNeighborY="-2219">
        <dgm:presLayoutVars>
          <dgm:chPref val="3"/>
        </dgm:presLayoutVars>
      </dgm:prSet>
      <dgm:spPr/>
    </dgm:pt>
    <dgm:pt modelId="{8D2BA319-573C-4040-8CEF-DB27FA9B63C2}" type="pres">
      <dgm:prSet presAssocID="{5F373A2B-8789-4FED-A249-EE0F669E5B31}" presName="parTransThree" presStyleCnt="0"/>
      <dgm:spPr/>
    </dgm:pt>
    <dgm:pt modelId="{B8CE2FE1-696B-4E40-8D5A-712B4F5BA9DE}" type="pres">
      <dgm:prSet presAssocID="{5F373A2B-8789-4FED-A249-EE0F669E5B31}" presName="horzThree" presStyleCnt="0"/>
      <dgm:spPr/>
    </dgm:pt>
    <dgm:pt modelId="{A1A7B121-044F-4A1A-9D33-D8CCE83B3B51}" type="pres">
      <dgm:prSet presAssocID="{EFA9DE8D-1CC2-44AA-93AE-1E2346068C4C}" presName="vertFour" presStyleCnt="0">
        <dgm:presLayoutVars>
          <dgm:chPref val="3"/>
        </dgm:presLayoutVars>
      </dgm:prSet>
      <dgm:spPr/>
    </dgm:pt>
    <dgm:pt modelId="{CBEF0E80-62F1-4A98-8639-2695A17808F6}" type="pres">
      <dgm:prSet presAssocID="{EFA9DE8D-1CC2-44AA-93AE-1E2346068C4C}" presName="txFour" presStyleLbl="node4" presStyleIdx="0" presStyleCnt="7" custLinFactNeighborX="52030" custLinFactNeighborY="-425">
        <dgm:presLayoutVars>
          <dgm:chPref val="3"/>
        </dgm:presLayoutVars>
      </dgm:prSet>
      <dgm:spPr/>
    </dgm:pt>
    <dgm:pt modelId="{B6255818-71AB-434C-9E99-DD7823DEFEC8}" type="pres">
      <dgm:prSet presAssocID="{EFA9DE8D-1CC2-44AA-93AE-1E2346068C4C}" presName="horzFour" presStyleCnt="0"/>
      <dgm:spPr/>
    </dgm:pt>
    <dgm:pt modelId="{7598BC55-9E3A-471E-B75F-1CAB03421029}" type="pres">
      <dgm:prSet presAssocID="{F2D13C97-2937-4848-80D3-67921B7250B3}" presName="sibSpaceThree" presStyleCnt="0"/>
      <dgm:spPr/>
    </dgm:pt>
    <dgm:pt modelId="{926256A9-3B56-465B-AE85-C220B8CD5379}" type="pres">
      <dgm:prSet presAssocID="{375B24A6-4BBD-4A9C-BD7F-80ABED0E8D67}" presName="vertThree" presStyleCnt="0"/>
      <dgm:spPr/>
    </dgm:pt>
    <dgm:pt modelId="{72F54AF8-EFF7-4770-8ADE-7858622D9B44}" type="pres">
      <dgm:prSet presAssocID="{375B24A6-4BBD-4A9C-BD7F-80ABED0E8D67}" presName="txThree" presStyleLbl="node3" presStyleIdx="1" presStyleCnt="9" custLinFactNeighborX="66392" custLinFactNeighborY="-2703">
        <dgm:presLayoutVars>
          <dgm:chPref val="3"/>
        </dgm:presLayoutVars>
      </dgm:prSet>
      <dgm:spPr/>
    </dgm:pt>
    <dgm:pt modelId="{F5899F07-0AE5-4761-A9F4-310B41EAE60E}" type="pres">
      <dgm:prSet presAssocID="{375B24A6-4BBD-4A9C-BD7F-80ABED0E8D67}" presName="parTransThree" presStyleCnt="0"/>
      <dgm:spPr/>
    </dgm:pt>
    <dgm:pt modelId="{0E8ACF74-17C1-4DEF-B772-59322EB4B901}" type="pres">
      <dgm:prSet presAssocID="{375B24A6-4BBD-4A9C-BD7F-80ABED0E8D67}" presName="horzThree" presStyleCnt="0"/>
      <dgm:spPr/>
    </dgm:pt>
    <dgm:pt modelId="{8CECA099-8CC6-45DB-B1C8-2602A172361D}" type="pres">
      <dgm:prSet presAssocID="{A7C629C7-3379-4B28-ACBF-814EFAED8A48}" presName="vertFour" presStyleCnt="0">
        <dgm:presLayoutVars>
          <dgm:chPref val="3"/>
        </dgm:presLayoutVars>
      </dgm:prSet>
      <dgm:spPr/>
    </dgm:pt>
    <dgm:pt modelId="{B9A17049-230B-47A8-991B-25E6AF3402CF}" type="pres">
      <dgm:prSet presAssocID="{A7C629C7-3379-4B28-ACBF-814EFAED8A48}" presName="txFour" presStyleLbl="node4" presStyleIdx="1" presStyleCnt="7" custLinFactNeighborX="65496" custLinFactNeighborY="-425">
        <dgm:presLayoutVars>
          <dgm:chPref val="3"/>
        </dgm:presLayoutVars>
      </dgm:prSet>
      <dgm:spPr/>
    </dgm:pt>
    <dgm:pt modelId="{7BE2D062-7675-4308-A5AF-164AA1542D5D}" type="pres">
      <dgm:prSet presAssocID="{A7C629C7-3379-4B28-ACBF-814EFAED8A48}" presName="horzFour" presStyleCnt="0"/>
      <dgm:spPr/>
    </dgm:pt>
    <dgm:pt modelId="{6A68A4F5-8F2C-480B-934F-A9C738761945}" type="pres">
      <dgm:prSet presAssocID="{015E3313-2602-4825-84D1-5FAA3C63FC06}" presName="sibSpaceThree" presStyleCnt="0"/>
      <dgm:spPr/>
    </dgm:pt>
    <dgm:pt modelId="{79D0B572-DE8D-4C73-9DA1-24F70CD221AE}" type="pres">
      <dgm:prSet presAssocID="{881D7432-8CD0-4494-A45D-4439148962BE}" presName="vertThree" presStyleCnt="0"/>
      <dgm:spPr/>
    </dgm:pt>
    <dgm:pt modelId="{F04BADE2-B3EE-4650-897C-17257D5DD376}" type="pres">
      <dgm:prSet presAssocID="{881D7432-8CD0-4494-A45D-4439148962BE}" presName="txThree" presStyleLbl="node3" presStyleIdx="2" presStyleCnt="9" custLinFactNeighborX="70992" custLinFactNeighborY="-1751">
        <dgm:presLayoutVars>
          <dgm:chPref val="3"/>
        </dgm:presLayoutVars>
      </dgm:prSet>
      <dgm:spPr/>
    </dgm:pt>
    <dgm:pt modelId="{9F014C28-48CD-422A-B562-ED7140287343}" type="pres">
      <dgm:prSet presAssocID="{881D7432-8CD0-4494-A45D-4439148962BE}" presName="parTransThree" presStyleCnt="0"/>
      <dgm:spPr/>
    </dgm:pt>
    <dgm:pt modelId="{C8E76066-EFEA-4B1C-BA4B-2C0FEF86848F}" type="pres">
      <dgm:prSet presAssocID="{881D7432-8CD0-4494-A45D-4439148962BE}" presName="horzThree" presStyleCnt="0"/>
      <dgm:spPr/>
    </dgm:pt>
    <dgm:pt modelId="{9B8F6A34-BB98-4A36-92DB-5D3619685F8A}" type="pres">
      <dgm:prSet presAssocID="{C217340C-41EF-4738-8386-EA209B07A167}" presName="vertFour" presStyleCnt="0">
        <dgm:presLayoutVars>
          <dgm:chPref val="3"/>
        </dgm:presLayoutVars>
      </dgm:prSet>
      <dgm:spPr/>
    </dgm:pt>
    <dgm:pt modelId="{1CE98861-B629-4CE8-BEAD-BAA1E4BAE172}" type="pres">
      <dgm:prSet presAssocID="{C217340C-41EF-4738-8386-EA209B07A167}" presName="txFour" presStyleLbl="node4" presStyleIdx="2" presStyleCnt="7" custLinFactNeighborX="74085" custLinFactNeighborY="50">
        <dgm:presLayoutVars>
          <dgm:chPref val="3"/>
        </dgm:presLayoutVars>
      </dgm:prSet>
      <dgm:spPr/>
    </dgm:pt>
    <dgm:pt modelId="{E16F7E31-9EE5-4069-B72F-B77F6EFBFC1A}" type="pres">
      <dgm:prSet presAssocID="{C217340C-41EF-4738-8386-EA209B07A167}" presName="horzFour" presStyleCnt="0"/>
      <dgm:spPr/>
    </dgm:pt>
    <dgm:pt modelId="{4B4B51AC-EE6D-4AA8-ACC7-AE382394E918}" type="pres">
      <dgm:prSet presAssocID="{5E35FE08-FC61-4022-BEF5-F758742CD011}" presName="sibSpaceTwo" presStyleCnt="0"/>
      <dgm:spPr/>
    </dgm:pt>
    <dgm:pt modelId="{1DADB38A-61B9-4407-B98B-D1C61E461D65}" type="pres">
      <dgm:prSet presAssocID="{46FDCEFF-5EF0-4D8D-96FB-0F510AF1185B}" presName="vertTwo" presStyleCnt="0"/>
      <dgm:spPr/>
    </dgm:pt>
    <dgm:pt modelId="{B229D561-C419-4A7F-894F-450C47EFCC60}" type="pres">
      <dgm:prSet presAssocID="{46FDCEFF-5EF0-4D8D-96FB-0F510AF1185B}" presName="txTwo" presStyleLbl="node2" presStyleIdx="1" presStyleCnt="5" custLinFactNeighborX="-87552" custLinFactNeighborY="2725">
        <dgm:presLayoutVars>
          <dgm:chPref val="3"/>
        </dgm:presLayoutVars>
      </dgm:prSet>
      <dgm:spPr/>
    </dgm:pt>
    <dgm:pt modelId="{B44F1B0D-B4D7-46C6-9A9A-118A7233B517}" type="pres">
      <dgm:prSet presAssocID="{46FDCEFF-5EF0-4D8D-96FB-0F510AF1185B}" presName="horzTwo" presStyleCnt="0"/>
      <dgm:spPr/>
    </dgm:pt>
    <dgm:pt modelId="{6E0D0710-14AC-4E8A-A8B6-AF99C9C6ED10}" type="pres">
      <dgm:prSet presAssocID="{B3510E34-C8AD-4414-AF48-C7D76C8574D3}" presName="sibSpaceTwo" presStyleCnt="0"/>
      <dgm:spPr/>
    </dgm:pt>
    <dgm:pt modelId="{3F8AE468-0FB0-4840-B43D-C18C5202A7E7}" type="pres">
      <dgm:prSet presAssocID="{33CAFDE1-8B06-45B8-9772-FAD6CB376A33}" presName="vertTwo" presStyleCnt="0"/>
      <dgm:spPr/>
    </dgm:pt>
    <dgm:pt modelId="{00A47A13-EB4B-40C7-B1CE-CF410339F805}" type="pres">
      <dgm:prSet presAssocID="{33CAFDE1-8B06-45B8-9772-FAD6CB376A33}" presName="txTwo" presStyleLbl="node2" presStyleIdx="2" presStyleCnt="5" custLinFactNeighborX="-28485" custLinFactNeighborY="2853">
        <dgm:presLayoutVars>
          <dgm:chPref val="3"/>
        </dgm:presLayoutVars>
      </dgm:prSet>
      <dgm:spPr/>
    </dgm:pt>
    <dgm:pt modelId="{8352725C-4566-4438-BE05-B5E26FF8BA52}" type="pres">
      <dgm:prSet presAssocID="{33CAFDE1-8B06-45B8-9772-FAD6CB376A33}" presName="parTransTwo" presStyleCnt="0"/>
      <dgm:spPr/>
    </dgm:pt>
    <dgm:pt modelId="{3DC3B120-E777-4E6B-9E55-564CA9493DD7}" type="pres">
      <dgm:prSet presAssocID="{33CAFDE1-8B06-45B8-9772-FAD6CB376A33}" presName="horzTwo" presStyleCnt="0"/>
      <dgm:spPr/>
    </dgm:pt>
    <dgm:pt modelId="{1BD1928C-94DD-473E-B059-0CFFB8130C77}" type="pres">
      <dgm:prSet presAssocID="{1B7DF147-5499-4D78-B6F1-23E6042733E3}" presName="vertThree" presStyleCnt="0"/>
      <dgm:spPr/>
    </dgm:pt>
    <dgm:pt modelId="{9E0DB2A6-8EE4-4E5A-AD0B-BCB22D5D6DE6}" type="pres">
      <dgm:prSet presAssocID="{1B7DF147-5499-4D78-B6F1-23E6042733E3}" presName="txThree" presStyleLbl="node3" presStyleIdx="3" presStyleCnt="9" custLinFactNeighborX="-26246" custLinFactNeighborY="-1268">
        <dgm:presLayoutVars>
          <dgm:chPref val="3"/>
        </dgm:presLayoutVars>
      </dgm:prSet>
      <dgm:spPr/>
    </dgm:pt>
    <dgm:pt modelId="{F0290CD4-DFB0-4EF2-97C7-001522352DE6}" type="pres">
      <dgm:prSet presAssocID="{1B7DF147-5499-4D78-B6F1-23E6042733E3}" presName="parTransThree" presStyleCnt="0"/>
      <dgm:spPr/>
    </dgm:pt>
    <dgm:pt modelId="{72A5061B-C3A3-4C0E-BFEF-CB59F0A4D17D}" type="pres">
      <dgm:prSet presAssocID="{1B7DF147-5499-4D78-B6F1-23E6042733E3}" presName="horzThree" presStyleCnt="0"/>
      <dgm:spPr/>
    </dgm:pt>
    <dgm:pt modelId="{2EB4C387-21F6-4214-AE7D-AF6B53D85748}" type="pres">
      <dgm:prSet presAssocID="{723A616D-9AE9-495F-87DC-ADF7656CB55E}" presName="vertFour" presStyleCnt="0">
        <dgm:presLayoutVars>
          <dgm:chPref val="3"/>
        </dgm:presLayoutVars>
      </dgm:prSet>
      <dgm:spPr/>
    </dgm:pt>
    <dgm:pt modelId="{7380801E-36EB-420D-AE1A-38AF4B56F74A}" type="pres">
      <dgm:prSet presAssocID="{723A616D-9AE9-495F-87DC-ADF7656CB55E}" presName="txFour" presStyleLbl="node4" presStyleIdx="3" presStyleCnt="7" custLinFactNeighborX="-28120" custLinFactNeighborY="-752">
        <dgm:presLayoutVars>
          <dgm:chPref val="3"/>
        </dgm:presLayoutVars>
      </dgm:prSet>
      <dgm:spPr/>
    </dgm:pt>
    <dgm:pt modelId="{484E1A5C-599A-473B-AAD7-44C9C24B10FF}" type="pres">
      <dgm:prSet presAssocID="{723A616D-9AE9-495F-87DC-ADF7656CB55E}" presName="horzFour" presStyleCnt="0"/>
      <dgm:spPr/>
    </dgm:pt>
    <dgm:pt modelId="{7B4D4F0B-4878-429C-9F37-C50DB6816785}" type="pres">
      <dgm:prSet presAssocID="{EA83F9CA-38B4-476B-B131-A0469DDE6DEA}" presName="sibSpaceTwo" presStyleCnt="0"/>
      <dgm:spPr/>
    </dgm:pt>
    <dgm:pt modelId="{8EA42459-6180-4E1D-852C-9F16F5B24C4A}" type="pres">
      <dgm:prSet presAssocID="{AF2C8F75-15D0-4F7D-ABD6-30E100700F99}" presName="vertTwo" presStyleCnt="0"/>
      <dgm:spPr/>
    </dgm:pt>
    <dgm:pt modelId="{F5C01370-A5B5-4E7D-81FB-9E03E1D33DFF}" type="pres">
      <dgm:prSet presAssocID="{AF2C8F75-15D0-4F7D-ABD6-30E100700F99}" presName="txTwo" presStyleLbl="node2" presStyleIdx="3" presStyleCnt="5" custScaleX="35318" custLinFactNeighborX="-5381" custLinFactNeighborY="-11939">
        <dgm:presLayoutVars>
          <dgm:chPref val="3"/>
        </dgm:presLayoutVars>
      </dgm:prSet>
      <dgm:spPr/>
    </dgm:pt>
    <dgm:pt modelId="{8E143131-300E-46DC-B252-4C7A9D0A48ED}" type="pres">
      <dgm:prSet presAssocID="{AF2C8F75-15D0-4F7D-ABD6-30E100700F99}" presName="parTransTwo" presStyleCnt="0"/>
      <dgm:spPr/>
    </dgm:pt>
    <dgm:pt modelId="{2EA5CE74-7C0F-4253-B7FD-B4A593590413}" type="pres">
      <dgm:prSet presAssocID="{AF2C8F75-15D0-4F7D-ABD6-30E100700F99}" presName="horzTwo" presStyleCnt="0"/>
      <dgm:spPr/>
    </dgm:pt>
    <dgm:pt modelId="{0B8AAB3E-45DD-4D2B-B1C7-6D2142FAF0F7}" type="pres">
      <dgm:prSet presAssocID="{B9E36E2E-AF80-4980-B8B3-2300B26633BC}" presName="vertThree" presStyleCnt="0"/>
      <dgm:spPr/>
    </dgm:pt>
    <dgm:pt modelId="{726F3160-6CDE-42E0-BF2D-3AD295D8CC71}" type="pres">
      <dgm:prSet presAssocID="{B9E36E2E-AF80-4980-B8B3-2300B26633BC}" presName="txThree" presStyleLbl="node3" presStyleIdx="4" presStyleCnt="9" custLinFactNeighborX="-21516" custLinFactNeighborY="-1585">
        <dgm:presLayoutVars>
          <dgm:chPref val="3"/>
        </dgm:presLayoutVars>
      </dgm:prSet>
      <dgm:spPr/>
    </dgm:pt>
    <dgm:pt modelId="{628C1B24-1587-4E72-9CD7-9077EE643DE5}" type="pres">
      <dgm:prSet presAssocID="{B9E36E2E-AF80-4980-B8B3-2300B26633BC}" presName="parTransThree" presStyleCnt="0"/>
      <dgm:spPr/>
    </dgm:pt>
    <dgm:pt modelId="{9BE4CB7E-C18C-4ADE-A593-3F200BA983C8}" type="pres">
      <dgm:prSet presAssocID="{B9E36E2E-AF80-4980-B8B3-2300B26633BC}" presName="horzThree" presStyleCnt="0"/>
      <dgm:spPr/>
    </dgm:pt>
    <dgm:pt modelId="{71DC99AD-22B8-4785-BAFE-9664873662C5}" type="pres">
      <dgm:prSet presAssocID="{2C12309B-6B0A-4E03-B10A-4301834C1C7D}" presName="vertFour" presStyleCnt="0">
        <dgm:presLayoutVars>
          <dgm:chPref val="3"/>
        </dgm:presLayoutVars>
      </dgm:prSet>
      <dgm:spPr/>
    </dgm:pt>
    <dgm:pt modelId="{F8DCB87F-02D2-457F-9B80-CE2922C16E1B}" type="pres">
      <dgm:prSet presAssocID="{2C12309B-6B0A-4E03-B10A-4301834C1C7D}" presName="txFour" presStyleLbl="node4" presStyleIdx="4" presStyleCnt="7" custLinFactNeighborX="-19468" custLinFactNeighborY="-376">
        <dgm:presLayoutVars>
          <dgm:chPref val="3"/>
        </dgm:presLayoutVars>
      </dgm:prSet>
      <dgm:spPr/>
    </dgm:pt>
    <dgm:pt modelId="{759556B4-8D87-44F8-91E8-1C1334397969}" type="pres">
      <dgm:prSet presAssocID="{2C12309B-6B0A-4E03-B10A-4301834C1C7D}" presName="horzFour" presStyleCnt="0"/>
      <dgm:spPr/>
    </dgm:pt>
    <dgm:pt modelId="{83485D99-CA79-41E6-B1F3-0CE206A91B12}" type="pres">
      <dgm:prSet presAssocID="{B0EC7324-BCC5-4FB4-BE95-C197C8AA8954}" presName="sibSpaceThree" presStyleCnt="0"/>
      <dgm:spPr/>
    </dgm:pt>
    <dgm:pt modelId="{A4CE3D11-5F42-4143-960A-EF9AC29627CE}" type="pres">
      <dgm:prSet presAssocID="{7057CF23-079D-4097-8966-732BE59D5678}" presName="vertThree" presStyleCnt="0"/>
      <dgm:spPr/>
    </dgm:pt>
    <dgm:pt modelId="{74B9AAAD-3DD0-4C80-B5E7-0D89799E0485}" type="pres">
      <dgm:prSet presAssocID="{7057CF23-079D-4097-8966-732BE59D5678}" presName="txThree" presStyleLbl="node3" presStyleIdx="5" presStyleCnt="9" custLinFactNeighborX="-17102" custLinFactNeighborY="-1902">
        <dgm:presLayoutVars>
          <dgm:chPref val="3"/>
        </dgm:presLayoutVars>
      </dgm:prSet>
      <dgm:spPr/>
    </dgm:pt>
    <dgm:pt modelId="{90F0BA4D-F6F6-4BE1-9D75-7892BA848213}" type="pres">
      <dgm:prSet presAssocID="{7057CF23-079D-4097-8966-732BE59D5678}" presName="horzThree" presStyleCnt="0"/>
      <dgm:spPr/>
    </dgm:pt>
    <dgm:pt modelId="{CD941FD6-23DB-4936-AFE0-3D69B5C33F51}" type="pres">
      <dgm:prSet presAssocID="{0888D89C-1C2E-4605-BD2B-982B12099C58}" presName="sibSpaceThree" presStyleCnt="0"/>
      <dgm:spPr/>
    </dgm:pt>
    <dgm:pt modelId="{98FB39F0-3771-4186-AAF6-47E4D7141343}" type="pres">
      <dgm:prSet presAssocID="{EEA65B0D-0ED4-4949-B5C5-E3F69ECDB024}" presName="vertThree" presStyleCnt="0"/>
      <dgm:spPr/>
    </dgm:pt>
    <dgm:pt modelId="{C4806E96-D246-4D93-8F86-26617F27F0F2}" type="pres">
      <dgm:prSet presAssocID="{EEA65B0D-0ED4-4949-B5C5-E3F69ECDB024}" presName="txThree" presStyleLbl="node3" presStyleIdx="6" presStyleCnt="9" custLinFactNeighborX="-15447" custLinFactNeighborY="-2853">
        <dgm:presLayoutVars>
          <dgm:chPref val="3"/>
        </dgm:presLayoutVars>
      </dgm:prSet>
      <dgm:spPr/>
    </dgm:pt>
    <dgm:pt modelId="{746E8FD6-AFFF-4553-BCEF-833C26FD0242}" type="pres">
      <dgm:prSet presAssocID="{EEA65B0D-0ED4-4949-B5C5-E3F69ECDB024}" presName="parTransThree" presStyleCnt="0"/>
      <dgm:spPr/>
    </dgm:pt>
    <dgm:pt modelId="{EA0EFFE2-2E8D-4F86-980A-81725E1ECDEC}" type="pres">
      <dgm:prSet presAssocID="{EEA65B0D-0ED4-4949-B5C5-E3F69ECDB024}" presName="horzThree" presStyleCnt="0"/>
      <dgm:spPr/>
    </dgm:pt>
    <dgm:pt modelId="{AFD4C6C7-2EA7-4C23-B756-21647763F8E1}" type="pres">
      <dgm:prSet presAssocID="{4E151958-5C8F-4C6B-8893-F93B3D221B81}" presName="vertFour" presStyleCnt="0">
        <dgm:presLayoutVars>
          <dgm:chPref val="3"/>
        </dgm:presLayoutVars>
      </dgm:prSet>
      <dgm:spPr/>
    </dgm:pt>
    <dgm:pt modelId="{597B2866-ED80-4D8A-85DE-4CDEC3D72AEA}" type="pres">
      <dgm:prSet presAssocID="{4E151958-5C8F-4C6B-8893-F93B3D221B81}" presName="txFour" presStyleLbl="node4" presStyleIdx="5" presStyleCnt="7" custLinFactNeighborX="-14060" custLinFactNeighborY="50">
        <dgm:presLayoutVars>
          <dgm:chPref val="3"/>
        </dgm:presLayoutVars>
      </dgm:prSet>
      <dgm:spPr/>
    </dgm:pt>
    <dgm:pt modelId="{9A6676C1-4F54-434C-9CD9-026E18624A2C}" type="pres">
      <dgm:prSet presAssocID="{4E151958-5C8F-4C6B-8893-F93B3D221B81}" presName="horzFour" presStyleCnt="0"/>
      <dgm:spPr/>
    </dgm:pt>
    <dgm:pt modelId="{55A2E7BF-A171-4C15-A027-7CC1771CE448}" type="pres">
      <dgm:prSet presAssocID="{0CCC5833-D87C-4E0B-B862-4BF2735A51A7}" presName="sibSpaceTwo" presStyleCnt="0"/>
      <dgm:spPr/>
    </dgm:pt>
    <dgm:pt modelId="{1B37E9BC-C061-4863-B828-8722B7596874}" type="pres">
      <dgm:prSet presAssocID="{F79CA767-ABAC-48D3-89B3-B3FD31D67392}" presName="vertTwo" presStyleCnt="0"/>
      <dgm:spPr/>
    </dgm:pt>
    <dgm:pt modelId="{3802C256-192A-4D9D-A0CE-9BDB29EA994B}" type="pres">
      <dgm:prSet presAssocID="{F79CA767-ABAC-48D3-89B3-B3FD31D67392}" presName="txTwo" presStyleLbl="node2" presStyleIdx="4" presStyleCnt="5" custScaleX="47236" custLinFactNeighborX="-9248" custLinFactNeighborY="-3302">
        <dgm:presLayoutVars>
          <dgm:chPref val="3"/>
        </dgm:presLayoutVars>
      </dgm:prSet>
      <dgm:spPr/>
    </dgm:pt>
    <dgm:pt modelId="{70731998-A383-4080-AC91-2A80EA5307E0}" type="pres">
      <dgm:prSet presAssocID="{F79CA767-ABAC-48D3-89B3-B3FD31D67392}" presName="parTransTwo" presStyleCnt="0"/>
      <dgm:spPr/>
    </dgm:pt>
    <dgm:pt modelId="{A6658BC8-B758-4D2F-A710-3AABCF424A8B}" type="pres">
      <dgm:prSet presAssocID="{F79CA767-ABAC-48D3-89B3-B3FD31D67392}" presName="horzTwo" presStyleCnt="0"/>
      <dgm:spPr/>
    </dgm:pt>
    <dgm:pt modelId="{6D761F63-0A94-40C3-AFB4-76FCD9D16081}" type="pres">
      <dgm:prSet presAssocID="{9A0B9B5E-18BE-45CC-995B-E8AA576BAB1F}" presName="vertThree" presStyleCnt="0"/>
      <dgm:spPr/>
    </dgm:pt>
    <dgm:pt modelId="{B67D2C12-CAFA-47C2-B2E6-AA9EBE7E1C23}" type="pres">
      <dgm:prSet presAssocID="{9A0B9B5E-18BE-45CC-995B-E8AA576BAB1F}" presName="txThree" presStyleLbl="node3" presStyleIdx="7" presStyleCnt="9" custLinFactNeighborX="-7184" custLinFactNeighborY="-7761">
        <dgm:presLayoutVars>
          <dgm:chPref val="3"/>
        </dgm:presLayoutVars>
      </dgm:prSet>
      <dgm:spPr/>
    </dgm:pt>
    <dgm:pt modelId="{AB340711-ED64-4686-85BF-07066A3AEB9F}" type="pres">
      <dgm:prSet presAssocID="{9A0B9B5E-18BE-45CC-995B-E8AA576BAB1F}" presName="parTransThree" presStyleCnt="0"/>
      <dgm:spPr/>
    </dgm:pt>
    <dgm:pt modelId="{52A39AF4-95B0-4E07-AAFB-BABFEA892506}" type="pres">
      <dgm:prSet presAssocID="{9A0B9B5E-18BE-45CC-995B-E8AA576BAB1F}" presName="horzThree" presStyleCnt="0"/>
      <dgm:spPr/>
    </dgm:pt>
    <dgm:pt modelId="{D677CB02-83E7-430A-B6C3-084D17E206EB}" type="pres">
      <dgm:prSet presAssocID="{BBF4EFD6-1B96-4BB0-8BF0-90E008A47175}" presName="vertFour" presStyleCnt="0">
        <dgm:presLayoutVars>
          <dgm:chPref val="3"/>
        </dgm:presLayoutVars>
      </dgm:prSet>
      <dgm:spPr/>
    </dgm:pt>
    <dgm:pt modelId="{07F70453-3D08-458D-8F96-9E34904C30E4}" type="pres">
      <dgm:prSet presAssocID="{BBF4EFD6-1B96-4BB0-8BF0-90E008A47175}" presName="txFour" presStyleLbl="node4" presStyleIdx="6" presStyleCnt="7" custScaleX="109537" custScaleY="104488" custLinFactNeighborX="-4867" custLinFactNeighborY="50">
        <dgm:presLayoutVars>
          <dgm:chPref val="3"/>
        </dgm:presLayoutVars>
      </dgm:prSet>
      <dgm:spPr/>
    </dgm:pt>
    <dgm:pt modelId="{F8AC560E-9262-4E47-BE42-4194F07F57A4}" type="pres">
      <dgm:prSet presAssocID="{BBF4EFD6-1B96-4BB0-8BF0-90E008A47175}" presName="horzFour" presStyleCnt="0"/>
      <dgm:spPr/>
    </dgm:pt>
    <dgm:pt modelId="{24C45C6C-BDDC-4A9D-B5B3-EA59A5186454}" type="pres">
      <dgm:prSet presAssocID="{CB2E5F4F-9643-4D3B-97D8-0FC8B5CAE944}" presName="sibSpaceThree" presStyleCnt="0"/>
      <dgm:spPr/>
    </dgm:pt>
    <dgm:pt modelId="{B6559C6F-895A-42B9-98C8-51E57A68FC8F}" type="pres">
      <dgm:prSet presAssocID="{167CDA3B-F08B-412B-B345-2965D304CC49}" presName="vertThree" presStyleCnt="0"/>
      <dgm:spPr/>
    </dgm:pt>
    <dgm:pt modelId="{04CCEF7E-6EFF-431F-901F-82631F1D5714}" type="pres">
      <dgm:prSet presAssocID="{167CDA3B-F08B-412B-B345-2965D304CC49}" presName="txThree" presStyleLbl="node3" presStyleIdx="8" presStyleCnt="9" custScaleX="108963" custScaleY="102061" custLinFactNeighborX="-7567" custLinFactNeighborY="-1969">
        <dgm:presLayoutVars>
          <dgm:chPref val="3"/>
        </dgm:presLayoutVars>
      </dgm:prSet>
      <dgm:spPr/>
    </dgm:pt>
    <dgm:pt modelId="{A27EEF5E-2EBA-4C56-8FDE-5FF9AD27BA32}" type="pres">
      <dgm:prSet presAssocID="{167CDA3B-F08B-412B-B345-2965D304CC49}" presName="horzThree" presStyleCnt="0"/>
      <dgm:spPr/>
    </dgm:pt>
  </dgm:ptLst>
  <dgm:cxnLst>
    <dgm:cxn modelId="{498FF303-5BE0-49E6-B66E-B6595448F106}" srcId="{055D086B-AB15-4250-A620-793840C91487}" destId="{74682392-1DD0-43C7-A0CC-A85421D311D0}" srcOrd="0" destOrd="0" parTransId="{89BC8241-3F98-4EBB-9119-10516A2A020D}" sibTransId="{5E35FE08-FC61-4022-BEF5-F758742CD011}"/>
    <dgm:cxn modelId="{7E4F4207-5E48-4F27-9FAC-BBEE8A03471B}" type="presOf" srcId="{5F373A2B-8789-4FED-A249-EE0F669E5B31}" destId="{21EDFFE0-E30A-4743-A551-A56F58F60A23}" srcOrd="0" destOrd="0" presId="urn:microsoft.com/office/officeart/2005/8/layout/hierarchy4"/>
    <dgm:cxn modelId="{32C9480A-E392-4F12-B208-8689B7D4504B}" srcId="{5F373A2B-8789-4FED-A249-EE0F669E5B31}" destId="{EFA9DE8D-1CC2-44AA-93AE-1E2346068C4C}" srcOrd="0" destOrd="0" parTransId="{E58BE69A-9B25-4BB3-BB05-CDF7CCE82D97}" sibTransId="{372D80FD-2C00-4CDF-B3CC-BDFBF56F34AA}"/>
    <dgm:cxn modelId="{D8149F0F-3C75-4989-9F58-4A0D6EE13147}" srcId="{AF2C8F75-15D0-4F7D-ABD6-30E100700F99}" destId="{EEA65B0D-0ED4-4949-B5C5-E3F69ECDB024}" srcOrd="2" destOrd="0" parTransId="{CFFAAD95-E640-4B6F-B862-3530C40EC969}" sibTransId="{436291F1-1FFF-4C96-A7CF-9DB66C7E9CC2}"/>
    <dgm:cxn modelId="{35389819-28B8-48AC-9429-EAE85B56757B}" type="presOf" srcId="{F79CA767-ABAC-48D3-89B3-B3FD31D67392}" destId="{3802C256-192A-4D9D-A0CE-9BDB29EA994B}" srcOrd="0" destOrd="0" presId="urn:microsoft.com/office/officeart/2005/8/layout/hierarchy4"/>
    <dgm:cxn modelId="{BB90D91A-EE5B-49A0-A91F-347C1591A4F8}" type="presOf" srcId="{B9E36E2E-AF80-4980-B8B3-2300B26633BC}" destId="{726F3160-6CDE-42E0-BF2D-3AD295D8CC71}" srcOrd="0" destOrd="0" presId="urn:microsoft.com/office/officeart/2005/8/layout/hierarchy4"/>
    <dgm:cxn modelId="{4C32E81B-9A40-41FB-9D53-EA49027A38B2}" type="presOf" srcId="{7057CF23-079D-4097-8966-732BE59D5678}" destId="{74B9AAAD-3DD0-4C80-B5E7-0D89799E0485}" srcOrd="0" destOrd="0" presId="urn:microsoft.com/office/officeart/2005/8/layout/hierarchy4"/>
    <dgm:cxn modelId="{22FEDC1D-974C-4D1F-A3A6-26C20DA43F0C}" type="presOf" srcId="{723A616D-9AE9-495F-87DC-ADF7656CB55E}" destId="{7380801E-36EB-420D-AE1A-38AF4B56F74A}" srcOrd="0" destOrd="0" presId="urn:microsoft.com/office/officeart/2005/8/layout/hierarchy4"/>
    <dgm:cxn modelId="{4DF55321-A66A-4DC7-B55B-14D2C1A05E82}" srcId="{9A0B9B5E-18BE-45CC-995B-E8AA576BAB1F}" destId="{BBF4EFD6-1B96-4BB0-8BF0-90E008A47175}" srcOrd="0" destOrd="0" parTransId="{B5A53B6A-4B64-496B-9B83-C766311112B0}" sibTransId="{7511F7F7-F760-444D-9C9C-5CE2900CE626}"/>
    <dgm:cxn modelId="{F31BF82B-7D34-4846-8241-CB06EA72EE58}" type="presOf" srcId="{EFA9DE8D-1CC2-44AA-93AE-1E2346068C4C}" destId="{CBEF0E80-62F1-4A98-8639-2695A17808F6}" srcOrd="0" destOrd="0" presId="urn:microsoft.com/office/officeart/2005/8/layout/hierarchy4"/>
    <dgm:cxn modelId="{59D8E92C-1042-4E5D-9A42-641D42F1716F}" type="presOf" srcId="{375B24A6-4BBD-4A9C-BD7F-80ABED0E8D67}" destId="{72F54AF8-EFF7-4770-8ADE-7858622D9B44}" srcOrd="0" destOrd="0" presId="urn:microsoft.com/office/officeart/2005/8/layout/hierarchy4"/>
    <dgm:cxn modelId="{39C84C32-38AF-42D8-9929-649C0506BE13}" srcId="{DFA91A2C-1372-43A2-A421-115F3B916835}" destId="{055D086B-AB15-4250-A620-793840C91487}" srcOrd="0" destOrd="0" parTransId="{8C8AE3CA-0519-443B-AAC6-33061EC45E4F}" sibTransId="{843C94DD-195F-4F9E-BC78-3B92B22BEA0E}"/>
    <dgm:cxn modelId="{1BABA637-0166-4045-BEAB-07AD1101CAF3}" type="presOf" srcId="{BBF4EFD6-1B96-4BB0-8BF0-90E008A47175}" destId="{07F70453-3D08-458D-8F96-9E34904C30E4}" srcOrd="0" destOrd="0" presId="urn:microsoft.com/office/officeart/2005/8/layout/hierarchy4"/>
    <dgm:cxn modelId="{FCA6803C-C7D3-4408-9B96-8F1377AFB3C8}" type="presOf" srcId="{33CAFDE1-8B06-45B8-9772-FAD6CB376A33}" destId="{00A47A13-EB4B-40C7-B1CE-CF410339F805}" srcOrd="0" destOrd="0" presId="urn:microsoft.com/office/officeart/2005/8/layout/hierarchy4"/>
    <dgm:cxn modelId="{29BDEB41-6509-4848-AD27-FE110BE0E53C}" type="presOf" srcId="{4E151958-5C8F-4C6B-8893-F93B3D221B81}" destId="{597B2866-ED80-4D8A-85DE-4CDEC3D72AEA}" srcOrd="0" destOrd="0" presId="urn:microsoft.com/office/officeart/2005/8/layout/hierarchy4"/>
    <dgm:cxn modelId="{59741868-1970-4377-BF48-6BEAD699C8E5}" type="presOf" srcId="{1B7DF147-5499-4D78-B6F1-23E6042733E3}" destId="{9E0DB2A6-8EE4-4E5A-AD0B-BCB22D5D6DE6}" srcOrd="0" destOrd="0" presId="urn:microsoft.com/office/officeart/2005/8/layout/hierarchy4"/>
    <dgm:cxn modelId="{252DD74B-D069-483B-A217-A3FF606A19DF}" srcId="{B9E36E2E-AF80-4980-B8B3-2300B26633BC}" destId="{2C12309B-6B0A-4E03-B10A-4301834C1C7D}" srcOrd="0" destOrd="0" parTransId="{0478B478-EC20-4FE5-8FAE-1276E74D27FD}" sibTransId="{709DC24D-66A1-45D7-8C55-98B4E68EF7CB}"/>
    <dgm:cxn modelId="{E96B216E-81DB-45D7-A38A-55BB83667A31}" srcId="{33CAFDE1-8B06-45B8-9772-FAD6CB376A33}" destId="{1B7DF147-5499-4D78-B6F1-23E6042733E3}" srcOrd="0" destOrd="0" parTransId="{16BDD566-4A8D-4C53-8866-C42D119004E1}" sibTransId="{813DE423-E8DA-49D9-BA92-CC65313A25C1}"/>
    <dgm:cxn modelId="{549B004F-67A9-459E-9031-3513CF39699A}" type="presOf" srcId="{167CDA3B-F08B-412B-B345-2965D304CC49}" destId="{04CCEF7E-6EFF-431F-901F-82631F1D5714}" srcOrd="0" destOrd="0" presId="urn:microsoft.com/office/officeart/2005/8/layout/hierarchy4"/>
    <dgm:cxn modelId="{0A4BE452-2D30-439D-B6D7-64D15839C906}" srcId="{055D086B-AB15-4250-A620-793840C91487}" destId="{F79CA767-ABAC-48D3-89B3-B3FD31D67392}" srcOrd="4" destOrd="0" parTransId="{9D8C39BB-F56D-40E1-821C-9F81B6BA855A}" sibTransId="{AD95F1A7-9AA7-4514-A2E3-75FE0962AB0C}"/>
    <dgm:cxn modelId="{41621F55-A630-462C-957F-82542294A9CD}" type="presOf" srcId="{A7C629C7-3379-4B28-ACBF-814EFAED8A48}" destId="{B9A17049-230B-47A8-991B-25E6AF3402CF}" srcOrd="0" destOrd="0" presId="urn:microsoft.com/office/officeart/2005/8/layout/hierarchy4"/>
    <dgm:cxn modelId="{3CA1E97A-6D14-4A87-BAC7-FB77B164A932}" srcId="{055D086B-AB15-4250-A620-793840C91487}" destId="{46FDCEFF-5EF0-4D8D-96FB-0F510AF1185B}" srcOrd="1" destOrd="0" parTransId="{31F5B1FF-B3A2-4A2A-888A-6F4AF14F2F46}" sibTransId="{B3510E34-C8AD-4414-AF48-C7D76C8574D3}"/>
    <dgm:cxn modelId="{C7130B7B-1C89-4239-90E4-EB8386434586}" srcId="{881D7432-8CD0-4494-A45D-4439148962BE}" destId="{C217340C-41EF-4738-8386-EA209B07A167}" srcOrd="0" destOrd="0" parTransId="{9B6F4AA0-6B01-4E55-B3D3-8251B163E696}" sibTransId="{58FB0DF1-E1A1-46FF-973B-FEF3765E9D8A}"/>
    <dgm:cxn modelId="{CF63167D-58C4-4620-B859-76D122D3B7F6}" type="presOf" srcId="{74682392-1DD0-43C7-A0CC-A85421D311D0}" destId="{5B89CF88-9AD3-4177-B113-9BD060DCC4DD}" srcOrd="0" destOrd="0" presId="urn:microsoft.com/office/officeart/2005/8/layout/hierarchy4"/>
    <dgm:cxn modelId="{5842197D-6667-406B-B6B4-140194837D09}" type="presOf" srcId="{881D7432-8CD0-4494-A45D-4439148962BE}" destId="{F04BADE2-B3EE-4650-897C-17257D5DD376}" srcOrd="0" destOrd="0" presId="urn:microsoft.com/office/officeart/2005/8/layout/hierarchy4"/>
    <dgm:cxn modelId="{1AE01886-EB9A-47B0-B5F0-220F08540888}" srcId="{F79CA767-ABAC-48D3-89B3-B3FD31D67392}" destId="{167CDA3B-F08B-412B-B345-2965D304CC49}" srcOrd="1" destOrd="0" parTransId="{88B0A9D1-8470-4822-A7A5-928BF0308038}" sibTransId="{344FBAE8-B752-4B39-BBAA-31B1C7CAF456}"/>
    <dgm:cxn modelId="{4DCC4A86-C292-494B-A17A-A99C9ACFB5C6}" srcId="{74682392-1DD0-43C7-A0CC-A85421D311D0}" destId="{5F373A2B-8789-4FED-A249-EE0F669E5B31}" srcOrd="0" destOrd="0" parTransId="{95ADC381-6E8E-4E1E-B5A4-A6AFDED78C00}" sibTransId="{F2D13C97-2937-4848-80D3-67921B7250B3}"/>
    <dgm:cxn modelId="{085D2E8E-4534-455C-83A0-1522FB0E820E}" type="presOf" srcId="{AF2C8F75-15D0-4F7D-ABD6-30E100700F99}" destId="{F5C01370-A5B5-4E7D-81FB-9E03E1D33DFF}" srcOrd="0" destOrd="0" presId="urn:microsoft.com/office/officeart/2005/8/layout/hierarchy4"/>
    <dgm:cxn modelId="{649BC496-6E01-47A0-9330-77598DB031F1}" srcId="{74682392-1DD0-43C7-A0CC-A85421D311D0}" destId="{375B24A6-4BBD-4A9C-BD7F-80ABED0E8D67}" srcOrd="1" destOrd="0" parTransId="{BB7A3625-ED02-4C26-BF40-C4828D858686}" sibTransId="{015E3313-2602-4825-84D1-5FAA3C63FC06}"/>
    <dgm:cxn modelId="{A9805D97-5226-4CFF-B112-8D154EB654B4}" type="presOf" srcId="{C217340C-41EF-4738-8386-EA209B07A167}" destId="{1CE98861-B629-4CE8-BEAD-BAA1E4BAE172}" srcOrd="0" destOrd="0" presId="urn:microsoft.com/office/officeart/2005/8/layout/hierarchy4"/>
    <dgm:cxn modelId="{3EB1C3A7-4B1B-4C01-A3D8-1D0B5B6B2731}" type="presOf" srcId="{9A0B9B5E-18BE-45CC-995B-E8AA576BAB1F}" destId="{B67D2C12-CAFA-47C2-B2E6-AA9EBE7E1C23}" srcOrd="0" destOrd="0" presId="urn:microsoft.com/office/officeart/2005/8/layout/hierarchy4"/>
    <dgm:cxn modelId="{9589FAA8-3651-4FA4-974C-F8CCE651E607}" srcId="{1B7DF147-5499-4D78-B6F1-23E6042733E3}" destId="{723A616D-9AE9-495F-87DC-ADF7656CB55E}" srcOrd="0" destOrd="0" parTransId="{664B28DF-80E1-4BF5-9804-09BD2DA2389F}" sibTransId="{DBF72AE7-4A69-40F6-A71B-3E6B7FBB06C0}"/>
    <dgm:cxn modelId="{20F3F0AD-81AD-4120-A5F2-E179F7E228C7}" srcId="{AF2C8F75-15D0-4F7D-ABD6-30E100700F99}" destId="{7057CF23-079D-4097-8966-732BE59D5678}" srcOrd="1" destOrd="0" parTransId="{264C43C3-53E7-4F58-BFB3-B17A6C4CFDA0}" sibTransId="{0888D89C-1C2E-4605-BD2B-982B12099C58}"/>
    <dgm:cxn modelId="{5B6931AF-3A0E-4F6E-9A70-AAD130B4B26D}" type="presOf" srcId="{46FDCEFF-5EF0-4D8D-96FB-0F510AF1185B}" destId="{B229D561-C419-4A7F-894F-450C47EFCC60}" srcOrd="0" destOrd="0" presId="urn:microsoft.com/office/officeart/2005/8/layout/hierarchy4"/>
    <dgm:cxn modelId="{80F9CEB0-6E5F-4712-BE37-CD847B7ADF53}" srcId="{375B24A6-4BBD-4A9C-BD7F-80ABED0E8D67}" destId="{A7C629C7-3379-4B28-ACBF-814EFAED8A48}" srcOrd="0" destOrd="0" parTransId="{B0BB92DB-6DFA-4AA6-9B81-B521A991D380}" sibTransId="{D1255A9F-89AC-45EB-AAA9-FE52986443D6}"/>
    <dgm:cxn modelId="{55656FB7-37A5-4197-8978-DD16C6CB58B7}" type="presOf" srcId="{2C12309B-6B0A-4E03-B10A-4301834C1C7D}" destId="{F8DCB87F-02D2-457F-9B80-CE2922C16E1B}" srcOrd="0" destOrd="0" presId="urn:microsoft.com/office/officeart/2005/8/layout/hierarchy4"/>
    <dgm:cxn modelId="{FEBB6EBE-B4FB-47C8-9E36-D8152A644709}" srcId="{EEA65B0D-0ED4-4949-B5C5-E3F69ECDB024}" destId="{4E151958-5C8F-4C6B-8893-F93B3D221B81}" srcOrd="0" destOrd="0" parTransId="{0306E3DD-4B34-4DD0-B8C8-8A90621621A8}" sibTransId="{58FC1B1C-D913-4F59-B5DA-7439DAC6ED85}"/>
    <dgm:cxn modelId="{2F33CAC1-5347-4ADA-8A65-39EC2B234AAB}" srcId="{055D086B-AB15-4250-A620-793840C91487}" destId="{AF2C8F75-15D0-4F7D-ABD6-30E100700F99}" srcOrd="3" destOrd="0" parTransId="{1724D17B-7E58-44B7-BDB6-6EF23DE8CE30}" sibTransId="{0CCC5833-D87C-4E0B-B862-4BF2735A51A7}"/>
    <dgm:cxn modelId="{AD046FCB-769A-4D7E-BB49-E797C3BE4734}" srcId="{055D086B-AB15-4250-A620-793840C91487}" destId="{33CAFDE1-8B06-45B8-9772-FAD6CB376A33}" srcOrd="2" destOrd="0" parTransId="{7331D93B-DA9C-44A5-9992-ABF61A6E90FD}" sibTransId="{EA83F9CA-38B4-476B-B131-A0469DDE6DEA}"/>
    <dgm:cxn modelId="{8440BECF-B4FB-4CD5-9BA3-54A8ADB8AB90}" srcId="{74682392-1DD0-43C7-A0CC-A85421D311D0}" destId="{881D7432-8CD0-4494-A45D-4439148962BE}" srcOrd="2" destOrd="0" parTransId="{611DDA1E-0B0D-4200-8895-6FF04BEA56DE}" sibTransId="{0AF6B7AE-EA4A-4842-9893-CE09EB36131D}"/>
    <dgm:cxn modelId="{60688BE3-54C4-4DE4-BE5D-18359B8B1620}" type="presOf" srcId="{EEA65B0D-0ED4-4949-B5C5-E3F69ECDB024}" destId="{C4806E96-D246-4D93-8F86-26617F27F0F2}" srcOrd="0" destOrd="0" presId="urn:microsoft.com/office/officeart/2005/8/layout/hierarchy4"/>
    <dgm:cxn modelId="{76009EE4-50C1-468D-A89A-C3E15E8A1C41}" type="presOf" srcId="{055D086B-AB15-4250-A620-793840C91487}" destId="{42922883-BF52-4CA5-BD21-F614B41E9B43}" srcOrd="0" destOrd="0" presId="urn:microsoft.com/office/officeart/2005/8/layout/hierarchy4"/>
    <dgm:cxn modelId="{823452E7-023B-4BEC-B588-8DEA545F2EED}" srcId="{AF2C8F75-15D0-4F7D-ABD6-30E100700F99}" destId="{B9E36E2E-AF80-4980-B8B3-2300B26633BC}" srcOrd="0" destOrd="0" parTransId="{84F630C2-936F-453A-9758-A29B09AF1590}" sibTransId="{B0EC7324-BCC5-4FB4-BE95-C197C8AA8954}"/>
    <dgm:cxn modelId="{8BDE8CF4-615D-4ABF-957F-E2A3E9FB6CED}" srcId="{F79CA767-ABAC-48D3-89B3-B3FD31D67392}" destId="{9A0B9B5E-18BE-45CC-995B-E8AA576BAB1F}" srcOrd="0" destOrd="0" parTransId="{F7047F99-3856-408F-A52E-58A08DA76C9E}" sibTransId="{CB2E5F4F-9643-4D3B-97D8-0FC8B5CAE944}"/>
    <dgm:cxn modelId="{F8DE35FF-C35C-48A1-A327-0A5F71A8E5F8}" type="presOf" srcId="{DFA91A2C-1372-43A2-A421-115F3B916835}" destId="{749AFA74-64FF-45B8-AD52-B82695E9CA77}" srcOrd="0" destOrd="0" presId="urn:microsoft.com/office/officeart/2005/8/layout/hierarchy4"/>
    <dgm:cxn modelId="{B204AC58-BCD0-434B-BFF4-CBB1BA1ACC08}" type="presParOf" srcId="{749AFA74-64FF-45B8-AD52-B82695E9CA77}" destId="{D5C86E72-AAC6-486E-8077-2D7B78645577}" srcOrd="0" destOrd="0" presId="urn:microsoft.com/office/officeart/2005/8/layout/hierarchy4"/>
    <dgm:cxn modelId="{FECC1C90-5242-410B-9179-D887939FAA8D}" type="presParOf" srcId="{D5C86E72-AAC6-486E-8077-2D7B78645577}" destId="{42922883-BF52-4CA5-BD21-F614B41E9B43}" srcOrd="0" destOrd="0" presId="urn:microsoft.com/office/officeart/2005/8/layout/hierarchy4"/>
    <dgm:cxn modelId="{78FE89E8-8DF3-4079-ABCF-9C412556D87E}" type="presParOf" srcId="{D5C86E72-AAC6-486E-8077-2D7B78645577}" destId="{092C6C07-CB65-4E1E-AED0-7315F6FA2544}" srcOrd="1" destOrd="0" presId="urn:microsoft.com/office/officeart/2005/8/layout/hierarchy4"/>
    <dgm:cxn modelId="{CE3B574E-066D-46ED-B6BA-F2AD0BB9A411}" type="presParOf" srcId="{D5C86E72-AAC6-486E-8077-2D7B78645577}" destId="{A20EC388-A67D-4FE1-95BF-02A00C257095}" srcOrd="2" destOrd="0" presId="urn:microsoft.com/office/officeart/2005/8/layout/hierarchy4"/>
    <dgm:cxn modelId="{B74F6609-544A-47B3-9E96-63C338BC8930}" type="presParOf" srcId="{A20EC388-A67D-4FE1-95BF-02A00C257095}" destId="{54159A59-E45C-48A7-B315-AA352C038D61}" srcOrd="0" destOrd="0" presId="urn:microsoft.com/office/officeart/2005/8/layout/hierarchy4"/>
    <dgm:cxn modelId="{B3092A8E-A1E7-482A-8C4D-4D858728B97E}" type="presParOf" srcId="{54159A59-E45C-48A7-B315-AA352C038D61}" destId="{5B89CF88-9AD3-4177-B113-9BD060DCC4DD}" srcOrd="0" destOrd="0" presId="urn:microsoft.com/office/officeart/2005/8/layout/hierarchy4"/>
    <dgm:cxn modelId="{1585AA6C-1A7A-413E-8868-766DBA674B66}" type="presParOf" srcId="{54159A59-E45C-48A7-B315-AA352C038D61}" destId="{687D40D7-7683-4EB3-A60B-CE870C36A7AC}" srcOrd="1" destOrd="0" presId="urn:microsoft.com/office/officeart/2005/8/layout/hierarchy4"/>
    <dgm:cxn modelId="{41506846-85A7-4B50-B0FE-3EE9BAB40021}" type="presParOf" srcId="{54159A59-E45C-48A7-B315-AA352C038D61}" destId="{08C34DB1-C6A6-462F-9432-44141F9AFAC7}" srcOrd="2" destOrd="0" presId="urn:microsoft.com/office/officeart/2005/8/layout/hierarchy4"/>
    <dgm:cxn modelId="{04F24A27-776E-4EB9-AE15-EDA2EAA36A73}" type="presParOf" srcId="{08C34DB1-C6A6-462F-9432-44141F9AFAC7}" destId="{F709F776-3B3C-4A0A-9A4E-3D89CA4E7AEE}" srcOrd="0" destOrd="0" presId="urn:microsoft.com/office/officeart/2005/8/layout/hierarchy4"/>
    <dgm:cxn modelId="{E07E3714-7138-45D1-8688-96207C1DA787}" type="presParOf" srcId="{F709F776-3B3C-4A0A-9A4E-3D89CA4E7AEE}" destId="{21EDFFE0-E30A-4743-A551-A56F58F60A23}" srcOrd="0" destOrd="0" presId="urn:microsoft.com/office/officeart/2005/8/layout/hierarchy4"/>
    <dgm:cxn modelId="{50CD3186-63F5-4A10-AE93-42CFA27F0135}" type="presParOf" srcId="{F709F776-3B3C-4A0A-9A4E-3D89CA4E7AEE}" destId="{8D2BA319-573C-4040-8CEF-DB27FA9B63C2}" srcOrd="1" destOrd="0" presId="urn:microsoft.com/office/officeart/2005/8/layout/hierarchy4"/>
    <dgm:cxn modelId="{9DC42211-1278-4CA6-9DFB-7264358A2CAD}" type="presParOf" srcId="{F709F776-3B3C-4A0A-9A4E-3D89CA4E7AEE}" destId="{B8CE2FE1-696B-4E40-8D5A-712B4F5BA9DE}" srcOrd="2" destOrd="0" presId="urn:microsoft.com/office/officeart/2005/8/layout/hierarchy4"/>
    <dgm:cxn modelId="{781FF016-51F0-40F3-AF5B-F0667ED0CB93}" type="presParOf" srcId="{B8CE2FE1-696B-4E40-8D5A-712B4F5BA9DE}" destId="{A1A7B121-044F-4A1A-9D33-D8CCE83B3B51}" srcOrd="0" destOrd="0" presId="urn:microsoft.com/office/officeart/2005/8/layout/hierarchy4"/>
    <dgm:cxn modelId="{4F7349E5-B740-4A17-B095-9D5474865EE6}" type="presParOf" srcId="{A1A7B121-044F-4A1A-9D33-D8CCE83B3B51}" destId="{CBEF0E80-62F1-4A98-8639-2695A17808F6}" srcOrd="0" destOrd="0" presId="urn:microsoft.com/office/officeart/2005/8/layout/hierarchy4"/>
    <dgm:cxn modelId="{FE4F1E0B-745A-4C8D-90C3-D22A1E6A04BB}" type="presParOf" srcId="{A1A7B121-044F-4A1A-9D33-D8CCE83B3B51}" destId="{B6255818-71AB-434C-9E99-DD7823DEFEC8}" srcOrd="1" destOrd="0" presId="urn:microsoft.com/office/officeart/2005/8/layout/hierarchy4"/>
    <dgm:cxn modelId="{5491CDFE-90EB-4F54-B36F-1EC2A6D6A428}" type="presParOf" srcId="{08C34DB1-C6A6-462F-9432-44141F9AFAC7}" destId="{7598BC55-9E3A-471E-B75F-1CAB03421029}" srcOrd="1" destOrd="0" presId="urn:microsoft.com/office/officeart/2005/8/layout/hierarchy4"/>
    <dgm:cxn modelId="{2E41AB39-1327-4D85-B173-897985795BEA}" type="presParOf" srcId="{08C34DB1-C6A6-462F-9432-44141F9AFAC7}" destId="{926256A9-3B56-465B-AE85-C220B8CD5379}" srcOrd="2" destOrd="0" presId="urn:microsoft.com/office/officeart/2005/8/layout/hierarchy4"/>
    <dgm:cxn modelId="{E62344A0-04D7-4FDA-801A-68964E5DA2AF}" type="presParOf" srcId="{926256A9-3B56-465B-AE85-C220B8CD5379}" destId="{72F54AF8-EFF7-4770-8ADE-7858622D9B44}" srcOrd="0" destOrd="0" presId="urn:microsoft.com/office/officeart/2005/8/layout/hierarchy4"/>
    <dgm:cxn modelId="{0AB4E8B2-3E2F-4EF8-B0E2-F47DE2929203}" type="presParOf" srcId="{926256A9-3B56-465B-AE85-C220B8CD5379}" destId="{F5899F07-0AE5-4761-A9F4-310B41EAE60E}" srcOrd="1" destOrd="0" presId="urn:microsoft.com/office/officeart/2005/8/layout/hierarchy4"/>
    <dgm:cxn modelId="{009BAFEC-7B99-4765-A479-D7E06738A740}" type="presParOf" srcId="{926256A9-3B56-465B-AE85-C220B8CD5379}" destId="{0E8ACF74-17C1-4DEF-B772-59322EB4B901}" srcOrd="2" destOrd="0" presId="urn:microsoft.com/office/officeart/2005/8/layout/hierarchy4"/>
    <dgm:cxn modelId="{D133F2A6-2DBC-493D-A54B-3D71225092E8}" type="presParOf" srcId="{0E8ACF74-17C1-4DEF-B772-59322EB4B901}" destId="{8CECA099-8CC6-45DB-B1C8-2602A172361D}" srcOrd="0" destOrd="0" presId="urn:microsoft.com/office/officeart/2005/8/layout/hierarchy4"/>
    <dgm:cxn modelId="{7E552746-E7CA-44B5-8DD1-1A839C6D3FBD}" type="presParOf" srcId="{8CECA099-8CC6-45DB-B1C8-2602A172361D}" destId="{B9A17049-230B-47A8-991B-25E6AF3402CF}" srcOrd="0" destOrd="0" presId="urn:microsoft.com/office/officeart/2005/8/layout/hierarchy4"/>
    <dgm:cxn modelId="{7C945391-977C-492F-A64C-EA89F5B9FC6E}" type="presParOf" srcId="{8CECA099-8CC6-45DB-B1C8-2602A172361D}" destId="{7BE2D062-7675-4308-A5AF-164AA1542D5D}" srcOrd="1" destOrd="0" presId="urn:microsoft.com/office/officeart/2005/8/layout/hierarchy4"/>
    <dgm:cxn modelId="{1CC4A673-1266-440A-847F-6BD348E87C3E}" type="presParOf" srcId="{08C34DB1-C6A6-462F-9432-44141F9AFAC7}" destId="{6A68A4F5-8F2C-480B-934F-A9C738761945}" srcOrd="3" destOrd="0" presId="urn:microsoft.com/office/officeart/2005/8/layout/hierarchy4"/>
    <dgm:cxn modelId="{87102F5B-A6B3-41C2-8D93-69D579780E89}" type="presParOf" srcId="{08C34DB1-C6A6-462F-9432-44141F9AFAC7}" destId="{79D0B572-DE8D-4C73-9DA1-24F70CD221AE}" srcOrd="4" destOrd="0" presId="urn:microsoft.com/office/officeart/2005/8/layout/hierarchy4"/>
    <dgm:cxn modelId="{12F57651-E3BC-4FF7-8E4E-91FBB8EB6EA0}" type="presParOf" srcId="{79D0B572-DE8D-4C73-9DA1-24F70CD221AE}" destId="{F04BADE2-B3EE-4650-897C-17257D5DD376}" srcOrd="0" destOrd="0" presId="urn:microsoft.com/office/officeart/2005/8/layout/hierarchy4"/>
    <dgm:cxn modelId="{C08C8EB0-2EAB-47BE-9278-9D367A621BAF}" type="presParOf" srcId="{79D0B572-DE8D-4C73-9DA1-24F70CD221AE}" destId="{9F014C28-48CD-422A-B562-ED7140287343}" srcOrd="1" destOrd="0" presId="urn:microsoft.com/office/officeart/2005/8/layout/hierarchy4"/>
    <dgm:cxn modelId="{EFA92255-E647-446A-9320-3C40E1C82262}" type="presParOf" srcId="{79D0B572-DE8D-4C73-9DA1-24F70CD221AE}" destId="{C8E76066-EFEA-4B1C-BA4B-2C0FEF86848F}" srcOrd="2" destOrd="0" presId="urn:microsoft.com/office/officeart/2005/8/layout/hierarchy4"/>
    <dgm:cxn modelId="{901B4757-1C58-47F8-9838-180977C92B2B}" type="presParOf" srcId="{C8E76066-EFEA-4B1C-BA4B-2C0FEF86848F}" destId="{9B8F6A34-BB98-4A36-92DB-5D3619685F8A}" srcOrd="0" destOrd="0" presId="urn:microsoft.com/office/officeart/2005/8/layout/hierarchy4"/>
    <dgm:cxn modelId="{9763F14F-18B5-4D77-B520-5715634D7CE8}" type="presParOf" srcId="{9B8F6A34-BB98-4A36-92DB-5D3619685F8A}" destId="{1CE98861-B629-4CE8-BEAD-BAA1E4BAE172}" srcOrd="0" destOrd="0" presId="urn:microsoft.com/office/officeart/2005/8/layout/hierarchy4"/>
    <dgm:cxn modelId="{8F0E8EFC-5802-49D6-A9DF-02C36E1C4DE6}" type="presParOf" srcId="{9B8F6A34-BB98-4A36-92DB-5D3619685F8A}" destId="{E16F7E31-9EE5-4069-B72F-B77F6EFBFC1A}" srcOrd="1" destOrd="0" presId="urn:microsoft.com/office/officeart/2005/8/layout/hierarchy4"/>
    <dgm:cxn modelId="{EDDD69B4-15B7-4BA9-ACBF-C5BAE9E2C809}" type="presParOf" srcId="{A20EC388-A67D-4FE1-95BF-02A00C257095}" destId="{4B4B51AC-EE6D-4AA8-ACC7-AE382394E918}" srcOrd="1" destOrd="0" presId="urn:microsoft.com/office/officeart/2005/8/layout/hierarchy4"/>
    <dgm:cxn modelId="{C2B09BB2-6A5E-48CF-9785-5A233AC78A50}" type="presParOf" srcId="{A20EC388-A67D-4FE1-95BF-02A00C257095}" destId="{1DADB38A-61B9-4407-B98B-D1C61E461D65}" srcOrd="2" destOrd="0" presId="urn:microsoft.com/office/officeart/2005/8/layout/hierarchy4"/>
    <dgm:cxn modelId="{6B8F4AD5-34E1-4A78-9872-84E657DD53D7}" type="presParOf" srcId="{1DADB38A-61B9-4407-B98B-D1C61E461D65}" destId="{B229D561-C419-4A7F-894F-450C47EFCC60}" srcOrd="0" destOrd="0" presId="urn:microsoft.com/office/officeart/2005/8/layout/hierarchy4"/>
    <dgm:cxn modelId="{F8D07A71-9D1A-479F-98F8-C8511BECB8F0}" type="presParOf" srcId="{1DADB38A-61B9-4407-B98B-D1C61E461D65}" destId="{B44F1B0D-B4D7-46C6-9A9A-118A7233B517}" srcOrd="1" destOrd="0" presId="urn:microsoft.com/office/officeart/2005/8/layout/hierarchy4"/>
    <dgm:cxn modelId="{DE651539-FD33-4190-9AFD-BEB4DD4C1555}" type="presParOf" srcId="{A20EC388-A67D-4FE1-95BF-02A00C257095}" destId="{6E0D0710-14AC-4E8A-A8B6-AF99C9C6ED10}" srcOrd="3" destOrd="0" presId="urn:microsoft.com/office/officeart/2005/8/layout/hierarchy4"/>
    <dgm:cxn modelId="{25A15764-682E-4FF2-9D6A-C97A18E7E22F}" type="presParOf" srcId="{A20EC388-A67D-4FE1-95BF-02A00C257095}" destId="{3F8AE468-0FB0-4840-B43D-C18C5202A7E7}" srcOrd="4" destOrd="0" presId="urn:microsoft.com/office/officeart/2005/8/layout/hierarchy4"/>
    <dgm:cxn modelId="{22B2C1AD-ACF8-4AEF-8A07-A2708830C8F4}" type="presParOf" srcId="{3F8AE468-0FB0-4840-B43D-C18C5202A7E7}" destId="{00A47A13-EB4B-40C7-B1CE-CF410339F805}" srcOrd="0" destOrd="0" presId="urn:microsoft.com/office/officeart/2005/8/layout/hierarchy4"/>
    <dgm:cxn modelId="{CF29E968-518D-4401-AC72-9456C888DE0B}" type="presParOf" srcId="{3F8AE468-0FB0-4840-B43D-C18C5202A7E7}" destId="{8352725C-4566-4438-BE05-B5E26FF8BA52}" srcOrd="1" destOrd="0" presId="urn:microsoft.com/office/officeart/2005/8/layout/hierarchy4"/>
    <dgm:cxn modelId="{39B5231D-E34C-4339-8014-C02305B69B8F}" type="presParOf" srcId="{3F8AE468-0FB0-4840-B43D-C18C5202A7E7}" destId="{3DC3B120-E777-4E6B-9E55-564CA9493DD7}" srcOrd="2" destOrd="0" presId="urn:microsoft.com/office/officeart/2005/8/layout/hierarchy4"/>
    <dgm:cxn modelId="{49BC715D-8A4C-46BB-985D-8A07AB9E0EDD}" type="presParOf" srcId="{3DC3B120-E777-4E6B-9E55-564CA9493DD7}" destId="{1BD1928C-94DD-473E-B059-0CFFB8130C77}" srcOrd="0" destOrd="0" presId="urn:microsoft.com/office/officeart/2005/8/layout/hierarchy4"/>
    <dgm:cxn modelId="{63536817-1917-4320-8ACB-17440538AE88}" type="presParOf" srcId="{1BD1928C-94DD-473E-B059-0CFFB8130C77}" destId="{9E0DB2A6-8EE4-4E5A-AD0B-BCB22D5D6DE6}" srcOrd="0" destOrd="0" presId="urn:microsoft.com/office/officeart/2005/8/layout/hierarchy4"/>
    <dgm:cxn modelId="{0204D6BB-06FA-450A-93CC-38EE012E0B69}" type="presParOf" srcId="{1BD1928C-94DD-473E-B059-0CFFB8130C77}" destId="{F0290CD4-DFB0-4EF2-97C7-001522352DE6}" srcOrd="1" destOrd="0" presId="urn:microsoft.com/office/officeart/2005/8/layout/hierarchy4"/>
    <dgm:cxn modelId="{E86423CF-5021-4CBF-A6C0-52E7CE821B3D}" type="presParOf" srcId="{1BD1928C-94DD-473E-B059-0CFFB8130C77}" destId="{72A5061B-C3A3-4C0E-BFEF-CB59F0A4D17D}" srcOrd="2" destOrd="0" presId="urn:microsoft.com/office/officeart/2005/8/layout/hierarchy4"/>
    <dgm:cxn modelId="{83AC4552-663C-4F6A-8571-DD6A50A2DD37}" type="presParOf" srcId="{72A5061B-C3A3-4C0E-BFEF-CB59F0A4D17D}" destId="{2EB4C387-21F6-4214-AE7D-AF6B53D85748}" srcOrd="0" destOrd="0" presId="urn:microsoft.com/office/officeart/2005/8/layout/hierarchy4"/>
    <dgm:cxn modelId="{2CF82B39-2779-4310-913A-EC61F9C3A2A0}" type="presParOf" srcId="{2EB4C387-21F6-4214-AE7D-AF6B53D85748}" destId="{7380801E-36EB-420D-AE1A-38AF4B56F74A}" srcOrd="0" destOrd="0" presId="urn:microsoft.com/office/officeart/2005/8/layout/hierarchy4"/>
    <dgm:cxn modelId="{C12080B4-1D8B-4896-A6B0-B1FEB81EE260}" type="presParOf" srcId="{2EB4C387-21F6-4214-AE7D-AF6B53D85748}" destId="{484E1A5C-599A-473B-AAD7-44C9C24B10FF}" srcOrd="1" destOrd="0" presId="urn:microsoft.com/office/officeart/2005/8/layout/hierarchy4"/>
    <dgm:cxn modelId="{2ACE6726-2E97-433C-AE8A-77E414EEAE50}" type="presParOf" srcId="{A20EC388-A67D-4FE1-95BF-02A00C257095}" destId="{7B4D4F0B-4878-429C-9F37-C50DB6816785}" srcOrd="5" destOrd="0" presId="urn:microsoft.com/office/officeart/2005/8/layout/hierarchy4"/>
    <dgm:cxn modelId="{97BEB176-11ED-4D09-B9BE-C4A6FFFE5AFE}" type="presParOf" srcId="{A20EC388-A67D-4FE1-95BF-02A00C257095}" destId="{8EA42459-6180-4E1D-852C-9F16F5B24C4A}" srcOrd="6" destOrd="0" presId="urn:microsoft.com/office/officeart/2005/8/layout/hierarchy4"/>
    <dgm:cxn modelId="{8A0FE35D-174B-447D-AA6E-8E2470595548}" type="presParOf" srcId="{8EA42459-6180-4E1D-852C-9F16F5B24C4A}" destId="{F5C01370-A5B5-4E7D-81FB-9E03E1D33DFF}" srcOrd="0" destOrd="0" presId="urn:microsoft.com/office/officeart/2005/8/layout/hierarchy4"/>
    <dgm:cxn modelId="{6FBAD1CE-75B5-40F3-A6F7-CD67A7FD401D}" type="presParOf" srcId="{8EA42459-6180-4E1D-852C-9F16F5B24C4A}" destId="{8E143131-300E-46DC-B252-4C7A9D0A48ED}" srcOrd="1" destOrd="0" presId="urn:microsoft.com/office/officeart/2005/8/layout/hierarchy4"/>
    <dgm:cxn modelId="{B58CB696-83B2-469C-91DB-93DE43027A81}" type="presParOf" srcId="{8EA42459-6180-4E1D-852C-9F16F5B24C4A}" destId="{2EA5CE74-7C0F-4253-B7FD-B4A593590413}" srcOrd="2" destOrd="0" presId="urn:microsoft.com/office/officeart/2005/8/layout/hierarchy4"/>
    <dgm:cxn modelId="{B6B7DC9D-92E0-463E-8E9C-15B15CDCA06E}" type="presParOf" srcId="{2EA5CE74-7C0F-4253-B7FD-B4A593590413}" destId="{0B8AAB3E-45DD-4D2B-B1C7-6D2142FAF0F7}" srcOrd="0" destOrd="0" presId="urn:microsoft.com/office/officeart/2005/8/layout/hierarchy4"/>
    <dgm:cxn modelId="{D10761AE-C253-439E-8A64-9AD75CFD4611}" type="presParOf" srcId="{0B8AAB3E-45DD-4D2B-B1C7-6D2142FAF0F7}" destId="{726F3160-6CDE-42E0-BF2D-3AD295D8CC71}" srcOrd="0" destOrd="0" presId="urn:microsoft.com/office/officeart/2005/8/layout/hierarchy4"/>
    <dgm:cxn modelId="{D18712BA-1312-4D07-810E-606B4B8C226E}" type="presParOf" srcId="{0B8AAB3E-45DD-4D2B-B1C7-6D2142FAF0F7}" destId="{628C1B24-1587-4E72-9CD7-9077EE643DE5}" srcOrd="1" destOrd="0" presId="urn:microsoft.com/office/officeart/2005/8/layout/hierarchy4"/>
    <dgm:cxn modelId="{CDAF2805-3D68-4665-A636-33F7BF0E29ED}" type="presParOf" srcId="{0B8AAB3E-45DD-4D2B-B1C7-6D2142FAF0F7}" destId="{9BE4CB7E-C18C-4ADE-A593-3F200BA983C8}" srcOrd="2" destOrd="0" presId="urn:microsoft.com/office/officeart/2005/8/layout/hierarchy4"/>
    <dgm:cxn modelId="{0063EA8B-F6DC-499E-97EF-C37EA203F851}" type="presParOf" srcId="{9BE4CB7E-C18C-4ADE-A593-3F200BA983C8}" destId="{71DC99AD-22B8-4785-BAFE-9664873662C5}" srcOrd="0" destOrd="0" presId="urn:microsoft.com/office/officeart/2005/8/layout/hierarchy4"/>
    <dgm:cxn modelId="{4435715C-8547-4FE0-B404-1283423794B7}" type="presParOf" srcId="{71DC99AD-22B8-4785-BAFE-9664873662C5}" destId="{F8DCB87F-02D2-457F-9B80-CE2922C16E1B}" srcOrd="0" destOrd="0" presId="urn:microsoft.com/office/officeart/2005/8/layout/hierarchy4"/>
    <dgm:cxn modelId="{49E50AAA-A2F3-4E62-AAAC-F47EF5A1E4CC}" type="presParOf" srcId="{71DC99AD-22B8-4785-BAFE-9664873662C5}" destId="{759556B4-8D87-44F8-91E8-1C1334397969}" srcOrd="1" destOrd="0" presId="urn:microsoft.com/office/officeart/2005/8/layout/hierarchy4"/>
    <dgm:cxn modelId="{50B798BC-B5A9-4720-A7F0-F38FB2ADE230}" type="presParOf" srcId="{2EA5CE74-7C0F-4253-B7FD-B4A593590413}" destId="{83485D99-CA79-41E6-B1F3-0CE206A91B12}" srcOrd="1" destOrd="0" presId="urn:microsoft.com/office/officeart/2005/8/layout/hierarchy4"/>
    <dgm:cxn modelId="{83CE927A-4B01-47D0-9B5D-C3CBBD2A4C33}" type="presParOf" srcId="{2EA5CE74-7C0F-4253-B7FD-B4A593590413}" destId="{A4CE3D11-5F42-4143-960A-EF9AC29627CE}" srcOrd="2" destOrd="0" presId="urn:microsoft.com/office/officeart/2005/8/layout/hierarchy4"/>
    <dgm:cxn modelId="{46FA4B60-44B8-4027-9D8D-AF7D81E689AD}" type="presParOf" srcId="{A4CE3D11-5F42-4143-960A-EF9AC29627CE}" destId="{74B9AAAD-3DD0-4C80-B5E7-0D89799E0485}" srcOrd="0" destOrd="0" presId="urn:microsoft.com/office/officeart/2005/8/layout/hierarchy4"/>
    <dgm:cxn modelId="{5181CD08-066C-42EF-9E8F-2DDD0A09B074}" type="presParOf" srcId="{A4CE3D11-5F42-4143-960A-EF9AC29627CE}" destId="{90F0BA4D-F6F6-4BE1-9D75-7892BA848213}" srcOrd="1" destOrd="0" presId="urn:microsoft.com/office/officeart/2005/8/layout/hierarchy4"/>
    <dgm:cxn modelId="{A29B656E-B835-41FE-A05E-385C6F2F521F}" type="presParOf" srcId="{2EA5CE74-7C0F-4253-B7FD-B4A593590413}" destId="{CD941FD6-23DB-4936-AFE0-3D69B5C33F51}" srcOrd="3" destOrd="0" presId="urn:microsoft.com/office/officeart/2005/8/layout/hierarchy4"/>
    <dgm:cxn modelId="{02417624-A7A3-4605-93B7-9A528B649F9E}" type="presParOf" srcId="{2EA5CE74-7C0F-4253-B7FD-B4A593590413}" destId="{98FB39F0-3771-4186-AAF6-47E4D7141343}" srcOrd="4" destOrd="0" presId="urn:microsoft.com/office/officeart/2005/8/layout/hierarchy4"/>
    <dgm:cxn modelId="{28352EE6-3F36-42A9-B52A-051F55C5999A}" type="presParOf" srcId="{98FB39F0-3771-4186-AAF6-47E4D7141343}" destId="{C4806E96-D246-4D93-8F86-26617F27F0F2}" srcOrd="0" destOrd="0" presId="urn:microsoft.com/office/officeart/2005/8/layout/hierarchy4"/>
    <dgm:cxn modelId="{1F2FF2D0-DADB-415F-9407-7280602C1CF6}" type="presParOf" srcId="{98FB39F0-3771-4186-AAF6-47E4D7141343}" destId="{746E8FD6-AFFF-4553-BCEF-833C26FD0242}" srcOrd="1" destOrd="0" presId="urn:microsoft.com/office/officeart/2005/8/layout/hierarchy4"/>
    <dgm:cxn modelId="{11D7CFEA-8216-4F0F-98FB-6362BC6A5FD9}" type="presParOf" srcId="{98FB39F0-3771-4186-AAF6-47E4D7141343}" destId="{EA0EFFE2-2E8D-4F86-980A-81725E1ECDEC}" srcOrd="2" destOrd="0" presId="urn:microsoft.com/office/officeart/2005/8/layout/hierarchy4"/>
    <dgm:cxn modelId="{39770EE7-A9D5-4CFA-B537-A3B3737A501D}" type="presParOf" srcId="{EA0EFFE2-2E8D-4F86-980A-81725E1ECDEC}" destId="{AFD4C6C7-2EA7-4C23-B756-21647763F8E1}" srcOrd="0" destOrd="0" presId="urn:microsoft.com/office/officeart/2005/8/layout/hierarchy4"/>
    <dgm:cxn modelId="{7A90BBB3-001B-4096-8B35-745EE065975A}" type="presParOf" srcId="{AFD4C6C7-2EA7-4C23-B756-21647763F8E1}" destId="{597B2866-ED80-4D8A-85DE-4CDEC3D72AEA}" srcOrd="0" destOrd="0" presId="urn:microsoft.com/office/officeart/2005/8/layout/hierarchy4"/>
    <dgm:cxn modelId="{7E99F392-432B-4A53-9A3F-6CE83DF4E584}" type="presParOf" srcId="{AFD4C6C7-2EA7-4C23-B756-21647763F8E1}" destId="{9A6676C1-4F54-434C-9CD9-026E18624A2C}" srcOrd="1" destOrd="0" presId="urn:microsoft.com/office/officeart/2005/8/layout/hierarchy4"/>
    <dgm:cxn modelId="{67A9869C-0A7C-42CB-A1D6-8C699858B809}" type="presParOf" srcId="{A20EC388-A67D-4FE1-95BF-02A00C257095}" destId="{55A2E7BF-A171-4C15-A027-7CC1771CE448}" srcOrd="7" destOrd="0" presId="urn:microsoft.com/office/officeart/2005/8/layout/hierarchy4"/>
    <dgm:cxn modelId="{2DBC0C10-EC39-49FC-ADAB-20FCDD978E0C}" type="presParOf" srcId="{A20EC388-A67D-4FE1-95BF-02A00C257095}" destId="{1B37E9BC-C061-4863-B828-8722B7596874}" srcOrd="8" destOrd="0" presId="urn:microsoft.com/office/officeart/2005/8/layout/hierarchy4"/>
    <dgm:cxn modelId="{FFEC54CA-FA77-4EC7-B7F5-B35DC487E825}" type="presParOf" srcId="{1B37E9BC-C061-4863-B828-8722B7596874}" destId="{3802C256-192A-4D9D-A0CE-9BDB29EA994B}" srcOrd="0" destOrd="0" presId="urn:microsoft.com/office/officeart/2005/8/layout/hierarchy4"/>
    <dgm:cxn modelId="{A1D12E98-9FAD-4BB0-A79D-D6A7257F05F4}" type="presParOf" srcId="{1B37E9BC-C061-4863-B828-8722B7596874}" destId="{70731998-A383-4080-AC91-2A80EA5307E0}" srcOrd="1" destOrd="0" presId="urn:microsoft.com/office/officeart/2005/8/layout/hierarchy4"/>
    <dgm:cxn modelId="{4F6F6608-0ACF-46F0-BF0A-3E5177AA6810}" type="presParOf" srcId="{1B37E9BC-C061-4863-B828-8722B7596874}" destId="{A6658BC8-B758-4D2F-A710-3AABCF424A8B}" srcOrd="2" destOrd="0" presId="urn:microsoft.com/office/officeart/2005/8/layout/hierarchy4"/>
    <dgm:cxn modelId="{10E49E14-F440-4A92-A3D1-6DB417D85537}" type="presParOf" srcId="{A6658BC8-B758-4D2F-A710-3AABCF424A8B}" destId="{6D761F63-0A94-40C3-AFB4-76FCD9D16081}" srcOrd="0" destOrd="0" presId="urn:microsoft.com/office/officeart/2005/8/layout/hierarchy4"/>
    <dgm:cxn modelId="{85CB0495-087E-4332-8B96-BB17A8D579D8}" type="presParOf" srcId="{6D761F63-0A94-40C3-AFB4-76FCD9D16081}" destId="{B67D2C12-CAFA-47C2-B2E6-AA9EBE7E1C23}" srcOrd="0" destOrd="0" presId="urn:microsoft.com/office/officeart/2005/8/layout/hierarchy4"/>
    <dgm:cxn modelId="{565537C0-53EE-40A9-83C9-231481D97C56}" type="presParOf" srcId="{6D761F63-0A94-40C3-AFB4-76FCD9D16081}" destId="{AB340711-ED64-4686-85BF-07066A3AEB9F}" srcOrd="1" destOrd="0" presId="urn:microsoft.com/office/officeart/2005/8/layout/hierarchy4"/>
    <dgm:cxn modelId="{A609B61C-6DE4-49F4-873E-BF7AE004B0FC}" type="presParOf" srcId="{6D761F63-0A94-40C3-AFB4-76FCD9D16081}" destId="{52A39AF4-95B0-4E07-AAFB-BABFEA892506}" srcOrd="2" destOrd="0" presId="urn:microsoft.com/office/officeart/2005/8/layout/hierarchy4"/>
    <dgm:cxn modelId="{AFD6307B-89E8-42B3-B66A-D429238B688B}" type="presParOf" srcId="{52A39AF4-95B0-4E07-AAFB-BABFEA892506}" destId="{D677CB02-83E7-430A-B6C3-084D17E206EB}" srcOrd="0" destOrd="0" presId="urn:microsoft.com/office/officeart/2005/8/layout/hierarchy4"/>
    <dgm:cxn modelId="{C00A9C91-B09E-418D-B947-C036A32FEF62}" type="presParOf" srcId="{D677CB02-83E7-430A-B6C3-084D17E206EB}" destId="{07F70453-3D08-458D-8F96-9E34904C30E4}" srcOrd="0" destOrd="0" presId="urn:microsoft.com/office/officeart/2005/8/layout/hierarchy4"/>
    <dgm:cxn modelId="{7F73E95C-76DA-45A5-8AA2-EAA7C793BE9B}" type="presParOf" srcId="{D677CB02-83E7-430A-B6C3-084D17E206EB}" destId="{F8AC560E-9262-4E47-BE42-4194F07F57A4}" srcOrd="1" destOrd="0" presId="urn:microsoft.com/office/officeart/2005/8/layout/hierarchy4"/>
    <dgm:cxn modelId="{56BEA523-E19E-4B5A-9C59-9C232A8B646D}" type="presParOf" srcId="{A6658BC8-B758-4D2F-A710-3AABCF424A8B}" destId="{24C45C6C-BDDC-4A9D-B5B3-EA59A5186454}" srcOrd="1" destOrd="0" presId="urn:microsoft.com/office/officeart/2005/8/layout/hierarchy4"/>
    <dgm:cxn modelId="{B6F85BD2-1E19-4446-A702-E3CEB7608C6C}" type="presParOf" srcId="{A6658BC8-B758-4D2F-A710-3AABCF424A8B}" destId="{B6559C6F-895A-42B9-98C8-51E57A68FC8F}" srcOrd="2" destOrd="0" presId="urn:microsoft.com/office/officeart/2005/8/layout/hierarchy4"/>
    <dgm:cxn modelId="{B8013484-7113-4DF1-81EB-32C60CF7243A}" type="presParOf" srcId="{B6559C6F-895A-42B9-98C8-51E57A68FC8F}" destId="{04CCEF7E-6EFF-431F-901F-82631F1D5714}" srcOrd="0" destOrd="0" presId="urn:microsoft.com/office/officeart/2005/8/layout/hierarchy4"/>
    <dgm:cxn modelId="{1740FD5A-3804-4196-AC1E-E18C53E31D6A}" type="presParOf" srcId="{B6559C6F-895A-42B9-98C8-51E57A68FC8F}" destId="{A27EEF5E-2EBA-4C56-8FDE-5FF9AD27BA32}" srcOrd="1" destOrd="0" presId="urn:microsoft.com/office/officeart/2005/8/layout/hierarchy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922883-BF52-4CA5-BD21-F614B41E9B43}">
      <dsp:nvSpPr>
        <dsp:cNvPr id="0" name=""/>
        <dsp:cNvSpPr/>
      </dsp:nvSpPr>
      <dsp:spPr>
        <a:xfrm>
          <a:off x="2176" y="264"/>
          <a:ext cx="5672546"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baseline="0">
              <a:solidFill>
                <a:schemeClr val="bg1"/>
              </a:solidFill>
            </a:rPr>
            <a:t>Chief Executive &amp; Accounting Officer</a:t>
          </a:r>
        </a:p>
      </dsp:txBody>
      <dsp:txXfrm>
        <a:off x="25267" y="23355"/>
        <a:ext cx="5626364" cy="742202"/>
      </dsp:txXfrm>
    </dsp:sp>
    <dsp:sp modelId="{5B89CF88-9AD3-4177-B113-9BD060DCC4DD}">
      <dsp:nvSpPr>
        <dsp:cNvPr id="0" name=""/>
        <dsp:cNvSpPr/>
      </dsp:nvSpPr>
      <dsp:spPr>
        <a:xfrm>
          <a:off x="273994" y="874283"/>
          <a:ext cx="530797"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Director (Legal Services)</a:t>
          </a:r>
        </a:p>
      </dsp:txBody>
      <dsp:txXfrm>
        <a:off x="289541" y="889830"/>
        <a:ext cx="499703" cy="757290"/>
      </dsp:txXfrm>
    </dsp:sp>
    <dsp:sp modelId="{21EDFFE0-E30A-4743-A551-A56F58F60A23}">
      <dsp:nvSpPr>
        <dsp:cNvPr id="0" name=""/>
        <dsp:cNvSpPr/>
      </dsp:nvSpPr>
      <dsp:spPr>
        <a:xfrm>
          <a:off x="278968" y="1722402"/>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Solicitors (Legal &amp; Research Officers) x 3</a:t>
          </a:r>
        </a:p>
      </dsp:txBody>
      <dsp:txXfrm>
        <a:off x="294424" y="1737858"/>
        <a:ext cx="496800" cy="757472"/>
      </dsp:txXfrm>
    </dsp:sp>
    <dsp:sp modelId="{CBEF0E80-62F1-4A98-8639-2695A17808F6}">
      <dsp:nvSpPr>
        <dsp:cNvPr id="0" name=""/>
        <dsp:cNvSpPr/>
      </dsp:nvSpPr>
      <dsp:spPr>
        <a:xfrm>
          <a:off x="284129" y="2582567"/>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Paralegal</a:t>
          </a:r>
        </a:p>
      </dsp:txBody>
      <dsp:txXfrm>
        <a:off x="299585" y="2598023"/>
        <a:ext cx="496800" cy="757472"/>
      </dsp:txXfrm>
    </dsp:sp>
    <dsp:sp modelId="{72F54AF8-EFF7-4770-8ADE-7858622D9B44}">
      <dsp:nvSpPr>
        <dsp:cNvPr id="0" name=""/>
        <dsp:cNvSpPr/>
      </dsp:nvSpPr>
      <dsp:spPr>
        <a:xfrm>
          <a:off x="909709" y="1722047"/>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Policy &amp; Research Officer	</a:t>
          </a:r>
        </a:p>
      </dsp:txBody>
      <dsp:txXfrm>
        <a:off x="925165" y="1737503"/>
        <a:ext cx="496800" cy="757472"/>
      </dsp:txXfrm>
    </dsp:sp>
    <dsp:sp modelId="{B9A17049-230B-47A8-991B-25E6AF3402CF}">
      <dsp:nvSpPr>
        <dsp:cNvPr id="0" name=""/>
        <dsp:cNvSpPr/>
      </dsp:nvSpPr>
      <dsp:spPr>
        <a:xfrm>
          <a:off x="904981" y="2582567"/>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Policy &amp; Research Officers x 2 </a:t>
          </a:r>
        </a:p>
        <a:p>
          <a:pPr marL="0" lvl="0" indent="0" algn="ctr" defTabSz="222250">
            <a:lnSpc>
              <a:spcPct val="90000"/>
            </a:lnSpc>
            <a:spcBef>
              <a:spcPct val="0"/>
            </a:spcBef>
            <a:spcAft>
              <a:spcPct val="35000"/>
            </a:spcAft>
            <a:buNone/>
          </a:pPr>
          <a:endParaRPr lang="en-GB" sz="500" kern="1200" baseline="0">
            <a:solidFill>
              <a:schemeClr val="bg1"/>
            </a:solidFill>
          </a:endParaRPr>
        </a:p>
      </dsp:txBody>
      <dsp:txXfrm>
        <a:off x="920437" y="2598023"/>
        <a:ext cx="496800" cy="757472"/>
      </dsp:txXfrm>
    </dsp:sp>
    <dsp:sp modelId="{F04BADE2-B3EE-4650-897C-17257D5DD376}">
      <dsp:nvSpPr>
        <dsp:cNvPr id="0" name=""/>
        <dsp:cNvSpPr/>
      </dsp:nvSpPr>
      <dsp:spPr>
        <a:xfrm>
          <a:off x="1483774" y="1722746"/>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Policy &amp; Research Officer</a:t>
          </a:r>
        </a:p>
      </dsp:txBody>
      <dsp:txXfrm>
        <a:off x="1499230" y="1738202"/>
        <a:ext cx="496800" cy="757472"/>
      </dsp:txXfrm>
    </dsp:sp>
    <dsp:sp modelId="{1CE98861-B629-4CE8-BEAD-BAA1E4BAE172}">
      <dsp:nvSpPr>
        <dsp:cNvPr id="0" name=""/>
        <dsp:cNvSpPr/>
      </dsp:nvSpPr>
      <dsp:spPr>
        <a:xfrm>
          <a:off x="1500096" y="2586312"/>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Policy &amp; Research Officers x 2</a:t>
          </a:r>
        </a:p>
        <a:p>
          <a:pPr marL="0" lvl="0" indent="0" algn="ctr" defTabSz="222250">
            <a:lnSpc>
              <a:spcPct val="90000"/>
            </a:lnSpc>
            <a:spcBef>
              <a:spcPct val="0"/>
            </a:spcBef>
            <a:spcAft>
              <a:spcPct val="35000"/>
            </a:spcAft>
            <a:buNone/>
          </a:pPr>
          <a:r>
            <a:rPr lang="en-GB" sz="500" kern="1200" baseline="0">
              <a:solidFill>
                <a:schemeClr val="bg1"/>
              </a:solidFill>
            </a:rPr>
            <a:t>(1 currently vacant)</a:t>
          </a:r>
        </a:p>
      </dsp:txBody>
      <dsp:txXfrm>
        <a:off x="1515552" y="2601768"/>
        <a:ext cx="496800" cy="757472"/>
      </dsp:txXfrm>
    </dsp:sp>
    <dsp:sp modelId="{B229D561-C419-4A7F-894F-450C47EFCC60}">
      <dsp:nvSpPr>
        <dsp:cNvPr id="0" name=""/>
        <dsp:cNvSpPr/>
      </dsp:nvSpPr>
      <dsp:spPr>
        <a:xfrm>
          <a:off x="1219114" y="883632"/>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Director (Advice to Government, Research &amp; Investigations)</a:t>
          </a:r>
        </a:p>
      </dsp:txBody>
      <dsp:txXfrm>
        <a:off x="1234570" y="899088"/>
        <a:ext cx="496800" cy="757472"/>
      </dsp:txXfrm>
    </dsp:sp>
    <dsp:sp modelId="{00A47A13-EB4B-40C7-B1CE-CF410339F805}">
      <dsp:nvSpPr>
        <dsp:cNvPr id="0" name=""/>
        <dsp:cNvSpPr/>
      </dsp:nvSpPr>
      <dsp:spPr>
        <a:xfrm>
          <a:off x="2102815" y="864246"/>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Director (Human Rights after Brexit)</a:t>
          </a:r>
        </a:p>
      </dsp:txBody>
      <dsp:txXfrm>
        <a:off x="2118271" y="879702"/>
        <a:ext cx="496800" cy="757472"/>
      </dsp:txXfrm>
    </dsp:sp>
    <dsp:sp modelId="{9E0DB2A6-8EE4-4E5A-AD0B-BCB22D5D6DE6}">
      <dsp:nvSpPr>
        <dsp:cNvPr id="0" name=""/>
        <dsp:cNvSpPr/>
      </dsp:nvSpPr>
      <dsp:spPr>
        <a:xfrm>
          <a:off x="2114631" y="1723101"/>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Policy &amp; Research Officer</a:t>
          </a:r>
        </a:p>
      </dsp:txBody>
      <dsp:txXfrm>
        <a:off x="2130087" y="1738557"/>
        <a:ext cx="496800" cy="757472"/>
      </dsp:txXfrm>
    </dsp:sp>
    <dsp:sp modelId="{7380801E-36EB-420D-AE1A-38AF4B56F74A}">
      <dsp:nvSpPr>
        <dsp:cNvPr id="0" name=""/>
        <dsp:cNvSpPr/>
      </dsp:nvSpPr>
      <dsp:spPr>
        <a:xfrm>
          <a:off x="2104741" y="2579989"/>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Policy &amp; Research Officers x 3</a:t>
          </a:r>
        </a:p>
        <a:p>
          <a:pPr marL="0" lvl="0" indent="0" algn="ctr" defTabSz="222250">
            <a:lnSpc>
              <a:spcPct val="90000"/>
            </a:lnSpc>
            <a:spcBef>
              <a:spcPct val="0"/>
            </a:spcBef>
            <a:spcAft>
              <a:spcPct val="35000"/>
            </a:spcAft>
            <a:buNone/>
          </a:pPr>
          <a:r>
            <a:rPr lang="en-GB" sz="500" kern="1200" baseline="0">
              <a:solidFill>
                <a:schemeClr val="bg1"/>
              </a:solidFill>
            </a:rPr>
            <a:t>(1 currently vacant)</a:t>
          </a:r>
        </a:p>
      </dsp:txBody>
      <dsp:txXfrm>
        <a:off x="2120197" y="2595445"/>
        <a:ext cx="496800" cy="757472"/>
      </dsp:txXfrm>
    </dsp:sp>
    <dsp:sp modelId="{F5C01370-A5B5-4E7D-81FB-9E03E1D33DFF}">
      <dsp:nvSpPr>
        <dsp:cNvPr id="0" name=""/>
        <dsp:cNvSpPr/>
      </dsp:nvSpPr>
      <dsp:spPr>
        <a:xfrm>
          <a:off x="3263809" y="853373"/>
          <a:ext cx="574787"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Director (Engagement &amp; Communications)</a:t>
          </a:r>
        </a:p>
      </dsp:txBody>
      <dsp:txXfrm>
        <a:off x="3280644" y="870208"/>
        <a:ext cx="541117" cy="754714"/>
      </dsp:txXfrm>
    </dsp:sp>
    <dsp:sp modelId="{726F3160-6CDE-42E0-BF2D-3AD295D8CC71}">
      <dsp:nvSpPr>
        <dsp:cNvPr id="0" name=""/>
        <dsp:cNvSpPr/>
      </dsp:nvSpPr>
      <dsp:spPr>
        <a:xfrm>
          <a:off x="2711588" y="1722868"/>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Engagment &amp; Communications Officer</a:t>
          </a:r>
        </a:p>
      </dsp:txBody>
      <dsp:txXfrm>
        <a:off x="2727044" y="1738324"/>
        <a:ext cx="496800" cy="757472"/>
      </dsp:txXfrm>
    </dsp:sp>
    <dsp:sp modelId="{F8DCB87F-02D2-457F-9B80-CE2922C16E1B}">
      <dsp:nvSpPr>
        <dsp:cNvPr id="0" name=""/>
        <dsp:cNvSpPr/>
      </dsp:nvSpPr>
      <dsp:spPr>
        <a:xfrm>
          <a:off x="2722396" y="2582954"/>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Engagement &amp; Communications Officer x 2</a:t>
          </a:r>
        </a:p>
        <a:p>
          <a:pPr marL="0" lvl="0" indent="0" algn="ctr" defTabSz="222250">
            <a:lnSpc>
              <a:spcPct val="90000"/>
            </a:lnSpc>
            <a:spcBef>
              <a:spcPct val="0"/>
            </a:spcBef>
            <a:spcAft>
              <a:spcPct val="35000"/>
            </a:spcAft>
            <a:buNone/>
          </a:pPr>
          <a:r>
            <a:rPr lang="en-GB" sz="500" kern="1200" baseline="0">
              <a:solidFill>
                <a:schemeClr val="bg1"/>
              </a:solidFill>
            </a:rPr>
            <a:t>(1 currently vacant)</a:t>
          </a:r>
        </a:p>
      </dsp:txBody>
      <dsp:txXfrm>
        <a:off x="2737852" y="2598410"/>
        <a:ext cx="496800" cy="757472"/>
      </dsp:txXfrm>
    </dsp:sp>
    <dsp:sp modelId="{74B9AAAD-3DD0-4C80-B5E7-0D89799E0485}">
      <dsp:nvSpPr>
        <dsp:cNvPr id="0" name=""/>
        <dsp:cNvSpPr/>
      </dsp:nvSpPr>
      <dsp:spPr>
        <a:xfrm>
          <a:off x="3284671" y="1709038"/>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Project Manager</a:t>
          </a:r>
        </a:p>
      </dsp:txBody>
      <dsp:txXfrm>
        <a:off x="3300127" y="1724494"/>
        <a:ext cx="496800" cy="757472"/>
      </dsp:txXfrm>
    </dsp:sp>
    <dsp:sp modelId="{C4806E96-D246-4D93-8F86-26617F27F0F2}">
      <dsp:nvSpPr>
        <dsp:cNvPr id="0" name=""/>
        <dsp:cNvSpPr/>
      </dsp:nvSpPr>
      <dsp:spPr>
        <a:xfrm>
          <a:off x="3843194" y="1721936"/>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Engagement &amp; Communications Officer</a:t>
          </a:r>
        </a:p>
      </dsp:txBody>
      <dsp:txXfrm>
        <a:off x="3858650" y="1737392"/>
        <a:ext cx="496800" cy="757472"/>
      </dsp:txXfrm>
    </dsp:sp>
    <dsp:sp modelId="{597B2866-ED80-4D8A-85DE-4CDEC3D72AEA}">
      <dsp:nvSpPr>
        <dsp:cNvPr id="0" name=""/>
        <dsp:cNvSpPr/>
      </dsp:nvSpPr>
      <dsp:spPr>
        <a:xfrm>
          <a:off x="3850514" y="2586312"/>
          <a:ext cx="527712"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Engagement &amp; Communications Officer</a:t>
          </a:r>
        </a:p>
        <a:p>
          <a:pPr marL="0" lvl="0" indent="0" algn="ctr" defTabSz="222250">
            <a:lnSpc>
              <a:spcPct val="90000"/>
            </a:lnSpc>
            <a:spcBef>
              <a:spcPct val="0"/>
            </a:spcBef>
            <a:spcAft>
              <a:spcPct val="35000"/>
            </a:spcAft>
            <a:buNone/>
          </a:pPr>
          <a:r>
            <a:rPr lang="en-GB" sz="500" kern="1200" baseline="0">
              <a:solidFill>
                <a:schemeClr val="bg1"/>
              </a:solidFill>
            </a:rPr>
            <a:t>(currently vacant)</a:t>
          </a:r>
        </a:p>
      </dsp:txBody>
      <dsp:txXfrm>
        <a:off x="3865970" y="2601768"/>
        <a:ext cx="496800" cy="757472"/>
      </dsp:txXfrm>
    </dsp:sp>
    <dsp:sp modelId="{3802C256-192A-4D9D-A0CE-9BDB29EA994B}">
      <dsp:nvSpPr>
        <dsp:cNvPr id="0" name=""/>
        <dsp:cNvSpPr/>
      </dsp:nvSpPr>
      <dsp:spPr>
        <a:xfrm>
          <a:off x="4695776" y="859722"/>
          <a:ext cx="555124"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Director (Finance, Personnel &amp; Corporate Affairs)</a:t>
          </a:r>
        </a:p>
      </dsp:txBody>
      <dsp:txXfrm>
        <a:off x="4712035" y="875981"/>
        <a:ext cx="522606" cy="755866"/>
      </dsp:txXfrm>
    </dsp:sp>
    <dsp:sp modelId="{B67D2C12-CAFA-47C2-B2E6-AA9EBE7E1C23}">
      <dsp:nvSpPr>
        <dsp:cNvPr id="0" name=""/>
        <dsp:cNvSpPr/>
      </dsp:nvSpPr>
      <dsp:spPr>
        <a:xfrm>
          <a:off x="4455343" y="1718329"/>
          <a:ext cx="575785" cy="78838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Senior Finance, Personnel &amp; Corporate Affairs Officer</a:t>
          </a:r>
        </a:p>
        <a:p>
          <a:pPr marL="0" lvl="0" indent="0" algn="ctr" defTabSz="222250">
            <a:lnSpc>
              <a:spcPct val="90000"/>
            </a:lnSpc>
            <a:spcBef>
              <a:spcPct val="0"/>
            </a:spcBef>
            <a:spcAft>
              <a:spcPct val="35000"/>
            </a:spcAft>
            <a:buNone/>
          </a:pPr>
          <a:r>
            <a:rPr lang="en-GB" sz="500" kern="1200" baseline="0">
              <a:solidFill>
                <a:schemeClr val="bg1"/>
              </a:solidFill>
            </a:rPr>
            <a:t>(currently vacant)</a:t>
          </a:r>
        </a:p>
      </dsp:txBody>
      <dsp:txXfrm>
        <a:off x="4472207" y="1735193"/>
        <a:ext cx="542057" cy="754656"/>
      </dsp:txXfrm>
    </dsp:sp>
    <dsp:sp modelId="{07F70453-3D08-458D-8F96-9E34904C30E4}">
      <dsp:nvSpPr>
        <dsp:cNvPr id="0" name=""/>
        <dsp:cNvSpPr/>
      </dsp:nvSpPr>
      <dsp:spPr>
        <a:xfrm>
          <a:off x="4473564" y="2586182"/>
          <a:ext cx="571302" cy="823767"/>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Administrative Officers (Full-time x 2) </a:t>
          </a:r>
        </a:p>
        <a:p>
          <a:pPr marL="0" lvl="0" indent="0" algn="ctr" defTabSz="222250">
            <a:lnSpc>
              <a:spcPct val="90000"/>
            </a:lnSpc>
            <a:spcBef>
              <a:spcPct val="0"/>
            </a:spcBef>
            <a:spcAft>
              <a:spcPct val="35000"/>
            </a:spcAft>
            <a:buNone/>
          </a:pPr>
          <a:r>
            <a:rPr lang="en-GB" sz="500" kern="1200" baseline="0">
              <a:solidFill>
                <a:schemeClr val="bg1"/>
              </a:solidFill>
            </a:rPr>
            <a:t>Administrative Officer (Part-time)</a:t>
          </a:r>
        </a:p>
        <a:p>
          <a:pPr marL="0" lvl="0" indent="0" algn="ctr" defTabSz="222250">
            <a:lnSpc>
              <a:spcPct val="90000"/>
            </a:lnSpc>
            <a:spcBef>
              <a:spcPct val="0"/>
            </a:spcBef>
            <a:spcAft>
              <a:spcPct val="35000"/>
            </a:spcAft>
            <a:buNone/>
          </a:pPr>
          <a:r>
            <a:rPr lang="en-GB" sz="500" kern="1200" baseline="0">
              <a:solidFill>
                <a:schemeClr val="bg1"/>
              </a:solidFill>
            </a:rPr>
            <a:t>Administrative Officer (Agency)</a:t>
          </a:r>
        </a:p>
      </dsp:txBody>
      <dsp:txXfrm>
        <a:off x="4490297" y="2602915"/>
        <a:ext cx="537836" cy="790301"/>
      </dsp:txXfrm>
    </dsp:sp>
    <dsp:sp modelId="{04CCEF7E-6EFF-431F-901F-82631F1D5714}">
      <dsp:nvSpPr>
        <dsp:cNvPr id="0" name=""/>
        <dsp:cNvSpPr/>
      </dsp:nvSpPr>
      <dsp:spPr>
        <a:xfrm>
          <a:off x="5054794" y="1708510"/>
          <a:ext cx="572768" cy="804633"/>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baseline="0">
              <a:solidFill>
                <a:schemeClr val="bg1"/>
              </a:solidFill>
            </a:rPr>
            <a:t>Executive Assistant</a:t>
          </a:r>
        </a:p>
      </dsp:txBody>
      <dsp:txXfrm>
        <a:off x="5071570" y="1725286"/>
        <a:ext cx="539216" cy="7710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SharedWithUsers xmlns="806d6863-a85d-4a14-ba5d-ada9e5b222dd">
      <UserInfo>
        <DisplayName>Jacqueline McClintock</DisplayName>
        <AccountId>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999B5-E131-4259-B195-E87EE6D0D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074D9-EEC5-4935-8D34-3A3505F318C0}">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609EF0E4-74E6-4683-9B68-0A13926555A8}">
  <ds:schemaRefs>
    <ds:schemaRef ds:uri="http://schemas.microsoft.com/sharepoint/v3/contenttype/forms"/>
  </ds:schemaRefs>
</ds:datastoreItem>
</file>

<file path=customXml/itemProps4.xml><?xml version="1.0" encoding="utf-8"?>
<ds:datastoreItem xmlns:ds="http://schemas.openxmlformats.org/officeDocument/2006/customXml" ds:itemID="{207AC907-E384-4D37-B4E5-A22E3558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21731</Words>
  <Characters>123873</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Chief Commissioner’s Foreword</vt:lpstr>
    </vt:vector>
  </TitlesOfParts>
  <Company/>
  <LinksUpToDate>false</LinksUpToDate>
  <CharactersWithSpaces>145314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Commissioner’s Foreword</dc:title>
  <dc:subject/>
  <dc:creator>Don.Leeson</dc:creator>
  <cp:keywords/>
  <cp:lastModifiedBy>Jason McKeown</cp:lastModifiedBy>
  <cp:revision>2</cp:revision>
  <cp:lastPrinted>2024-07-19T19:01:00Z</cp:lastPrinted>
  <dcterms:created xsi:type="dcterms:W3CDTF">2024-07-29T14:13:00Z</dcterms:created>
  <dcterms:modified xsi:type="dcterms:W3CDTF">2024-07-29T14:13:00Z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-222357991</vt:i4>
  </property>
  <property fmtid="{D5CDD505-2E9C-101B-9397-08002B2CF9AE}" pid="3" name="ContentTypeId">
    <vt:lpwstr>0x010100F41320E77E35C644A511CBC5C12B0A0B</vt:lpwstr>
  </property>
  <property fmtid="{D5CDD505-2E9C-101B-9397-08002B2CF9AE}" pid="4" name="Order">
    <vt:r8>833600</vt:r8>
  </property>
  <property fmtid="{D5CDD505-2E9C-101B-9397-08002B2CF9AE}" pid="5" name="MediaServiceImageTags">
    <vt:lpwstr/>
  </property>
</Properties>
</file>