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9E01D" w14:textId="77777777" w:rsidR="00F31387" w:rsidRDefault="00F31387" w:rsidP="00EF0CA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29794A0"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21D0DD0" w14:textId="77777777" w:rsidR="00BD2E10" w:rsidRPr="00EA12CE" w:rsidRDefault="00BD2E10" w:rsidP="003B7D0E">
      <w:pPr>
        <w:pStyle w:val="BasicParagraph"/>
        <w:suppressAutoHyphens/>
        <w:jc w:val="center"/>
        <w:rPr>
          <w:rFonts w:ascii="Verdana" w:hAnsi="Verdana" w:cs="Arial"/>
          <w:b/>
          <w:bCs/>
          <w:color w:val="734791"/>
          <w:sz w:val="36"/>
          <w:szCs w:val="36"/>
        </w:rPr>
      </w:pPr>
    </w:p>
    <w:p w14:paraId="57C7C2F8" w14:textId="3616CBAA" w:rsidR="0096459E" w:rsidRPr="003B7D0E" w:rsidRDefault="00AD6F93"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w:t>
      </w:r>
      <w:r w:rsidR="008479B4">
        <w:rPr>
          <w:rFonts w:ascii="Verdana" w:hAnsi="Verdana" w:cs="Arial"/>
          <w:b/>
          <w:bCs/>
          <w:color w:val="77328A"/>
          <w:sz w:val="36"/>
          <w:szCs w:val="36"/>
        </w:rPr>
        <w:t>Department of Justice Call for Evidence on Civil Legal A</w:t>
      </w:r>
      <w:r w:rsidR="008479B4" w:rsidRPr="006078AC">
        <w:rPr>
          <w:rFonts w:ascii="Verdana" w:hAnsi="Verdana" w:cs="Arial"/>
          <w:b/>
          <w:bCs/>
          <w:color w:val="77328A"/>
          <w:sz w:val="36"/>
          <w:szCs w:val="36"/>
        </w:rPr>
        <w:t>id</w:t>
      </w:r>
    </w:p>
    <w:p w14:paraId="258F7D8F" w14:textId="77777777" w:rsidR="00F31387" w:rsidRPr="00331C61" w:rsidRDefault="00F31387" w:rsidP="003B7D0E">
      <w:pPr>
        <w:pStyle w:val="Default"/>
        <w:spacing w:line="288" w:lineRule="auto"/>
        <w:jc w:val="center"/>
        <w:rPr>
          <w:rFonts w:cs="Arial"/>
          <w:color w:val="232120"/>
          <w:sz w:val="36"/>
          <w:szCs w:val="36"/>
        </w:rPr>
      </w:pPr>
    </w:p>
    <w:p w14:paraId="2014B73B" w14:textId="77777777" w:rsidR="00BD2E10" w:rsidRDefault="00BD2E10" w:rsidP="003B7D0E">
      <w:pPr>
        <w:pStyle w:val="Default"/>
        <w:spacing w:line="288" w:lineRule="auto"/>
        <w:jc w:val="center"/>
        <w:rPr>
          <w:rFonts w:cs="Arial"/>
          <w:color w:val="232120"/>
          <w:sz w:val="36"/>
          <w:szCs w:val="36"/>
        </w:rPr>
      </w:pPr>
    </w:p>
    <w:p w14:paraId="2C0B08B8" w14:textId="77777777" w:rsidR="00BD2E10" w:rsidRDefault="00BD2E10" w:rsidP="003B7D0E">
      <w:pPr>
        <w:pStyle w:val="Default"/>
        <w:spacing w:line="288" w:lineRule="auto"/>
        <w:jc w:val="center"/>
        <w:rPr>
          <w:rFonts w:cs="Arial"/>
          <w:color w:val="232120"/>
          <w:sz w:val="36"/>
          <w:szCs w:val="36"/>
        </w:rPr>
      </w:pPr>
    </w:p>
    <w:p w14:paraId="28110A89" w14:textId="77777777" w:rsidR="00BD2E10" w:rsidRDefault="00BD2E10" w:rsidP="003B7D0E">
      <w:pPr>
        <w:pStyle w:val="Default"/>
        <w:spacing w:line="288" w:lineRule="auto"/>
        <w:jc w:val="center"/>
        <w:rPr>
          <w:rFonts w:cs="Arial"/>
          <w:color w:val="232120"/>
          <w:sz w:val="36"/>
          <w:szCs w:val="36"/>
        </w:rPr>
      </w:pPr>
    </w:p>
    <w:p w14:paraId="6870803B" w14:textId="77777777" w:rsidR="00BD2E10" w:rsidRDefault="00BD2E10" w:rsidP="003B7D0E">
      <w:pPr>
        <w:pStyle w:val="Default"/>
        <w:spacing w:line="288" w:lineRule="auto"/>
        <w:jc w:val="center"/>
        <w:rPr>
          <w:rFonts w:cs="Arial"/>
          <w:color w:val="232120"/>
          <w:sz w:val="36"/>
          <w:szCs w:val="36"/>
        </w:rPr>
      </w:pPr>
    </w:p>
    <w:p w14:paraId="3ED5B9C2" w14:textId="77777777" w:rsidR="00BD2E10" w:rsidRDefault="00BD2E10" w:rsidP="003B7D0E">
      <w:pPr>
        <w:pStyle w:val="Default"/>
        <w:spacing w:line="288" w:lineRule="auto"/>
        <w:jc w:val="center"/>
        <w:rPr>
          <w:rFonts w:cs="Arial"/>
          <w:color w:val="232120"/>
          <w:sz w:val="36"/>
          <w:szCs w:val="36"/>
        </w:rPr>
      </w:pPr>
    </w:p>
    <w:p w14:paraId="580F99FC" w14:textId="77777777" w:rsidR="00BD2E10" w:rsidRPr="00331C61" w:rsidRDefault="00BD2E10" w:rsidP="003B7D0E">
      <w:pPr>
        <w:pStyle w:val="Default"/>
        <w:spacing w:line="288" w:lineRule="auto"/>
        <w:jc w:val="center"/>
        <w:rPr>
          <w:rFonts w:cs="Arial"/>
          <w:color w:val="232120"/>
          <w:sz w:val="36"/>
          <w:szCs w:val="36"/>
        </w:rPr>
      </w:pPr>
    </w:p>
    <w:p w14:paraId="0CD0AC25" w14:textId="3E7BDD31" w:rsidR="008159E8" w:rsidRPr="00331C61" w:rsidRDefault="008479B4" w:rsidP="003B7D0E">
      <w:pPr>
        <w:jc w:val="center"/>
        <w:rPr>
          <w:rFonts w:cs="Arial"/>
          <w:b/>
          <w:color w:val="232120"/>
          <w:sz w:val="30"/>
          <w:szCs w:val="30"/>
        </w:rPr>
      </w:pPr>
      <w:r>
        <w:rPr>
          <w:rFonts w:cs="Arial"/>
          <w:b/>
          <w:color w:val="232120"/>
          <w:sz w:val="30"/>
          <w:szCs w:val="30"/>
        </w:rPr>
        <w:t>June</w:t>
      </w:r>
      <w:r w:rsidR="0096056C">
        <w:rPr>
          <w:rFonts w:cs="Arial"/>
          <w:b/>
          <w:color w:val="232120"/>
          <w:sz w:val="30"/>
          <w:szCs w:val="30"/>
        </w:rPr>
        <w:t xml:space="preserve"> 202</w:t>
      </w:r>
      <w:r w:rsidR="007E69FB">
        <w:rPr>
          <w:rFonts w:cs="Arial"/>
          <w:b/>
          <w:color w:val="232120"/>
          <w:sz w:val="30"/>
          <w:szCs w:val="30"/>
        </w:rPr>
        <w:t>4</w:t>
      </w:r>
    </w:p>
    <w:p w14:paraId="3C68CF13" w14:textId="77777777" w:rsidR="00046705" w:rsidRPr="00331C61" w:rsidRDefault="00046705" w:rsidP="003B7D0E">
      <w:pPr>
        <w:jc w:val="center"/>
        <w:rPr>
          <w:rFonts w:cs="Arial"/>
          <w:b/>
          <w:color w:val="232120"/>
          <w:sz w:val="28"/>
          <w:szCs w:val="28"/>
        </w:rPr>
      </w:pPr>
    </w:p>
    <w:p w14:paraId="1BDCD842" w14:textId="77777777" w:rsidR="00046705" w:rsidRPr="00331C61" w:rsidRDefault="00046705" w:rsidP="003B7D0E">
      <w:pPr>
        <w:jc w:val="center"/>
        <w:rPr>
          <w:rFonts w:cs="Arial"/>
          <w:b/>
          <w:color w:val="232120"/>
          <w:sz w:val="28"/>
          <w:szCs w:val="28"/>
        </w:rPr>
      </w:pPr>
    </w:p>
    <w:p w14:paraId="026112FA"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b/>
          <w:bCs/>
          <w:color w:val="77328A"/>
          <w:sz w:val="30"/>
          <w:szCs w:val="30"/>
          <w:lang w:val="en-GB"/>
        </w:rPr>
        <w:id w:val="-1539971895"/>
        <w:docPartObj>
          <w:docPartGallery w:val="Table of Contents"/>
          <w:docPartUnique/>
        </w:docPartObj>
      </w:sdtPr>
      <w:sdtEndPr>
        <w:rPr>
          <w:noProof/>
          <w:color w:val="auto"/>
          <w:sz w:val="24"/>
          <w:szCs w:val="24"/>
        </w:rPr>
      </w:sdtEndPr>
      <w:sdtContent>
        <w:p w14:paraId="373F7FE9" w14:textId="4761EE0D" w:rsidR="0096056C" w:rsidRPr="00D84515" w:rsidRDefault="0096056C">
          <w:pPr>
            <w:pStyle w:val="TOCHeading"/>
            <w:rPr>
              <w:rFonts w:ascii="Verdana" w:hAnsi="Verdana"/>
              <w:b/>
              <w:bCs/>
              <w:color w:val="77328A"/>
              <w:sz w:val="30"/>
              <w:szCs w:val="30"/>
            </w:rPr>
          </w:pPr>
          <w:r w:rsidRPr="00D84515">
            <w:rPr>
              <w:rFonts w:ascii="Verdana" w:hAnsi="Verdana"/>
              <w:b/>
              <w:bCs/>
              <w:color w:val="77328A"/>
              <w:sz w:val="30"/>
              <w:szCs w:val="30"/>
            </w:rPr>
            <w:t>Table of Contents</w:t>
          </w:r>
        </w:p>
        <w:p w14:paraId="638D7FAB" w14:textId="77777777" w:rsidR="0096056C" w:rsidRPr="00D84515" w:rsidRDefault="0096056C" w:rsidP="0096056C">
          <w:pPr>
            <w:rPr>
              <w:lang w:val="en-US"/>
            </w:rPr>
          </w:pPr>
        </w:p>
        <w:p w14:paraId="09624E77" w14:textId="14F59E52" w:rsidR="006C74A8" w:rsidRDefault="0096056C">
          <w:pPr>
            <w:pStyle w:val="TOC1"/>
            <w:rPr>
              <w:rFonts w:asciiTheme="minorHAnsi" w:hAnsiTheme="minorHAnsi"/>
              <w:b w:val="0"/>
              <w:bCs w:val="0"/>
              <w:kern w:val="2"/>
              <w:lang w:eastAsia="en-GB"/>
              <w14:ligatures w14:val="standardContextual"/>
            </w:rPr>
          </w:pPr>
          <w:r w:rsidRPr="00D84515">
            <w:rPr>
              <w:noProof w:val="0"/>
            </w:rPr>
            <w:fldChar w:fldCharType="begin"/>
          </w:r>
          <w:r w:rsidRPr="00D84515">
            <w:instrText xml:space="preserve"> TOC \o "1-3" \h \z \u </w:instrText>
          </w:r>
          <w:r w:rsidRPr="00D84515">
            <w:rPr>
              <w:noProof w:val="0"/>
            </w:rPr>
            <w:fldChar w:fldCharType="separate"/>
          </w:r>
          <w:hyperlink w:anchor="_Toc170204678" w:history="1">
            <w:r w:rsidR="006C74A8" w:rsidRPr="00027047">
              <w:rPr>
                <w:rStyle w:val="Hyperlink"/>
              </w:rPr>
              <w:t>Summary of Recommendations</w:t>
            </w:r>
            <w:r w:rsidR="006C74A8">
              <w:rPr>
                <w:webHidden/>
              </w:rPr>
              <w:tab/>
            </w:r>
            <w:r w:rsidR="006C74A8">
              <w:rPr>
                <w:webHidden/>
              </w:rPr>
              <w:fldChar w:fldCharType="begin"/>
            </w:r>
            <w:r w:rsidR="006C74A8">
              <w:rPr>
                <w:webHidden/>
              </w:rPr>
              <w:instrText xml:space="preserve"> PAGEREF _Toc170204678 \h </w:instrText>
            </w:r>
            <w:r w:rsidR="006C74A8">
              <w:rPr>
                <w:webHidden/>
              </w:rPr>
            </w:r>
            <w:r w:rsidR="006C74A8">
              <w:rPr>
                <w:webHidden/>
              </w:rPr>
              <w:fldChar w:fldCharType="separate"/>
            </w:r>
            <w:r w:rsidR="006C74A8">
              <w:rPr>
                <w:webHidden/>
              </w:rPr>
              <w:t>3</w:t>
            </w:r>
            <w:r w:rsidR="006C74A8">
              <w:rPr>
                <w:webHidden/>
              </w:rPr>
              <w:fldChar w:fldCharType="end"/>
            </w:r>
          </w:hyperlink>
        </w:p>
        <w:p w14:paraId="1B68D03F" w14:textId="14361C46" w:rsidR="006C74A8" w:rsidRDefault="005B1D94">
          <w:pPr>
            <w:pStyle w:val="TOC1"/>
            <w:rPr>
              <w:rFonts w:asciiTheme="minorHAnsi" w:hAnsiTheme="minorHAnsi"/>
              <w:b w:val="0"/>
              <w:bCs w:val="0"/>
              <w:kern w:val="2"/>
              <w:lang w:eastAsia="en-GB"/>
              <w14:ligatures w14:val="standardContextual"/>
            </w:rPr>
          </w:pPr>
          <w:hyperlink w:anchor="_Toc170204679" w:history="1">
            <w:r w:rsidR="006C74A8" w:rsidRPr="00027047">
              <w:rPr>
                <w:rStyle w:val="Hyperlink"/>
              </w:rPr>
              <w:t>1.0</w:t>
            </w:r>
            <w:r w:rsidR="006C74A8">
              <w:rPr>
                <w:rFonts w:asciiTheme="minorHAnsi" w:hAnsiTheme="minorHAnsi"/>
                <w:b w:val="0"/>
                <w:bCs w:val="0"/>
                <w:kern w:val="2"/>
                <w:lang w:eastAsia="en-GB"/>
                <w14:ligatures w14:val="standardContextual"/>
              </w:rPr>
              <w:tab/>
            </w:r>
            <w:r w:rsidR="006C74A8" w:rsidRPr="00027047">
              <w:rPr>
                <w:rStyle w:val="Hyperlink"/>
              </w:rPr>
              <w:t>Introduction</w:t>
            </w:r>
            <w:r w:rsidR="006C74A8">
              <w:rPr>
                <w:webHidden/>
              </w:rPr>
              <w:tab/>
            </w:r>
            <w:r w:rsidR="006C74A8">
              <w:rPr>
                <w:webHidden/>
              </w:rPr>
              <w:fldChar w:fldCharType="begin"/>
            </w:r>
            <w:r w:rsidR="006C74A8">
              <w:rPr>
                <w:webHidden/>
              </w:rPr>
              <w:instrText xml:space="preserve"> PAGEREF _Toc170204679 \h </w:instrText>
            </w:r>
            <w:r w:rsidR="006C74A8">
              <w:rPr>
                <w:webHidden/>
              </w:rPr>
            </w:r>
            <w:r w:rsidR="006C74A8">
              <w:rPr>
                <w:webHidden/>
              </w:rPr>
              <w:fldChar w:fldCharType="separate"/>
            </w:r>
            <w:r w:rsidR="006C74A8">
              <w:rPr>
                <w:webHidden/>
              </w:rPr>
              <w:t>5</w:t>
            </w:r>
            <w:r w:rsidR="006C74A8">
              <w:rPr>
                <w:webHidden/>
              </w:rPr>
              <w:fldChar w:fldCharType="end"/>
            </w:r>
          </w:hyperlink>
        </w:p>
        <w:p w14:paraId="1F09D063" w14:textId="34C2F912" w:rsidR="006C74A8" w:rsidRDefault="005B1D94">
          <w:pPr>
            <w:pStyle w:val="TOC1"/>
            <w:rPr>
              <w:rFonts w:asciiTheme="minorHAnsi" w:hAnsiTheme="minorHAnsi"/>
              <w:b w:val="0"/>
              <w:bCs w:val="0"/>
              <w:kern w:val="2"/>
              <w:lang w:eastAsia="en-GB"/>
              <w14:ligatures w14:val="standardContextual"/>
            </w:rPr>
          </w:pPr>
          <w:hyperlink w:anchor="_Toc170204680" w:history="1">
            <w:r w:rsidR="006C74A8" w:rsidRPr="00027047">
              <w:rPr>
                <w:rStyle w:val="Hyperlink"/>
              </w:rPr>
              <w:t>2.0</w:t>
            </w:r>
            <w:r w:rsidR="006C74A8">
              <w:rPr>
                <w:rFonts w:asciiTheme="minorHAnsi" w:hAnsiTheme="minorHAnsi"/>
                <w:b w:val="0"/>
                <w:bCs w:val="0"/>
                <w:kern w:val="2"/>
                <w:lang w:eastAsia="en-GB"/>
                <w14:ligatures w14:val="standardContextual"/>
              </w:rPr>
              <w:tab/>
            </w:r>
            <w:r w:rsidR="006C74A8" w:rsidRPr="00027047">
              <w:rPr>
                <w:rStyle w:val="Hyperlink"/>
              </w:rPr>
              <w:t>Human Rights Framework</w:t>
            </w:r>
            <w:r w:rsidR="006C74A8">
              <w:rPr>
                <w:webHidden/>
              </w:rPr>
              <w:tab/>
            </w:r>
            <w:r w:rsidR="006C74A8">
              <w:rPr>
                <w:webHidden/>
              </w:rPr>
              <w:fldChar w:fldCharType="begin"/>
            </w:r>
            <w:r w:rsidR="006C74A8">
              <w:rPr>
                <w:webHidden/>
              </w:rPr>
              <w:instrText xml:space="preserve"> PAGEREF _Toc170204680 \h </w:instrText>
            </w:r>
            <w:r w:rsidR="006C74A8">
              <w:rPr>
                <w:webHidden/>
              </w:rPr>
            </w:r>
            <w:r w:rsidR="006C74A8">
              <w:rPr>
                <w:webHidden/>
              </w:rPr>
              <w:fldChar w:fldCharType="separate"/>
            </w:r>
            <w:r w:rsidR="006C74A8">
              <w:rPr>
                <w:webHidden/>
              </w:rPr>
              <w:t>7</w:t>
            </w:r>
            <w:r w:rsidR="006C74A8">
              <w:rPr>
                <w:webHidden/>
              </w:rPr>
              <w:fldChar w:fldCharType="end"/>
            </w:r>
          </w:hyperlink>
        </w:p>
        <w:p w14:paraId="568C3517" w14:textId="7BCE3B93" w:rsidR="006C74A8" w:rsidRDefault="005B1D94">
          <w:pPr>
            <w:pStyle w:val="TOC2"/>
            <w:rPr>
              <w:rFonts w:asciiTheme="minorHAnsi" w:hAnsiTheme="minorHAnsi"/>
              <w:kern w:val="2"/>
              <w:lang w:eastAsia="en-GB"/>
              <w14:ligatures w14:val="standardContextual"/>
            </w:rPr>
          </w:pPr>
          <w:hyperlink w:anchor="_Toc170204681" w:history="1">
            <w:r w:rsidR="006C74A8" w:rsidRPr="00027047">
              <w:rPr>
                <w:rStyle w:val="Hyperlink"/>
              </w:rPr>
              <w:t>International human rights standards</w:t>
            </w:r>
            <w:r w:rsidR="006C74A8">
              <w:rPr>
                <w:webHidden/>
              </w:rPr>
              <w:tab/>
            </w:r>
            <w:r w:rsidR="006C74A8">
              <w:rPr>
                <w:webHidden/>
              </w:rPr>
              <w:fldChar w:fldCharType="begin"/>
            </w:r>
            <w:r w:rsidR="006C74A8">
              <w:rPr>
                <w:webHidden/>
              </w:rPr>
              <w:instrText xml:space="preserve"> PAGEREF _Toc170204681 \h </w:instrText>
            </w:r>
            <w:r w:rsidR="006C74A8">
              <w:rPr>
                <w:webHidden/>
              </w:rPr>
            </w:r>
            <w:r w:rsidR="006C74A8">
              <w:rPr>
                <w:webHidden/>
              </w:rPr>
              <w:fldChar w:fldCharType="separate"/>
            </w:r>
            <w:r w:rsidR="006C74A8">
              <w:rPr>
                <w:webHidden/>
              </w:rPr>
              <w:t>7</w:t>
            </w:r>
            <w:r w:rsidR="006C74A8">
              <w:rPr>
                <w:webHidden/>
              </w:rPr>
              <w:fldChar w:fldCharType="end"/>
            </w:r>
          </w:hyperlink>
        </w:p>
        <w:p w14:paraId="5BDD8600" w14:textId="3202951F" w:rsidR="006C74A8" w:rsidRDefault="005B1D94">
          <w:pPr>
            <w:pStyle w:val="TOC2"/>
            <w:rPr>
              <w:rFonts w:asciiTheme="minorHAnsi" w:hAnsiTheme="minorHAnsi"/>
              <w:kern w:val="2"/>
              <w:lang w:eastAsia="en-GB"/>
              <w14:ligatures w14:val="standardContextual"/>
            </w:rPr>
          </w:pPr>
          <w:hyperlink w:anchor="_Toc170204682" w:history="1">
            <w:r w:rsidR="006C74A8" w:rsidRPr="00027047">
              <w:rPr>
                <w:rStyle w:val="Hyperlink"/>
              </w:rPr>
              <w:t>Windsor Framework Article 2</w:t>
            </w:r>
            <w:r w:rsidR="006C74A8">
              <w:rPr>
                <w:webHidden/>
              </w:rPr>
              <w:tab/>
            </w:r>
            <w:r w:rsidR="006C74A8">
              <w:rPr>
                <w:webHidden/>
              </w:rPr>
              <w:fldChar w:fldCharType="begin"/>
            </w:r>
            <w:r w:rsidR="006C74A8">
              <w:rPr>
                <w:webHidden/>
              </w:rPr>
              <w:instrText xml:space="preserve"> PAGEREF _Toc170204682 \h </w:instrText>
            </w:r>
            <w:r w:rsidR="006C74A8">
              <w:rPr>
                <w:webHidden/>
              </w:rPr>
            </w:r>
            <w:r w:rsidR="006C74A8">
              <w:rPr>
                <w:webHidden/>
              </w:rPr>
              <w:fldChar w:fldCharType="separate"/>
            </w:r>
            <w:r w:rsidR="006C74A8">
              <w:rPr>
                <w:webHidden/>
              </w:rPr>
              <w:t>10</w:t>
            </w:r>
            <w:r w:rsidR="006C74A8">
              <w:rPr>
                <w:webHidden/>
              </w:rPr>
              <w:fldChar w:fldCharType="end"/>
            </w:r>
          </w:hyperlink>
        </w:p>
        <w:p w14:paraId="5C6A9540" w14:textId="7665EEAF" w:rsidR="006C74A8" w:rsidRDefault="005B1D94">
          <w:pPr>
            <w:pStyle w:val="TOC1"/>
            <w:rPr>
              <w:rFonts w:asciiTheme="minorHAnsi" w:hAnsiTheme="minorHAnsi"/>
              <w:b w:val="0"/>
              <w:bCs w:val="0"/>
              <w:kern w:val="2"/>
              <w:lang w:eastAsia="en-GB"/>
              <w14:ligatures w14:val="standardContextual"/>
            </w:rPr>
          </w:pPr>
          <w:hyperlink w:anchor="_Toc170204683" w:history="1">
            <w:r w:rsidR="006C74A8" w:rsidRPr="00027047">
              <w:rPr>
                <w:rStyle w:val="Hyperlink"/>
              </w:rPr>
              <w:t>3.0</w:t>
            </w:r>
            <w:r w:rsidR="006C74A8">
              <w:rPr>
                <w:rFonts w:asciiTheme="minorHAnsi" w:hAnsiTheme="minorHAnsi"/>
                <w:b w:val="0"/>
                <w:bCs w:val="0"/>
                <w:kern w:val="2"/>
                <w:lang w:eastAsia="en-GB"/>
                <w14:ligatures w14:val="standardContextual"/>
              </w:rPr>
              <w:tab/>
            </w:r>
            <w:r w:rsidR="006C74A8" w:rsidRPr="00027047">
              <w:rPr>
                <w:rStyle w:val="Hyperlink"/>
              </w:rPr>
              <w:t>General Comments</w:t>
            </w:r>
            <w:r w:rsidR="006C74A8">
              <w:rPr>
                <w:webHidden/>
              </w:rPr>
              <w:tab/>
            </w:r>
            <w:r w:rsidR="006C74A8">
              <w:rPr>
                <w:webHidden/>
              </w:rPr>
              <w:fldChar w:fldCharType="begin"/>
            </w:r>
            <w:r w:rsidR="006C74A8">
              <w:rPr>
                <w:webHidden/>
              </w:rPr>
              <w:instrText xml:space="preserve"> PAGEREF _Toc170204683 \h </w:instrText>
            </w:r>
            <w:r w:rsidR="006C74A8">
              <w:rPr>
                <w:webHidden/>
              </w:rPr>
            </w:r>
            <w:r w:rsidR="006C74A8">
              <w:rPr>
                <w:webHidden/>
              </w:rPr>
              <w:fldChar w:fldCharType="separate"/>
            </w:r>
            <w:r w:rsidR="006C74A8">
              <w:rPr>
                <w:webHidden/>
              </w:rPr>
              <w:t>15</w:t>
            </w:r>
            <w:r w:rsidR="006C74A8">
              <w:rPr>
                <w:webHidden/>
              </w:rPr>
              <w:fldChar w:fldCharType="end"/>
            </w:r>
          </w:hyperlink>
        </w:p>
        <w:p w14:paraId="7FEC9DA0" w14:textId="226C16D7" w:rsidR="006C74A8" w:rsidRDefault="005B1D94">
          <w:pPr>
            <w:pStyle w:val="TOC2"/>
            <w:rPr>
              <w:rFonts w:asciiTheme="minorHAnsi" w:hAnsiTheme="minorHAnsi"/>
              <w:kern w:val="2"/>
              <w:lang w:eastAsia="en-GB"/>
              <w14:ligatures w14:val="standardContextual"/>
            </w:rPr>
          </w:pPr>
          <w:hyperlink w:anchor="_Toc170204684" w:history="1">
            <w:r w:rsidR="006C74A8" w:rsidRPr="00027047">
              <w:rPr>
                <w:rStyle w:val="Hyperlink"/>
              </w:rPr>
              <w:t>Effective functioning and sustainability of legal aid services</w:t>
            </w:r>
            <w:r w:rsidR="006C74A8">
              <w:rPr>
                <w:webHidden/>
              </w:rPr>
              <w:tab/>
            </w:r>
            <w:r w:rsidR="006C74A8">
              <w:rPr>
                <w:webHidden/>
              </w:rPr>
              <w:fldChar w:fldCharType="begin"/>
            </w:r>
            <w:r w:rsidR="006C74A8">
              <w:rPr>
                <w:webHidden/>
              </w:rPr>
              <w:instrText xml:space="preserve"> PAGEREF _Toc170204684 \h </w:instrText>
            </w:r>
            <w:r w:rsidR="006C74A8">
              <w:rPr>
                <w:webHidden/>
              </w:rPr>
            </w:r>
            <w:r w:rsidR="006C74A8">
              <w:rPr>
                <w:webHidden/>
              </w:rPr>
              <w:fldChar w:fldCharType="separate"/>
            </w:r>
            <w:r w:rsidR="006C74A8">
              <w:rPr>
                <w:webHidden/>
              </w:rPr>
              <w:t>15</w:t>
            </w:r>
            <w:r w:rsidR="006C74A8">
              <w:rPr>
                <w:webHidden/>
              </w:rPr>
              <w:fldChar w:fldCharType="end"/>
            </w:r>
          </w:hyperlink>
        </w:p>
        <w:p w14:paraId="3367FA1D" w14:textId="57A7FAC7" w:rsidR="006C74A8" w:rsidRDefault="005B1D94">
          <w:pPr>
            <w:pStyle w:val="TOC2"/>
            <w:rPr>
              <w:rFonts w:asciiTheme="minorHAnsi" w:hAnsiTheme="minorHAnsi"/>
              <w:kern w:val="2"/>
              <w:lang w:eastAsia="en-GB"/>
              <w14:ligatures w14:val="standardContextual"/>
            </w:rPr>
          </w:pPr>
          <w:hyperlink w:anchor="_Toc170204685" w:history="1">
            <w:r w:rsidR="006C74A8" w:rsidRPr="00027047">
              <w:rPr>
                <w:rStyle w:val="Hyperlink"/>
                <w:lang w:val="en" w:eastAsia="en-GB"/>
              </w:rPr>
              <w:t>Understanding and addressing barriers</w:t>
            </w:r>
            <w:r w:rsidR="006C74A8">
              <w:rPr>
                <w:webHidden/>
              </w:rPr>
              <w:tab/>
            </w:r>
            <w:r w:rsidR="006C74A8">
              <w:rPr>
                <w:webHidden/>
              </w:rPr>
              <w:fldChar w:fldCharType="begin"/>
            </w:r>
            <w:r w:rsidR="006C74A8">
              <w:rPr>
                <w:webHidden/>
              </w:rPr>
              <w:instrText xml:space="preserve"> PAGEREF _Toc170204685 \h </w:instrText>
            </w:r>
            <w:r w:rsidR="006C74A8">
              <w:rPr>
                <w:webHidden/>
              </w:rPr>
            </w:r>
            <w:r w:rsidR="006C74A8">
              <w:rPr>
                <w:webHidden/>
              </w:rPr>
              <w:fldChar w:fldCharType="separate"/>
            </w:r>
            <w:r w:rsidR="006C74A8">
              <w:rPr>
                <w:webHidden/>
              </w:rPr>
              <w:t>17</w:t>
            </w:r>
            <w:r w:rsidR="006C74A8">
              <w:rPr>
                <w:webHidden/>
              </w:rPr>
              <w:fldChar w:fldCharType="end"/>
            </w:r>
          </w:hyperlink>
        </w:p>
        <w:p w14:paraId="36F2EF18" w14:textId="4DE9250F" w:rsidR="006C74A8" w:rsidRDefault="005B1D94">
          <w:pPr>
            <w:pStyle w:val="TOC2"/>
            <w:rPr>
              <w:rFonts w:asciiTheme="minorHAnsi" w:hAnsiTheme="minorHAnsi"/>
              <w:kern w:val="2"/>
              <w:lang w:eastAsia="en-GB"/>
              <w14:ligatures w14:val="standardContextual"/>
            </w:rPr>
          </w:pPr>
          <w:hyperlink w:anchor="_Toc170204686" w:history="1">
            <w:r w:rsidR="006C74A8" w:rsidRPr="00027047">
              <w:rPr>
                <w:rStyle w:val="Hyperlink"/>
                <w:lang w:val="en-US" w:eastAsia="en-GB"/>
              </w:rPr>
              <w:t>Holistic approach to legal aid services</w:t>
            </w:r>
            <w:r w:rsidR="006C74A8">
              <w:rPr>
                <w:webHidden/>
              </w:rPr>
              <w:tab/>
            </w:r>
            <w:r w:rsidR="006C74A8">
              <w:rPr>
                <w:webHidden/>
              </w:rPr>
              <w:fldChar w:fldCharType="begin"/>
            </w:r>
            <w:r w:rsidR="006C74A8">
              <w:rPr>
                <w:webHidden/>
              </w:rPr>
              <w:instrText xml:space="preserve"> PAGEREF _Toc170204686 \h </w:instrText>
            </w:r>
            <w:r w:rsidR="006C74A8">
              <w:rPr>
                <w:webHidden/>
              </w:rPr>
            </w:r>
            <w:r w:rsidR="006C74A8">
              <w:rPr>
                <w:webHidden/>
              </w:rPr>
              <w:fldChar w:fldCharType="separate"/>
            </w:r>
            <w:r w:rsidR="006C74A8">
              <w:rPr>
                <w:webHidden/>
              </w:rPr>
              <w:t>19</w:t>
            </w:r>
            <w:r w:rsidR="006C74A8">
              <w:rPr>
                <w:webHidden/>
              </w:rPr>
              <w:fldChar w:fldCharType="end"/>
            </w:r>
          </w:hyperlink>
        </w:p>
        <w:p w14:paraId="1A1ADE6B" w14:textId="20CB4D47" w:rsidR="0096056C" w:rsidRPr="00D84515" w:rsidRDefault="0096056C">
          <w:r w:rsidRPr="00D84515">
            <w:rPr>
              <w:noProof/>
            </w:rPr>
            <w:fldChar w:fldCharType="end"/>
          </w:r>
        </w:p>
      </w:sdtContent>
    </w:sdt>
    <w:p w14:paraId="32F82717" w14:textId="77777777" w:rsidR="00EA12CE" w:rsidRPr="00D84515" w:rsidRDefault="00EA12CE" w:rsidP="00331C61">
      <w:pPr>
        <w:pStyle w:val="Default"/>
        <w:spacing w:line="288" w:lineRule="auto"/>
        <w:rPr>
          <w:rFonts w:cs="Arial"/>
          <w:b/>
          <w:color w:val="232120"/>
        </w:rPr>
      </w:pPr>
    </w:p>
    <w:p w14:paraId="75006B94" w14:textId="77777777" w:rsidR="00EA12CE" w:rsidRPr="00D84515" w:rsidRDefault="00EA12CE" w:rsidP="00331C61">
      <w:pPr>
        <w:pStyle w:val="Default"/>
        <w:spacing w:line="288" w:lineRule="auto"/>
        <w:rPr>
          <w:rFonts w:cs="Arial"/>
          <w:b/>
          <w:color w:val="232120"/>
        </w:rPr>
      </w:pPr>
    </w:p>
    <w:p w14:paraId="2C2BFEE2" w14:textId="6262D194" w:rsidR="00EA12CE" w:rsidRPr="00331C61" w:rsidRDefault="00DF3326" w:rsidP="00DF3326">
      <w:pPr>
        <w:pStyle w:val="Default"/>
        <w:tabs>
          <w:tab w:val="left" w:pos="7751"/>
        </w:tabs>
        <w:spacing w:line="288" w:lineRule="auto"/>
        <w:rPr>
          <w:rFonts w:cs="Arial"/>
          <w:b/>
          <w:color w:val="232120"/>
        </w:rPr>
      </w:pPr>
      <w:r>
        <w:rPr>
          <w:rFonts w:cs="Arial"/>
          <w:b/>
          <w:color w:val="232120"/>
        </w:rPr>
        <w:tab/>
      </w:r>
    </w:p>
    <w:p w14:paraId="2EDDF028" w14:textId="77777777" w:rsidR="00EA12CE" w:rsidRPr="00331C61" w:rsidRDefault="00EA12CE" w:rsidP="00331C61">
      <w:pPr>
        <w:pStyle w:val="Default"/>
        <w:spacing w:line="288" w:lineRule="auto"/>
        <w:rPr>
          <w:rFonts w:cs="Arial"/>
          <w:b/>
          <w:color w:val="232120"/>
        </w:rPr>
      </w:pPr>
    </w:p>
    <w:p w14:paraId="1352F006" w14:textId="77777777" w:rsidR="00EA12CE" w:rsidRPr="00331C61" w:rsidRDefault="00EA12CE" w:rsidP="00331C61">
      <w:pPr>
        <w:pStyle w:val="Default"/>
        <w:spacing w:line="288" w:lineRule="auto"/>
        <w:rPr>
          <w:rFonts w:cs="Arial"/>
          <w:b/>
          <w:color w:val="232120"/>
        </w:rPr>
      </w:pPr>
    </w:p>
    <w:p w14:paraId="6FCEC036" w14:textId="77777777" w:rsidR="00EA12CE" w:rsidRDefault="00EA12CE" w:rsidP="00331C61">
      <w:pPr>
        <w:pStyle w:val="Default"/>
        <w:spacing w:line="288" w:lineRule="auto"/>
        <w:rPr>
          <w:rFonts w:cs="Arial"/>
          <w:b/>
          <w:color w:val="232120"/>
        </w:rPr>
      </w:pPr>
    </w:p>
    <w:p w14:paraId="166E8B36" w14:textId="77777777" w:rsidR="00E45433" w:rsidRDefault="00E45433" w:rsidP="00331C61">
      <w:pPr>
        <w:pStyle w:val="Default"/>
        <w:spacing w:line="288" w:lineRule="auto"/>
        <w:rPr>
          <w:rFonts w:cs="Arial"/>
          <w:b/>
          <w:color w:val="232120"/>
        </w:rPr>
      </w:pPr>
    </w:p>
    <w:p w14:paraId="77A2DB72" w14:textId="77777777" w:rsidR="00E45433" w:rsidRDefault="00E45433" w:rsidP="00331C61">
      <w:pPr>
        <w:pStyle w:val="Default"/>
        <w:spacing w:line="288" w:lineRule="auto"/>
        <w:rPr>
          <w:rFonts w:cs="Arial"/>
          <w:b/>
          <w:color w:val="232120"/>
        </w:rPr>
      </w:pPr>
    </w:p>
    <w:p w14:paraId="7B4178A1" w14:textId="77777777" w:rsidR="00E45433" w:rsidRDefault="00E45433" w:rsidP="00331C61">
      <w:pPr>
        <w:pStyle w:val="Default"/>
        <w:spacing w:line="288" w:lineRule="auto"/>
        <w:rPr>
          <w:rFonts w:cs="Arial"/>
          <w:b/>
          <w:color w:val="232120"/>
        </w:rPr>
      </w:pPr>
    </w:p>
    <w:p w14:paraId="1C216A1F" w14:textId="77777777" w:rsidR="00E45433" w:rsidRDefault="00E45433" w:rsidP="00331C61">
      <w:pPr>
        <w:pStyle w:val="Default"/>
        <w:spacing w:line="288" w:lineRule="auto"/>
        <w:rPr>
          <w:rFonts w:cs="Arial"/>
          <w:b/>
          <w:color w:val="232120"/>
        </w:rPr>
      </w:pPr>
    </w:p>
    <w:p w14:paraId="5AB0FA15" w14:textId="77777777" w:rsidR="00E45433" w:rsidRDefault="00E45433" w:rsidP="00331C61">
      <w:pPr>
        <w:pStyle w:val="Default"/>
        <w:spacing w:line="288" w:lineRule="auto"/>
        <w:rPr>
          <w:rFonts w:cs="Arial"/>
          <w:b/>
          <w:color w:val="232120"/>
        </w:rPr>
      </w:pPr>
    </w:p>
    <w:p w14:paraId="33E7136A" w14:textId="77777777" w:rsidR="00E45433" w:rsidRDefault="00E45433" w:rsidP="00331C61">
      <w:pPr>
        <w:pStyle w:val="Default"/>
        <w:spacing w:line="288" w:lineRule="auto"/>
        <w:rPr>
          <w:rFonts w:cs="Arial"/>
          <w:b/>
          <w:color w:val="232120"/>
        </w:rPr>
      </w:pPr>
    </w:p>
    <w:p w14:paraId="3AD9ADB1" w14:textId="77777777" w:rsidR="00E45433" w:rsidRPr="00331C61" w:rsidRDefault="00E45433" w:rsidP="00331C61">
      <w:pPr>
        <w:pStyle w:val="Default"/>
        <w:spacing w:line="288" w:lineRule="auto"/>
        <w:rPr>
          <w:rFonts w:cs="Arial"/>
          <w:b/>
          <w:color w:val="232120"/>
        </w:rPr>
      </w:pPr>
    </w:p>
    <w:p w14:paraId="69B0D3FF" w14:textId="77777777" w:rsidR="00EA12CE" w:rsidRPr="00331C61" w:rsidRDefault="00EA12CE" w:rsidP="00331C61">
      <w:pPr>
        <w:pStyle w:val="Default"/>
        <w:spacing w:line="288" w:lineRule="auto"/>
        <w:rPr>
          <w:rFonts w:cs="Arial"/>
          <w:b/>
          <w:color w:val="232120"/>
        </w:rPr>
      </w:pPr>
    </w:p>
    <w:p w14:paraId="3FC1CB8F" w14:textId="77777777" w:rsidR="00EA12CE" w:rsidRDefault="00EA12CE" w:rsidP="00331C61">
      <w:pPr>
        <w:pStyle w:val="Default"/>
        <w:spacing w:line="288" w:lineRule="auto"/>
        <w:rPr>
          <w:rFonts w:cs="Arial"/>
          <w:b/>
          <w:color w:val="232120"/>
        </w:rPr>
      </w:pPr>
    </w:p>
    <w:p w14:paraId="7300CCA7" w14:textId="77777777" w:rsidR="00D84515" w:rsidRDefault="00D84515" w:rsidP="00331C61">
      <w:pPr>
        <w:pStyle w:val="Default"/>
        <w:spacing w:line="288" w:lineRule="auto"/>
        <w:rPr>
          <w:rFonts w:cs="Arial"/>
          <w:b/>
          <w:color w:val="232120"/>
        </w:rPr>
      </w:pPr>
    </w:p>
    <w:p w14:paraId="3371F2EF" w14:textId="77777777" w:rsidR="00D84515" w:rsidRDefault="00D84515" w:rsidP="00331C61">
      <w:pPr>
        <w:pStyle w:val="Default"/>
        <w:spacing w:line="288" w:lineRule="auto"/>
        <w:rPr>
          <w:rFonts w:cs="Arial"/>
          <w:b/>
          <w:color w:val="232120"/>
        </w:rPr>
      </w:pPr>
    </w:p>
    <w:p w14:paraId="46764356" w14:textId="77777777" w:rsidR="00D84515" w:rsidRDefault="00D84515" w:rsidP="00331C61">
      <w:pPr>
        <w:pStyle w:val="Default"/>
        <w:spacing w:line="288" w:lineRule="auto"/>
        <w:rPr>
          <w:rFonts w:cs="Arial"/>
          <w:b/>
          <w:color w:val="232120"/>
        </w:rPr>
      </w:pPr>
    </w:p>
    <w:p w14:paraId="66D183E4" w14:textId="77777777" w:rsidR="00D84515" w:rsidRDefault="00D84515" w:rsidP="00331C61">
      <w:pPr>
        <w:pStyle w:val="Default"/>
        <w:spacing w:line="288" w:lineRule="auto"/>
        <w:rPr>
          <w:rFonts w:cs="Arial"/>
          <w:b/>
          <w:color w:val="232120"/>
        </w:rPr>
      </w:pPr>
    </w:p>
    <w:p w14:paraId="1E2BBCB7" w14:textId="77777777" w:rsidR="00D84515" w:rsidRDefault="00D84515" w:rsidP="00331C61">
      <w:pPr>
        <w:pStyle w:val="Default"/>
        <w:spacing w:line="288" w:lineRule="auto"/>
        <w:rPr>
          <w:rFonts w:cs="Arial"/>
          <w:b/>
          <w:color w:val="232120"/>
        </w:rPr>
      </w:pPr>
    </w:p>
    <w:p w14:paraId="2B9B4683" w14:textId="77777777" w:rsidR="00D84515" w:rsidRDefault="00D84515" w:rsidP="00331C61">
      <w:pPr>
        <w:pStyle w:val="Default"/>
        <w:spacing w:line="288" w:lineRule="auto"/>
        <w:rPr>
          <w:rFonts w:cs="Arial"/>
          <w:b/>
          <w:color w:val="232120"/>
        </w:rPr>
      </w:pPr>
    </w:p>
    <w:p w14:paraId="61E39135" w14:textId="77777777" w:rsidR="00D84515" w:rsidRDefault="00D84515" w:rsidP="00331C61">
      <w:pPr>
        <w:pStyle w:val="Default"/>
        <w:spacing w:line="288" w:lineRule="auto"/>
        <w:rPr>
          <w:rFonts w:cs="Arial"/>
          <w:b/>
          <w:color w:val="232120"/>
        </w:rPr>
      </w:pPr>
    </w:p>
    <w:p w14:paraId="6AA3CE72" w14:textId="77777777" w:rsidR="00D84515" w:rsidRDefault="00D84515" w:rsidP="00331C61">
      <w:pPr>
        <w:pStyle w:val="Default"/>
        <w:spacing w:line="288" w:lineRule="auto"/>
        <w:rPr>
          <w:rFonts w:cs="Arial"/>
          <w:b/>
          <w:color w:val="232120"/>
        </w:rPr>
      </w:pPr>
    </w:p>
    <w:p w14:paraId="0572448B" w14:textId="77777777" w:rsidR="0096328C" w:rsidRDefault="0096328C" w:rsidP="00331C61">
      <w:pPr>
        <w:pStyle w:val="Default"/>
        <w:spacing w:line="288" w:lineRule="auto"/>
        <w:rPr>
          <w:rFonts w:cs="Arial"/>
          <w:b/>
          <w:color w:val="232120"/>
        </w:rPr>
      </w:pPr>
    </w:p>
    <w:p w14:paraId="72B78C29" w14:textId="77777777" w:rsidR="0096328C" w:rsidRDefault="0096328C" w:rsidP="00331C61">
      <w:pPr>
        <w:pStyle w:val="Default"/>
        <w:spacing w:line="288" w:lineRule="auto"/>
        <w:rPr>
          <w:rFonts w:cs="Arial"/>
          <w:b/>
          <w:color w:val="232120"/>
        </w:rPr>
      </w:pPr>
    </w:p>
    <w:p w14:paraId="211F885D" w14:textId="77777777" w:rsidR="00EA12CE" w:rsidRPr="00331C61" w:rsidRDefault="00EA12CE" w:rsidP="00331C61">
      <w:pPr>
        <w:pStyle w:val="Default"/>
        <w:spacing w:line="288" w:lineRule="auto"/>
        <w:rPr>
          <w:rFonts w:cs="Arial"/>
          <w:b/>
          <w:color w:val="232120"/>
        </w:rPr>
      </w:pPr>
    </w:p>
    <w:p w14:paraId="6D7334EE" w14:textId="5AD95EF9" w:rsidR="001E79A9" w:rsidRDefault="007765E1" w:rsidP="00D4533D">
      <w:pPr>
        <w:pStyle w:val="Heading1"/>
        <w:numPr>
          <w:ilvl w:val="0"/>
          <w:numId w:val="0"/>
        </w:numPr>
      </w:pPr>
      <w:bookmarkStart w:id="0" w:name="_Toc170204678"/>
      <w:r>
        <w:rPr>
          <w:noProof/>
        </w:rPr>
        <mc:AlternateContent>
          <mc:Choice Requires="wps">
            <w:drawing>
              <wp:anchor distT="0" distB="0" distL="114300" distR="114300" simplePos="0" relativeHeight="251658240" behindDoc="0" locked="0" layoutInCell="1" allowOverlap="1" wp14:anchorId="601D4F52" wp14:editId="7F18E9CB">
                <wp:simplePos x="0" y="0"/>
                <wp:positionH relativeFrom="column">
                  <wp:posOffset>-133985</wp:posOffset>
                </wp:positionH>
                <wp:positionV relativeFrom="paragraph">
                  <wp:posOffset>18416</wp:posOffset>
                </wp:positionV>
                <wp:extent cx="6631388" cy="8989060"/>
                <wp:effectExtent l="57150" t="19050" r="74295" b="97790"/>
                <wp:wrapNone/>
                <wp:docPr id="165571266" name="Rectangle 1"/>
                <wp:cNvGraphicFramePr/>
                <a:graphic xmlns:a="http://schemas.openxmlformats.org/drawingml/2006/main">
                  <a:graphicData uri="http://schemas.microsoft.com/office/word/2010/wordprocessingShape">
                    <wps:wsp>
                      <wps:cNvSpPr/>
                      <wps:spPr>
                        <a:xfrm>
                          <a:off x="0" y="0"/>
                          <a:ext cx="6631388" cy="89890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333248" id="Rectangle 1" o:spid="_x0000_s1026" style="position:absolute;margin-left:-10.55pt;margin-top:1.45pt;width:522.15pt;height:707.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" filled="f" strokecolor="black [3213]">
                <v:shadow on="t" color="black" opacity="22937f" origin=",.5" offset="0,.63889mm"/>
              </v:rect>
            </w:pict>
          </mc:Fallback>
        </mc:AlternateContent>
      </w:r>
      <w:r w:rsidR="00F9629B">
        <w:t xml:space="preserve">Summary of </w:t>
      </w:r>
      <w:r w:rsidR="00D4533D">
        <w:t>Recommendations</w:t>
      </w:r>
      <w:bookmarkEnd w:id="0"/>
    </w:p>
    <w:p w14:paraId="389DE8DD" w14:textId="5A8E7F56" w:rsidR="003B0B86" w:rsidRDefault="00447B70" w:rsidP="00FD3E44">
      <w:pPr>
        <w:pStyle w:val="ListParagraph"/>
        <w:ind w:left="0"/>
      </w:pPr>
      <w:r>
        <w:t xml:space="preserve">The NI Human Rights Commission recommends that: </w:t>
      </w:r>
    </w:p>
    <w:p w14:paraId="0C3C209A" w14:textId="77777777" w:rsidR="00447B70" w:rsidRDefault="00447B70" w:rsidP="00FD3E44">
      <w:pPr>
        <w:pStyle w:val="ListParagraph"/>
        <w:ind w:left="0"/>
      </w:pPr>
    </w:p>
    <w:p w14:paraId="1ABA2ECB" w14:textId="2ABEDFB6" w:rsidR="00447B70" w:rsidRPr="00447B70" w:rsidRDefault="00447B70" w:rsidP="00447B70">
      <w:pPr>
        <w:pStyle w:val="ListParagraph"/>
        <w:numPr>
          <w:ilvl w:val="1"/>
          <w:numId w:val="25"/>
        </w:numPr>
        <w:rPr>
          <w:b/>
          <w:bCs/>
        </w:rPr>
      </w:pPr>
      <w:r w:rsidRPr="00447B70">
        <w:rPr>
          <w:b/>
          <w:bCs/>
        </w:rPr>
        <w:t>the Department of Justice adopts a human rights based approach to</w:t>
      </w:r>
      <w:r w:rsidRPr="00447B70">
        <w:rPr>
          <w:rFonts w:cs="Times New Roman"/>
          <w:b/>
          <w:bCs/>
        </w:rPr>
        <w:t xml:space="preserve"> the development and implementation of any and all policy on legal aid provision in NI</w:t>
      </w:r>
      <w:r w:rsidRPr="00447B70">
        <w:rPr>
          <w:b/>
          <w:bCs/>
        </w:rPr>
        <w:t>, that includes the full range of internationally accepted human rights standards.</w:t>
      </w:r>
    </w:p>
    <w:p w14:paraId="251110B1" w14:textId="77777777" w:rsidR="00447B70" w:rsidRDefault="00447B70" w:rsidP="00FD3E44">
      <w:pPr>
        <w:pStyle w:val="ListParagraph"/>
        <w:ind w:left="0"/>
      </w:pPr>
    </w:p>
    <w:p w14:paraId="73ED5966" w14:textId="77991192" w:rsidR="00447B70" w:rsidRPr="00447B70" w:rsidRDefault="00447B70" w:rsidP="00447B70">
      <w:pPr>
        <w:pStyle w:val="ListParagraph"/>
        <w:numPr>
          <w:ilvl w:val="1"/>
          <w:numId w:val="26"/>
        </w:numPr>
        <w:rPr>
          <w:b/>
          <w:bCs/>
        </w:rPr>
      </w:pPr>
      <w:r w:rsidRPr="00447B70">
        <w:rPr>
          <w:rFonts w:cs="Times New Roman"/>
          <w:b/>
          <w:bCs/>
        </w:rPr>
        <w:t xml:space="preserve">the Department of Justice should actively consider Windsor Framework Article 2 in the review, development, and implementation of any and all policy on civil legal aid provision in NI. </w:t>
      </w:r>
    </w:p>
    <w:p w14:paraId="04A974AA" w14:textId="77777777" w:rsidR="00447B70" w:rsidRDefault="00447B70" w:rsidP="00FD3E44">
      <w:pPr>
        <w:pStyle w:val="ListParagraph"/>
        <w:ind w:left="0"/>
      </w:pPr>
    </w:p>
    <w:p w14:paraId="39DAE9C1" w14:textId="24AFF848" w:rsidR="00447B70" w:rsidRPr="00447B70" w:rsidRDefault="00447B70" w:rsidP="00447B70">
      <w:pPr>
        <w:pStyle w:val="ListParagraph"/>
        <w:numPr>
          <w:ilvl w:val="1"/>
          <w:numId w:val="27"/>
        </w:numPr>
        <w:rPr>
          <w:rFonts w:cs="Times New Roman"/>
          <w:b/>
          <w:bCs/>
        </w:rPr>
      </w:pPr>
      <w:r w:rsidRPr="00447B70">
        <w:rPr>
          <w:rFonts w:cs="Times New Roman"/>
          <w:b/>
          <w:bCs/>
        </w:rPr>
        <w:t xml:space="preserve">the Department of Justice should make sure that all reviewed, developed and implemented policy in the provision of civil legal aid in NI upholds the right to an effective remedy and a fair trial provided for in Article 47 of the EU Charter of Fundamental Rights and CJEU case law. </w:t>
      </w:r>
    </w:p>
    <w:p w14:paraId="42F536D6" w14:textId="32530E77" w:rsidR="003B0B86" w:rsidRPr="003B0B86" w:rsidRDefault="003B0B86" w:rsidP="003B0B86">
      <w:pPr>
        <w:rPr>
          <w:b/>
          <w:bCs/>
        </w:rPr>
      </w:pPr>
    </w:p>
    <w:p w14:paraId="3EA32A22" w14:textId="30A2500D" w:rsidR="00447B70" w:rsidRPr="00447B70" w:rsidRDefault="00447B70" w:rsidP="00447B70">
      <w:pPr>
        <w:pStyle w:val="ListParagraph"/>
        <w:numPr>
          <w:ilvl w:val="1"/>
          <w:numId w:val="28"/>
        </w:numPr>
        <w:rPr>
          <w:rFonts w:cs="Times New Roman"/>
          <w:b/>
          <w:bCs/>
        </w:rPr>
      </w:pPr>
      <w:r w:rsidRPr="00447B70">
        <w:rPr>
          <w:rFonts w:cs="Times New Roman"/>
          <w:b/>
          <w:bCs/>
        </w:rPr>
        <w:t xml:space="preserve">the Department of Justice considers the EU asylum acquis while reviewing, developing, and implementing policy in the provision of civil legal aid in NI. </w:t>
      </w:r>
    </w:p>
    <w:p w14:paraId="08B465F9" w14:textId="3411B61B" w:rsidR="006F6FEF" w:rsidRPr="00424644" w:rsidRDefault="006F6FEF" w:rsidP="00447B70"/>
    <w:p w14:paraId="576D30E6" w14:textId="373B4B7A" w:rsidR="00447B70" w:rsidRPr="00447B70" w:rsidRDefault="00447B70" w:rsidP="00447B70">
      <w:pPr>
        <w:pStyle w:val="ListParagraph"/>
        <w:numPr>
          <w:ilvl w:val="1"/>
          <w:numId w:val="29"/>
        </w:numPr>
        <w:rPr>
          <w:b/>
          <w:bCs/>
        </w:rPr>
      </w:pPr>
      <w:r w:rsidRPr="00447B70">
        <w:rPr>
          <w:b/>
          <w:bCs/>
        </w:rPr>
        <w:t xml:space="preserve">the Department of Justice takes all effective measures to improve access to justice through the provision of adequate free legal aid to all persons without sufficient means, including by increasing the allocation of human and financial resources to ensure the adequate and efficient functioning and sustainability of the </w:t>
      </w:r>
      <w:r w:rsidRPr="00447B70">
        <w:rPr>
          <w:rFonts w:cs="Segoe UI"/>
          <w:b/>
          <w:bCs/>
          <w:lang w:val="en" w:eastAsia="en-GB"/>
        </w:rPr>
        <w:t>Legal Services Agency NI.</w:t>
      </w:r>
    </w:p>
    <w:p w14:paraId="5B67B961" w14:textId="04AD0D6E" w:rsidR="00F938E1" w:rsidRDefault="00F938E1" w:rsidP="00447B70"/>
    <w:p w14:paraId="7B9522CF" w14:textId="0573F7AE" w:rsidR="00447B70" w:rsidRPr="00E7163A" w:rsidRDefault="00447B70" w:rsidP="00447B70">
      <w:pPr>
        <w:suppressAutoHyphens/>
        <w:ind w:left="720" w:hanging="720"/>
      </w:pPr>
      <w:r>
        <w:rPr>
          <w:b/>
          <w:bCs/>
        </w:rPr>
        <w:t>3.11</w:t>
      </w:r>
      <w:r>
        <w:rPr>
          <w:b/>
          <w:bCs/>
        </w:rPr>
        <w:tab/>
      </w:r>
      <w:r w:rsidRPr="00447B70">
        <w:rPr>
          <w:b/>
          <w:bCs/>
        </w:rPr>
        <w:t xml:space="preserve">the Department of Justice ensures that the provision and scope of civil legal aid in NI is </w:t>
      </w:r>
      <w:r w:rsidRPr="00447B70">
        <w:rPr>
          <w:rFonts w:cs="Segoe UI"/>
          <w:b/>
          <w:bCs/>
          <w:lang w:val="en" w:eastAsia="en-GB"/>
        </w:rPr>
        <w:t xml:space="preserve">accessible and responsive to the needs of every individual who may require it. This includes </w:t>
      </w:r>
      <w:r w:rsidRPr="00447B70">
        <w:rPr>
          <w:b/>
          <w:bCs/>
        </w:rPr>
        <w:t>specific protection and assistance for</w:t>
      </w:r>
      <w:r>
        <w:t xml:space="preserve"> </w:t>
      </w:r>
      <w:r w:rsidRPr="00447B70">
        <w:rPr>
          <w:rFonts w:cs="Segoe UI"/>
          <w:b/>
          <w:bCs/>
          <w:lang w:val="en" w:eastAsia="en-GB"/>
        </w:rPr>
        <w:t>people with additional needs or who may experience social or economic exclusion.</w:t>
      </w:r>
    </w:p>
    <w:p w14:paraId="23656699" w14:textId="77777777" w:rsidR="00447B70" w:rsidRDefault="00447B70" w:rsidP="00447B70">
      <w:pPr>
        <w:pStyle w:val="ListParagraph"/>
      </w:pPr>
    </w:p>
    <w:p w14:paraId="041DB7C1" w14:textId="48FE659F" w:rsidR="00447B70" w:rsidRPr="00447B70" w:rsidRDefault="00447B70" w:rsidP="00447B70">
      <w:pPr>
        <w:suppressAutoHyphens/>
        <w:ind w:left="720" w:hanging="720"/>
        <w:rPr>
          <w:rFonts w:cs="Arial"/>
          <w:b/>
          <w:bCs/>
          <w:color w:val="3C3C3B"/>
        </w:rPr>
      </w:pPr>
      <w:r>
        <w:rPr>
          <w:b/>
          <w:bCs/>
        </w:rPr>
        <w:t>3.12</w:t>
      </w:r>
      <w:r>
        <w:rPr>
          <w:b/>
          <w:bCs/>
        </w:rPr>
        <w:tab/>
      </w:r>
      <w:r w:rsidRPr="00447B70">
        <w:rPr>
          <w:b/>
          <w:bCs/>
        </w:rPr>
        <w:t>the Department of Justice continuously collects, monitors and evaluates</w:t>
      </w:r>
      <w:r w:rsidRPr="00447B70">
        <w:rPr>
          <w:rFonts w:cs="Segoe UI"/>
          <w:lang w:val="en-US" w:eastAsia="en-GB"/>
        </w:rPr>
        <w:t xml:space="preserve"> </w:t>
      </w:r>
      <w:r w:rsidRPr="00447B70">
        <w:rPr>
          <w:rFonts w:cs="Segoe UI"/>
          <w:b/>
          <w:bCs/>
          <w:lang w:val="en-US" w:eastAsia="en-GB"/>
        </w:rPr>
        <w:t xml:space="preserve">disaggregated data of legal aid recipients in order to understand the legal needs of the population. This includes </w:t>
      </w:r>
      <w:r>
        <w:rPr>
          <w:noProof/>
        </w:rPr>
        <mc:AlternateContent>
          <mc:Choice Requires="wps">
            <w:drawing>
              <wp:anchor distT="0" distB="0" distL="114300" distR="114300" simplePos="0" relativeHeight="251660288" behindDoc="0" locked="0" layoutInCell="1" allowOverlap="1" wp14:anchorId="53CA01E4" wp14:editId="5291737A">
                <wp:simplePos x="0" y="0"/>
                <wp:positionH relativeFrom="column">
                  <wp:posOffset>-35626</wp:posOffset>
                </wp:positionH>
                <wp:positionV relativeFrom="paragraph">
                  <wp:posOffset>12370</wp:posOffset>
                </wp:positionV>
                <wp:extent cx="6631388" cy="8989060"/>
                <wp:effectExtent l="57150" t="19050" r="74295" b="97790"/>
                <wp:wrapNone/>
                <wp:docPr id="93255831" name="Rectangle 1"/>
                <wp:cNvGraphicFramePr/>
                <a:graphic xmlns:a="http://schemas.openxmlformats.org/drawingml/2006/main">
                  <a:graphicData uri="http://schemas.microsoft.com/office/word/2010/wordprocessingShape">
                    <wps:wsp>
                      <wps:cNvSpPr/>
                      <wps:spPr>
                        <a:xfrm>
                          <a:off x="0" y="0"/>
                          <a:ext cx="6631388" cy="89890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03098" id="Rectangle 1" o:spid="_x0000_s1026" style="position:absolute;margin-left:-2.8pt;margin-top:.95pt;width:522.15pt;height:70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" filled="f" strokecolor="black [3213]">
                <v:shadow on="t" color="black" opacity="22937f" origin=",.5" offset="0,.63889mm"/>
              </v:rect>
            </w:pict>
          </mc:Fallback>
        </mc:AlternateContent>
      </w:r>
      <w:r w:rsidRPr="00447B70">
        <w:rPr>
          <w:rFonts w:cs="Segoe UI"/>
          <w:b/>
          <w:bCs/>
          <w:lang w:val="en-US" w:eastAsia="en-GB"/>
        </w:rPr>
        <w:t>employing a variety of data collection tools to ensure data is of appropriate quality and publishing the findings to ensure transparency.</w:t>
      </w:r>
    </w:p>
    <w:p w14:paraId="0FDBBAAC" w14:textId="77777777" w:rsidR="00447B70" w:rsidRPr="00E56883" w:rsidRDefault="00447B70" w:rsidP="00447B70"/>
    <w:p w14:paraId="460B17BA" w14:textId="6E540577" w:rsidR="00A80B5B" w:rsidRDefault="00447B70" w:rsidP="00447B70">
      <w:pPr>
        <w:ind w:left="720" w:hanging="720"/>
      </w:pPr>
      <w:r>
        <w:rPr>
          <w:rFonts w:cs="Arial"/>
          <w:b/>
          <w:bCs/>
        </w:rPr>
        <w:t>3.16</w:t>
      </w:r>
      <w:r>
        <w:rPr>
          <w:rFonts w:cs="Arial"/>
          <w:b/>
          <w:bCs/>
        </w:rPr>
        <w:tab/>
      </w:r>
      <w:r w:rsidRPr="7679F3B5">
        <w:rPr>
          <w:rFonts w:cs="Arial"/>
          <w:b/>
          <w:bCs/>
        </w:rPr>
        <w:t xml:space="preserve">the </w:t>
      </w:r>
      <w:r>
        <w:rPr>
          <w:rFonts w:cs="Arial"/>
          <w:b/>
          <w:bCs/>
        </w:rPr>
        <w:t xml:space="preserve">Department of Justice ensures </w:t>
      </w:r>
      <w:r w:rsidRPr="00B21622">
        <w:rPr>
          <w:b/>
          <w:bCs/>
        </w:rPr>
        <w:t>early intervention mechanisms and techniques are effectively used and adequately resourced to ensure the accessible and timely legal advice and assistance to</w:t>
      </w:r>
      <w:r>
        <w:t xml:space="preserve"> </w:t>
      </w:r>
      <w:r>
        <w:rPr>
          <w:rFonts w:cs="Segoe UI"/>
          <w:b/>
          <w:bCs/>
          <w:lang w:val="en" w:eastAsia="en-GB"/>
        </w:rPr>
        <w:t xml:space="preserve">every </w:t>
      </w:r>
      <w:r w:rsidRPr="00B436EA">
        <w:rPr>
          <w:rFonts w:cs="Segoe UI"/>
          <w:b/>
          <w:bCs/>
          <w:lang w:val="en" w:eastAsia="en-GB"/>
        </w:rPr>
        <w:t>individual who may require it.</w:t>
      </w:r>
    </w:p>
    <w:p w14:paraId="1163D80E" w14:textId="4ABD6E84" w:rsidR="00A80B5B" w:rsidRPr="00214A75" w:rsidRDefault="00A80B5B" w:rsidP="00A80B5B">
      <w:pPr>
        <w:pStyle w:val="ListParagraph"/>
        <w:rPr>
          <w:rStyle w:val="Strong"/>
          <w:b w:val="0"/>
          <w:bCs w:val="0"/>
        </w:rPr>
      </w:pPr>
    </w:p>
    <w:p w14:paraId="4DA23C59" w14:textId="525604AE" w:rsidR="00A04930" w:rsidRPr="00214A75" w:rsidRDefault="00A04930" w:rsidP="00A04930">
      <w:pPr>
        <w:pStyle w:val="ListParagraph"/>
        <w:rPr>
          <w:b/>
          <w:bCs/>
        </w:rPr>
      </w:pPr>
    </w:p>
    <w:p w14:paraId="523F1605" w14:textId="0DD33B17" w:rsidR="00F9629B" w:rsidRDefault="00F9629B">
      <w:pPr>
        <w:spacing w:line="240" w:lineRule="auto"/>
      </w:pPr>
      <w:r>
        <w:br w:type="page"/>
      </w:r>
    </w:p>
    <w:p w14:paraId="303C0ECB" w14:textId="4714CF46" w:rsidR="009222D4" w:rsidRDefault="00BA533F" w:rsidP="008143AF">
      <w:pPr>
        <w:pStyle w:val="Heading1"/>
        <w:numPr>
          <w:ilvl w:val="0"/>
          <w:numId w:val="0"/>
        </w:numPr>
        <w:ind w:left="360" w:hanging="360"/>
      </w:pPr>
      <w:bookmarkStart w:id="1" w:name="_Toc170204679"/>
      <w:r>
        <w:t>1.0</w:t>
      </w:r>
      <w:r>
        <w:tab/>
      </w:r>
      <w:r w:rsidR="00ED40E9" w:rsidRPr="00041050">
        <w:t>Introduction</w:t>
      </w:r>
      <w:bookmarkEnd w:id="1"/>
    </w:p>
    <w:p w14:paraId="484FAE9A" w14:textId="531D4F94" w:rsidR="0093383D" w:rsidRDefault="00693F63" w:rsidP="00B8500E">
      <w:pPr>
        <w:pStyle w:val="ListParagraph"/>
        <w:numPr>
          <w:ilvl w:val="1"/>
          <w:numId w:val="2"/>
        </w:numPr>
      </w:pPr>
      <w:r w:rsidRPr="00693F63">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1D23D4">
        <w:t>required</w:t>
      </w:r>
      <w:r w:rsidRPr="00693F63">
        <w:t xml:space="preserve">, </w:t>
      </w:r>
      <w:r w:rsidR="001D23D4">
        <w:t>by</w:t>
      </w:r>
      <w:r w:rsidR="001D23D4" w:rsidRPr="00693F63">
        <w:t xml:space="preserve"> </w:t>
      </w:r>
      <w:r w:rsidRPr="00693F63">
        <w:t>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005C30ED">
        <w:rPr>
          <w:rStyle w:val="FootnoteReference"/>
        </w:rPr>
        <w:footnoteReference w:id="2"/>
      </w:r>
      <w:r w:rsidRPr="00693F63">
        <w:t xml:space="preserve"> In accordance with these </w:t>
      </w:r>
      <w:r w:rsidR="001D23D4">
        <w:t>statutory duties</w:t>
      </w:r>
      <w:r w:rsidR="001D23D4" w:rsidRPr="00693F63">
        <w:t xml:space="preserve"> </w:t>
      </w:r>
      <w:r w:rsidR="004F6D3A">
        <w:rPr>
          <w:rFonts w:cs="Segoe UI"/>
          <w:lang w:val="en" w:eastAsia="en-GB"/>
        </w:rPr>
        <w:t>the following advice is submitted to the Department of Justice to inform its policy development on civil legal aid provision in Northern Ireland (NI).</w:t>
      </w:r>
    </w:p>
    <w:p w14:paraId="42B35CC6" w14:textId="77777777" w:rsidR="00693F63" w:rsidRPr="00693F63" w:rsidRDefault="00693F63" w:rsidP="00693F63">
      <w:pPr>
        <w:pStyle w:val="ListParagraph"/>
      </w:pPr>
    </w:p>
    <w:p w14:paraId="61222577" w14:textId="6C44985B" w:rsidR="00693F63" w:rsidRDefault="00DA159C" w:rsidP="00B8500E">
      <w:pPr>
        <w:pStyle w:val="ListParagraph"/>
        <w:numPr>
          <w:ilvl w:val="1"/>
          <w:numId w:val="2"/>
        </w:numPr>
      </w:pPr>
      <w:r w:rsidRPr="00DA159C">
        <w:t>The NIHRC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DA159C">
        <w:t>CoE</w:t>
      </w:r>
      <w:proofErr w:type="spellEnd"/>
      <w:r w:rsidRPr="00DA159C">
        <w:t>) and United Nations (UN). The relevant regional and international treaties in this context include:</w:t>
      </w:r>
    </w:p>
    <w:p w14:paraId="19BF1336" w14:textId="77777777" w:rsidR="00164B5B" w:rsidRPr="00164B5B" w:rsidRDefault="00164B5B" w:rsidP="00164B5B">
      <w:pPr>
        <w:pStyle w:val="ListParagraph"/>
      </w:pPr>
    </w:p>
    <w:p w14:paraId="6323FF93" w14:textId="70BFB890" w:rsidR="009D1921" w:rsidRDefault="009D1921" w:rsidP="00B8500E">
      <w:pPr>
        <w:pStyle w:val="ListParagraph"/>
        <w:numPr>
          <w:ilvl w:val="0"/>
          <w:numId w:val="5"/>
        </w:numPr>
      </w:pPr>
      <w:r w:rsidRPr="004771AF">
        <w:t xml:space="preserve">European Convention on Human Rights </w:t>
      </w:r>
      <w:r w:rsidR="00A74292">
        <w:t xml:space="preserve">1950 </w:t>
      </w:r>
      <w:r w:rsidRPr="004771AF">
        <w:t>(ECHR);</w:t>
      </w:r>
      <w:r w:rsidRPr="004771AF">
        <w:rPr>
          <w:rStyle w:val="FootnoteReference"/>
        </w:rPr>
        <w:footnoteReference w:id="3"/>
      </w:r>
    </w:p>
    <w:p w14:paraId="37B19A48" w14:textId="77777777" w:rsidR="001E4A4A" w:rsidRPr="004771AF" w:rsidRDefault="001E4A4A" w:rsidP="00B8500E">
      <w:pPr>
        <w:pStyle w:val="ListParagraph"/>
        <w:numPr>
          <w:ilvl w:val="0"/>
          <w:numId w:val="5"/>
        </w:numPr>
      </w:pPr>
      <w:r>
        <w:t>UN Convention on the Elimination of Racial Discrimination 1965 (UN CERD);</w:t>
      </w:r>
      <w:r>
        <w:rPr>
          <w:rStyle w:val="FootnoteReference"/>
        </w:rPr>
        <w:footnoteReference w:id="4"/>
      </w:r>
    </w:p>
    <w:p w14:paraId="17361231" w14:textId="77777777" w:rsidR="001E4A4A" w:rsidRDefault="001E4A4A" w:rsidP="00B8500E">
      <w:pPr>
        <w:pStyle w:val="ListParagraph"/>
        <w:numPr>
          <w:ilvl w:val="0"/>
          <w:numId w:val="5"/>
        </w:numPr>
      </w:pPr>
      <w:r>
        <w:t>UN International Covenant on Civil and Political Rights 1966 (UN ICCPR);</w:t>
      </w:r>
      <w:r>
        <w:rPr>
          <w:rStyle w:val="FootnoteReference"/>
        </w:rPr>
        <w:footnoteReference w:id="5"/>
      </w:r>
    </w:p>
    <w:p w14:paraId="0AA9B8DF" w14:textId="77777777" w:rsidR="001D31D8" w:rsidRPr="004771AF" w:rsidRDefault="001D31D8" w:rsidP="00B8500E">
      <w:pPr>
        <w:pStyle w:val="ListParagraph"/>
        <w:numPr>
          <w:ilvl w:val="0"/>
          <w:numId w:val="5"/>
        </w:numPr>
      </w:pPr>
      <w:r w:rsidRPr="004771AF">
        <w:t xml:space="preserve">UN Convention on Elimination of Discrimination against Women </w:t>
      </w:r>
      <w:r>
        <w:t xml:space="preserve">1981 </w:t>
      </w:r>
      <w:r w:rsidRPr="004771AF">
        <w:t>(UN CEDAW);</w:t>
      </w:r>
      <w:r w:rsidRPr="004771AF">
        <w:rPr>
          <w:rStyle w:val="FootnoteReference"/>
        </w:rPr>
        <w:footnoteReference w:id="6"/>
      </w:r>
    </w:p>
    <w:p w14:paraId="48793F0E" w14:textId="77777777" w:rsidR="001D31D8" w:rsidRDefault="001D31D8" w:rsidP="00B8500E">
      <w:pPr>
        <w:pStyle w:val="ListParagraph"/>
        <w:numPr>
          <w:ilvl w:val="0"/>
          <w:numId w:val="5"/>
        </w:numPr>
      </w:pPr>
      <w:r w:rsidRPr="004771AF">
        <w:t xml:space="preserve">UN Convention on the Rights of the Child </w:t>
      </w:r>
      <w:r>
        <w:t xml:space="preserve">1989 </w:t>
      </w:r>
      <w:r w:rsidRPr="004771AF">
        <w:t>(UN CRC);</w:t>
      </w:r>
      <w:r w:rsidRPr="004771AF">
        <w:rPr>
          <w:rStyle w:val="FootnoteReference"/>
        </w:rPr>
        <w:footnoteReference w:id="7"/>
      </w:r>
    </w:p>
    <w:p w14:paraId="68D94CE1" w14:textId="56EDC934" w:rsidR="0038387A" w:rsidRPr="0038387A" w:rsidRDefault="0038387A" w:rsidP="00B8500E">
      <w:pPr>
        <w:pStyle w:val="ListParagraph"/>
        <w:numPr>
          <w:ilvl w:val="0"/>
          <w:numId w:val="5"/>
        </w:numPr>
      </w:pPr>
      <w:r w:rsidRPr="0038387A">
        <w:t>UN Convention on the Rights of Persons with Disabilities 2006 (UN CRPD)</w:t>
      </w:r>
      <w:r w:rsidR="007A714B">
        <w:t>.</w:t>
      </w:r>
      <w:r w:rsidRPr="0038387A">
        <w:rPr>
          <w:vertAlign w:val="superscript"/>
        </w:rPr>
        <w:footnoteReference w:id="8"/>
      </w:r>
      <w:r w:rsidRPr="0038387A">
        <w:t xml:space="preserve"> </w:t>
      </w:r>
    </w:p>
    <w:p w14:paraId="23BCD6DC" w14:textId="77777777" w:rsidR="00917F39" w:rsidRPr="00917F39" w:rsidRDefault="00917F39" w:rsidP="00917F39">
      <w:pPr>
        <w:pStyle w:val="ListParagraph"/>
      </w:pPr>
    </w:p>
    <w:p w14:paraId="79754AA0" w14:textId="699E2A75" w:rsidR="00917F39" w:rsidRDefault="00917F39" w:rsidP="00B8500E">
      <w:pPr>
        <w:pStyle w:val="ListParagraph"/>
        <w:numPr>
          <w:ilvl w:val="1"/>
          <w:numId w:val="2"/>
        </w:numPr>
      </w:pPr>
      <w:r w:rsidRPr="00917F39">
        <w:t>In addition to these treaty standards, the following declarations and principles provide further guidance in respect of specific areas:</w:t>
      </w:r>
    </w:p>
    <w:p w14:paraId="6E90D7F3" w14:textId="77777777" w:rsidR="00556D68" w:rsidRPr="00556D68" w:rsidRDefault="00556D68" w:rsidP="00556D68">
      <w:pPr>
        <w:pStyle w:val="ListParagraph"/>
      </w:pPr>
    </w:p>
    <w:p w14:paraId="6DFEF982" w14:textId="076B7544" w:rsidR="00761F2C" w:rsidRPr="00557771" w:rsidRDefault="00761F2C" w:rsidP="00683FB4">
      <w:pPr>
        <w:pStyle w:val="FootnoteText"/>
        <w:numPr>
          <w:ilvl w:val="0"/>
          <w:numId w:val="6"/>
        </w:numPr>
      </w:pPr>
      <w:r w:rsidRPr="00557771">
        <w:t>UN Human Rights Committee, General Comment No. 32</w:t>
      </w:r>
      <w:r w:rsidR="00557771">
        <w:t>;</w:t>
      </w:r>
      <w:r w:rsidR="00557771">
        <w:rPr>
          <w:rStyle w:val="FootnoteReference"/>
        </w:rPr>
        <w:footnoteReference w:id="9"/>
      </w:r>
    </w:p>
    <w:p w14:paraId="01F22E74" w14:textId="0A694079" w:rsidR="00761F2C" w:rsidRPr="00557771" w:rsidRDefault="00761F2C" w:rsidP="00683FB4">
      <w:pPr>
        <w:pStyle w:val="FootnoteText"/>
        <w:numPr>
          <w:ilvl w:val="0"/>
          <w:numId w:val="6"/>
        </w:numPr>
      </w:pPr>
      <w:r w:rsidRPr="00557771">
        <w:t>UN CESCR Committee, General Comment No.7</w:t>
      </w:r>
      <w:r w:rsidR="008E3BA9">
        <w:t>;</w:t>
      </w:r>
      <w:r w:rsidR="008E3BA9">
        <w:rPr>
          <w:rStyle w:val="FootnoteReference"/>
        </w:rPr>
        <w:footnoteReference w:id="10"/>
      </w:r>
    </w:p>
    <w:p w14:paraId="3F334BE5" w14:textId="6DFA4036" w:rsidR="00761F2C" w:rsidRDefault="00557771" w:rsidP="00683FB4">
      <w:pPr>
        <w:pStyle w:val="FootnoteText"/>
        <w:numPr>
          <w:ilvl w:val="0"/>
          <w:numId w:val="6"/>
        </w:numPr>
      </w:pPr>
      <w:r w:rsidRPr="00557771">
        <w:t>UN CERD Committee, General Recommendation No.29</w:t>
      </w:r>
      <w:r w:rsidR="008E3BA9">
        <w:t>;</w:t>
      </w:r>
      <w:r w:rsidR="008E3BA9">
        <w:rPr>
          <w:rStyle w:val="FootnoteReference"/>
        </w:rPr>
        <w:footnoteReference w:id="11"/>
      </w:r>
    </w:p>
    <w:p w14:paraId="7FCD28F2" w14:textId="6237EB56" w:rsidR="008E3BA9" w:rsidRDefault="00C237BB" w:rsidP="00683FB4">
      <w:pPr>
        <w:pStyle w:val="FootnoteText"/>
        <w:numPr>
          <w:ilvl w:val="0"/>
          <w:numId w:val="6"/>
        </w:numPr>
      </w:pPr>
      <w:r w:rsidRPr="00C237BB">
        <w:t>UN CERD Committee, General Recommendation No.31</w:t>
      </w:r>
      <w:r>
        <w:t>;</w:t>
      </w:r>
      <w:r>
        <w:rPr>
          <w:rStyle w:val="FootnoteReference"/>
        </w:rPr>
        <w:footnoteReference w:id="12"/>
      </w:r>
    </w:p>
    <w:p w14:paraId="1C8BB9AB" w14:textId="4D444538" w:rsidR="00C237BB" w:rsidRDefault="00C237BB" w:rsidP="00683FB4">
      <w:pPr>
        <w:pStyle w:val="FootnoteText"/>
        <w:numPr>
          <w:ilvl w:val="0"/>
          <w:numId w:val="6"/>
        </w:numPr>
      </w:pPr>
      <w:r w:rsidRPr="00C237BB">
        <w:t>UN CEDAW Committee, General Recommendation No. 33</w:t>
      </w:r>
      <w:r>
        <w:t>;</w:t>
      </w:r>
      <w:r>
        <w:rPr>
          <w:rStyle w:val="FootnoteReference"/>
        </w:rPr>
        <w:footnoteReference w:id="13"/>
      </w:r>
    </w:p>
    <w:p w14:paraId="19826D75" w14:textId="54E2F749" w:rsidR="00C237BB" w:rsidRDefault="00C237BB" w:rsidP="00683FB4">
      <w:pPr>
        <w:pStyle w:val="FootnoteText"/>
        <w:numPr>
          <w:ilvl w:val="0"/>
          <w:numId w:val="6"/>
        </w:numPr>
      </w:pPr>
      <w:r>
        <w:t xml:space="preserve">UN </w:t>
      </w:r>
      <w:r w:rsidRPr="00C237BB">
        <w:t>Principles and Guidelines on Access to Legal Aid in Criminal Justice Systems</w:t>
      </w:r>
      <w:r>
        <w:t>;</w:t>
      </w:r>
      <w:r>
        <w:rPr>
          <w:rStyle w:val="FootnoteReference"/>
        </w:rPr>
        <w:footnoteReference w:id="14"/>
      </w:r>
    </w:p>
    <w:p w14:paraId="57E05A72" w14:textId="77777777" w:rsidR="00C237BB" w:rsidRPr="00557771" w:rsidRDefault="00C237BB" w:rsidP="00C237BB">
      <w:pPr>
        <w:pStyle w:val="FootnoteText"/>
        <w:numPr>
          <w:ilvl w:val="0"/>
          <w:numId w:val="6"/>
        </w:numPr>
      </w:pPr>
      <w:r w:rsidRPr="00557771">
        <w:t>Report of the Special Rapporteur on the independence of judges and lawyers, Gabriela Knaul</w:t>
      </w:r>
      <w:r>
        <w:t>;</w:t>
      </w:r>
      <w:r>
        <w:rPr>
          <w:rStyle w:val="FootnoteReference"/>
        </w:rPr>
        <w:footnoteReference w:id="15"/>
      </w:r>
    </w:p>
    <w:p w14:paraId="129777EC" w14:textId="7450D93A" w:rsidR="00C237BB" w:rsidRPr="00557771" w:rsidRDefault="00EB1998" w:rsidP="00683FB4">
      <w:pPr>
        <w:pStyle w:val="FootnoteText"/>
        <w:numPr>
          <w:ilvl w:val="0"/>
          <w:numId w:val="6"/>
        </w:numPr>
      </w:pPr>
      <w:r w:rsidRPr="00EB1998">
        <w:t>Guidelines of the Committee of Ministers of the Council of Europe on the efficiency and the effectiveness of legal aid schemes in the areas of civil and administrative law</w:t>
      </w:r>
      <w:r>
        <w:t>.</w:t>
      </w:r>
      <w:r>
        <w:rPr>
          <w:rStyle w:val="FootnoteReference"/>
        </w:rPr>
        <w:footnoteReference w:id="16"/>
      </w:r>
    </w:p>
    <w:p w14:paraId="6A37D74E" w14:textId="77777777" w:rsidR="00683FB4" w:rsidRPr="00DD25CB" w:rsidRDefault="00683FB4" w:rsidP="00683FB4">
      <w:pPr>
        <w:pStyle w:val="FootnoteText"/>
        <w:ind w:left="1440"/>
      </w:pPr>
    </w:p>
    <w:p w14:paraId="36F1A518" w14:textId="1C5B4AB3" w:rsidR="0092752E" w:rsidRDefault="00DD25CB" w:rsidP="00391A46">
      <w:pPr>
        <w:pStyle w:val="ListParagraph"/>
        <w:numPr>
          <w:ilvl w:val="1"/>
          <w:numId w:val="2"/>
        </w:numPr>
      </w:pPr>
      <w:r>
        <w:t xml:space="preserve">The NIHRC further advises on the </w:t>
      </w:r>
      <w:r w:rsidR="001D23D4">
        <w:t xml:space="preserve">compatibility of this consultation with the </w:t>
      </w:r>
      <w:r>
        <w:t>UK Government’s commitment</w:t>
      </w:r>
      <w:r w:rsidR="001D23D4">
        <w:t>,</w:t>
      </w:r>
      <w:r>
        <w:t xml:space="preserve"> in Windsor Framework Article 2(1)</w:t>
      </w:r>
      <w:r w:rsidR="001D23D4">
        <w:t>,</w:t>
      </w:r>
      <w:r>
        <w:t xml:space="preserve">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Northern Ireland Act 1998 provides that the NI Assembly is prohibited from making any law which is incompatible with Windsor Framework Article 2. Section 24 of the 1998 Act also provides that all acts of the Department should be compatible with Windsor Framework Article 2. </w:t>
      </w:r>
      <w:r w:rsidR="00A31CCE">
        <w:t xml:space="preserve">The relevant EU law </w:t>
      </w:r>
      <w:r w:rsidR="0092752E">
        <w:t>in</w:t>
      </w:r>
      <w:r w:rsidR="00F8712D">
        <w:t xml:space="preserve"> this</w:t>
      </w:r>
      <w:r w:rsidR="0092752E">
        <w:t xml:space="preserve"> context </w:t>
      </w:r>
      <w:r w:rsidR="00A31CCE">
        <w:t>is</w:t>
      </w:r>
      <w:r w:rsidR="0092752E">
        <w:t>:</w:t>
      </w:r>
    </w:p>
    <w:p w14:paraId="64E4B9E4" w14:textId="77777777" w:rsidR="00F8712D" w:rsidRDefault="00F8712D" w:rsidP="00F8712D">
      <w:pPr>
        <w:pStyle w:val="ListParagraph"/>
      </w:pPr>
    </w:p>
    <w:p w14:paraId="3B1471AF" w14:textId="1015EDFF" w:rsidR="00F22DD8" w:rsidRPr="00F22DD8" w:rsidRDefault="000541DE" w:rsidP="003208AC">
      <w:pPr>
        <w:pStyle w:val="ListParagraph"/>
        <w:numPr>
          <w:ilvl w:val="0"/>
          <w:numId w:val="20"/>
        </w:numPr>
      </w:pPr>
      <w:r>
        <w:rPr>
          <w:rFonts w:cs="Arial"/>
          <w:color w:val="000000" w:themeColor="text1"/>
          <w:shd w:val="clear" w:color="auto" w:fill="FFFFFF"/>
        </w:rPr>
        <w:t>EU</w:t>
      </w:r>
      <w:r w:rsidR="00F22DD8" w:rsidRPr="00196A57">
        <w:rPr>
          <w:rFonts w:cs="Arial"/>
          <w:color w:val="000000" w:themeColor="text1"/>
          <w:shd w:val="clear" w:color="auto" w:fill="FFFFFF"/>
        </w:rPr>
        <w:t xml:space="preserve"> Legal Aid Directive</w:t>
      </w:r>
      <w:r w:rsidR="003A1FE0">
        <w:rPr>
          <w:rFonts w:cs="Arial"/>
          <w:color w:val="000000" w:themeColor="text1"/>
          <w:shd w:val="clear" w:color="auto" w:fill="FFFFFF"/>
        </w:rPr>
        <w:t>;</w:t>
      </w:r>
      <w:r w:rsidR="00F22DD8" w:rsidRPr="00196A57">
        <w:rPr>
          <w:rStyle w:val="FootnoteReference"/>
          <w:rFonts w:cs="Arial"/>
          <w:color w:val="000000" w:themeColor="text1"/>
          <w:shd w:val="clear" w:color="auto" w:fill="FFFFFF"/>
        </w:rPr>
        <w:footnoteReference w:id="17"/>
      </w:r>
      <w:r w:rsidR="00F22DD8" w:rsidRPr="00196A57">
        <w:rPr>
          <w:rFonts w:cs="Arial"/>
          <w:color w:val="000000" w:themeColor="text1"/>
          <w:shd w:val="clear" w:color="auto" w:fill="FFFFFF"/>
        </w:rPr>
        <w:t xml:space="preserve"> </w:t>
      </w:r>
    </w:p>
    <w:p w14:paraId="55310686" w14:textId="58CE69EC" w:rsidR="003208AC" w:rsidRDefault="000541DE" w:rsidP="003A1FE0">
      <w:pPr>
        <w:pStyle w:val="ListParagraph"/>
        <w:numPr>
          <w:ilvl w:val="0"/>
          <w:numId w:val="20"/>
        </w:numPr>
      </w:pPr>
      <w:r>
        <w:rPr>
          <w:rFonts w:cs="Arial"/>
          <w:color w:val="000000" w:themeColor="text1"/>
          <w:shd w:val="clear" w:color="auto" w:fill="FFFFFF"/>
        </w:rPr>
        <w:t>EU</w:t>
      </w:r>
      <w:r w:rsidR="00F22DD8" w:rsidRPr="00196A57">
        <w:rPr>
          <w:rFonts w:cs="Arial"/>
          <w:color w:val="000000" w:themeColor="text1"/>
          <w:shd w:val="clear" w:color="auto" w:fill="FFFFFF"/>
        </w:rPr>
        <w:t xml:space="preserve"> Procedures Directive.</w:t>
      </w:r>
      <w:r w:rsidR="00F22DD8" w:rsidRPr="00196A57">
        <w:rPr>
          <w:shd w:val="clear" w:color="auto" w:fill="FFFFFF"/>
          <w:vertAlign w:val="superscript"/>
        </w:rPr>
        <w:footnoteReference w:id="18"/>
      </w:r>
    </w:p>
    <w:p w14:paraId="6811EF17" w14:textId="77777777" w:rsidR="003208AC" w:rsidRDefault="003208AC" w:rsidP="003208AC">
      <w:pPr>
        <w:pStyle w:val="ListParagraph"/>
        <w:spacing w:line="276" w:lineRule="auto"/>
      </w:pPr>
    </w:p>
    <w:p w14:paraId="4AFF482B" w14:textId="230D52A9" w:rsidR="00786F82" w:rsidRPr="00786F82" w:rsidRDefault="009F2E8E" w:rsidP="00786F82">
      <w:pPr>
        <w:pStyle w:val="ListParagraph"/>
        <w:numPr>
          <w:ilvl w:val="1"/>
          <w:numId w:val="2"/>
        </w:numPr>
        <w:spacing w:line="276" w:lineRule="auto"/>
        <w:rPr>
          <w:lang w:val="en"/>
        </w:rPr>
      </w:pPr>
      <w:r w:rsidRPr="00444721">
        <w:t xml:space="preserve">The </w:t>
      </w:r>
      <w:r w:rsidR="00786F82">
        <w:t>NIHRC</w:t>
      </w:r>
      <w:r w:rsidR="00786F82" w:rsidRPr="00786F82">
        <w:t xml:space="preserve"> acknowledges that the current call for evidence primarily seeks views from individuals with personal and professional experience of civil legal services in NI. However, the </w:t>
      </w:r>
      <w:r w:rsidR="00920657">
        <w:t>NIHRC</w:t>
      </w:r>
      <w:r w:rsidR="00786F82" w:rsidRPr="00786F82">
        <w:t xml:space="preserve"> </w:t>
      </w:r>
      <w:r w:rsidR="274F3ED1">
        <w:t>welcomes</w:t>
      </w:r>
      <w:r w:rsidR="00786F82" w:rsidRPr="00786F82">
        <w:t xml:space="preserve"> this opportunity to highlight, from the outset of the Department’s review process, the international human rights obligations that should underpin civil legal aid provision in NI and could provide a useful framework for future policy development in this area. </w:t>
      </w:r>
      <w:r w:rsidR="00786F82" w:rsidRPr="00786F82">
        <w:rPr>
          <w:lang w:val="en"/>
        </w:rPr>
        <w:t>The following section encourages the Department to consider the full range of international human rights standards, guidance documents, best practice, and jurisprudence from courts, tribunals and treaty-monitoring bodies. The subsequent section</w:t>
      </w:r>
      <w:r w:rsidR="006078AC">
        <w:rPr>
          <w:lang w:val="en"/>
        </w:rPr>
        <w:t xml:space="preserve"> </w:t>
      </w:r>
      <w:r w:rsidR="00786F82" w:rsidRPr="00786F82">
        <w:rPr>
          <w:lang w:val="en"/>
        </w:rPr>
        <w:t>briefly highlight</w:t>
      </w:r>
      <w:r w:rsidR="006078AC">
        <w:rPr>
          <w:lang w:val="en"/>
        </w:rPr>
        <w:t>s</w:t>
      </w:r>
      <w:r w:rsidR="00786F82" w:rsidRPr="00786F82">
        <w:rPr>
          <w:lang w:val="en"/>
        </w:rPr>
        <w:t xml:space="preserve"> access to justice issues that the </w:t>
      </w:r>
      <w:r w:rsidR="00920657">
        <w:rPr>
          <w:lang w:val="en"/>
        </w:rPr>
        <w:t>NIHRC</w:t>
      </w:r>
      <w:r w:rsidR="00786F82" w:rsidRPr="00786F82">
        <w:rPr>
          <w:lang w:val="en"/>
        </w:rPr>
        <w:t xml:space="preserve"> has encountered during its ongoing monitoring of human rights concerns in NI.  </w:t>
      </w:r>
    </w:p>
    <w:p w14:paraId="26DEA202" w14:textId="3E80685F" w:rsidR="00424644" w:rsidRPr="00424644" w:rsidRDefault="00424644" w:rsidP="00786F82">
      <w:pPr>
        <w:pStyle w:val="ListParagraph"/>
        <w:spacing w:line="276" w:lineRule="auto"/>
      </w:pPr>
    </w:p>
    <w:p w14:paraId="3EF65771" w14:textId="4ED27536" w:rsidR="00424644" w:rsidRPr="00424644" w:rsidRDefault="005304CB" w:rsidP="009A237B">
      <w:pPr>
        <w:pStyle w:val="Heading1"/>
        <w:numPr>
          <w:ilvl w:val="0"/>
          <w:numId w:val="9"/>
        </w:numPr>
        <w:spacing w:before="0" w:line="276" w:lineRule="auto"/>
      </w:pPr>
      <w:bookmarkStart w:id="2" w:name="_Toc170204680"/>
      <w:r>
        <w:t>Human Rights Framework</w:t>
      </w:r>
      <w:bookmarkEnd w:id="2"/>
    </w:p>
    <w:p w14:paraId="4CAA4220" w14:textId="77777777" w:rsidR="00A71468" w:rsidRPr="00A71468" w:rsidRDefault="00A71468" w:rsidP="00A63EC5">
      <w:pPr>
        <w:pStyle w:val="ListParagraph"/>
      </w:pPr>
    </w:p>
    <w:p w14:paraId="523DB832" w14:textId="77777777" w:rsidR="00E73B6A" w:rsidRDefault="00E73B6A" w:rsidP="00B004F9">
      <w:pPr>
        <w:rPr>
          <w:sz w:val="16"/>
          <w:szCs w:val="16"/>
        </w:rPr>
      </w:pPr>
    </w:p>
    <w:p w14:paraId="332CCE1A" w14:textId="3ED68768" w:rsidR="002A6B65" w:rsidRDefault="009C78FD" w:rsidP="002A6B65">
      <w:pPr>
        <w:pStyle w:val="Heading2"/>
      </w:pPr>
      <w:bookmarkStart w:id="3" w:name="_Toc170204681"/>
      <w:r>
        <w:t>International h</w:t>
      </w:r>
      <w:r w:rsidR="002A6B65">
        <w:t xml:space="preserve">uman rights </w:t>
      </w:r>
      <w:r w:rsidR="005304CB">
        <w:t>standards</w:t>
      </w:r>
      <w:bookmarkEnd w:id="3"/>
      <w:r w:rsidR="005304CB">
        <w:t xml:space="preserve"> </w:t>
      </w:r>
      <w:r w:rsidR="002A6B65">
        <w:t xml:space="preserve"> </w:t>
      </w:r>
    </w:p>
    <w:p w14:paraId="66A253B2" w14:textId="320BCC56" w:rsidR="00002AB3" w:rsidRPr="00002AB3" w:rsidRDefault="00A954E5" w:rsidP="00A954E5">
      <w:pPr>
        <w:pStyle w:val="ListParagraph"/>
        <w:numPr>
          <w:ilvl w:val="1"/>
          <w:numId w:val="9"/>
        </w:numPr>
        <w:ind w:left="709" w:hanging="709"/>
      </w:pPr>
      <w:r w:rsidRPr="00A954E5">
        <w:rPr>
          <w:rFonts w:cs="Segoe UI"/>
          <w:lang w:val="en-US" w:eastAsia="en-GB"/>
        </w:rPr>
        <w:t>Access to justice is a fundamental element of the international human rights system and the rule of law. It guarantees an individual’s ability to protect their rights in conformity with human rights standards and should therefore be guaranteed to all individuals irrespective of their financial situation. Accordingly, access to legal aid (including the provision of legal advice, assistance and/or representation) is critical for ensuring access to justice.</w:t>
      </w:r>
      <w:r w:rsidRPr="7EDDEA8F">
        <w:rPr>
          <w:rStyle w:val="FootnoteReference"/>
          <w:rFonts w:cs="Segoe UI"/>
          <w:lang w:val="en-US" w:eastAsia="en-GB"/>
        </w:rPr>
        <w:footnoteReference w:id="19"/>
      </w:r>
      <w:r w:rsidRPr="00A954E5">
        <w:rPr>
          <w:rFonts w:cs="Segoe UI"/>
          <w:lang w:val="en-US" w:eastAsia="en-GB"/>
        </w:rPr>
        <w:t xml:space="preserve"> </w:t>
      </w:r>
    </w:p>
    <w:p w14:paraId="34CB897A" w14:textId="77777777" w:rsidR="00002AB3" w:rsidRPr="00002AB3" w:rsidRDefault="00002AB3" w:rsidP="00002AB3">
      <w:pPr>
        <w:pStyle w:val="ListParagraph"/>
        <w:ind w:left="709"/>
      </w:pPr>
    </w:p>
    <w:p w14:paraId="3C191002" w14:textId="77777777" w:rsidR="005E17C6" w:rsidRPr="005E17C6" w:rsidRDefault="00A954E5" w:rsidP="0071368E">
      <w:pPr>
        <w:pStyle w:val="ListParagraph"/>
        <w:numPr>
          <w:ilvl w:val="1"/>
          <w:numId w:val="9"/>
        </w:numPr>
        <w:ind w:left="709" w:hanging="709"/>
      </w:pPr>
      <w:r w:rsidRPr="00A954E5">
        <w:rPr>
          <w:rFonts w:cs="Segoe UI"/>
          <w:lang w:val="en-US" w:eastAsia="en-GB"/>
        </w:rPr>
        <w:t>In 2013, the then Special Rapporteur on the independence of judges and lawyers, Gabriela Knaul, confirmed that the right to legal aid,</w:t>
      </w:r>
    </w:p>
    <w:p w14:paraId="2887ECFA" w14:textId="77777777" w:rsidR="005E17C6" w:rsidRPr="005E17C6" w:rsidRDefault="005E17C6" w:rsidP="005E17C6">
      <w:pPr>
        <w:pStyle w:val="ListParagraph"/>
        <w:rPr>
          <w:rFonts w:cs="Segoe UI"/>
          <w:lang w:val="en" w:eastAsia="en-GB"/>
        </w:rPr>
      </w:pPr>
    </w:p>
    <w:p w14:paraId="57CFAAD3" w14:textId="78F7237B" w:rsidR="0071368E" w:rsidRPr="0071368E" w:rsidRDefault="00A954E5" w:rsidP="005E17C6">
      <w:pPr>
        <w:pStyle w:val="ListParagraph"/>
        <w:tabs>
          <w:tab w:val="left" w:pos="851"/>
        </w:tabs>
        <w:ind w:left="851"/>
      </w:pPr>
      <w:r w:rsidRPr="0071368E">
        <w:rPr>
          <w:rFonts w:cs="Segoe UI"/>
          <w:lang w:val="en" w:eastAsia="en-GB"/>
        </w:rPr>
        <w:t>…can be construed as both a right and an essential procedural guarantee for the effective exercise of other human rights, including the right to an effective remedy, the right to liberty and security of person, the right to equality before the courts and tribunals, the right to counsel and the right to a fair trial.</w:t>
      </w:r>
      <w:r>
        <w:rPr>
          <w:rStyle w:val="FootnoteReference"/>
          <w:rFonts w:cs="Segoe UI"/>
          <w:lang w:val="en" w:eastAsia="en-GB"/>
        </w:rPr>
        <w:footnoteReference w:id="20"/>
      </w:r>
    </w:p>
    <w:p w14:paraId="54D94116" w14:textId="77777777" w:rsidR="0071368E" w:rsidRPr="0071368E" w:rsidRDefault="0071368E" w:rsidP="0071368E">
      <w:pPr>
        <w:pStyle w:val="ListParagraph"/>
        <w:rPr>
          <w:rFonts w:cs="Segoe UI"/>
          <w:lang w:val="en" w:eastAsia="en-GB"/>
        </w:rPr>
      </w:pPr>
    </w:p>
    <w:p w14:paraId="2771EAE5" w14:textId="77777777" w:rsidR="0071368E" w:rsidRPr="0071368E" w:rsidRDefault="0071368E" w:rsidP="0071368E">
      <w:pPr>
        <w:pStyle w:val="ListParagraph"/>
        <w:numPr>
          <w:ilvl w:val="1"/>
          <w:numId w:val="9"/>
        </w:numPr>
        <w:ind w:left="709" w:hanging="709"/>
      </w:pPr>
      <w:r w:rsidRPr="0071368E">
        <w:rPr>
          <w:rFonts w:cs="Segoe UI"/>
          <w:lang w:val="en" w:eastAsia="en-GB"/>
        </w:rPr>
        <w:t xml:space="preserve">Ensuring fairness and effectiveness in the administration of justice is provided for in a number of international instruments to which the UK and NI are signatory. This includes the </w:t>
      </w:r>
      <w:r w:rsidRPr="004212E6">
        <w:t>European Convention on Human Rights</w:t>
      </w:r>
      <w:r>
        <w:t xml:space="preserve"> (ECHR, Article 6)</w:t>
      </w:r>
      <w:r w:rsidRPr="0071368E">
        <w:rPr>
          <w:rFonts w:cs="Segoe UI"/>
          <w:lang w:val="en" w:eastAsia="en-GB"/>
        </w:rPr>
        <w:t>,</w:t>
      </w:r>
      <w:r>
        <w:rPr>
          <w:rStyle w:val="FootnoteReference"/>
          <w:rFonts w:cs="Segoe UI"/>
          <w:lang w:val="en" w:eastAsia="en-GB"/>
        </w:rPr>
        <w:footnoteReference w:id="21"/>
      </w:r>
      <w:r w:rsidRPr="0071368E">
        <w:rPr>
          <w:rFonts w:cs="Segoe UI"/>
          <w:lang w:val="en" w:eastAsia="en-GB"/>
        </w:rPr>
        <w:t xml:space="preserve"> the International Covenant on Civil and Political Rights (ICCPR, Article 14),</w:t>
      </w:r>
      <w:r w:rsidRPr="00D4589B">
        <w:rPr>
          <w:rStyle w:val="FootnoteReference"/>
        </w:rPr>
        <w:footnoteReference w:id="22"/>
      </w:r>
      <w:r>
        <w:rPr>
          <w:rStyle w:val="FootnoteTextChar"/>
        </w:rPr>
        <w:t xml:space="preserve"> </w:t>
      </w:r>
      <w:r w:rsidRPr="0071368E">
        <w:rPr>
          <w:rFonts w:cs="Segoe UI"/>
          <w:lang w:val="en" w:eastAsia="en-GB"/>
        </w:rPr>
        <w:t>the Convention on the Rights of Persons with Disabilities (CRPD, Article 13),</w:t>
      </w:r>
      <w:r w:rsidRPr="00D4589B">
        <w:rPr>
          <w:vertAlign w:val="superscript"/>
        </w:rPr>
        <w:footnoteReference w:id="23"/>
      </w:r>
      <w:r w:rsidRPr="00D4589B">
        <w:t xml:space="preserve"> </w:t>
      </w:r>
      <w:r w:rsidRPr="0071368E">
        <w:rPr>
          <w:rFonts w:cs="Segoe UI"/>
          <w:lang w:val="en" w:eastAsia="en-GB"/>
        </w:rPr>
        <w:t>the Convention on the Rights of the Child (CRC, Article 40),</w:t>
      </w:r>
      <w:r w:rsidRPr="00D4589B">
        <w:rPr>
          <w:rStyle w:val="FootnoteReference"/>
        </w:rPr>
        <w:footnoteReference w:id="24"/>
      </w:r>
      <w:r w:rsidRPr="00D4589B">
        <w:rPr>
          <w:rStyle w:val="FootnoteTextChar"/>
        </w:rPr>
        <w:t xml:space="preserve"> </w:t>
      </w:r>
      <w:r w:rsidRPr="0071368E">
        <w:rPr>
          <w:rFonts w:cs="Segoe UI"/>
          <w:lang w:val="en" w:eastAsia="en-GB"/>
        </w:rPr>
        <w:t>the Convention on the Elimination of all forms of Racial Discrimination (CERD, Article 6),</w:t>
      </w:r>
      <w:r w:rsidRPr="00D4589B">
        <w:rPr>
          <w:rStyle w:val="FootnoteReference"/>
        </w:rPr>
        <w:footnoteReference w:id="25"/>
      </w:r>
      <w:r w:rsidRPr="0071368E">
        <w:rPr>
          <w:rFonts w:cs="Segoe UI"/>
          <w:lang w:val="en" w:eastAsia="en-GB"/>
        </w:rPr>
        <w:t xml:space="preserve"> and the Convention on the Elimination of all forms of Discrimination against Women (CEDAW, Article 14).</w:t>
      </w:r>
      <w:r w:rsidRPr="00D4589B">
        <w:rPr>
          <w:rStyle w:val="FootnoteReference"/>
        </w:rPr>
        <w:footnoteReference w:id="26"/>
      </w:r>
      <w:r w:rsidRPr="0071368E">
        <w:rPr>
          <w:rFonts w:cs="Segoe UI"/>
          <w:lang w:val="en" w:eastAsia="en-GB"/>
        </w:rPr>
        <w:t xml:space="preserve"> Despite some of these instruments only expressly providing for legal aid in criminal proceedings,</w:t>
      </w:r>
      <w:r w:rsidRPr="00D4589B">
        <w:rPr>
          <w:rStyle w:val="FootnoteReference"/>
          <w:rFonts w:cs="Segoe UI"/>
          <w:lang w:val="en" w:eastAsia="en-GB"/>
        </w:rPr>
        <w:footnoteReference w:id="27"/>
      </w:r>
      <w:r w:rsidRPr="0071368E">
        <w:rPr>
          <w:rFonts w:cs="Segoe UI"/>
          <w:lang w:val="en" w:eastAsia="en-GB"/>
        </w:rPr>
        <w:t xml:space="preserve"> several courts, tribunals and treaty-monitoring bodies have found an implied right to legal aid in civil and administrative proceedings.</w:t>
      </w:r>
      <w:r>
        <w:rPr>
          <w:rStyle w:val="FootnoteReference"/>
          <w:rFonts w:cs="Segoe UI"/>
          <w:lang w:val="en" w:eastAsia="en-GB"/>
        </w:rPr>
        <w:footnoteReference w:id="28"/>
      </w:r>
      <w:r w:rsidRPr="0071368E">
        <w:rPr>
          <w:rFonts w:cs="Segoe UI"/>
          <w:lang w:val="en" w:eastAsia="en-GB"/>
        </w:rPr>
        <w:t xml:space="preserve"> </w:t>
      </w:r>
    </w:p>
    <w:p w14:paraId="584D0C6F" w14:textId="77777777" w:rsidR="0071368E" w:rsidRPr="0071368E" w:rsidRDefault="0071368E" w:rsidP="0071368E">
      <w:pPr>
        <w:pStyle w:val="ListParagraph"/>
        <w:rPr>
          <w:rFonts w:cs="Segoe UI"/>
          <w:lang w:val="en" w:eastAsia="en-GB"/>
        </w:rPr>
      </w:pPr>
    </w:p>
    <w:p w14:paraId="68CA7471" w14:textId="77777777" w:rsidR="0071368E" w:rsidRPr="0071368E" w:rsidRDefault="0071368E" w:rsidP="0071368E">
      <w:pPr>
        <w:pStyle w:val="ListParagraph"/>
        <w:numPr>
          <w:ilvl w:val="1"/>
          <w:numId w:val="9"/>
        </w:numPr>
        <w:ind w:left="709" w:hanging="709"/>
      </w:pPr>
      <w:r w:rsidRPr="0071368E">
        <w:rPr>
          <w:rFonts w:cs="Segoe UI"/>
          <w:lang w:val="en" w:eastAsia="en-GB"/>
        </w:rPr>
        <w:t xml:space="preserve">The UN Special Rapporteur on the independence of judges and lawyers advised that the UN Principles and Guidelines on Access to Legal Aid in Criminal Justice Systems “may also be applied, </w:t>
      </w:r>
      <w:r w:rsidRPr="0071368E">
        <w:rPr>
          <w:rFonts w:cs="Segoe UI"/>
          <w:i/>
          <w:iCs/>
          <w:lang w:val="en" w:eastAsia="en-GB"/>
        </w:rPr>
        <w:t>mutatis mutandis</w:t>
      </w:r>
      <w:r w:rsidRPr="0071368E">
        <w:rPr>
          <w:rFonts w:cs="Segoe UI"/>
          <w:lang w:val="en" w:eastAsia="en-GB"/>
        </w:rPr>
        <w:t>, in civil and administrative law cases where free legal assistance is indispensable for effective access</w:t>
      </w:r>
      <w:r w:rsidRPr="00C61B51">
        <w:t xml:space="preserve"> </w:t>
      </w:r>
      <w:r w:rsidRPr="0071368E">
        <w:rPr>
          <w:rFonts w:cs="Segoe UI"/>
          <w:lang w:val="en" w:eastAsia="en-GB"/>
        </w:rPr>
        <w:t>to the courts and a fair hearing, as well as for access to legal information and counsel and to mechanisms of alternative dispute resolution”.</w:t>
      </w:r>
      <w:r>
        <w:rPr>
          <w:rStyle w:val="FootnoteReference"/>
          <w:rFonts w:cs="Segoe UI"/>
          <w:lang w:val="en" w:eastAsia="en-GB"/>
        </w:rPr>
        <w:footnoteReference w:id="29"/>
      </w:r>
      <w:r w:rsidRPr="0071368E">
        <w:rPr>
          <w:rFonts w:cs="Segoe UI"/>
          <w:lang w:val="en" w:eastAsia="en-GB"/>
        </w:rPr>
        <w:t xml:space="preserve"> Consistent with the UN Principles and Guidelines, legal aid should not be limited to covering only legal assistance and representation in criminal, administrative and civil proceedings, but should include legal education, access to legal information and other services provided through alternative dispute resolution mechanisms and restorative justice processes.</w:t>
      </w:r>
      <w:r>
        <w:rPr>
          <w:rStyle w:val="FootnoteReference"/>
          <w:rFonts w:cs="Segoe UI"/>
          <w:lang w:val="en" w:eastAsia="en-GB"/>
        </w:rPr>
        <w:footnoteReference w:id="30"/>
      </w:r>
    </w:p>
    <w:p w14:paraId="39E2029F" w14:textId="77777777" w:rsidR="0071368E" w:rsidRPr="0071368E" w:rsidRDefault="0071368E" w:rsidP="0071368E">
      <w:pPr>
        <w:pStyle w:val="ListParagraph"/>
        <w:rPr>
          <w:rFonts w:cs="Segoe UI"/>
          <w:lang w:val="en-US" w:eastAsia="en-GB"/>
        </w:rPr>
      </w:pPr>
    </w:p>
    <w:p w14:paraId="5A26B1D3" w14:textId="3A4DE03C" w:rsidR="0071368E" w:rsidRPr="0071368E" w:rsidRDefault="0071368E" w:rsidP="0071368E">
      <w:pPr>
        <w:pStyle w:val="ListParagraph"/>
        <w:numPr>
          <w:ilvl w:val="1"/>
          <w:numId w:val="9"/>
        </w:numPr>
        <w:ind w:left="709" w:hanging="709"/>
      </w:pPr>
      <w:r w:rsidRPr="0071368E">
        <w:rPr>
          <w:rFonts w:cs="Segoe UI"/>
          <w:lang w:val="en-US" w:eastAsia="en-GB"/>
        </w:rPr>
        <w:t xml:space="preserve">Article 6 of the ECHR </w:t>
      </w:r>
      <w:r w:rsidR="004E61E0" w:rsidRPr="004E61E0">
        <w:rPr>
          <w:rFonts w:cs="Segoe UI"/>
          <w:lang w:val="en-US" w:eastAsia="en-GB"/>
        </w:rPr>
        <w:t>acknowledges the role of legal aid in guaranteeing the right to a fair</w:t>
      </w:r>
      <w:r w:rsidR="3767E92B" w:rsidRPr="0DB9CED6">
        <w:rPr>
          <w:rFonts w:cs="Segoe UI"/>
          <w:lang w:val="en-US" w:eastAsia="en-GB"/>
        </w:rPr>
        <w:t xml:space="preserve"> trial</w:t>
      </w:r>
      <w:r w:rsidRPr="0DB9CED6">
        <w:rPr>
          <w:rFonts w:cs="Segoe UI"/>
          <w:lang w:val="en-US" w:eastAsia="en-GB"/>
        </w:rPr>
        <w:t>.</w:t>
      </w:r>
      <w:r w:rsidRPr="0071368E">
        <w:rPr>
          <w:rFonts w:cs="Segoe UI"/>
          <w:lang w:val="en-US" w:eastAsia="en-GB"/>
        </w:rPr>
        <w:t xml:space="preserve"> Article 6(1) of the ECHR provides that “In the determination of his civil rights and obligations or of any criminal charge against him, everyone is entitled to a fair and public hearing within a reasonable time by an independent and impartial tribunal established by law”. Article 6(3)(c) of the Convention guarantees everyone charged with a criminal offence the right to legal assistance, and where the defendant has insufficient means to pay for it, to get free legal assistance “where the interests of justice so require”. </w:t>
      </w:r>
    </w:p>
    <w:p w14:paraId="1980C0B3" w14:textId="77777777" w:rsidR="0071368E" w:rsidRPr="0071368E" w:rsidRDefault="0071368E" w:rsidP="0071368E">
      <w:pPr>
        <w:pStyle w:val="ListParagraph"/>
        <w:rPr>
          <w:rFonts w:cs="Segoe UI"/>
          <w:lang w:val="en-US" w:eastAsia="en-GB"/>
        </w:rPr>
      </w:pPr>
    </w:p>
    <w:p w14:paraId="3F76AF89" w14:textId="77777777" w:rsidR="00EF744D" w:rsidRPr="00EF744D" w:rsidRDefault="0071368E" w:rsidP="0071368E">
      <w:pPr>
        <w:pStyle w:val="ListParagraph"/>
        <w:numPr>
          <w:ilvl w:val="1"/>
          <w:numId w:val="9"/>
        </w:numPr>
        <w:ind w:left="709" w:hanging="709"/>
      </w:pPr>
      <w:r w:rsidRPr="0071368E">
        <w:rPr>
          <w:rFonts w:cs="Segoe UI"/>
          <w:lang w:val="en-US" w:eastAsia="en-GB"/>
        </w:rPr>
        <w:t>Article 6 of the ECHR does not explicitly provide for free legal assistance in civil matters or outside of judicial proceedings. However, the European Court of Human Rights (ECtHR) has found that State authorities should provide everyone within their jurisdiction with the assistance of a lawyer in civil cases when this proves indispensable for effective access to court</w:t>
      </w:r>
      <w:r w:rsidRPr="7EDDEA8F">
        <w:rPr>
          <w:rStyle w:val="FootnoteReference"/>
          <w:rFonts w:cs="Segoe UI"/>
          <w:lang w:val="en-US" w:eastAsia="en-GB"/>
        </w:rPr>
        <w:footnoteReference w:id="31"/>
      </w:r>
      <w:r w:rsidRPr="0071368E">
        <w:rPr>
          <w:rFonts w:cs="Segoe UI"/>
          <w:lang w:val="en-US" w:eastAsia="en-GB"/>
        </w:rPr>
        <w:t xml:space="preserve"> or when lack of such assistance would deprive a person of a fair hearing.</w:t>
      </w:r>
      <w:r w:rsidRPr="7EDDEA8F">
        <w:rPr>
          <w:rStyle w:val="FootnoteReference"/>
          <w:rFonts w:cs="Segoe UI"/>
          <w:lang w:val="en-US" w:eastAsia="en-GB"/>
        </w:rPr>
        <w:footnoteReference w:id="32"/>
      </w:r>
      <w:r w:rsidRPr="0071368E">
        <w:rPr>
          <w:rFonts w:cs="Segoe UI"/>
          <w:lang w:val="en-US" w:eastAsia="en-GB"/>
        </w:rPr>
        <w:t xml:space="preserve"> </w:t>
      </w:r>
    </w:p>
    <w:p w14:paraId="4738E7F2" w14:textId="77777777" w:rsidR="00EF744D" w:rsidRPr="00EF744D" w:rsidRDefault="00EF744D" w:rsidP="00EF744D">
      <w:pPr>
        <w:pStyle w:val="ListParagraph"/>
        <w:rPr>
          <w:rFonts w:cs="Segoe UI"/>
          <w:lang w:val="en-US" w:eastAsia="en-GB"/>
        </w:rPr>
      </w:pPr>
    </w:p>
    <w:p w14:paraId="46D7149E" w14:textId="0061B558" w:rsidR="0071368E" w:rsidRPr="0071368E" w:rsidRDefault="0071368E" w:rsidP="0071368E">
      <w:pPr>
        <w:pStyle w:val="ListParagraph"/>
        <w:numPr>
          <w:ilvl w:val="1"/>
          <w:numId w:val="9"/>
        </w:numPr>
        <w:ind w:left="709" w:hanging="709"/>
      </w:pPr>
      <w:r w:rsidRPr="0071368E">
        <w:rPr>
          <w:rFonts w:cs="Segoe UI"/>
          <w:lang w:val="en-US" w:eastAsia="en-GB"/>
        </w:rPr>
        <w:t>To establish whether Article 6 implies a requirement for legal aid, the ECtHR will consider what is at stake for the applicant, the complexity of the relevant law or procedure, the applicant’s capacity to represent themselves effectively, and the existence of a statutory requirement to have legal representation.</w:t>
      </w:r>
      <w:r w:rsidRPr="7EDDEA8F">
        <w:rPr>
          <w:rStyle w:val="FootnoteReference"/>
          <w:rFonts w:cs="Segoe UI"/>
          <w:lang w:val="en-US" w:eastAsia="en-GB"/>
        </w:rPr>
        <w:footnoteReference w:id="33"/>
      </w:r>
      <w:r w:rsidRPr="0071368E">
        <w:rPr>
          <w:rFonts w:cs="Segoe UI"/>
          <w:lang w:val="en-US" w:eastAsia="en-GB"/>
        </w:rPr>
        <w:t xml:space="preserve"> Under Article 6, the right of access to the courts is not absolute and it may be permissible to impose conditions on the grant of legal aid based on certain limited circumstances.</w:t>
      </w:r>
      <w:r w:rsidRPr="7EDDEA8F">
        <w:rPr>
          <w:rStyle w:val="FootnoteReference"/>
          <w:rFonts w:cs="Segoe UI"/>
          <w:lang w:val="en-US" w:eastAsia="en-GB"/>
        </w:rPr>
        <w:footnoteReference w:id="34"/>
      </w:r>
      <w:r w:rsidRPr="0071368E">
        <w:rPr>
          <w:rFonts w:cs="Segoe UI"/>
          <w:lang w:val="en-US" w:eastAsia="en-GB"/>
        </w:rPr>
        <w:t xml:space="preserve"> However, the ECtHR has held that the requirement to pay fees to a civil court should not hinder access to a court for applicants who are unable to pay them.</w:t>
      </w:r>
      <w:r w:rsidRPr="7EDDEA8F">
        <w:rPr>
          <w:rStyle w:val="FootnoteReference"/>
          <w:rFonts w:cs="Segoe UI"/>
          <w:lang w:val="en-US" w:eastAsia="en-GB"/>
        </w:rPr>
        <w:footnoteReference w:id="35"/>
      </w:r>
    </w:p>
    <w:p w14:paraId="443EC3E5" w14:textId="77777777" w:rsidR="0071368E" w:rsidRPr="0071368E" w:rsidRDefault="0071368E" w:rsidP="0071368E">
      <w:pPr>
        <w:pStyle w:val="ListParagraph"/>
        <w:rPr>
          <w:rFonts w:cs="Segoe UI"/>
          <w:lang w:val="en-US" w:eastAsia="en-GB"/>
        </w:rPr>
      </w:pPr>
    </w:p>
    <w:p w14:paraId="51B2C26A" w14:textId="2DFC65B8" w:rsidR="0071368E" w:rsidRPr="00081D7B" w:rsidRDefault="0071368E" w:rsidP="0071368E">
      <w:pPr>
        <w:pStyle w:val="ListParagraph"/>
        <w:numPr>
          <w:ilvl w:val="1"/>
          <w:numId w:val="9"/>
        </w:numPr>
        <w:ind w:left="709" w:hanging="709"/>
      </w:pPr>
      <w:r w:rsidRPr="0071368E">
        <w:rPr>
          <w:rFonts w:cs="Segoe UI"/>
          <w:lang w:val="en-US" w:eastAsia="en-GB"/>
        </w:rPr>
        <w:t xml:space="preserve">In 2021, the </w:t>
      </w:r>
      <w:proofErr w:type="spellStart"/>
      <w:r w:rsidRPr="0071368E">
        <w:rPr>
          <w:rFonts w:cs="Segoe UI"/>
          <w:lang w:val="en-US" w:eastAsia="en-GB"/>
        </w:rPr>
        <w:t>CoE</w:t>
      </w:r>
      <w:proofErr w:type="spellEnd"/>
      <w:r w:rsidRPr="0071368E">
        <w:rPr>
          <w:rFonts w:cs="Segoe UI"/>
          <w:lang w:val="en-US" w:eastAsia="en-GB"/>
        </w:rPr>
        <w:t xml:space="preserve"> Committee of Ministers adopted Guidelines on efficiency and effectiveness of legal aid schemes in the areas of civil and administrative law.</w:t>
      </w:r>
      <w:r w:rsidRPr="7EDDEA8F">
        <w:rPr>
          <w:rStyle w:val="FootnoteReference"/>
          <w:rFonts w:cs="Segoe UI"/>
          <w:lang w:val="en-US" w:eastAsia="en-GB"/>
        </w:rPr>
        <w:footnoteReference w:id="36"/>
      </w:r>
      <w:r w:rsidRPr="0071368E">
        <w:rPr>
          <w:rFonts w:cs="Segoe UI"/>
          <w:lang w:val="en-US" w:eastAsia="en-GB"/>
        </w:rPr>
        <w:t xml:space="preserve"> These provide guidance for States’ reform processes regarding legal aid systems to provide better access to justice, particularly to the most vulnerable. This includes advice on early intervention initiatives, quality assurance mechanisms in legal aid schemes, means and merit testing, </w:t>
      </w:r>
      <w:proofErr w:type="spellStart"/>
      <w:r w:rsidRPr="0071368E">
        <w:rPr>
          <w:rFonts w:cs="Segoe UI"/>
          <w:lang w:val="en-US" w:eastAsia="en-GB"/>
        </w:rPr>
        <w:t>organisation</w:t>
      </w:r>
      <w:proofErr w:type="spellEnd"/>
      <w:r w:rsidRPr="0071368E">
        <w:rPr>
          <w:rFonts w:cs="Segoe UI"/>
          <w:lang w:val="en-US" w:eastAsia="en-GB"/>
        </w:rPr>
        <w:t xml:space="preserve"> of legal aid schemes and availability of legal aid providers, and data collection.</w:t>
      </w:r>
      <w:r w:rsidRPr="7EDDEA8F">
        <w:rPr>
          <w:rStyle w:val="FootnoteReference"/>
          <w:rFonts w:cs="Segoe UI"/>
          <w:lang w:val="en-US" w:eastAsia="en-GB"/>
        </w:rPr>
        <w:footnoteReference w:id="37"/>
      </w:r>
      <w:r w:rsidRPr="0071368E">
        <w:rPr>
          <w:rFonts w:cs="Segoe UI"/>
          <w:lang w:val="en-US" w:eastAsia="en-GB"/>
        </w:rPr>
        <w:t xml:space="preserve"> </w:t>
      </w:r>
    </w:p>
    <w:p w14:paraId="7B5F6FFE" w14:textId="77777777" w:rsidR="00081D7B" w:rsidRPr="0071368E" w:rsidRDefault="00081D7B" w:rsidP="00081D7B"/>
    <w:p w14:paraId="2E5909A0" w14:textId="77777777" w:rsidR="002A6B65" w:rsidRPr="00196A57" w:rsidRDefault="002A6B65" w:rsidP="00196A57">
      <w:pPr>
        <w:pStyle w:val="ListParagraph"/>
        <w:numPr>
          <w:ilvl w:val="1"/>
          <w:numId w:val="9"/>
        </w:numPr>
        <w:ind w:left="709" w:hanging="709"/>
        <w:rPr>
          <w:b/>
          <w:bCs/>
        </w:rPr>
      </w:pPr>
      <w:bookmarkStart w:id="4" w:name="_Hlk163636728"/>
      <w:r w:rsidRPr="00196A57">
        <w:rPr>
          <w:b/>
          <w:bCs/>
        </w:rPr>
        <w:t xml:space="preserve">The NIHRC recommends that the </w:t>
      </w:r>
      <w:r w:rsidR="00081D7B" w:rsidRPr="00196A57">
        <w:rPr>
          <w:b/>
          <w:bCs/>
        </w:rPr>
        <w:t>Department of Justice</w:t>
      </w:r>
      <w:r w:rsidRPr="00196A57">
        <w:rPr>
          <w:b/>
          <w:bCs/>
        </w:rPr>
        <w:t xml:space="preserve"> </w:t>
      </w:r>
      <w:r w:rsidR="004C23AA" w:rsidRPr="00196A57">
        <w:rPr>
          <w:b/>
          <w:bCs/>
        </w:rPr>
        <w:t>adopts a human rights based approach to</w:t>
      </w:r>
      <w:r w:rsidR="009B52D0" w:rsidRPr="7679F3B5">
        <w:rPr>
          <w:rFonts w:cs="Times New Roman"/>
          <w:b/>
          <w:bCs/>
        </w:rPr>
        <w:t xml:space="preserve"> the development and implementation of any and all policy on </w:t>
      </w:r>
      <w:r w:rsidR="009B52D0">
        <w:rPr>
          <w:rFonts w:cs="Times New Roman"/>
          <w:b/>
          <w:bCs/>
        </w:rPr>
        <w:t>legal aid provision in NI</w:t>
      </w:r>
      <w:r w:rsidR="003E6C12">
        <w:rPr>
          <w:b/>
          <w:bCs/>
        </w:rPr>
        <w:t xml:space="preserve">, </w:t>
      </w:r>
      <w:r w:rsidR="004C23AA" w:rsidRPr="00196A57">
        <w:rPr>
          <w:b/>
          <w:bCs/>
        </w:rPr>
        <w:t>that include</w:t>
      </w:r>
      <w:r w:rsidR="00196A57" w:rsidRPr="00196A57">
        <w:rPr>
          <w:b/>
          <w:bCs/>
        </w:rPr>
        <w:t>s</w:t>
      </w:r>
      <w:r w:rsidR="004C23AA" w:rsidRPr="00196A57">
        <w:rPr>
          <w:b/>
          <w:bCs/>
        </w:rPr>
        <w:t xml:space="preserve"> the full range of internationally accepted human rights standards</w:t>
      </w:r>
      <w:r w:rsidR="00196A57">
        <w:rPr>
          <w:b/>
          <w:bCs/>
        </w:rPr>
        <w:t>.</w:t>
      </w:r>
    </w:p>
    <w:bookmarkEnd w:id="4"/>
    <w:p w14:paraId="62BFD9A0" w14:textId="77777777" w:rsidR="00E57C96" w:rsidRPr="00CF2D7B" w:rsidRDefault="00E57C96" w:rsidP="00CF2D7B">
      <w:pPr>
        <w:rPr>
          <w:b/>
          <w:bCs/>
        </w:rPr>
      </w:pPr>
    </w:p>
    <w:p w14:paraId="6719C5A3" w14:textId="6BFC5F89" w:rsidR="00CB0FC6" w:rsidRPr="00593A7C" w:rsidRDefault="00CB0FC6" w:rsidP="00593A7C">
      <w:pPr>
        <w:pStyle w:val="Heading2"/>
      </w:pPr>
      <w:bookmarkStart w:id="5" w:name="_Toc170204682"/>
      <w:r w:rsidRPr="00593A7C">
        <w:t>Windsor Framework Article 2</w:t>
      </w:r>
      <w:bookmarkEnd w:id="5"/>
      <w:r w:rsidRPr="00593A7C">
        <w:t xml:space="preserve"> </w:t>
      </w:r>
    </w:p>
    <w:p w14:paraId="14BF3F23" w14:textId="3CB6CC9D" w:rsidR="00E57C96" w:rsidRPr="00600F89" w:rsidRDefault="00E57C96" w:rsidP="00600F89">
      <w:pPr>
        <w:pStyle w:val="ListParagraph"/>
        <w:numPr>
          <w:ilvl w:val="1"/>
          <w:numId w:val="9"/>
        </w:numPr>
        <w:ind w:left="709" w:hanging="709"/>
        <w:rPr>
          <w:b/>
          <w:bCs/>
        </w:rPr>
      </w:pPr>
      <w:r w:rsidRPr="00E57C96">
        <w:rPr>
          <w:rFonts w:cs="Segoe UI"/>
          <w:lang w:val="en-US" w:eastAsia="en-GB"/>
        </w:rPr>
        <w:t>Windsor Framework Article 2 requires the UK Government to ensure that no diminution of rights, safeguards and equality of opportunities contained in the relevant part of the Belfast (Good Friday) Agreement 1998 occurs as a result of the UK’s withdrawal from the EU.</w:t>
      </w:r>
      <w:r w:rsidR="00CF2D7B">
        <w:rPr>
          <w:rFonts w:cs="Segoe UI"/>
          <w:lang w:val="en-US" w:eastAsia="en-GB"/>
        </w:rPr>
        <w:t xml:space="preserve"> </w:t>
      </w:r>
      <w:r w:rsidRPr="002A4054">
        <w:t xml:space="preserve">This includes an obligation to “keep pace” with any changes made to the six Annex 1 </w:t>
      </w:r>
      <w:r w:rsidR="00891687" w:rsidRPr="002A4054">
        <w:t>equality</w:t>
      </w:r>
      <w:r w:rsidR="00CF2D7B">
        <w:t xml:space="preserve"> </w:t>
      </w:r>
      <w:r w:rsidR="00891687" w:rsidRPr="002A4054">
        <w:t>directives</w:t>
      </w:r>
      <w:r w:rsidRPr="002A4054">
        <w:rPr>
          <w:rStyle w:val="FootnoteReference"/>
        </w:rPr>
        <w:footnoteReference w:id="38"/>
      </w:r>
      <w:r w:rsidRPr="002A4054">
        <w:t xml:space="preserve"> which improve the minimum levels of protection available, after 1 January 2021.</w:t>
      </w:r>
      <w:r w:rsidRPr="002A4054">
        <w:rPr>
          <w:rStyle w:val="FootnoteReference"/>
        </w:rPr>
        <w:footnoteReference w:id="39"/>
      </w:r>
      <w:r w:rsidRPr="00600F89">
        <w:rPr>
          <w:rFonts w:cs="Times New Roman"/>
          <w:lang w:eastAsia="en-GB"/>
        </w:rPr>
        <w:t xml:space="preserve"> </w:t>
      </w:r>
    </w:p>
    <w:p w14:paraId="190DB502" w14:textId="77777777" w:rsidR="00E57C96" w:rsidRPr="00E57C96" w:rsidRDefault="00E57C96" w:rsidP="00E57C96">
      <w:pPr>
        <w:pStyle w:val="ListParagraph"/>
        <w:ind w:left="709"/>
        <w:rPr>
          <w:b/>
          <w:bCs/>
        </w:rPr>
      </w:pPr>
    </w:p>
    <w:p w14:paraId="7D6896A0" w14:textId="1BA4E855" w:rsidR="00E57C96" w:rsidRPr="00E57C96" w:rsidRDefault="00E57C96" w:rsidP="00E57C96">
      <w:pPr>
        <w:pStyle w:val="ListParagraph"/>
        <w:numPr>
          <w:ilvl w:val="1"/>
          <w:numId w:val="9"/>
        </w:numPr>
        <w:ind w:left="709" w:hanging="709"/>
        <w:rPr>
          <w:b/>
          <w:bCs/>
        </w:rPr>
      </w:pPr>
      <w:r w:rsidRPr="00E57C96">
        <w:rPr>
          <w:rFonts w:cs="Segoe UI"/>
          <w:lang w:val="en-US" w:eastAsia="en-GB"/>
        </w:rPr>
        <w:t xml:space="preserve">For </w:t>
      </w:r>
      <w:r w:rsidR="008A34D3">
        <w:rPr>
          <w:rFonts w:cs="Segoe UI"/>
          <w:lang w:val="en-US" w:eastAsia="en-GB"/>
        </w:rPr>
        <w:t xml:space="preserve">other </w:t>
      </w:r>
      <w:r w:rsidRPr="00E57C96">
        <w:rPr>
          <w:rFonts w:cs="Segoe UI"/>
          <w:lang w:val="en-US" w:eastAsia="en-GB"/>
        </w:rPr>
        <w:t>EU obligations which underpin the rights, safeguards and equality of opportunity in Windsor Framework Article 2, the UK Government commitment to ensure ‘no diminution’ is measured by the relevant EU standards as they were on the 31 December 2020.</w:t>
      </w:r>
    </w:p>
    <w:p w14:paraId="306775EE" w14:textId="77777777" w:rsidR="00E57C96" w:rsidRDefault="00E57C96" w:rsidP="00E57C96">
      <w:pPr>
        <w:pStyle w:val="ListParagraph"/>
      </w:pPr>
    </w:p>
    <w:p w14:paraId="464E72B6" w14:textId="549CDBAF" w:rsidR="00E57C96" w:rsidRPr="00E57C96" w:rsidRDefault="00E57C96" w:rsidP="00E57C96">
      <w:pPr>
        <w:pStyle w:val="ListParagraph"/>
        <w:numPr>
          <w:ilvl w:val="1"/>
          <w:numId w:val="9"/>
        </w:numPr>
        <w:ind w:left="709" w:hanging="709"/>
        <w:rPr>
          <w:b/>
          <w:bCs/>
        </w:rPr>
      </w:pPr>
      <w:r w:rsidRPr="002A4054">
        <w:t xml:space="preserve">The rights, </w:t>
      </w:r>
      <w:r w:rsidR="00060304" w:rsidRPr="002A4054">
        <w:t>safeguards,</w:t>
      </w:r>
      <w:r w:rsidRPr="002A4054">
        <w:t xml:space="preserve"> and equality of opportunity chapter of the Belfast (Good Friday) Agreement was not an exhaustive statement of rights protections. Rather, the parties affirmed their “commitment to … the civil rights and religious liberties of everyone in the community” before affirming “in particular” a non-exhaustive list of rights and safeguards.</w:t>
      </w:r>
      <w:r w:rsidRPr="002A4054">
        <w:rPr>
          <w:rStyle w:val="FootnoteReference"/>
        </w:rPr>
        <w:footnoteReference w:id="40"/>
      </w:r>
      <w:r w:rsidRPr="00E57C96">
        <w:rPr>
          <w:rFonts w:cs="Times New Roman"/>
          <w:lang w:eastAsia="en-GB"/>
        </w:rPr>
        <w:t xml:space="preserve"> </w:t>
      </w:r>
      <w:r w:rsidRPr="002A4054">
        <w:t>The High Court recently confirmed that “reading the [Belfast (Good Friday) Agreement] as a whole, it is apparent its provisions and protections are broad in scope”.</w:t>
      </w:r>
      <w:r w:rsidRPr="002A4054">
        <w:rPr>
          <w:rStyle w:val="FootnoteReference"/>
        </w:rPr>
        <w:t xml:space="preserve"> </w:t>
      </w:r>
      <w:r w:rsidRPr="002A4054">
        <w:rPr>
          <w:rStyle w:val="FootnoteReference"/>
        </w:rPr>
        <w:footnoteReference w:id="41"/>
      </w:r>
      <w:r w:rsidRPr="002A4054">
        <w:t xml:space="preserve">  The High Court has also held that, “a narrow interpretation of ‘civil rights’ undermines the forward-facing dimension of the non-diminution commitment in article 2(1)”.</w:t>
      </w:r>
      <w:r w:rsidRPr="002A4054">
        <w:rPr>
          <w:rStyle w:val="FootnoteReference"/>
        </w:rPr>
        <w:footnoteReference w:id="42"/>
      </w:r>
      <w:r w:rsidRPr="002A4054">
        <w:t xml:space="preserve"> </w:t>
      </w:r>
    </w:p>
    <w:p w14:paraId="4A939725" w14:textId="77777777" w:rsidR="00E57C96" w:rsidRPr="00E57C96" w:rsidRDefault="00E57C96" w:rsidP="00E57C96">
      <w:pPr>
        <w:pStyle w:val="ListParagraph"/>
        <w:rPr>
          <w:rFonts w:cs="Times New Roman"/>
          <w:lang w:eastAsia="en-GB"/>
        </w:rPr>
      </w:pPr>
    </w:p>
    <w:p w14:paraId="34AD721A" w14:textId="23B580DD" w:rsidR="00E57C96" w:rsidRPr="00E57C96" w:rsidRDefault="009422DB" w:rsidP="00E57C96">
      <w:pPr>
        <w:pStyle w:val="ListParagraph"/>
        <w:numPr>
          <w:ilvl w:val="1"/>
          <w:numId w:val="9"/>
        </w:numPr>
        <w:ind w:left="709" w:hanging="709"/>
        <w:rPr>
          <w:b/>
          <w:bCs/>
        </w:rPr>
      </w:pPr>
      <w:r>
        <w:t>Due to th</w:t>
      </w:r>
      <w:r w:rsidR="0012117D">
        <w:t xml:space="preserve">is </w:t>
      </w:r>
      <w:r>
        <w:t xml:space="preserve">commitment </w:t>
      </w:r>
      <w:r w:rsidR="00272510">
        <w:t xml:space="preserve">to </w:t>
      </w:r>
      <w:r w:rsidR="008E22A9">
        <w:t xml:space="preserve">civil rights </w:t>
      </w:r>
      <w:r w:rsidR="0012117D">
        <w:t xml:space="preserve">and the commitment </w:t>
      </w:r>
      <w:r w:rsidR="004B30F5">
        <w:t xml:space="preserve">in the same chapter of the </w:t>
      </w:r>
      <w:r w:rsidR="00F64A42">
        <w:t xml:space="preserve">Belfast (Good Friday) Agreement </w:t>
      </w:r>
      <w:r w:rsidR="0012117D">
        <w:t>to incorporate the ECHR</w:t>
      </w:r>
      <w:r w:rsidR="008E22A9">
        <w:t xml:space="preserve">, </w:t>
      </w:r>
      <w:r w:rsidR="000541DE" w:rsidRPr="00E57C96">
        <w:rPr>
          <w:rFonts w:cs="Segoe UI"/>
          <w:lang w:val="en-US" w:eastAsia="en-GB"/>
        </w:rPr>
        <w:t xml:space="preserve">Windsor Framework Article </w:t>
      </w:r>
      <w:r w:rsidR="001E65E6" w:rsidRPr="00E57C96">
        <w:rPr>
          <w:rFonts w:cs="Segoe UI"/>
          <w:lang w:val="en-US" w:eastAsia="en-GB"/>
        </w:rPr>
        <w:t xml:space="preserve">2 </w:t>
      </w:r>
      <w:r w:rsidR="001E65E6">
        <w:t>is</w:t>
      </w:r>
      <w:r w:rsidR="004B30F5">
        <w:t xml:space="preserve"> relevant to this discussion, to the extent that such rights are underpinned by relevant EU measures</w:t>
      </w:r>
      <w:r w:rsidR="008E22A9">
        <w:t>.</w:t>
      </w:r>
      <w:r w:rsidR="00F64A42">
        <w:t xml:space="preserve"> </w:t>
      </w:r>
      <w:r w:rsidR="008E22A9">
        <w:t xml:space="preserve"> </w:t>
      </w:r>
      <w:r w:rsidR="00D96D93">
        <w:rPr>
          <w:rFonts w:cs="Times New Roman"/>
          <w:lang w:eastAsia="en-GB"/>
        </w:rPr>
        <w:t>A</w:t>
      </w:r>
      <w:r w:rsidR="00E57C96" w:rsidRPr="00E57C96">
        <w:rPr>
          <w:rFonts w:cs="Times New Roman"/>
          <w:lang w:eastAsia="en-GB"/>
        </w:rPr>
        <w:t xml:space="preserve">ccess to legal aid is linked to the </w:t>
      </w:r>
      <w:r w:rsidR="003345E5">
        <w:rPr>
          <w:rFonts w:cs="Times New Roman"/>
          <w:lang w:eastAsia="en-GB"/>
        </w:rPr>
        <w:t xml:space="preserve">EU </w:t>
      </w:r>
      <w:r w:rsidR="00E57C96" w:rsidRPr="00E57C96">
        <w:rPr>
          <w:rFonts w:cs="Times New Roman"/>
          <w:lang w:eastAsia="en-GB"/>
        </w:rPr>
        <w:t>right to an effective remedy and the effectiveness of EU law.</w:t>
      </w:r>
      <w:r w:rsidR="00A14820">
        <w:rPr>
          <w:rFonts w:cs="Times New Roman"/>
          <w:lang w:eastAsia="en-GB"/>
        </w:rPr>
        <w:t xml:space="preserve"> These </w:t>
      </w:r>
      <w:r w:rsidR="006352EE">
        <w:rPr>
          <w:rFonts w:cs="Times New Roman"/>
          <w:lang w:eastAsia="en-GB"/>
        </w:rPr>
        <w:t>inform the interpretation of all EU measures falling within the scope of Windsor Framework Article 2.</w:t>
      </w:r>
      <w:r w:rsidR="00E57C96" w:rsidRPr="00E57C96">
        <w:rPr>
          <w:rFonts w:cs="Times New Roman"/>
          <w:lang w:eastAsia="en-GB"/>
        </w:rPr>
        <w:t xml:space="preserve"> </w:t>
      </w:r>
      <w:r w:rsidR="00701E87">
        <w:rPr>
          <w:rFonts w:cs="Times New Roman"/>
          <w:lang w:eastAsia="en-GB"/>
        </w:rPr>
        <w:t xml:space="preserve">This briefing therefore provides </w:t>
      </w:r>
      <w:r w:rsidR="00E57C96" w:rsidRPr="00E57C96">
        <w:rPr>
          <w:rFonts w:cs="Times New Roman"/>
          <w:lang w:eastAsia="en-GB"/>
        </w:rPr>
        <w:t xml:space="preserve">the Department of Justice </w:t>
      </w:r>
      <w:r w:rsidR="00D26248">
        <w:rPr>
          <w:rFonts w:cs="Times New Roman"/>
          <w:lang w:eastAsia="en-GB"/>
        </w:rPr>
        <w:t>with consideration of</w:t>
      </w:r>
      <w:r w:rsidR="0085166A">
        <w:rPr>
          <w:rFonts w:cs="Times New Roman"/>
          <w:lang w:eastAsia="en-GB"/>
        </w:rPr>
        <w:t xml:space="preserve"> </w:t>
      </w:r>
      <w:r w:rsidR="00E57C96" w:rsidRPr="00E57C96">
        <w:rPr>
          <w:rFonts w:cs="Times New Roman"/>
          <w:lang w:eastAsia="en-GB"/>
        </w:rPr>
        <w:t xml:space="preserve">the general principle of the right to an effective remedy provided </w:t>
      </w:r>
      <w:r w:rsidR="0085166A">
        <w:rPr>
          <w:rFonts w:cs="Times New Roman"/>
          <w:lang w:eastAsia="en-GB"/>
        </w:rPr>
        <w:t xml:space="preserve">for in </w:t>
      </w:r>
      <w:r w:rsidR="00E57C96" w:rsidRPr="00E57C96">
        <w:rPr>
          <w:rFonts w:cs="Times New Roman"/>
          <w:lang w:eastAsia="en-GB"/>
        </w:rPr>
        <w:t xml:space="preserve">the EU Charter of Fundamental Rights </w:t>
      </w:r>
      <w:r w:rsidR="00EB1D14">
        <w:rPr>
          <w:rFonts w:cs="Times New Roman"/>
          <w:lang w:eastAsia="en-GB"/>
        </w:rPr>
        <w:t>read with</w:t>
      </w:r>
      <w:r w:rsidR="00EB1D14" w:rsidRPr="00E57C96">
        <w:rPr>
          <w:rFonts w:cs="Times New Roman"/>
          <w:lang w:eastAsia="en-GB"/>
        </w:rPr>
        <w:t xml:space="preserve"> </w:t>
      </w:r>
      <w:r w:rsidR="00E57C96" w:rsidRPr="00E57C96">
        <w:rPr>
          <w:rFonts w:cs="Times New Roman"/>
          <w:lang w:eastAsia="en-GB"/>
        </w:rPr>
        <w:t xml:space="preserve">the EU minimum standards outlined below.  </w:t>
      </w:r>
    </w:p>
    <w:p w14:paraId="7CFF2995" w14:textId="77777777" w:rsidR="00E57C96" w:rsidRPr="00E57C96" w:rsidRDefault="00E57C96" w:rsidP="00E57C96">
      <w:pPr>
        <w:pStyle w:val="ListParagraph"/>
        <w:rPr>
          <w:rFonts w:cs="Segoe UI"/>
          <w:lang w:val="en-US" w:eastAsia="en-GB"/>
        </w:rPr>
      </w:pPr>
    </w:p>
    <w:p w14:paraId="5FBEF5DF" w14:textId="5A05115A" w:rsidR="00600F89" w:rsidRPr="0063224D" w:rsidRDefault="00E57C96" w:rsidP="00600F89">
      <w:pPr>
        <w:pStyle w:val="ListParagraph"/>
        <w:numPr>
          <w:ilvl w:val="1"/>
          <w:numId w:val="9"/>
        </w:numPr>
        <w:ind w:left="709" w:hanging="709"/>
        <w:rPr>
          <w:b/>
          <w:bCs/>
        </w:rPr>
      </w:pPr>
      <w:r w:rsidRPr="00E57C96">
        <w:rPr>
          <w:rFonts w:cs="Segoe UI"/>
          <w:lang w:val="en-US" w:eastAsia="en-GB"/>
        </w:rPr>
        <w:t xml:space="preserve">Prior to UK withdrawal, </w:t>
      </w:r>
      <w:r w:rsidRPr="002A4054">
        <w:t>the Court of Justice of the EU (CJEU) had developed the requirement of effectiveness of EU law,</w:t>
      </w:r>
      <w:r w:rsidR="002453E5">
        <w:rPr>
          <w:rStyle w:val="FootnoteReference"/>
        </w:rPr>
        <w:footnoteReference w:id="43"/>
      </w:r>
      <w:r w:rsidRPr="002A4054">
        <w:t xml:space="preserve"> which included effective judicial protection as a general principle.</w:t>
      </w:r>
      <w:r w:rsidRPr="002A4054">
        <w:rPr>
          <w:rStyle w:val="FootnoteReference"/>
        </w:rPr>
        <w:footnoteReference w:id="44"/>
      </w:r>
      <w:r w:rsidRPr="002A4054">
        <w:t xml:space="preserve">  The CJEU has consistently identified access to courts and the right to a remedy a</w:t>
      </w:r>
      <w:r w:rsidR="00E40904">
        <w:t>s</w:t>
      </w:r>
      <w:r w:rsidRPr="002A4054">
        <w:t xml:space="preserve"> essential for the vindication of EU law rights</w:t>
      </w:r>
      <w:r w:rsidRPr="00E07035">
        <w:rPr>
          <w:rStyle w:val="FootnoteReference"/>
        </w:rPr>
        <w:footnoteReference w:id="45"/>
      </w:r>
      <w:r w:rsidRPr="002B65B0">
        <w:t xml:space="preserve"> </w:t>
      </w:r>
      <w:r w:rsidRPr="002A4054">
        <w:t>and also accepted the imposition of reasonable national restrictions.</w:t>
      </w:r>
      <w:r w:rsidRPr="002A4054">
        <w:rPr>
          <w:rStyle w:val="FootnoteReference"/>
        </w:rPr>
        <w:footnoteReference w:id="46"/>
      </w:r>
      <w:r w:rsidRPr="002A4054">
        <w:t xml:space="preserve"> The </w:t>
      </w:r>
      <w:r w:rsidR="003A5514">
        <w:t>NIHRC</w:t>
      </w:r>
      <w:r w:rsidR="003A5514" w:rsidRPr="002A4054">
        <w:t xml:space="preserve"> </w:t>
      </w:r>
      <w:r w:rsidRPr="002A4054">
        <w:t xml:space="preserve">has identified a range of measures which underpin </w:t>
      </w:r>
      <w:r w:rsidR="00EF1932">
        <w:t>the rights, safeguards and equality of opportunity</w:t>
      </w:r>
      <w:r w:rsidRPr="002A4054">
        <w:t xml:space="preserve"> part of the Belfast (Good Friday) Agreement.</w:t>
      </w:r>
      <w:r w:rsidRPr="002A4054">
        <w:rPr>
          <w:rStyle w:val="FootnoteReference"/>
        </w:rPr>
        <w:footnoteReference w:id="47"/>
      </w:r>
      <w:r w:rsidRPr="002A4054">
        <w:t xml:space="preserve"> </w:t>
      </w:r>
      <w:bookmarkStart w:id="6" w:name="_Hlk166773245"/>
      <w:r w:rsidRPr="002A4054">
        <w:t>Where required by the UK-EU Withdrawal Agreement, including Windsor Framework Article 2, the EU Charter of Fundamental Rights continues to have relevance in NI</w:t>
      </w:r>
      <w:bookmarkEnd w:id="6"/>
      <w:r w:rsidRPr="002A4054">
        <w:t>.</w:t>
      </w:r>
      <w:r w:rsidRPr="002A4054">
        <w:rPr>
          <w:rStyle w:val="FootnoteReference"/>
        </w:rPr>
        <w:footnoteReference w:id="48"/>
      </w:r>
      <w:r w:rsidRPr="002A4054">
        <w:t xml:space="preserve">  </w:t>
      </w:r>
    </w:p>
    <w:p w14:paraId="6D828C76" w14:textId="77777777" w:rsidR="0063224D" w:rsidRPr="0063224D" w:rsidRDefault="0063224D" w:rsidP="0063224D">
      <w:pPr>
        <w:pStyle w:val="ListParagraph"/>
        <w:rPr>
          <w:b/>
          <w:bCs/>
        </w:rPr>
      </w:pPr>
    </w:p>
    <w:p w14:paraId="75DBFC38" w14:textId="5B668FD2" w:rsidR="0063224D" w:rsidRPr="0063224D" w:rsidRDefault="0063224D" w:rsidP="0063224D">
      <w:pPr>
        <w:pStyle w:val="ListParagraph"/>
        <w:numPr>
          <w:ilvl w:val="1"/>
          <w:numId w:val="9"/>
        </w:numPr>
        <w:ind w:left="709" w:hanging="709"/>
        <w:rPr>
          <w:b/>
          <w:bCs/>
        </w:rPr>
      </w:pPr>
      <w:r w:rsidRPr="0063224D">
        <w:rPr>
          <w:rFonts w:cs="Times New Roman"/>
          <w:b/>
          <w:bCs/>
        </w:rPr>
        <w:t>Th</w:t>
      </w:r>
      <w:r w:rsidRPr="7679F3B5">
        <w:rPr>
          <w:rFonts w:cs="Times New Roman"/>
          <w:b/>
          <w:bCs/>
        </w:rPr>
        <w:t xml:space="preserve">e NIHRC recommends that the </w:t>
      </w:r>
      <w:r>
        <w:rPr>
          <w:rFonts w:cs="Times New Roman"/>
          <w:b/>
          <w:bCs/>
        </w:rPr>
        <w:t xml:space="preserve">Department of Justice should actively consider </w:t>
      </w:r>
      <w:r w:rsidRPr="7679F3B5">
        <w:rPr>
          <w:rFonts w:cs="Times New Roman"/>
          <w:b/>
          <w:bCs/>
        </w:rPr>
        <w:t xml:space="preserve">Windsor Framework Article 2 in the </w:t>
      </w:r>
      <w:r>
        <w:rPr>
          <w:rFonts w:cs="Times New Roman"/>
          <w:b/>
          <w:bCs/>
        </w:rPr>
        <w:t xml:space="preserve">review, </w:t>
      </w:r>
      <w:r w:rsidRPr="7679F3B5">
        <w:rPr>
          <w:rFonts w:cs="Times New Roman"/>
          <w:b/>
          <w:bCs/>
        </w:rPr>
        <w:t xml:space="preserve">development, and implementation of any and all policy on </w:t>
      </w:r>
      <w:r>
        <w:rPr>
          <w:rFonts w:cs="Times New Roman"/>
          <w:b/>
          <w:bCs/>
        </w:rPr>
        <w:t xml:space="preserve">civil legal aid provision in NI. </w:t>
      </w:r>
    </w:p>
    <w:p w14:paraId="30D96F02" w14:textId="77777777" w:rsidR="00945C80" w:rsidRDefault="00945C80" w:rsidP="00945C80"/>
    <w:p w14:paraId="3BEB4A7F" w14:textId="06FCF1EB" w:rsidR="00600F89" w:rsidRPr="00945C80" w:rsidRDefault="00600F89" w:rsidP="00945C80">
      <w:pPr>
        <w:rPr>
          <w:i/>
          <w:iCs/>
        </w:rPr>
      </w:pPr>
      <w:r w:rsidRPr="00945C80">
        <w:rPr>
          <w:i/>
          <w:iCs/>
        </w:rPr>
        <w:t>The Right to an Effective Remedy</w:t>
      </w:r>
    </w:p>
    <w:p w14:paraId="11810C28" w14:textId="77777777" w:rsidR="00945C80" w:rsidRPr="00600F89" w:rsidRDefault="00945C80" w:rsidP="00945C80">
      <w:pPr>
        <w:rPr>
          <w:b/>
        </w:rPr>
      </w:pPr>
    </w:p>
    <w:p w14:paraId="301842A4" w14:textId="05C89C47" w:rsidR="00600F89" w:rsidRPr="007E2CFA" w:rsidRDefault="00600F89" w:rsidP="00600F89">
      <w:pPr>
        <w:pStyle w:val="ListParagraph"/>
        <w:numPr>
          <w:ilvl w:val="1"/>
          <w:numId w:val="9"/>
        </w:numPr>
        <w:ind w:left="709" w:hanging="709"/>
        <w:rPr>
          <w:b/>
          <w:bCs/>
        </w:rPr>
      </w:pPr>
      <w:r w:rsidRPr="00600F89">
        <w:rPr>
          <w:rFonts w:cs="Segoe UI"/>
          <w:lang w:val="en-US" w:eastAsia="en-GB"/>
        </w:rPr>
        <w:t xml:space="preserve">Article 47 of the EU Charter of Fundamental Rights provides for the right to an effective remedy and to a fair trial, which is applicable to proceedings concerning all rights and freedoms derived from EU law. Article 47 of the EU Charter stipulates “legal aid shall be made available to those who lack sufficient resources in so far as such aid is necessary to ensure effective access to justice”. The explanations to </w:t>
      </w:r>
      <w:r w:rsidRPr="00600F89">
        <w:rPr>
          <w:rFonts w:cs="Arial"/>
          <w:color w:val="000000" w:themeColor="text1"/>
          <w:shd w:val="clear" w:color="auto" w:fill="FFFFFF"/>
        </w:rPr>
        <w:t>Article 47 clarify that, in accordance with the jurisprudence of the ECtHR, provisions should be made for legal aid “</w:t>
      </w:r>
      <w:r w:rsidRPr="00600F89">
        <w:rPr>
          <w:color w:val="000000" w:themeColor="text1"/>
        </w:rPr>
        <w:t>where the absence of such aid would make it impossible to ensure an effective remedy”.</w:t>
      </w:r>
      <w:r w:rsidRPr="00C339E4">
        <w:rPr>
          <w:rStyle w:val="FootnoteReference"/>
          <w:rFonts w:cs="Arial"/>
          <w:color w:val="000000" w:themeColor="text1"/>
          <w:shd w:val="clear" w:color="auto" w:fill="FFFFFF"/>
        </w:rPr>
        <w:footnoteReference w:id="49"/>
      </w:r>
      <w:r w:rsidRPr="00600F89">
        <w:rPr>
          <w:color w:val="000000" w:themeColor="text1"/>
        </w:rPr>
        <w:t xml:space="preserve"> The CJEU clarified the scope of Article 47 in </w:t>
      </w:r>
      <w:r w:rsidRPr="00600F89">
        <w:rPr>
          <w:i/>
          <w:iCs/>
          <w:color w:val="000000" w:themeColor="text1"/>
        </w:rPr>
        <w:t xml:space="preserve">DEB v Germany </w:t>
      </w:r>
      <w:r w:rsidRPr="00600F89">
        <w:rPr>
          <w:color w:val="000000" w:themeColor="text1"/>
        </w:rPr>
        <w:t>concluding that the guarantee of the right to effective access to courts may, in certain cases, require the grant of legal aid like the dispensation from advance payment of court fees and/or the assistance of a lawyer.</w:t>
      </w:r>
      <w:r w:rsidRPr="00D174E8">
        <w:rPr>
          <w:rStyle w:val="FootnoteReference"/>
          <w:color w:val="000000" w:themeColor="text1"/>
        </w:rPr>
        <w:footnoteReference w:id="50"/>
      </w:r>
      <w:r w:rsidRPr="00600F89">
        <w:rPr>
          <w:color w:val="000000" w:themeColor="text1"/>
        </w:rPr>
        <w:t xml:space="preserve"> In addition, the CJEU has recognised that the notion of the equality of arms is a procedural right inherent to Article 47.</w:t>
      </w:r>
      <w:r w:rsidRPr="005A0740">
        <w:rPr>
          <w:rStyle w:val="FootnoteReference"/>
          <w:color w:val="000000" w:themeColor="text1"/>
        </w:rPr>
        <w:footnoteReference w:id="51"/>
      </w:r>
    </w:p>
    <w:p w14:paraId="0458BF9C" w14:textId="77777777" w:rsidR="007E2CFA" w:rsidRPr="001E65E6" w:rsidRDefault="007E2CFA" w:rsidP="007E2CFA">
      <w:pPr>
        <w:pStyle w:val="ListParagraph"/>
        <w:ind w:left="709"/>
        <w:rPr>
          <w:b/>
          <w:bCs/>
        </w:rPr>
      </w:pPr>
    </w:p>
    <w:p w14:paraId="1F63E7CA" w14:textId="27D4CFDB" w:rsidR="00055A8E" w:rsidRPr="00221F92" w:rsidRDefault="00203B5B" w:rsidP="00600F89">
      <w:pPr>
        <w:pStyle w:val="ListParagraph"/>
        <w:numPr>
          <w:ilvl w:val="1"/>
          <w:numId w:val="9"/>
        </w:numPr>
        <w:ind w:left="709" w:hanging="709"/>
        <w:rPr>
          <w:b/>
          <w:bCs/>
        </w:rPr>
      </w:pPr>
      <w:r>
        <w:rPr>
          <w:color w:val="000000" w:themeColor="text1"/>
        </w:rPr>
        <w:t xml:space="preserve">Further </w:t>
      </w:r>
      <w:r w:rsidR="00F43C6F">
        <w:rPr>
          <w:color w:val="000000" w:themeColor="text1"/>
        </w:rPr>
        <w:t xml:space="preserve">to </w:t>
      </w:r>
      <w:r w:rsidR="00196069">
        <w:rPr>
          <w:color w:val="000000" w:themeColor="text1"/>
        </w:rPr>
        <w:t xml:space="preserve">Article </w:t>
      </w:r>
      <w:r w:rsidR="00D60E12">
        <w:rPr>
          <w:color w:val="000000" w:themeColor="text1"/>
        </w:rPr>
        <w:t xml:space="preserve">51 </w:t>
      </w:r>
      <w:r w:rsidR="003F330E">
        <w:rPr>
          <w:color w:val="000000" w:themeColor="text1"/>
        </w:rPr>
        <w:t>of the</w:t>
      </w:r>
      <w:r w:rsidR="00EF1932">
        <w:rPr>
          <w:color w:val="000000" w:themeColor="text1"/>
        </w:rPr>
        <w:t xml:space="preserve"> EU</w:t>
      </w:r>
      <w:r w:rsidR="003F330E">
        <w:rPr>
          <w:color w:val="000000" w:themeColor="text1"/>
        </w:rPr>
        <w:t xml:space="preserve"> Charter of Fundamental Rights</w:t>
      </w:r>
      <w:r w:rsidR="007E2CFA">
        <w:rPr>
          <w:color w:val="000000" w:themeColor="text1"/>
        </w:rPr>
        <w:t>,</w:t>
      </w:r>
      <w:r>
        <w:rPr>
          <w:color w:val="000000" w:themeColor="text1"/>
        </w:rPr>
        <w:t xml:space="preserve"> and related caselaw</w:t>
      </w:r>
      <w:r w:rsidR="003F330E">
        <w:rPr>
          <w:color w:val="000000" w:themeColor="text1"/>
        </w:rPr>
        <w:t xml:space="preserve">, its provisions </w:t>
      </w:r>
      <w:r w:rsidR="00DC1752">
        <w:rPr>
          <w:color w:val="000000" w:themeColor="text1"/>
        </w:rPr>
        <w:t xml:space="preserve">are binding when the state is “implementing EU law”, in other words </w:t>
      </w:r>
      <w:r w:rsidR="00C34285">
        <w:rPr>
          <w:color w:val="000000" w:themeColor="text1"/>
        </w:rPr>
        <w:t xml:space="preserve">acting </w:t>
      </w:r>
      <w:r w:rsidR="002942F5">
        <w:rPr>
          <w:color w:val="000000" w:themeColor="text1"/>
        </w:rPr>
        <w:t>“within the material scope of EU law”.</w:t>
      </w:r>
      <w:r w:rsidR="00AD0697">
        <w:rPr>
          <w:rStyle w:val="FootnoteReference"/>
          <w:color w:val="000000" w:themeColor="text1"/>
        </w:rPr>
        <w:footnoteReference w:id="52"/>
      </w:r>
      <w:r w:rsidR="00C34285">
        <w:rPr>
          <w:color w:val="000000" w:themeColor="text1"/>
        </w:rPr>
        <w:t xml:space="preserve"> This means</w:t>
      </w:r>
      <w:r w:rsidR="00F23B06">
        <w:rPr>
          <w:color w:val="000000" w:themeColor="text1"/>
        </w:rPr>
        <w:t>, for example,</w:t>
      </w:r>
      <w:r w:rsidR="00C34285">
        <w:rPr>
          <w:color w:val="000000" w:themeColor="text1"/>
        </w:rPr>
        <w:t xml:space="preserve"> that </w:t>
      </w:r>
      <w:r w:rsidR="006C71C3">
        <w:rPr>
          <w:color w:val="000000" w:themeColor="text1"/>
        </w:rPr>
        <w:t xml:space="preserve">disputes </w:t>
      </w:r>
      <w:r w:rsidR="009A0C67">
        <w:rPr>
          <w:color w:val="000000" w:themeColor="text1"/>
        </w:rPr>
        <w:t xml:space="preserve">in areas of </w:t>
      </w:r>
      <w:r w:rsidR="00C34285">
        <w:rPr>
          <w:color w:val="000000" w:themeColor="text1"/>
        </w:rPr>
        <w:t xml:space="preserve">law falling within the scope of the </w:t>
      </w:r>
      <w:r w:rsidR="00F23B06">
        <w:rPr>
          <w:color w:val="000000" w:themeColor="text1"/>
        </w:rPr>
        <w:t xml:space="preserve">EU measures relevant to the </w:t>
      </w:r>
      <w:r w:rsidR="00C34285">
        <w:rPr>
          <w:color w:val="000000" w:themeColor="text1"/>
        </w:rPr>
        <w:t>Windsor Framework</w:t>
      </w:r>
      <w:r w:rsidR="00D85A1E">
        <w:rPr>
          <w:color w:val="000000" w:themeColor="text1"/>
        </w:rPr>
        <w:t>,</w:t>
      </w:r>
      <w:r w:rsidR="006C71C3">
        <w:rPr>
          <w:color w:val="000000" w:themeColor="text1"/>
        </w:rPr>
        <w:t xml:space="preserve"> must be read in light of</w:t>
      </w:r>
      <w:r w:rsidR="00F23B06">
        <w:rPr>
          <w:color w:val="000000" w:themeColor="text1"/>
        </w:rPr>
        <w:t xml:space="preserve"> the </w:t>
      </w:r>
      <w:r w:rsidR="00F43C6F">
        <w:rPr>
          <w:color w:val="000000" w:themeColor="text1"/>
        </w:rPr>
        <w:t>Article 47</w:t>
      </w:r>
      <w:r w:rsidR="00F23B06">
        <w:rPr>
          <w:color w:val="000000" w:themeColor="text1"/>
        </w:rPr>
        <w:t xml:space="preserve"> right to an effective remedy.</w:t>
      </w:r>
      <w:r w:rsidR="00D5241E">
        <w:rPr>
          <w:color w:val="000000" w:themeColor="text1"/>
        </w:rPr>
        <w:t xml:space="preserve"> This </w:t>
      </w:r>
      <w:r w:rsidR="0043772E">
        <w:rPr>
          <w:color w:val="000000" w:themeColor="text1"/>
        </w:rPr>
        <w:t xml:space="preserve">includes measures specified in the Annexes to the Windsor Framework as well as </w:t>
      </w:r>
      <w:r w:rsidR="0008369C">
        <w:rPr>
          <w:color w:val="000000" w:themeColor="text1"/>
        </w:rPr>
        <w:t>the example provided below in relation to the EU Asylum acquis.</w:t>
      </w:r>
    </w:p>
    <w:p w14:paraId="1DBA6198" w14:textId="77777777" w:rsidR="00221F92" w:rsidRPr="00221F92" w:rsidRDefault="00221F92" w:rsidP="00221F92">
      <w:pPr>
        <w:pStyle w:val="ListParagraph"/>
        <w:ind w:left="709"/>
        <w:rPr>
          <w:b/>
          <w:bCs/>
        </w:rPr>
      </w:pPr>
    </w:p>
    <w:p w14:paraId="37EFDB4F" w14:textId="202462E1" w:rsidR="00221F92" w:rsidRDefault="00221F92" w:rsidP="00221F92">
      <w:pPr>
        <w:pStyle w:val="ListParagraph"/>
        <w:numPr>
          <w:ilvl w:val="1"/>
          <w:numId w:val="9"/>
        </w:numPr>
        <w:rPr>
          <w:rFonts w:cs="Times New Roman"/>
          <w:b/>
          <w:bCs/>
        </w:rPr>
      </w:pPr>
      <w:r w:rsidRPr="0063224D">
        <w:rPr>
          <w:rFonts w:cs="Times New Roman"/>
          <w:b/>
          <w:bCs/>
        </w:rPr>
        <w:t xml:space="preserve">The NIHRC recommends that the Department of Justice should </w:t>
      </w:r>
      <w:r>
        <w:rPr>
          <w:rFonts w:cs="Times New Roman"/>
          <w:b/>
          <w:bCs/>
        </w:rPr>
        <w:t>make sure that all reviewed, developed and implemented policy in the provision of civil legal aid in NI upholds the r</w:t>
      </w:r>
      <w:r w:rsidRPr="00091160">
        <w:rPr>
          <w:rFonts w:cs="Times New Roman"/>
          <w:b/>
          <w:bCs/>
        </w:rPr>
        <w:t xml:space="preserve">ight to an </w:t>
      </w:r>
      <w:r>
        <w:rPr>
          <w:rFonts w:cs="Times New Roman"/>
          <w:b/>
          <w:bCs/>
        </w:rPr>
        <w:t>e</w:t>
      </w:r>
      <w:r w:rsidRPr="00091160">
        <w:rPr>
          <w:rFonts w:cs="Times New Roman"/>
          <w:b/>
          <w:bCs/>
        </w:rPr>
        <w:t xml:space="preserve">ffective </w:t>
      </w:r>
      <w:r>
        <w:rPr>
          <w:rFonts w:cs="Times New Roman"/>
          <w:b/>
          <w:bCs/>
        </w:rPr>
        <w:t>r</w:t>
      </w:r>
      <w:r w:rsidRPr="00091160">
        <w:rPr>
          <w:rFonts w:cs="Times New Roman"/>
          <w:b/>
          <w:bCs/>
        </w:rPr>
        <w:t>emed</w:t>
      </w:r>
      <w:r>
        <w:rPr>
          <w:rFonts w:cs="Times New Roman"/>
          <w:b/>
          <w:bCs/>
        </w:rPr>
        <w:t xml:space="preserve">y and a fair trial provided for in </w:t>
      </w:r>
      <w:r w:rsidR="00EF1932">
        <w:rPr>
          <w:rFonts w:cs="Times New Roman"/>
          <w:b/>
          <w:bCs/>
        </w:rPr>
        <w:t>A</w:t>
      </w:r>
      <w:r w:rsidR="00EF1932" w:rsidRPr="00091160">
        <w:rPr>
          <w:rFonts w:cs="Times New Roman"/>
          <w:b/>
          <w:bCs/>
        </w:rPr>
        <w:t xml:space="preserve">rticle </w:t>
      </w:r>
      <w:r w:rsidRPr="00091160">
        <w:rPr>
          <w:rFonts w:cs="Times New Roman"/>
          <w:b/>
          <w:bCs/>
        </w:rPr>
        <w:t>47 of the EU Charter of Fundamental Rights</w:t>
      </w:r>
      <w:r>
        <w:rPr>
          <w:rFonts w:cs="Times New Roman"/>
          <w:b/>
          <w:bCs/>
        </w:rPr>
        <w:t xml:space="preserve"> and CJEU case law. </w:t>
      </w:r>
    </w:p>
    <w:p w14:paraId="2F0FE667" w14:textId="77777777" w:rsidR="00600F89" w:rsidRPr="00221F92" w:rsidRDefault="00600F89" w:rsidP="00221F92">
      <w:pPr>
        <w:rPr>
          <w:b/>
          <w:bCs/>
        </w:rPr>
      </w:pPr>
    </w:p>
    <w:p w14:paraId="539F6803" w14:textId="1006C607" w:rsidR="00600F89" w:rsidRPr="00600F89" w:rsidRDefault="00600F89" w:rsidP="00600F89">
      <w:pPr>
        <w:rPr>
          <w:i/>
          <w:iCs/>
        </w:rPr>
      </w:pPr>
      <w:r w:rsidRPr="00600F89">
        <w:rPr>
          <w:i/>
          <w:iCs/>
        </w:rPr>
        <w:t>Access to Civil Legal Aid in EU Asylum Acquis</w:t>
      </w:r>
    </w:p>
    <w:p w14:paraId="0B50F155" w14:textId="77777777" w:rsidR="00600F89" w:rsidRPr="00600F89" w:rsidRDefault="00600F89" w:rsidP="00600F89">
      <w:pPr>
        <w:rPr>
          <w:b/>
          <w:bCs/>
        </w:rPr>
      </w:pPr>
    </w:p>
    <w:p w14:paraId="5EB5F708" w14:textId="2E898D94" w:rsidR="00600F89" w:rsidRPr="00600F89" w:rsidRDefault="00600F89" w:rsidP="00600F89">
      <w:pPr>
        <w:pStyle w:val="ListParagraph"/>
        <w:numPr>
          <w:ilvl w:val="1"/>
          <w:numId w:val="9"/>
        </w:numPr>
        <w:ind w:left="709" w:hanging="709"/>
        <w:rPr>
          <w:b/>
          <w:bCs/>
        </w:rPr>
      </w:pPr>
      <w:r w:rsidRPr="00600F89">
        <w:rPr>
          <w:rFonts w:cs="Arial"/>
          <w:color w:val="000000" w:themeColor="text1"/>
          <w:shd w:val="clear" w:color="auto" w:fill="FFFFFF"/>
        </w:rPr>
        <w:t xml:space="preserve">Prior to UK withdrawal from the EU, the EU Procedures Directive set minimum EU standards for </w:t>
      </w:r>
      <w:r w:rsidR="00294B1A">
        <w:rPr>
          <w:rFonts w:cs="Arial"/>
          <w:color w:val="000000" w:themeColor="text1"/>
          <w:shd w:val="clear" w:color="auto" w:fill="FFFFFF"/>
        </w:rPr>
        <w:t xml:space="preserve">the provision of </w:t>
      </w:r>
      <w:r w:rsidRPr="00600F89">
        <w:rPr>
          <w:rFonts w:cs="Arial"/>
          <w:color w:val="000000" w:themeColor="text1"/>
          <w:shd w:val="clear" w:color="auto" w:fill="FFFFFF"/>
        </w:rPr>
        <w:t>legal</w:t>
      </w:r>
      <w:r w:rsidR="003A2BC9">
        <w:rPr>
          <w:rFonts w:cs="Arial"/>
          <w:color w:val="000000" w:themeColor="text1"/>
          <w:shd w:val="clear" w:color="auto" w:fill="FFFFFF"/>
        </w:rPr>
        <w:t xml:space="preserve"> assistance and</w:t>
      </w:r>
      <w:r w:rsidRPr="00600F89">
        <w:rPr>
          <w:rFonts w:cs="Arial"/>
          <w:color w:val="000000" w:themeColor="text1"/>
          <w:shd w:val="clear" w:color="auto" w:fill="FFFFFF"/>
        </w:rPr>
        <w:t xml:space="preserve"> aid</w:t>
      </w:r>
      <w:r w:rsidR="00984E7A">
        <w:rPr>
          <w:rFonts w:cs="Arial"/>
          <w:color w:val="000000" w:themeColor="text1"/>
          <w:shd w:val="clear" w:color="auto" w:fill="FFFFFF"/>
        </w:rPr>
        <w:t xml:space="preserve"> </w:t>
      </w:r>
      <w:r w:rsidR="00294B1A">
        <w:rPr>
          <w:rFonts w:cs="Arial"/>
          <w:color w:val="000000" w:themeColor="text1"/>
          <w:shd w:val="clear" w:color="auto" w:fill="FFFFFF"/>
        </w:rPr>
        <w:t>to</w:t>
      </w:r>
      <w:r w:rsidR="00E843B1">
        <w:rPr>
          <w:rFonts w:cs="Arial"/>
          <w:color w:val="000000" w:themeColor="text1"/>
          <w:shd w:val="clear" w:color="auto" w:fill="FFFFFF"/>
        </w:rPr>
        <w:t xml:space="preserve"> asylum-seekers</w:t>
      </w:r>
      <w:r w:rsidRPr="00600F89">
        <w:rPr>
          <w:rFonts w:cs="Arial"/>
          <w:color w:val="000000" w:themeColor="text1"/>
          <w:shd w:val="clear" w:color="auto" w:fill="FFFFFF"/>
        </w:rPr>
        <w:t>.</w:t>
      </w:r>
      <w:r w:rsidRPr="00076E03">
        <w:rPr>
          <w:shd w:val="clear" w:color="auto" w:fill="FFFFFF"/>
          <w:vertAlign w:val="superscript"/>
        </w:rPr>
        <w:footnoteReference w:id="53"/>
      </w:r>
      <w:r w:rsidRPr="00600F89">
        <w:rPr>
          <w:rFonts w:cs="Arial"/>
          <w:color w:val="000000" w:themeColor="text1"/>
          <w:shd w:val="clear" w:color="auto" w:fill="FFFFFF"/>
        </w:rPr>
        <w:t xml:space="preserve"> The </w:t>
      </w:r>
      <w:r w:rsidR="00791928">
        <w:rPr>
          <w:rFonts w:cs="Arial"/>
          <w:color w:val="000000" w:themeColor="text1"/>
          <w:shd w:val="clear" w:color="auto" w:fill="FFFFFF"/>
        </w:rPr>
        <w:t>EU general</w:t>
      </w:r>
      <w:r w:rsidR="000F136C" w:rsidRPr="00196A57">
        <w:rPr>
          <w:rFonts w:cs="Arial"/>
          <w:color w:val="000000" w:themeColor="text1"/>
          <w:shd w:val="clear" w:color="auto" w:fill="FFFFFF"/>
        </w:rPr>
        <w:t xml:space="preserve"> principle of effective judicial protection mandates that Member States ensure the objectives of these EU instruments are achieved.</w:t>
      </w:r>
    </w:p>
    <w:p w14:paraId="02067EE8" w14:textId="77777777" w:rsidR="00600F89" w:rsidRPr="00600F89" w:rsidRDefault="00600F89" w:rsidP="00600F89">
      <w:pPr>
        <w:pStyle w:val="ListParagraph"/>
        <w:ind w:left="709"/>
        <w:rPr>
          <w:b/>
          <w:bCs/>
        </w:rPr>
      </w:pPr>
    </w:p>
    <w:p w14:paraId="411C1D4E" w14:textId="52E9EDCF" w:rsidR="000F136C" w:rsidRPr="00196A57" w:rsidRDefault="00600F89" w:rsidP="000F136C">
      <w:pPr>
        <w:pStyle w:val="ListParagraph"/>
        <w:numPr>
          <w:ilvl w:val="1"/>
          <w:numId w:val="9"/>
        </w:numPr>
        <w:ind w:left="709" w:hanging="709"/>
        <w:rPr>
          <w:b/>
          <w:bCs/>
        </w:rPr>
      </w:pPr>
      <w:r w:rsidRPr="00600F89">
        <w:rPr>
          <w:rFonts w:cs="Arial"/>
          <w:color w:val="000000" w:themeColor="text1"/>
          <w:shd w:val="clear" w:color="auto" w:fill="FFFFFF"/>
        </w:rPr>
        <w:t xml:space="preserve">Article 10 </w:t>
      </w:r>
      <w:r w:rsidR="00294B1A">
        <w:rPr>
          <w:rFonts w:cs="Arial"/>
          <w:color w:val="000000" w:themeColor="text1"/>
          <w:shd w:val="clear" w:color="auto" w:fill="FFFFFF"/>
        </w:rPr>
        <w:t>of the EU</w:t>
      </w:r>
      <w:r w:rsidR="000F136C" w:rsidRPr="00196A57">
        <w:rPr>
          <w:rFonts w:cs="Arial"/>
          <w:color w:val="000000" w:themeColor="text1"/>
          <w:shd w:val="clear" w:color="auto" w:fill="FFFFFF"/>
        </w:rPr>
        <w:t xml:space="preserve"> Procedures Directive</w:t>
      </w:r>
      <w:r w:rsidR="00294B1A">
        <w:rPr>
          <w:rFonts w:cs="Arial"/>
          <w:color w:val="000000" w:themeColor="text1"/>
          <w:shd w:val="clear" w:color="auto" w:fill="FFFFFF"/>
        </w:rPr>
        <w:t xml:space="preserve"> </w:t>
      </w:r>
      <w:r w:rsidR="000F136C" w:rsidRPr="00196A57">
        <w:rPr>
          <w:rFonts w:cs="Arial"/>
          <w:color w:val="000000" w:themeColor="text1"/>
          <w:shd w:val="clear" w:color="auto" w:fill="FFFFFF"/>
        </w:rPr>
        <w:t xml:space="preserve">provides for access to interpretation and stipulates that persons seeking asylum should be informed of the </w:t>
      </w:r>
      <w:r w:rsidRPr="00600F89">
        <w:rPr>
          <w:rFonts w:cs="Arial"/>
          <w:color w:val="000000" w:themeColor="text1"/>
          <w:shd w:val="clear" w:color="auto" w:fill="FFFFFF"/>
        </w:rPr>
        <w:t>decision</w:t>
      </w:r>
      <w:r w:rsidR="000F136C" w:rsidRPr="00196A57">
        <w:rPr>
          <w:rFonts w:cs="Arial"/>
          <w:color w:val="000000" w:themeColor="text1"/>
          <w:shd w:val="clear" w:color="auto" w:fill="FFFFFF"/>
        </w:rPr>
        <w:t xml:space="preserve"> by the determining authority in a language they can reasonably be expected to understand when they are not assisted or represented by a legal adviser or counsellor, and when free legal assistance is not available.</w:t>
      </w:r>
      <w:r w:rsidR="00294B1A" w:rsidRPr="00D61DC4">
        <w:rPr>
          <w:shd w:val="clear" w:color="auto" w:fill="FFFFFF"/>
          <w:vertAlign w:val="superscript"/>
        </w:rPr>
        <w:footnoteReference w:id="54"/>
      </w:r>
      <w:r w:rsidR="000F136C" w:rsidRPr="00196A57">
        <w:rPr>
          <w:rFonts w:cs="Arial"/>
          <w:i/>
          <w:iCs/>
          <w:color w:val="000000" w:themeColor="text1"/>
          <w:shd w:val="clear" w:color="auto" w:fill="FFFFFF"/>
        </w:rPr>
        <w:t xml:space="preserve"> </w:t>
      </w:r>
      <w:r w:rsidR="000F136C" w:rsidRPr="00196A57">
        <w:rPr>
          <w:rFonts w:cs="Arial"/>
          <w:color w:val="000000" w:themeColor="text1"/>
          <w:shd w:val="clear" w:color="auto" w:fill="FFFFFF"/>
        </w:rPr>
        <w:t xml:space="preserve">Article 15 provides </w:t>
      </w:r>
      <w:r w:rsidRPr="00600F89">
        <w:rPr>
          <w:rFonts w:cs="Arial"/>
          <w:color w:val="000000" w:themeColor="text1"/>
          <w:shd w:val="clear" w:color="auto" w:fill="FFFFFF"/>
        </w:rPr>
        <w:t>that in the case of the refusal of an asylum application by a determining authority, free legal assistance and/or representation be granted on request subject to certain conditions.</w:t>
      </w:r>
      <w:r w:rsidRPr="00D61DC4">
        <w:rPr>
          <w:rStyle w:val="FootnoteReference"/>
          <w:rFonts w:cs="Arial"/>
          <w:color w:val="000000" w:themeColor="text1"/>
          <w:shd w:val="clear" w:color="auto" w:fill="FFFFFF"/>
        </w:rPr>
        <w:footnoteReference w:id="55"/>
      </w:r>
    </w:p>
    <w:p w14:paraId="084C8F62" w14:textId="77777777" w:rsidR="0063618E" w:rsidRPr="0063618E" w:rsidRDefault="0063618E" w:rsidP="0063618E">
      <w:pPr>
        <w:pStyle w:val="ListParagraph"/>
        <w:rPr>
          <w:rFonts w:cs="Times New Roman"/>
          <w:b/>
          <w:bCs/>
        </w:rPr>
      </w:pPr>
    </w:p>
    <w:p w14:paraId="6290268D" w14:textId="436ED603" w:rsidR="0063224D" w:rsidRDefault="009F73D0" w:rsidP="009F73D0">
      <w:pPr>
        <w:pStyle w:val="ListParagraph"/>
        <w:numPr>
          <w:ilvl w:val="1"/>
          <w:numId w:val="9"/>
        </w:numPr>
        <w:rPr>
          <w:rFonts w:cs="Times New Roman"/>
          <w:b/>
          <w:bCs/>
        </w:rPr>
      </w:pPr>
      <w:r w:rsidRPr="009F73D0">
        <w:rPr>
          <w:rFonts w:cs="Times New Roman"/>
          <w:b/>
          <w:bCs/>
        </w:rPr>
        <w:t>The NIHRC also recommends that the Department of Justice</w:t>
      </w:r>
      <w:r>
        <w:rPr>
          <w:rFonts w:cs="Times New Roman"/>
          <w:b/>
          <w:bCs/>
        </w:rPr>
        <w:t xml:space="preserve"> </w:t>
      </w:r>
      <w:r w:rsidR="004A58B5">
        <w:rPr>
          <w:rFonts w:cs="Times New Roman"/>
          <w:b/>
          <w:bCs/>
        </w:rPr>
        <w:t>considers</w:t>
      </w:r>
      <w:r>
        <w:rPr>
          <w:rFonts w:cs="Times New Roman"/>
          <w:b/>
          <w:bCs/>
        </w:rPr>
        <w:t xml:space="preserve"> the EU asylum acquis</w:t>
      </w:r>
      <w:r w:rsidR="0063618E">
        <w:rPr>
          <w:rFonts w:cs="Times New Roman"/>
          <w:b/>
          <w:bCs/>
        </w:rPr>
        <w:t xml:space="preserve"> while reviewing, </w:t>
      </w:r>
      <w:r w:rsidR="00C23830">
        <w:rPr>
          <w:rFonts w:cs="Times New Roman"/>
          <w:b/>
          <w:bCs/>
        </w:rPr>
        <w:t>developing,</w:t>
      </w:r>
      <w:r w:rsidR="0063618E">
        <w:rPr>
          <w:rFonts w:cs="Times New Roman"/>
          <w:b/>
          <w:bCs/>
        </w:rPr>
        <w:t xml:space="preserve"> and implementing policy in the provision of civil legal aid in NI</w:t>
      </w:r>
      <w:r w:rsidR="00C23830">
        <w:rPr>
          <w:rFonts w:cs="Times New Roman"/>
          <w:b/>
          <w:bCs/>
        </w:rPr>
        <w:t xml:space="preserve">. </w:t>
      </w:r>
    </w:p>
    <w:p w14:paraId="649461CC" w14:textId="77777777" w:rsidR="00984544" w:rsidRPr="00984544" w:rsidRDefault="00984544" w:rsidP="00984544">
      <w:pPr>
        <w:pStyle w:val="ListParagraph"/>
        <w:rPr>
          <w:rFonts w:cs="Times New Roman"/>
          <w:b/>
          <w:bCs/>
        </w:rPr>
      </w:pPr>
    </w:p>
    <w:p w14:paraId="24A18C69" w14:textId="2CA9AC1C" w:rsidR="00984544" w:rsidRPr="0095287A" w:rsidRDefault="0095287A" w:rsidP="0095287A">
      <w:pPr>
        <w:rPr>
          <w:rFonts w:cs="Times New Roman"/>
          <w:i/>
          <w:iCs/>
        </w:rPr>
      </w:pPr>
      <w:r w:rsidRPr="0095287A">
        <w:rPr>
          <w:rFonts w:cs="Times New Roman"/>
          <w:i/>
          <w:iCs/>
        </w:rPr>
        <w:t>The</w:t>
      </w:r>
      <w:r w:rsidR="00EF1932">
        <w:rPr>
          <w:rFonts w:cs="Times New Roman"/>
          <w:i/>
          <w:iCs/>
        </w:rPr>
        <w:t xml:space="preserve"> EU</w:t>
      </w:r>
      <w:r w:rsidRPr="0095287A">
        <w:rPr>
          <w:rFonts w:cs="Times New Roman"/>
          <w:i/>
          <w:iCs/>
        </w:rPr>
        <w:t xml:space="preserve"> Legal Aid Directive </w:t>
      </w:r>
    </w:p>
    <w:p w14:paraId="51D1837C" w14:textId="77777777" w:rsidR="0095287A" w:rsidRPr="00DC39D8" w:rsidRDefault="0095287A" w:rsidP="00DC39D8">
      <w:pPr>
        <w:pStyle w:val="ListParagraph"/>
        <w:rPr>
          <w:rFonts w:cs="Times New Roman"/>
          <w:b/>
          <w:bCs/>
        </w:rPr>
      </w:pPr>
    </w:p>
    <w:p w14:paraId="2ED58EBC" w14:textId="0F779957" w:rsidR="0095287A" w:rsidRDefault="0095287A" w:rsidP="009F73D0">
      <w:pPr>
        <w:pStyle w:val="ListParagraph"/>
        <w:numPr>
          <w:ilvl w:val="1"/>
          <w:numId w:val="9"/>
        </w:numPr>
        <w:rPr>
          <w:rFonts w:cs="Times New Roman"/>
        </w:rPr>
      </w:pPr>
      <w:r w:rsidRPr="00DC39D8">
        <w:rPr>
          <w:rFonts w:cs="Times New Roman"/>
        </w:rPr>
        <w:t xml:space="preserve">The </w:t>
      </w:r>
      <w:r w:rsidR="003A5514">
        <w:rPr>
          <w:rFonts w:cs="Times New Roman"/>
        </w:rPr>
        <w:t xml:space="preserve">NIHRC </w:t>
      </w:r>
      <w:r>
        <w:rPr>
          <w:rFonts w:cs="Times New Roman"/>
        </w:rPr>
        <w:t xml:space="preserve">is considering </w:t>
      </w:r>
      <w:r w:rsidR="00F6603A">
        <w:rPr>
          <w:rFonts w:cs="Times New Roman"/>
        </w:rPr>
        <w:t xml:space="preserve">the degree to which the </w:t>
      </w:r>
      <w:r w:rsidR="00EF1932">
        <w:rPr>
          <w:rFonts w:cs="Times New Roman"/>
        </w:rPr>
        <w:t xml:space="preserve">EU </w:t>
      </w:r>
      <w:r>
        <w:rPr>
          <w:rFonts w:cs="Times New Roman"/>
        </w:rPr>
        <w:t>Legal Aid Directive</w:t>
      </w:r>
      <w:r w:rsidR="00F6603A">
        <w:rPr>
          <w:rFonts w:cs="Times New Roman"/>
        </w:rPr>
        <w:t xml:space="preserve"> falls within the scope of Windsor Framework Article 2.</w:t>
      </w:r>
      <w:r w:rsidR="00732AD0">
        <w:rPr>
          <w:rFonts w:cs="Times New Roman"/>
        </w:rPr>
        <w:t xml:space="preserve"> Article 3 of the Directive </w:t>
      </w:r>
      <w:r w:rsidR="00AF4A43">
        <w:rPr>
          <w:rFonts w:cs="Times New Roman"/>
        </w:rPr>
        <w:t>states that “N</w:t>
      </w:r>
      <w:r w:rsidR="00AF4A43" w:rsidRPr="00AF4A43">
        <w:rPr>
          <w:rFonts w:cs="Times New Roman"/>
        </w:rPr>
        <w:t>atural persons involved in a dispute covered by this Directive shall be entitled to receive appropriate legal aid in order to ensure their effective access to justice in accordance with the conditions laid down in this Directive</w:t>
      </w:r>
      <w:r w:rsidR="005167C0">
        <w:rPr>
          <w:rFonts w:cs="Times New Roman"/>
        </w:rPr>
        <w:t>.”</w:t>
      </w:r>
      <w:r w:rsidR="00DA644E">
        <w:rPr>
          <w:rStyle w:val="FootnoteReference"/>
          <w:rFonts w:cs="Times New Roman"/>
        </w:rPr>
        <w:footnoteReference w:id="56"/>
      </w:r>
      <w:r w:rsidR="005167C0">
        <w:rPr>
          <w:rFonts w:cs="Times New Roman"/>
        </w:rPr>
        <w:t xml:space="preserve"> The Directive</w:t>
      </w:r>
      <w:r w:rsidR="00DA644E">
        <w:rPr>
          <w:rFonts w:cs="Times New Roman"/>
        </w:rPr>
        <w:t xml:space="preserve">, which bound the UK before </w:t>
      </w:r>
      <w:r w:rsidR="00097855">
        <w:rPr>
          <w:rFonts w:cs="Times New Roman"/>
        </w:rPr>
        <w:t>EU withdrawal,</w:t>
      </w:r>
      <w:r w:rsidR="005167C0">
        <w:rPr>
          <w:rFonts w:cs="Times New Roman"/>
        </w:rPr>
        <w:t xml:space="preserve"> is focused on </w:t>
      </w:r>
      <w:r w:rsidR="00097855">
        <w:rPr>
          <w:rFonts w:cs="Times New Roman"/>
        </w:rPr>
        <w:t>cross-border disputes</w:t>
      </w:r>
      <w:r w:rsidR="00C12370">
        <w:rPr>
          <w:rFonts w:cs="Times New Roman"/>
        </w:rPr>
        <w:t xml:space="preserve">. Before Brexit, </w:t>
      </w:r>
      <w:r w:rsidR="00F607F6">
        <w:rPr>
          <w:rFonts w:cs="Times New Roman"/>
        </w:rPr>
        <w:t xml:space="preserve">an individual could </w:t>
      </w:r>
      <w:r w:rsidR="00D91297">
        <w:rPr>
          <w:rFonts w:cs="Times New Roman"/>
        </w:rPr>
        <w:t xml:space="preserve">have relied upon the Directive to seek support in respect of a </w:t>
      </w:r>
      <w:r w:rsidR="00696E44">
        <w:rPr>
          <w:rFonts w:cs="Times New Roman"/>
        </w:rPr>
        <w:t>legal dispute in a jurisdiction other than the one in which they reside.</w:t>
      </w:r>
      <w:r w:rsidR="00F04C70">
        <w:rPr>
          <w:rFonts w:cs="Times New Roman"/>
        </w:rPr>
        <w:t xml:space="preserve"> Such protection may be of particular value</w:t>
      </w:r>
      <w:r w:rsidR="00114493">
        <w:rPr>
          <w:rFonts w:cs="Times New Roman"/>
        </w:rPr>
        <w:t xml:space="preserve"> to those with legal </w:t>
      </w:r>
      <w:r w:rsidR="00A775E3">
        <w:rPr>
          <w:rFonts w:cs="Times New Roman"/>
        </w:rPr>
        <w:t>connections in other jurisdictions such as</w:t>
      </w:r>
      <w:r w:rsidR="00F04C70">
        <w:rPr>
          <w:rFonts w:cs="Times New Roman"/>
        </w:rPr>
        <w:t xml:space="preserve"> frontier workers or EU nationals</w:t>
      </w:r>
      <w:r w:rsidR="000D39D3">
        <w:rPr>
          <w:rFonts w:cs="Times New Roman"/>
        </w:rPr>
        <w:t xml:space="preserve"> working or residing in Northern Ireland.</w:t>
      </w:r>
      <w:r w:rsidR="007D6D2B">
        <w:rPr>
          <w:rFonts w:cs="Times New Roman"/>
        </w:rPr>
        <w:t xml:space="preserve"> </w:t>
      </w:r>
      <w:r w:rsidR="009710F2">
        <w:rPr>
          <w:rFonts w:cs="Times New Roman"/>
        </w:rPr>
        <w:t xml:space="preserve">The </w:t>
      </w:r>
      <w:r w:rsidR="003A5514">
        <w:rPr>
          <w:rFonts w:cs="Times New Roman"/>
        </w:rPr>
        <w:t xml:space="preserve">NIHRC </w:t>
      </w:r>
      <w:r w:rsidR="009710F2">
        <w:rPr>
          <w:rFonts w:cs="Times New Roman"/>
        </w:rPr>
        <w:t>is considering whether withdrawal of access to such support would constitute a diminution of rights, contrary to Windsor Framework Article 2.</w:t>
      </w:r>
    </w:p>
    <w:p w14:paraId="682ECFD3" w14:textId="77777777" w:rsidR="00D34D44" w:rsidRDefault="00D34D44" w:rsidP="0014388C">
      <w:pPr>
        <w:pStyle w:val="ListParagraph"/>
        <w:rPr>
          <w:rFonts w:cs="Times New Roman"/>
        </w:rPr>
      </w:pPr>
    </w:p>
    <w:p w14:paraId="63AF9469" w14:textId="77777777" w:rsidR="00447B70" w:rsidRPr="0014388C" w:rsidRDefault="00447B70" w:rsidP="0014388C">
      <w:pPr>
        <w:pStyle w:val="ListParagraph"/>
        <w:rPr>
          <w:rFonts w:cs="Times New Roman"/>
        </w:rPr>
      </w:pPr>
    </w:p>
    <w:p w14:paraId="11EC5B0F" w14:textId="2909BB32" w:rsidR="00986EB3" w:rsidRPr="00E44B40" w:rsidRDefault="00986EB3" w:rsidP="00E44B40">
      <w:pPr>
        <w:pStyle w:val="Heading1"/>
        <w:numPr>
          <w:ilvl w:val="0"/>
          <w:numId w:val="0"/>
        </w:numPr>
        <w:spacing w:line="240" w:lineRule="auto"/>
        <w:ind w:left="360" w:hanging="360"/>
      </w:pPr>
      <w:bookmarkStart w:id="7" w:name="_Toc170204683"/>
      <w:r w:rsidRPr="00E44B40">
        <w:t>3.0</w:t>
      </w:r>
      <w:r w:rsidRPr="00E44B40">
        <w:tab/>
      </w:r>
      <w:r w:rsidR="005304CB">
        <w:t>General Comments</w:t>
      </w:r>
      <w:bookmarkEnd w:id="7"/>
      <w:r w:rsidR="00D07577" w:rsidRPr="00E44B40">
        <w:t xml:space="preserve"> </w:t>
      </w:r>
    </w:p>
    <w:p w14:paraId="5B6FBC68" w14:textId="77777777" w:rsidR="003E5133" w:rsidRDefault="003E5133" w:rsidP="00134308">
      <w:pPr>
        <w:pStyle w:val="ListParagraph"/>
        <w:ind w:left="360"/>
      </w:pPr>
    </w:p>
    <w:p w14:paraId="25A5CCE1" w14:textId="3B51F6D7" w:rsidR="00134308" w:rsidRDefault="00D35A96" w:rsidP="00134308">
      <w:pPr>
        <w:pStyle w:val="Heading2"/>
        <w:ind w:left="709" w:hanging="709"/>
      </w:pPr>
      <w:bookmarkStart w:id="8" w:name="_Toc170204684"/>
      <w:r>
        <w:t>Effective functioning and sustainability of legal aid services</w:t>
      </w:r>
      <w:bookmarkEnd w:id="8"/>
    </w:p>
    <w:p w14:paraId="35BE2E5C" w14:textId="77777777" w:rsidR="00C5358E" w:rsidRPr="00C5358E" w:rsidRDefault="00357C2C" w:rsidP="00357C2C">
      <w:pPr>
        <w:pStyle w:val="ListParagraph"/>
        <w:numPr>
          <w:ilvl w:val="1"/>
          <w:numId w:val="16"/>
        </w:numPr>
        <w:ind w:left="709" w:hanging="709"/>
      </w:pPr>
      <w:r w:rsidRPr="00357C2C">
        <w:rPr>
          <w:rFonts w:cs="Segoe UI"/>
          <w:lang w:val="en" w:eastAsia="en-GB"/>
        </w:rPr>
        <w:t xml:space="preserve">In 2024, the UN Human Rights Committee examined the implementation of the International Covenant on Civil and Political Rights in the UK and NI. It recommended that, </w:t>
      </w:r>
    </w:p>
    <w:p w14:paraId="537D99AD" w14:textId="77777777" w:rsidR="00C5358E" w:rsidRDefault="00C5358E" w:rsidP="00C5358E">
      <w:pPr>
        <w:pStyle w:val="ListParagraph"/>
        <w:ind w:left="709"/>
        <w:rPr>
          <w:rFonts w:cs="Segoe UI"/>
          <w:lang w:val="en" w:eastAsia="en-GB"/>
        </w:rPr>
      </w:pPr>
    </w:p>
    <w:p w14:paraId="51C5520C" w14:textId="5C05543D" w:rsidR="00357C2C" w:rsidRDefault="00357C2C" w:rsidP="00C5358E">
      <w:pPr>
        <w:pStyle w:val="ListParagraph"/>
        <w:ind w:left="851" w:firstLine="11"/>
      </w:pPr>
      <w:r w:rsidRPr="00233598">
        <w:t>The State party should redouble its efforts to improve access to justice through the provision of adequate free legal aid to all persons without sufficient means, especially in cases where the interests of justice so require, in accordance with article 14 (3) (d) of the Covenant, including by increasing the allocation of human and financial resources to ensure the adequate and efficient functioning and sustainability of the Legal Aid Agency.</w:t>
      </w:r>
      <w:r>
        <w:rPr>
          <w:rStyle w:val="FootnoteReference"/>
        </w:rPr>
        <w:footnoteReference w:id="57"/>
      </w:r>
    </w:p>
    <w:p w14:paraId="2E426684" w14:textId="77777777" w:rsidR="00357C2C" w:rsidRDefault="00357C2C" w:rsidP="00357C2C">
      <w:pPr>
        <w:pStyle w:val="ListParagraph"/>
        <w:ind w:left="709"/>
      </w:pPr>
    </w:p>
    <w:p w14:paraId="4E851F46" w14:textId="77777777" w:rsidR="00357C2C" w:rsidRPr="00357C2C" w:rsidRDefault="00357C2C" w:rsidP="00357C2C">
      <w:pPr>
        <w:pStyle w:val="ListParagraph"/>
        <w:numPr>
          <w:ilvl w:val="1"/>
          <w:numId w:val="16"/>
        </w:numPr>
        <w:ind w:left="709" w:hanging="709"/>
      </w:pPr>
      <w:r w:rsidRPr="00357C2C">
        <w:rPr>
          <w:rFonts w:cs="Segoe UI"/>
          <w:lang w:val="en" w:eastAsia="en-GB"/>
        </w:rPr>
        <w:t>In 2022/2023, the Legal Services Agency NI highlighted that the operational landscape continues to be challenging due to the heavy demand for services, while adapting to new ways of working and moving accommodation, amid significant funding pressures.</w:t>
      </w:r>
      <w:r>
        <w:rPr>
          <w:rStyle w:val="FootnoteReference"/>
          <w:rFonts w:cs="Segoe UI"/>
          <w:lang w:val="en" w:eastAsia="en-GB"/>
        </w:rPr>
        <w:footnoteReference w:id="58"/>
      </w:r>
      <w:r w:rsidRPr="00357C2C">
        <w:rPr>
          <w:rFonts w:cs="Segoe UI"/>
          <w:lang w:val="en" w:eastAsia="en-GB"/>
        </w:rPr>
        <w:t xml:space="preserve"> The Law Society of NI and the Bar of NI advise that existing pressures in the legal aid system are further exacerbated by structural issues.</w:t>
      </w:r>
      <w:r>
        <w:rPr>
          <w:rStyle w:val="FootnoteReference"/>
          <w:rFonts w:cs="Segoe UI"/>
          <w:lang w:val="en" w:eastAsia="en-GB"/>
        </w:rPr>
        <w:footnoteReference w:id="59"/>
      </w:r>
      <w:r w:rsidRPr="002577D0">
        <w:t xml:space="preserve"> </w:t>
      </w:r>
      <w:r w:rsidRPr="00357C2C">
        <w:rPr>
          <w:rFonts w:cs="Segoe UI"/>
          <w:lang w:val="en" w:eastAsia="en-GB"/>
        </w:rPr>
        <w:t>For instance, the budget for legal aid in NI is fixed and funded through the Department of Justice. Legal professionals highlight a disconnect between the budget arrangements and the demand-led nature of publicly funded legal services.</w:t>
      </w:r>
      <w:r>
        <w:rPr>
          <w:rStyle w:val="FootnoteReference"/>
          <w:rFonts w:cs="Segoe UI"/>
          <w:lang w:val="en" w:eastAsia="en-GB"/>
        </w:rPr>
        <w:footnoteReference w:id="60"/>
      </w:r>
      <w:r w:rsidRPr="00357C2C">
        <w:rPr>
          <w:rFonts w:cs="Segoe UI"/>
          <w:lang w:val="en" w:eastAsia="en-GB"/>
        </w:rPr>
        <w:t xml:space="preserve"> Increased demand often results in the Legal Services Agency NI having to delay payments of legal aid, compounding existing delays and backlogs in the system, resulting in a highly </w:t>
      </w:r>
      <w:proofErr w:type="spellStart"/>
      <w:r w:rsidRPr="00357C2C">
        <w:rPr>
          <w:rFonts w:cs="Segoe UI"/>
          <w:lang w:val="en" w:eastAsia="en-GB"/>
        </w:rPr>
        <w:t>pressurised</w:t>
      </w:r>
      <w:proofErr w:type="spellEnd"/>
      <w:r w:rsidRPr="00357C2C">
        <w:rPr>
          <w:rFonts w:cs="Segoe UI"/>
          <w:lang w:val="en" w:eastAsia="en-GB"/>
        </w:rPr>
        <w:t xml:space="preserve"> workforce.</w:t>
      </w:r>
      <w:r>
        <w:rPr>
          <w:rStyle w:val="FootnoteReference"/>
          <w:rFonts w:cs="Segoe UI"/>
          <w:lang w:val="en" w:eastAsia="en-GB"/>
        </w:rPr>
        <w:footnoteReference w:id="61"/>
      </w:r>
      <w:r w:rsidRPr="00357C2C">
        <w:rPr>
          <w:rFonts w:cs="Segoe UI"/>
          <w:lang w:val="en" w:eastAsia="en-GB"/>
        </w:rPr>
        <w:t xml:space="preserve"> Concerns were raised that many suppliers do not have the cash flow necessary to continue providing legal aid services, threatening legal aid coverage across NI and impeding the ability of citizens to access local solicitor firms.</w:t>
      </w:r>
      <w:r>
        <w:rPr>
          <w:rStyle w:val="FootnoteReference"/>
          <w:rFonts w:cs="Segoe UI"/>
          <w:lang w:val="en" w:eastAsia="en-GB"/>
        </w:rPr>
        <w:footnoteReference w:id="62"/>
      </w:r>
    </w:p>
    <w:p w14:paraId="640DA5BB" w14:textId="77777777" w:rsidR="00357C2C" w:rsidRPr="00357C2C" w:rsidRDefault="00357C2C" w:rsidP="00357C2C">
      <w:pPr>
        <w:pStyle w:val="ListParagraph"/>
        <w:rPr>
          <w:rFonts w:cs="Segoe UI"/>
          <w:lang w:val="en-US" w:eastAsia="en-GB"/>
        </w:rPr>
      </w:pPr>
    </w:p>
    <w:p w14:paraId="4BD36B13" w14:textId="3FBCC774" w:rsidR="00357C2C" w:rsidRPr="00357C2C" w:rsidRDefault="00357C2C" w:rsidP="00357C2C">
      <w:pPr>
        <w:pStyle w:val="ListParagraph"/>
        <w:numPr>
          <w:ilvl w:val="1"/>
          <w:numId w:val="16"/>
        </w:numPr>
        <w:ind w:left="709" w:hanging="709"/>
      </w:pPr>
      <w:r w:rsidRPr="00357C2C">
        <w:rPr>
          <w:rFonts w:cs="Segoe UI"/>
          <w:lang w:val="en-US" w:eastAsia="en-GB"/>
        </w:rPr>
        <w:t>The delivery of effective legal aid requires proper geographical distribution of legal aid providers, including in remote areas.</w:t>
      </w:r>
      <w:r w:rsidRPr="0282BD2F">
        <w:rPr>
          <w:rStyle w:val="FootnoteReference"/>
          <w:rFonts w:cs="Segoe UI"/>
          <w:lang w:val="en-US" w:eastAsia="en-GB"/>
        </w:rPr>
        <w:footnoteReference w:id="63"/>
      </w:r>
      <w:r w:rsidRPr="00357C2C">
        <w:rPr>
          <w:rFonts w:cs="Segoe UI"/>
          <w:lang w:val="en-US" w:eastAsia="en-GB"/>
        </w:rPr>
        <w:t xml:space="preserve"> Therefore, the </w:t>
      </w:r>
      <w:r w:rsidR="00920657">
        <w:rPr>
          <w:rFonts w:cs="Segoe UI"/>
          <w:lang w:val="en-US" w:eastAsia="en-GB"/>
        </w:rPr>
        <w:t>NIHRC</w:t>
      </w:r>
      <w:r w:rsidRPr="00357C2C">
        <w:rPr>
          <w:rFonts w:cs="Segoe UI"/>
          <w:lang w:val="en-US" w:eastAsia="en-GB"/>
        </w:rPr>
        <w:t xml:space="preserve"> is concerned by the warnings that the availability of services across NI could be impacted if no changes are made. In fact, the </w:t>
      </w:r>
      <w:r w:rsidR="00920657">
        <w:rPr>
          <w:rFonts w:cs="Segoe UI"/>
          <w:lang w:val="en-US" w:eastAsia="en-GB"/>
        </w:rPr>
        <w:t>NIHRC</w:t>
      </w:r>
      <w:r w:rsidRPr="00357C2C">
        <w:rPr>
          <w:rFonts w:cs="Segoe UI"/>
          <w:lang w:val="en-US" w:eastAsia="en-GB"/>
        </w:rPr>
        <w:t xml:space="preserve"> is already aware of concerns regarding the </w:t>
      </w:r>
      <w:r w:rsidRPr="00357C2C">
        <w:rPr>
          <w:rFonts w:cs="Helvetica"/>
          <w:lang w:val="en-US"/>
        </w:rPr>
        <w:t>low number of specialist immigration solicitors,</w:t>
      </w:r>
      <w:r w:rsidRPr="0282BD2F">
        <w:rPr>
          <w:rStyle w:val="FootnoteReference"/>
          <w:rFonts w:cs="Helvetica"/>
          <w:lang w:val="en-US"/>
        </w:rPr>
        <w:footnoteReference w:id="64"/>
      </w:r>
      <w:r w:rsidRPr="00357C2C">
        <w:rPr>
          <w:rFonts w:cs="Helvetica"/>
          <w:lang w:val="en-US"/>
        </w:rPr>
        <w:t xml:space="preserve"> particularly outside Belfast,</w:t>
      </w:r>
      <w:r w:rsidRPr="0282BD2F">
        <w:rPr>
          <w:rStyle w:val="FootnoteReference"/>
          <w:rFonts w:cs="Helvetica"/>
          <w:lang w:val="en-US"/>
        </w:rPr>
        <w:footnoteReference w:id="65"/>
      </w:r>
      <w:r w:rsidRPr="00357C2C">
        <w:rPr>
          <w:rFonts w:cs="Helvetica"/>
          <w:lang w:val="en-US"/>
        </w:rPr>
        <w:t xml:space="preserve"> which is affecting the availability of immigration legal services.</w:t>
      </w:r>
      <w:r w:rsidRPr="0282BD2F">
        <w:rPr>
          <w:rStyle w:val="FootnoteReference"/>
          <w:rFonts w:cs="Helvetica"/>
          <w:lang w:val="en-US"/>
        </w:rPr>
        <w:footnoteReference w:id="66"/>
      </w:r>
      <w:r w:rsidRPr="00357C2C">
        <w:rPr>
          <w:rFonts w:cs="Helvetica"/>
          <w:lang w:val="en-US"/>
        </w:rPr>
        <w:t xml:space="preserve"> </w:t>
      </w:r>
      <w:r w:rsidRPr="00357C2C">
        <w:rPr>
          <w:rFonts w:cs="Segoe UI"/>
          <w:lang w:val="en-US" w:eastAsia="en-GB"/>
        </w:rPr>
        <w:t xml:space="preserve">It is hoped that both the fundamental review of criminal legal aid and the holistic review of civil legal aid provision will ensure </w:t>
      </w:r>
      <w:r w:rsidRPr="00357C2C">
        <w:rPr>
          <w:rFonts w:cs="Helvetica"/>
          <w:lang w:val="en-US"/>
        </w:rPr>
        <w:t>an adequate supply of suitable advice in all subject matters across NI.</w:t>
      </w:r>
    </w:p>
    <w:p w14:paraId="08BF9C03" w14:textId="77777777" w:rsidR="00357C2C" w:rsidRPr="00357C2C" w:rsidRDefault="00357C2C" w:rsidP="00357C2C">
      <w:pPr>
        <w:pStyle w:val="ListParagraph"/>
        <w:rPr>
          <w:rFonts w:cs="Helvetica"/>
          <w:lang w:val="en-US"/>
        </w:rPr>
      </w:pPr>
    </w:p>
    <w:p w14:paraId="641F3F46" w14:textId="46310CF5" w:rsidR="00357C2C" w:rsidRPr="00357C2C" w:rsidRDefault="00357C2C" w:rsidP="00357C2C">
      <w:pPr>
        <w:pStyle w:val="ListParagraph"/>
        <w:numPr>
          <w:ilvl w:val="1"/>
          <w:numId w:val="16"/>
        </w:numPr>
        <w:ind w:left="709" w:hanging="709"/>
      </w:pPr>
      <w:r w:rsidRPr="00357C2C">
        <w:rPr>
          <w:rFonts w:cs="Helvetica"/>
          <w:lang w:val="en-US"/>
        </w:rPr>
        <w:t xml:space="preserve">In addition, the </w:t>
      </w:r>
      <w:r w:rsidR="00920657">
        <w:rPr>
          <w:rFonts w:cs="Helvetica"/>
          <w:lang w:val="en-US"/>
        </w:rPr>
        <w:t>NIHRC</w:t>
      </w:r>
      <w:r w:rsidRPr="00357C2C">
        <w:rPr>
          <w:rFonts w:cs="Helvetica"/>
          <w:lang w:val="en-US"/>
        </w:rPr>
        <w:t xml:space="preserve"> reiterates the importance of ensuring the sustainability of legal aid provision. This refers not only to ensuring an appropriate level of remuneration for legal providers,</w:t>
      </w:r>
      <w:r w:rsidRPr="0282BD2F">
        <w:rPr>
          <w:rStyle w:val="FootnoteReference"/>
          <w:rFonts w:cs="Helvetica"/>
          <w:lang w:val="en-US"/>
        </w:rPr>
        <w:footnoteReference w:id="67"/>
      </w:r>
      <w:r w:rsidRPr="00357C2C">
        <w:rPr>
          <w:rFonts w:cs="Helvetica"/>
          <w:lang w:val="en-US"/>
        </w:rPr>
        <w:t xml:space="preserve"> but to ensuring that the structure and processes for legal aid provision do not discourage solicitor practices from taking on legal aid work, which could lead to people being denied legal aid in practice.</w:t>
      </w:r>
      <w:r w:rsidRPr="0282BD2F">
        <w:rPr>
          <w:rStyle w:val="FootnoteReference"/>
          <w:rFonts w:cs="Helvetica"/>
          <w:lang w:val="en-US"/>
        </w:rPr>
        <w:footnoteReference w:id="68"/>
      </w:r>
    </w:p>
    <w:p w14:paraId="15E82C96" w14:textId="3E726FD3" w:rsidR="00134308" w:rsidRDefault="00134308" w:rsidP="00134308">
      <w:bookmarkStart w:id="10" w:name="_Hlk163637000"/>
    </w:p>
    <w:p w14:paraId="21CB350F" w14:textId="63DC7776" w:rsidR="00944256" w:rsidRPr="00392157" w:rsidRDefault="00134308" w:rsidP="00944256">
      <w:pPr>
        <w:pStyle w:val="ListParagraph"/>
        <w:numPr>
          <w:ilvl w:val="1"/>
          <w:numId w:val="16"/>
        </w:numPr>
        <w:ind w:left="709" w:hanging="709"/>
        <w:rPr>
          <w:b/>
          <w:bCs/>
        </w:rPr>
      </w:pPr>
      <w:r w:rsidRPr="004D2C9A">
        <w:rPr>
          <w:b/>
          <w:bCs/>
        </w:rPr>
        <w:t xml:space="preserve">The NIHRC recommends that </w:t>
      </w:r>
      <w:r>
        <w:rPr>
          <w:b/>
          <w:bCs/>
        </w:rPr>
        <w:t xml:space="preserve">the </w:t>
      </w:r>
      <w:r w:rsidR="009D73C5">
        <w:rPr>
          <w:b/>
          <w:bCs/>
        </w:rPr>
        <w:t>Department of Justice</w:t>
      </w:r>
      <w:r w:rsidR="00E22BBF">
        <w:rPr>
          <w:b/>
          <w:bCs/>
        </w:rPr>
        <w:t xml:space="preserve"> </w:t>
      </w:r>
      <w:r w:rsidR="00392157" w:rsidRPr="00392157">
        <w:rPr>
          <w:b/>
          <w:bCs/>
        </w:rPr>
        <w:t xml:space="preserve">takes all effective measures to improve access to justice through the provision of adequate free legal aid to all persons without sufficient means, including by increasing the allocation of human and financial resources to ensure the adequate and efficient functioning and sustainability of the </w:t>
      </w:r>
      <w:r w:rsidR="00392157" w:rsidRPr="00392157">
        <w:rPr>
          <w:rFonts w:cs="Segoe UI"/>
          <w:b/>
          <w:bCs/>
          <w:lang w:val="en" w:eastAsia="en-GB"/>
        </w:rPr>
        <w:t>Legal Services Agency NI.</w:t>
      </w:r>
    </w:p>
    <w:bookmarkEnd w:id="10"/>
    <w:p w14:paraId="0BBF4A2F" w14:textId="77777777" w:rsidR="00944256" w:rsidRDefault="00944256" w:rsidP="00944256"/>
    <w:p w14:paraId="05649471" w14:textId="77777777" w:rsidR="006849A7" w:rsidRPr="009A3274" w:rsidRDefault="006849A7" w:rsidP="00E45433">
      <w:pPr>
        <w:pStyle w:val="Heading2"/>
        <w:rPr>
          <w:lang w:val="en" w:eastAsia="en-GB"/>
        </w:rPr>
      </w:pPr>
      <w:bookmarkStart w:id="11" w:name="_Toc170204685"/>
      <w:r>
        <w:rPr>
          <w:lang w:val="en" w:eastAsia="en-GB"/>
        </w:rPr>
        <w:t>Understanding and addressing b</w:t>
      </w:r>
      <w:r w:rsidRPr="008C05C0">
        <w:rPr>
          <w:lang w:val="en" w:eastAsia="en-GB"/>
        </w:rPr>
        <w:t>arriers</w:t>
      </w:r>
      <w:bookmarkEnd w:id="11"/>
      <w:r w:rsidRPr="008C05C0">
        <w:rPr>
          <w:lang w:val="en" w:eastAsia="en-GB"/>
        </w:rPr>
        <w:t xml:space="preserve"> </w:t>
      </w:r>
    </w:p>
    <w:p w14:paraId="202D3F43" w14:textId="77777777" w:rsidR="0025756C" w:rsidRPr="0025756C" w:rsidRDefault="0025756C" w:rsidP="0025756C">
      <w:pPr>
        <w:pStyle w:val="ListParagraph"/>
        <w:numPr>
          <w:ilvl w:val="1"/>
          <w:numId w:val="16"/>
        </w:numPr>
        <w:ind w:left="709" w:hanging="709"/>
        <w:rPr>
          <w:b/>
          <w:bCs/>
        </w:rPr>
      </w:pPr>
      <w:r w:rsidRPr="0025756C">
        <w:rPr>
          <w:rFonts w:cs="Segoe UI"/>
          <w:lang w:val="en" w:eastAsia="en-GB"/>
        </w:rPr>
        <w:t>The ECtHR has confirmed that the right of access to a court must be “practical and effective” and an individual must “have a clear, practical opportunity to challenge an act that is an interference with his rights”.</w:t>
      </w:r>
      <w:r>
        <w:rPr>
          <w:rStyle w:val="FootnoteReference"/>
          <w:rFonts w:cs="Segoe UI"/>
          <w:lang w:val="en" w:eastAsia="en-GB"/>
        </w:rPr>
        <w:footnoteReference w:id="69"/>
      </w:r>
      <w:r w:rsidRPr="0025756C">
        <w:rPr>
          <w:rFonts w:cs="Segoe UI"/>
          <w:lang w:val="en" w:eastAsia="en-GB"/>
        </w:rPr>
        <w:t xml:space="preserve"> For instance, the rules</w:t>
      </w:r>
      <w:r w:rsidRPr="00B3198E">
        <w:t xml:space="preserve"> </w:t>
      </w:r>
      <w:r w:rsidRPr="0025756C">
        <w:rPr>
          <w:rFonts w:cs="Segoe UI"/>
          <w:lang w:val="en" w:eastAsia="en-GB"/>
        </w:rPr>
        <w:t>governing the steps to be taken and the time-limits to be complied with should not prevent or limit an individual’s possibility of applying to a court.</w:t>
      </w:r>
      <w:r>
        <w:rPr>
          <w:rStyle w:val="FootnoteReference"/>
          <w:rFonts w:cs="Segoe UI"/>
          <w:lang w:val="en" w:eastAsia="en-GB"/>
        </w:rPr>
        <w:footnoteReference w:id="70"/>
      </w:r>
      <w:r w:rsidRPr="0025756C">
        <w:rPr>
          <w:rFonts w:cs="Segoe UI"/>
          <w:lang w:val="en" w:eastAsia="en-GB"/>
        </w:rPr>
        <w:t xml:space="preserve"> Similarly, jurisprudence from international treaty bodies emphasises the importance of ensuring legal aid systems are accessible and responsive to the needs of all individuals who may require them. For instance, the UN CRC Committee,</w:t>
      </w:r>
      <w:r w:rsidRPr="00AD3664">
        <w:rPr>
          <w:iCs/>
          <w:vertAlign w:val="superscript"/>
          <w:lang w:eastAsia="en-GB"/>
        </w:rPr>
        <w:footnoteReference w:id="71"/>
      </w:r>
      <w:r w:rsidRPr="0025756C">
        <w:rPr>
          <w:rFonts w:cs="Segoe UI"/>
          <w:lang w:val="en" w:eastAsia="en-GB"/>
        </w:rPr>
        <w:t xml:space="preserve"> the UN CRPD Committee,</w:t>
      </w:r>
      <w:r w:rsidRPr="00792B61">
        <w:rPr>
          <w:rStyle w:val="FootnoteReference"/>
        </w:rPr>
        <w:footnoteReference w:id="72"/>
      </w:r>
      <w:r>
        <w:t xml:space="preserve"> </w:t>
      </w:r>
      <w:r w:rsidRPr="0025756C">
        <w:rPr>
          <w:rFonts w:cs="Segoe UI"/>
          <w:lang w:val="en" w:eastAsia="en-GB"/>
        </w:rPr>
        <w:t>and the UN CEDAW Committee</w:t>
      </w:r>
      <w:r>
        <w:rPr>
          <w:rStyle w:val="FootnoteReference"/>
          <w:rFonts w:cs="Segoe UI"/>
          <w:lang w:val="en" w:eastAsia="en-GB"/>
        </w:rPr>
        <w:footnoteReference w:id="73"/>
      </w:r>
      <w:r w:rsidRPr="0025756C">
        <w:rPr>
          <w:rFonts w:cs="Segoe UI"/>
          <w:lang w:val="en" w:eastAsia="en-GB"/>
        </w:rPr>
        <w:t xml:space="preserve"> have made specific recommendations for the UK and NI in relation to the removal of barriers faced by children, women and people with disabilities. This includes ensuring “the provision of procedural and age-appropriate accommodations”.</w:t>
      </w:r>
      <w:r>
        <w:rPr>
          <w:rStyle w:val="FootnoteReference"/>
          <w:rFonts w:cs="Segoe UI"/>
          <w:lang w:val="en" w:eastAsia="en-GB"/>
        </w:rPr>
        <w:footnoteReference w:id="74"/>
      </w:r>
      <w:r w:rsidRPr="0025756C">
        <w:rPr>
          <w:rFonts w:cs="Segoe UI"/>
          <w:lang w:val="en" w:eastAsia="en-GB"/>
        </w:rPr>
        <w:t xml:space="preserve">   </w:t>
      </w:r>
    </w:p>
    <w:p w14:paraId="7FB6F5E3" w14:textId="77777777" w:rsidR="0025756C" w:rsidRPr="0025756C" w:rsidRDefault="0025756C" w:rsidP="0025756C">
      <w:pPr>
        <w:pStyle w:val="ListParagraph"/>
        <w:ind w:left="709"/>
        <w:rPr>
          <w:b/>
          <w:bCs/>
        </w:rPr>
      </w:pPr>
    </w:p>
    <w:p w14:paraId="43704DFE" w14:textId="7A426ACE" w:rsidR="0025756C" w:rsidRPr="0025756C" w:rsidRDefault="0025756C" w:rsidP="0025756C">
      <w:pPr>
        <w:pStyle w:val="ListParagraph"/>
        <w:numPr>
          <w:ilvl w:val="1"/>
          <w:numId w:val="16"/>
        </w:numPr>
        <w:ind w:left="709" w:hanging="709"/>
        <w:rPr>
          <w:b/>
          <w:bCs/>
        </w:rPr>
      </w:pPr>
      <w:r w:rsidRPr="0025756C">
        <w:rPr>
          <w:rFonts w:cs="Segoe UI"/>
          <w:lang w:val="en" w:eastAsia="en-GB"/>
        </w:rPr>
        <w:t xml:space="preserve">The </w:t>
      </w:r>
      <w:r w:rsidR="00920657">
        <w:rPr>
          <w:rFonts w:cs="Segoe UI"/>
          <w:lang w:val="en" w:eastAsia="en-GB"/>
        </w:rPr>
        <w:t>NIHRC</w:t>
      </w:r>
      <w:r w:rsidRPr="0025756C">
        <w:rPr>
          <w:rFonts w:cs="Segoe UI"/>
          <w:lang w:val="en" w:eastAsia="en-GB"/>
        </w:rPr>
        <w:t xml:space="preserve"> emphasises the importance of ensuring that any changes to legal aid provision must have due regard for removing or </w:t>
      </w:r>
      <w:proofErr w:type="spellStart"/>
      <w:r w:rsidRPr="0025756C">
        <w:rPr>
          <w:rFonts w:cs="Segoe UI"/>
          <w:lang w:val="en" w:eastAsia="en-GB"/>
        </w:rPr>
        <w:t>minimising</w:t>
      </w:r>
      <w:proofErr w:type="spellEnd"/>
      <w:r w:rsidRPr="0025756C">
        <w:rPr>
          <w:rFonts w:cs="Segoe UI"/>
          <w:lang w:val="en" w:eastAsia="en-GB"/>
        </w:rPr>
        <w:t xml:space="preserve"> barriers experienced by people with additional needs or who </w:t>
      </w:r>
      <w:r w:rsidR="00B436EA">
        <w:rPr>
          <w:rFonts w:cs="Segoe UI"/>
          <w:lang w:val="en" w:eastAsia="en-GB"/>
        </w:rPr>
        <w:t>may experience</w:t>
      </w:r>
      <w:r w:rsidRPr="0025756C">
        <w:rPr>
          <w:rFonts w:cs="Segoe UI"/>
          <w:lang w:val="en" w:eastAsia="en-GB"/>
        </w:rPr>
        <w:t xml:space="preserve"> social or economic exclusion. Recent research has identified </w:t>
      </w:r>
      <w:r w:rsidRPr="0025756C">
        <w:rPr>
          <w:rFonts w:cs="Helvetica"/>
          <w:lang w:val="en"/>
        </w:rPr>
        <w:t>barriers for accessing justice are prominent for litigants in person</w:t>
      </w:r>
      <w:r w:rsidRPr="000733C7">
        <w:rPr>
          <w:rStyle w:val="FootnoteReference"/>
          <w:rFonts w:cs="Helvetica"/>
          <w:lang w:val="en"/>
        </w:rPr>
        <w:footnoteReference w:id="75"/>
      </w:r>
      <w:r w:rsidRPr="0025756C">
        <w:rPr>
          <w:rFonts w:cs="Helvetica"/>
          <w:lang w:val="en"/>
        </w:rPr>
        <w:t xml:space="preserve"> and persons with disabilities, particularly deaf people.</w:t>
      </w:r>
      <w:r w:rsidRPr="000733C7">
        <w:rPr>
          <w:rStyle w:val="FootnoteReference"/>
          <w:rFonts w:cs="Helvetica"/>
          <w:lang w:val="en"/>
        </w:rPr>
        <w:footnoteReference w:id="76"/>
      </w:r>
      <w:r w:rsidRPr="0025756C">
        <w:rPr>
          <w:rFonts w:cs="Helvetica"/>
          <w:lang w:val="en"/>
        </w:rPr>
        <w:t xml:space="preserve"> In addition, the Criminal Justice Inspection NI highlighted that older people need to be better supported to participate in the criminal justice system.</w:t>
      </w:r>
      <w:r w:rsidRPr="00B02DB6">
        <w:rPr>
          <w:rStyle w:val="FootnoteReference"/>
          <w:rFonts w:cs="Helvetica"/>
          <w:lang w:val="en"/>
        </w:rPr>
        <w:footnoteReference w:id="77"/>
      </w:r>
      <w:r w:rsidRPr="0025756C">
        <w:rPr>
          <w:rFonts w:cs="Helvetica"/>
          <w:lang w:val="en"/>
        </w:rPr>
        <w:t xml:space="preserve"> </w:t>
      </w:r>
      <w:r w:rsidRPr="0025756C">
        <w:rPr>
          <w:rFonts w:cs="Segoe UI"/>
          <w:lang w:val="en" w:eastAsia="en-GB"/>
        </w:rPr>
        <w:t xml:space="preserve">The </w:t>
      </w:r>
      <w:proofErr w:type="spellStart"/>
      <w:r w:rsidRPr="0025756C">
        <w:rPr>
          <w:rFonts w:cs="Segoe UI"/>
          <w:lang w:val="en" w:eastAsia="en-GB"/>
        </w:rPr>
        <w:t>CoE</w:t>
      </w:r>
      <w:proofErr w:type="spellEnd"/>
      <w:r w:rsidRPr="0025756C">
        <w:rPr>
          <w:rFonts w:cs="Segoe UI"/>
          <w:lang w:val="en" w:eastAsia="en-GB"/>
        </w:rPr>
        <w:t xml:space="preserve"> Committee of Ministers Guidelines suggest ways to facilitate access to legal aid services, particularly </w:t>
      </w:r>
      <w:r w:rsidR="00B85A42">
        <w:rPr>
          <w:rFonts w:cs="Segoe UI"/>
          <w:lang w:val="en" w:eastAsia="en-GB"/>
        </w:rPr>
        <w:t xml:space="preserve">for </w:t>
      </w:r>
      <w:r w:rsidRPr="0025756C">
        <w:rPr>
          <w:rFonts w:cs="Segoe UI"/>
          <w:lang w:val="en" w:eastAsia="en-GB"/>
        </w:rPr>
        <w:t>vulnerable people,</w:t>
      </w:r>
      <w:r>
        <w:t xml:space="preserve"> </w:t>
      </w:r>
      <w:r w:rsidRPr="000275CB">
        <w:t xml:space="preserve">such as </w:t>
      </w:r>
      <w:r w:rsidRPr="0025756C">
        <w:rPr>
          <w:rFonts w:cs="Segoe UI"/>
          <w:lang w:val="en" w:eastAsia="en-GB"/>
        </w:rPr>
        <w:t xml:space="preserve">awareness-raising events for target groups, mobile teams, community law </w:t>
      </w:r>
      <w:proofErr w:type="spellStart"/>
      <w:r w:rsidRPr="0025756C">
        <w:rPr>
          <w:rFonts w:cs="Segoe UI"/>
          <w:lang w:val="en" w:eastAsia="en-GB"/>
        </w:rPr>
        <w:t>centres</w:t>
      </w:r>
      <w:proofErr w:type="spellEnd"/>
      <w:r w:rsidRPr="0025756C">
        <w:rPr>
          <w:rFonts w:cs="Segoe UI"/>
          <w:lang w:val="en" w:eastAsia="en-GB"/>
        </w:rPr>
        <w:t xml:space="preserve"> or pop-up advice </w:t>
      </w:r>
      <w:proofErr w:type="spellStart"/>
      <w:r w:rsidRPr="0025756C">
        <w:rPr>
          <w:rFonts w:cs="Segoe UI"/>
          <w:lang w:val="en" w:eastAsia="en-GB"/>
        </w:rPr>
        <w:t>centres</w:t>
      </w:r>
      <w:proofErr w:type="spellEnd"/>
      <w:r w:rsidRPr="0025756C">
        <w:rPr>
          <w:rFonts w:cs="Segoe UI"/>
          <w:lang w:val="en" w:eastAsia="en-GB"/>
        </w:rPr>
        <w:t>.</w:t>
      </w:r>
      <w:r w:rsidR="006C74A8">
        <w:rPr>
          <w:rStyle w:val="FootnoteReference"/>
          <w:rFonts w:cs="Segoe UI"/>
          <w:lang w:val="en" w:eastAsia="en-GB"/>
        </w:rPr>
        <w:footnoteReference w:id="78"/>
      </w:r>
      <w:r w:rsidRPr="0025756C">
        <w:rPr>
          <w:rFonts w:cs="Segoe UI"/>
          <w:lang w:val="en" w:eastAsia="en-GB"/>
        </w:rPr>
        <w:t xml:space="preserve"> </w:t>
      </w:r>
    </w:p>
    <w:p w14:paraId="466CEA9B" w14:textId="77777777" w:rsidR="0025756C" w:rsidRPr="0025756C" w:rsidRDefault="0025756C" w:rsidP="0025756C">
      <w:pPr>
        <w:pStyle w:val="ListParagraph"/>
        <w:rPr>
          <w:rFonts w:cs="Segoe UI"/>
          <w:lang w:val="en-US" w:eastAsia="en-GB"/>
        </w:rPr>
      </w:pPr>
    </w:p>
    <w:p w14:paraId="1E9A7AE3" w14:textId="4FE47EE7" w:rsidR="0025756C" w:rsidRPr="0025756C" w:rsidRDefault="0025756C" w:rsidP="0025756C">
      <w:pPr>
        <w:pStyle w:val="ListParagraph"/>
        <w:numPr>
          <w:ilvl w:val="1"/>
          <w:numId w:val="16"/>
        </w:numPr>
        <w:ind w:left="709" w:hanging="709"/>
        <w:rPr>
          <w:b/>
          <w:bCs/>
        </w:rPr>
      </w:pPr>
      <w:r w:rsidRPr="0025756C">
        <w:rPr>
          <w:rFonts w:cs="Segoe UI"/>
          <w:lang w:val="en-US" w:eastAsia="en-GB"/>
        </w:rPr>
        <w:t xml:space="preserve">As the Department of Justice has identified, there are gaps in data collection in relation to legal aid provision and no mechanism for gathering and </w:t>
      </w:r>
      <w:proofErr w:type="spellStart"/>
      <w:r w:rsidRPr="0025756C">
        <w:rPr>
          <w:rFonts w:cs="Segoe UI"/>
          <w:lang w:val="en-US" w:eastAsia="en-GB"/>
        </w:rPr>
        <w:t>analysing</w:t>
      </w:r>
      <w:proofErr w:type="spellEnd"/>
      <w:r w:rsidRPr="0025756C">
        <w:rPr>
          <w:rFonts w:cs="Segoe UI"/>
          <w:lang w:val="en-US" w:eastAsia="en-GB"/>
        </w:rPr>
        <w:t xml:space="preserve"> section 75 data.</w:t>
      </w:r>
      <w:r w:rsidRPr="0282BD2F">
        <w:rPr>
          <w:rStyle w:val="FootnoteReference"/>
          <w:rFonts w:cs="Segoe UI"/>
          <w:lang w:val="en-US" w:eastAsia="en-GB"/>
        </w:rPr>
        <w:footnoteReference w:id="79"/>
      </w:r>
      <w:r w:rsidRPr="0025756C">
        <w:rPr>
          <w:rFonts w:cs="Segoe UI"/>
          <w:lang w:val="en-US" w:eastAsia="en-GB"/>
        </w:rPr>
        <w:t xml:space="preserve"> The </w:t>
      </w:r>
      <w:r w:rsidR="00920657">
        <w:rPr>
          <w:rFonts w:cs="Segoe UI"/>
          <w:lang w:val="en-US" w:eastAsia="en-GB"/>
        </w:rPr>
        <w:t>NIHRC</w:t>
      </w:r>
      <w:r w:rsidRPr="0025756C">
        <w:rPr>
          <w:rFonts w:cs="Segoe UI"/>
          <w:lang w:val="en-US" w:eastAsia="en-GB"/>
        </w:rPr>
        <w:t xml:space="preserve"> welcomes that the current call for evidence aims to improve the Department’s understanding of the current system and thereby mitigate any adverse impact in its resulting proposals for reform. However, the </w:t>
      </w:r>
      <w:r w:rsidR="00920657">
        <w:rPr>
          <w:rFonts w:cs="Segoe UI"/>
          <w:lang w:val="en-US" w:eastAsia="en-GB"/>
        </w:rPr>
        <w:t>NIHRC</w:t>
      </w:r>
      <w:r w:rsidRPr="0025756C">
        <w:rPr>
          <w:rFonts w:cs="Segoe UI"/>
          <w:lang w:val="en-US" w:eastAsia="en-GB"/>
        </w:rPr>
        <w:t xml:space="preserve"> underlines the critical importance of establishing data collection mechanisms and embedding continuous monitoring going forward. </w:t>
      </w:r>
    </w:p>
    <w:p w14:paraId="27691987" w14:textId="77777777" w:rsidR="0025756C" w:rsidRPr="0025756C" w:rsidRDefault="0025756C" w:rsidP="0025756C">
      <w:pPr>
        <w:pStyle w:val="ListParagraph"/>
        <w:rPr>
          <w:rFonts w:cs="Segoe UI"/>
          <w:lang w:val="en-US" w:eastAsia="en-GB"/>
        </w:rPr>
      </w:pPr>
    </w:p>
    <w:p w14:paraId="707622BB" w14:textId="77777777" w:rsidR="0025756C" w:rsidRPr="0025756C" w:rsidRDefault="0025756C" w:rsidP="0025756C">
      <w:pPr>
        <w:pStyle w:val="ListParagraph"/>
        <w:numPr>
          <w:ilvl w:val="1"/>
          <w:numId w:val="16"/>
        </w:numPr>
        <w:ind w:left="709" w:hanging="709"/>
        <w:rPr>
          <w:b/>
          <w:bCs/>
        </w:rPr>
      </w:pPr>
      <w:r w:rsidRPr="0025756C">
        <w:rPr>
          <w:rFonts w:cs="Segoe UI"/>
          <w:lang w:val="en-US" w:eastAsia="en-GB"/>
        </w:rPr>
        <w:t>The UN Principles and Guidelines advise States to continuously track, monitor and evaluate the provision of legal aid by introducing measures to “conduct regular research and collection of data disaggregated by the gender, age, socioeconomic status and geographical distribution of legal aid recipients and to publish the findings”.</w:t>
      </w:r>
      <w:r w:rsidRPr="6C847946">
        <w:rPr>
          <w:rStyle w:val="FootnoteReference"/>
          <w:rFonts w:cs="Segoe UI"/>
          <w:lang w:val="en-US" w:eastAsia="en-GB"/>
        </w:rPr>
        <w:footnoteReference w:id="80"/>
      </w:r>
      <w:r w:rsidRPr="0025756C">
        <w:rPr>
          <w:rFonts w:cs="Segoe UI"/>
          <w:lang w:val="en-US" w:eastAsia="en-GB"/>
        </w:rPr>
        <w:t xml:space="preserve"> The </w:t>
      </w:r>
      <w:proofErr w:type="spellStart"/>
      <w:r w:rsidRPr="0025756C">
        <w:rPr>
          <w:rFonts w:cs="Segoe UI"/>
          <w:lang w:val="en-US" w:eastAsia="en-GB"/>
        </w:rPr>
        <w:t>CoE</w:t>
      </w:r>
      <w:proofErr w:type="spellEnd"/>
      <w:r w:rsidRPr="0025756C">
        <w:rPr>
          <w:rFonts w:cs="Segoe UI"/>
          <w:lang w:val="en-US" w:eastAsia="en-GB"/>
        </w:rPr>
        <w:t xml:space="preserve"> Committee of Ministers Guidelines advise States to “consider using tools to collect data on legal aid systems, which may include surveys, focus groups, complaints mechanisms, lawyer self-assessments and case-management systems”.</w:t>
      </w:r>
      <w:r w:rsidRPr="6C847946">
        <w:rPr>
          <w:rStyle w:val="FootnoteReference"/>
          <w:rFonts w:cs="Segoe UI"/>
          <w:lang w:val="en-US" w:eastAsia="en-GB"/>
        </w:rPr>
        <w:footnoteReference w:id="81"/>
      </w:r>
    </w:p>
    <w:p w14:paraId="7F1F5A5D" w14:textId="77777777" w:rsidR="0025756C" w:rsidRPr="0025756C" w:rsidRDefault="0025756C" w:rsidP="0025756C">
      <w:pPr>
        <w:pStyle w:val="ListParagraph"/>
        <w:rPr>
          <w:rFonts w:cs="Segoe UI"/>
          <w:lang w:val="en" w:eastAsia="en-GB"/>
        </w:rPr>
      </w:pPr>
    </w:p>
    <w:p w14:paraId="2A8F1598" w14:textId="1DE25745" w:rsidR="0025756C" w:rsidRPr="00C35279" w:rsidRDefault="0025756C" w:rsidP="0025756C">
      <w:pPr>
        <w:pStyle w:val="ListParagraph"/>
        <w:numPr>
          <w:ilvl w:val="1"/>
          <w:numId w:val="16"/>
        </w:numPr>
        <w:ind w:left="709" w:hanging="709"/>
        <w:rPr>
          <w:b/>
          <w:bCs/>
        </w:rPr>
      </w:pPr>
      <w:r w:rsidRPr="0025756C">
        <w:rPr>
          <w:rFonts w:cs="Segoe UI"/>
          <w:lang w:val="en" w:eastAsia="en-GB"/>
        </w:rPr>
        <w:t xml:space="preserve">Beyond the structural or procedural accommodations that will ensure the effective delivery of legal aid, the </w:t>
      </w:r>
      <w:r w:rsidR="00920657">
        <w:rPr>
          <w:rFonts w:cs="Segoe UI"/>
          <w:lang w:val="en" w:eastAsia="en-GB"/>
        </w:rPr>
        <w:t>NIHRC</w:t>
      </w:r>
      <w:r w:rsidRPr="0025756C">
        <w:rPr>
          <w:rFonts w:cs="Segoe UI"/>
          <w:lang w:val="en" w:eastAsia="en-GB"/>
        </w:rPr>
        <w:t xml:space="preserve"> emphasises that any justiciable problems disproportionately faced by </w:t>
      </w:r>
      <w:proofErr w:type="spellStart"/>
      <w:r w:rsidRPr="0025756C">
        <w:rPr>
          <w:rFonts w:cs="Segoe UI"/>
          <w:lang w:val="en" w:eastAsia="en-GB"/>
        </w:rPr>
        <w:t>marginalised</w:t>
      </w:r>
      <w:proofErr w:type="spellEnd"/>
      <w:r w:rsidRPr="0025756C">
        <w:rPr>
          <w:rFonts w:cs="Segoe UI"/>
          <w:lang w:val="en" w:eastAsia="en-GB"/>
        </w:rPr>
        <w:t xml:space="preserve"> people in NI should be included within the scope of civil legal aid. For instance, the UN CEDAW Committee recommended that the UK and NI “</w:t>
      </w:r>
      <w:r w:rsidRPr="008148F3">
        <w:t>ensure that women have access to legal aid in areas that affect them the most, such as family, housing, immigration and welfare benefits law”.</w:t>
      </w:r>
      <w:r>
        <w:rPr>
          <w:rStyle w:val="FootnoteReference"/>
        </w:rPr>
        <w:footnoteReference w:id="82"/>
      </w:r>
      <w:r>
        <w:t xml:space="preserve"> The Department identifies “cuts to the scope of legal aid” as one of the ways to make savings within its budget.</w:t>
      </w:r>
      <w:r>
        <w:rPr>
          <w:rStyle w:val="FootnoteReference"/>
        </w:rPr>
        <w:footnoteReference w:id="83"/>
      </w:r>
      <w:r>
        <w:t xml:space="preserve"> The </w:t>
      </w:r>
      <w:r w:rsidR="00920657">
        <w:t>NIHRC</w:t>
      </w:r>
      <w:r>
        <w:t xml:space="preserve"> </w:t>
      </w:r>
      <w:r w:rsidR="6FF13CC3">
        <w:t>has</w:t>
      </w:r>
      <w:r>
        <w:t xml:space="preserve"> serious concerns about any potential exclusions of specific areas from the scope of civil legal aid. Any consideration of a system of restricted scope would have to be carefully assessed against the Department’s human rights obligations.</w:t>
      </w:r>
    </w:p>
    <w:p w14:paraId="796B25A3" w14:textId="77777777" w:rsidR="00C35279" w:rsidRPr="00C35279" w:rsidRDefault="00C35279" w:rsidP="00C35279">
      <w:pPr>
        <w:rPr>
          <w:b/>
          <w:bCs/>
        </w:rPr>
      </w:pPr>
    </w:p>
    <w:p w14:paraId="7A70E146" w14:textId="5A7B5923" w:rsidR="002D0F1F" w:rsidRPr="00E7163A" w:rsidRDefault="00A50248" w:rsidP="00944256">
      <w:pPr>
        <w:pStyle w:val="ListParagraph"/>
        <w:numPr>
          <w:ilvl w:val="1"/>
          <w:numId w:val="16"/>
        </w:numPr>
        <w:suppressAutoHyphens/>
        <w:ind w:left="709" w:hanging="709"/>
      </w:pPr>
      <w:bookmarkStart w:id="12" w:name="_Hlk163637028"/>
      <w:r w:rsidRPr="00F1280E">
        <w:rPr>
          <w:b/>
          <w:bCs/>
        </w:rPr>
        <w:t xml:space="preserve">The </w:t>
      </w:r>
      <w:r w:rsidR="00B06DFF" w:rsidRPr="00F1280E">
        <w:rPr>
          <w:b/>
          <w:bCs/>
        </w:rPr>
        <w:t xml:space="preserve">NIHRC </w:t>
      </w:r>
      <w:r w:rsidR="003C313C">
        <w:rPr>
          <w:b/>
          <w:bCs/>
        </w:rPr>
        <w:t xml:space="preserve">recommends that the </w:t>
      </w:r>
      <w:r w:rsidR="00C35279">
        <w:rPr>
          <w:b/>
          <w:bCs/>
        </w:rPr>
        <w:t>Department of Justice</w:t>
      </w:r>
      <w:r w:rsidR="000A16C9">
        <w:rPr>
          <w:b/>
          <w:bCs/>
        </w:rPr>
        <w:t xml:space="preserve"> ensures that the provision</w:t>
      </w:r>
      <w:r w:rsidR="002A09F7">
        <w:rPr>
          <w:b/>
          <w:bCs/>
        </w:rPr>
        <w:t xml:space="preserve"> and scope</w:t>
      </w:r>
      <w:r w:rsidR="000A16C9">
        <w:rPr>
          <w:b/>
          <w:bCs/>
        </w:rPr>
        <w:t xml:space="preserve"> of civil legal aid in NI is </w:t>
      </w:r>
      <w:r w:rsidR="000A16C9" w:rsidRPr="00B436EA">
        <w:rPr>
          <w:rFonts w:cs="Segoe UI"/>
          <w:b/>
          <w:bCs/>
          <w:lang w:val="en" w:eastAsia="en-GB"/>
        </w:rPr>
        <w:t xml:space="preserve">accessible and responsive to the needs of </w:t>
      </w:r>
      <w:r w:rsidR="00574C19">
        <w:rPr>
          <w:rFonts w:cs="Segoe UI"/>
          <w:b/>
          <w:bCs/>
          <w:lang w:val="en" w:eastAsia="en-GB"/>
        </w:rPr>
        <w:t xml:space="preserve">every </w:t>
      </w:r>
      <w:r w:rsidR="000A16C9" w:rsidRPr="00B436EA">
        <w:rPr>
          <w:rFonts w:cs="Segoe UI"/>
          <w:b/>
          <w:bCs/>
          <w:lang w:val="en" w:eastAsia="en-GB"/>
        </w:rPr>
        <w:t>individual who may require it.</w:t>
      </w:r>
      <w:r w:rsidR="006E4199">
        <w:rPr>
          <w:rFonts w:cs="Segoe UI"/>
          <w:b/>
          <w:bCs/>
          <w:lang w:val="en" w:eastAsia="en-GB"/>
        </w:rPr>
        <w:t xml:space="preserve"> This includes</w:t>
      </w:r>
      <w:r w:rsidR="00733903">
        <w:rPr>
          <w:rFonts w:cs="Segoe UI"/>
          <w:b/>
          <w:bCs/>
          <w:lang w:val="en" w:eastAsia="en-GB"/>
        </w:rPr>
        <w:t xml:space="preserve"> </w:t>
      </w:r>
      <w:r w:rsidR="00733903" w:rsidRPr="00733903">
        <w:rPr>
          <w:b/>
          <w:bCs/>
        </w:rPr>
        <w:t>specific protection and assistance for</w:t>
      </w:r>
      <w:r w:rsidR="00733903">
        <w:t xml:space="preserve"> </w:t>
      </w:r>
      <w:r w:rsidR="006E4199" w:rsidRPr="00E7163A">
        <w:rPr>
          <w:rFonts w:cs="Segoe UI"/>
          <w:b/>
          <w:bCs/>
          <w:lang w:val="en" w:eastAsia="en-GB"/>
        </w:rPr>
        <w:t xml:space="preserve">people with additional needs </w:t>
      </w:r>
      <w:r w:rsidR="00733903">
        <w:rPr>
          <w:rFonts w:cs="Segoe UI"/>
          <w:b/>
          <w:bCs/>
          <w:lang w:val="en" w:eastAsia="en-GB"/>
        </w:rPr>
        <w:t xml:space="preserve">or </w:t>
      </w:r>
      <w:r w:rsidR="006E4199" w:rsidRPr="00E7163A">
        <w:rPr>
          <w:rFonts w:cs="Segoe UI"/>
          <w:b/>
          <w:bCs/>
          <w:lang w:val="en" w:eastAsia="en-GB"/>
        </w:rPr>
        <w:t>who may experience soci</w:t>
      </w:r>
      <w:r w:rsidR="00D72358">
        <w:rPr>
          <w:rFonts w:cs="Segoe UI"/>
          <w:b/>
          <w:bCs/>
          <w:lang w:val="en" w:eastAsia="en-GB"/>
        </w:rPr>
        <w:t xml:space="preserve">al or </w:t>
      </w:r>
      <w:r w:rsidR="006E4199" w:rsidRPr="00E7163A">
        <w:rPr>
          <w:rFonts w:cs="Segoe UI"/>
          <w:b/>
          <w:bCs/>
          <w:lang w:val="en" w:eastAsia="en-GB"/>
        </w:rPr>
        <w:t>economic exclusion.</w:t>
      </w:r>
    </w:p>
    <w:p w14:paraId="3B54AC11" w14:textId="77777777" w:rsidR="00E7163A" w:rsidRDefault="00E7163A" w:rsidP="00E7163A">
      <w:pPr>
        <w:pStyle w:val="ListParagraph"/>
      </w:pPr>
    </w:p>
    <w:p w14:paraId="40918844" w14:textId="20D072F3" w:rsidR="00002E3B" w:rsidRPr="009016CE" w:rsidRDefault="00E7163A" w:rsidP="00C74746">
      <w:pPr>
        <w:pStyle w:val="ListParagraph"/>
        <w:numPr>
          <w:ilvl w:val="1"/>
          <w:numId w:val="16"/>
        </w:numPr>
        <w:suppressAutoHyphens/>
        <w:ind w:left="709" w:hanging="709"/>
        <w:rPr>
          <w:rFonts w:cs="Arial"/>
          <w:b/>
          <w:bCs/>
          <w:color w:val="3C3C3B"/>
        </w:rPr>
      </w:pPr>
      <w:r w:rsidRPr="00552F96">
        <w:rPr>
          <w:b/>
          <w:bCs/>
        </w:rPr>
        <w:t>The NIHRC recommends that the Department of Justice</w:t>
      </w:r>
      <w:r w:rsidR="00212D9F" w:rsidRPr="00552F96">
        <w:rPr>
          <w:b/>
          <w:bCs/>
        </w:rPr>
        <w:t xml:space="preserve"> continuously collects, monitors and evaluates</w:t>
      </w:r>
      <w:r w:rsidR="00D72358" w:rsidRPr="00552F96">
        <w:rPr>
          <w:rFonts w:cs="Segoe UI"/>
          <w:lang w:val="en-US" w:eastAsia="en-GB"/>
        </w:rPr>
        <w:t xml:space="preserve"> </w:t>
      </w:r>
      <w:r w:rsidR="005D5D59" w:rsidRPr="009016CE">
        <w:rPr>
          <w:rFonts w:cs="Segoe UI"/>
          <w:b/>
          <w:bCs/>
          <w:lang w:val="en-US" w:eastAsia="en-GB"/>
        </w:rPr>
        <w:t xml:space="preserve">disaggregated </w:t>
      </w:r>
      <w:r w:rsidR="00C40EAA" w:rsidRPr="009016CE">
        <w:rPr>
          <w:rFonts w:cs="Segoe UI"/>
          <w:b/>
          <w:bCs/>
          <w:lang w:val="en-US" w:eastAsia="en-GB"/>
        </w:rPr>
        <w:t>data</w:t>
      </w:r>
      <w:r w:rsidR="00EA76E5" w:rsidRPr="009016CE">
        <w:rPr>
          <w:rFonts w:cs="Segoe UI"/>
          <w:b/>
          <w:bCs/>
          <w:lang w:val="en-US" w:eastAsia="en-GB"/>
        </w:rPr>
        <w:t xml:space="preserve"> of legal aid recipients</w:t>
      </w:r>
      <w:r w:rsidR="00BE5939" w:rsidRPr="009016CE">
        <w:rPr>
          <w:rFonts w:cs="Segoe UI"/>
          <w:b/>
          <w:bCs/>
          <w:lang w:val="en-US" w:eastAsia="en-GB"/>
        </w:rPr>
        <w:t xml:space="preserve"> </w:t>
      </w:r>
      <w:r w:rsidR="007F7C46" w:rsidRPr="009016CE">
        <w:rPr>
          <w:rFonts w:cs="Segoe UI"/>
          <w:b/>
          <w:bCs/>
          <w:lang w:val="en-US" w:eastAsia="en-GB"/>
        </w:rPr>
        <w:t>in order to understand the legal needs of the population</w:t>
      </w:r>
      <w:r w:rsidR="0051293F" w:rsidRPr="009016CE">
        <w:rPr>
          <w:rFonts w:cs="Segoe UI"/>
          <w:b/>
          <w:bCs/>
          <w:lang w:val="en-US" w:eastAsia="en-GB"/>
        </w:rPr>
        <w:t xml:space="preserve">. This includes </w:t>
      </w:r>
      <w:r w:rsidR="007F7C46" w:rsidRPr="009016CE">
        <w:rPr>
          <w:rFonts w:cs="Segoe UI"/>
          <w:b/>
          <w:bCs/>
          <w:lang w:val="en-US" w:eastAsia="en-GB"/>
        </w:rPr>
        <w:t>employing a</w:t>
      </w:r>
      <w:r w:rsidR="00F37AA7" w:rsidRPr="009016CE">
        <w:rPr>
          <w:rFonts w:cs="Segoe UI"/>
          <w:b/>
          <w:bCs/>
          <w:lang w:val="en-US" w:eastAsia="en-GB"/>
        </w:rPr>
        <w:t xml:space="preserve"> variety of </w:t>
      </w:r>
      <w:r w:rsidR="0051293F" w:rsidRPr="009016CE">
        <w:rPr>
          <w:rFonts w:cs="Segoe UI"/>
          <w:b/>
          <w:bCs/>
          <w:lang w:val="en-US" w:eastAsia="en-GB"/>
        </w:rPr>
        <w:t xml:space="preserve">data collection </w:t>
      </w:r>
      <w:r w:rsidR="00F37AA7" w:rsidRPr="009016CE">
        <w:rPr>
          <w:rFonts w:cs="Segoe UI"/>
          <w:b/>
          <w:bCs/>
          <w:lang w:val="en-US" w:eastAsia="en-GB"/>
        </w:rPr>
        <w:t xml:space="preserve">tools to ensure </w:t>
      </w:r>
      <w:r w:rsidR="00552F96" w:rsidRPr="009016CE">
        <w:rPr>
          <w:rFonts w:cs="Segoe UI"/>
          <w:b/>
          <w:bCs/>
          <w:lang w:val="en-US" w:eastAsia="en-GB"/>
        </w:rPr>
        <w:t>data is of appropriate quality</w:t>
      </w:r>
      <w:bookmarkEnd w:id="12"/>
      <w:r w:rsidR="002C093F" w:rsidRPr="009016CE">
        <w:rPr>
          <w:rFonts w:cs="Segoe UI"/>
          <w:b/>
          <w:bCs/>
          <w:lang w:val="en-US" w:eastAsia="en-GB"/>
        </w:rPr>
        <w:t xml:space="preserve"> and </w:t>
      </w:r>
      <w:r w:rsidR="007F7C46" w:rsidRPr="009016CE">
        <w:rPr>
          <w:rFonts w:cs="Segoe UI"/>
          <w:b/>
          <w:bCs/>
          <w:lang w:val="en-US" w:eastAsia="en-GB"/>
        </w:rPr>
        <w:t>publishing the findings to ensure transparency.</w:t>
      </w:r>
    </w:p>
    <w:p w14:paraId="72D693AB" w14:textId="77777777" w:rsidR="00552F96" w:rsidRPr="00552F96" w:rsidRDefault="00552F96" w:rsidP="00552F96">
      <w:pPr>
        <w:suppressAutoHyphens/>
        <w:rPr>
          <w:rFonts w:cs="Arial"/>
          <w:color w:val="3C3C3B"/>
        </w:rPr>
      </w:pPr>
    </w:p>
    <w:p w14:paraId="2DE3E34E" w14:textId="77777777" w:rsidR="009D73C5" w:rsidRPr="008C05C0" w:rsidRDefault="009D73C5" w:rsidP="00E45433">
      <w:pPr>
        <w:pStyle w:val="Heading2"/>
        <w:rPr>
          <w:lang w:val="en-US" w:eastAsia="en-GB"/>
        </w:rPr>
      </w:pPr>
      <w:bookmarkStart w:id="13" w:name="_Toc170204686"/>
      <w:r w:rsidRPr="6C847946">
        <w:rPr>
          <w:lang w:val="en-US" w:eastAsia="en-GB"/>
        </w:rPr>
        <w:t>Holistic approach to legal aid services</w:t>
      </w:r>
      <w:bookmarkEnd w:id="13"/>
    </w:p>
    <w:p w14:paraId="79E3F09C" w14:textId="1D4D8116" w:rsidR="00586FB6" w:rsidRPr="00586FB6" w:rsidRDefault="00586FB6" w:rsidP="00586FB6">
      <w:pPr>
        <w:pStyle w:val="ListParagraph"/>
        <w:numPr>
          <w:ilvl w:val="1"/>
          <w:numId w:val="16"/>
        </w:numPr>
        <w:suppressAutoHyphens/>
        <w:ind w:left="709" w:hanging="709"/>
        <w:rPr>
          <w:rFonts w:cs="Arial"/>
          <w:color w:val="3C3C3B"/>
        </w:rPr>
      </w:pPr>
      <w:r w:rsidRPr="00586FB6">
        <w:rPr>
          <w:rFonts w:cs="Segoe UI"/>
          <w:lang w:val="en" w:eastAsia="en-GB"/>
        </w:rPr>
        <w:t>UN treaty monitoring bodies have recommended “expanding the types of support provided under the legal aid budget”</w:t>
      </w:r>
      <w:r w:rsidRPr="00AD3664">
        <w:rPr>
          <w:iCs/>
          <w:vertAlign w:val="superscript"/>
          <w:lang w:eastAsia="en-GB"/>
        </w:rPr>
        <w:footnoteReference w:id="84"/>
      </w:r>
      <w:r w:rsidRPr="00586FB6">
        <w:rPr>
          <w:rFonts w:cs="Segoe UI"/>
          <w:lang w:val="en" w:eastAsia="en-GB"/>
        </w:rPr>
        <w:t xml:space="preserve"> and ensuring that systems are accessible and responsive “at all stages of judicial or quasi-judicial proceedings, including alternative dispute resolution mechanisms and restorative justice processes”.</w:t>
      </w:r>
      <w:r>
        <w:rPr>
          <w:rStyle w:val="FootnoteReference"/>
          <w:rFonts w:cs="Segoe UI"/>
          <w:lang w:val="en" w:eastAsia="en-GB"/>
        </w:rPr>
        <w:footnoteReference w:id="85"/>
      </w:r>
      <w:r w:rsidRPr="00586FB6">
        <w:rPr>
          <w:rFonts w:cs="Segoe UI"/>
          <w:lang w:val="en" w:eastAsia="en-GB"/>
        </w:rPr>
        <w:t xml:space="preserve"> Therefore, the </w:t>
      </w:r>
      <w:r w:rsidR="00920657">
        <w:rPr>
          <w:rFonts w:cs="Segoe UI"/>
          <w:lang w:val="en" w:eastAsia="en-GB"/>
        </w:rPr>
        <w:t xml:space="preserve">NIHRC </w:t>
      </w:r>
      <w:r w:rsidRPr="00586FB6">
        <w:rPr>
          <w:rFonts w:cs="Segoe UI"/>
          <w:lang w:val="en" w:eastAsia="en-GB"/>
        </w:rPr>
        <w:t>welcomes that the current review is intended to be a holistic review of civil legal aid provision in NI.</w:t>
      </w:r>
      <w:r>
        <w:rPr>
          <w:rStyle w:val="FootnoteReference"/>
          <w:rFonts w:cs="Segoe UI"/>
          <w:lang w:val="en" w:eastAsia="en-GB"/>
        </w:rPr>
        <w:footnoteReference w:id="86"/>
      </w:r>
      <w:r w:rsidRPr="00586FB6">
        <w:rPr>
          <w:rFonts w:cs="Segoe UI"/>
          <w:lang w:val="en" w:eastAsia="en-GB"/>
        </w:rPr>
        <w:t xml:space="preserve"> The </w:t>
      </w:r>
      <w:r w:rsidR="00920657">
        <w:rPr>
          <w:rFonts w:cs="Segoe UI"/>
          <w:lang w:val="en" w:eastAsia="en-GB"/>
        </w:rPr>
        <w:t>NIHRC</w:t>
      </w:r>
      <w:r w:rsidRPr="00586FB6">
        <w:rPr>
          <w:rFonts w:cs="Segoe UI"/>
          <w:lang w:val="en" w:eastAsia="en-GB"/>
        </w:rPr>
        <w:t xml:space="preserve"> would encourage the development of effective early intervention approaches that could ultimately avoid escalation of problems that could otherwise become unmanageable.</w:t>
      </w:r>
    </w:p>
    <w:p w14:paraId="6776CE05" w14:textId="77777777" w:rsidR="00586FB6" w:rsidRPr="00586FB6" w:rsidRDefault="00586FB6" w:rsidP="00586FB6">
      <w:pPr>
        <w:pStyle w:val="ListParagraph"/>
        <w:suppressAutoHyphens/>
        <w:ind w:left="709"/>
        <w:rPr>
          <w:rFonts w:cs="Arial"/>
          <w:color w:val="3C3C3B"/>
        </w:rPr>
      </w:pPr>
    </w:p>
    <w:p w14:paraId="0DC8697A" w14:textId="350240D6" w:rsidR="00B67C6C" w:rsidRPr="00B67C6C" w:rsidRDefault="00586FB6" w:rsidP="00B67C6C">
      <w:pPr>
        <w:pStyle w:val="ListParagraph"/>
        <w:numPr>
          <w:ilvl w:val="1"/>
          <w:numId w:val="16"/>
        </w:numPr>
        <w:suppressAutoHyphens/>
        <w:ind w:left="709" w:hanging="709"/>
        <w:rPr>
          <w:rFonts w:cs="Arial"/>
          <w:color w:val="3C3C3B"/>
        </w:rPr>
      </w:pPr>
      <w:r w:rsidRPr="00586FB6">
        <w:rPr>
          <w:rFonts w:cs="Segoe UI"/>
          <w:lang w:val="en" w:eastAsia="en-GB"/>
        </w:rPr>
        <w:t xml:space="preserve">The </w:t>
      </w:r>
      <w:proofErr w:type="spellStart"/>
      <w:r w:rsidRPr="00586FB6">
        <w:rPr>
          <w:rFonts w:cs="Segoe UI"/>
          <w:lang w:val="en" w:eastAsia="en-GB"/>
        </w:rPr>
        <w:t>CoE</w:t>
      </w:r>
      <w:proofErr w:type="spellEnd"/>
      <w:r w:rsidRPr="00586FB6">
        <w:rPr>
          <w:rFonts w:cs="Segoe UI"/>
          <w:lang w:val="en" w:eastAsia="en-GB"/>
        </w:rPr>
        <w:t xml:space="preserve"> Committee of Ministers Guidelines encourage the use of </w:t>
      </w:r>
      <w:r w:rsidRPr="00586FB6">
        <w:rPr>
          <w:rFonts w:cs="Segoe UI"/>
          <w:lang w:eastAsia="en-GB"/>
        </w:rPr>
        <w:t>early intervention mechanisms and techniques to help resolve legal disputes quickly and alleviate financial demands on the legal aid scheme</w:t>
      </w:r>
      <w:r w:rsidRPr="00586FB6">
        <w:rPr>
          <w:rFonts w:cs="Segoe UI"/>
          <w:lang w:val="en" w:eastAsia="en-GB"/>
        </w:rPr>
        <w:t>.</w:t>
      </w:r>
      <w:r>
        <w:rPr>
          <w:rStyle w:val="FootnoteReference"/>
          <w:rFonts w:cs="Segoe UI"/>
          <w:lang w:val="en" w:eastAsia="en-GB"/>
        </w:rPr>
        <w:footnoteReference w:id="87"/>
      </w:r>
      <w:r w:rsidRPr="00586FB6">
        <w:rPr>
          <w:rFonts w:cs="Segoe UI"/>
          <w:lang w:val="en" w:eastAsia="en-GB"/>
        </w:rPr>
        <w:t xml:space="preserve"> </w:t>
      </w:r>
      <w:r w:rsidRPr="00586FB6">
        <w:rPr>
          <w:rFonts w:cs="Segoe UI"/>
          <w:lang w:eastAsia="en-GB"/>
        </w:rPr>
        <w:t>It recommends that consideration should be given to the following:</w:t>
      </w:r>
    </w:p>
    <w:p w14:paraId="39B5C80D" w14:textId="77777777" w:rsidR="00B67C6C" w:rsidRPr="00B67C6C" w:rsidRDefault="00B67C6C" w:rsidP="00B67C6C">
      <w:pPr>
        <w:pStyle w:val="ListParagraph"/>
        <w:suppressAutoHyphens/>
        <w:ind w:left="709"/>
        <w:rPr>
          <w:rFonts w:cs="Arial"/>
          <w:color w:val="3C3C3B"/>
        </w:rPr>
      </w:pPr>
    </w:p>
    <w:p w14:paraId="5CD9D505" w14:textId="77777777" w:rsidR="00586FB6" w:rsidRPr="000514CE" w:rsidRDefault="00586FB6" w:rsidP="00255D5B">
      <w:pPr>
        <w:pStyle w:val="ListParagraph"/>
        <w:numPr>
          <w:ilvl w:val="0"/>
          <w:numId w:val="22"/>
        </w:numPr>
        <w:spacing w:after="240" w:line="276" w:lineRule="auto"/>
        <w:ind w:left="1134" w:hanging="259"/>
        <w:jc w:val="both"/>
        <w:rPr>
          <w:rFonts w:cs="Segoe UI"/>
          <w:lang w:eastAsia="en-GB"/>
        </w:rPr>
      </w:pPr>
      <w:r w:rsidRPr="000514CE">
        <w:rPr>
          <w:rFonts w:cs="Segoe UI"/>
          <w:lang w:eastAsia="en-GB"/>
        </w:rPr>
        <w:t>making widely available, and easily accessible for everyone, information on law and the legal system and, in particular, on legal rights, obligations and remedies;</w:t>
      </w:r>
    </w:p>
    <w:p w14:paraId="2BCDF99C" w14:textId="77777777" w:rsidR="00586FB6" w:rsidRPr="000514CE" w:rsidRDefault="00586FB6" w:rsidP="00255D5B">
      <w:pPr>
        <w:pStyle w:val="ListParagraph"/>
        <w:numPr>
          <w:ilvl w:val="0"/>
          <w:numId w:val="22"/>
        </w:numPr>
        <w:spacing w:after="240" w:line="276" w:lineRule="auto"/>
        <w:ind w:left="1134" w:hanging="259"/>
        <w:jc w:val="both"/>
        <w:rPr>
          <w:rFonts w:cs="Segoe UI"/>
          <w:lang w:eastAsia="en-GB"/>
        </w:rPr>
      </w:pPr>
      <w:r w:rsidRPr="000514CE">
        <w:rPr>
          <w:rFonts w:cs="Segoe UI"/>
          <w:lang w:eastAsia="en-GB"/>
        </w:rPr>
        <w:t>providing the public with easy access to legal advice and assistance through integrated and/or holistic public services (for example, “one-stop shops”) in areas such as social policy, health, housing, employment and education;</w:t>
      </w:r>
    </w:p>
    <w:p w14:paraId="17ED9284" w14:textId="77777777" w:rsidR="00586FB6" w:rsidRDefault="00586FB6" w:rsidP="00255D5B">
      <w:pPr>
        <w:pStyle w:val="ListParagraph"/>
        <w:numPr>
          <w:ilvl w:val="0"/>
          <w:numId w:val="22"/>
        </w:numPr>
        <w:spacing w:line="276" w:lineRule="auto"/>
        <w:ind w:left="1134" w:hanging="259"/>
        <w:jc w:val="both"/>
        <w:rPr>
          <w:rFonts w:cs="Segoe UI"/>
          <w:lang w:eastAsia="en-GB"/>
        </w:rPr>
      </w:pPr>
      <w:r w:rsidRPr="000514CE">
        <w:rPr>
          <w:rFonts w:cs="Segoe UI"/>
          <w:lang w:eastAsia="en-GB"/>
        </w:rPr>
        <w:t>supporting access to information on legal rights, obligations and remedies through integrated and interactive information technology solutions.</w:t>
      </w:r>
      <w:r>
        <w:rPr>
          <w:rStyle w:val="FootnoteReference"/>
          <w:rFonts w:cs="Segoe UI"/>
          <w:lang w:eastAsia="en-GB"/>
        </w:rPr>
        <w:footnoteReference w:id="88"/>
      </w:r>
    </w:p>
    <w:p w14:paraId="73B7EE33" w14:textId="77777777" w:rsidR="001673AC" w:rsidRPr="001673AC" w:rsidRDefault="001673AC" w:rsidP="001673AC">
      <w:pPr>
        <w:suppressAutoHyphens/>
        <w:rPr>
          <w:rFonts w:cs="Arial"/>
          <w:b/>
          <w:bCs/>
          <w:color w:val="3C3C3B"/>
        </w:rPr>
      </w:pPr>
      <w:bookmarkStart w:id="14" w:name="_Hlk163637053"/>
    </w:p>
    <w:p w14:paraId="3254B603" w14:textId="0F3AA685" w:rsidR="00AE727E" w:rsidRPr="00B30FBC" w:rsidRDefault="00AE727E" w:rsidP="001B7098">
      <w:pPr>
        <w:pStyle w:val="ListParagraph"/>
        <w:numPr>
          <w:ilvl w:val="1"/>
          <w:numId w:val="16"/>
        </w:numPr>
        <w:suppressAutoHyphens/>
        <w:ind w:left="709" w:hanging="709"/>
        <w:rPr>
          <w:rFonts w:cs="Arial"/>
          <w:color w:val="000000" w:themeColor="text1"/>
        </w:rPr>
      </w:pPr>
      <w:r w:rsidRPr="00AE727E">
        <w:rPr>
          <w:rFonts w:cs="Arial"/>
          <w:color w:val="000000" w:themeColor="text1"/>
        </w:rPr>
        <w:t>The</w:t>
      </w:r>
      <w:r w:rsidR="000A66A3">
        <w:rPr>
          <w:rFonts w:cs="Arial"/>
          <w:color w:val="000000" w:themeColor="text1"/>
        </w:rPr>
        <w:t xml:space="preserve"> Committee of Ministers Explanatory Memorandum </w:t>
      </w:r>
      <w:r w:rsidR="00DD55CD">
        <w:rPr>
          <w:rFonts w:cs="Arial"/>
          <w:color w:val="000000" w:themeColor="text1"/>
        </w:rPr>
        <w:t xml:space="preserve">contains </w:t>
      </w:r>
      <w:r w:rsidR="004A53A0">
        <w:rPr>
          <w:rFonts w:cs="Arial"/>
          <w:color w:val="000000" w:themeColor="text1"/>
        </w:rPr>
        <w:t xml:space="preserve">a number of </w:t>
      </w:r>
      <w:r w:rsidR="00236F8F">
        <w:rPr>
          <w:rFonts w:cs="Arial"/>
          <w:color w:val="000000" w:themeColor="text1"/>
        </w:rPr>
        <w:t>best practice examples</w:t>
      </w:r>
      <w:r w:rsidR="00DD55CD">
        <w:rPr>
          <w:rFonts w:cs="Arial"/>
          <w:color w:val="000000" w:themeColor="text1"/>
        </w:rPr>
        <w:t xml:space="preserve"> </w:t>
      </w:r>
      <w:r w:rsidR="00662B82">
        <w:rPr>
          <w:rFonts w:cs="Arial"/>
          <w:color w:val="000000" w:themeColor="text1"/>
        </w:rPr>
        <w:t>emerging from</w:t>
      </w:r>
      <w:r w:rsidR="00DD55CD">
        <w:rPr>
          <w:rFonts w:cs="Arial"/>
          <w:color w:val="000000" w:themeColor="text1"/>
        </w:rPr>
        <w:t xml:space="preserve"> Member States.</w:t>
      </w:r>
      <w:r w:rsidR="006F5536">
        <w:rPr>
          <w:rStyle w:val="FootnoteReference"/>
          <w:rFonts w:cs="Arial"/>
          <w:color w:val="000000" w:themeColor="text1"/>
        </w:rPr>
        <w:footnoteReference w:id="89"/>
      </w:r>
      <w:r w:rsidR="00DD55CD">
        <w:rPr>
          <w:rFonts w:cs="Arial"/>
          <w:color w:val="000000" w:themeColor="text1"/>
        </w:rPr>
        <w:t xml:space="preserve"> For example, </w:t>
      </w:r>
      <w:r w:rsidR="00882DBE">
        <w:t>in Poland, information on legal aid is disseminated by post, especially to older adults or people with disabilities.</w:t>
      </w:r>
      <w:r w:rsidR="00A05BCD">
        <w:rPr>
          <w:rStyle w:val="FootnoteReference"/>
        </w:rPr>
        <w:footnoteReference w:id="90"/>
      </w:r>
      <w:r w:rsidR="00882DBE">
        <w:t xml:space="preserve"> </w:t>
      </w:r>
      <w:r w:rsidR="00FD44EB">
        <w:t xml:space="preserve">In the Netherlands, </w:t>
      </w:r>
      <w:r w:rsidR="00814918">
        <w:t xml:space="preserve">the </w:t>
      </w:r>
      <w:proofErr w:type="spellStart"/>
      <w:r w:rsidR="00814918" w:rsidRPr="00814918">
        <w:rPr>
          <w:i/>
          <w:iCs/>
        </w:rPr>
        <w:t>Rechtwijzer</w:t>
      </w:r>
      <w:proofErr w:type="spellEnd"/>
      <w:r w:rsidR="00814918">
        <w:t xml:space="preserve"> (“conflict resolution guide” or “interactive platform to justice”) provides an example</w:t>
      </w:r>
      <w:r w:rsidR="00236F8F">
        <w:t xml:space="preserve"> of</w:t>
      </w:r>
      <w:r w:rsidR="00814918">
        <w:t xml:space="preserve"> interactive information technology solutions</w:t>
      </w:r>
      <w:r w:rsidR="00DD700B">
        <w:t xml:space="preserve"> </w:t>
      </w:r>
      <w:r w:rsidR="00236F8F">
        <w:t>relating to the</w:t>
      </w:r>
      <w:r w:rsidR="00DD700B">
        <w:t xml:space="preserve"> provision of legal information</w:t>
      </w:r>
      <w:r w:rsidR="00112C84">
        <w:t>.</w:t>
      </w:r>
      <w:r w:rsidR="00AB1F61">
        <w:rPr>
          <w:rStyle w:val="FootnoteReference"/>
        </w:rPr>
        <w:footnoteReference w:id="91"/>
      </w:r>
      <w:r w:rsidR="00112C84">
        <w:t xml:space="preserve"> The Committee of Ministers reports, </w:t>
      </w:r>
    </w:p>
    <w:p w14:paraId="399B2119" w14:textId="77777777" w:rsidR="00B30FBC" w:rsidRPr="00CA6C16" w:rsidRDefault="00B30FBC" w:rsidP="00B30FBC">
      <w:pPr>
        <w:pStyle w:val="ListParagraph"/>
        <w:suppressAutoHyphens/>
        <w:ind w:left="709"/>
        <w:rPr>
          <w:rFonts w:cs="Arial"/>
          <w:color w:val="000000" w:themeColor="text1"/>
        </w:rPr>
      </w:pPr>
    </w:p>
    <w:p w14:paraId="36B3BAE2" w14:textId="6C3A2A39" w:rsidR="00CA6C16" w:rsidRPr="00AE727E" w:rsidRDefault="00DD700B" w:rsidP="00112C84">
      <w:pPr>
        <w:pStyle w:val="ListParagraph"/>
        <w:suppressAutoHyphens/>
        <w:ind w:left="851"/>
        <w:rPr>
          <w:rFonts w:cs="Arial"/>
          <w:color w:val="000000" w:themeColor="text1"/>
        </w:rPr>
      </w:pPr>
      <w:r>
        <w:t xml:space="preserve">It </w:t>
      </w:r>
      <w:r w:rsidR="00CA6C16">
        <w:t>is run by a joint committee with the support of a number of stakeholders, including the bar association. This website provides legal assistance by means of a “decision tree”, which helps individuals to find solutions to their legal problems in an interactive manner. The website also refers users to an appropriate expert or organisation if necessary. An additional important feature of this website is an online platform which allows people to settle legal conflicts through negotiations with another party to the conflict with the involvement of an impartial third party in an online “trialogue”</w:t>
      </w:r>
      <w:r w:rsidR="0023450E">
        <w:t xml:space="preserve">. In particular, this type of assistance is </w:t>
      </w:r>
      <w:r w:rsidR="00236F8F">
        <w:t>provided</w:t>
      </w:r>
      <w:r w:rsidR="0023450E">
        <w:t xml:space="preserve"> in divorce cases.</w:t>
      </w:r>
      <w:r w:rsidR="00A16D4B">
        <w:rPr>
          <w:rStyle w:val="FootnoteReference"/>
        </w:rPr>
        <w:footnoteReference w:id="92"/>
      </w:r>
    </w:p>
    <w:p w14:paraId="30D10300" w14:textId="77777777" w:rsidR="00AE727E" w:rsidRPr="00AE727E" w:rsidRDefault="00AE727E" w:rsidP="00AE727E">
      <w:pPr>
        <w:pStyle w:val="ListParagraph"/>
        <w:suppressAutoHyphens/>
        <w:ind w:left="709"/>
        <w:rPr>
          <w:rFonts w:cs="Arial"/>
          <w:b/>
          <w:bCs/>
          <w:color w:val="000000" w:themeColor="text1"/>
        </w:rPr>
      </w:pPr>
    </w:p>
    <w:p w14:paraId="2273B7B1" w14:textId="2260F596" w:rsidR="00D03F84" w:rsidRPr="00E869BD" w:rsidRDefault="00FB3C6F" w:rsidP="00D03F84">
      <w:pPr>
        <w:pStyle w:val="ListParagraph"/>
        <w:numPr>
          <w:ilvl w:val="1"/>
          <w:numId w:val="16"/>
        </w:numPr>
        <w:suppressAutoHyphens/>
        <w:ind w:left="709" w:hanging="709"/>
        <w:rPr>
          <w:rFonts w:cs="Arial"/>
          <w:b/>
          <w:bCs/>
          <w:color w:val="000000" w:themeColor="text1"/>
        </w:rPr>
      </w:pPr>
      <w:r w:rsidRPr="7679F3B5">
        <w:rPr>
          <w:rFonts w:cs="Arial"/>
          <w:b/>
          <w:bCs/>
        </w:rPr>
        <w:t xml:space="preserve">The NIHRC recommends that the </w:t>
      </w:r>
      <w:r w:rsidR="001B7098">
        <w:rPr>
          <w:rFonts w:cs="Arial"/>
          <w:b/>
          <w:bCs/>
        </w:rPr>
        <w:t>Department of Justice</w:t>
      </w:r>
      <w:r w:rsidR="00186EDC">
        <w:rPr>
          <w:rFonts w:cs="Arial"/>
          <w:b/>
          <w:bCs/>
        </w:rPr>
        <w:t xml:space="preserve"> </w:t>
      </w:r>
      <w:r w:rsidR="00862BCA">
        <w:rPr>
          <w:rFonts w:cs="Arial"/>
          <w:b/>
          <w:bCs/>
        </w:rPr>
        <w:t>ensures</w:t>
      </w:r>
      <w:r w:rsidR="00D609CF">
        <w:rPr>
          <w:rFonts w:cs="Arial"/>
          <w:b/>
          <w:bCs/>
        </w:rPr>
        <w:t xml:space="preserve"> </w:t>
      </w:r>
      <w:r w:rsidR="00A97608" w:rsidRPr="00B21622">
        <w:rPr>
          <w:b/>
          <w:bCs/>
        </w:rPr>
        <w:t xml:space="preserve">early intervention mechanisms and techniques </w:t>
      </w:r>
      <w:r w:rsidR="00D609CF" w:rsidRPr="00B21622">
        <w:rPr>
          <w:b/>
          <w:bCs/>
        </w:rPr>
        <w:t xml:space="preserve">are </w:t>
      </w:r>
      <w:r w:rsidR="00BF10FF" w:rsidRPr="00B21622">
        <w:rPr>
          <w:b/>
          <w:bCs/>
        </w:rPr>
        <w:t xml:space="preserve">effectively used and adequately resourced to ensure the </w:t>
      </w:r>
      <w:r w:rsidR="00A97608" w:rsidRPr="00B21622">
        <w:rPr>
          <w:b/>
          <w:bCs/>
        </w:rPr>
        <w:t xml:space="preserve">accessible and timely legal advice and assistance </w:t>
      </w:r>
      <w:r w:rsidR="00A2199A" w:rsidRPr="00B21622">
        <w:rPr>
          <w:b/>
          <w:bCs/>
        </w:rPr>
        <w:t>to</w:t>
      </w:r>
      <w:r w:rsidR="00A2199A">
        <w:t xml:space="preserve"> </w:t>
      </w:r>
      <w:r w:rsidR="00A2199A">
        <w:rPr>
          <w:rFonts w:cs="Segoe UI"/>
          <w:b/>
          <w:bCs/>
          <w:lang w:val="en" w:eastAsia="en-GB"/>
        </w:rPr>
        <w:t xml:space="preserve">every </w:t>
      </w:r>
      <w:r w:rsidR="00A2199A" w:rsidRPr="00B436EA">
        <w:rPr>
          <w:rFonts w:cs="Segoe UI"/>
          <w:b/>
          <w:bCs/>
          <w:lang w:val="en" w:eastAsia="en-GB"/>
        </w:rPr>
        <w:t>individual who may require it.</w:t>
      </w:r>
      <w:r w:rsidR="00B21622">
        <w:rPr>
          <w:rFonts w:cs="Segoe UI"/>
          <w:b/>
          <w:bCs/>
          <w:lang w:val="en" w:eastAsia="en-GB"/>
        </w:rPr>
        <w:t xml:space="preserve"> </w:t>
      </w:r>
      <w:bookmarkEnd w:id="14"/>
    </w:p>
    <w:p w14:paraId="33930AA9" w14:textId="77777777" w:rsidR="000965E8" w:rsidRDefault="000965E8" w:rsidP="00331C61">
      <w:pPr>
        <w:pStyle w:val="BasicParagraph"/>
        <w:suppressAutoHyphens/>
        <w:jc w:val="center"/>
        <w:rPr>
          <w:rFonts w:ascii="Verdana" w:hAnsi="Verdana" w:cs="Arial"/>
          <w:b/>
          <w:bCs/>
          <w:color w:val="77328A"/>
          <w:sz w:val="36"/>
          <w:szCs w:val="36"/>
        </w:rPr>
      </w:pPr>
    </w:p>
    <w:p w14:paraId="2E5C92A9" w14:textId="77777777" w:rsidR="001B7098" w:rsidRDefault="001B7098" w:rsidP="00331C61">
      <w:pPr>
        <w:pStyle w:val="BasicParagraph"/>
        <w:suppressAutoHyphens/>
        <w:jc w:val="center"/>
        <w:rPr>
          <w:rFonts w:ascii="Verdana" w:hAnsi="Verdana" w:cs="Arial"/>
          <w:b/>
          <w:bCs/>
          <w:color w:val="77328A"/>
          <w:sz w:val="36"/>
          <w:szCs w:val="36"/>
        </w:rPr>
      </w:pPr>
    </w:p>
    <w:p w14:paraId="4512C429" w14:textId="77777777" w:rsidR="001B7098" w:rsidRDefault="001B7098" w:rsidP="00331C61">
      <w:pPr>
        <w:pStyle w:val="BasicParagraph"/>
        <w:suppressAutoHyphens/>
        <w:jc w:val="center"/>
        <w:rPr>
          <w:rFonts w:ascii="Verdana" w:hAnsi="Verdana" w:cs="Arial"/>
          <w:b/>
          <w:bCs/>
          <w:color w:val="77328A"/>
          <w:sz w:val="36"/>
          <w:szCs w:val="36"/>
        </w:rPr>
      </w:pPr>
    </w:p>
    <w:p w14:paraId="12D1C364" w14:textId="77777777" w:rsidR="001B7098" w:rsidRDefault="001B7098" w:rsidP="00331C61">
      <w:pPr>
        <w:pStyle w:val="BasicParagraph"/>
        <w:suppressAutoHyphens/>
        <w:jc w:val="center"/>
        <w:rPr>
          <w:rFonts w:ascii="Verdana" w:hAnsi="Verdana" w:cs="Arial"/>
          <w:b/>
          <w:bCs/>
          <w:color w:val="77328A"/>
          <w:sz w:val="36"/>
          <w:szCs w:val="36"/>
        </w:rPr>
      </w:pPr>
    </w:p>
    <w:p w14:paraId="2F846E07" w14:textId="77777777" w:rsidR="001B7098" w:rsidRDefault="001B7098" w:rsidP="00331C61">
      <w:pPr>
        <w:pStyle w:val="BasicParagraph"/>
        <w:suppressAutoHyphens/>
        <w:jc w:val="center"/>
        <w:rPr>
          <w:rFonts w:ascii="Verdana" w:hAnsi="Verdana" w:cs="Arial"/>
          <w:b/>
          <w:bCs/>
          <w:color w:val="77328A"/>
          <w:sz w:val="36"/>
          <w:szCs w:val="36"/>
        </w:rPr>
      </w:pPr>
    </w:p>
    <w:p w14:paraId="24CA354B" w14:textId="77777777" w:rsidR="001B7098" w:rsidRDefault="001B7098" w:rsidP="00331C61">
      <w:pPr>
        <w:pStyle w:val="BasicParagraph"/>
        <w:suppressAutoHyphens/>
        <w:jc w:val="center"/>
        <w:rPr>
          <w:rFonts w:ascii="Verdana" w:hAnsi="Verdana" w:cs="Arial"/>
          <w:b/>
          <w:bCs/>
          <w:color w:val="77328A"/>
          <w:sz w:val="36"/>
          <w:szCs w:val="36"/>
        </w:rPr>
      </w:pPr>
    </w:p>
    <w:p w14:paraId="3B19ACF1" w14:textId="77777777" w:rsidR="001B7098" w:rsidRDefault="001B7098" w:rsidP="00331C61">
      <w:pPr>
        <w:pStyle w:val="BasicParagraph"/>
        <w:suppressAutoHyphens/>
        <w:jc w:val="center"/>
        <w:rPr>
          <w:rFonts w:ascii="Verdana" w:hAnsi="Verdana" w:cs="Arial"/>
          <w:b/>
          <w:bCs/>
          <w:color w:val="77328A"/>
          <w:sz w:val="36"/>
          <w:szCs w:val="36"/>
        </w:rPr>
      </w:pPr>
    </w:p>
    <w:p w14:paraId="71967F45" w14:textId="043C6A32" w:rsidR="001B7098" w:rsidRDefault="00EF1932">
      <w:pPr>
        <w:spacing w:line="240" w:lineRule="auto"/>
        <w:rPr>
          <w:rFonts w:cs="Arial"/>
          <w:b/>
          <w:color w:val="77328A"/>
          <w:sz w:val="36"/>
          <w:szCs w:val="36"/>
        </w:rPr>
      </w:pPr>
      <w:r>
        <w:rPr>
          <w:rFonts w:cs="Arial"/>
          <w:b/>
          <w:bCs/>
          <w:color w:val="77328A"/>
          <w:sz w:val="36"/>
          <w:szCs w:val="36"/>
        </w:rPr>
        <w:br w:type="page"/>
      </w:r>
    </w:p>
    <w:p w14:paraId="1CC2A03C" w14:textId="77777777" w:rsidR="001B7098" w:rsidRDefault="001B7098" w:rsidP="00331C61">
      <w:pPr>
        <w:pStyle w:val="BasicParagraph"/>
        <w:suppressAutoHyphens/>
        <w:jc w:val="center"/>
        <w:rPr>
          <w:rFonts w:ascii="Verdana" w:hAnsi="Verdana" w:cs="Arial"/>
          <w:b/>
          <w:bCs/>
          <w:color w:val="77328A"/>
          <w:sz w:val="36"/>
          <w:szCs w:val="36"/>
        </w:rPr>
      </w:pPr>
    </w:p>
    <w:p w14:paraId="75123EB1" w14:textId="77777777" w:rsidR="001B7098" w:rsidRDefault="001B7098" w:rsidP="00331C61">
      <w:pPr>
        <w:pStyle w:val="BasicParagraph"/>
        <w:suppressAutoHyphens/>
        <w:jc w:val="center"/>
        <w:rPr>
          <w:rFonts w:ascii="Verdana" w:hAnsi="Verdana" w:cs="Arial"/>
          <w:b/>
          <w:bCs/>
          <w:color w:val="77328A"/>
          <w:sz w:val="36"/>
          <w:szCs w:val="36"/>
        </w:rPr>
      </w:pPr>
    </w:p>
    <w:p w14:paraId="77FA8AC1" w14:textId="77777777" w:rsidR="001B7098" w:rsidRDefault="001B7098" w:rsidP="00331C61">
      <w:pPr>
        <w:pStyle w:val="BasicParagraph"/>
        <w:suppressAutoHyphens/>
        <w:jc w:val="center"/>
        <w:rPr>
          <w:rFonts w:ascii="Verdana" w:hAnsi="Verdana" w:cs="Arial"/>
          <w:b/>
          <w:bCs/>
          <w:color w:val="77328A"/>
          <w:sz w:val="36"/>
          <w:szCs w:val="36"/>
        </w:rPr>
      </w:pPr>
    </w:p>
    <w:p w14:paraId="507BD335" w14:textId="77777777" w:rsidR="001B7098" w:rsidRDefault="001B7098" w:rsidP="00331C61">
      <w:pPr>
        <w:pStyle w:val="BasicParagraph"/>
        <w:suppressAutoHyphens/>
        <w:jc w:val="center"/>
        <w:rPr>
          <w:rFonts w:ascii="Verdana" w:hAnsi="Verdana" w:cs="Arial"/>
          <w:b/>
          <w:bCs/>
          <w:color w:val="77328A"/>
          <w:sz w:val="36"/>
          <w:szCs w:val="36"/>
        </w:rPr>
      </w:pPr>
    </w:p>
    <w:p w14:paraId="381F2362" w14:textId="77777777" w:rsidR="001B7098" w:rsidRDefault="001B7098" w:rsidP="006F5536">
      <w:pPr>
        <w:pStyle w:val="BasicParagraph"/>
        <w:suppressAutoHyphens/>
        <w:rPr>
          <w:rFonts w:ascii="Verdana" w:hAnsi="Verdana" w:cs="Arial"/>
          <w:b/>
          <w:bCs/>
          <w:color w:val="77328A"/>
          <w:sz w:val="36"/>
          <w:szCs w:val="36"/>
        </w:rPr>
      </w:pPr>
    </w:p>
    <w:p w14:paraId="31F800AB" w14:textId="77777777" w:rsidR="001B7098" w:rsidRDefault="001B7098" w:rsidP="00331C61">
      <w:pPr>
        <w:pStyle w:val="BasicParagraph"/>
        <w:suppressAutoHyphens/>
        <w:jc w:val="center"/>
        <w:rPr>
          <w:rFonts w:ascii="Verdana" w:hAnsi="Verdana" w:cs="Arial"/>
          <w:b/>
          <w:bCs/>
          <w:color w:val="77328A"/>
          <w:sz w:val="36"/>
          <w:szCs w:val="36"/>
        </w:rPr>
      </w:pPr>
    </w:p>
    <w:p w14:paraId="7F1963B8" w14:textId="77777777" w:rsidR="001B7098" w:rsidRDefault="001B7098" w:rsidP="00331C61">
      <w:pPr>
        <w:pStyle w:val="BasicParagraph"/>
        <w:suppressAutoHyphens/>
        <w:jc w:val="center"/>
        <w:rPr>
          <w:rFonts w:ascii="Verdana" w:hAnsi="Verdana" w:cs="Arial"/>
          <w:b/>
          <w:bCs/>
          <w:color w:val="77328A"/>
          <w:sz w:val="36"/>
          <w:szCs w:val="36"/>
        </w:rPr>
      </w:pPr>
    </w:p>
    <w:p w14:paraId="66670BBA" w14:textId="77777777" w:rsidR="001B7098" w:rsidRDefault="001B7098" w:rsidP="00331C61">
      <w:pPr>
        <w:pStyle w:val="BasicParagraph"/>
        <w:suppressAutoHyphens/>
        <w:jc w:val="center"/>
        <w:rPr>
          <w:rFonts w:ascii="Verdana" w:hAnsi="Verdana" w:cs="Arial"/>
          <w:b/>
          <w:bCs/>
          <w:color w:val="77328A"/>
          <w:sz w:val="36"/>
          <w:szCs w:val="36"/>
        </w:rPr>
      </w:pPr>
    </w:p>
    <w:p w14:paraId="34197DAB" w14:textId="77777777" w:rsidR="001B7098" w:rsidRDefault="001B7098" w:rsidP="00331C61">
      <w:pPr>
        <w:pStyle w:val="BasicParagraph"/>
        <w:suppressAutoHyphens/>
        <w:jc w:val="center"/>
        <w:rPr>
          <w:rFonts w:ascii="Verdana" w:hAnsi="Verdana" w:cs="Arial"/>
          <w:b/>
          <w:bCs/>
          <w:color w:val="77328A"/>
          <w:sz w:val="36"/>
          <w:szCs w:val="36"/>
        </w:rPr>
      </w:pPr>
    </w:p>
    <w:p w14:paraId="00ECAD87" w14:textId="54ED6D9D" w:rsidR="00705833"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6EEEBE4B" w14:textId="77777777" w:rsidR="00ED6C60" w:rsidRPr="00331C61" w:rsidRDefault="00ED6C60" w:rsidP="00331C61">
      <w:pPr>
        <w:pStyle w:val="BasicParagraph"/>
        <w:suppressAutoHyphens/>
        <w:jc w:val="center"/>
        <w:rPr>
          <w:rFonts w:ascii="Verdana" w:hAnsi="Verdana" w:cs="Arial"/>
          <w:b/>
          <w:bCs/>
          <w:color w:val="77328A"/>
          <w:sz w:val="36"/>
          <w:szCs w:val="36"/>
        </w:rPr>
      </w:pPr>
    </w:p>
    <w:p w14:paraId="12C9D04A" w14:textId="77777777" w:rsidR="00331C61" w:rsidRPr="00331C61" w:rsidRDefault="00331C61" w:rsidP="00331C61">
      <w:pPr>
        <w:pStyle w:val="BasicParagraph"/>
        <w:suppressAutoHyphens/>
        <w:jc w:val="center"/>
        <w:rPr>
          <w:rFonts w:ascii="Verdana" w:hAnsi="Verdana" w:cs="Arial"/>
          <w:b/>
          <w:color w:val="77328A"/>
          <w:sz w:val="36"/>
          <w:szCs w:val="36"/>
        </w:rPr>
      </w:pPr>
    </w:p>
    <w:p w14:paraId="59379608" w14:textId="111DDF39" w:rsidR="00AE6245" w:rsidRDefault="00ED6C60" w:rsidP="00D52BCD">
      <w:pPr>
        <w:jc w:val="center"/>
        <w:rPr>
          <w:rStyle w:val="Hyperlink"/>
          <w:rFonts w:cs="Arial"/>
          <w:b/>
          <w:sz w:val="30"/>
          <w:szCs w:val="30"/>
        </w:rPr>
      </w:pPr>
      <w:r>
        <w:rPr>
          <w:rFonts w:cs="Arial"/>
          <w:b/>
          <w:color w:val="232120"/>
          <w:sz w:val="30"/>
          <w:szCs w:val="30"/>
        </w:rPr>
        <w:t xml:space="preserve">Any queries: </w:t>
      </w:r>
      <w:hyperlink r:id="rId12" w:history="1">
        <w:r w:rsidRPr="008536C6">
          <w:rPr>
            <w:rStyle w:val="Hyperlink"/>
            <w:rFonts w:cs="Arial"/>
            <w:b/>
            <w:sz w:val="30"/>
            <w:szCs w:val="30"/>
          </w:rPr>
          <w:t>Colin.Caughey@nihrc.org</w:t>
        </w:r>
      </w:hyperlink>
      <w:r w:rsidR="00B86500">
        <w:rPr>
          <w:rStyle w:val="Hyperlink"/>
          <w:rFonts w:cs="Arial"/>
          <w:b/>
          <w:sz w:val="30"/>
          <w:szCs w:val="30"/>
        </w:rPr>
        <w:t xml:space="preserve"> </w:t>
      </w:r>
    </w:p>
    <w:p w14:paraId="09343088" w14:textId="646CE44B" w:rsidR="000965E8" w:rsidRDefault="000965E8" w:rsidP="003B7D0E">
      <w:pPr>
        <w:jc w:val="center"/>
        <w:rPr>
          <w:rStyle w:val="Hyperlink"/>
          <w:rFonts w:cs="Arial"/>
          <w:b/>
          <w:sz w:val="30"/>
          <w:szCs w:val="30"/>
        </w:rPr>
      </w:pPr>
    </w:p>
    <w:p w14:paraId="69F8D602" w14:textId="77777777" w:rsidR="00331C61" w:rsidRPr="00331C61" w:rsidRDefault="00331C61" w:rsidP="003B7D0E">
      <w:pPr>
        <w:jc w:val="center"/>
        <w:rPr>
          <w:rFonts w:cs="Arial"/>
          <w:b/>
          <w:color w:val="232120"/>
          <w:sz w:val="30"/>
          <w:szCs w:val="30"/>
        </w:rPr>
      </w:pPr>
    </w:p>
    <w:p w14:paraId="0A36ED09" w14:textId="77777777" w:rsidR="00331C61" w:rsidRPr="00331C61" w:rsidRDefault="00331C61" w:rsidP="003B7D0E">
      <w:pPr>
        <w:jc w:val="center"/>
        <w:rPr>
          <w:rFonts w:cs="Arial"/>
          <w:b/>
          <w:color w:val="232120"/>
          <w:sz w:val="30"/>
          <w:szCs w:val="30"/>
        </w:rPr>
      </w:pPr>
    </w:p>
    <w:p w14:paraId="783031BB" w14:textId="77777777" w:rsidR="00331C61" w:rsidRPr="00331C61" w:rsidRDefault="005B1D94" w:rsidP="00331C61">
      <w:pPr>
        <w:jc w:val="center"/>
        <w:rPr>
          <w:rFonts w:cs="Arial"/>
          <w:color w:val="232120"/>
          <w:sz w:val="28"/>
          <w:szCs w:val="28"/>
        </w:rPr>
      </w:pPr>
      <w:hyperlink r:id="rId13"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4"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F0CD5D"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03617F" w14:textId="77777777" w:rsidR="00F56C78" w:rsidRPr="00331C61" w:rsidRDefault="00F56C78" w:rsidP="003B7D0E">
      <w:pPr>
        <w:jc w:val="center"/>
        <w:rPr>
          <w:rFonts w:cs="Arial"/>
          <w:b/>
          <w:color w:val="232120"/>
          <w:sz w:val="28"/>
          <w:szCs w:val="28"/>
        </w:rPr>
      </w:pPr>
    </w:p>
    <w:p w14:paraId="6CC01096" w14:textId="77777777" w:rsidR="00F56C78" w:rsidRPr="00331C61" w:rsidRDefault="00F56C78" w:rsidP="003B7D0E">
      <w:pPr>
        <w:jc w:val="center"/>
        <w:rPr>
          <w:rFonts w:cs="Arial"/>
          <w:color w:val="232120"/>
          <w:sz w:val="20"/>
          <w:szCs w:val="20"/>
        </w:rPr>
      </w:pPr>
    </w:p>
    <w:p w14:paraId="1F494753"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B15C27">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FBB7C" w14:textId="77777777" w:rsidR="005B1D94" w:rsidRDefault="005B1D94" w:rsidP="00962B2B">
      <w:r>
        <w:separator/>
      </w:r>
    </w:p>
  </w:endnote>
  <w:endnote w:type="continuationSeparator" w:id="0">
    <w:p w14:paraId="580658AB" w14:textId="77777777" w:rsidR="005B1D94" w:rsidRDefault="005B1D94" w:rsidP="00962B2B">
      <w:r>
        <w:continuationSeparator/>
      </w:r>
    </w:p>
  </w:endnote>
  <w:endnote w:type="continuationNotice" w:id="1">
    <w:p w14:paraId="25A1132D" w14:textId="77777777" w:rsidR="005B1D94" w:rsidRDefault="005B1D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5D15" w14:textId="77777777" w:rsidR="00D2770F" w:rsidRDefault="00D2770F" w:rsidP="00656ECD">
    <w:pPr>
      <w:pStyle w:val="Footer"/>
      <w:jc w:val="right"/>
      <w:rPr>
        <w:rStyle w:val="PageNumber"/>
        <w:rFonts w:ascii="Arial" w:hAnsi="Arial" w:cs="Arial"/>
        <w:b/>
        <w:sz w:val="16"/>
        <w:szCs w:val="16"/>
      </w:rPr>
    </w:pPr>
  </w:p>
  <w:p w14:paraId="5B7EE6BD" w14:textId="77777777" w:rsidR="00D2770F" w:rsidRPr="00ED6C60" w:rsidRDefault="00D2770F" w:rsidP="00656ECD">
    <w:pPr>
      <w:pStyle w:val="Footer"/>
      <w:jc w:val="right"/>
      <w:rPr>
        <w:rFonts w:cs="Arial"/>
        <w:bCs/>
        <w:color w:val="77328A"/>
      </w:rPr>
    </w:pPr>
    <w:r w:rsidRPr="00ED6C60">
      <w:rPr>
        <w:rStyle w:val="PageNumber"/>
        <w:rFonts w:cs="Arial"/>
        <w:bCs/>
        <w:color w:val="77328A"/>
      </w:rPr>
      <w:fldChar w:fldCharType="begin"/>
    </w:r>
    <w:r w:rsidRPr="00ED6C60">
      <w:rPr>
        <w:rStyle w:val="PageNumber"/>
        <w:rFonts w:cs="Arial"/>
        <w:bCs/>
        <w:color w:val="77328A"/>
      </w:rPr>
      <w:instrText xml:space="preserve"> PAGE </w:instrText>
    </w:r>
    <w:r w:rsidRPr="00ED6C60">
      <w:rPr>
        <w:rStyle w:val="PageNumber"/>
        <w:rFonts w:cs="Arial"/>
        <w:bCs/>
        <w:color w:val="77328A"/>
      </w:rPr>
      <w:fldChar w:fldCharType="separate"/>
    </w:r>
    <w:r w:rsidR="00801600" w:rsidRPr="00ED6C60">
      <w:rPr>
        <w:rStyle w:val="PageNumber"/>
        <w:rFonts w:cs="Arial"/>
        <w:bCs/>
        <w:noProof/>
        <w:color w:val="77328A"/>
      </w:rPr>
      <w:t>2</w:t>
    </w:r>
    <w:r w:rsidRPr="00ED6C60">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A86CB" w14:textId="77777777" w:rsidR="00D2770F" w:rsidRDefault="00D2770F" w:rsidP="00046705">
    <w:pPr>
      <w:pStyle w:val="Footer"/>
      <w:jc w:val="right"/>
      <w:rPr>
        <w:rStyle w:val="PageNumber"/>
        <w:rFonts w:ascii="Arial" w:hAnsi="Arial" w:cs="Arial"/>
        <w:b/>
        <w:sz w:val="16"/>
        <w:szCs w:val="16"/>
      </w:rPr>
    </w:pPr>
  </w:p>
  <w:p w14:paraId="29E1E1C1"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A0EFE" w14:textId="77777777" w:rsidR="005B1D94" w:rsidRDefault="005B1D94" w:rsidP="00B96D34">
      <w:r>
        <w:continuationSeparator/>
      </w:r>
    </w:p>
    <w:p w14:paraId="008E15F5" w14:textId="77777777" w:rsidR="005B1D94" w:rsidRPr="00B96D34" w:rsidRDefault="005B1D94" w:rsidP="00B96D34">
      <w:pPr>
        <w:pStyle w:val="Footer"/>
      </w:pPr>
    </w:p>
  </w:footnote>
  <w:footnote w:type="continuationSeparator" w:id="0">
    <w:p w14:paraId="533CEF94" w14:textId="77777777" w:rsidR="005B1D94" w:rsidRDefault="005B1D94" w:rsidP="00962B2B">
      <w:r>
        <w:continuationSeparator/>
      </w:r>
    </w:p>
  </w:footnote>
  <w:footnote w:type="continuationNotice" w:id="1">
    <w:p w14:paraId="533D91F4" w14:textId="77777777" w:rsidR="005B1D94" w:rsidRDefault="005B1D94"/>
  </w:footnote>
  <w:footnote w:id="2">
    <w:p w14:paraId="43A76CFF" w14:textId="5384BDDB" w:rsidR="005C30ED" w:rsidRPr="00E93481" w:rsidRDefault="005C30ED" w:rsidP="00A22E1F">
      <w:pPr>
        <w:pStyle w:val="NIHRCFootnotes"/>
      </w:pPr>
      <w:r w:rsidRPr="00E93481">
        <w:rPr>
          <w:rStyle w:val="FootnoteReference"/>
        </w:rPr>
        <w:footnoteRef/>
      </w:r>
      <w:r w:rsidRPr="00E93481">
        <w:t xml:space="preserve"> The Windsor Framework was formerly known as the Protocol on Ireland/Northern Ireland to the UK-EU Withdrawal Agreement and all references to the Protocol in this document have been updated to reflect this change. </w:t>
      </w:r>
      <w:r w:rsidR="00513FA0">
        <w:rPr>
          <w:i/>
          <w:iCs/>
        </w:rPr>
        <w:t xml:space="preserve">See </w:t>
      </w:r>
      <w:r w:rsidRPr="00E93481">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5E105A73" w14:textId="61A352CD" w:rsidR="009D1921" w:rsidRPr="00E93481" w:rsidRDefault="009D1921" w:rsidP="00A22E1F">
      <w:pPr>
        <w:pStyle w:val="NIHRCFootnotes"/>
      </w:pPr>
      <w:r w:rsidRPr="00E93481">
        <w:rPr>
          <w:rStyle w:val="FootnoteReference"/>
        </w:rPr>
        <w:footnoteRef/>
      </w:r>
      <w:r w:rsidRPr="00E93481">
        <w:t xml:space="preserve"> </w:t>
      </w:r>
      <w:r w:rsidR="0079001F" w:rsidRPr="00E93481">
        <w:t>Ratified by the UK 1951.</w:t>
      </w:r>
    </w:p>
  </w:footnote>
  <w:footnote w:id="4">
    <w:p w14:paraId="33789745" w14:textId="77777777" w:rsidR="001E4A4A" w:rsidRPr="00E93481" w:rsidRDefault="001E4A4A" w:rsidP="00A22E1F">
      <w:pPr>
        <w:pStyle w:val="NIHRCFootnotes"/>
      </w:pPr>
      <w:r w:rsidRPr="00E93481">
        <w:rPr>
          <w:rStyle w:val="FootnoteReference"/>
        </w:rPr>
        <w:footnoteRef/>
      </w:r>
      <w:r w:rsidRPr="00E93481">
        <w:t xml:space="preserve"> Ratified by the UK 1969.</w:t>
      </w:r>
    </w:p>
  </w:footnote>
  <w:footnote w:id="5">
    <w:p w14:paraId="10648D1D" w14:textId="77777777" w:rsidR="001E4A4A" w:rsidRPr="00E93481" w:rsidRDefault="001E4A4A" w:rsidP="00A22E1F">
      <w:pPr>
        <w:pStyle w:val="NIHRCFootnotes"/>
      </w:pPr>
      <w:r w:rsidRPr="00E93481">
        <w:rPr>
          <w:rStyle w:val="FootnoteReference"/>
        </w:rPr>
        <w:footnoteRef/>
      </w:r>
      <w:r w:rsidRPr="00E93481">
        <w:t xml:space="preserve"> Ratified by the UK 1976.</w:t>
      </w:r>
    </w:p>
  </w:footnote>
  <w:footnote w:id="6">
    <w:p w14:paraId="6E74D5D9" w14:textId="77777777" w:rsidR="001D31D8" w:rsidRPr="00E93481" w:rsidRDefault="001D31D8" w:rsidP="00A22E1F">
      <w:pPr>
        <w:pStyle w:val="NIHRCFootnotes"/>
      </w:pPr>
      <w:r w:rsidRPr="00E93481">
        <w:rPr>
          <w:rStyle w:val="FootnoteReference"/>
        </w:rPr>
        <w:footnoteRef/>
      </w:r>
      <w:r w:rsidRPr="00E93481">
        <w:t xml:space="preserve"> Ratified by the UK 1986.</w:t>
      </w:r>
    </w:p>
  </w:footnote>
  <w:footnote w:id="7">
    <w:p w14:paraId="200D1324" w14:textId="77777777" w:rsidR="001D31D8" w:rsidRPr="00E93481" w:rsidRDefault="001D31D8" w:rsidP="00A22E1F">
      <w:pPr>
        <w:pStyle w:val="NIHRCFootnotes"/>
      </w:pPr>
      <w:r w:rsidRPr="00E93481">
        <w:rPr>
          <w:rStyle w:val="FootnoteReference"/>
        </w:rPr>
        <w:footnoteRef/>
      </w:r>
      <w:r w:rsidRPr="00E93481">
        <w:t xml:space="preserve"> Ratified by the UK 1989.</w:t>
      </w:r>
    </w:p>
  </w:footnote>
  <w:footnote w:id="8">
    <w:p w14:paraId="73673272" w14:textId="77777777" w:rsidR="0038387A" w:rsidRPr="00E93481" w:rsidRDefault="0038387A" w:rsidP="00A22E1F">
      <w:pPr>
        <w:pStyle w:val="NIHRCFootnotes"/>
      </w:pPr>
      <w:r w:rsidRPr="00E93481">
        <w:rPr>
          <w:rStyle w:val="FootnoteReference"/>
        </w:rPr>
        <w:footnoteRef/>
      </w:r>
      <w:r w:rsidRPr="00E93481">
        <w:t xml:space="preserve"> Ratified by the UK 2009.</w:t>
      </w:r>
    </w:p>
  </w:footnote>
  <w:footnote w:id="9">
    <w:p w14:paraId="7F3B095F" w14:textId="10234FD0" w:rsidR="00557771" w:rsidRPr="006078AC" w:rsidRDefault="00557771">
      <w:pPr>
        <w:pStyle w:val="FootnoteText"/>
        <w:rPr>
          <w:color w:val="77328A"/>
          <w:sz w:val="16"/>
          <w:szCs w:val="16"/>
        </w:rPr>
      </w:pPr>
      <w:r w:rsidRPr="006078AC">
        <w:rPr>
          <w:rStyle w:val="FootnoteReference"/>
          <w:color w:val="77328A"/>
          <w:sz w:val="16"/>
          <w:szCs w:val="16"/>
        </w:rPr>
        <w:footnoteRef/>
      </w:r>
      <w:r w:rsidRPr="006078AC">
        <w:rPr>
          <w:color w:val="77328A"/>
          <w:sz w:val="16"/>
          <w:szCs w:val="16"/>
        </w:rPr>
        <w:t xml:space="preserve"> </w:t>
      </w:r>
      <w:r w:rsidR="007A714B" w:rsidRPr="006078AC">
        <w:rPr>
          <w:color w:val="77328A"/>
          <w:sz w:val="16"/>
          <w:szCs w:val="16"/>
        </w:rPr>
        <w:t>CCPR/C/GC/32, ‘UN Human Rights Committee, General Comment No. 32: Right to equality before courts and tribunals and to a fair trial (Article 14)’, 23 August 2007.</w:t>
      </w:r>
    </w:p>
  </w:footnote>
  <w:footnote w:id="10">
    <w:p w14:paraId="02DB24CC" w14:textId="00616F7F" w:rsidR="008E3BA9" w:rsidRPr="006078AC" w:rsidRDefault="008E3BA9">
      <w:pPr>
        <w:pStyle w:val="FootnoteText"/>
        <w:rPr>
          <w:color w:val="77328A"/>
          <w:sz w:val="16"/>
          <w:szCs w:val="16"/>
        </w:rPr>
      </w:pPr>
      <w:r w:rsidRPr="006078AC">
        <w:rPr>
          <w:rStyle w:val="FootnoteReference"/>
          <w:color w:val="77328A"/>
          <w:sz w:val="16"/>
          <w:szCs w:val="16"/>
        </w:rPr>
        <w:footnoteRef/>
      </w:r>
      <w:r w:rsidRPr="006078AC">
        <w:rPr>
          <w:color w:val="77328A"/>
          <w:sz w:val="16"/>
          <w:szCs w:val="16"/>
        </w:rPr>
        <w:t xml:space="preserve"> </w:t>
      </w:r>
      <w:r w:rsidR="007A714B" w:rsidRPr="006078AC">
        <w:rPr>
          <w:color w:val="77328A"/>
          <w:sz w:val="16"/>
          <w:szCs w:val="16"/>
        </w:rPr>
        <w:t>CESCR/C/GC/7, ‘UN CESCR Committee, General Comment No.7: The right to adequate housing (Article 11)’, 20 May 1997.</w:t>
      </w:r>
    </w:p>
  </w:footnote>
  <w:footnote w:id="11">
    <w:p w14:paraId="347E5C9E" w14:textId="5B8E6264" w:rsidR="008E3BA9" w:rsidRPr="006078AC" w:rsidRDefault="008E3BA9">
      <w:pPr>
        <w:pStyle w:val="FootnoteText"/>
        <w:rPr>
          <w:color w:val="77328A"/>
          <w:sz w:val="16"/>
          <w:szCs w:val="16"/>
        </w:rPr>
      </w:pPr>
      <w:r w:rsidRPr="006078AC">
        <w:rPr>
          <w:rStyle w:val="FootnoteReference"/>
          <w:color w:val="77328A"/>
          <w:sz w:val="16"/>
          <w:szCs w:val="16"/>
        </w:rPr>
        <w:footnoteRef/>
      </w:r>
      <w:r w:rsidRPr="006078AC">
        <w:rPr>
          <w:color w:val="77328A"/>
          <w:sz w:val="16"/>
          <w:szCs w:val="16"/>
        </w:rPr>
        <w:t xml:space="preserve"> </w:t>
      </w:r>
      <w:r w:rsidR="007A714B" w:rsidRPr="006078AC">
        <w:rPr>
          <w:color w:val="77328A"/>
          <w:sz w:val="16"/>
          <w:szCs w:val="16"/>
        </w:rPr>
        <w:t>CERD/C/GR/29, ‘UN CERD Committee, General Recommendation No.29: Article 1, Paragraph 1 of the Covenant’, 1 November 2002.</w:t>
      </w:r>
    </w:p>
  </w:footnote>
  <w:footnote w:id="12">
    <w:p w14:paraId="164C2D3E" w14:textId="34FF1475" w:rsidR="00C237BB" w:rsidRPr="006078AC" w:rsidRDefault="00C237BB">
      <w:pPr>
        <w:pStyle w:val="FootnoteText"/>
        <w:rPr>
          <w:color w:val="77328A"/>
          <w:sz w:val="16"/>
          <w:szCs w:val="16"/>
        </w:rPr>
      </w:pPr>
      <w:r w:rsidRPr="006078AC">
        <w:rPr>
          <w:rStyle w:val="FootnoteReference"/>
          <w:color w:val="77328A"/>
          <w:sz w:val="16"/>
          <w:szCs w:val="16"/>
        </w:rPr>
        <w:footnoteRef/>
      </w:r>
      <w:r w:rsidRPr="006078AC">
        <w:rPr>
          <w:color w:val="77328A"/>
          <w:sz w:val="16"/>
          <w:szCs w:val="16"/>
        </w:rPr>
        <w:t xml:space="preserve"> </w:t>
      </w:r>
      <w:r w:rsidR="007A714B" w:rsidRPr="006078AC">
        <w:rPr>
          <w:color w:val="77328A"/>
          <w:sz w:val="16"/>
          <w:szCs w:val="16"/>
        </w:rPr>
        <w:t>A/60/18, ‘UN CERD Committee, General Recommendation No.31: Prevention of Racial Discrimination in the Administration and Functioning of the Criminal Justice System’, 11 March 2005.</w:t>
      </w:r>
    </w:p>
  </w:footnote>
  <w:footnote w:id="13">
    <w:p w14:paraId="16E4F6F6" w14:textId="77777777" w:rsidR="007A714B" w:rsidRPr="006078AC" w:rsidRDefault="00C237BB" w:rsidP="007A714B">
      <w:pPr>
        <w:pStyle w:val="FootnoteText"/>
        <w:rPr>
          <w:color w:val="77328A"/>
          <w:sz w:val="16"/>
          <w:szCs w:val="16"/>
        </w:rPr>
      </w:pPr>
      <w:r w:rsidRPr="006078AC">
        <w:rPr>
          <w:rStyle w:val="FootnoteReference"/>
          <w:color w:val="77328A"/>
          <w:sz w:val="16"/>
          <w:szCs w:val="16"/>
        </w:rPr>
        <w:footnoteRef/>
      </w:r>
      <w:r w:rsidRPr="006078AC">
        <w:rPr>
          <w:color w:val="77328A"/>
          <w:sz w:val="16"/>
          <w:szCs w:val="16"/>
        </w:rPr>
        <w:t xml:space="preserve"> </w:t>
      </w:r>
      <w:r w:rsidR="007A714B" w:rsidRPr="006078AC">
        <w:rPr>
          <w:color w:val="77328A"/>
          <w:sz w:val="16"/>
          <w:szCs w:val="16"/>
        </w:rPr>
        <w:t xml:space="preserve">CEDAW/C/GC/33, ‘UN CEDAW Committee, General Recommendation No. 33 on women’s access </w:t>
      </w:r>
    </w:p>
    <w:p w14:paraId="4F2054CE" w14:textId="68E2FBCE" w:rsidR="00C237BB" w:rsidRPr="006078AC" w:rsidRDefault="007A714B" w:rsidP="007A714B">
      <w:pPr>
        <w:pStyle w:val="FootnoteText"/>
        <w:rPr>
          <w:color w:val="77328A"/>
          <w:sz w:val="16"/>
          <w:szCs w:val="16"/>
        </w:rPr>
      </w:pPr>
      <w:r w:rsidRPr="006078AC">
        <w:rPr>
          <w:color w:val="77328A"/>
          <w:sz w:val="16"/>
          <w:szCs w:val="16"/>
        </w:rPr>
        <w:t>to justice’, 3 August 2015.</w:t>
      </w:r>
    </w:p>
  </w:footnote>
  <w:footnote w:id="14">
    <w:p w14:paraId="784DC120" w14:textId="11449AC8" w:rsidR="00C237BB" w:rsidRPr="006078AC" w:rsidRDefault="00C237BB">
      <w:pPr>
        <w:pStyle w:val="FootnoteText"/>
        <w:rPr>
          <w:color w:val="77328A"/>
          <w:sz w:val="16"/>
          <w:szCs w:val="16"/>
        </w:rPr>
      </w:pPr>
      <w:r w:rsidRPr="006078AC">
        <w:rPr>
          <w:rStyle w:val="FootnoteReference"/>
          <w:color w:val="77328A"/>
          <w:sz w:val="16"/>
          <w:szCs w:val="16"/>
        </w:rPr>
        <w:footnoteRef/>
      </w:r>
      <w:r w:rsidRPr="006078AC">
        <w:rPr>
          <w:color w:val="77328A"/>
          <w:sz w:val="16"/>
          <w:szCs w:val="16"/>
        </w:rPr>
        <w:t xml:space="preserve"> </w:t>
      </w:r>
      <w:r w:rsidR="00F00A5A" w:rsidRPr="006078AC">
        <w:rPr>
          <w:color w:val="77328A"/>
          <w:sz w:val="16"/>
          <w:szCs w:val="16"/>
        </w:rPr>
        <w:t xml:space="preserve">A/RES/67/187, ‘UN General Assembly Resolution 67/187, United Nations Principles and Guidelines on Access to Legal Aid in Criminal Justice Systems’, 28 March 2013. </w:t>
      </w:r>
    </w:p>
  </w:footnote>
  <w:footnote w:id="15">
    <w:p w14:paraId="54FAACB7" w14:textId="1D72B0B7" w:rsidR="00C237BB" w:rsidRPr="006078AC" w:rsidRDefault="00C237BB" w:rsidP="00C237BB">
      <w:pPr>
        <w:pStyle w:val="FootnoteText"/>
        <w:rPr>
          <w:color w:val="77328A"/>
          <w:sz w:val="16"/>
          <w:szCs w:val="16"/>
        </w:rPr>
      </w:pPr>
      <w:r w:rsidRPr="006078AC">
        <w:rPr>
          <w:rStyle w:val="FootnoteReference"/>
          <w:color w:val="77328A"/>
          <w:sz w:val="16"/>
          <w:szCs w:val="16"/>
        </w:rPr>
        <w:footnoteRef/>
      </w:r>
      <w:r w:rsidRPr="006078AC">
        <w:rPr>
          <w:color w:val="77328A"/>
          <w:sz w:val="16"/>
          <w:szCs w:val="16"/>
        </w:rPr>
        <w:t xml:space="preserve"> </w:t>
      </w:r>
      <w:r w:rsidR="007A714B" w:rsidRPr="006078AC">
        <w:rPr>
          <w:color w:val="77328A"/>
          <w:sz w:val="16"/>
          <w:szCs w:val="16"/>
        </w:rPr>
        <w:t>A/HRC/23/43, ‘UN Human Rights Council, Report of the Special Rapporteur on the independence of judges and lawyers, Gabriela Knaul’, 15 March 2013.</w:t>
      </w:r>
    </w:p>
  </w:footnote>
  <w:footnote w:id="16">
    <w:p w14:paraId="5CAA7410" w14:textId="6B69BBD9" w:rsidR="00EB1998" w:rsidRDefault="00EB1998">
      <w:pPr>
        <w:pStyle w:val="FootnoteText"/>
      </w:pPr>
      <w:r w:rsidRPr="006078AC">
        <w:rPr>
          <w:rStyle w:val="FootnoteReference"/>
          <w:color w:val="77328A"/>
          <w:sz w:val="16"/>
          <w:szCs w:val="16"/>
        </w:rPr>
        <w:footnoteRef/>
      </w:r>
      <w:r w:rsidRPr="006078AC">
        <w:rPr>
          <w:color w:val="77328A"/>
          <w:sz w:val="16"/>
          <w:szCs w:val="16"/>
        </w:rPr>
        <w:t xml:space="preserve"> </w:t>
      </w:r>
      <w:r w:rsidR="00F00A5A" w:rsidRPr="006078AC">
        <w:rPr>
          <w:color w:val="77328A"/>
          <w:sz w:val="16"/>
          <w:szCs w:val="16"/>
        </w:rPr>
        <w:t>CM(2021)36-add2final, ‘</w:t>
      </w:r>
      <w:r w:rsidR="00F00A5A" w:rsidRPr="006078AC">
        <w:rPr>
          <w:rFonts w:cs="Open Sans"/>
          <w:color w:val="77328A"/>
          <w:sz w:val="16"/>
          <w:szCs w:val="16"/>
          <w:shd w:val="clear" w:color="auto" w:fill="FFFFFF"/>
        </w:rPr>
        <w:t>G</w:t>
      </w:r>
      <w:r w:rsidR="00F00A5A" w:rsidRPr="006078AC">
        <w:rPr>
          <w:color w:val="77328A"/>
          <w:sz w:val="16"/>
          <w:szCs w:val="16"/>
          <w:shd w:val="clear" w:color="auto" w:fill="FFFFFF"/>
        </w:rPr>
        <w:t>uidelines of the Committee of Ministers of the Council of Europe on the efficiency and the effectiveness of legal aid schemes in the areas of civil and administrative</w:t>
      </w:r>
      <w:r w:rsidR="00F00A5A" w:rsidRPr="006078AC">
        <w:rPr>
          <w:rFonts w:cs="Open Sans"/>
          <w:color w:val="77328A"/>
          <w:sz w:val="16"/>
          <w:szCs w:val="16"/>
          <w:shd w:val="clear" w:color="auto" w:fill="FFFFFF"/>
        </w:rPr>
        <w:t> </w:t>
      </w:r>
      <w:r w:rsidR="00F00A5A" w:rsidRPr="006078AC">
        <w:rPr>
          <w:color w:val="77328A"/>
          <w:sz w:val="16"/>
          <w:szCs w:val="16"/>
          <w:shd w:val="clear" w:color="auto" w:fill="FFFFFF"/>
        </w:rPr>
        <w:t>law’, 31 March 2021.</w:t>
      </w:r>
    </w:p>
  </w:footnote>
  <w:footnote w:id="17">
    <w:p w14:paraId="2866F09B" w14:textId="77777777" w:rsidR="00F22DD8" w:rsidRPr="00853797" w:rsidRDefault="00F22DD8" w:rsidP="00F22DD8">
      <w:pPr>
        <w:pStyle w:val="FootnoteText"/>
        <w:rPr>
          <w:color w:val="77328B"/>
          <w:sz w:val="16"/>
          <w:szCs w:val="16"/>
        </w:rPr>
      </w:pPr>
      <w:r w:rsidRPr="00853797">
        <w:rPr>
          <w:rStyle w:val="FootnoteReference"/>
          <w:color w:val="77328B"/>
          <w:sz w:val="16"/>
          <w:szCs w:val="16"/>
        </w:rPr>
        <w:footnoteRef/>
      </w:r>
      <w:r w:rsidRPr="00853797">
        <w:rPr>
          <w:color w:val="77328B"/>
          <w:sz w:val="16"/>
          <w:szCs w:val="16"/>
        </w:rPr>
        <w:t xml:space="preserve"> Directive 2002/8/EC, ‘Directive of the Council the European Council to improve access to justice in cross-border disputes by establishing minimum common rules relating to legal aid for such disputes’, 27 January 2003. </w:t>
      </w:r>
    </w:p>
  </w:footnote>
  <w:footnote w:id="18">
    <w:p w14:paraId="10293577" w14:textId="77777777" w:rsidR="00F22DD8" w:rsidRDefault="00F22DD8" w:rsidP="00F22DD8">
      <w:pPr>
        <w:pStyle w:val="FootnoteText"/>
      </w:pPr>
      <w:r w:rsidRPr="00853797">
        <w:rPr>
          <w:rStyle w:val="FootnoteReference"/>
          <w:color w:val="77328B"/>
          <w:sz w:val="16"/>
          <w:szCs w:val="16"/>
        </w:rPr>
        <w:footnoteRef/>
      </w:r>
      <w:r w:rsidRPr="00853797">
        <w:rPr>
          <w:color w:val="77328B"/>
          <w:sz w:val="16"/>
          <w:szCs w:val="16"/>
        </w:rPr>
        <w:t xml:space="preserve"> Directive 2005/85/EC, ‘Council Directive on minimum standards on procedures in Member States for granting and withdrawing refugee status’, 1 December 2005.</w:t>
      </w:r>
    </w:p>
  </w:footnote>
  <w:footnote w:id="19">
    <w:p w14:paraId="777AC3B4" w14:textId="77777777" w:rsidR="00A954E5" w:rsidRPr="00F066BC" w:rsidRDefault="00A954E5" w:rsidP="00A954E5">
      <w:pPr>
        <w:pStyle w:val="FootnoteText"/>
        <w:rPr>
          <w:sz w:val="16"/>
          <w:szCs w:val="16"/>
        </w:rPr>
      </w:pPr>
      <w:r w:rsidRPr="00F066BC">
        <w:rPr>
          <w:rStyle w:val="FootnoteReference"/>
          <w:color w:val="77328A"/>
          <w:sz w:val="16"/>
          <w:szCs w:val="16"/>
        </w:rPr>
        <w:footnoteRef/>
      </w:r>
      <w:r w:rsidRPr="00F066BC">
        <w:rPr>
          <w:color w:val="77328A"/>
          <w:sz w:val="16"/>
          <w:szCs w:val="16"/>
        </w:rPr>
        <w:t xml:space="preserve"> </w:t>
      </w:r>
      <w:r w:rsidRPr="002422BE">
        <w:rPr>
          <w:color w:val="77328A"/>
          <w:sz w:val="16"/>
          <w:szCs w:val="16"/>
        </w:rPr>
        <w:t>A/HRC/23/43, ‘UN Human Rights Council, Report of the Special Rapporteur on the independence of judges and lawyers, Gabriela Knaul’, 15 March 2013</w:t>
      </w:r>
      <w:r>
        <w:rPr>
          <w:color w:val="77328A"/>
          <w:sz w:val="16"/>
          <w:szCs w:val="16"/>
        </w:rPr>
        <w:t xml:space="preserve">; </w:t>
      </w:r>
      <w:r w:rsidRPr="00F066BC">
        <w:rPr>
          <w:color w:val="77328A"/>
          <w:sz w:val="16"/>
          <w:szCs w:val="16"/>
        </w:rPr>
        <w:t xml:space="preserve">Council of Europe, ‘European Committee on Legal Co-operation: Legal Aid’. Available at: </w:t>
      </w:r>
      <w:hyperlink r:id="rId1" w:history="1">
        <w:r w:rsidRPr="00F066BC">
          <w:rPr>
            <w:rStyle w:val="Hyperlink"/>
            <w:color w:val="77328A"/>
            <w:sz w:val="16"/>
            <w:szCs w:val="16"/>
          </w:rPr>
          <w:t>https://www.coe.int/en/web/cdcj/activities/free-legal-aid</w:t>
        </w:r>
      </w:hyperlink>
      <w:r w:rsidRPr="00F066BC">
        <w:rPr>
          <w:color w:val="77328A"/>
          <w:sz w:val="16"/>
          <w:szCs w:val="16"/>
        </w:rPr>
        <w:t xml:space="preserve"> </w:t>
      </w:r>
    </w:p>
  </w:footnote>
  <w:footnote w:id="20">
    <w:p w14:paraId="3BB2D491" w14:textId="77777777" w:rsidR="00A954E5" w:rsidRPr="002422BE" w:rsidRDefault="00A954E5" w:rsidP="00A954E5">
      <w:pPr>
        <w:pStyle w:val="FootnoteText"/>
        <w:rPr>
          <w:color w:val="77328A"/>
          <w:sz w:val="16"/>
          <w:szCs w:val="16"/>
        </w:rPr>
      </w:pPr>
      <w:r w:rsidRPr="002422BE">
        <w:rPr>
          <w:rStyle w:val="FootnoteReference"/>
          <w:color w:val="77328A"/>
          <w:sz w:val="16"/>
          <w:szCs w:val="16"/>
        </w:rPr>
        <w:footnoteRef/>
      </w:r>
      <w:r w:rsidRPr="002422BE">
        <w:rPr>
          <w:color w:val="77328A"/>
          <w:sz w:val="16"/>
          <w:szCs w:val="16"/>
        </w:rPr>
        <w:t xml:space="preserve"> A/HRC/23/43, ‘UN Human Rights Council, Report of the Special Rapporteur on the independence of judges and lawyers, Gabriela Knaul’, 15 March 2013, at para 28.</w:t>
      </w:r>
    </w:p>
  </w:footnote>
  <w:footnote w:id="21">
    <w:p w14:paraId="168514CE" w14:textId="77777777" w:rsidR="0071368E" w:rsidRPr="002D7D72" w:rsidRDefault="0071368E" w:rsidP="0071368E">
      <w:pPr>
        <w:pStyle w:val="FootnoteText"/>
        <w:rPr>
          <w:sz w:val="16"/>
          <w:szCs w:val="16"/>
        </w:rPr>
      </w:pPr>
      <w:r w:rsidRPr="002D7D72">
        <w:rPr>
          <w:rStyle w:val="FootnoteReference"/>
          <w:color w:val="77328A"/>
          <w:sz w:val="16"/>
          <w:szCs w:val="16"/>
        </w:rPr>
        <w:footnoteRef/>
      </w:r>
      <w:r w:rsidRPr="002D7D72">
        <w:rPr>
          <w:color w:val="77328A"/>
          <w:sz w:val="16"/>
          <w:szCs w:val="16"/>
        </w:rPr>
        <w:t xml:space="preserve"> Ratified by the UK 1951.</w:t>
      </w:r>
    </w:p>
  </w:footnote>
  <w:footnote w:id="22">
    <w:p w14:paraId="0A7BF137" w14:textId="77777777" w:rsidR="0071368E" w:rsidRPr="00E93481" w:rsidRDefault="0071368E" w:rsidP="0071368E">
      <w:pPr>
        <w:pStyle w:val="NIHRCFootnotes"/>
        <w:spacing w:line="240" w:lineRule="auto"/>
      </w:pPr>
      <w:r w:rsidRPr="00E93481">
        <w:rPr>
          <w:rStyle w:val="FootnoteReference"/>
        </w:rPr>
        <w:footnoteRef/>
      </w:r>
      <w:r w:rsidRPr="00E93481">
        <w:t xml:space="preserve"> Ratified by the UK 1976.</w:t>
      </w:r>
    </w:p>
  </w:footnote>
  <w:footnote w:id="23">
    <w:p w14:paraId="4FE17E4E" w14:textId="77777777" w:rsidR="0071368E" w:rsidRPr="00E93481" w:rsidRDefault="0071368E" w:rsidP="0071368E">
      <w:pPr>
        <w:pStyle w:val="NIHRCFootnotes"/>
        <w:spacing w:line="240" w:lineRule="auto"/>
      </w:pPr>
      <w:r w:rsidRPr="00E93481">
        <w:rPr>
          <w:rStyle w:val="FootnoteReference"/>
        </w:rPr>
        <w:footnoteRef/>
      </w:r>
      <w:r w:rsidRPr="00E93481">
        <w:t xml:space="preserve"> Ratified by the UK 2009.</w:t>
      </w:r>
    </w:p>
  </w:footnote>
  <w:footnote w:id="24">
    <w:p w14:paraId="18B76070" w14:textId="77777777" w:rsidR="0071368E" w:rsidRPr="00E93481" w:rsidRDefault="0071368E" w:rsidP="0071368E">
      <w:pPr>
        <w:pStyle w:val="NIHRCFootnotes"/>
        <w:spacing w:line="240" w:lineRule="auto"/>
      </w:pPr>
      <w:r w:rsidRPr="00E93481">
        <w:rPr>
          <w:rStyle w:val="FootnoteReference"/>
        </w:rPr>
        <w:footnoteRef/>
      </w:r>
      <w:r w:rsidRPr="00E93481">
        <w:t xml:space="preserve"> Ratified by the UK 1989.</w:t>
      </w:r>
    </w:p>
  </w:footnote>
  <w:footnote w:id="25">
    <w:p w14:paraId="4DFB63F5" w14:textId="77777777" w:rsidR="0071368E" w:rsidRPr="00E93481" w:rsidRDefault="0071368E" w:rsidP="0071368E">
      <w:pPr>
        <w:pStyle w:val="NIHRCFootnotes"/>
        <w:spacing w:line="240" w:lineRule="auto"/>
      </w:pPr>
      <w:r w:rsidRPr="00E93481">
        <w:rPr>
          <w:rStyle w:val="FootnoteReference"/>
        </w:rPr>
        <w:footnoteRef/>
      </w:r>
      <w:r w:rsidRPr="00E93481">
        <w:t xml:space="preserve"> Ratified by the UK 1969.</w:t>
      </w:r>
    </w:p>
  </w:footnote>
  <w:footnote w:id="26">
    <w:p w14:paraId="40367B7B" w14:textId="77777777" w:rsidR="0071368E" w:rsidRPr="00E93481" w:rsidRDefault="0071368E" w:rsidP="0071368E">
      <w:pPr>
        <w:pStyle w:val="NIHRCFootnotes"/>
        <w:spacing w:line="240" w:lineRule="auto"/>
      </w:pPr>
      <w:r w:rsidRPr="00E93481">
        <w:rPr>
          <w:rStyle w:val="FootnoteReference"/>
        </w:rPr>
        <w:footnoteRef/>
      </w:r>
      <w:r w:rsidRPr="00E93481">
        <w:t xml:space="preserve"> Ratified by the UK 1986.</w:t>
      </w:r>
    </w:p>
  </w:footnote>
  <w:footnote w:id="27">
    <w:p w14:paraId="052BF07C" w14:textId="77777777" w:rsidR="0071368E" w:rsidRPr="002422BE" w:rsidRDefault="0071368E" w:rsidP="0071368E">
      <w:pPr>
        <w:pStyle w:val="FootnoteText"/>
        <w:rPr>
          <w:color w:val="77328A"/>
          <w:sz w:val="16"/>
          <w:szCs w:val="16"/>
        </w:rPr>
      </w:pPr>
      <w:r w:rsidRPr="002422BE">
        <w:rPr>
          <w:rStyle w:val="FootnoteReference"/>
          <w:color w:val="77328A"/>
          <w:sz w:val="16"/>
          <w:szCs w:val="16"/>
        </w:rPr>
        <w:footnoteRef/>
      </w:r>
      <w:r w:rsidRPr="002422BE">
        <w:rPr>
          <w:color w:val="77328A"/>
          <w:sz w:val="16"/>
          <w:szCs w:val="16"/>
        </w:rPr>
        <w:t xml:space="preserve"> </w:t>
      </w:r>
      <w:r>
        <w:rPr>
          <w:color w:val="77328A"/>
          <w:sz w:val="16"/>
          <w:szCs w:val="16"/>
        </w:rPr>
        <w:t xml:space="preserve">Namely, Article 14 of the ICCPR, Article 40 of the UN CRC and Article 6 of the ECHR. </w:t>
      </w:r>
    </w:p>
  </w:footnote>
  <w:footnote w:id="28">
    <w:p w14:paraId="01B56D83" w14:textId="77777777" w:rsidR="0071368E" w:rsidRPr="0078698F" w:rsidRDefault="0071368E" w:rsidP="0071368E">
      <w:pPr>
        <w:pStyle w:val="FootnoteText"/>
        <w:rPr>
          <w:color w:val="77328A"/>
          <w:sz w:val="16"/>
          <w:szCs w:val="16"/>
        </w:rPr>
      </w:pPr>
      <w:r w:rsidRPr="002422BE">
        <w:rPr>
          <w:rStyle w:val="FootnoteReference"/>
          <w:color w:val="77328A"/>
          <w:sz w:val="16"/>
          <w:szCs w:val="16"/>
        </w:rPr>
        <w:footnoteRef/>
      </w:r>
      <w:r>
        <w:rPr>
          <w:color w:val="77328A"/>
          <w:sz w:val="16"/>
          <w:szCs w:val="16"/>
        </w:rPr>
        <w:t xml:space="preserve"> </w:t>
      </w:r>
      <w:r w:rsidRPr="002F3965">
        <w:rPr>
          <w:color w:val="77328A"/>
          <w:sz w:val="16"/>
          <w:szCs w:val="16"/>
        </w:rPr>
        <w:t>CCPR/C/GC/32</w:t>
      </w:r>
      <w:r>
        <w:rPr>
          <w:color w:val="77328A"/>
          <w:sz w:val="16"/>
          <w:szCs w:val="16"/>
        </w:rPr>
        <w:t xml:space="preserve">, ‘UN Human Rights </w:t>
      </w:r>
      <w:r w:rsidRPr="002422BE">
        <w:rPr>
          <w:color w:val="77328A"/>
          <w:sz w:val="16"/>
          <w:szCs w:val="16"/>
        </w:rPr>
        <w:t>Committee</w:t>
      </w:r>
      <w:r>
        <w:rPr>
          <w:color w:val="77328A"/>
          <w:sz w:val="16"/>
          <w:szCs w:val="16"/>
        </w:rPr>
        <w:t xml:space="preserve">, </w:t>
      </w:r>
      <w:r w:rsidRPr="002422BE">
        <w:rPr>
          <w:color w:val="77328A"/>
          <w:sz w:val="16"/>
          <w:szCs w:val="16"/>
        </w:rPr>
        <w:t>General Comment No. 32</w:t>
      </w:r>
      <w:r>
        <w:rPr>
          <w:color w:val="77328A"/>
          <w:sz w:val="16"/>
          <w:szCs w:val="16"/>
        </w:rPr>
        <w:t xml:space="preserve">: </w:t>
      </w:r>
      <w:r w:rsidRPr="00E31B09">
        <w:rPr>
          <w:color w:val="77328A"/>
          <w:sz w:val="16"/>
          <w:szCs w:val="16"/>
        </w:rPr>
        <w:t>Right to equality before courts and tribunals and to a fair trial</w:t>
      </w:r>
      <w:r>
        <w:rPr>
          <w:color w:val="77328A"/>
          <w:sz w:val="16"/>
          <w:szCs w:val="16"/>
        </w:rPr>
        <w:t xml:space="preserve"> (Article 14)’, 23 August 2007; CESCR/C/GC/7, ‘UN CESCR Committee, General Comment No.7: The right to adequate housing (Article 11)’, 20 May 1997; CERD/C/GR/29, ‘UN CERD Committee, General Recommendation No.29: Article 1, Paragraph 1 of the Covenant’, 1 November 2002; A/60/18, ‘UN CERD Committee, General Recommendation No.31: </w:t>
      </w:r>
      <w:r w:rsidRPr="004A62F0">
        <w:rPr>
          <w:color w:val="77328A"/>
          <w:sz w:val="16"/>
          <w:szCs w:val="16"/>
        </w:rPr>
        <w:t>Prevention of Racial Discrimination in the Administration and Functioning of the Criminal Justice System</w:t>
      </w:r>
      <w:r>
        <w:rPr>
          <w:color w:val="77328A"/>
          <w:sz w:val="16"/>
          <w:szCs w:val="16"/>
        </w:rPr>
        <w:t xml:space="preserve">’, 11 March 2005; </w:t>
      </w:r>
      <w:r w:rsidRPr="00766378">
        <w:rPr>
          <w:color w:val="77328A"/>
          <w:sz w:val="16"/>
          <w:szCs w:val="16"/>
        </w:rPr>
        <w:t>CEDAW/C/GC/33</w:t>
      </w:r>
      <w:r>
        <w:rPr>
          <w:color w:val="77328A"/>
          <w:sz w:val="16"/>
          <w:szCs w:val="16"/>
        </w:rPr>
        <w:t xml:space="preserve">, ‘UN CEDAW Committee, </w:t>
      </w:r>
      <w:r w:rsidRPr="0078698F">
        <w:rPr>
          <w:color w:val="77328A"/>
          <w:sz w:val="16"/>
          <w:szCs w:val="16"/>
        </w:rPr>
        <w:t xml:space="preserve">General </w:t>
      </w:r>
      <w:r>
        <w:rPr>
          <w:color w:val="77328A"/>
          <w:sz w:val="16"/>
          <w:szCs w:val="16"/>
        </w:rPr>
        <w:t>R</w:t>
      </w:r>
      <w:r w:rsidRPr="0078698F">
        <w:rPr>
          <w:color w:val="77328A"/>
          <w:sz w:val="16"/>
          <w:szCs w:val="16"/>
        </w:rPr>
        <w:t xml:space="preserve">ecommendation No. 33 on women’s access </w:t>
      </w:r>
    </w:p>
    <w:p w14:paraId="2836F15D" w14:textId="77777777" w:rsidR="0071368E" w:rsidRPr="002422BE" w:rsidRDefault="0071368E" w:rsidP="0071368E">
      <w:pPr>
        <w:pStyle w:val="FootnoteText"/>
        <w:rPr>
          <w:color w:val="77328A"/>
          <w:sz w:val="16"/>
          <w:szCs w:val="16"/>
        </w:rPr>
      </w:pPr>
      <w:r w:rsidRPr="0078698F">
        <w:rPr>
          <w:color w:val="77328A"/>
          <w:sz w:val="16"/>
          <w:szCs w:val="16"/>
        </w:rPr>
        <w:t>to justice</w:t>
      </w:r>
      <w:r>
        <w:rPr>
          <w:color w:val="77328A"/>
          <w:sz w:val="16"/>
          <w:szCs w:val="16"/>
        </w:rPr>
        <w:t xml:space="preserve">’, 3 August 2015. </w:t>
      </w:r>
    </w:p>
  </w:footnote>
  <w:footnote w:id="29">
    <w:p w14:paraId="5ED64E28" w14:textId="77777777" w:rsidR="0071368E" w:rsidRPr="002422BE" w:rsidRDefault="0071368E" w:rsidP="0071368E">
      <w:pPr>
        <w:pStyle w:val="FootnoteText"/>
        <w:rPr>
          <w:color w:val="77328A"/>
          <w:sz w:val="16"/>
          <w:szCs w:val="16"/>
        </w:rPr>
      </w:pPr>
      <w:r w:rsidRPr="002422BE">
        <w:rPr>
          <w:rStyle w:val="FootnoteReference"/>
          <w:color w:val="77328A"/>
          <w:sz w:val="16"/>
          <w:szCs w:val="16"/>
        </w:rPr>
        <w:footnoteRef/>
      </w:r>
      <w:r w:rsidRPr="002422BE">
        <w:rPr>
          <w:color w:val="77328A"/>
          <w:sz w:val="16"/>
          <w:szCs w:val="16"/>
        </w:rPr>
        <w:t xml:space="preserve"> A/HRC/23/43, ‘UN Human Rights Council, Report of the Special Rapporteur on the independence of judges and lawyers, Gabriela Knaul’, 15 March 2013</w:t>
      </w:r>
      <w:r>
        <w:rPr>
          <w:color w:val="77328A"/>
          <w:sz w:val="16"/>
          <w:szCs w:val="16"/>
        </w:rPr>
        <w:t xml:space="preserve">, </w:t>
      </w:r>
      <w:r w:rsidRPr="002422BE">
        <w:rPr>
          <w:color w:val="77328A"/>
          <w:sz w:val="16"/>
          <w:szCs w:val="16"/>
        </w:rPr>
        <w:t xml:space="preserve">at para 48. See also, A/RES/67/187, ‘UN General Assembly Resolution 67/187, United Nations Principles and Guidelines on Access to Legal Aid in Criminal Justice Systems’, 28 March 2013. </w:t>
      </w:r>
    </w:p>
  </w:footnote>
  <w:footnote w:id="30">
    <w:p w14:paraId="5E814F69" w14:textId="77777777" w:rsidR="0071368E" w:rsidRDefault="0071368E" w:rsidP="0071368E">
      <w:pPr>
        <w:pStyle w:val="FootnoteText"/>
      </w:pPr>
      <w:r w:rsidRPr="002422BE">
        <w:rPr>
          <w:rStyle w:val="FootnoteReference"/>
          <w:color w:val="77328A"/>
          <w:sz w:val="16"/>
          <w:szCs w:val="16"/>
        </w:rPr>
        <w:footnoteRef/>
      </w:r>
      <w:r w:rsidRPr="002422BE">
        <w:rPr>
          <w:color w:val="77328A"/>
          <w:sz w:val="16"/>
          <w:szCs w:val="16"/>
        </w:rPr>
        <w:t xml:space="preserve"> A/HRC/23/43, ‘UN Human Rights Council, Report of the Special Rapporteur on the independence of judges and lawyers, Gabriela Knaul’, 15 March 2013, at para 26.</w:t>
      </w:r>
    </w:p>
  </w:footnote>
  <w:footnote w:id="31">
    <w:p w14:paraId="21D06B27" w14:textId="77777777" w:rsidR="0071368E" w:rsidRPr="00952C91" w:rsidRDefault="0071368E" w:rsidP="0071368E">
      <w:pPr>
        <w:pStyle w:val="FootnoteText"/>
        <w:rPr>
          <w:color w:val="77328A"/>
          <w:sz w:val="16"/>
          <w:szCs w:val="16"/>
        </w:rPr>
      </w:pPr>
      <w:r w:rsidRPr="00952C91">
        <w:rPr>
          <w:rStyle w:val="FootnoteReference"/>
          <w:color w:val="77328A"/>
          <w:sz w:val="16"/>
          <w:szCs w:val="16"/>
        </w:rPr>
        <w:footnoteRef/>
      </w:r>
      <w:r w:rsidRPr="00952C91">
        <w:rPr>
          <w:color w:val="77328A"/>
          <w:sz w:val="16"/>
          <w:szCs w:val="16"/>
        </w:rPr>
        <w:t xml:space="preserve"> </w:t>
      </w:r>
      <w:r w:rsidRPr="00952C91">
        <w:rPr>
          <w:i/>
          <w:iCs/>
          <w:color w:val="77328A"/>
          <w:sz w:val="16"/>
          <w:szCs w:val="16"/>
        </w:rPr>
        <w:t>Airey v. Ireland</w:t>
      </w:r>
      <w:r w:rsidRPr="00952C91">
        <w:rPr>
          <w:color w:val="77328A"/>
          <w:sz w:val="16"/>
          <w:szCs w:val="16"/>
        </w:rPr>
        <w:t xml:space="preserve"> [1979] ECHR 3, at para 26.</w:t>
      </w:r>
    </w:p>
  </w:footnote>
  <w:footnote w:id="32">
    <w:p w14:paraId="53AB823F" w14:textId="77777777" w:rsidR="0071368E" w:rsidRPr="00952C91" w:rsidRDefault="0071368E" w:rsidP="0071368E">
      <w:pPr>
        <w:pStyle w:val="FootnoteText"/>
        <w:rPr>
          <w:color w:val="77328A"/>
          <w:sz w:val="16"/>
          <w:szCs w:val="16"/>
        </w:rPr>
      </w:pPr>
      <w:r w:rsidRPr="00952C91">
        <w:rPr>
          <w:rStyle w:val="FootnoteReference"/>
          <w:color w:val="77328A"/>
          <w:sz w:val="16"/>
          <w:szCs w:val="16"/>
        </w:rPr>
        <w:footnoteRef/>
      </w:r>
      <w:r w:rsidRPr="00952C91">
        <w:rPr>
          <w:color w:val="77328A"/>
          <w:sz w:val="16"/>
          <w:szCs w:val="16"/>
        </w:rPr>
        <w:t xml:space="preserve"> </w:t>
      </w:r>
      <w:r w:rsidRPr="00952C91">
        <w:rPr>
          <w:i/>
          <w:iCs/>
          <w:color w:val="77328A"/>
          <w:sz w:val="16"/>
          <w:szCs w:val="16"/>
        </w:rPr>
        <w:t>McVicar v. UK</w:t>
      </w:r>
      <w:r>
        <w:rPr>
          <w:color w:val="77328A"/>
          <w:sz w:val="16"/>
          <w:szCs w:val="16"/>
        </w:rPr>
        <w:t xml:space="preserve"> </w:t>
      </w:r>
      <w:r w:rsidRPr="00952C91">
        <w:rPr>
          <w:color w:val="77328A"/>
          <w:sz w:val="16"/>
          <w:szCs w:val="16"/>
        </w:rPr>
        <w:t>[2002] ECHR 436, at para 48-51.</w:t>
      </w:r>
    </w:p>
  </w:footnote>
  <w:footnote w:id="33">
    <w:p w14:paraId="75B084DF" w14:textId="77777777" w:rsidR="0071368E" w:rsidRPr="000861E1" w:rsidRDefault="0071368E" w:rsidP="0071368E">
      <w:pPr>
        <w:pStyle w:val="FootnoteText"/>
        <w:rPr>
          <w:color w:val="77328B"/>
          <w:sz w:val="16"/>
          <w:szCs w:val="16"/>
        </w:rPr>
      </w:pPr>
      <w:r w:rsidRPr="000861E1">
        <w:rPr>
          <w:rStyle w:val="FootnoteReference"/>
          <w:color w:val="77328B"/>
          <w:sz w:val="16"/>
          <w:szCs w:val="16"/>
        </w:rPr>
        <w:footnoteRef/>
      </w:r>
      <w:r w:rsidRPr="000861E1">
        <w:rPr>
          <w:color w:val="77328B"/>
          <w:sz w:val="16"/>
          <w:szCs w:val="16"/>
        </w:rPr>
        <w:t xml:space="preserve"> European Court of Human Rights, ‘Guide on Article 6 of the European Convention on Human Rights: Right to a fair trial (civil limb)’ (ECtHR, 2013). </w:t>
      </w:r>
    </w:p>
  </w:footnote>
  <w:footnote w:id="34">
    <w:p w14:paraId="0FE664FD" w14:textId="77777777" w:rsidR="0071368E" w:rsidRPr="000861E1" w:rsidRDefault="0071368E" w:rsidP="0071368E">
      <w:pPr>
        <w:pStyle w:val="FootnoteText"/>
        <w:rPr>
          <w:color w:val="77328B"/>
        </w:rPr>
      </w:pPr>
      <w:r w:rsidRPr="000861E1">
        <w:rPr>
          <w:rStyle w:val="FootnoteReference"/>
          <w:color w:val="77328B"/>
          <w:sz w:val="16"/>
          <w:szCs w:val="16"/>
        </w:rPr>
        <w:footnoteRef/>
      </w:r>
      <w:r w:rsidRPr="000861E1">
        <w:rPr>
          <w:color w:val="77328B"/>
          <w:sz w:val="16"/>
          <w:szCs w:val="16"/>
        </w:rPr>
        <w:t xml:space="preserve"> </w:t>
      </w:r>
      <w:r w:rsidRPr="000861E1">
        <w:rPr>
          <w:i/>
          <w:iCs/>
          <w:color w:val="77328B"/>
          <w:sz w:val="16"/>
          <w:szCs w:val="16"/>
        </w:rPr>
        <w:t>Steel and Morris v. UK</w:t>
      </w:r>
      <w:r w:rsidRPr="000861E1">
        <w:rPr>
          <w:color w:val="77328B"/>
          <w:sz w:val="16"/>
          <w:szCs w:val="16"/>
        </w:rPr>
        <w:t xml:space="preserve"> [2005] ECHR 103, at para 62. See also, European Court of Human Rights, ‘Guide on Article 6 of the European Convention on Human Rights: Right to a fair trial (civil limb)’ (ECtHR, 2013).</w:t>
      </w:r>
    </w:p>
  </w:footnote>
  <w:footnote w:id="35">
    <w:p w14:paraId="14BCE8B2" w14:textId="77777777" w:rsidR="0071368E" w:rsidRPr="000861E1" w:rsidRDefault="0071368E" w:rsidP="0071368E">
      <w:pPr>
        <w:pStyle w:val="FootnoteText"/>
        <w:rPr>
          <w:color w:val="77328B"/>
          <w:sz w:val="16"/>
          <w:szCs w:val="16"/>
        </w:rPr>
      </w:pPr>
      <w:r w:rsidRPr="000861E1">
        <w:rPr>
          <w:rStyle w:val="FootnoteReference"/>
          <w:color w:val="77328B"/>
          <w:sz w:val="16"/>
          <w:szCs w:val="16"/>
        </w:rPr>
        <w:footnoteRef/>
      </w:r>
      <w:r w:rsidRPr="000861E1">
        <w:rPr>
          <w:color w:val="77328B"/>
          <w:sz w:val="16"/>
          <w:szCs w:val="16"/>
        </w:rPr>
        <w:t xml:space="preserve"> </w:t>
      </w:r>
      <w:r w:rsidRPr="000861E1">
        <w:rPr>
          <w:i/>
          <w:iCs/>
          <w:color w:val="77328B"/>
          <w:sz w:val="16"/>
          <w:szCs w:val="16"/>
        </w:rPr>
        <w:t>Kreuz v. Poland</w:t>
      </w:r>
      <w:r w:rsidRPr="000861E1">
        <w:rPr>
          <w:color w:val="77328B"/>
          <w:sz w:val="16"/>
          <w:szCs w:val="16"/>
        </w:rPr>
        <w:t xml:space="preserve"> [2006] ECHR 70, at para 66. </w:t>
      </w:r>
    </w:p>
  </w:footnote>
  <w:footnote w:id="36">
    <w:p w14:paraId="2E37C3A4" w14:textId="77777777" w:rsidR="0071368E" w:rsidRPr="000861E1" w:rsidRDefault="0071368E" w:rsidP="0071368E">
      <w:pPr>
        <w:rPr>
          <w:color w:val="77328B"/>
          <w:sz w:val="16"/>
          <w:szCs w:val="16"/>
        </w:rPr>
      </w:pPr>
      <w:r w:rsidRPr="000861E1">
        <w:rPr>
          <w:rStyle w:val="FootnoteReference"/>
          <w:color w:val="77328B"/>
          <w:sz w:val="16"/>
          <w:szCs w:val="16"/>
        </w:rPr>
        <w:footnoteRef/>
      </w:r>
      <w:r w:rsidRPr="000861E1">
        <w:rPr>
          <w:color w:val="77328B"/>
          <w:sz w:val="16"/>
          <w:szCs w:val="16"/>
        </w:rPr>
        <w:t xml:space="preserve"> CM(2021)36-add2final, ‘</w:t>
      </w:r>
      <w:r w:rsidRPr="000861E1">
        <w:rPr>
          <w:rFonts w:cs="Open Sans"/>
          <w:color w:val="77328B"/>
          <w:sz w:val="16"/>
          <w:szCs w:val="16"/>
          <w:shd w:val="clear" w:color="auto" w:fill="FFFFFF"/>
        </w:rPr>
        <w:t>G</w:t>
      </w:r>
      <w:r w:rsidRPr="000861E1">
        <w:rPr>
          <w:color w:val="77328B"/>
          <w:sz w:val="16"/>
          <w:szCs w:val="16"/>
          <w:shd w:val="clear" w:color="auto" w:fill="FFFFFF"/>
        </w:rPr>
        <w:t>uidelines of the Committee of Ministers of the Council of Europe on the efficiency and the effectiveness of legal aid schemes in the areas of civil and administrative</w:t>
      </w:r>
      <w:r w:rsidRPr="000861E1">
        <w:rPr>
          <w:rFonts w:cs="Open Sans"/>
          <w:color w:val="77328B"/>
          <w:sz w:val="16"/>
          <w:szCs w:val="16"/>
          <w:shd w:val="clear" w:color="auto" w:fill="FFFFFF"/>
        </w:rPr>
        <w:t> </w:t>
      </w:r>
      <w:r w:rsidRPr="000861E1">
        <w:rPr>
          <w:color w:val="77328B"/>
          <w:sz w:val="16"/>
          <w:szCs w:val="16"/>
          <w:shd w:val="clear" w:color="auto" w:fill="FFFFFF"/>
        </w:rPr>
        <w:t>law’, 31 March 2021.</w:t>
      </w:r>
    </w:p>
  </w:footnote>
  <w:footnote w:id="37">
    <w:p w14:paraId="2C592F4A" w14:textId="77777777" w:rsidR="0071368E" w:rsidRPr="000861E1" w:rsidRDefault="0071368E" w:rsidP="0071368E">
      <w:pPr>
        <w:rPr>
          <w:color w:val="77328B"/>
          <w:sz w:val="16"/>
          <w:szCs w:val="16"/>
        </w:rPr>
      </w:pPr>
      <w:r w:rsidRPr="000861E1">
        <w:rPr>
          <w:rStyle w:val="FootnoteReference"/>
          <w:rFonts w:cs="Vrinda"/>
          <w:color w:val="77328B"/>
          <w:sz w:val="16"/>
          <w:szCs w:val="16"/>
        </w:rPr>
        <w:footnoteRef/>
      </w:r>
      <w:r w:rsidRPr="000861E1">
        <w:rPr>
          <w:rFonts w:cs="Vrinda"/>
          <w:color w:val="77328B"/>
          <w:sz w:val="16"/>
          <w:szCs w:val="16"/>
        </w:rPr>
        <w:t xml:space="preserve"> </w:t>
      </w:r>
      <w:r w:rsidRPr="000861E1">
        <w:rPr>
          <w:color w:val="77328B"/>
          <w:sz w:val="16"/>
          <w:szCs w:val="16"/>
        </w:rPr>
        <w:t>CM(2021)36-add2final, ‘</w:t>
      </w:r>
      <w:r w:rsidRPr="000861E1">
        <w:rPr>
          <w:rFonts w:cs="Open Sans"/>
          <w:color w:val="77328B"/>
          <w:sz w:val="16"/>
          <w:szCs w:val="16"/>
          <w:shd w:val="clear" w:color="auto" w:fill="FFFFFF"/>
        </w:rPr>
        <w:t>G</w:t>
      </w:r>
      <w:r w:rsidRPr="000861E1">
        <w:rPr>
          <w:color w:val="77328B"/>
          <w:sz w:val="16"/>
          <w:szCs w:val="16"/>
          <w:shd w:val="clear" w:color="auto" w:fill="FFFFFF"/>
        </w:rPr>
        <w:t>uidelines of the Committee of Ministers of the Council of Europe on the efficiency and the effectiveness of legal aid schemes in the areas of civil and administrative</w:t>
      </w:r>
      <w:r w:rsidRPr="000861E1">
        <w:rPr>
          <w:rFonts w:cs="Open Sans"/>
          <w:color w:val="77328B"/>
          <w:sz w:val="16"/>
          <w:szCs w:val="16"/>
          <w:shd w:val="clear" w:color="auto" w:fill="FFFFFF"/>
        </w:rPr>
        <w:t> </w:t>
      </w:r>
      <w:r w:rsidRPr="000861E1">
        <w:rPr>
          <w:color w:val="77328B"/>
          <w:sz w:val="16"/>
          <w:szCs w:val="16"/>
          <w:shd w:val="clear" w:color="auto" w:fill="FFFFFF"/>
        </w:rPr>
        <w:t>law’, 31 March 2021.</w:t>
      </w:r>
    </w:p>
  </w:footnote>
  <w:footnote w:id="38">
    <w:p w14:paraId="3BCBA279" w14:textId="77777777" w:rsidR="00E57C96" w:rsidRPr="001B5A04" w:rsidRDefault="00E57C96" w:rsidP="00E57C96">
      <w:pPr>
        <w:pStyle w:val="NIHRCFootnotes"/>
        <w:rPr>
          <w:color w:val="77328B"/>
        </w:rPr>
      </w:pPr>
      <w:r w:rsidRPr="001B5A04">
        <w:rPr>
          <w:rStyle w:val="FootnoteReference"/>
          <w:color w:val="77328B"/>
        </w:rPr>
        <w:footnoteRef/>
      </w:r>
      <w:r w:rsidRPr="001B5A04">
        <w:rPr>
          <w:color w:val="77328B"/>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39">
    <w:p w14:paraId="0E24CD08" w14:textId="77777777" w:rsidR="00E57C96" w:rsidRPr="001B5A04" w:rsidRDefault="00E57C96" w:rsidP="00E57C96">
      <w:pPr>
        <w:pStyle w:val="NIHRCFootnotes"/>
        <w:rPr>
          <w:color w:val="77328B"/>
        </w:rPr>
      </w:pPr>
      <w:r w:rsidRPr="001B5A04">
        <w:rPr>
          <w:rStyle w:val="FootnoteReference"/>
          <w:color w:val="77328B"/>
        </w:rPr>
        <w:footnoteRef/>
      </w:r>
      <w:r w:rsidRPr="001B5A04">
        <w:rPr>
          <w:color w:val="77328B"/>
        </w:rPr>
        <w:t xml:space="preserve"> Article 13, Windsor Framework </w:t>
      </w:r>
      <w:r w:rsidRPr="001B5A04">
        <w:rPr>
          <w:rFonts w:cs="Calibri"/>
          <w:color w:val="77328B"/>
        </w:rPr>
        <w:t>to the UK-EU Withdrawal Agreement</w:t>
      </w:r>
      <w:r w:rsidRPr="001B5A04">
        <w:rPr>
          <w:color w:val="77328B"/>
        </w:rPr>
        <w:t>.</w:t>
      </w:r>
    </w:p>
  </w:footnote>
  <w:footnote w:id="40">
    <w:p w14:paraId="34DA73EA" w14:textId="77777777" w:rsidR="00E57C96" w:rsidRPr="001B5A04" w:rsidRDefault="00E57C96" w:rsidP="00E57C96">
      <w:pPr>
        <w:pStyle w:val="NIHRCFootnotes"/>
        <w:rPr>
          <w:color w:val="77328B"/>
        </w:rPr>
      </w:pPr>
      <w:r w:rsidRPr="001B5A04">
        <w:rPr>
          <w:rStyle w:val="FootnoteReference"/>
          <w:color w:val="77328B"/>
        </w:rPr>
        <w:footnoteRef/>
      </w:r>
      <w:r w:rsidRPr="001B5A04">
        <w:rPr>
          <w:color w:val="77328B"/>
        </w:rPr>
        <w:t xml:space="preserve"> Belfast (Good Friday) Agreement, 10 April 1998, Part 6 on Rights, Safeguards and Equality of Opportunity. See also UK Government, ‘UK Government commitment to no-diminution of rights, safeguards and equality of opportunity in Northern Ireland’, (NIO, 2020); </w:t>
      </w:r>
      <w:r w:rsidRPr="001B5A04">
        <w:rPr>
          <w:i/>
          <w:iCs/>
          <w:color w:val="77328B"/>
        </w:rPr>
        <w:t>In the matter of an application by Martina Dillon and others for Judicial Review</w:t>
      </w:r>
      <w:r w:rsidRPr="001B5A04">
        <w:rPr>
          <w:color w:val="77328B"/>
        </w:rPr>
        <w:t xml:space="preserve"> [2024] NIKB 11, at para 540</w:t>
      </w:r>
      <w:r w:rsidRPr="00B50F7E">
        <w:rPr>
          <w:rStyle w:val="Hyperlink"/>
          <w:color w:val="77328B"/>
          <w:u w:val="none"/>
        </w:rPr>
        <w:t>.</w:t>
      </w:r>
    </w:p>
  </w:footnote>
  <w:footnote w:id="41">
    <w:p w14:paraId="3B9DA0D7" w14:textId="39D55A7E" w:rsidR="00E57C96" w:rsidRPr="001B5A04" w:rsidRDefault="00E57C96" w:rsidP="00E57C96">
      <w:pPr>
        <w:pStyle w:val="NIHRCFootnotes"/>
        <w:rPr>
          <w:color w:val="77328B"/>
        </w:rPr>
      </w:pPr>
      <w:r w:rsidRPr="001B5A04">
        <w:rPr>
          <w:rStyle w:val="FootnoteReference"/>
          <w:color w:val="77328B"/>
        </w:rPr>
        <w:footnoteRef/>
      </w:r>
      <w:r w:rsidRPr="001B5A04">
        <w:rPr>
          <w:color w:val="77328B"/>
        </w:rPr>
        <w:t xml:space="preserve"> </w:t>
      </w:r>
      <w:r w:rsidRPr="00B50F7E">
        <w:rPr>
          <w:color w:val="77328B"/>
        </w:rPr>
        <w:t>In the Matter of an Application by NI Human Rights Commission and Another for Judicial Review</w:t>
      </w:r>
      <w:r w:rsidRPr="001B5A04">
        <w:rPr>
          <w:color w:val="77328B"/>
        </w:rPr>
        <w:t xml:space="preserve"> [2024] NIKB 35, at para 70</w:t>
      </w:r>
      <w:r w:rsidR="00B50F7E" w:rsidRPr="00B50F7E">
        <w:rPr>
          <w:rStyle w:val="Hyperlink"/>
          <w:color w:val="77328B"/>
          <w:u w:val="none"/>
        </w:rPr>
        <w:t xml:space="preserve">. </w:t>
      </w:r>
    </w:p>
  </w:footnote>
  <w:footnote w:id="42">
    <w:p w14:paraId="293020DD" w14:textId="77777777" w:rsidR="00E57C96" w:rsidRPr="001B5A04" w:rsidRDefault="00E57C96" w:rsidP="00E57C96">
      <w:pPr>
        <w:pStyle w:val="NIHRCFootnotes"/>
        <w:rPr>
          <w:color w:val="77328B"/>
        </w:rPr>
      </w:pPr>
      <w:r w:rsidRPr="001B5A04">
        <w:rPr>
          <w:rStyle w:val="FootnoteReference"/>
          <w:color w:val="77328B"/>
        </w:rPr>
        <w:footnoteRef/>
      </w:r>
      <w:r w:rsidRPr="001B5A04">
        <w:rPr>
          <w:color w:val="77328B"/>
        </w:rPr>
        <w:t xml:space="preserve"> Ibid, at para 554. </w:t>
      </w:r>
    </w:p>
  </w:footnote>
  <w:footnote w:id="43">
    <w:p w14:paraId="48AFBCCB" w14:textId="43FD37BF" w:rsidR="002453E5" w:rsidRPr="001B5A04" w:rsidRDefault="002453E5" w:rsidP="002453E5">
      <w:pPr>
        <w:pStyle w:val="FootnoteText"/>
        <w:rPr>
          <w:color w:val="77328B"/>
          <w:sz w:val="16"/>
          <w:szCs w:val="16"/>
        </w:rPr>
      </w:pPr>
      <w:r w:rsidRPr="001B5A04">
        <w:rPr>
          <w:rStyle w:val="FootnoteReference"/>
          <w:color w:val="77328B"/>
          <w:sz w:val="16"/>
          <w:szCs w:val="16"/>
        </w:rPr>
        <w:footnoteRef/>
      </w:r>
      <w:r w:rsidRPr="001B5A04">
        <w:rPr>
          <w:color w:val="77328B"/>
          <w:sz w:val="16"/>
          <w:szCs w:val="16"/>
        </w:rPr>
        <w:t xml:space="preserve"> </w:t>
      </w:r>
      <w:r w:rsidRPr="001B5A04">
        <w:rPr>
          <w:i/>
          <w:iCs/>
          <w:color w:val="77328B"/>
          <w:sz w:val="16"/>
          <w:szCs w:val="16"/>
        </w:rPr>
        <w:t>KME Germany and Others v EU Commission</w:t>
      </w:r>
      <w:r w:rsidRPr="001B5A04">
        <w:rPr>
          <w:color w:val="77328B"/>
          <w:sz w:val="16"/>
          <w:szCs w:val="16"/>
        </w:rPr>
        <w:t>, Case C-</w:t>
      </w:r>
      <w:r>
        <w:rPr>
          <w:color w:val="77328B"/>
          <w:sz w:val="16"/>
          <w:szCs w:val="16"/>
        </w:rPr>
        <w:t xml:space="preserve"> </w:t>
      </w:r>
      <w:r w:rsidRPr="001B5A04">
        <w:rPr>
          <w:color w:val="77328B"/>
          <w:sz w:val="16"/>
          <w:szCs w:val="16"/>
        </w:rPr>
        <w:t>389/10, 8 December 2011.</w:t>
      </w:r>
    </w:p>
  </w:footnote>
  <w:footnote w:id="44">
    <w:p w14:paraId="08631ED0" w14:textId="77777777" w:rsidR="00E57C96" w:rsidRPr="006845F2" w:rsidRDefault="00E57C96" w:rsidP="00E57C96">
      <w:pPr>
        <w:pStyle w:val="FootnoteText"/>
        <w:rPr>
          <w:color w:val="77328A"/>
          <w:sz w:val="16"/>
          <w:szCs w:val="16"/>
        </w:rPr>
      </w:pPr>
      <w:r w:rsidRPr="001B5A04">
        <w:rPr>
          <w:rStyle w:val="FootnoteReference"/>
          <w:color w:val="77328B"/>
          <w:sz w:val="16"/>
          <w:szCs w:val="16"/>
        </w:rPr>
        <w:footnoteRef/>
      </w:r>
      <w:r w:rsidRPr="001B5A04">
        <w:rPr>
          <w:color w:val="77328B"/>
          <w:sz w:val="16"/>
          <w:szCs w:val="16"/>
        </w:rPr>
        <w:t xml:space="preserve"> Paul Craig and Gráinne de </w:t>
      </w:r>
      <w:r w:rsidRPr="001B5A04">
        <w:rPr>
          <w:color w:val="77328B"/>
          <w:sz w:val="16"/>
          <w:szCs w:val="16"/>
        </w:rPr>
        <w:t>Búrca, ‘EU Law – Text, Cases and Materials (7</w:t>
      </w:r>
      <w:r w:rsidRPr="001B5A04">
        <w:rPr>
          <w:color w:val="77328B"/>
          <w:sz w:val="16"/>
          <w:szCs w:val="16"/>
          <w:vertAlign w:val="superscript"/>
        </w:rPr>
        <w:t>th</w:t>
      </w:r>
      <w:r w:rsidRPr="001B5A04">
        <w:rPr>
          <w:color w:val="77328B"/>
          <w:sz w:val="16"/>
          <w:szCs w:val="16"/>
        </w:rPr>
        <w:t xml:space="preserve">Ed)’ (UK Version) (OUP, 2020), at 272.  Article 19, Treaty on EU states “Member States shall provide remedies sufficient to ensure effective legal protection in the fields covered by Union law”.  </w:t>
      </w:r>
    </w:p>
  </w:footnote>
  <w:footnote w:id="45">
    <w:p w14:paraId="5DA1D718" w14:textId="77777777" w:rsidR="00E57C96" w:rsidRPr="006845F2" w:rsidRDefault="00E57C96" w:rsidP="00E57C96">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See </w:t>
      </w:r>
      <w:r w:rsidRPr="006845F2">
        <w:rPr>
          <w:i/>
          <w:iCs/>
          <w:color w:val="77328A"/>
          <w:sz w:val="16"/>
          <w:szCs w:val="16"/>
        </w:rPr>
        <w:t xml:space="preserve">Union </w:t>
      </w:r>
      <w:r w:rsidRPr="006845F2">
        <w:rPr>
          <w:i/>
          <w:iCs/>
          <w:color w:val="77328A"/>
          <w:sz w:val="16"/>
          <w:szCs w:val="16"/>
        </w:rPr>
        <w:t xml:space="preserve">nationale des entraîneurs et cadres techniques professionnels du football (Unectef) v Georges Heylens, </w:t>
      </w:r>
      <w:r w:rsidRPr="006845F2">
        <w:rPr>
          <w:color w:val="77328A"/>
          <w:sz w:val="16"/>
          <w:szCs w:val="16"/>
        </w:rPr>
        <w:t xml:space="preserve">Case 222/86; </w:t>
      </w:r>
      <w:r w:rsidRPr="006845F2">
        <w:rPr>
          <w:i/>
          <w:iCs/>
          <w:color w:val="77328A"/>
          <w:sz w:val="16"/>
          <w:szCs w:val="16"/>
        </w:rPr>
        <w:t>Kadi and Al Barakaat International Foundation v Council of the EU and EU Commission</w:t>
      </w:r>
      <w:r w:rsidRPr="006845F2">
        <w:rPr>
          <w:color w:val="77328A"/>
          <w:sz w:val="16"/>
          <w:szCs w:val="16"/>
        </w:rPr>
        <w:t xml:space="preserve">, Joined Cases C-402/05 and C-415/05, 3 September 2008; </w:t>
      </w:r>
      <w:r w:rsidRPr="00326B0F">
        <w:rPr>
          <w:i/>
          <w:iCs/>
          <w:color w:val="77328A"/>
          <w:sz w:val="16"/>
          <w:szCs w:val="16"/>
        </w:rPr>
        <w:t xml:space="preserve">R(Mellor) v </w:t>
      </w:r>
      <w:r w:rsidRPr="00326B0F">
        <w:rPr>
          <w:i/>
          <w:iCs/>
          <w:color w:val="77328A"/>
          <w:sz w:val="16"/>
          <w:szCs w:val="16"/>
          <w:shd w:val="clear" w:color="auto" w:fill="FFFFFF"/>
        </w:rPr>
        <w:t>Secretary of State for Communities and Local Government</w:t>
      </w:r>
      <w:r w:rsidRPr="006845F2">
        <w:rPr>
          <w:color w:val="77328A"/>
          <w:sz w:val="16"/>
          <w:szCs w:val="16"/>
          <w:shd w:val="clear" w:color="auto" w:fill="FFFFFF"/>
        </w:rPr>
        <w:t>, Case C-75/08, 30 April 2009.</w:t>
      </w:r>
      <w:r w:rsidRPr="006845F2">
        <w:rPr>
          <w:color w:val="77328A"/>
          <w:sz w:val="16"/>
          <w:szCs w:val="16"/>
        </w:rPr>
        <w:t xml:space="preserve"> </w:t>
      </w:r>
    </w:p>
  </w:footnote>
  <w:footnote w:id="46">
    <w:p w14:paraId="24C5A324" w14:textId="77777777" w:rsidR="00E57C96" w:rsidRPr="006845F2" w:rsidRDefault="00E57C96" w:rsidP="00E57C96">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w:t>
      </w:r>
      <w:r w:rsidRPr="00300265">
        <w:rPr>
          <w:i/>
          <w:iCs/>
          <w:color w:val="77328A"/>
          <w:sz w:val="16"/>
          <w:szCs w:val="16"/>
        </w:rPr>
        <w:t>Orizzonte Salute - Studio Infermieristico Associato v Azienda Pubblica di Servizi alla persona San Valentino – Città di Levico Terme</w:t>
      </w:r>
      <w:r w:rsidRPr="006845F2">
        <w:rPr>
          <w:color w:val="77328A"/>
          <w:sz w:val="16"/>
          <w:szCs w:val="16"/>
        </w:rPr>
        <w:t>, Case C-61/14, 6 October 2015.</w:t>
      </w:r>
    </w:p>
  </w:footnote>
  <w:footnote w:id="47">
    <w:p w14:paraId="4D105360" w14:textId="77777777" w:rsidR="00E57C96" w:rsidRPr="006845F2" w:rsidRDefault="00E57C96" w:rsidP="00E57C96">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Appendix 1, NI Human Rights Commission and Equality Commission NI, ‘Working Paper: Scope of Article 2(1) of the Ireland/NI Protocol to the Withdrawal Agreement 2020’, (NIHRC and ECNI, 2022).</w:t>
      </w:r>
    </w:p>
  </w:footnote>
  <w:footnote w:id="48">
    <w:p w14:paraId="065B65AA" w14:textId="77777777" w:rsidR="00E57C96" w:rsidRPr="006845F2" w:rsidRDefault="00E57C96" w:rsidP="00E57C96">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w:t>
      </w:r>
      <w:r w:rsidRPr="00E83AB1">
        <w:rPr>
          <w:rFonts w:cstheme="minorHAnsi"/>
          <w:color w:val="77328A"/>
          <w:sz w:val="16"/>
          <w:szCs w:val="16"/>
        </w:rPr>
        <w:t xml:space="preserve">Re </w:t>
      </w:r>
      <w:r w:rsidRPr="00E83AB1">
        <w:rPr>
          <w:rFonts w:cstheme="minorHAnsi"/>
          <w:color w:val="77328A"/>
          <w:sz w:val="16"/>
          <w:szCs w:val="16"/>
        </w:rPr>
        <w:t>Angesom</w:t>
      </w:r>
      <w:r w:rsidRPr="006845F2">
        <w:rPr>
          <w:rFonts w:cstheme="minorHAnsi"/>
          <w:color w:val="77328A"/>
          <w:sz w:val="16"/>
          <w:szCs w:val="16"/>
        </w:rPr>
        <w:t xml:space="preserve"> </w:t>
      </w:r>
      <w:r w:rsidRPr="006845F2">
        <w:rPr>
          <w:color w:val="77328A"/>
          <w:sz w:val="16"/>
          <w:szCs w:val="16"/>
        </w:rPr>
        <w:t xml:space="preserve">[2023] NIKB 102; </w:t>
      </w:r>
      <w:r w:rsidRPr="00EF1932">
        <w:rPr>
          <w:i/>
          <w:iCs/>
          <w:color w:val="77328A"/>
          <w:sz w:val="16"/>
          <w:szCs w:val="16"/>
        </w:rPr>
        <w:t>AT v Secretary of State for Work and Pensions</w:t>
      </w:r>
      <w:r w:rsidRPr="006845F2">
        <w:rPr>
          <w:color w:val="77328A"/>
          <w:sz w:val="16"/>
          <w:szCs w:val="16"/>
        </w:rPr>
        <w:t xml:space="preserve"> [2023] ECWA Civ 1307.</w:t>
      </w:r>
    </w:p>
  </w:footnote>
  <w:footnote w:id="49">
    <w:p w14:paraId="6AFA2AF7" w14:textId="77777777" w:rsidR="00600F89" w:rsidRPr="006845F2" w:rsidRDefault="00600F89" w:rsidP="00600F89">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Explanations relating to the EU Charter of Fundamental Rights, OJ 2007 C303/17. </w:t>
      </w:r>
    </w:p>
  </w:footnote>
  <w:footnote w:id="50">
    <w:p w14:paraId="1A4F451C" w14:textId="77777777" w:rsidR="00600F89" w:rsidRPr="006845F2" w:rsidRDefault="00600F89" w:rsidP="00600F89">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w:t>
      </w:r>
      <w:r w:rsidRPr="006845F2">
        <w:rPr>
          <w:i/>
          <w:iCs/>
          <w:color w:val="77328A"/>
          <w:sz w:val="16"/>
          <w:szCs w:val="16"/>
        </w:rPr>
        <w:t xml:space="preserve">DEB Deutsche </w:t>
      </w:r>
      <w:r w:rsidRPr="006845F2">
        <w:rPr>
          <w:i/>
          <w:iCs/>
          <w:color w:val="77328A"/>
          <w:sz w:val="16"/>
          <w:szCs w:val="16"/>
        </w:rPr>
        <w:t>Energiehandels- und Beratungsgesellschaft mbH v. Bundesrepublik Deutschland</w:t>
      </w:r>
      <w:r w:rsidRPr="006845F2">
        <w:rPr>
          <w:color w:val="77328A"/>
          <w:sz w:val="16"/>
          <w:szCs w:val="16"/>
        </w:rPr>
        <w:t>,</w:t>
      </w:r>
      <w:r>
        <w:rPr>
          <w:color w:val="77328A"/>
          <w:sz w:val="16"/>
          <w:szCs w:val="16"/>
        </w:rPr>
        <w:t xml:space="preserve"> Case </w:t>
      </w:r>
      <w:r w:rsidRPr="006845F2">
        <w:rPr>
          <w:color w:val="77328A"/>
          <w:sz w:val="16"/>
          <w:szCs w:val="16"/>
        </w:rPr>
        <w:t>C-279/09, 22 December 2010, at para 59.</w:t>
      </w:r>
    </w:p>
  </w:footnote>
  <w:footnote w:id="51">
    <w:p w14:paraId="6E1B14EB" w14:textId="3B5BBD99" w:rsidR="00600F89" w:rsidRPr="006845F2" w:rsidRDefault="00600F89" w:rsidP="00600F89">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w:t>
      </w:r>
      <w:r w:rsidR="002C4DF0" w:rsidRPr="006845F2">
        <w:rPr>
          <w:i/>
          <w:iCs/>
          <w:color w:val="77328A"/>
          <w:sz w:val="16"/>
          <w:szCs w:val="16"/>
        </w:rPr>
        <w:t xml:space="preserve">Sanchez </w:t>
      </w:r>
      <w:r w:rsidR="002C4DF0" w:rsidRPr="006845F2">
        <w:rPr>
          <w:i/>
          <w:iCs/>
          <w:color w:val="77328A"/>
          <w:sz w:val="16"/>
          <w:szCs w:val="16"/>
        </w:rPr>
        <w:t xml:space="preserve">Mocillo and Abril García, </w:t>
      </w:r>
      <w:r w:rsidR="002C4DF0" w:rsidRPr="006845F2">
        <w:rPr>
          <w:color w:val="77328A"/>
          <w:sz w:val="16"/>
          <w:szCs w:val="16"/>
        </w:rPr>
        <w:t>C-169/14, 17 July 2014</w:t>
      </w:r>
      <w:r w:rsidR="002C4DF0">
        <w:rPr>
          <w:color w:val="77328A"/>
          <w:sz w:val="16"/>
          <w:szCs w:val="16"/>
        </w:rPr>
        <w:t xml:space="preserve">; </w:t>
      </w:r>
      <w:r w:rsidR="002C4DF0" w:rsidRPr="006845F2">
        <w:rPr>
          <w:i/>
          <w:iCs/>
          <w:color w:val="77328A"/>
          <w:sz w:val="16"/>
          <w:szCs w:val="16"/>
        </w:rPr>
        <w:t>Sweden and Others v API and Commission</w:t>
      </w:r>
      <w:r w:rsidR="002C4DF0" w:rsidRPr="006845F2">
        <w:rPr>
          <w:color w:val="77328A"/>
          <w:sz w:val="16"/>
          <w:szCs w:val="16"/>
        </w:rPr>
        <w:t>, Joined Cases C-514/07 P, C-528/07 P and C-532/07 P</w:t>
      </w:r>
      <w:r w:rsidR="000541DE">
        <w:rPr>
          <w:color w:val="77328A"/>
          <w:sz w:val="16"/>
          <w:szCs w:val="16"/>
        </w:rPr>
        <w:t>, 21 September 2010</w:t>
      </w:r>
      <w:r w:rsidR="002C4DF0" w:rsidRPr="006845F2">
        <w:rPr>
          <w:color w:val="77328A"/>
          <w:sz w:val="16"/>
          <w:szCs w:val="16"/>
        </w:rPr>
        <w:t>, at para 88.</w:t>
      </w:r>
    </w:p>
  </w:footnote>
  <w:footnote w:id="52">
    <w:p w14:paraId="5F7BB6B5" w14:textId="79D7B5ED" w:rsidR="00AD0697" w:rsidRPr="007E2CFA" w:rsidRDefault="00AD0697">
      <w:pPr>
        <w:pStyle w:val="FootnoteText"/>
        <w:rPr>
          <w:color w:val="77328A"/>
          <w:sz w:val="16"/>
          <w:szCs w:val="16"/>
        </w:rPr>
      </w:pPr>
      <w:r w:rsidRPr="007E2CFA">
        <w:rPr>
          <w:color w:val="77328A"/>
          <w:sz w:val="16"/>
          <w:szCs w:val="16"/>
          <w:vertAlign w:val="superscript"/>
        </w:rPr>
        <w:footnoteRef/>
      </w:r>
      <w:r w:rsidRPr="007E2CFA">
        <w:rPr>
          <w:color w:val="77328A"/>
          <w:sz w:val="16"/>
          <w:szCs w:val="16"/>
        </w:rPr>
        <w:t xml:space="preserve"> </w:t>
      </w:r>
      <w:r w:rsidR="00D32CFE" w:rsidRPr="007E2CFA">
        <w:rPr>
          <w:i/>
          <w:iCs/>
          <w:color w:val="77328A"/>
          <w:sz w:val="16"/>
          <w:szCs w:val="16"/>
        </w:rPr>
        <w:t>Rugby Football Union v Consolidated Information Services Ltd</w:t>
      </w:r>
      <w:r w:rsidR="00D32CFE" w:rsidRPr="007E2CFA">
        <w:rPr>
          <w:color w:val="77328A"/>
          <w:sz w:val="16"/>
          <w:szCs w:val="16"/>
        </w:rPr>
        <w:t xml:space="preserve"> [2012] UKSC 55 at para 28</w:t>
      </w:r>
      <w:r w:rsidR="007E2CFA" w:rsidRPr="007E2CFA">
        <w:rPr>
          <w:color w:val="77328A"/>
          <w:sz w:val="16"/>
          <w:szCs w:val="16"/>
        </w:rPr>
        <w:t>.</w:t>
      </w:r>
    </w:p>
  </w:footnote>
  <w:footnote w:id="53">
    <w:p w14:paraId="1FFE5BBB" w14:textId="77777777" w:rsidR="00600F89" w:rsidRPr="006845F2" w:rsidRDefault="00600F89" w:rsidP="00600F89">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Directive 2005/85/EC, ‘Council Directive on minimum standards on procedures in Member States for granting and withdrawing refugee status’, 1 December 2005.</w:t>
      </w:r>
    </w:p>
  </w:footnote>
  <w:footnote w:id="54">
    <w:p w14:paraId="51C7BC0E" w14:textId="77777777" w:rsidR="00294B1A" w:rsidRPr="006845F2" w:rsidRDefault="00294B1A" w:rsidP="00294B1A">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Directive 2005/85/EC, ‘Council Directive on minimum standards on procedures in Member States for granting and withdrawing refugee status’, 1 December 2005.</w:t>
      </w:r>
    </w:p>
  </w:footnote>
  <w:footnote w:id="55">
    <w:p w14:paraId="54AC0E80" w14:textId="7687471C" w:rsidR="00600F89" w:rsidRPr="006845F2" w:rsidRDefault="00600F89" w:rsidP="00600F89">
      <w:pPr>
        <w:pStyle w:val="FootnoteText"/>
        <w:rPr>
          <w:color w:val="77328A"/>
          <w:sz w:val="16"/>
          <w:szCs w:val="16"/>
        </w:rPr>
      </w:pPr>
      <w:r w:rsidRPr="006845F2">
        <w:rPr>
          <w:rStyle w:val="FootnoteReference"/>
          <w:color w:val="77328A"/>
          <w:sz w:val="16"/>
          <w:szCs w:val="16"/>
        </w:rPr>
        <w:footnoteRef/>
      </w:r>
      <w:r w:rsidRPr="006845F2">
        <w:rPr>
          <w:color w:val="77328A"/>
          <w:sz w:val="16"/>
          <w:szCs w:val="16"/>
        </w:rPr>
        <w:t xml:space="preserve">  </w:t>
      </w:r>
      <w:r w:rsidR="009E4DF6">
        <w:rPr>
          <w:color w:val="77328A"/>
          <w:sz w:val="16"/>
          <w:szCs w:val="16"/>
        </w:rPr>
        <w:t xml:space="preserve">Free </w:t>
      </w:r>
      <w:r w:rsidR="0079151B">
        <w:rPr>
          <w:color w:val="77328A"/>
          <w:sz w:val="16"/>
          <w:szCs w:val="16"/>
        </w:rPr>
        <w:t xml:space="preserve">legal assistance and/or representation </w:t>
      </w:r>
      <w:r w:rsidR="00407FBD">
        <w:rPr>
          <w:color w:val="77328A"/>
          <w:sz w:val="16"/>
          <w:szCs w:val="16"/>
        </w:rPr>
        <w:t>is restricted</w:t>
      </w:r>
      <w:r w:rsidR="00830A3D">
        <w:rPr>
          <w:color w:val="77328A"/>
          <w:sz w:val="16"/>
          <w:szCs w:val="16"/>
        </w:rPr>
        <w:t xml:space="preserve"> </w:t>
      </w:r>
      <w:r w:rsidRPr="006845F2">
        <w:rPr>
          <w:color w:val="77328A"/>
          <w:sz w:val="16"/>
          <w:szCs w:val="16"/>
        </w:rPr>
        <w:t>only for procedures before a court or tribunal not in the case of appeals or reviews; only to those who lack sufficient resources and only if the appeal or review is likely to succeed</w:t>
      </w:r>
      <w:r w:rsidR="005B4285">
        <w:rPr>
          <w:color w:val="77328A"/>
          <w:sz w:val="16"/>
          <w:szCs w:val="16"/>
        </w:rPr>
        <w:t xml:space="preserve"> (</w:t>
      </w:r>
      <w:r w:rsidRPr="006845F2">
        <w:rPr>
          <w:color w:val="77328A"/>
          <w:sz w:val="16"/>
          <w:szCs w:val="16"/>
        </w:rPr>
        <w:t>making sure that the appeal is not arbitrarily restricted</w:t>
      </w:r>
      <w:r w:rsidR="005B4285">
        <w:rPr>
          <w:color w:val="77328A"/>
          <w:sz w:val="16"/>
          <w:szCs w:val="16"/>
        </w:rPr>
        <w:t xml:space="preserve">). </w:t>
      </w:r>
    </w:p>
  </w:footnote>
  <w:footnote w:id="56">
    <w:p w14:paraId="7D73DBA4" w14:textId="65201059" w:rsidR="00DA644E" w:rsidRDefault="00DA644E">
      <w:pPr>
        <w:pStyle w:val="FootnoteText"/>
      </w:pPr>
      <w:r w:rsidRPr="00097855">
        <w:rPr>
          <w:rStyle w:val="FootnoteReference"/>
          <w:color w:val="77328A"/>
          <w:sz w:val="16"/>
          <w:szCs w:val="16"/>
        </w:rPr>
        <w:footnoteRef/>
      </w:r>
      <w:r>
        <w:t xml:space="preserve"> </w:t>
      </w:r>
      <w:r w:rsidR="00097855" w:rsidRPr="00853797">
        <w:rPr>
          <w:color w:val="77328B"/>
          <w:sz w:val="16"/>
          <w:szCs w:val="16"/>
        </w:rPr>
        <w:t>Directive 2002/8/EC, ‘Directive of the Council the European Council to improve access to justice in cross-border disputes by establishing minimum common rules relating to legal aid for such disputes’, 27 January 2003</w:t>
      </w:r>
    </w:p>
  </w:footnote>
  <w:footnote w:id="57">
    <w:p w14:paraId="1DCB467C" w14:textId="77777777" w:rsidR="00357C2C" w:rsidRPr="00375A2A" w:rsidRDefault="00357C2C" w:rsidP="00357C2C">
      <w:pPr>
        <w:pStyle w:val="FootnoteText"/>
        <w:rPr>
          <w:sz w:val="16"/>
          <w:szCs w:val="16"/>
        </w:rPr>
      </w:pPr>
      <w:r w:rsidRPr="00375A2A">
        <w:rPr>
          <w:rStyle w:val="FootnoteReference"/>
          <w:color w:val="77328A"/>
          <w:sz w:val="16"/>
          <w:szCs w:val="16"/>
        </w:rPr>
        <w:footnoteRef/>
      </w:r>
      <w:r w:rsidRPr="00375A2A">
        <w:rPr>
          <w:color w:val="77328A"/>
          <w:sz w:val="16"/>
          <w:szCs w:val="16"/>
        </w:rPr>
        <w:t xml:space="preserve"> CCPR/C/GBR/CO/8. ‘UN Human Rights Committee, Concluding Observations on the Eighth Periodic Report of the UK of Great Britain and NI’, 3 May 2024, at para 49.</w:t>
      </w:r>
    </w:p>
  </w:footnote>
  <w:footnote w:id="58">
    <w:p w14:paraId="1A5BC5A9" w14:textId="77777777" w:rsidR="00357C2C" w:rsidRPr="000802B5" w:rsidRDefault="00357C2C" w:rsidP="00357C2C">
      <w:pPr>
        <w:pStyle w:val="FootnoteText"/>
        <w:rPr>
          <w:sz w:val="16"/>
          <w:szCs w:val="16"/>
        </w:rPr>
      </w:pPr>
      <w:r w:rsidRPr="000802B5">
        <w:rPr>
          <w:rStyle w:val="FootnoteReference"/>
          <w:color w:val="77328A"/>
          <w:sz w:val="16"/>
          <w:szCs w:val="16"/>
        </w:rPr>
        <w:footnoteRef/>
      </w:r>
      <w:r w:rsidRPr="000802B5">
        <w:rPr>
          <w:color w:val="77328A"/>
          <w:sz w:val="16"/>
          <w:szCs w:val="16"/>
        </w:rPr>
        <w:t xml:space="preserve"> </w:t>
      </w:r>
      <w:bookmarkStart w:id="9" w:name="_Hlk167265183"/>
      <w:r w:rsidRPr="000802B5">
        <w:rPr>
          <w:color w:val="77328A"/>
          <w:sz w:val="16"/>
          <w:szCs w:val="16"/>
        </w:rPr>
        <w:t>Legal Services Agency NI, ‘Annual Report and Accounts 2022-2023’</w:t>
      </w:r>
      <w:bookmarkEnd w:id="9"/>
      <w:r w:rsidRPr="000802B5">
        <w:rPr>
          <w:color w:val="77328A"/>
          <w:sz w:val="16"/>
          <w:szCs w:val="16"/>
        </w:rPr>
        <w:t xml:space="preserve"> (LSANI, 2023), at 1.</w:t>
      </w:r>
    </w:p>
  </w:footnote>
  <w:footnote w:id="59">
    <w:p w14:paraId="4DBAAA3A" w14:textId="77777777" w:rsidR="00357C2C" w:rsidRDefault="00357C2C" w:rsidP="00357C2C">
      <w:pPr>
        <w:pStyle w:val="NIHRCFootnotes"/>
        <w:spacing w:line="240" w:lineRule="auto"/>
      </w:pPr>
      <w:r>
        <w:rPr>
          <w:rStyle w:val="FootnoteReference"/>
        </w:rPr>
        <w:footnoteRef/>
      </w:r>
      <w:r>
        <w:t xml:space="preserve"> </w:t>
      </w:r>
      <w:r w:rsidRPr="00FC04DA">
        <w:t xml:space="preserve">The Law Society of NI and The Bar of NI, ‘Access to Justice Under Threat: A Joint Submission on the Draft NI Executive Budget 2022-25’ (LSNI and Bar of NI, 2022); The Law Society of NI and The Bar of NI, ‘Written evidence submitted by The Law Society of NI and The Bar of NI, relating to the funding of public services in NI’ (LSNI and Bar of NI, 2023). </w:t>
      </w:r>
    </w:p>
  </w:footnote>
  <w:footnote w:id="60">
    <w:p w14:paraId="0D215801" w14:textId="77777777" w:rsidR="00357C2C" w:rsidRPr="000802B5" w:rsidRDefault="00357C2C" w:rsidP="00357C2C">
      <w:pPr>
        <w:pStyle w:val="FootnoteText"/>
        <w:rPr>
          <w:color w:val="77328A"/>
          <w:sz w:val="16"/>
          <w:szCs w:val="16"/>
        </w:rPr>
      </w:pPr>
      <w:r w:rsidRPr="000802B5">
        <w:rPr>
          <w:rStyle w:val="FootnoteReference"/>
          <w:color w:val="77328A"/>
          <w:sz w:val="16"/>
          <w:szCs w:val="16"/>
        </w:rPr>
        <w:footnoteRef/>
      </w:r>
      <w:r w:rsidRPr="000802B5">
        <w:rPr>
          <w:color w:val="77328A"/>
          <w:sz w:val="16"/>
          <w:szCs w:val="16"/>
        </w:rPr>
        <w:t xml:space="preserve"> The Law Society of NI and The Bar of NI, ‘Written evidence submitted by The Law Society of NI and The Bar of NI, relating to the funding of public services in NI’ (LSNI and Bar of NI, 2023), at 7-9.</w:t>
      </w:r>
    </w:p>
  </w:footnote>
  <w:footnote w:id="61">
    <w:p w14:paraId="5339C52D" w14:textId="77777777" w:rsidR="00357C2C" w:rsidRDefault="00357C2C" w:rsidP="00357C2C">
      <w:pPr>
        <w:pStyle w:val="FootnoteText"/>
      </w:pPr>
      <w:r w:rsidRPr="000802B5">
        <w:rPr>
          <w:rStyle w:val="FootnoteReference"/>
          <w:color w:val="77328A"/>
          <w:sz w:val="16"/>
          <w:szCs w:val="16"/>
        </w:rPr>
        <w:footnoteRef/>
      </w:r>
      <w:r w:rsidRPr="000802B5">
        <w:rPr>
          <w:color w:val="77328A"/>
          <w:sz w:val="16"/>
          <w:szCs w:val="16"/>
        </w:rPr>
        <w:t xml:space="preserve"> The Law Society of NI and The Bar of NI, ‘Access to Justice Under Threat: A Joint Submission on the Draft NI Executive Budget 2022-25’ (LSNI and Bar of NI, 2022), at 3-4.</w:t>
      </w:r>
    </w:p>
  </w:footnote>
  <w:footnote w:id="62">
    <w:p w14:paraId="6A4E2CA2" w14:textId="77777777" w:rsidR="00357C2C" w:rsidRPr="00217B43" w:rsidRDefault="00357C2C" w:rsidP="00357C2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The Law Society of NI and The Bar of NI, ‘Written evidence submitted by The Law Society of NI and The Bar of NI, relating to the funding of public services in NI’ (LSNI and Bar of NI, 2023), at 7-9. </w:t>
      </w:r>
    </w:p>
  </w:footnote>
  <w:footnote w:id="63">
    <w:p w14:paraId="54132229" w14:textId="77777777" w:rsidR="00357C2C" w:rsidRPr="00217B43" w:rsidRDefault="00357C2C" w:rsidP="00357C2C">
      <w:pPr>
        <w:rPr>
          <w:color w:val="77328A"/>
          <w:sz w:val="16"/>
          <w:szCs w:val="16"/>
        </w:rPr>
      </w:pPr>
      <w:r w:rsidRPr="00217B43">
        <w:rPr>
          <w:rStyle w:val="FootnoteReference"/>
          <w:color w:val="77328A"/>
          <w:sz w:val="16"/>
          <w:szCs w:val="16"/>
        </w:rPr>
        <w:footnoteRef/>
      </w:r>
      <w:r w:rsidRPr="00217B43">
        <w:rPr>
          <w:color w:val="77328A"/>
          <w:sz w:val="16"/>
          <w:szCs w:val="16"/>
        </w:rPr>
        <w:t xml:space="preserve"> CM(2021)36-add2final, ‘</w:t>
      </w:r>
      <w:r w:rsidRPr="00217B43">
        <w:rPr>
          <w:rFonts w:cs="Open Sans"/>
          <w:color w:val="77328A"/>
          <w:sz w:val="16"/>
          <w:szCs w:val="16"/>
          <w:shd w:val="clear" w:color="auto" w:fill="FFFFFF"/>
        </w:rPr>
        <w:t>G</w:t>
      </w:r>
      <w:r w:rsidRPr="00217B43">
        <w:rPr>
          <w:color w:val="77328A"/>
          <w:sz w:val="16"/>
          <w:szCs w:val="16"/>
          <w:shd w:val="clear" w:color="auto" w:fill="FFFFFF"/>
        </w:rPr>
        <w:t>uidelines of the Committee of Ministers of the Council of Europe on the efficiency and the effectiveness of legal aid schemes in the areas of civil and administrative</w:t>
      </w:r>
      <w:r w:rsidRPr="00217B43">
        <w:rPr>
          <w:rFonts w:cs="Open Sans"/>
          <w:color w:val="77328A"/>
          <w:sz w:val="16"/>
          <w:szCs w:val="16"/>
          <w:shd w:val="clear" w:color="auto" w:fill="FFFFFF"/>
        </w:rPr>
        <w:t> </w:t>
      </w:r>
      <w:r w:rsidRPr="00217B43">
        <w:rPr>
          <w:color w:val="77328A"/>
          <w:sz w:val="16"/>
          <w:szCs w:val="16"/>
          <w:shd w:val="clear" w:color="auto" w:fill="FFFFFF"/>
        </w:rPr>
        <w:t>law’, 31 March 2021, at para 20.</w:t>
      </w:r>
    </w:p>
  </w:footnote>
  <w:footnote w:id="64">
    <w:p w14:paraId="7D125A87" w14:textId="77777777" w:rsidR="00357C2C" w:rsidRPr="00217B43" w:rsidRDefault="00357C2C" w:rsidP="00357C2C">
      <w:pPr>
        <w:pStyle w:val="NIHRCFootnotes"/>
        <w:spacing w:line="240" w:lineRule="auto"/>
      </w:pPr>
      <w:r w:rsidRPr="00217B43">
        <w:rPr>
          <w:rStyle w:val="FootnoteReference"/>
        </w:rPr>
        <w:footnoteRef/>
      </w:r>
      <w:r w:rsidRPr="00217B43">
        <w:t xml:space="preserve"> </w:t>
      </w:r>
      <w:r w:rsidRPr="00217B43">
        <w:rPr>
          <w:rFonts w:cs="Helvetica"/>
          <w:lang w:val="en"/>
        </w:rPr>
        <w:t>There are 14 lawyers on the Law Society of NI’s Directory of Solicitors that provide advice in relation to immigration and asylum in NI</w:t>
      </w:r>
      <w:r w:rsidRPr="00217B43">
        <w:t xml:space="preserve">. See: Law Society of NI, ‘Immigration Practitioners’ List – Law Society of NI’. Available at: </w:t>
      </w:r>
      <w:hyperlink r:id="rId2" w:history="1">
        <w:r w:rsidRPr="00217B43">
          <w:rPr>
            <w:rStyle w:val="Hyperlink"/>
          </w:rPr>
          <w:t>https://www.lawsoc-ni.org/immigration-practitioners-list-law-society-of-northern-ireland</w:t>
        </w:r>
      </w:hyperlink>
      <w:r w:rsidRPr="00217B43">
        <w:t>.</w:t>
      </w:r>
    </w:p>
  </w:footnote>
  <w:footnote w:id="65">
    <w:p w14:paraId="4427F2DD" w14:textId="77777777" w:rsidR="00357C2C" w:rsidRPr="00217B43" w:rsidRDefault="00357C2C" w:rsidP="00357C2C">
      <w:pPr>
        <w:pStyle w:val="NIHRCFootnotes"/>
        <w:spacing w:line="240" w:lineRule="auto"/>
      </w:pPr>
      <w:r w:rsidRPr="00217B43">
        <w:rPr>
          <w:rStyle w:val="FootnoteReference"/>
        </w:rPr>
        <w:footnoteRef/>
      </w:r>
      <w:r w:rsidRPr="00217B43">
        <w:t xml:space="preserve"> Meeting between NI Human Rights Commission and the Law Centre NI, 27 November 2023; Law Centre NI, ‘Refugee and Asylum Forum Priorities for Action 2023’ (LCNI, 2023), at 28; Migrant Centre NI, ‘Submission to the UK Parliament NI Affairs Committee’s Call for Evidence on “The Experience of Minority Ethnic and Migrant People in Northern Ireland”’ (UK Parliament, 2021). </w:t>
      </w:r>
    </w:p>
  </w:footnote>
  <w:footnote w:id="66">
    <w:p w14:paraId="4B9CF202" w14:textId="77777777" w:rsidR="00357C2C" w:rsidRPr="00217B43" w:rsidRDefault="00357C2C" w:rsidP="00357C2C">
      <w:pPr>
        <w:pStyle w:val="NIHRCFootnotes"/>
        <w:spacing w:line="240" w:lineRule="auto"/>
      </w:pPr>
      <w:r w:rsidRPr="00217B43">
        <w:rPr>
          <w:rStyle w:val="FootnoteReference"/>
        </w:rPr>
        <w:footnoteRef/>
      </w:r>
      <w:r w:rsidRPr="00217B43">
        <w:t xml:space="preserve"> Law Society of NI, ‘Immigration Practitioners’ List – Law Society of NI’. Available at: </w:t>
      </w:r>
      <w:hyperlink r:id="rId3" w:history="1">
        <w:r w:rsidRPr="00217B43">
          <w:rPr>
            <w:rStyle w:val="Hyperlink"/>
          </w:rPr>
          <w:t>https://www.lawsoc-ni.org/immigration-practitioners-list-law-society-of-northern-ireland</w:t>
        </w:r>
      </w:hyperlink>
      <w:r w:rsidRPr="00217B43">
        <w:t>; Meeting between NI Human Rights Commission and the Law Centre NI, 27 November 2023; Law Centre NI, ‘Refugee and Asylum Forum Priorities for Action 2023’ (LCNI, 2023), at 28; Migrant Centre NI, ‘Submission to the UK Parliament NI Affairs Committee’s Call for Evidence on “The Experience of Minority Ethnic and Migrant People in Northern Ireland”’ (UK Parliament, 2021).</w:t>
      </w:r>
    </w:p>
  </w:footnote>
  <w:footnote w:id="67">
    <w:p w14:paraId="5EFD1BE1" w14:textId="77777777" w:rsidR="00357C2C" w:rsidRPr="00217B43" w:rsidRDefault="00357C2C" w:rsidP="00357C2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CM(2021)36-add2final, ‘</w:t>
      </w:r>
      <w:r w:rsidRPr="00217B43">
        <w:rPr>
          <w:rFonts w:cs="Open Sans"/>
          <w:color w:val="77328A"/>
          <w:sz w:val="16"/>
          <w:szCs w:val="16"/>
          <w:shd w:val="clear" w:color="auto" w:fill="FFFFFF"/>
        </w:rPr>
        <w:t>G</w:t>
      </w:r>
      <w:r w:rsidRPr="00217B43">
        <w:rPr>
          <w:color w:val="77328A"/>
          <w:sz w:val="16"/>
          <w:szCs w:val="16"/>
          <w:shd w:val="clear" w:color="auto" w:fill="FFFFFF"/>
        </w:rPr>
        <w:t>uidelines of the Committee of Ministers of the Council of Europe on the efficiency and the effectiveness of legal aid schemes in the areas of civil and administrative</w:t>
      </w:r>
      <w:r w:rsidRPr="00217B43">
        <w:rPr>
          <w:rFonts w:cs="Open Sans"/>
          <w:color w:val="77328A"/>
          <w:sz w:val="16"/>
          <w:szCs w:val="16"/>
          <w:shd w:val="clear" w:color="auto" w:fill="FFFFFF"/>
        </w:rPr>
        <w:t> </w:t>
      </w:r>
      <w:r w:rsidRPr="00217B43">
        <w:rPr>
          <w:color w:val="77328A"/>
          <w:sz w:val="16"/>
          <w:szCs w:val="16"/>
          <w:shd w:val="clear" w:color="auto" w:fill="FFFFFF"/>
        </w:rPr>
        <w:t>law’, 31 March 2021, at para 22.</w:t>
      </w:r>
    </w:p>
  </w:footnote>
  <w:footnote w:id="68">
    <w:p w14:paraId="2F2368D2" w14:textId="77777777" w:rsidR="00357C2C" w:rsidRPr="00217B43" w:rsidRDefault="00357C2C" w:rsidP="00357C2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Julian O'Neill, ‘Legal aid: Lawyer strike disrupts NI courts’, BBC News NI, 17 November 2023.</w:t>
      </w:r>
    </w:p>
  </w:footnote>
  <w:footnote w:id="69">
    <w:p w14:paraId="4E3C3C96" w14:textId="77777777" w:rsidR="0025756C" w:rsidRPr="00217B43" w:rsidRDefault="0025756C" w:rsidP="0025756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w:t>
      </w:r>
      <w:r w:rsidRPr="00AE1B86">
        <w:rPr>
          <w:i/>
          <w:iCs/>
          <w:color w:val="77328A"/>
          <w:sz w:val="16"/>
          <w:szCs w:val="16"/>
        </w:rPr>
        <w:t>Bellet v. France</w:t>
      </w:r>
      <w:r>
        <w:rPr>
          <w:color w:val="77328A"/>
          <w:sz w:val="16"/>
          <w:szCs w:val="16"/>
        </w:rPr>
        <w:t xml:space="preserve"> [1995] ECHR 53, at para 38.</w:t>
      </w:r>
    </w:p>
  </w:footnote>
  <w:footnote w:id="70">
    <w:p w14:paraId="77ED348F" w14:textId="77777777" w:rsidR="0025756C" w:rsidRPr="00217B43" w:rsidRDefault="0025756C" w:rsidP="0025756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w:t>
      </w:r>
      <w:r w:rsidRPr="00952C91">
        <w:rPr>
          <w:color w:val="77328A"/>
          <w:sz w:val="16"/>
          <w:szCs w:val="16"/>
        </w:rPr>
        <w:t>European Court of Human Rights, ‘Guide on Article 6 of the European Convention on Human Rights: Right to a fair trial (civil limb)’ (ECtHR, 2013).</w:t>
      </w:r>
    </w:p>
  </w:footnote>
  <w:footnote w:id="71">
    <w:p w14:paraId="62064BA2" w14:textId="77777777" w:rsidR="0025756C" w:rsidRPr="00217B43" w:rsidRDefault="0025756C" w:rsidP="0025756C">
      <w:pPr>
        <w:rPr>
          <w:color w:val="77328A"/>
          <w:sz w:val="16"/>
          <w:szCs w:val="16"/>
        </w:rPr>
      </w:pPr>
      <w:r w:rsidRPr="00217B43">
        <w:rPr>
          <w:color w:val="77328A"/>
          <w:sz w:val="16"/>
          <w:szCs w:val="16"/>
          <w:vertAlign w:val="superscript"/>
        </w:rPr>
        <w:footnoteRef/>
      </w:r>
      <w:r w:rsidRPr="00217B43">
        <w:rPr>
          <w:color w:val="77328A"/>
          <w:sz w:val="16"/>
          <w:szCs w:val="16"/>
        </w:rPr>
        <w:t xml:space="preserve"> CRC/C/GBR/CO/6-7, ‘UN CRPD Committee Concluding observations on the combined sixth and seventh reports of the United Kingdom of Great Britain and Northern Ireland’, 2 June 2023, at para 17.</w:t>
      </w:r>
      <w:r w:rsidRPr="00217B43">
        <w:rPr>
          <w:b/>
          <w:bCs/>
          <w:color w:val="77328A"/>
          <w:sz w:val="16"/>
          <w:szCs w:val="16"/>
        </w:rPr>
        <w:t xml:space="preserve"> </w:t>
      </w:r>
    </w:p>
  </w:footnote>
  <w:footnote w:id="72">
    <w:p w14:paraId="26905F18" w14:textId="77777777" w:rsidR="0025756C" w:rsidRPr="00217B43" w:rsidRDefault="0025756C" w:rsidP="0025756C">
      <w:pPr>
        <w:pStyle w:val="Footnote"/>
      </w:pPr>
      <w:r w:rsidRPr="00217B43">
        <w:rPr>
          <w:rStyle w:val="FootnoteReference"/>
        </w:rPr>
        <w:footnoteRef/>
      </w:r>
      <w:r w:rsidRPr="00217B43">
        <w:t xml:space="preserve"> CRPD/C/GBR/CO/1, 'UN CRPD Committee Concluding Observations on the Initial Report of the UK of Great Britain and NI', 3 October 2017, at para 33.</w:t>
      </w:r>
    </w:p>
  </w:footnote>
  <w:footnote w:id="73">
    <w:p w14:paraId="0B9CDC03" w14:textId="77777777" w:rsidR="0025756C" w:rsidRPr="00217B43" w:rsidRDefault="0025756C" w:rsidP="0025756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CEDAW/C/GBR/CO/8, ‘UN CEDAW Committee Concluding Observations on the Eighth Periodic Report of the UK of Great Britain and NI’, 14 March 2019, at para 24.</w:t>
      </w:r>
    </w:p>
  </w:footnote>
  <w:footnote w:id="74">
    <w:p w14:paraId="1BB10CB9" w14:textId="77777777" w:rsidR="0025756C" w:rsidRPr="00217B43" w:rsidRDefault="0025756C" w:rsidP="0025756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CEDAW/C/GBR/CO/8, ‘UN CEDAW Committee Concluding Observations on the Eighth Periodic Report of the UK of Great Britain and NI’, 14 March 2019, at para 24.</w:t>
      </w:r>
    </w:p>
  </w:footnote>
  <w:footnote w:id="75">
    <w:p w14:paraId="7241E06F" w14:textId="77777777" w:rsidR="0025756C" w:rsidRPr="00217B43" w:rsidRDefault="0025756C" w:rsidP="0025756C">
      <w:pPr>
        <w:pStyle w:val="NIHRCFootnotes"/>
        <w:spacing w:line="240" w:lineRule="auto"/>
      </w:pPr>
      <w:r w:rsidRPr="00217B43">
        <w:rPr>
          <w:rStyle w:val="FootnoteReference"/>
        </w:rPr>
        <w:footnoteRef/>
      </w:r>
      <w:r w:rsidRPr="00217B43">
        <w:t xml:space="preserve"> Gráinne McKeever, Lucy Royal-Dawson, Eleanor Kirk and John McCord, ‘Litigants in Person in NI: Barriers to Legal Participation’ (UU, NIHRC and Nuffield Foundation, 2018). </w:t>
      </w:r>
    </w:p>
  </w:footnote>
  <w:footnote w:id="76">
    <w:p w14:paraId="644BEA3F" w14:textId="77777777" w:rsidR="0025756C" w:rsidRPr="00217B43" w:rsidRDefault="0025756C" w:rsidP="0025756C">
      <w:pPr>
        <w:pStyle w:val="NIHRCFootnotes"/>
        <w:spacing w:line="240" w:lineRule="auto"/>
      </w:pPr>
      <w:r w:rsidRPr="00217B43">
        <w:rPr>
          <w:rStyle w:val="FootnoteReference"/>
        </w:rPr>
        <w:footnoteRef/>
      </w:r>
      <w:r w:rsidRPr="00217B43">
        <w:t xml:space="preserve"> Bronagh Byrne, Brent Elder, Michael Schwartz, ‘Enhancing Deaf People’s Access to Justice in Northern Ireland: Implementing Article 13 of the UN Convention on the Rights of Persons with Disabilities’ (SJDR, 2021); Department for Communities, ‘Disability Strategy Expert Advisory Panel: Report and Recommendations’ (DfC, 2020), at para 5.6; CRPD/C/GBR/CO/1, 'UN CRPD Committee Concluding Observations on the Initial Report of the UK of Great Britain and NI', 3 October 2017, at para 33.</w:t>
      </w:r>
    </w:p>
  </w:footnote>
  <w:footnote w:id="77">
    <w:p w14:paraId="4F6670B1" w14:textId="77777777" w:rsidR="0025756C" w:rsidRPr="00217B43" w:rsidRDefault="0025756C" w:rsidP="0025756C">
      <w:pPr>
        <w:pStyle w:val="NIHRCFootnotes"/>
        <w:spacing w:line="240" w:lineRule="auto"/>
      </w:pPr>
      <w:r w:rsidRPr="00217B43">
        <w:rPr>
          <w:rStyle w:val="FootnoteReference"/>
        </w:rPr>
        <w:footnoteRef/>
      </w:r>
      <w:r w:rsidRPr="00217B43">
        <w:t xml:space="preserve"> Criminal Justice Inspection NI, ‘An Inspection of the Criminal Justice System's Approach to Vulnerable Older People in NI’ (CJINI, 2023).</w:t>
      </w:r>
    </w:p>
  </w:footnote>
  <w:footnote w:id="78">
    <w:p w14:paraId="6108569F" w14:textId="5D76EF10" w:rsidR="006C74A8" w:rsidRPr="006C74A8" w:rsidRDefault="006C74A8">
      <w:pPr>
        <w:pStyle w:val="FootnoteText"/>
        <w:rPr>
          <w:sz w:val="16"/>
          <w:szCs w:val="16"/>
        </w:rPr>
      </w:pPr>
      <w:r w:rsidRPr="006C74A8">
        <w:rPr>
          <w:rStyle w:val="FootnoteReference"/>
          <w:color w:val="77328A"/>
          <w:sz w:val="16"/>
          <w:szCs w:val="16"/>
        </w:rPr>
        <w:footnoteRef/>
      </w:r>
      <w:r w:rsidRPr="006C74A8">
        <w:rPr>
          <w:color w:val="77328A"/>
          <w:sz w:val="16"/>
          <w:szCs w:val="16"/>
        </w:rPr>
        <w:t xml:space="preserve"> CM(2021)36-add2final, ‘</w:t>
      </w:r>
      <w:r w:rsidRPr="006C74A8">
        <w:rPr>
          <w:rFonts w:cs="Open Sans"/>
          <w:color w:val="77328A"/>
          <w:sz w:val="16"/>
          <w:szCs w:val="16"/>
          <w:shd w:val="clear" w:color="auto" w:fill="FFFFFF"/>
        </w:rPr>
        <w:t>G</w:t>
      </w:r>
      <w:r w:rsidRPr="006C74A8">
        <w:rPr>
          <w:color w:val="77328A"/>
          <w:sz w:val="16"/>
          <w:szCs w:val="16"/>
          <w:shd w:val="clear" w:color="auto" w:fill="FFFFFF"/>
        </w:rPr>
        <w:t>uidelines of the Committee of Ministers of the Council of Europe on the efficiency and the effectiveness of legal aid schemes in the areas of civil and administrative</w:t>
      </w:r>
      <w:r w:rsidRPr="006C74A8">
        <w:rPr>
          <w:rFonts w:cs="Open Sans"/>
          <w:color w:val="77328A"/>
          <w:sz w:val="16"/>
          <w:szCs w:val="16"/>
          <w:shd w:val="clear" w:color="auto" w:fill="FFFFFF"/>
        </w:rPr>
        <w:t> </w:t>
      </w:r>
      <w:r w:rsidRPr="006C74A8">
        <w:rPr>
          <w:color w:val="77328A"/>
          <w:sz w:val="16"/>
          <w:szCs w:val="16"/>
          <w:shd w:val="clear" w:color="auto" w:fill="FFFFFF"/>
        </w:rPr>
        <w:t>law’, 31 March 2021, at para 20.</w:t>
      </w:r>
      <w:r w:rsidRPr="006C74A8">
        <w:rPr>
          <w:color w:val="77328A"/>
          <w:sz w:val="16"/>
          <w:szCs w:val="16"/>
        </w:rPr>
        <w:t xml:space="preserve"> </w:t>
      </w:r>
    </w:p>
  </w:footnote>
  <w:footnote w:id="79">
    <w:p w14:paraId="27FE0F2B" w14:textId="77777777" w:rsidR="0025756C" w:rsidRPr="00217B43" w:rsidRDefault="0025756C" w:rsidP="0025756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Department of Justice, ‘Foundational Review of Civil Legal Services Call for Evidence for Civil Society’ (DoJ, 2024), at 25. </w:t>
      </w:r>
    </w:p>
  </w:footnote>
  <w:footnote w:id="80">
    <w:p w14:paraId="5898A86E" w14:textId="77777777" w:rsidR="0025756C" w:rsidRPr="00217B43" w:rsidRDefault="0025756C" w:rsidP="0025756C">
      <w:pPr>
        <w:pStyle w:val="FootnoteText"/>
        <w:rPr>
          <w:color w:val="77328A"/>
          <w:sz w:val="16"/>
          <w:szCs w:val="16"/>
        </w:rPr>
      </w:pPr>
      <w:r w:rsidRPr="00217B43">
        <w:rPr>
          <w:rStyle w:val="FootnoteReference"/>
          <w:color w:val="77328A"/>
          <w:sz w:val="16"/>
          <w:szCs w:val="16"/>
        </w:rPr>
        <w:footnoteRef/>
      </w:r>
      <w:r w:rsidRPr="00217B43">
        <w:rPr>
          <w:color w:val="77328A"/>
          <w:sz w:val="16"/>
          <w:szCs w:val="16"/>
        </w:rPr>
        <w:t xml:space="preserve"> A/RES/67/187, ‘UN General Assembly Resolution 67/187, United Nations Principles and Guidelines on Access to Legal Aid in Criminal Justice Systems’, 28 March 2013, at para 74. </w:t>
      </w:r>
    </w:p>
  </w:footnote>
  <w:footnote w:id="81">
    <w:p w14:paraId="73826C8F" w14:textId="77777777" w:rsidR="0025756C" w:rsidRDefault="0025756C" w:rsidP="0025756C">
      <w:pPr>
        <w:pStyle w:val="FootnoteText"/>
      </w:pPr>
      <w:r w:rsidRPr="00217B43">
        <w:rPr>
          <w:rStyle w:val="FootnoteReference"/>
          <w:color w:val="77328A"/>
          <w:sz w:val="16"/>
          <w:szCs w:val="16"/>
        </w:rPr>
        <w:footnoteRef/>
      </w:r>
      <w:r w:rsidRPr="00217B43">
        <w:rPr>
          <w:color w:val="77328A"/>
          <w:sz w:val="16"/>
          <w:szCs w:val="16"/>
        </w:rPr>
        <w:t xml:space="preserve"> CM(2021)36-add2final, ‘</w:t>
      </w:r>
      <w:r w:rsidRPr="00217B43">
        <w:rPr>
          <w:rFonts w:cs="Open Sans"/>
          <w:color w:val="77328A"/>
          <w:sz w:val="16"/>
          <w:szCs w:val="16"/>
          <w:shd w:val="clear" w:color="auto" w:fill="FFFFFF"/>
        </w:rPr>
        <w:t>G</w:t>
      </w:r>
      <w:r w:rsidRPr="00217B43">
        <w:rPr>
          <w:color w:val="77328A"/>
          <w:sz w:val="16"/>
          <w:szCs w:val="16"/>
          <w:shd w:val="clear" w:color="auto" w:fill="FFFFFF"/>
        </w:rPr>
        <w:t>uidelines of the Committee of Ministers of the Council of Europe on the efficiency and the effectiveness of legal aid schemes in the areas of civil and administrative</w:t>
      </w:r>
      <w:r w:rsidRPr="00217B43">
        <w:rPr>
          <w:rFonts w:cs="Open Sans"/>
          <w:color w:val="77328A"/>
          <w:sz w:val="16"/>
          <w:szCs w:val="16"/>
          <w:shd w:val="clear" w:color="auto" w:fill="FFFFFF"/>
        </w:rPr>
        <w:t> </w:t>
      </w:r>
      <w:r w:rsidRPr="00217B43">
        <w:rPr>
          <w:color w:val="77328A"/>
          <w:sz w:val="16"/>
          <w:szCs w:val="16"/>
          <w:shd w:val="clear" w:color="auto" w:fill="FFFFFF"/>
        </w:rPr>
        <w:t>law’, 31 March 2021, at para 26</w:t>
      </w:r>
      <w:r>
        <w:rPr>
          <w:color w:val="77328A"/>
          <w:sz w:val="16"/>
          <w:szCs w:val="16"/>
          <w:shd w:val="clear" w:color="auto" w:fill="FFFFFF"/>
        </w:rPr>
        <w:t>.</w:t>
      </w:r>
    </w:p>
  </w:footnote>
  <w:footnote w:id="82">
    <w:p w14:paraId="6D8B99AA" w14:textId="77777777" w:rsidR="0025756C" w:rsidRPr="001A22B3" w:rsidRDefault="0025756C" w:rsidP="0025756C">
      <w:pPr>
        <w:pStyle w:val="FootnoteText"/>
        <w:rPr>
          <w:color w:val="77328A"/>
          <w:sz w:val="16"/>
          <w:szCs w:val="16"/>
        </w:rPr>
      </w:pPr>
      <w:r w:rsidRPr="001A22B3">
        <w:rPr>
          <w:rStyle w:val="FootnoteReference"/>
          <w:color w:val="77328A"/>
          <w:sz w:val="16"/>
          <w:szCs w:val="16"/>
        </w:rPr>
        <w:footnoteRef/>
      </w:r>
      <w:r w:rsidRPr="001A22B3">
        <w:rPr>
          <w:color w:val="77328A"/>
          <w:sz w:val="16"/>
          <w:szCs w:val="16"/>
        </w:rPr>
        <w:t xml:space="preserve"> CEDAW/C/GBR/CO/8, ‘UN CEDAW Committee Concluding Observations on the Eighth Periodic Report of the UK of Great Britain and NI’, 14 March 2019, at para 24.</w:t>
      </w:r>
    </w:p>
  </w:footnote>
  <w:footnote w:id="83">
    <w:p w14:paraId="1F93085E" w14:textId="77777777" w:rsidR="0025756C" w:rsidRPr="001A22B3" w:rsidRDefault="0025756C" w:rsidP="0025756C">
      <w:pPr>
        <w:pStyle w:val="FootnoteText"/>
        <w:rPr>
          <w:color w:val="77328A"/>
          <w:sz w:val="16"/>
          <w:szCs w:val="16"/>
        </w:rPr>
      </w:pPr>
      <w:r w:rsidRPr="001A22B3">
        <w:rPr>
          <w:rStyle w:val="FootnoteReference"/>
          <w:color w:val="77328A"/>
          <w:sz w:val="16"/>
          <w:szCs w:val="16"/>
        </w:rPr>
        <w:footnoteRef/>
      </w:r>
      <w:r w:rsidRPr="001A22B3">
        <w:rPr>
          <w:color w:val="77328A"/>
          <w:sz w:val="16"/>
          <w:szCs w:val="16"/>
        </w:rPr>
        <w:t xml:space="preserve"> Department of Justice, ‘Foundational Review of Civil Legal Services Call for Evidence for Legal Practitioners (Judiciary, Solicitors (in private and public practice), Barristers)’ (DoJ, 2024), at 14.</w:t>
      </w:r>
    </w:p>
  </w:footnote>
  <w:footnote w:id="84">
    <w:p w14:paraId="101A9850" w14:textId="77777777" w:rsidR="00586FB6" w:rsidRPr="00156027" w:rsidRDefault="00586FB6" w:rsidP="00586FB6">
      <w:pPr>
        <w:rPr>
          <w:sz w:val="16"/>
          <w:szCs w:val="16"/>
        </w:rPr>
      </w:pPr>
      <w:r w:rsidRPr="00156027">
        <w:rPr>
          <w:color w:val="77328A"/>
          <w:sz w:val="16"/>
          <w:szCs w:val="16"/>
          <w:vertAlign w:val="superscript"/>
        </w:rPr>
        <w:footnoteRef/>
      </w:r>
      <w:r w:rsidRPr="00156027">
        <w:rPr>
          <w:color w:val="77328A"/>
          <w:sz w:val="16"/>
          <w:szCs w:val="16"/>
        </w:rPr>
        <w:t xml:space="preserve"> CRC/C/GBR/CO/6-7, ‘UN CRPD Committee Concluding observations on the combined sixth and seventh reports of the United Kingdom of Great Britain and Northern Ireland’, 2 June 2023, at para 17.</w:t>
      </w:r>
      <w:r w:rsidRPr="00156027">
        <w:rPr>
          <w:b/>
          <w:bCs/>
          <w:color w:val="77328A"/>
          <w:sz w:val="16"/>
          <w:szCs w:val="16"/>
        </w:rPr>
        <w:t xml:space="preserve"> </w:t>
      </w:r>
    </w:p>
  </w:footnote>
  <w:footnote w:id="85">
    <w:p w14:paraId="6751FE0A" w14:textId="77777777" w:rsidR="00586FB6" w:rsidRPr="0021169E" w:rsidRDefault="00586FB6" w:rsidP="00586FB6">
      <w:pPr>
        <w:pStyle w:val="FootnoteText"/>
        <w:rPr>
          <w:color w:val="77328A"/>
          <w:sz w:val="16"/>
          <w:szCs w:val="16"/>
        </w:rPr>
      </w:pPr>
      <w:r w:rsidRPr="0021169E">
        <w:rPr>
          <w:rStyle w:val="FootnoteReference"/>
          <w:color w:val="77328A"/>
          <w:sz w:val="16"/>
          <w:szCs w:val="16"/>
        </w:rPr>
        <w:footnoteRef/>
      </w:r>
      <w:r w:rsidRPr="0021169E">
        <w:rPr>
          <w:color w:val="77328A"/>
          <w:sz w:val="16"/>
          <w:szCs w:val="16"/>
        </w:rPr>
        <w:t xml:space="preserve"> CEDAW/C/GC/33, ‘UN CEDAW Committee, General Recommendation No. 33 on women’s access </w:t>
      </w:r>
    </w:p>
    <w:p w14:paraId="4F8BC2B0" w14:textId="77777777" w:rsidR="00586FB6" w:rsidRPr="00CD0B47" w:rsidRDefault="00586FB6" w:rsidP="00586FB6">
      <w:pPr>
        <w:pStyle w:val="FootnoteText"/>
        <w:rPr>
          <w:color w:val="77328A"/>
          <w:sz w:val="16"/>
          <w:szCs w:val="16"/>
        </w:rPr>
      </w:pPr>
      <w:r w:rsidRPr="0021169E">
        <w:rPr>
          <w:color w:val="77328A"/>
          <w:sz w:val="16"/>
          <w:szCs w:val="16"/>
        </w:rPr>
        <w:t>to justice’, 3 August 2015, at para 37.</w:t>
      </w:r>
    </w:p>
  </w:footnote>
  <w:footnote w:id="86">
    <w:p w14:paraId="3FB8B9D9" w14:textId="77777777" w:rsidR="00586FB6" w:rsidRDefault="00586FB6" w:rsidP="00586FB6">
      <w:pPr>
        <w:pStyle w:val="FootnoteText"/>
      </w:pPr>
      <w:r w:rsidRPr="001A22B3">
        <w:rPr>
          <w:rStyle w:val="FootnoteReference"/>
          <w:color w:val="77328A"/>
          <w:sz w:val="16"/>
          <w:szCs w:val="16"/>
        </w:rPr>
        <w:footnoteRef/>
      </w:r>
      <w:r w:rsidRPr="001A22B3">
        <w:rPr>
          <w:color w:val="77328A"/>
          <w:sz w:val="16"/>
          <w:szCs w:val="16"/>
        </w:rPr>
        <w:t xml:space="preserve"> Department of Justice, ‘Review of Civil Legal Aid – Call for Evidence’. Available at: </w:t>
      </w:r>
      <w:hyperlink r:id="rId4" w:history="1">
        <w:r w:rsidRPr="001A22B3">
          <w:rPr>
            <w:rStyle w:val="Hyperlink"/>
            <w:color w:val="77328A"/>
            <w:sz w:val="16"/>
            <w:szCs w:val="16"/>
          </w:rPr>
          <w:t>Review of Civil Legal Aid – Call for Evidence | Department of Justice (justice-ni.gov.uk)</w:t>
        </w:r>
      </w:hyperlink>
    </w:p>
  </w:footnote>
  <w:footnote w:id="87">
    <w:p w14:paraId="2CBE807E" w14:textId="77777777" w:rsidR="00586FB6" w:rsidRPr="00490349" w:rsidRDefault="00586FB6" w:rsidP="00586FB6">
      <w:pPr>
        <w:rPr>
          <w:color w:val="77328A"/>
          <w:sz w:val="16"/>
          <w:szCs w:val="16"/>
        </w:rPr>
      </w:pPr>
      <w:r w:rsidRPr="007C2EBB">
        <w:rPr>
          <w:rStyle w:val="FootnoteReference"/>
          <w:color w:val="77328A"/>
          <w:sz w:val="16"/>
          <w:szCs w:val="16"/>
        </w:rPr>
        <w:footnoteRef/>
      </w:r>
      <w:r w:rsidRPr="007C2EBB">
        <w:rPr>
          <w:color w:val="77328A"/>
          <w:sz w:val="16"/>
          <w:szCs w:val="16"/>
        </w:rPr>
        <w:t xml:space="preserve"> CM(2021)36-add2final, </w:t>
      </w:r>
      <w:r>
        <w:rPr>
          <w:color w:val="77328A"/>
          <w:sz w:val="16"/>
          <w:szCs w:val="16"/>
        </w:rPr>
        <w:t>‘</w:t>
      </w:r>
      <w:r w:rsidRPr="007C2EBB">
        <w:rPr>
          <w:rFonts w:cs="Open Sans"/>
          <w:color w:val="77328A"/>
          <w:sz w:val="16"/>
          <w:szCs w:val="16"/>
          <w:shd w:val="clear" w:color="auto" w:fill="FFFFFF"/>
        </w:rPr>
        <w:t>G</w:t>
      </w:r>
      <w:r w:rsidRPr="007C2EBB">
        <w:rPr>
          <w:color w:val="77328A"/>
          <w:sz w:val="16"/>
          <w:szCs w:val="16"/>
          <w:shd w:val="clear" w:color="auto" w:fill="FFFFFF"/>
        </w:rPr>
        <w:t>uidelines of the Committee of Ministers of the Council of Europe on the efficiency and the effectiveness of legal aid schemes in the areas of civil and administrative</w:t>
      </w:r>
      <w:r w:rsidRPr="007C2EBB">
        <w:rPr>
          <w:rFonts w:cs="Open Sans"/>
          <w:color w:val="77328A"/>
          <w:sz w:val="16"/>
          <w:szCs w:val="16"/>
          <w:shd w:val="clear" w:color="auto" w:fill="FFFFFF"/>
        </w:rPr>
        <w:t> </w:t>
      </w:r>
      <w:r w:rsidRPr="007C2EBB">
        <w:rPr>
          <w:color w:val="77328A"/>
          <w:sz w:val="16"/>
          <w:szCs w:val="16"/>
          <w:shd w:val="clear" w:color="auto" w:fill="FFFFFF"/>
        </w:rPr>
        <w:t>law</w:t>
      </w:r>
      <w:r>
        <w:rPr>
          <w:color w:val="77328A"/>
          <w:sz w:val="16"/>
          <w:szCs w:val="16"/>
          <w:shd w:val="clear" w:color="auto" w:fill="FFFFFF"/>
        </w:rPr>
        <w:t>’</w:t>
      </w:r>
      <w:r w:rsidRPr="007C2EBB">
        <w:rPr>
          <w:color w:val="77328A"/>
          <w:sz w:val="16"/>
          <w:szCs w:val="16"/>
          <w:shd w:val="clear" w:color="auto" w:fill="FFFFFF"/>
        </w:rPr>
        <w:t>, 31 March 2021</w:t>
      </w:r>
      <w:r>
        <w:rPr>
          <w:color w:val="77328A"/>
          <w:sz w:val="16"/>
          <w:szCs w:val="16"/>
          <w:shd w:val="clear" w:color="auto" w:fill="FFFFFF"/>
        </w:rPr>
        <w:t>, at para 5.</w:t>
      </w:r>
    </w:p>
  </w:footnote>
  <w:footnote w:id="88">
    <w:p w14:paraId="23542044" w14:textId="77777777" w:rsidR="00586FB6" w:rsidRPr="00A16D4B" w:rsidRDefault="00586FB6" w:rsidP="00586FB6">
      <w:pPr>
        <w:pStyle w:val="FootnoteText"/>
        <w:rPr>
          <w:color w:val="77328A"/>
          <w:sz w:val="16"/>
          <w:szCs w:val="16"/>
        </w:rPr>
      </w:pPr>
      <w:r w:rsidRPr="00A16D4B">
        <w:rPr>
          <w:rStyle w:val="FootnoteReference"/>
          <w:color w:val="77328A"/>
          <w:sz w:val="16"/>
          <w:szCs w:val="16"/>
        </w:rPr>
        <w:footnoteRef/>
      </w:r>
      <w:r w:rsidRPr="00A16D4B">
        <w:rPr>
          <w:color w:val="77328A"/>
          <w:sz w:val="16"/>
          <w:szCs w:val="16"/>
        </w:rPr>
        <w:t xml:space="preserve"> CM(2021)36-add2final, ‘</w:t>
      </w:r>
      <w:r w:rsidRPr="00A16D4B">
        <w:rPr>
          <w:rFonts w:cs="Open Sans"/>
          <w:color w:val="77328A"/>
          <w:sz w:val="16"/>
          <w:szCs w:val="16"/>
          <w:shd w:val="clear" w:color="auto" w:fill="FFFFFF"/>
        </w:rPr>
        <w:t>G</w:t>
      </w:r>
      <w:r w:rsidRPr="00A16D4B">
        <w:rPr>
          <w:color w:val="77328A"/>
          <w:sz w:val="16"/>
          <w:szCs w:val="16"/>
          <w:shd w:val="clear" w:color="auto" w:fill="FFFFFF"/>
        </w:rPr>
        <w:t>uidelines of the Committee of Ministers of the Council of Europe on the efficiency and the effectiveness of legal aid schemes in the areas of civil and administrative</w:t>
      </w:r>
      <w:r w:rsidRPr="00A16D4B">
        <w:rPr>
          <w:rFonts w:cs="Open Sans"/>
          <w:color w:val="77328A"/>
          <w:sz w:val="16"/>
          <w:szCs w:val="16"/>
          <w:shd w:val="clear" w:color="auto" w:fill="FFFFFF"/>
        </w:rPr>
        <w:t> </w:t>
      </w:r>
      <w:r w:rsidRPr="00A16D4B">
        <w:rPr>
          <w:color w:val="77328A"/>
          <w:sz w:val="16"/>
          <w:szCs w:val="16"/>
          <w:shd w:val="clear" w:color="auto" w:fill="FFFFFF"/>
        </w:rPr>
        <w:t>law’, 31 March 2021</w:t>
      </w:r>
      <w:r w:rsidRPr="00A16D4B">
        <w:rPr>
          <w:color w:val="77328A"/>
          <w:sz w:val="16"/>
          <w:szCs w:val="16"/>
        </w:rPr>
        <w:t>, at para 6.</w:t>
      </w:r>
    </w:p>
  </w:footnote>
  <w:footnote w:id="89">
    <w:p w14:paraId="035C7AAB" w14:textId="1FCBC337" w:rsidR="006F5536" w:rsidRPr="00A16D4B" w:rsidRDefault="006F5536">
      <w:pPr>
        <w:pStyle w:val="FootnoteText"/>
        <w:rPr>
          <w:color w:val="77328A"/>
          <w:sz w:val="16"/>
          <w:szCs w:val="16"/>
        </w:rPr>
      </w:pPr>
      <w:r w:rsidRPr="00A16D4B">
        <w:rPr>
          <w:rStyle w:val="FootnoteReference"/>
          <w:color w:val="77328A"/>
          <w:sz w:val="16"/>
          <w:szCs w:val="16"/>
        </w:rPr>
        <w:footnoteRef/>
      </w:r>
      <w:r w:rsidRPr="00A16D4B">
        <w:rPr>
          <w:color w:val="77328A"/>
          <w:sz w:val="16"/>
          <w:szCs w:val="16"/>
        </w:rPr>
        <w:t xml:space="preserve"> </w:t>
      </w:r>
      <w:r w:rsidR="00C31A6D" w:rsidRPr="00A16D4B">
        <w:rPr>
          <w:color w:val="77328A"/>
          <w:sz w:val="16"/>
          <w:szCs w:val="16"/>
        </w:rPr>
        <w:t>Council of Europe, ‘</w:t>
      </w:r>
      <w:r w:rsidR="00FB4E27" w:rsidRPr="00A16D4B">
        <w:rPr>
          <w:color w:val="77328A"/>
          <w:sz w:val="16"/>
          <w:szCs w:val="16"/>
        </w:rPr>
        <w:t xml:space="preserve">Explanatory Memorandum: </w:t>
      </w:r>
      <w:r w:rsidR="00FB4E27" w:rsidRPr="00A16D4B">
        <w:rPr>
          <w:rFonts w:cs="Open Sans"/>
          <w:color w:val="77328A"/>
          <w:sz w:val="16"/>
          <w:szCs w:val="16"/>
          <w:shd w:val="clear" w:color="auto" w:fill="FFFFFF"/>
        </w:rPr>
        <w:t>G</w:t>
      </w:r>
      <w:r w:rsidR="00FB4E27" w:rsidRPr="00A16D4B">
        <w:rPr>
          <w:color w:val="77328A"/>
          <w:sz w:val="16"/>
          <w:szCs w:val="16"/>
          <w:shd w:val="clear" w:color="auto" w:fill="FFFFFF"/>
        </w:rPr>
        <w:t>uidelines of the Committee of Ministers of the Council of Europe on the efficiency and the effectiveness of legal aid schemes in the areas of civil and administrative</w:t>
      </w:r>
      <w:r w:rsidR="00FB4E27" w:rsidRPr="00A16D4B">
        <w:rPr>
          <w:rFonts w:cs="Open Sans"/>
          <w:color w:val="77328A"/>
          <w:sz w:val="16"/>
          <w:szCs w:val="16"/>
          <w:shd w:val="clear" w:color="auto" w:fill="FFFFFF"/>
        </w:rPr>
        <w:t> </w:t>
      </w:r>
      <w:r w:rsidR="00FB4E27" w:rsidRPr="00A16D4B">
        <w:rPr>
          <w:color w:val="77328A"/>
          <w:sz w:val="16"/>
          <w:szCs w:val="16"/>
          <w:shd w:val="clear" w:color="auto" w:fill="FFFFFF"/>
        </w:rPr>
        <w:t>law’</w:t>
      </w:r>
      <w:r w:rsidR="00A05BCD" w:rsidRPr="00A16D4B">
        <w:rPr>
          <w:color w:val="77328A"/>
          <w:sz w:val="16"/>
          <w:szCs w:val="16"/>
          <w:shd w:val="clear" w:color="auto" w:fill="FFFFFF"/>
        </w:rPr>
        <w:t xml:space="preserve"> (</w:t>
      </w:r>
      <w:r w:rsidR="00A05BCD" w:rsidRPr="00A16D4B">
        <w:rPr>
          <w:color w:val="77328A"/>
          <w:sz w:val="16"/>
          <w:szCs w:val="16"/>
          <w:shd w:val="clear" w:color="auto" w:fill="FFFFFF"/>
        </w:rPr>
        <w:t xml:space="preserve">CoE, 2021). </w:t>
      </w:r>
    </w:p>
  </w:footnote>
  <w:footnote w:id="90">
    <w:p w14:paraId="73DFBABB" w14:textId="52BD7E37" w:rsidR="00A05BCD" w:rsidRPr="00A16D4B" w:rsidRDefault="00A05BCD">
      <w:pPr>
        <w:pStyle w:val="FootnoteText"/>
        <w:rPr>
          <w:color w:val="77328A"/>
          <w:sz w:val="16"/>
          <w:szCs w:val="16"/>
        </w:rPr>
      </w:pPr>
      <w:r w:rsidRPr="00A16D4B">
        <w:rPr>
          <w:rStyle w:val="FootnoteReference"/>
          <w:color w:val="77328A"/>
          <w:sz w:val="16"/>
          <w:szCs w:val="16"/>
        </w:rPr>
        <w:footnoteRef/>
      </w:r>
      <w:r w:rsidRPr="00A16D4B">
        <w:rPr>
          <w:color w:val="77328A"/>
          <w:sz w:val="16"/>
          <w:szCs w:val="16"/>
        </w:rPr>
        <w:t xml:space="preserve"> </w:t>
      </w:r>
      <w:r w:rsidR="00AB1F61" w:rsidRPr="00A16D4B">
        <w:rPr>
          <w:color w:val="77328A"/>
          <w:sz w:val="16"/>
          <w:szCs w:val="16"/>
        </w:rPr>
        <w:t xml:space="preserve">Council of Europe, ‘Explanatory Memorandum: </w:t>
      </w:r>
      <w:r w:rsidR="00AB1F61" w:rsidRPr="00A16D4B">
        <w:rPr>
          <w:rFonts w:cs="Open Sans"/>
          <w:color w:val="77328A"/>
          <w:sz w:val="16"/>
          <w:szCs w:val="16"/>
          <w:shd w:val="clear" w:color="auto" w:fill="FFFFFF"/>
        </w:rPr>
        <w:t>G</w:t>
      </w:r>
      <w:r w:rsidR="00AB1F61" w:rsidRPr="00A16D4B">
        <w:rPr>
          <w:color w:val="77328A"/>
          <w:sz w:val="16"/>
          <w:szCs w:val="16"/>
          <w:shd w:val="clear" w:color="auto" w:fill="FFFFFF"/>
        </w:rPr>
        <w:t>uidelines of the Committee of Ministers of the Council of Europe on the efficiency and the effectiveness of legal aid schemes in the areas of civil and administrative</w:t>
      </w:r>
      <w:r w:rsidR="00AB1F61" w:rsidRPr="00A16D4B">
        <w:rPr>
          <w:rFonts w:cs="Open Sans"/>
          <w:color w:val="77328A"/>
          <w:sz w:val="16"/>
          <w:szCs w:val="16"/>
          <w:shd w:val="clear" w:color="auto" w:fill="FFFFFF"/>
        </w:rPr>
        <w:t> </w:t>
      </w:r>
      <w:r w:rsidR="00AB1F61" w:rsidRPr="00A16D4B">
        <w:rPr>
          <w:color w:val="77328A"/>
          <w:sz w:val="16"/>
          <w:szCs w:val="16"/>
          <w:shd w:val="clear" w:color="auto" w:fill="FFFFFF"/>
        </w:rPr>
        <w:t>law’ (</w:t>
      </w:r>
      <w:r w:rsidR="00AB1F61" w:rsidRPr="00A16D4B">
        <w:rPr>
          <w:color w:val="77328A"/>
          <w:sz w:val="16"/>
          <w:szCs w:val="16"/>
          <w:shd w:val="clear" w:color="auto" w:fill="FFFFFF"/>
        </w:rPr>
        <w:t>CoE, 2021), at para 9.</w:t>
      </w:r>
    </w:p>
  </w:footnote>
  <w:footnote w:id="91">
    <w:p w14:paraId="74EECAD2" w14:textId="13061AAD" w:rsidR="00AB1F61" w:rsidRPr="00A16D4B" w:rsidRDefault="00AB1F61">
      <w:pPr>
        <w:pStyle w:val="FootnoteText"/>
        <w:rPr>
          <w:color w:val="77328A"/>
          <w:sz w:val="16"/>
          <w:szCs w:val="16"/>
        </w:rPr>
      </w:pPr>
      <w:r w:rsidRPr="00A16D4B">
        <w:rPr>
          <w:rStyle w:val="FootnoteReference"/>
          <w:color w:val="77328A"/>
          <w:sz w:val="16"/>
          <w:szCs w:val="16"/>
        </w:rPr>
        <w:footnoteRef/>
      </w:r>
      <w:r w:rsidRPr="00A16D4B">
        <w:rPr>
          <w:color w:val="77328A"/>
          <w:sz w:val="16"/>
          <w:szCs w:val="16"/>
        </w:rPr>
        <w:t xml:space="preserve"> Council of Europe, ‘Explanatory Memorandum: </w:t>
      </w:r>
      <w:r w:rsidRPr="00A16D4B">
        <w:rPr>
          <w:rFonts w:cs="Open Sans"/>
          <w:color w:val="77328A"/>
          <w:sz w:val="16"/>
          <w:szCs w:val="16"/>
          <w:shd w:val="clear" w:color="auto" w:fill="FFFFFF"/>
        </w:rPr>
        <w:t>G</w:t>
      </w:r>
      <w:r w:rsidRPr="00A16D4B">
        <w:rPr>
          <w:color w:val="77328A"/>
          <w:sz w:val="16"/>
          <w:szCs w:val="16"/>
          <w:shd w:val="clear" w:color="auto" w:fill="FFFFFF"/>
        </w:rPr>
        <w:t>uidelines of the Committee of Ministers of the Council of Europe on the efficiency and the effectiveness of legal aid schemes in the areas of civil and administrative</w:t>
      </w:r>
      <w:r w:rsidRPr="00A16D4B">
        <w:rPr>
          <w:rFonts w:cs="Open Sans"/>
          <w:color w:val="77328A"/>
          <w:sz w:val="16"/>
          <w:szCs w:val="16"/>
          <w:shd w:val="clear" w:color="auto" w:fill="FFFFFF"/>
        </w:rPr>
        <w:t> </w:t>
      </w:r>
      <w:r w:rsidRPr="00A16D4B">
        <w:rPr>
          <w:color w:val="77328A"/>
          <w:sz w:val="16"/>
          <w:szCs w:val="16"/>
          <w:shd w:val="clear" w:color="auto" w:fill="FFFFFF"/>
        </w:rPr>
        <w:t>law’ (</w:t>
      </w:r>
      <w:r w:rsidRPr="00A16D4B">
        <w:rPr>
          <w:color w:val="77328A"/>
          <w:sz w:val="16"/>
          <w:szCs w:val="16"/>
          <w:shd w:val="clear" w:color="auto" w:fill="FFFFFF"/>
        </w:rPr>
        <w:t>CoE, 2021), at para</w:t>
      </w:r>
      <w:r w:rsidR="00A16D4B" w:rsidRPr="00A16D4B">
        <w:rPr>
          <w:color w:val="77328A"/>
          <w:sz w:val="16"/>
          <w:szCs w:val="16"/>
          <w:shd w:val="clear" w:color="auto" w:fill="FFFFFF"/>
        </w:rPr>
        <w:t xml:space="preserve"> 10.</w:t>
      </w:r>
    </w:p>
  </w:footnote>
  <w:footnote w:id="92">
    <w:p w14:paraId="0E72C293" w14:textId="15DE1FB9" w:rsidR="00A16D4B" w:rsidRDefault="00A16D4B">
      <w:pPr>
        <w:pStyle w:val="FootnoteText"/>
      </w:pPr>
      <w:r w:rsidRPr="00A16D4B">
        <w:rPr>
          <w:rStyle w:val="FootnoteReference"/>
          <w:color w:val="77328A"/>
          <w:sz w:val="16"/>
          <w:szCs w:val="16"/>
        </w:rPr>
        <w:footnoteRef/>
      </w:r>
      <w:r w:rsidRPr="00A16D4B">
        <w:rPr>
          <w:color w:val="77328A"/>
          <w:sz w:val="16"/>
          <w:szCs w:val="16"/>
        </w:rPr>
        <w:t xml:space="preserve"> Council of Europe, ‘Explanatory Memorandum: </w:t>
      </w:r>
      <w:r w:rsidRPr="00A16D4B">
        <w:rPr>
          <w:rFonts w:cs="Open Sans"/>
          <w:color w:val="77328A"/>
          <w:sz w:val="16"/>
          <w:szCs w:val="16"/>
          <w:shd w:val="clear" w:color="auto" w:fill="FFFFFF"/>
        </w:rPr>
        <w:t>G</w:t>
      </w:r>
      <w:r w:rsidRPr="00A16D4B">
        <w:rPr>
          <w:color w:val="77328A"/>
          <w:sz w:val="16"/>
          <w:szCs w:val="16"/>
          <w:shd w:val="clear" w:color="auto" w:fill="FFFFFF"/>
        </w:rPr>
        <w:t>uidelines of the Committee of Ministers of the Council of Europe on the efficiency and the effectiveness of legal aid schemes in the areas of civil and administrative</w:t>
      </w:r>
      <w:r w:rsidRPr="00A16D4B">
        <w:rPr>
          <w:rFonts w:cs="Open Sans"/>
          <w:color w:val="77328A"/>
          <w:sz w:val="16"/>
          <w:szCs w:val="16"/>
          <w:shd w:val="clear" w:color="auto" w:fill="FFFFFF"/>
        </w:rPr>
        <w:t> </w:t>
      </w:r>
      <w:r w:rsidRPr="00A16D4B">
        <w:rPr>
          <w:color w:val="77328A"/>
          <w:sz w:val="16"/>
          <w:szCs w:val="16"/>
          <w:shd w:val="clear" w:color="auto" w:fill="FFFFFF"/>
        </w:rPr>
        <w:t>law’ (</w:t>
      </w:r>
      <w:r w:rsidRPr="00A16D4B">
        <w:rPr>
          <w:color w:val="77328A"/>
          <w:sz w:val="16"/>
          <w:szCs w:val="16"/>
          <w:shd w:val="clear" w:color="auto" w:fill="FFFFFF"/>
        </w:rPr>
        <w:t>CoE, 2021), at para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0F60"/>
    <w:multiLevelType w:val="hybridMultilevel"/>
    <w:tmpl w:val="00DE81E4"/>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 w15:restartNumberingAfterBreak="0">
    <w:nsid w:val="06F62CFC"/>
    <w:multiLevelType w:val="hybridMultilevel"/>
    <w:tmpl w:val="F0A4502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81A0891"/>
    <w:multiLevelType w:val="hybridMultilevel"/>
    <w:tmpl w:val="92900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F6B8A"/>
    <w:multiLevelType w:val="multilevel"/>
    <w:tmpl w:val="A7527FCA"/>
    <w:lvl w:ilvl="0">
      <w:start w:val="2"/>
      <w:numFmt w:val="decimal"/>
      <w:lvlText w:val="%1"/>
      <w:lvlJc w:val="left"/>
      <w:pPr>
        <w:ind w:left="608" w:hanging="60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D0105C9"/>
    <w:multiLevelType w:val="multilevel"/>
    <w:tmpl w:val="F7484476"/>
    <w:lvl w:ilvl="0">
      <w:start w:val="7"/>
      <w:numFmt w:val="decimal"/>
      <w:lvlText w:val="%1.0"/>
      <w:lvlJc w:val="left"/>
      <w:pPr>
        <w:ind w:left="709" w:hanging="720"/>
      </w:pPr>
      <w:rPr>
        <w:rFonts w:hint="default"/>
      </w:rPr>
    </w:lvl>
    <w:lvl w:ilvl="1">
      <w:start w:val="1"/>
      <w:numFmt w:val="decimal"/>
      <w:lvlText w:val="%1.%2"/>
      <w:lvlJc w:val="left"/>
      <w:pPr>
        <w:ind w:left="1429" w:hanging="720"/>
      </w:pPr>
      <w:rPr>
        <w:rFonts w:hint="default"/>
        <w:b w:val="0"/>
        <w:bCs/>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5" w15:restartNumberingAfterBreak="0">
    <w:nsid w:val="0EAE522E"/>
    <w:multiLevelType w:val="hybridMultilevel"/>
    <w:tmpl w:val="30604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DA6861"/>
    <w:multiLevelType w:val="hybridMultilevel"/>
    <w:tmpl w:val="52FC00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2951912"/>
    <w:multiLevelType w:val="multilevel"/>
    <w:tmpl w:val="C25AB06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12DC3212"/>
    <w:multiLevelType w:val="multilevel"/>
    <w:tmpl w:val="344EDA52"/>
    <w:lvl w:ilvl="0">
      <w:start w:val="2"/>
      <w:numFmt w:val="decimal"/>
      <w:lvlText w:val="%1"/>
      <w:lvlJc w:val="left"/>
      <w:pPr>
        <w:ind w:left="608" w:hanging="608"/>
      </w:pPr>
      <w:rPr>
        <w:rFonts w:cs="Times New Roman" w:hint="default"/>
      </w:rPr>
    </w:lvl>
    <w:lvl w:ilvl="1">
      <w:start w:val="15"/>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9" w15:restartNumberingAfterBreak="0">
    <w:nsid w:val="19F02F11"/>
    <w:multiLevelType w:val="hybridMultilevel"/>
    <w:tmpl w:val="B19647D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0" w15:restartNumberingAfterBreak="0">
    <w:nsid w:val="2CC5465E"/>
    <w:multiLevelType w:val="multilevel"/>
    <w:tmpl w:val="92067658"/>
    <w:lvl w:ilvl="0">
      <w:start w:val="2"/>
      <w:numFmt w:val="decimal"/>
      <w:lvlText w:val="%1"/>
      <w:lvlJc w:val="left"/>
      <w:pPr>
        <w:ind w:left="435" w:hanging="43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0A30E9F"/>
    <w:multiLevelType w:val="multilevel"/>
    <w:tmpl w:val="2BA48D3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316418AD"/>
    <w:multiLevelType w:val="hybridMultilevel"/>
    <w:tmpl w:val="8F4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74452"/>
    <w:multiLevelType w:val="hybridMultilevel"/>
    <w:tmpl w:val="721E74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4E78EB"/>
    <w:multiLevelType w:val="multilevel"/>
    <w:tmpl w:val="64C43A0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445D65C1"/>
    <w:multiLevelType w:val="multilevel"/>
    <w:tmpl w:val="C25AB06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4A044FE6"/>
    <w:multiLevelType w:val="multilevel"/>
    <w:tmpl w:val="BC767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40028C"/>
    <w:multiLevelType w:val="hybridMultilevel"/>
    <w:tmpl w:val="3E4677A0"/>
    <w:lvl w:ilvl="0" w:tplc="4AA028A2">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55682F1C"/>
    <w:multiLevelType w:val="multilevel"/>
    <w:tmpl w:val="4378A3B8"/>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5B440AAF"/>
    <w:multiLevelType w:val="hybridMultilevel"/>
    <w:tmpl w:val="3968AC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EA40470"/>
    <w:multiLevelType w:val="multilevel"/>
    <w:tmpl w:val="EFCE57DE"/>
    <w:lvl w:ilvl="0">
      <w:start w:val="3"/>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38B0E35"/>
    <w:multiLevelType w:val="hybridMultilevel"/>
    <w:tmpl w:val="5DBE9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D4103C"/>
    <w:multiLevelType w:val="hybridMultilevel"/>
    <w:tmpl w:val="06BE17B2"/>
    <w:lvl w:ilvl="0" w:tplc="C040119C">
      <w:start w:val="1"/>
      <w:numFmt w:val="decimal"/>
      <w:pStyle w:val="Heading1"/>
      <w:lvlText w:val="%1.0"/>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6DDE3DAE"/>
    <w:multiLevelType w:val="multilevel"/>
    <w:tmpl w:val="0ED2D554"/>
    <w:lvl w:ilvl="0">
      <w:start w:val="2"/>
      <w:numFmt w:val="decimal"/>
      <w:lvlText w:val="%1"/>
      <w:lvlJc w:val="left"/>
      <w:pPr>
        <w:ind w:left="608" w:hanging="608"/>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716D41E3"/>
    <w:multiLevelType w:val="hybridMultilevel"/>
    <w:tmpl w:val="E5626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C5571"/>
    <w:multiLevelType w:val="multilevel"/>
    <w:tmpl w:val="399EC558"/>
    <w:lvl w:ilvl="0">
      <w:start w:val="3"/>
      <w:numFmt w:val="decimal"/>
      <w:lvlText w:val="%1"/>
      <w:lvlJc w:val="left"/>
      <w:pPr>
        <w:ind w:left="390" w:hanging="390"/>
      </w:pPr>
      <w:rPr>
        <w:rFonts w:cstheme="minorBidi" w:hint="default"/>
        <w:color w:val="auto"/>
      </w:rPr>
    </w:lvl>
    <w:lvl w:ilvl="1">
      <w:start w:val="1"/>
      <w:numFmt w:val="decimal"/>
      <w:lvlText w:val="%1.%2"/>
      <w:lvlJc w:val="left"/>
      <w:pPr>
        <w:ind w:left="1440" w:hanging="720"/>
      </w:pPr>
      <w:rPr>
        <w:rFonts w:cstheme="minorBidi" w:hint="default"/>
        <w:color w:val="auto"/>
      </w:rPr>
    </w:lvl>
    <w:lvl w:ilvl="2">
      <w:start w:val="1"/>
      <w:numFmt w:val="decimal"/>
      <w:lvlText w:val="%1.%2.%3"/>
      <w:lvlJc w:val="left"/>
      <w:pPr>
        <w:ind w:left="2520" w:hanging="1080"/>
      </w:pPr>
      <w:rPr>
        <w:rFonts w:cstheme="minorBidi" w:hint="default"/>
        <w:color w:val="auto"/>
      </w:rPr>
    </w:lvl>
    <w:lvl w:ilvl="3">
      <w:start w:val="1"/>
      <w:numFmt w:val="decimal"/>
      <w:lvlText w:val="%1.%2.%3.%4"/>
      <w:lvlJc w:val="left"/>
      <w:pPr>
        <w:ind w:left="3240" w:hanging="1080"/>
      </w:pPr>
      <w:rPr>
        <w:rFonts w:cstheme="minorBidi" w:hint="default"/>
        <w:color w:val="auto"/>
      </w:rPr>
    </w:lvl>
    <w:lvl w:ilvl="4">
      <w:start w:val="1"/>
      <w:numFmt w:val="decimal"/>
      <w:lvlText w:val="%1.%2.%3.%4.%5"/>
      <w:lvlJc w:val="left"/>
      <w:pPr>
        <w:ind w:left="4320" w:hanging="1440"/>
      </w:pPr>
      <w:rPr>
        <w:rFonts w:cstheme="minorBidi" w:hint="default"/>
        <w:color w:val="auto"/>
      </w:rPr>
    </w:lvl>
    <w:lvl w:ilvl="5">
      <w:start w:val="1"/>
      <w:numFmt w:val="decimal"/>
      <w:lvlText w:val="%1.%2.%3.%4.%5.%6"/>
      <w:lvlJc w:val="left"/>
      <w:pPr>
        <w:ind w:left="5400" w:hanging="1800"/>
      </w:pPr>
      <w:rPr>
        <w:rFonts w:cstheme="minorBidi" w:hint="default"/>
        <w:color w:val="auto"/>
      </w:rPr>
    </w:lvl>
    <w:lvl w:ilvl="6">
      <w:start w:val="1"/>
      <w:numFmt w:val="decimal"/>
      <w:lvlText w:val="%1.%2.%3.%4.%5.%6.%7"/>
      <w:lvlJc w:val="left"/>
      <w:pPr>
        <w:ind w:left="6480" w:hanging="2160"/>
      </w:pPr>
      <w:rPr>
        <w:rFonts w:cstheme="minorBidi" w:hint="default"/>
        <w:color w:val="auto"/>
      </w:rPr>
    </w:lvl>
    <w:lvl w:ilvl="7">
      <w:start w:val="1"/>
      <w:numFmt w:val="decimal"/>
      <w:lvlText w:val="%1.%2.%3.%4.%5.%6.%7.%8"/>
      <w:lvlJc w:val="left"/>
      <w:pPr>
        <w:ind w:left="7560" w:hanging="2520"/>
      </w:pPr>
      <w:rPr>
        <w:rFonts w:cstheme="minorBidi" w:hint="default"/>
        <w:color w:val="auto"/>
      </w:rPr>
    </w:lvl>
    <w:lvl w:ilvl="8">
      <w:start w:val="1"/>
      <w:numFmt w:val="decimal"/>
      <w:lvlText w:val="%1.%2.%3.%4.%5.%6.%7.%8.%9"/>
      <w:lvlJc w:val="left"/>
      <w:pPr>
        <w:ind w:left="8280" w:hanging="2520"/>
      </w:pPr>
      <w:rPr>
        <w:rFonts w:cstheme="minorBidi" w:hint="default"/>
        <w:color w:val="auto"/>
      </w:rPr>
    </w:lvl>
  </w:abstractNum>
  <w:abstractNum w:abstractNumId="26" w15:restartNumberingAfterBreak="0">
    <w:nsid w:val="74B34AE4"/>
    <w:multiLevelType w:val="multilevel"/>
    <w:tmpl w:val="820441B4"/>
    <w:lvl w:ilvl="0">
      <w:start w:val="5"/>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27"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F650B52"/>
    <w:multiLevelType w:val="hybridMultilevel"/>
    <w:tmpl w:val="0C6A9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0188275">
    <w:abstractNumId w:val="22"/>
  </w:num>
  <w:num w:numId="2" w16cid:durableId="1535538907">
    <w:abstractNumId w:val="27"/>
  </w:num>
  <w:num w:numId="3" w16cid:durableId="1528448893">
    <w:abstractNumId w:val="16"/>
  </w:num>
  <w:num w:numId="4" w16cid:durableId="353001958">
    <w:abstractNumId w:val="5"/>
  </w:num>
  <w:num w:numId="5" w16cid:durableId="779763428">
    <w:abstractNumId w:val="28"/>
  </w:num>
  <w:num w:numId="6" w16cid:durableId="978657598">
    <w:abstractNumId w:val="21"/>
  </w:num>
  <w:num w:numId="7" w16cid:durableId="1385174041">
    <w:abstractNumId w:val="14"/>
  </w:num>
  <w:num w:numId="8" w16cid:durableId="795099151">
    <w:abstractNumId w:val="13"/>
  </w:num>
  <w:num w:numId="9" w16cid:durableId="1242641900">
    <w:abstractNumId w:val="18"/>
  </w:num>
  <w:num w:numId="10" w16cid:durableId="609554421">
    <w:abstractNumId w:val="25"/>
  </w:num>
  <w:num w:numId="11" w16cid:durableId="869686272">
    <w:abstractNumId w:val="11"/>
  </w:num>
  <w:num w:numId="12" w16cid:durableId="1627588044">
    <w:abstractNumId w:val="1"/>
  </w:num>
  <w:num w:numId="13" w16cid:durableId="1871645303">
    <w:abstractNumId w:val="4"/>
  </w:num>
  <w:num w:numId="14" w16cid:durableId="225533879">
    <w:abstractNumId w:val="26"/>
  </w:num>
  <w:num w:numId="15" w16cid:durableId="1856922032">
    <w:abstractNumId w:val="19"/>
  </w:num>
  <w:num w:numId="16" w16cid:durableId="258367434">
    <w:abstractNumId w:val="7"/>
  </w:num>
  <w:num w:numId="17" w16cid:durableId="50464515">
    <w:abstractNumId w:val="17"/>
  </w:num>
  <w:num w:numId="18" w16cid:durableId="327829455">
    <w:abstractNumId w:val="6"/>
  </w:num>
  <w:num w:numId="19" w16cid:durableId="2008165001">
    <w:abstractNumId w:val="15"/>
  </w:num>
  <w:num w:numId="20" w16cid:durableId="588850778">
    <w:abstractNumId w:val="0"/>
  </w:num>
  <w:num w:numId="21" w16cid:durableId="767459250">
    <w:abstractNumId w:val="12"/>
  </w:num>
  <w:num w:numId="22" w16cid:durableId="2117479367">
    <w:abstractNumId w:val="9"/>
  </w:num>
  <w:num w:numId="23" w16cid:durableId="22681140">
    <w:abstractNumId w:val="2"/>
  </w:num>
  <w:num w:numId="24" w16cid:durableId="321740502">
    <w:abstractNumId w:val="24"/>
  </w:num>
  <w:num w:numId="25" w16cid:durableId="1300069342">
    <w:abstractNumId w:val="10"/>
  </w:num>
  <w:num w:numId="26" w16cid:durableId="325481160">
    <w:abstractNumId w:val="8"/>
  </w:num>
  <w:num w:numId="27" w16cid:durableId="1420952853">
    <w:abstractNumId w:val="23"/>
  </w:num>
  <w:num w:numId="28" w16cid:durableId="1892769436">
    <w:abstractNumId w:val="3"/>
  </w:num>
  <w:num w:numId="29" w16cid:durableId="58434071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149E"/>
    <w:rsid w:val="00001B96"/>
    <w:rsid w:val="00001CAD"/>
    <w:rsid w:val="00002AB3"/>
    <w:rsid w:val="00002BD0"/>
    <w:rsid w:val="00002E3B"/>
    <w:rsid w:val="00003730"/>
    <w:rsid w:val="0000483F"/>
    <w:rsid w:val="00005DF9"/>
    <w:rsid w:val="000074CC"/>
    <w:rsid w:val="0000799D"/>
    <w:rsid w:val="00007A86"/>
    <w:rsid w:val="00010D0A"/>
    <w:rsid w:val="00010EAD"/>
    <w:rsid w:val="000137FB"/>
    <w:rsid w:val="00014688"/>
    <w:rsid w:val="0001489D"/>
    <w:rsid w:val="00014AB3"/>
    <w:rsid w:val="00014B28"/>
    <w:rsid w:val="00015949"/>
    <w:rsid w:val="00015A88"/>
    <w:rsid w:val="00015EA6"/>
    <w:rsid w:val="000175F2"/>
    <w:rsid w:val="000178CC"/>
    <w:rsid w:val="00020D3F"/>
    <w:rsid w:val="00021499"/>
    <w:rsid w:val="00021E8E"/>
    <w:rsid w:val="00021F77"/>
    <w:rsid w:val="00023298"/>
    <w:rsid w:val="000235ED"/>
    <w:rsid w:val="00023B19"/>
    <w:rsid w:val="000240EF"/>
    <w:rsid w:val="000250B2"/>
    <w:rsid w:val="00025FAC"/>
    <w:rsid w:val="0002698B"/>
    <w:rsid w:val="000270BB"/>
    <w:rsid w:val="00027BF2"/>
    <w:rsid w:val="00030026"/>
    <w:rsid w:val="000310B7"/>
    <w:rsid w:val="000321A0"/>
    <w:rsid w:val="000329EF"/>
    <w:rsid w:val="00032B61"/>
    <w:rsid w:val="00032B65"/>
    <w:rsid w:val="00032C95"/>
    <w:rsid w:val="00032FB8"/>
    <w:rsid w:val="00033751"/>
    <w:rsid w:val="000338BB"/>
    <w:rsid w:val="00033DFD"/>
    <w:rsid w:val="000341A8"/>
    <w:rsid w:val="000349C6"/>
    <w:rsid w:val="00034AAC"/>
    <w:rsid w:val="00035488"/>
    <w:rsid w:val="000354DE"/>
    <w:rsid w:val="00035C3F"/>
    <w:rsid w:val="000360AD"/>
    <w:rsid w:val="00036269"/>
    <w:rsid w:val="00037428"/>
    <w:rsid w:val="0003763D"/>
    <w:rsid w:val="00037A5F"/>
    <w:rsid w:val="00037B77"/>
    <w:rsid w:val="00037C9D"/>
    <w:rsid w:val="00037F7D"/>
    <w:rsid w:val="0004022B"/>
    <w:rsid w:val="000405B1"/>
    <w:rsid w:val="00040633"/>
    <w:rsid w:val="00040AF0"/>
    <w:rsid w:val="00040BE8"/>
    <w:rsid w:val="00040DE1"/>
    <w:rsid w:val="00041050"/>
    <w:rsid w:val="00042A8F"/>
    <w:rsid w:val="0004329D"/>
    <w:rsid w:val="0004337A"/>
    <w:rsid w:val="00043602"/>
    <w:rsid w:val="00043B45"/>
    <w:rsid w:val="00044F0D"/>
    <w:rsid w:val="00045428"/>
    <w:rsid w:val="00045B96"/>
    <w:rsid w:val="00046558"/>
    <w:rsid w:val="00046705"/>
    <w:rsid w:val="000473C0"/>
    <w:rsid w:val="00050EA5"/>
    <w:rsid w:val="000515AE"/>
    <w:rsid w:val="00051CA9"/>
    <w:rsid w:val="00051E52"/>
    <w:rsid w:val="000520F8"/>
    <w:rsid w:val="0005242E"/>
    <w:rsid w:val="00053136"/>
    <w:rsid w:val="0005341F"/>
    <w:rsid w:val="0005379E"/>
    <w:rsid w:val="00053BB8"/>
    <w:rsid w:val="000540B6"/>
    <w:rsid w:val="000541DE"/>
    <w:rsid w:val="00054A25"/>
    <w:rsid w:val="00054A8B"/>
    <w:rsid w:val="000551CB"/>
    <w:rsid w:val="000552A5"/>
    <w:rsid w:val="00055946"/>
    <w:rsid w:val="00055993"/>
    <w:rsid w:val="00055A8E"/>
    <w:rsid w:val="00055EBA"/>
    <w:rsid w:val="00055F14"/>
    <w:rsid w:val="00055F57"/>
    <w:rsid w:val="00057A83"/>
    <w:rsid w:val="000602D4"/>
    <w:rsid w:val="00060304"/>
    <w:rsid w:val="000604F5"/>
    <w:rsid w:val="00061493"/>
    <w:rsid w:val="000619B8"/>
    <w:rsid w:val="00062006"/>
    <w:rsid w:val="0006237C"/>
    <w:rsid w:val="000645FE"/>
    <w:rsid w:val="000646D1"/>
    <w:rsid w:val="00064730"/>
    <w:rsid w:val="00064BD8"/>
    <w:rsid w:val="00065589"/>
    <w:rsid w:val="000657A4"/>
    <w:rsid w:val="00065811"/>
    <w:rsid w:val="00065894"/>
    <w:rsid w:val="00066116"/>
    <w:rsid w:val="000667EC"/>
    <w:rsid w:val="00066BDC"/>
    <w:rsid w:val="00066F38"/>
    <w:rsid w:val="000670C2"/>
    <w:rsid w:val="00070705"/>
    <w:rsid w:val="00070ED1"/>
    <w:rsid w:val="000711C4"/>
    <w:rsid w:val="000711F1"/>
    <w:rsid w:val="000713DE"/>
    <w:rsid w:val="00071935"/>
    <w:rsid w:val="00071B3C"/>
    <w:rsid w:val="00071B76"/>
    <w:rsid w:val="0007242A"/>
    <w:rsid w:val="000736A5"/>
    <w:rsid w:val="000737AE"/>
    <w:rsid w:val="00073FB7"/>
    <w:rsid w:val="00074048"/>
    <w:rsid w:val="0007444C"/>
    <w:rsid w:val="0007458A"/>
    <w:rsid w:val="0007468A"/>
    <w:rsid w:val="00074B79"/>
    <w:rsid w:val="00074F36"/>
    <w:rsid w:val="000750F7"/>
    <w:rsid w:val="000751D1"/>
    <w:rsid w:val="0007569A"/>
    <w:rsid w:val="00075D0A"/>
    <w:rsid w:val="00075FAE"/>
    <w:rsid w:val="000760EB"/>
    <w:rsid w:val="00076471"/>
    <w:rsid w:val="00076A15"/>
    <w:rsid w:val="00076A9A"/>
    <w:rsid w:val="000770C0"/>
    <w:rsid w:val="00077995"/>
    <w:rsid w:val="0008048E"/>
    <w:rsid w:val="000807C1"/>
    <w:rsid w:val="00081402"/>
    <w:rsid w:val="00081BD7"/>
    <w:rsid w:val="00081D7B"/>
    <w:rsid w:val="00082AF8"/>
    <w:rsid w:val="0008369C"/>
    <w:rsid w:val="00084259"/>
    <w:rsid w:val="0008433B"/>
    <w:rsid w:val="0008598E"/>
    <w:rsid w:val="00086336"/>
    <w:rsid w:val="00086A75"/>
    <w:rsid w:val="0008769D"/>
    <w:rsid w:val="00087E1B"/>
    <w:rsid w:val="0009007C"/>
    <w:rsid w:val="000900CF"/>
    <w:rsid w:val="00090800"/>
    <w:rsid w:val="00090B8E"/>
    <w:rsid w:val="00090C6F"/>
    <w:rsid w:val="00090FBE"/>
    <w:rsid w:val="00091160"/>
    <w:rsid w:val="00091A85"/>
    <w:rsid w:val="00091D4E"/>
    <w:rsid w:val="000921DD"/>
    <w:rsid w:val="000923F5"/>
    <w:rsid w:val="00092863"/>
    <w:rsid w:val="00093FD8"/>
    <w:rsid w:val="0009498D"/>
    <w:rsid w:val="0009501A"/>
    <w:rsid w:val="000965E8"/>
    <w:rsid w:val="000968A7"/>
    <w:rsid w:val="00097855"/>
    <w:rsid w:val="000A04A4"/>
    <w:rsid w:val="000A0AAD"/>
    <w:rsid w:val="000A0C98"/>
    <w:rsid w:val="000A0D45"/>
    <w:rsid w:val="000A0E5C"/>
    <w:rsid w:val="000A135A"/>
    <w:rsid w:val="000A16C9"/>
    <w:rsid w:val="000A181E"/>
    <w:rsid w:val="000A197E"/>
    <w:rsid w:val="000A1EC0"/>
    <w:rsid w:val="000A1F22"/>
    <w:rsid w:val="000A2536"/>
    <w:rsid w:val="000A288F"/>
    <w:rsid w:val="000A3147"/>
    <w:rsid w:val="000A33C0"/>
    <w:rsid w:val="000A3822"/>
    <w:rsid w:val="000A3BC1"/>
    <w:rsid w:val="000A48B7"/>
    <w:rsid w:val="000A49C9"/>
    <w:rsid w:val="000A52C6"/>
    <w:rsid w:val="000A543F"/>
    <w:rsid w:val="000A5810"/>
    <w:rsid w:val="000A66A3"/>
    <w:rsid w:val="000A6721"/>
    <w:rsid w:val="000A68FC"/>
    <w:rsid w:val="000A6E1F"/>
    <w:rsid w:val="000A7589"/>
    <w:rsid w:val="000A7C68"/>
    <w:rsid w:val="000A7CAC"/>
    <w:rsid w:val="000B0518"/>
    <w:rsid w:val="000B0B38"/>
    <w:rsid w:val="000B1D3A"/>
    <w:rsid w:val="000B1D85"/>
    <w:rsid w:val="000B2BA7"/>
    <w:rsid w:val="000B33B6"/>
    <w:rsid w:val="000B37B8"/>
    <w:rsid w:val="000B38EA"/>
    <w:rsid w:val="000B3BD2"/>
    <w:rsid w:val="000B494C"/>
    <w:rsid w:val="000B6263"/>
    <w:rsid w:val="000B65A7"/>
    <w:rsid w:val="000B67A8"/>
    <w:rsid w:val="000B68BE"/>
    <w:rsid w:val="000B68E8"/>
    <w:rsid w:val="000B7225"/>
    <w:rsid w:val="000B7C0D"/>
    <w:rsid w:val="000B7E0F"/>
    <w:rsid w:val="000B7EBE"/>
    <w:rsid w:val="000B7FAB"/>
    <w:rsid w:val="000C0381"/>
    <w:rsid w:val="000C0566"/>
    <w:rsid w:val="000C08A2"/>
    <w:rsid w:val="000C0FCB"/>
    <w:rsid w:val="000C1158"/>
    <w:rsid w:val="000C2EF3"/>
    <w:rsid w:val="000C3810"/>
    <w:rsid w:val="000C3F63"/>
    <w:rsid w:val="000C49CE"/>
    <w:rsid w:val="000C58E3"/>
    <w:rsid w:val="000C6276"/>
    <w:rsid w:val="000C783D"/>
    <w:rsid w:val="000C7BD6"/>
    <w:rsid w:val="000C7E5D"/>
    <w:rsid w:val="000D02F8"/>
    <w:rsid w:val="000D03A7"/>
    <w:rsid w:val="000D03FA"/>
    <w:rsid w:val="000D07AA"/>
    <w:rsid w:val="000D1465"/>
    <w:rsid w:val="000D25BD"/>
    <w:rsid w:val="000D25FA"/>
    <w:rsid w:val="000D2918"/>
    <w:rsid w:val="000D39D3"/>
    <w:rsid w:val="000D4274"/>
    <w:rsid w:val="000D4FD0"/>
    <w:rsid w:val="000D53DA"/>
    <w:rsid w:val="000D5932"/>
    <w:rsid w:val="000D5EEA"/>
    <w:rsid w:val="000D60BD"/>
    <w:rsid w:val="000D60FE"/>
    <w:rsid w:val="000D6684"/>
    <w:rsid w:val="000D78D5"/>
    <w:rsid w:val="000D7C95"/>
    <w:rsid w:val="000E0B7C"/>
    <w:rsid w:val="000E0D82"/>
    <w:rsid w:val="000E0F5C"/>
    <w:rsid w:val="000E107E"/>
    <w:rsid w:val="000E109E"/>
    <w:rsid w:val="000E1494"/>
    <w:rsid w:val="000E1F61"/>
    <w:rsid w:val="000E25DD"/>
    <w:rsid w:val="000E3350"/>
    <w:rsid w:val="000E4003"/>
    <w:rsid w:val="000E434B"/>
    <w:rsid w:val="000E43EE"/>
    <w:rsid w:val="000E5095"/>
    <w:rsid w:val="000E5D68"/>
    <w:rsid w:val="000E5E51"/>
    <w:rsid w:val="000E77C7"/>
    <w:rsid w:val="000E7AAA"/>
    <w:rsid w:val="000E7DB1"/>
    <w:rsid w:val="000E7F0C"/>
    <w:rsid w:val="000F043E"/>
    <w:rsid w:val="000F05CE"/>
    <w:rsid w:val="000F096A"/>
    <w:rsid w:val="000F0CAC"/>
    <w:rsid w:val="000F136C"/>
    <w:rsid w:val="000F16C2"/>
    <w:rsid w:val="000F2334"/>
    <w:rsid w:val="000F2BE9"/>
    <w:rsid w:val="000F2DC0"/>
    <w:rsid w:val="000F55E6"/>
    <w:rsid w:val="000F5742"/>
    <w:rsid w:val="000F5C56"/>
    <w:rsid w:val="000F5D53"/>
    <w:rsid w:val="000F64BF"/>
    <w:rsid w:val="000F6822"/>
    <w:rsid w:val="000F6E31"/>
    <w:rsid w:val="001001D0"/>
    <w:rsid w:val="00100B6D"/>
    <w:rsid w:val="0010128B"/>
    <w:rsid w:val="001014D0"/>
    <w:rsid w:val="00101A11"/>
    <w:rsid w:val="00101EB3"/>
    <w:rsid w:val="00102183"/>
    <w:rsid w:val="00102665"/>
    <w:rsid w:val="00103B7E"/>
    <w:rsid w:val="00103DF6"/>
    <w:rsid w:val="001045E7"/>
    <w:rsid w:val="00104CC0"/>
    <w:rsid w:val="00105CAB"/>
    <w:rsid w:val="00105E0D"/>
    <w:rsid w:val="0010632F"/>
    <w:rsid w:val="00106353"/>
    <w:rsid w:val="00106AB8"/>
    <w:rsid w:val="00107154"/>
    <w:rsid w:val="0010734F"/>
    <w:rsid w:val="00107545"/>
    <w:rsid w:val="00107D41"/>
    <w:rsid w:val="00107F1C"/>
    <w:rsid w:val="0011067E"/>
    <w:rsid w:val="00110877"/>
    <w:rsid w:val="00110FDA"/>
    <w:rsid w:val="00111762"/>
    <w:rsid w:val="00112069"/>
    <w:rsid w:val="001124B2"/>
    <w:rsid w:val="00112C84"/>
    <w:rsid w:val="00112CDB"/>
    <w:rsid w:val="00113495"/>
    <w:rsid w:val="001135E2"/>
    <w:rsid w:val="001135F5"/>
    <w:rsid w:val="00114266"/>
    <w:rsid w:val="00114493"/>
    <w:rsid w:val="0011561B"/>
    <w:rsid w:val="00115AD2"/>
    <w:rsid w:val="0011639E"/>
    <w:rsid w:val="00116432"/>
    <w:rsid w:val="00116492"/>
    <w:rsid w:val="0011697A"/>
    <w:rsid w:val="00116AB3"/>
    <w:rsid w:val="0011723C"/>
    <w:rsid w:val="001176A2"/>
    <w:rsid w:val="00117DF4"/>
    <w:rsid w:val="00117E29"/>
    <w:rsid w:val="0012021A"/>
    <w:rsid w:val="00120387"/>
    <w:rsid w:val="00120452"/>
    <w:rsid w:val="00120EB1"/>
    <w:rsid w:val="0012103F"/>
    <w:rsid w:val="0012117D"/>
    <w:rsid w:val="001213A8"/>
    <w:rsid w:val="001215B0"/>
    <w:rsid w:val="001235AE"/>
    <w:rsid w:val="00123929"/>
    <w:rsid w:val="00123FAE"/>
    <w:rsid w:val="00124248"/>
    <w:rsid w:val="00124531"/>
    <w:rsid w:val="001253B6"/>
    <w:rsid w:val="00126474"/>
    <w:rsid w:val="001265AA"/>
    <w:rsid w:val="001265DC"/>
    <w:rsid w:val="00126CD3"/>
    <w:rsid w:val="001274EB"/>
    <w:rsid w:val="0013047F"/>
    <w:rsid w:val="00130ABE"/>
    <w:rsid w:val="00130DA8"/>
    <w:rsid w:val="00131822"/>
    <w:rsid w:val="0013182A"/>
    <w:rsid w:val="00131948"/>
    <w:rsid w:val="00131ABF"/>
    <w:rsid w:val="00131B9C"/>
    <w:rsid w:val="001327DE"/>
    <w:rsid w:val="001329A3"/>
    <w:rsid w:val="00132E81"/>
    <w:rsid w:val="00133979"/>
    <w:rsid w:val="001341FC"/>
    <w:rsid w:val="00134308"/>
    <w:rsid w:val="00134507"/>
    <w:rsid w:val="00134C18"/>
    <w:rsid w:val="001372E5"/>
    <w:rsid w:val="0013732D"/>
    <w:rsid w:val="00140480"/>
    <w:rsid w:val="00140A0A"/>
    <w:rsid w:val="0014137A"/>
    <w:rsid w:val="001415EE"/>
    <w:rsid w:val="00141660"/>
    <w:rsid w:val="0014220A"/>
    <w:rsid w:val="001423A9"/>
    <w:rsid w:val="00142592"/>
    <w:rsid w:val="00143262"/>
    <w:rsid w:val="0014388C"/>
    <w:rsid w:val="001438EC"/>
    <w:rsid w:val="00143D7D"/>
    <w:rsid w:val="00144890"/>
    <w:rsid w:val="0014501C"/>
    <w:rsid w:val="00145FDA"/>
    <w:rsid w:val="00147ADD"/>
    <w:rsid w:val="00150A20"/>
    <w:rsid w:val="00150AE0"/>
    <w:rsid w:val="00150C43"/>
    <w:rsid w:val="00150C50"/>
    <w:rsid w:val="00151560"/>
    <w:rsid w:val="00151E3F"/>
    <w:rsid w:val="00151FA0"/>
    <w:rsid w:val="00153078"/>
    <w:rsid w:val="00153BEA"/>
    <w:rsid w:val="001546E5"/>
    <w:rsid w:val="00154BB0"/>
    <w:rsid w:val="0015524A"/>
    <w:rsid w:val="0015574A"/>
    <w:rsid w:val="00155B7D"/>
    <w:rsid w:val="00155F37"/>
    <w:rsid w:val="0015627C"/>
    <w:rsid w:val="001566E8"/>
    <w:rsid w:val="00156B6C"/>
    <w:rsid w:val="001572CA"/>
    <w:rsid w:val="001575BF"/>
    <w:rsid w:val="00157F37"/>
    <w:rsid w:val="00157F7D"/>
    <w:rsid w:val="001624F7"/>
    <w:rsid w:val="00163337"/>
    <w:rsid w:val="00164605"/>
    <w:rsid w:val="001647D2"/>
    <w:rsid w:val="00164B5B"/>
    <w:rsid w:val="00164C60"/>
    <w:rsid w:val="00164EA3"/>
    <w:rsid w:val="001673AC"/>
    <w:rsid w:val="00167666"/>
    <w:rsid w:val="00167FD4"/>
    <w:rsid w:val="00170006"/>
    <w:rsid w:val="0017044F"/>
    <w:rsid w:val="00170494"/>
    <w:rsid w:val="001706AC"/>
    <w:rsid w:val="0017077B"/>
    <w:rsid w:val="001710BD"/>
    <w:rsid w:val="00171B4B"/>
    <w:rsid w:val="00171DC8"/>
    <w:rsid w:val="00172091"/>
    <w:rsid w:val="0017261A"/>
    <w:rsid w:val="00173465"/>
    <w:rsid w:val="001741C6"/>
    <w:rsid w:val="00174884"/>
    <w:rsid w:val="00174B1F"/>
    <w:rsid w:val="00174D5E"/>
    <w:rsid w:val="00174F86"/>
    <w:rsid w:val="00174FB2"/>
    <w:rsid w:val="0017511C"/>
    <w:rsid w:val="00175317"/>
    <w:rsid w:val="00175661"/>
    <w:rsid w:val="00175FA7"/>
    <w:rsid w:val="0017653A"/>
    <w:rsid w:val="00176E58"/>
    <w:rsid w:val="001773C3"/>
    <w:rsid w:val="00177406"/>
    <w:rsid w:val="00177458"/>
    <w:rsid w:val="00177AF3"/>
    <w:rsid w:val="00180A36"/>
    <w:rsid w:val="00181711"/>
    <w:rsid w:val="00181D30"/>
    <w:rsid w:val="00181E6F"/>
    <w:rsid w:val="00182102"/>
    <w:rsid w:val="00182459"/>
    <w:rsid w:val="001825D7"/>
    <w:rsid w:val="00182855"/>
    <w:rsid w:val="00182CAD"/>
    <w:rsid w:val="001835EF"/>
    <w:rsid w:val="00183F1C"/>
    <w:rsid w:val="001844DE"/>
    <w:rsid w:val="0018487F"/>
    <w:rsid w:val="00184DCD"/>
    <w:rsid w:val="00185202"/>
    <w:rsid w:val="00185F66"/>
    <w:rsid w:val="00186EDC"/>
    <w:rsid w:val="00186F72"/>
    <w:rsid w:val="001874EB"/>
    <w:rsid w:val="00187D33"/>
    <w:rsid w:val="00190533"/>
    <w:rsid w:val="0019170B"/>
    <w:rsid w:val="00191766"/>
    <w:rsid w:val="00191806"/>
    <w:rsid w:val="00191EF6"/>
    <w:rsid w:val="0019213F"/>
    <w:rsid w:val="001924AB"/>
    <w:rsid w:val="001926A7"/>
    <w:rsid w:val="001932A9"/>
    <w:rsid w:val="00193D76"/>
    <w:rsid w:val="00194020"/>
    <w:rsid w:val="00195911"/>
    <w:rsid w:val="00196069"/>
    <w:rsid w:val="001960A4"/>
    <w:rsid w:val="00196106"/>
    <w:rsid w:val="0019614F"/>
    <w:rsid w:val="001969F6"/>
    <w:rsid w:val="00196A57"/>
    <w:rsid w:val="00196CF0"/>
    <w:rsid w:val="00197562"/>
    <w:rsid w:val="001A086B"/>
    <w:rsid w:val="001A0A0F"/>
    <w:rsid w:val="001A15A2"/>
    <w:rsid w:val="001A1961"/>
    <w:rsid w:val="001A2291"/>
    <w:rsid w:val="001A22DE"/>
    <w:rsid w:val="001A25B8"/>
    <w:rsid w:val="001A2793"/>
    <w:rsid w:val="001A2D32"/>
    <w:rsid w:val="001A31A3"/>
    <w:rsid w:val="001A3540"/>
    <w:rsid w:val="001A3A9A"/>
    <w:rsid w:val="001A3BEB"/>
    <w:rsid w:val="001A4281"/>
    <w:rsid w:val="001A5213"/>
    <w:rsid w:val="001A5EB6"/>
    <w:rsid w:val="001A60F5"/>
    <w:rsid w:val="001A64D3"/>
    <w:rsid w:val="001A7095"/>
    <w:rsid w:val="001A7191"/>
    <w:rsid w:val="001A764D"/>
    <w:rsid w:val="001B01B7"/>
    <w:rsid w:val="001B0B8A"/>
    <w:rsid w:val="001B1252"/>
    <w:rsid w:val="001B1F5A"/>
    <w:rsid w:val="001B2247"/>
    <w:rsid w:val="001B3412"/>
    <w:rsid w:val="001B3442"/>
    <w:rsid w:val="001B42E5"/>
    <w:rsid w:val="001B45F0"/>
    <w:rsid w:val="001B476D"/>
    <w:rsid w:val="001B48C0"/>
    <w:rsid w:val="001B4F5C"/>
    <w:rsid w:val="001B5362"/>
    <w:rsid w:val="001B5F3B"/>
    <w:rsid w:val="001B6C45"/>
    <w:rsid w:val="001B7098"/>
    <w:rsid w:val="001B7147"/>
    <w:rsid w:val="001B77C8"/>
    <w:rsid w:val="001B7AE6"/>
    <w:rsid w:val="001B7CED"/>
    <w:rsid w:val="001C009B"/>
    <w:rsid w:val="001C020B"/>
    <w:rsid w:val="001C0E20"/>
    <w:rsid w:val="001C276E"/>
    <w:rsid w:val="001C5246"/>
    <w:rsid w:val="001C553C"/>
    <w:rsid w:val="001C5C4B"/>
    <w:rsid w:val="001C69D5"/>
    <w:rsid w:val="001C6AD2"/>
    <w:rsid w:val="001C6BC7"/>
    <w:rsid w:val="001C7034"/>
    <w:rsid w:val="001C7F40"/>
    <w:rsid w:val="001D0160"/>
    <w:rsid w:val="001D0CDA"/>
    <w:rsid w:val="001D120F"/>
    <w:rsid w:val="001D23D4"/>
    <w:rsid w:val="001D31D8"/>
    <w:rsid w:val="001D3262"/>
    <w:rsid w:val="001D335C"/>
    <w:rsid w:val="001D3806"/>
    <w:rsid w:val="001D3F9D"/>
    <w:rsid w:val="001D4427"/>
    <w:rsid w:val="001D44DD"/>
    <w:rsid w:val="001D53CB"/>
    <w:rsid w:val="001D5A5E"/>
    <w:rsid w:val="001D68DB"/>
    <w:rsid w:val="001D7306"/>
    <w:rsid w:val="001D750C"/>
    <w:rsid w:val="001E05D9"/>
    <w:rsid w:val="001E1779"/>
    <w:rsid w:val="001E1AE2"/>
    <w:rsid w:val="001E2AB3"/>
    <w:rsid w:val="001E3DDF"/>
    <w:rsid w:val="001E4708"/>
    <w:rsid w:val="001E494F"/>
    <w:rsid w:val="001E4A4A"/>
    <w:rsid w:val="001E5124"/>
    <w:rsid w:val="001E5358"/>
    <w:rsid w:val="001E632A"/>
    <w:rsid w:val="001E65E6"/>
    <w:rsid w:val="001E67C0"/>
    <w:rsid w:val="001E6ABC"/>
    <w:rsid w:val="001E6BE8"/>
    <w:rsid w:val="001E7870"/>
    <w:rsid w:val="001E79A9"/>
    <w:rsid w:val="001F01A0"/>
    <w:rsid w:val="001F08C5"/>
    <w:rsid w:val="001F1AB2"/>
    <w:rsid w:val="001F264A"/>
    <w:rsid w:val="001F3CC5"/>
    <w:rsid w:val="001F3FDD"/>
    <w:rsid w:val="001F5725"/>
    <w:rsid w:val="001F5D58"/>
    <w:rsid w:val="001F607C"/>
    <w:rsid w:val="001F6A9D"/>
    <w:rsid w:val="001F7075"/>
    <w:rsid w:val="001F74BB"/>
    <w:rsid w:val="001F78D9"/>
    <w:rsid w:val="001F7A2C"/>
    <w:rsid w:val="002002BB"/>
    <w:rsid w:val="00200E11"/>
    <w:rsid w:val="00200E2B"/>
    <w:rsid w:val="002013B1"/>
    <w:rsid w:val="002017DC"/>
    <w:rsid w:val="00201936"/>
    <w:rsid w:val="00202927"/>
    <w:rsid w:val="00203B5B"/>
    <w:rsid w:val="002040B5"/>
    <w:rsid w:val="002041CC"/>
    <w:rsid w:val="002046DB"/>
    <w:rsid w:val="00204785"/>
    <w:rsid w:val="002054EF"/>
    <w:rsid w:val="00205824"/>
    <w:rsid w:val="00206D2F"/>
    <w:rsid w:val="00206E36"/>
    <w:rsid w:val="00207279"/>
    <w:rsid w:val="0021067F"/>
    <w:rsid w:val="00210B57"/>
    <w:rsid w:val="00210BEF"/>
    <w:rsid w:val="002112F5"/>
    <w:rsid w:val="00212A35"/>
    <w:rsid w:val="00212D9F"/>
    <w:rsid w:val="00213387"/>
    <w:rsid w:val="002133FA"/>
    <w:rsid w:val="0021359E"/>
    <w:rsid w:val="0021394A"/>
    <w:rsid w:val="00213A42"/>
    <w:rsid w:val="00213B8A"/>
    <w:rsid w:val="0021418C"/>
    <w:rsid w:val="002146E9"/>
    <w:rsid w:val="00214A75"/>
    <w:rsid w:val="00215066"/>
    <w:rsid w:val="00216178"/>
    <w:rsid w:val="00216D50"/>
    <w:rsid w:val="00217824"/>
    <w:rsid w:val="0022035B"/>
    <w:rsid w:val="0022051A"/>
    <w:rsid w:val="00220766"/>
    <w:rsid w:val="0022107C"/>
    <w:rsid w:val="00221097"/>
    <w:rsid w:val="00221370"/>
    <w:rsid w:val="00221603"/>
    <w:rsid w:val="0022175E"/>
    <w:rsid w:val="00221F92"/>
    <w:rsid w:val="002221E6"/>
    <w:rsid w:val="0022229C"/>
    <w:rsid w:val="00222A8E"/>
    <w:rsid w:val="00224140"/>
    <w:rsid w:val="0022457B"/>
    <w:rsid w:val="00224E1C"/>
    <w:rsid w:val="00225300"/>
    <w:rsid w:val="002263BE"/>
    <w:rsid w:val="00226727"/>
    <w:rsid w:val="002278D9"/>
    <w:rsid w:val="00227966"/>
    <w:rsid w:val="0023024B"/>
    <w:rsid w:val="00230BD3"/>
    <w:rsid w:val="002314B5"/>
    <w:rsid w:val="00231F14"/>
    <w:rsid w:val="00233487"/>
    <w:rsid w:val="0023353C"/>
    <w:rsid w:val="00233F55"/>
    <w:rsid w:val="0023407A"/>
    <w:rsid w:val="00234272"/>
    <w:rsid w:val="0023436D"/>
    <w:rsid w:val="0023450E"/>
    <w:rsid w:val="002348DE"/>
    <w:rsid w:val="002351CB"/>
    <w:rsid w:val="0023645F"/>
    <w:rsid w:val="00236F8F"/>
    <w:rsid w:val="00237929"/>
    <w:rsid w:val="00237F32"/>
    <w:rsid w:val="00240000"/>
    <w:rsid w:val="0024003D"/>
    <w:rsid w:val="00240790"/>
    <w:rsid w:val="002408D9"/>
    <w:rsid w:val="00241C08"/>
    <w:rsid w:val="00241D7E"/>
    <w:rsid w:val="002421E7"/>
    <w:rsid w:val="002428D8"/>
    <w:rsid w:val="002428EC"/>
    <w:rsid w:val="00242F5A"/>
    <w:rsid w:val="0024357E"/>
    <w:rsid w:val="00244509"/>
    <w:rsid w:val="00244897"/>
    <w:rsid w:val="002448D8"/>
    <w:rsid w:val="00245151"/>
    <w:rsid w:val="002453E5"/>
    <w:rsid w:val="00246C9E"/>
    <w:rsid w:val="002470B4"/>
    <w:rsid w:val="00247CCD"/>
    <w:rsid w:val="00247EEB"/>
    <w:rsid w:val="00247FD8"/>
    <w:rsid w:val="002519BF"/>
    <w:rsid w:val="00251D42"/>
    <w:rsid w:val="00251ED6"/>
    <w:rsid w:val="002520C0"/>
    <w:rsid w:val="00252172"/>
    <w:rsid w:val="002521C8"/>
    <w:rsid w:val="00252369"/>
    <w:rsid w:val="002527EA"/>
    <w:rsid w:val="00252B33"/>
    <w:rsid w:val="00252C39"/>
    <w:rsid w:val="00252FA1"/>
    <w:rsid w:val="0025357E"/>
    <w:rsid w:val="0025397B"/>
    <w:rsid w:val="00253991"/>
    <w:rsid w:val="00253B71"/>
    <w:rsid w:val="00254685"/>
    <w:rsid w:val="00255D5B"/>
    <w:rsid w:val="00256405"/>
    <w:rsid w:val="002565B2"/>
    <w:rsid w:val="0025756C"/>
    <w:rsid w:val="00257EAC"/>
    <w:rsid w:val="0026060D"/>
    <w:rsid w:val="002611C9"/>
    <w:rsid w:val="002619C5"/>
    <w:rsid w:val="00261A9A"/>
    <w:rsid w:val="00261FD5"/>
    <w:rsid w:val="0026246F"/>
    <w:rsid w:val="00262763"/>
    <w:rsid w:val="00262A8E"/>
    <w:rsid w:val="00263A7D"/>
    <w:rsid w:val="00264B11"/>
    <w:rsid w:val="002656D5"/>
    <w:rsid w:val="00265FC4"/>
    <w:rsid w:val="00267C94"/>
    <w:rsid w:val="00267F45"/>
    <w:rsid w:val="00270255"/>
    <w:rsid w:val="002708ED"/>
    <w:rsid w:val="002709CD"/>
    <w:rsid w:val="002710FE"/>
    <w:rsid w:val="00272510"/>
    <w:rsid w:val="00272ADE"/>
    <w:rsid w:val="00272CD9"/>
    <w:rsid w:val="00273281"/>
    <w:rsid w:val="0027362C"/>
    <w:rsid w:val="00273864"/>
    <w:rsid w:val="002740E9"/>
    <w:rsid w:val="0027446D"/>
    <w:rsid w:val="00275A34"/>
    <w:rsid w:val="00275ADE"/>
    <w:rsid w:val="00275D0B"/>
    <w:rsid w:val="00276CF8"/>
    <w:rsid w:val="00276FFC"/>
    <w:rsid w:val="0027706E"/>
    <w:rsid w:val="002775EB"/>
    <w:rsid w:val="00277F25"/>
    <w:rsid w:val="0028011A"/>
    <w:rsid w:val="0028027E"/>
    <w:rsid w:val="002810D5"/>
    <w:rsid w:val="0028165D"/>
    <w:rsid w:val="002816BD"/>
    <w:rsid w:val="0028170A"/>
    <w:rsid w:val="00282AAE"/>
    <w:rsid w:val="00283272"/>
    <w:rsid w:val="00284BE9"/>
    <w:rsid w:val="002857B7"/>
    <w:rsid w:val="002858F9"/>
    <w:rsid w:val="00285CF1"/>
    <w:rsid w:val="00285DD0"/>
    <w:rsid w:val="00286660"/>
    <w:rsid w:val="00287302"/>
    <w:rsid w:val="00287C85"/>
    <w:rsid w:val="0029028E"/>
    <w:rsid w:val="00290868"/>
    <w:rsid w:val="00290A06"/>
    <w:rsid w:val="00290C96"/>
    <w:rsid w:val="00290F20"/>
    <w:rsid w:val="002920B3"/>
    <w:rsid w:val="00292C58"/>
    <w:rsid w:val="00293090"/>
    <w:rsid w:val="00293524"/>
    <w:rsid w:val="00294187"/>
    <w:rsid w:val="002942F5"/>
    <w:rsid w:val="002949B5"/>
    <w:rsid w:val="00294B1A"/>
    <w:rsid w:val="00294DAD"/>
    <w:rsid w:val="00295CC2"/>
    <w:rsid w:val="00295D3C"/>
    <w:rsid w:val="002960EA"/>
    <w:rsid w:val="00296356"/>
    <w:rsid w:val="002A03F5"/>
    <w:rsid w:val="002A0828"/>
    <w:rsid w:val="002A09F7"/>
    <w:rsid w:val="002A0D6C"/>
    <w:rsid w:val="002A0E26"/>
    <w:rsid w:val="002A1E06"/>
    <w:rsid w:val="002A2E6B"/>
    <w:rsid w:val="002A2FEF"/>
    <w:rsid w:val="002A309A"/>
    <w:rsid w:val="002A31B0"/>
    <w:rsid w:val="002A31FB"/>
    <w:rsid w:val="002A36CC"/>
    <w:rsid w:val="002A3AA9"/>
    <w:rsid w:val="002A3E43"/>
    <w:rsid w:val="002A4C49"/>
    <w:rsid w:val="002A4CCB"/>
    <w:rsid w:val="002A561B"/>
    <w:rsid w:val="002A5C5C"/>
    <w:rsid w:val="002A6079"/>
    <w:rsid w:val="002A6356"/>
    <w:rsid w:val="002A6AE6"/>
    <w:rsid w:val="002A6B65"/>
    <w:rsid w:val="002A6CC3"/>
    <w:rsid w:val="002A76C0"/>
    <w:rsid w:val="002B08C9"/>
    <w:rsid w:val="002B0B80"/>
    <w:rsid w:val="002B0BB7"/>
    <w:rsid w:val="002B0C06"/>
    <w:rsid w:val="002B0CB3"/>
    <w:rsid w:val="002B1272"/>
    <w:rsid w:val="002B2988"/>
    <w:rsid w:val="002B2B52"/>
    <w:rsid w:val="002B2B80"/>
    <w:rsid w:val="002B2C53"/>
    <w:rsid w:val="002B3326"/>
    <w:rsid w:val="002B3B3F"/>
    <w:rsid w:val="002B3D0D"/>
    <w:rsid w:val="002B424C"/>
    <w:rsid w:val="002B4F0B"/>
    <w:rsid w:val="002B528C"/>
    <w:rsid w:val="002B562F"/>
    <w:rsid w:val="002B5BE6"/>
    <w:rsid w:val="002C093F"/>
    <w:rsid w:val="002C1680"/>
    <w:rsid w:val="002C19A1"/>
    <w:rsid w:val="002C294D"/>
    <w:rsid w:val="002C4DF0"/>
    <w:rsid w:val="002C5A43"/>
    <w:rsid w:val="002C5F15"/>
    <w:rsid w:val="002C5F42"/>
    <w:rsid w:val="002C62B6"/>
    <w:rsid w:val="002C6FFB"/>
    <w:rsid w:val="002C7D63"/>
    <w:rsid w:val="002C7FE2"/>
    <w:rsid w:val="002D0F1F"/>
    <w:rsid w:val="002D1262"/>
    <w:rsid w:val="002D1AE6"/>
    <w:rsid w:val="002D1AF9"/>
    <w:rsid w:val="002D2319"/>
    <w:rsid w:val="002D394E"/>
    <w:rsid w:val="002D3BC1"/>
    <w:rsid w:val="002D3F12"/>
    <w:rsid w:val="002D4525"/>
    <w:rsid w:val="002D549E"/>
    <w:rsid w:val="002D6539"/>
    <w:rsid w:val="002D7197"/>
    <w:rsid w:val="002D73D9"/>
    <w:rsid w:val="002D73E5"/>
    <w:rsid w:val="002E0303"/>
    <w:rsid w:val="002E08B5"/>
    <w:rsid w:val="002E0A1E"/>
    <w:rsid w:val="002E139B"/>
    <w:rsid w:val="002E147F"/>
    <w:rsid w:val="002E2BEF"/>
    <w:rsid w:val="002E2E15"/>
    <w:rsid w:val="002E2F32"/>
    <w:rsid w:val="002E392E"/>
    <w:rsid w:val="002E3D45"/>
    <w:rsid w:val="002E3E80"/>
    <w:rsid w:val="002E41F9"/>
    <w:rsid w:val="002E479F"/>
    <w:rsid w:val="002E4D11"/>
    <w:rsid w:val="002E502D"/>
    <w:rsid w:val="002E5B14"/>
    <w:rsid w:val="002E5E3A"/>
    <w:rsid w:val="002E6754"/>
    <w:rsid w:val="002E68A9"/>
    <w:rsid w:val="002E6EE3"/>
    <w:rsid w:val="002E738E"/>
    <w:rsid w:val="002E7F48"/>
    <w:rsid w:val="002F1244"/>
    <w:rsid w:val="002F38EC"/>
    <w:rsid w:val="002F45FD"/>
    <w:rsid w:val="002F4AFB"/>
    <w:rsid w:val="002F4B10"/>
    <w:rsid w:val="002F50A0"/>
    <w:rsid w:val="002F52E3"/>
    <w:rsid w:val="002F53EF"/>
    <w:rsid w:val="002F57C5"/>
    <w:rsid w:val="002F5901"/>
    <w:rsid w:val="002F5DFB"/>
    <w:rsid w:val="002F6E6C"/>
    <w:rsid w:val="002F7593"/>
    <w:rsid w:val="002F785E"/>
    <w:rsid w:val="002F7995"/>
    <w:rsid w:val="003000EE"/>
    <w:rsid w:val="00300265"/>
    <w:rsid w:val="00300A28"/>
    <w:rsid w:val="00301184"/>
    <w:rsid w:val="003019E9"/>
    <w:rsid w:val="00301C7B"/>
    <w:rsid w:val="00302559"/>
    <w:rsid w:val="00303244"/>
    <w:rsid w:val="003033E3"/>
    <w:rsid w:val="0030384F"/>
    <w:rsid w:val="00303943"/>
    <w:rsid w:val="00304273"/>
    <w:rsid w:val="003050E6"/>
    <w:rsid w:val="003053BD"/>
    <w:rsid w:val="00305CA1"/>
    <w:rsid w:val="00306011"/>
    <w:rsid w:val="00306194"/>
    <w:rsid w:val="00306317"/>
    <w:rsid w:val="00306AAC"/>
    <w:rsid w:val="0030758B"/>
    <w:rsid w:val="00307B63"/>
    <w:rsid w:val="00310528"/>
    <w:rsid w:val="0031096E"/>
    <w:rsid w:val="00311804"/>
    <w:rsid w:val="00311B69"/>
    <w:rsid w:val="00311B8E"/>
    <w:rsid w:val="00312F28"/>
    <w:rsid w:val="0031327A"/>
    <w:rsid w:val="003133F6"/>
    <w:rsid w:val="00313B9F"/>
    <w:rsid w:val="00313F08"/>
    <w:rsid w:val="00314A38"/>
    <w:rsid w:val="00315AF8"/>
    <w:rsid w:val="0031648D"/>
    <w:rsid w:val="00317116"/>
    <w:rsid w:val="00317289"/>
    <w:rsid w:val="003208AC"/>
    <w:rsid w:val="00320960"/>
    <w:rsid w:val="0032141E"/>
    <w:rsid w:val="00321F6E"/>
    <w:rsid w:val="0032224B"/>
    <w:rsid w:val="00322779"/>
    <w:rsid w:val="00322915"/>
    <w:rsid w:val="00323662"/>
    <w:rsid w:val="003244CF"/>
    <w:rsid w:val="00324C14"/>
    <w:rsid w:val="00324FE2"/>
    <w:rsid w:val="00325A92"/>
    <w:rsid w:val="00326A0D"/>
    <w:rsid w:val="00326B0F"/>
    <w:rsid w:val="00326C8F"/>
    <w:rsid w:val="00327191"/>
    <w:rsid w:val="00327545"/>
    <w:rsid w:val="00327DD4"/>
    <w:rsid w:val="00330085"/>
    <w:rsid w:val="003308C7"/>
    <w:rsid w:val="0033094C"/>
    <w:rsid w:val="003313EF"/>
    <w:rsid w:val="0033176F"/>
    <w:rsid w:val="0033178E"/>
    <w:rsid w:val="00331B05"/>
    <w:rsid w:val="00331C61"/>
    <w:rsid w:val="00332132"/>
    <w:rsid w:val="003333B9"/>
    <w:rsid w:val="00333CBA"/>
    <w:rsid w:val="00333E91"/>
    <w:rsid w:val="0033407A"/>
    <w:rsid w:val="003345E5"/>
    <w:rsid w:val="003349C1"/>
    <w:rsid w:val="00334F27"/>
    <w:rsid w:val="00335939"/>
    <w:rsid w:val="0033596D"/>
    <w:rsid w:val="00335A20"/>
    <w:rsid w:val="00335B51"/>
    <w:rsid w:val="00335B63"/>
    <w:rsid w:val="00335EC8"/>
    <w:rsid w:val="0033640D"/>
    <w:rsid w:val="003375B4"/>
    <w:rsid w:val="0033766C"/>
    <w:rsid w:val="0033784F"/>
    <w:rsid w:val="00337923"/>
    <w:rsid w:val="00337D3C"/>
    <w:rsid w:val="00337D91"/>
    <w:rsid w:val="00337F08"/>
    <w:rsid w:val="00340383"/>
    <w:rsid w:val="00341211"/>
    <w:rsid w:val="00341BFE"/>
    <w:rsid w:val="00343026"/>
    <w:rsid w:val="00343A2E"/>
    <w:rsid w:val="00344841"/>
    <w:rsid w:val="00344C2F"/>
    <w:rsid w:val="003457D0"/>
    <w:rsid w:val="003457E9"/>
    <w:rsid w:val="00345EDE"/>
    <w:rsid w:val="00346E99"/>
    <w:rsid w:val="003471DC"/>
    <w:rsid w:val="00347918"/>
    <w:rsid w:val="00347A42"/>
    <w:rsid w:val="00350048"/>
    <w:rsid w:val="003500C6"/>
    <w:rsid w:val="0035148E"/>
    <w:rsid w:val="00351DF0"/>
    <w:rsid w:val="00352252"/>
    <w:rsid w:val="003522AD"/>
    <w:rsid w:val="00352717"/>
    <w:rsid w:val="00352860"/>
    <w:rsid w:val="00353BD9"/>
    <w:rsid w:val="00354811"/>
    <w:rsid w:val="003550A1"/>
    <w:rsid w:val="0035522B"/>
    <w:rsid w:val="003553C9"/>
    <w:rsid w:val="00355761"/>
    <w:rsid w:val="0035672B"/>
    <w:rsid w:val="003569CD"/>
    <w:rsid w:val="00356A62"/>
    <w:rsid w:val="0035759A"/>
    <w:rsid w:val="00357C2C"/>
    <w:rsid w:val="00360EF9"/>
    <w:rsid w:val="003612F6"/>
    <w:rsid w:val="00361B3A"/>
    <w:rsid w:val="00361C7F"/>
    <w:rsid w:val="00361C8F"/>
    <w:rsid w:val="00362218"/>
    <w:rsid w:val="00362FCD"/>
    <w:rsid w:val="003631FC"/>
    <w:rsid w:val="00363755"/>
    <w:rsid w:val="00363BB5"/>
    <w:rsid w:val="00363C72"/>
    <w:rsid w:val="00363EFE"/>
    <w:rsid w:val="0036540A"/>
    <w:rsid w:val="003677E5"/>
    <w:rsid w:val="00367A60"/>
    <w:rsid w:val="00367CCA"/>
    <w:rsid w:val="00367F94"/>
    <w:rsid w:val="0037065C"/>
    <w:rsid w:val="0037069D"/>
    <w:rsid w:val="00370D77"/>
    <w:rsid w:val="00370D97"/>
    <w:rsid w:val="003713D1"/>
    <w:rsid w:val="0037148F"/>
    <w:rsid w:val="003717EB"/>
    <w:rsid w:val="003718F8"/>
    <w:rsid w:val="00372180"/>
    <w:rsid w:val="003723B0"/>
    <w:rsid w:val="0037245C"/>
    <w:rsid w:val="00372A0A"/>
    <w:rsid w:val="00372B9E"/>
    <w:rsid w:val="003731DA"/>
    <w:rsid w:val="00373567"/>
    <w:rsid w:val="00373C8B"/>
    <w:rsid w:val="00373DA9"/>
    <w:rsid w:val="00374A89"/>
    <w:rsid w:val="00374AAB"/>
    <w:rsid w:val="003754F3"/>
    <w:rsid w:val="00375516"/>
    <w:rsid w:val="0037638A"/>
    <w:rsid w:val="00377B48"/>
    <w:rsid w:val="003802EE"/>
    <w:rsid w:val="00380D16"/>
    <w:rsid w:val="00381115"/>
    <w:rsid w:val="003812CE"/>
    <w:rsid w:val="00381DA0"/>
    <w:rsid w:val="00382760"/>
    <w:rsid w:val="00382B3D"/>
    <w:rsid w:val="0038387A"/>
    <w:rsid w:val="00383D99"/>
    <w:rsid w:val="00384421"/>
    <w:rsid w:val="003846DE"/>
    <w:rsid w:val="00384E56"/>
    <w:rsid w:val="0038529F"/>
    <w:rsid w:val="003853C1"/>
    <w:rsid w:val="00385411"/>
    <w:rsid w:val="00385C05"/>
    <w:rsid w:val="00385F73"/>
    <w:rsid w:val="00386443"/>
    <w:rsid w:val="00386E8E"/>
    <w:rsid w:val="0038769C"/>
    <w:rsid w:val="003876F9"/>
    <w:rsid w:val="00390BCC"/>
    <w:rsid w:val="00390ED7"/>
    <w:rsid w:val="00391131"/>
    <w:rsid w:val="003916B4"/>
    <w:rsid w:val="00391A46"/>
    <w:rsid w:val="00391F0B"/>
    <w:rsid w:val="00392157"/>
    <w:rsid w:val="003921AF"/>
    <w:rsid w:val="003923E2"/>
    <w:rsid w:val="003929C3"/>
    <w:rsid w:val="00392D9A"/>
    <w:rsid w:val="003939F9"/>
    <w:rsid w:val="00393DF6"/>
    <w:rsid w:val="003945E3"/>
    <w:rsid w:val="003947D5"/>
    <w:rsid w:val="00394B15"/>
    <w:rsid w:val="00394D68"/>
    <w:rsid w:val="00395746"/>
    <w:rsid w:val="00395867"/>
    <w:rsid w:val="00397C12"/>
    <w:rsid w:val="003A09F1"/>
    <w:rsid w:val="003A1BF9"/>
    <w:rsid w:val="003A1EEA"/>
    <w:rsid w:val="003A1FE0"/>
    <w:rsid w:val="003A2BC9"/>
    <w:rsid w:val="003A3A1F"/>
    <w:rsid w:val="003A3C10"/>
    <w:rsid w:val="003A3C82"/>
    <w:rsid w:val="003A4F5E"/>
    <w:rsid w:val="003A5514"/>
    <w:rsid w:val="003A5768"/>
    <w:rsid w:val="003A5BB3"/>
    <w:rsid w:val="003A5D39"/>
    <w:rsid w:val="003A7A5A"/>
    <w:rsid w:val="003B0B86"/>
    <w:rsid w:val="003B14C4"/>
    <w:rsid w:val="003B2E5B"/>
    <w:rsid w:val="003B3757"/>
    <w:rsid w:val="003B43AB"/>
    <w:rsid w:val="003B44C6"/>
    <w:rsid w:val="003B5742"/>
    <w:rsid w:val="003B677B"/>
    <w:rsid w:val="003B7207"/>
    <w:rsid w:val="003B79F6"/>
    <w:rsid w:val="003B7D0E"/>
    <w:rsid w:val="003C0B7F"/>
    <w:rsid w:val="003C1BAA"/>
    <w:rsid w:val="003C202E"/>
    <w:rsid w:val="003C2C6C"/>
    <w:rsid w:val="003C313C"/>
    <w:rsid w:val="003C37EF"/>
    <w:rsid w:val="003C3A8F"/>
    <w:rsid w:val="003C3BCC"/>
    <w:rsid w:val="003C59CC"/>
    <w:rsid w:val="003C5A8D"/>
    <w:rsid w:val="003C5A9B"/>
    <w:rsid w:val="003C5FAB"/>
    <w:rsid w:val="003C6391"/>
    <w:rsid w:val="003C6AF4"/>
    <w:rsid w:val="003C6B26"/>
    <w:rsid w:val="003C74F1"/>
    <w:rsid w:val="003D09D2"/>
    <w:rsid w:val="003D0F53"/>
    <w:rsid w:val="003D1B86"/>
    <w:rsid w:val="003D1DAB"/>
    <w:rsid w:val="003D244F"/>
    <w:rsid w:val="003D2675"/>
    <w:rsid w:val="003D315A"/>
    <w:rsid w:val="003D33E1"/>
    <w:rsid w:val="003D34D4"/>
    <w:rsid w:val="003D3796"/>
    <w:rsid w:val="003D4046"/>
    <w:rsid w:val="003D453E"/>
    <w:rsid w:val="003D460E"/>
    <w:rsid w:val="003D4E15"/>
    <w:rsid w:val="003D5C03"/>
    <w:rsid w:val="003D5D3D"/>
    <w:rsid w:val="003D6D4F"/>
    <w:rsid w:val="003D7311"/>
    <w:rsid w:val="003E151C"/>
    <w:rsid w:val="003E1E5F"/>
    <w:rsid w:val="003E232F"/>
    <w:rsid w:val="003E2FDF"/>
    <w:rsid w:val="003E3575"/>
    <w:rsid w:val="003E3F16"/>
    <w:rsid w:val="003E43E4"/>
    <w:rsid w:val="003E46C9"/>
    <w:rsid w:val="003E4BD6"/>
    <w:rsid w:val="003E4C65"/>
    <w:rsid w:val="003E4F6E"/>
    <w:rsid w:val="003E5133"/>
    <w:rsid w:val="003E54DD"/>
    <w:rsid w:val="003E619E"/>
    <w:rsid w:val="003E642F"/>
    <w:rsid w:val="003E6667"/>
    <w:rsid w:val="003E6C12"/>
    <w:rsid w:val="003F0806"/>
    <w:rsid w:val="003F09B1"/>
    <w:rsid w:val="003F1006"/>
    <w:rsid w:val="003F2BB4"/>
    <w:rsid w:val="003F30B1"/>
    <w:rsid w:val="003F330E"/>
    <w:rsid w:val="003F358F"/>
    <w:rsid w:val="003F3802"/>
    <w:rsid w:val="003F3DB5"/>
    <w:rsid w:val="003F4D23"/>
    <w:rsid w:val="003F530B"/>
    <w:rsid w:val="003F5D1A"/>
    <w:rsid w:val="003F67C4"/>
    <w:rsid w:val="003F6EFB"/>
    <w:rsid w:val="003F74B6"/>
    <w:rsid w:val="003F7C65"/>
    <w:rsid w:val="00400263"/>
    <w:rsid w:val="004008AB"/>
    <w:rsid w:val="004017A2"/>
    <w:rsid w:val="00402467"/>
    <w:rsid w:val="004026BB"/>
    <w:rsid w:val="00402746"/>
    <w:rsid w:val="00402809"/>
    <w:rsid w:val="00403E28"/>
    <w:rsid w:val="00406306"/>
    <w:rsid w:val="004066B4"/>
    <w:rsid w:val="00406BD9"/>
    <w:rsid w:val="00406F03"/>
    <w:rsid w:val="00407B38"/>
    <w:rsid w:val="00407FBD"/>
    <w:rsid w:val="00410CEE"/>
    <w:rsid w:val="00411B0D"/>
    <w:rsid w:val="00411D98"/>
    <w:rsid w:val="00411DB1"/>
    <w:rsid w:val="004132B0"/>
    <w:rsid w:val="0041495E"/>
    <w:rsid w:val="004161FD"/>
    <w:rsid w:val="0041746E"/>
    <w:rsid w:val="00420170"/>
    <w:rsid w:val="00421417"/>
    <w:rsid w:val="0042156A"/>
    <w:rsid w:val="0042171D"/>
    <w:rsid w:val="00421B7B"/>
    <w:rsid w:val="00422220"/>
    <w:rsid w:val="0042227E"/>
    <w:rsid w:val="00422310"/>
    <w:rsid w:val="00422FFB"/>
    <w:rsid w:val="00424644"/>
    <w:rsid w:val="0042493B"/>
    <w:rsid w:val="00424ADD"/>
    <w:rsid w:val="004263D0"/>
    <w:rsid w:val="004279AA"/>
    <w:rsid w:val="00427BCA"/>
    <w:rsid w:val="0043040D"/>
    <w:rsid w:val="00430DE5"/>
    <w:rsid w:val="0043119C"/>
    <w:rsid w:val="00431479"/>
    <w:rsid w:val="00431F62"/>
    <w:rsid w:val="00432765"/>
    <w:rsid w:val="00432B22"/>
    <w:rsid w:val="00432B64"/>
    <w:rsid w:val="00432BED"/>
    <w:rsid w:val="00432E4E"/>
    <w:rsid w:val="00432F8D"/>
    <w:rsid w:val="00433798"/>
    <w:rsid w:val="00433822"/>
    <w:rsid w:val="00433861"/>
    <w:rsid w:val="00433D71"/>
    <w:rsid w:val="00433DAB"/>
    <w:rsid w:val="004342FB"/>
    <w:rsid w:val="0043433E"/>
    <w:rsid w:val="00434C86"/>
    <w:rsid w:val="0043519D"/>
    <w:rsid w:val="00435D04"/>
    <w:rsid w:val="00435F48"/>
    <w:rsid w:val="0043633B"/>
    <w:rsid w:val="00436528"/>
    <w:rsid w:val="0043662C"/>
    <w:rsid w:val="0043667B"/>
    <w:rsid w:val="0043772E"/>
    <w:rsid w:val="00440500"/>
    <w:rsid w:val="00440672"/>
    <w:rsid w:val="00440696"/>
    <w:rsid w:val="00440C4D"/>
    <w:rsid w:val="00441439"/>
    <w:rsid w:val="00441BC9"/>
    <w:rsid w:val="00441EBF"/>
    <w:rsid w:val="00443474"/>
    <w:rsid w:val="004438D9"/>
    <w:rsid w:val="00443D33"/>
    <w:rsid w:val="004446B5"/>
    <w:rsid w:val="00444721"/>
    <w:rsid w:val="00444C87"/>
    <w:rsid w:val="004450DA"/>
    <w:rsid w:val="00445C2D"/>
    <w:rsid w:val="00446154"/>
    <w:rsid w:val="004464F6"/>
    <w:rsid w:val="00446585"/>
    <w:rsid w:val="0044737C"/>
    <w:rsid w:val="00447B70"/>
    <w:rsid w:val="00450639"/>
    <w:rsid w:val="004509CD"/>
    <w:rsid w:val="00451DC3"/>
    <w:rsid w:val="004520ED"/>
    <w:rsid w:val="004521E0"/>
    <w:rsid w:val="0045224D"/>
    <w:rsid w:val="004522DF"/>
    <w:rsid w:val="004527C3"/>
    <w:rsid w:val="00453585"/>
    <w:rsid w:val="00453719"/>
    <w:rsid w:val="0045406A"/>
    <w:rsid w:val="0045446D"/>
    <w:rsid w:val="004547FC"/>
    <w:rsid w:val="0045518E"/>
    <w:rsid w:val="00456F30"/>
    <w:rsid w:val="00457379"/>
    <w:rsid w:val="004600A2"/>
    <w:rsid w:val="00460F78"/>
    <w:rsid w:val="004612F8"/>
    <w:rsid w:val="0046171D"/>
    <w:rsid w:val="004627B6"/>
    <w:rsid w:val="004627EC"/>
    <w:rsid w:val="00463D6B"/>
    <w:rsid w:val="00464D4F"/>
    <w:rsid w:val="004659FE"/>
    <w:rsid w:val="00465C36"/>
    <w:rsid w:val="00466058"/>
    <w:rsid w:val="00466A2E"/>
    <w:rsid w:val="0046714B"/>
    <w:rsid w:val="004672AC"/>
    <w:rsid w:val="004672CE"/>
    <w:rsid w:val="00467D3B"/>
    <w:rsid w:val="00467E09"/>
    <w:rsid w:val="0047169A"/>
    <w:rsid w:val="00472185"/>
    <w:rsid w:val="0047286B"/>
    <w:rsid w:val="0047290F"/>
    <w:rsid w:val="00472D37"/>
    <w:rsid w:val="00473837"/>
    <w:rsid w:val="00473F0F"/>
    <w:rsid w:val="00474CC3"/>
    <w:rsid w:val="00475A68"/>
    <w:rsid w:val="00476ED9"/>
    <w:rsid w:val="00476F59"/>
    <w:rsid w:val="004771AF"/>
    <w:rsid w:val="004779F7"/>
    <w:rsid w:val="00477F03"/>
    <w:rsid w:val="004801FC"/>
    <w:rsid w:val="004819D3"/>
    <w:rsid w:val="00482056"/>
    <w:rsid w:val="00482234"/>
    <w:rsid w:val="00482E2F"/>
    <w:rsid w:val="0048304C"/>
    <w:rsid w:val="004835BA"/>
    <w:rsid w:val="00483643"/>
    <w:rsid w:val="004836AA"/>
    <w:rsid w:val="00483B13"/>
    <w:rsid w:val="00483F9F"/>
    <w:rsid w:val="004845AC"/>
    <w:rsid w:val="0048549A"/>
    <w:rsid w:val="004856DA"/>
    <w:rsid w:val="00486474"/>
    <w:rsid w:val="004864CD"/>
    <w:rsid w:val="004867E2"/>
    <w:rsid w:val="00486E2A"/>
    <w:rsid w:val="004871C0"/>
    <w:rsid w:val="00487B01"/>
    <w:rsid w:val="00487F51"/>
    <w:rsid w:val="00487F98"/>
    <w:rsid w:val="004904DC"/>
    <w:rsid w:val="004908A0"/>
    <w:rsid w:val="00490AF7"/>
    <w:rsid w:val="00490B7F"/>
    <w:rsid w:val="004916DE"/>
    <w:rsid w:val="00492353"/>
    <w:rsid w:val="00492E20"/>
    <w:rsid w:val="004934C2"/>
    <w:rsid w:val="00493539"/>
    <w:rsid w:val="0049375E"/>
    <w:rsid w:val="00493A36"/>
    <w:rsid w:val="00493EF2"/>
    <w:rsid w:val="00494CDF"/>
    <w:rsid w:val="004954ED"/>
    <w:rsid w:val="00495D04"/>
    <w:rsid w:val="004960B3"/>
    <w:rsid w:val="00496865"/>
    <w:rsid w:val="00496F78"/>
    <w:rsid w:val="004975D7"/>
    <w:rsid w:val="0049771A"/>
    <w:rsid w:val="004A1F06"/>
    <w:rsid w:val="004A209D"/>
    <w:rsid w:val="004A315B"/>
    <w:rsid w:val="004A3F45"/>
    <w:rsid w:val="004A417B"/>
    <w:rsid w:val="004A42A3"/>
    <w:rsid w:val="004A494A"/>
    <w:rsid w:val="004A4DE8"/>
    <w:rsid w:val="004A5046"/>
    <w:rsid w:val="004A53A0"/>
    <w:rsid w:val="004A5823"/>
    <w:rsid w:val="004A58B5"/>
    <w:rsid w:val="004A6227"/>
    <w:rsid w:val="004A65AA"/>
    <w:rsid w:val="004A73B1"/>
    <w:rsid w:val="004B040A"/>
    <w:rsid w:val="004B103A"/>
    <w:rsid w:val="004B13D5"/>
    <w:rsid w:val="004B1AD8"/>
    <w:rsid w:val="004B220C"/>
    <w:rsid w:val="004B2280"/>
    <w:rsid w:val="004B2744"/>
    <w:rsid w:val="004B28A8"/>
    <w:rsid w:val="004B30F5"/>
    <w:rsid w:val="004B3676"/>
    <w:rsid w:val="004B377F"/>
    <w:rsid w:val="004B463F"/>
    <w:rsid w:val="004B4AA5"/>
    <w:rsid w:val="004B50AD"/>
    <w:rsid w:val="004B525C"/>
    <w:rsid w:val="004B560B"/>
    <w:rsid w:val="004B6752"/>
    <w:rsid w:val="004C02C7"/>
    <w:rsid w:val="004C0370"/>
    <w:rsid w:val="004C076C"/>
    <w:rsid w:val="004C1ABB"/>
    <w:rsid w:val="004C203C"/>
    <w:rsid w:val="004C23AA"/>
    <w:rsid w:val="004C2768"/>
    <w:rsid w:val="004C294B"/>
    <w:rsid w:val="004C2AE3"/>
    <w:rsid w:val="004C2D9D"/>
    <w:rsid w:val="004C344C"/>
    <w:rsid w:val="004C3E67"/>
    <w:rsid w:val="004C4602"/>
    <w:rsid w:val="004C5968"/>
    <w:rsid w:val="004C5BAE"/>
    <w:rsid w:val="004C60EE"/>
    <w:rsid w:val="004C6145"/>
    <w:rsid w:val="004C619F"/>
    <w:rsid w:val="004C6C27"/>
    <w:rsid w:val="004C6F14"/>
    <w:rsid w:val="004C75C9"/>
    <w:rsid w:val="004C79F1"/>
    <w:rsid w:val="004C7AC8"/>
    <w:rsid w:val="004D03DF"/>
    <w:rsid w:val="004D08DF"/>
    <w:rsid w:val="004D0B9B"/>
    <w:rsid w:val="004D0CE5"/>
    <w:rsid w:val="004D1E52"/>
    <w:rsid w:val="004D2C9A"/>
    <w:rsid w:val="004D3675"/>
    <w:rsid w:val="004D3D8C"/>
    <w:rsid w:val="004D4D60"/>
    <w:rsid w:val="004D552C"/>
    <w:rsid w:val="004D57D3"/>
    <w:rsid w:val="004D6431"/>
    <w:rsid w:val="004D65BC"/>
    <w:rsid w:val="004D6A49"/>
    <w:rsid w:val="004D6AD0"/>
    <w:rsid w:val="004D72A7"/>
    <w:rsid w:val="004D7D63"/>
    <w:rsid w:val="004E07AD"/>
    <w:rsid w:val="004E0829"/>
    <w:rsid w:val="004E09FB"/>
    <w:rsid w:val="004E0AB6"/>
    <w:rsid w:val="004E16F4"/>
    <w:rsid w:val="004E23DB"/>
    <w:rsid w:val="004E24D6"/>
    <w:rsid w:val="004E2A91"/>
    <w:rsid w:val="004E2DED"/>
    <w:rsid w:val="004E2EE3"/>
    <w:rsid w:val="004E32E0"/>
    <w:rsid w:val="004E4386"/>
    <w:rsid w:val="004E452E"/>
    <w:rsid w:val="004E4690"/>
    <w:rsid w:val="004E518B"/>
    <w:rsid w:val="004E5343"/>
    <w:rsid w:val="004E5FBD"/>
    <w:rsid w:val="004E61E0"/>
    <w:rsid w:val="004E64AB"/>
    <w:rsid w:val="004E6DFD"/>
    <w:rsid w:val="004E6E8F"/>
    <w:rsid w:val="004E7277"/>
    <w:rsid w:val="004F0649"/>
    <w:rsid w:val="004F0734"/>
    <w:rsid w:val="004F0BEC"/>
    <w:rsid w:val="004F1406"/>
    <w:rsid w:val="004F1E05"/>
    <w:rsid w:val="004F2A3F"/>
    <w:rsid w:val="004F2CC0"/>
    <w:rsid w:val="004F2CEA"/>
    <w:rsid w:val="004F2FD6"/>
    <w:rsid w:val="004F3329"/>
    <w:rsid w:val="004F33AB"/>
    <w:rsid w:val="004F3914"/>
    <w:rsid w:val="004F3B78"/>
    <w:rsid w:val="004F4254"/>
    <w:rsid w:val="004F5E8E"/>
    <w:rsid w:val="004F6612"/>
    <w:rsid w:val="004F67A1"/>
    <w:rsid w:val="004F68F5"/>
    <w:rsid w:val="004F6D3A"/>
    <w:rsid w:val="004F6E52"/>
    <w:rsid w:val="004F7948"/>
    <w:rsid w:val="005013E2"/>
    <w:rsid w:val="00501417"/>
    <w:rsid w:val="005019E0"/>
    <w:rsid w:val="00501A9A"/>
    <w:rsid w:val="00501BDA"/>
    <w:rsid w:val="00501DB4"/>
    <w:rsid w:val="00501F62"/>
    <w:rsid w:val="00502289"/>
    <w:rsid w:val="005032E5"/>
    <w:rsid w:val="00504BCE"/>
    <w:rsid w:val="00504FBE"/>
    <w:rsid w:val="00506208"/>
    <w:rsid w:val="00506D06"/>
    <w:rsid w:val="0050714E"/>
    <w:rsid w:val="00507D9E"/>
    <w:rsid w:val="0051124B"/>
    <w:rsid w:val="005116C4"/>
    <w:rsid w:val="0051293F"/>
    <w:rsid w:val="00512F6C"/>
    <w:rsid w:val="005134EF"/>
    <w:rsid w:val="00513CD5"/>
    <w:rsid w:val="00513E0D"/>
    <w:rsid w:val="00513FA0"/>
    <w:rsid w:val="005144EE"/>
    <w:rsid w:val="00514701"/>
    <w:rsid w:val="00514DDE"/>
    <w:rsid w:val="00515BBA"/>
    <w:rsid w:val="005167C0"/>
    <w:rsid w:val="00516F2B"/>
    <w:rsid w:val="005177FB"/>
    <w:rsid w:val="0051792F"/>
    <w:rsid w:val="0052180A"/>
    <w:rsid w:val="00521B17"/>
    <w:rsid w:val="00521CCE"/>
    <w:rsid w:val="00522159"/>
    <w:rsid w:val="00522362"/>
    <w:rsid w:val="00522500"/>
    <w:rsid w:val="00522837"/>
    <w:rsid w:val="00522A17"/>
    <w:rsid w:val="00522B43"/>
    <w:rsid w:val="00522EF3"/>
    <w:rsid w:val="0052370A"/>
    <w:rsid w:val="00523804"/>
    <w:rsid w:val="00524D2D"/>
    <w:rsid w:val="00524D69"/>
    <w:rsid w:val="00525134"/>
    <w:rsid w:val="0052558D"/>
    <w:rsid w:val="005255F3"/>
    <w:rsid w:val="00525C21"/>
    <w:rsid w:val="00525CAD"/>
    <w:rsid w:val="00525FDE"/>
    <w:rsid w:val="00526097"/>
    <w:rsid w:val="005263C1"/>
    <w:rsid w:val="005263CA"/>
    <w:rsid w:val="005271C2"/>
    <w:rsid w:val="005274CD"/>
    <w:rsid w:val="005274E5"/>
    <w:rsid w:val="005300A2"/>
    <w:rsid w:val="005304CB"/>
    <w:rsid w:val="00531013"/>
    <w:rsid w:val="00531057"/>
    <w:rsid w:val="00531151"/>
    <w:rsid w:val="005314FC"/>
    <w:rsid w:val="005315EE"/>
    <w:rsid w:val="00531703"/>
    <w:rsid w:val="005317E8"/>
    <w:rsid w:val="00531870"/>
    <w:rsid w:val="00531D73"/>
    <w:rsid w:val="00532B2F"/>
    <w:rsid w:val="00532BA7"/>
    <w:rsid w:val="00532BB1"/>
    <w:rsid w:val="0053309E"/>
    <w:rsid w:val="00533974"/>
    <w:rsid w:val="00533977"/>
    <w:rsid w:val="00534370"/>
    <w:rsid w:val="00534579"/>
    <w:rsid w:val="005350CA"/>
    <w:rsid w:val="00535DC0"/>
    <w:rsid w:val="00536023"/>
    <w:rsid w:val="005367EA"/>
    <w:rsid w:val="00536D47"/>
    <w:rsid w:val="005372AC"/>
    <w:rsid w:val="00537854"/>
    <w:rsid w:val="0054027E"/>
    <w:rsid w:val="00540CC7"/>
    <w:rsid w:val="00541653"/>
    <w:rsid w:val="00541698"/>
    <w:rsid w:val="00541723"/>
    <w:rsid w:val="00541AAA"/>
    <w:rsid w:val="005427B9"/>
    <w:rsid w:val="0054284F"/>
    <w:rsid w:val="0054288B"/>
    <w:rsid w:val="005429BF"/>
    <w:rsid w:val="005434ED"/>
    <w:rsid w:val="0054386C"/>
    <w:rsid w:val="005448A0"/>
    <w:rsid w:val="005448C0"/>
    <w:rsid w:val="00545977"/>
    <w:rsid w:val="0054666D"/>
    <w:rsid w:val="005475EE"/>
    <w:rsid w:val="005501EA"/>
    <w:rsid w:val="00550720"/>
    <w:rsid w:val="005508CA"/>
    <w:rsid w:val="005508E6"/>
    <w:rsid w:val="00550920"/>
    <w:rsid w:val="00552171"/>
    <w:rsid w:val="00552293"/>
    <w:rsid w:val="00552478"/>
    <w:rsid w:val="00552F96"/>
    <w:rsid w:val="00552FA0"/>
    <w:rsid w:val="005531B1"/>
    <w:rsid w:val="0055336E"/>
    <w:rsid w:val="00553818"/>
    <w:rsid w:val="00554006"/>
    <w:rsid w:val="00554867"/>
    <w:rsid w:val="00554C66"/>
    <w:rsid w:val="00556063"/>
    <w:rsid w:val="0055657F"/>
    <w:rsid w:val="00556D68"/>
    <w:rsid w:val="00557428"/>
    <w:rsid w:val="00557517"/>
    <w:rsid w:val="00557771"/>
    <w:rsid w:val="005577D1"/>
    <w:rsid w:val="005600CA"/>
    <w:rsid w:val="0056078F"/>
    <w:rsid w:val="005608ED"/>
    <w:rsid w:val="00560D5A"/>
    <w:rsid w:val="00561F08"/>
    <w:rsid w:val="00562C1E"/>
    <w:rsid w:val="00562D9E"/>
    <w:rsid w:val="0056372D"/>
    <w:rsid w:val="00563CE6"/>
    <w:rsid w:val="00564095"/>
    <w:rsid w:val="0056510B"/>
    <w:rsid w:val="005651FC"/>
    <w:rsid w:val="00565AE5"/>
    <w:rsid w:val="005661C8"/>
    <w:rsid w:val="00566574"/>
    <w:rsid w:val="005677DC"/>
    <w:rsid w:val="00567C00"/>
    <w:rsid w:val="005706F6"/>
    <w:rsid w:val="00570EB8"/>
    <w:rsid w:val="00571009"/>
    <w:rsid w:val="00571FAF"/>
    <w:rsid w:val="00573228"/>
    <w:rsid w:val="00573F48"/>
    <w:rsid w:val="00574139"/>
    <w:rsid w:val="00574247"/>
    <w:rsid w:val="005745EC"/>
    <w:rsid w:val="00574C19"/>
    <w:rsid w:val="005753F0"/>
    <w:rsid w:val="00575D4D"/>
    <w:rsid w:val="00575DE3"/>
    <w:rsid w:val="00577466"/>
    <w:rsid w:val="00577779"/>
    <w:rsid w:val="00577AB9"/>
    <w:rsid w:val="00580687"/>
    <w:rsid w:val="005806E1"/>
    <w:rsid w:val="005811C2"/>
    <w:rsid w:val="00581BBC"/>
    <w:rsid w:val="00581CC3"/>
    <w:rsid w:val="0058221E"/>
    <w:rsid w:val="005822D9"/>
    <w:rsid w:val="00582851"/>
    <w:rsid w:val="00582AD3"/>
    <w:rsid w:val="00582B64"/>
    <w:rsid w:val="005836DF"/>
    <w:rsid w:val="005837BC"/>
    <w:rsid w:val="00583FBC"/>
    <w:rsid w:val="00584E75"/>
    <w:rsid w:val="00585285"/>
    <w:rsid w:val="00585853"/>
    <w:rsid w:val="00585882"/>
    <w:rsid w:val="005858BC"/>
    <w:rsid w:val="00585AA8"/>
    <w:rsid w:val="00585DD7"/>
    <w:rsid w:val="00586475"/>
    <w:rsid w:val="00586B1F"/>
    <w:rsid w:val="00586FB6"/>
    <w:rsid w:val="00587455"/>
    <w:rsid w:val="005874AE"/>
    <w:rsid w:val="00590087"/>
    <w:rsid w:val="00590573"/>
    <w:rsid w:val="00590834"/>
    <w:rsid w:val="00590D80"/>
    <w:rsid w:val="005915D0"/>
    <w:rsid w:val="00591743"/>
    <w:rsid w:val="00591849"/>
    <w:rsid w:val="00592934"/>
    <w:rsid w:val="00592AAF"/>
    <w:rsid w:val="0059354B"/>
    <w:rsid w:val="00593A10"/>
    <w:rsid w:val="00593A7C"/>
    <w:rsid w:val="00593E01"/>
    <w:rsid w:val="00593FBD"/>
    <w:rsid w:val="00594516"/>
    <w:rsid w:val="00595BE2"/>
    <w:rsid w:val="00595D9D"/>
    <w:rsid w:val="00597546"/>
    <w:rsid w:val="00597D1C"/>
    <w:rsid w:val="00597F40"/>
    <w:rsid w:val="005A015A"/>
    <w:rsid w:val="005A02F9"/>
    <w:rsid w:val="005A0C4D"/>
    <w:rsid w:val="005A13AF"/>
    <w:rsid w:val="005A1D92"/>
    <w:rsid w:val="005A2B71"/>
    <w:rsid w:val="005A361D"/>
    <w:rsid w:val="005A3865"/>
    <w:rsid w:val="005A3DC4"/>
    <w:rsid w:val="005A479F"/>
    <w:rsid w:val="005A55AD"/>
    <w:rsid w:val="005A5BF2"/>
    <w:rsid w:val="005A62DA"/>
    <w:rsid w:val="005A69AF"/>
    <w:rsid w:val="005A6CBD"/>
    <w:rsid w:val="005A76BB"/>
    <w:rsid w:val="005A7943"/>
    <w:rsid w:val="005A7F51"/>
    <w:rsid w:val="005B0356"/>
    <w:rsid w:val="005B18D3"/>
    <w:rsid w:val="005B1D94"/>
    <w:rsid w:val="005B1F06"/>
    <w:rsid w:val="005B21DE"/>
    <w:rsid w:val="005B278F"/>
    <w:rsid w:val="005B2D63"/>
    <w:rsid w:val="005B40C2"/>
    <w:rsid w:val="005B425F"/>
    <w:rsid w:val="005B4285"/>
    <w:rsid w:val="005B432B"/>
    <w:rsid w:val="005B56F1"/>
    <w:rsid w:val="005B5956"/>
    <w:rsid w:val="005B5D3F"/>
    <w:rsid w:val="005B5D98"/>
    <w:rsid w:val="005B5EC7"/>
    <w:rsid w:val="005B5EE1"/>
    <w:rsid w:val="005B6400"/>
    <w:rsid w:val="005B6468"/>
    <w:rsid w:val="005B651B"/>
    <w:rsid w:val="005B6DE3"/>
    <w:rsid w:val="005B6E59"/>
    <w:rsid w:val="005B723E"/>
    <w:rsid w:val="005C0223"/>
    <w:rsid w:val="005C1038"/>
    <w:rsid w:val="005C1726"/>
    <w:rsid w:val="005C23DF"/>
    <w:rsid w:val="005C269C"/>
    <w:rsid w:val="005C30ED"/>
    <w:rsid w:val="005C35A6"/>
    <w:rsid w:val="005C3EC1"/>
    <w:rsid w:val="005C4A95"/>
    <w:rsid w:val="005C5650"/>
    <w:rsid w:val="005C5775"/>
    <w:rsid w:val="005C5C3E"/>
    <w:rsid w:val="005C65CC"/>
    <w:rsid w:val="005C6B72"/>
    <w:rsid w:val="005C6CF4"/>
    <w:rsid w:val="005C6E2B"/>
    <w:rsid w:val="005C72B6"/>
    <w:rsid w:val="005C7610"/>
    <w:rsid w:val="005C7700"/>
    <w:rsid w:val="005D018C"/>
    <w:rsid w:val="005D03CC"/>
    <w:rsid w:val="005D063C"/>
    <w:rsid w:val="005D0892"/>
    <w:rsid w:val="005D0895"/>
    <w:rsid w:val="005D0D1E"/>
    <w:rsid w:val="005D0D78"/>
    <w:rsid w:val="005D2E75"/>
    <w:rsid w:val="005D3003"/>
    <w:rsid w:val="005D3698"/>
    <w:rsid w:val="005D487E"/>
    <w:rsid w:val="005D4903"/>
    <w:rsid w:val="005D522F"/>
    <w:rsid w:val="005D59FC"/>
    <w:rsid w:val="005D5D59"/>
    <w:rsid w:val="005D61B6"/>
    <w:rsid w:val="005D640E"/>
    <w:rsid w:val="005D6A6F"/>
    <w:rsid w:val="005D6AF1"/>
    <w:rsid w:val="005D7DC6"/>
    <w:rsid w:val="005E0748"/>
    <w:rsid w:val="005E0CEC"/>
    <w:rsid w:val="005E10E8"/>
    <w:rsid w:val="005E17C6"/>
    <w:rsid w:val="005E1D3C"/>
    <w:rsid w:val="005E26C2"/>
    <w:rsid w:val="005E3196"/>
    <w:rsid w:val="005E3668"/>
    <w:rsid w:val="005E3942"/>
    <w:rsid w:val="005E4490"/>
    <w:rsid w:val="005E454A"/>
    <w:rsid w:val="005E49C2"/>
    <w:rsid w:val="005E50BC"/>
    <w:rsid w:val="005E5354"/>
    <w:rsid w:val="005E5E3F"/>
    <w:rsid w:val="005E64B8"/>
    <w:rsid w:val="005E78CE"/>
    <w:rsid w:val="005F0890"/>
    <w:rsid w:val="005F1379"/>
    <w:rsid w:val="005F1BF6"/>
    <w:rsid w:val="005F1DC4"/>
    <w:rsid w:val="005F237E"/>
    <w:rsid w:val="005F2669"/>
    <w:rsid w:val="005F267C"/>
    <w:rsid w:val="005F31C1"/>
    <w:rsid w:val="005F559A"/>
    <w:rsid w:val="005F699C"/>
    <w:rsid w:val="005F7374"/>
    <w:rsid w:val="00600D6B"/>
    <w:rsid w:val="00600F89"/>
    <w:rsid w:val="0060186C"/>
    <w:rsid w:val="0060220A"/>
    <w:rsid w:val="006032F6"/>
    <w:rsid w:val="00603D0B"/>
    <w:rsid w:val="0060558B"/>
    <w:rsid w:val="00605A43"/>
    <w:rsid w:val="006062C3"/>
    <w:rsid w:val="00606970"/>
    <w:rsid w:val="00606BD2"/>
    <w:rsid w:val="00606D2F"/>
    <w:rsid w:val="00607587"/>
    <w:rsid w:val="006078AC"/>
    <w:rsid w:val="00607A32"/>
    <w:rsid w:val="00610894"/>
    <w:rsid w:val="00610FDE"/>
    <w:rsid w:val="0061137D"/>
    <w:rsid w:val="006118E9"/>
    <w:rsid w:val="00612AF6"/>
    <w:rsid w:val="00612E1E"/>
    <w:rsid w:val="00613E2D"/>
    <w:rsid w:val="0061428D"/>
    <w:rsid w:val="0061451F"/>
    <w:rsid w:val="00614B1D"/>
    <w:rsid w:val="00615598"/>
    <w:rsid w:val="00615D17"/>
    <w:rsid w:val="00616576"/>
    <w:rsid w:val="006167AB"/>
    <w:rsid w:val="006176E1"/>
    <w:rsid w:val="00617765"/>
    <w:rsid w:val="006211BF"/>
    <w:rsid w:val="00621307"/>
    <w:rsid w:val="00622775"/>
    <w:rsid w:val="006235B4"/>
    <w:rsid w:val="00624DA6"/>
    <w:rsid w:val="00624DE7"/>
    <w:rsid w:val="006250FC"/>
    <w:rsid w:val="006253F2"/>
    <w:rsid w:val="0062541D"/>
    <w:rsid w:val="0062556B"/>
    <w:rsid w:val="00626330"/>
    <w:rsid w:val="00630BA4"/>
    <w:rsid w:val="00630C7A"/>
    <w:rsid w:val="00630E9D"/>
    <w:rsid w:val="00630FCE"/>
    <w:rsid w:val="006318C5"/>
    <w:rsid w:val="00631924"/>
    <w:rsid w:val="00631CF4"/>
    <w:rsid w:val="0063224D"/>
    <w:rsid w:val="006330CA"/>
    <w:rsid w:val="00633A7A"/>
    <w:rsid w:val="00634240"/>
    <w:rsid w:val="006349A1"/>
    <w:rsid w:val="006352EE"/>
    <w:rsid w:val="00635644"/>
    <w:rsid w:val="006357E1"/>
    <w:rsid w:val="00635BDF"/>
    <w:rsid w:val="0063618E"/>
    <w:rsid w:val="00636505"/>
    <w:rsid w:val="00640105"/>
    <w:rsid w:val="00640225"/>
    <w:rsid w:val="006406A4"/>
    <w:rsid w:val="006412D5"/>
    <w:rsid w:val="00641628"/>
    <w:rsid w:val="00642029"/>
    <w:rsid w:val="00642072"/>
    <w:rsid w:val="00642383"/>
    <w:rsid w:val="00642694"/>
    <w:rsid w:val="0064282A"/>
    <w:rsid w:val="006431F5"/>
    <w:rsid w:val="00644FAD"/>
    <w:rsid w:val="00645374"/>
    <w:rsid w:val="006458C5"/>
    <w:rsid w:val="00645B5D"/>
    <w:rsid w:val="00646683"/>
    <w:rsid w:val="006469E3"/>
    <w:rsid w:val="006470D1"/>
    <w:rsid w:val="006500C1"/>
    <w:rsid w:val="00650387"/>
    <w:rsid w:val="00650614"/>
    <w:rsid w:val="00651B95"/>
    <w:rsid w:val="00651EC2"/>
    <w:rsid w:val="00652C65"/>
    <w:rsid w:val="00653CB4"/>
    <w:rsid w:val="006557AF"/>
    <w:rsid w:val="00656E4E"/>
    <w:rsid w:val="00656ECD"/>
    <w:rsid w:val="00657619"/>
    <w:rsid w:val="00657890"/>
    <w:rsid w:val="00657CD9"/>
    <w:rsid w:val="00660AEB"/>
    <w:rsid w:val="00660EA3"/>
    <w:rsid w:val="00661E9B"/>
    <w:rsid w:val="006621E5"/>
    <w:rsid w:val="006628C1"/>
    <w:rsid w:val="00662B82"/>
    <w:rsid w:val="00662C95"/>
    <w:rsid w:val="00662E3B"/>
    <w:rsid w:val="006630CC"/>
    <w:rsid w:val="006640A5"/>
    <w:rsid w:val="00665110"/>
    <w:rsid w:val="00665B3E"/>
    <w:rsid w:val="00665C25"/>
    <w:rsid w:val="00665EF2"/>
    <w:rsid w:val="00666A7C"/>
    <w:rsid w:val="0066707D"/>
    <w:rsid w:val="00667863"/>
    <w:rsid w:val="00667ECF"/>
    <w:rsid w:val="0067016D"/>
    <w:rsid w:val="00670588"/>
    <w:rsid w:val="006714C4"/>
    <w:rsid w:val="00671814"/>
    <w:rsid w:val="00671F83"/>
    <w:rsid w:val="00672365"/>
    <w:rsid w:val="00672475"/>
    <w:rsid w:val="00673015"/>
    <w:rsid w:val="00673BBE"/>
    <w:rsid w:val="00674226"/>
    <w:rsid w:val="00674358"/>
    <w:rsid w:val="00674752"/>
    <w:rsid w:val="006750F8"/>
    <w:rsid w:val="0067584D"/>
    <w:rsid w:val="00676363"/>
    <w:rsid w:val="0067671D"/>
    <w:rsid w:val="0067699F"/>
    <w:rsid w:val="006769F0"/>
    <w:rsid w:val="0067728E"/>
    <w:rsid w:val="0067791A"/>
    <w:rsid w:val="00680651"/>
    <w:rsid w:val="00680EED"/>
    <w:rsid w:val="00682FB9"/>
    <w:rsid w:val="00683150"/>
    <w:rsid w:val="006835B3"/>
    <w:rsid w:val="00683FB4"/>
    <w:rsid w:val="006849A7"/>
    <w:rsid w:val="006854E7"/>
    <w:rsid w:val="006855F6"/>
    <w:rsid w:val="00685913"/>
    <w:rsid w:val="00686756"/>
    <w:rsid w:val="00686AB0"/>
    <w:rsid w:val="00686AE5"/>
    <w:rsid w:val="00686FBA"/>
    <w:rsid w:val="00687EE2"/>
    <w:rsid w:val="006905EC"/>
    <w:rsid w:val="00690764"/>
    <w:rsid w:val="00690916"/>
    <w:rsid w:val="00690BD3"/>
    <w:rsid w:val="00690E79"/>
    <w:rsid w:val="0069117A"/>
    <w:rsid w:val="006915C6"/>
    <w:rsid w:val="006915CD"/>
    <w:rsid w:val="00692809"/>
    <w:rsid w:val="00693142"/>
    <w:rsid w:val="00693697"/>
    <w:rsid w:val="00693AE6"/>
    <w:rsid w:val="00693F63"/>
    <w:rsid w:val="006942C7"/>
    <w:rsid w:val="006947A6"/>
    <w:rsid w:val="006956FB"/>
    <w:rsid w:val="00696E44"/>
    <w:rsid w:val="00697948"/>
    <w:rsid w:val="00697AA6"/>
    <w:rsid w:val="00697E6D"/>
    <w:rsid w:val="00697EC7"/>
    <w:rsid w:val="006A0BF9"/>
    <w:rsid w:val="006A334B"/>
    <w:rsid w:val="006A338F"/>
    <w:rsid w:val="006A33F1"/>
    <w:rsid w:val="006A39EB"/>
    <w:rsid w:val="006A3C5C"/>
    <w:rsid w:val="006A3D02"/>
    <w:rsid w:val="006A4201"/>
    <w:rsid w:val="006A47DE"/>
    <w:rsid w:val="006A5917"/>
    <w:rsid w:val="006A5A73"/>
    <w:rsid w:val="006A5D2B"/>
    <w:rsid w:val="006A5D39"/>
    <w:rsid w:val="006A69EF"/>
    <w:rsid w:val="006A7053"/>
    <w:rsid w:val="006A70B1"/>
    <w:rsid w:val="006B0051"/>
    <w:rsid w:val="006B0FE5"/>
    <w:rsid w:val="006B1466"/>
    <w:rsid w:val="006B3C0C"/>
    <w:rsid w:val="006B3C24"/>
    <w:rsid w:val="006B3D3B"/>
    <w:rsid w:val="006B48E8"/>
    <w:rsid w:val="006B6C8B"/>
    <w:rsid w:val="006B72F7"/>
    <w:rsid w:val="006B74CB"/>
    <w:rsid w:val="006B74E5"/>
    <w:rsid w:val="006B76C3"/>
    <w:rsid w:val="006C05BA"/>
    <w:rsid w:val="006C0A8B"/>
    <w:rsid w:val="006C0C31"/>
    <w:rsid w:val="006C1398"/>
    <w:rsid w:val="006C1A8A"/>
    <w:rsid w:val="006C1B55"/>
    <w:rsid w:val="006C1F2A"/>
    <w:rsid w:val="006C4051"/>
    <w:rsid w:val="006C5845"/>
    <w:rsid w:val="006C5C76"/>
    <w:rsid w:val="006C701F"/>
    <w:rsid w:val="006C71C3"/>
    <w:rsid w:val="006C74A8"/>
    <w:rsid w:val="006D0473"/>
    <w:rsid w:val="006D0C3A"/>
    <w:rsid w:val="006D215B"/>
    <w:rsid w:val="006D236B"/>
    <w:rsid w:val="006D240D"/>
    <w:rsid w:val="006D39FC"/>
    <w:rsid w:val="006D3FE5"/>
    <w:rsid w:val="006D46DD"/>
    <w:rsid w:val="006D480E"/>
    <w:rsid w:val="006D5D40"/>
    <w:rsid w:val="006D6E19"/>
    <w:rsid w:val="006D7EB4"/>
    <w:rsid w:val="006E05A0"/>
    <w:rsid w:val="006E1DBD"/>
    <w:rsid w:val="006E1E4A"/>
    <w:rsid w:val="006E2010"/>
    <w:rsid w:val="006E20AF"/>
    <w:rsid w:val="006E24B6"/>
    <w:rsid w:val="006E2C0A"/>
    <w:rsid w:val="006E4199"/>
    <w:rsid w:val="006E4303"/>
    <w:rsid w:val="006E4F55"/>
    <w:rsid w:val="006E547A"/>
    <w:rsid w:val="006E58BA"/>
    <w:rsid w:val="006E5FDD"/>
    <w:rsid w:val="006E61F7"/>
    <w:rsid w:val="006E62D3"/>
    <w:rsid w:val="006E6440"/>
    <w:rsid w:val="006E66D5"/>
    <w:rsid w:val="006E69EB"/>
    <w:rsid w:val="006E6B0E"/>
    <w:rsid w:val="006E7F73"/>
    <w:rsid w:val="006F0C5C"/>
    <w:rsid w:val="006F2BFD"/>
    <w:rsid w:val="006F47BF"/>
    <w:rsid w:val="006F4D28"/>
    <w:rsid w:val="006F5536"/>
    <w:rsid w:val="006F6039"/>
    <w:rsid w:val="006F6110"/>
    <w:rsid w:val="006F668A"/>
    <w:rsid w:val="006F6FEF"/>
    <w:rsid w:val="0070054E"/>
    <w:rsid w:val="00700EF6"/>
    <w:rsid w:val="00701E87"/>
    <w:rsid w:val="00702165"/>
    <w:rsid w:val="00702371"/>
    <w:rsid w:val="00702826"/>
    <w:rsid w:val="00702B5C"/>
    <w:rsid w:val="00702BB5"/>
    <w:rsid w:val="00702FAA"/>
    <w:rsid w:val="007030BB"/>
    <w:rsid w:val="007032CF"/>
    <w:rsid w:val="007035EE"/>
    <w:rsid w:val="00703758"/>
    <w:rsid w:val="00703785"/>
    <w:rsid w:val="00704104"/>
    <w:rsid w:val="0070438F"/>
    <w:rsid w:val="007050ED"/>
    <w:rsid w:val="00705819"/>
    <w:rsid w:val="00705833"/>
    <w:rsid w:val="00706E36"/>
    <w:rsid w:val="0070783D"/>
    <w:rsid w:val="007102CE"/>
    <w:rsid w:val="00710C12"/>
    <w:rsid w:val="00711B22"/>
    <w:rsid w:val="0071345A"/>
    <w:rsid w:val="0071368E"/>
    <w:rsid w:val="00713A94"/>
    <w:rsid w:val="00713FE9"/>
    <w:rsid w:val="00714901"/>
    <w:rsid w:val="007151C2"/>
    <w:rsid w:val="00715462"/>
    <w:rsid w:val="007158F7"/>
    <w:rsid w:val="00715B3E"/>
    <w:rsid w:val="007161B9"/>
    <w:rsid w:val="00716505"/>
    <w:rsid w:val="00716972"/>
    <w:rsid w:val="00716DD6"/>
    <w:rsid w:val="00717EBA"/>
    <w:rsid w:val="007207D9"/>
    <w:rsid w:val="00720969"/>
    <w:rsid w:val="007209B0"/>
    <w:rsid w:val="00721C90"/>
    <w:rsid w:val="00722C75"/>
    <w:rsid w:val="0072355A"/>
    <w:rsid w:val="0072357E"/>
    <w:rsid w:val="0072369D"/>
    <w:rsid w:val="00723781"/>
    <w:rsid w:val="0072422D"/>
    <w:rsid w:val="00724A45"/>
    <w:rsid w:val="00724BB6"/>
    <w:rsid w:val="007251EF"/>
    <w:rsid w:val="00725E26"/>
    <w:rsid w:val="00726296"/>
    <w:rsid w:val="00726298"/>
    <w:rsid w:val="0072700D"/>
    <w:rsid w:val="00727196"/>
    <w:rsid w:val="00727550"/>
    <w:rsid w:val="00727E46"/>
    <w:rsid w:val="00730EB7"/>
    <w:rsid w:val="00731B53"/>
    <w:rsid w:val="00732484"/>
    <w:rsid w:val="00732AD0"/>
    <w:rsid w:val="00732B29"/>
    <w:rsid w:val="00732D4F"/>
    <w:rsid w:val="00732EEA"/>
    <w:rsid w:val="00732F98"/>
    <w:rsid w:val="007330BF"/>
    <w:rsid w:val="00733903"/>
    <w:rsid w:val="00734586"/>
    <w:rsid w:val="0073476B"/>
    <w:rsid w:val="007350C3"/>
    <w:rsid w:val="007350F4"/>
    <w:rsid w:val="007353A1"/>
    <w:rsid w:val="007368BB"/>
    <w:rsid w:val="00736E21"/>
    <w:rsid w:val="00736F4C"/>
    <w:rsid w:val="00737739"/>
    <w:rsid w:val="00737FD6"/>
    <w:rsid w:val="0074067F"/>
    <w:rsid w:val="007412DD"/>
    <w:rsid w:val="0074209F"/>
    <w:rsid w:val="007421D9"/>
    <w:rsid w:val="00742396"/>
    <w:rsid w:val="00742CD2"/>
    <w:rsid w:val="007438DE"/>
    <w:rsid w:val="00743EAD"/>
    <w:rsid w:val="0074432A"/>
    <w:rsid w:val="00744EE6"/>
    <w:rsid w:val="00745531"/>
    <w:rsid w:val="007455B5"/>
    <w:rsid w:val="00745C03"/>
    <w:rsid w:val="00747148"/>
    <w:rsid w:val="007476E4"/>
    <w:rsid w:val="00747845"/>
    <w:rsid w:val="00747C36"/>
    <w:rsid w:val="00747F5C"/>
    <w:rsid w:val="00750AC2"/>
    <w:rsid w:val="007519B8"/>
    <w:rsid w:val="0075283A"/>
    <w:rsid w:val="00752853"/>
    <w:rsid w:val="00754340"/>
    <w:rsid w:val="007546C1"/>
    <w:rsid w:val="00754BCF"/>
    <w:rsid w:val="0075527B"/>
    <w:rsid w:val="007552C5"/>
    <w:rsid w:val="007558FF"/>
    <w:rsid w:val="00755A25"/>
    <w:rsid w:val="00755FE3"/>
    <w:rsid w:val="0075609E"/>
    <w:rsid w:val="007569C1"/>
    <w:rsid w:val="00757351"/>
    <w:rsid w:val="00757959"/>
    <w:rsid w:val="00757B09"/>
    <w:rsid w:val="00757F07"/>
    <w:rsid w:val="00757FA5"/>
    <w:rsid w:val="00760244"/>
    <w:rsid w:val="00760360"/>
    <w:rsid w:val="00760554"/>
    <w:rsid w:val="00761F2C"/>
    <w:rsid w:val="00762A62"/>
    <w:rsid w:val="00763394"/>
    <w:rsid w:val="007637FC"/>
    <w:rsid w:val="0076409D"/>
    <w:rsid w:val="00764146"/>
    <w:rsid w:val="0076470A"/>
    <w:rsid w:val="007651E1"/>
    <w:rsid w:val="00765886"/>
    <w:rsid w:val="007664FB"/>
    <w:rsid w:val="00766DA5"/>
    <w:rsid w:val="007672A7"/>
    <w:rsid w:val="0077046D"/>
    <w:rsid w:val="00770565"/>
    <w:rsid w:val="00770626"/>
    <w:rsid w:val="00770B49"/>
    <w:rsid w:val="00770CAA"/>
    <w:rsid w:val="00770E87"/>
    <w:rsid w:val="00771A19"/>
    <w:rsid w:val="00771A35"/>
    <w:rsid w:val="00772A18"/>
    <w:rsid w:val="007734D9"/>
    <w:rsid w:val="00774601"/>
    <w:rsid w:val="00774DDC"/>
    <w:rsid w:val="007750C2"/>
    <w:rsid w:val="00775279"/>
    <w:rsid w:val="007765DF"/>
    <w:rsid w:val="007765E1"/>
    <w:rsid w:val="00776C85"/>
    <w:rsid w:val="007771B9"/>
    <w:rsid w:val="00777250"/>
    <w:rsid w:val="00777A41"/>
    <w:rsid w:val="00777BFE"/>
    <w:rsid w:val="00777D69"/>
    <w:rsid w:val="0078052E"/>
    <w:rsid w:val="00780908"/>
    <w:rsid w:val="00780FAD"/>
    <w:rsid w:val="00781682"/>
    <w:rsid w:val="0078218B"/>
    <w:rsid w:val="0078241A"/>
    <w:rsid w:val="00783156"/>
    <w:rsid w:val="0078323F"/>
    <w:rsid w:val="0078344A"/>
    <w:rsid w:val="007839C0"/>
    <w:rsid w:val="00783BAD"/>
    <w:rsid w:val="00786443"/>
    <w:rsid w:val="00786F82"/>
    <w:rsid w:val="00787601"/>
    <w:rsid w:val="0078767E"/>
    <w:rsid w:val="007878DD"/>
    <w:rsid w:val="00787C99"/>
    <w:rsid w:val="00787EB3"/>
    <w:rsid w:val="0079001F"/>
    <w:rsid w:val="00790AC8"/>
    <w:rsid w:val="0079151B"/>
    <w:rsid w:val="007915B3"/>
    <w:rsid w:val="0079187C"/>
    <w:rsid w:val="00791928"/>
    <w:rsid w:val="00791E3B"/>
    <w:rsid w:val="0079228E"/>
    <w:rsid w:val="00792685"/>
    <w:rsid w:val="00792909"/>
    <w:rsid w:val="007933C7"/>
    <w:rsid w:val="00793BBC"/>
    <w:rsid w:val="007942E3"/>
    <w:rsid w:val="007943A1"/>
    <w:rsid w:val="00794C53"/>
    <w:rsid w:val="00794DCA"/>
    <w:rsid w:val="00795207"/>
    <w:rsid w:val="007953F0"/>
    <w:rsid w:val="00795F76"/>
    <w:rsid w:val="00796204"/>
    <w:rsid w:val="007962DA"/>
    <w:rsid w:val="00796A72"/>
    <w:rsid w:val="00796C3A"/>
    <w:rsid w:val="007976D4"/>
    <w:rsid w:val="00797DC4"/>
    <w:rsid w:val="007A05FC"/>
    <w:rsid w:val="007A1015"/>
    <w:rsid w:val="007A1082"/>
    <w:rsid w:val="007A27A6"/>
    <w:rsid w:val="007A287E"/>
    <w:rsid w:val="007A364B"/>
    <w:rsid w:val="007A377F"/>
    <w:rsid w:val="007A4507"/>
    <w:rsid w:val="007A48B5"/>
    <w:rsid w:val="007A530D"/>
    <w:rsid w:val="007A5ECF"/>
    <w:rsid w:val="007A5F5D"/>
    <w:rsid w:val="007A5FD1"/>
    <w:rsid w:val="007A6606"/>
    <w:rsid w:val="007A67B1"/>
    <w:rsid w:val="007A69D9"/>
    <w:rsid w:val="007A6DCB"/>
    <w:rsid w:val="007A6FB0"/>
    <w:rsid w:val="007A7042"/>
    <w:rsid w:val="007A714B"/>
    <w:rsid w:val="007A79D3"/>
    <w:rsid w:val="007A7F41"/>
    <w:rsid w:val="007B1033"/>
    <w:rsid w:val="007B1591"/>
    <w:rsid w:val="007B1D61"/>
    <w:rsid w:val="007B30C7"/>
    <w:rsid w:val="007B511E"/>
    <w:rsid w:val="007B5592"/>
    <w:rsid w:val="007B5625"/>
    <w:rsid w:val="007B5CEA"/>
    <w:rsid w:val="007B604E"/>
    <w:rsid w:val="007B6CAD"/>
    <w:rsid w:val="007B720B"/>
    <w:rsid w:val="007B7340"/>
    <w:rsid w:val="007B737F"/>
    <w:rsid w:val="007B73C0"/>
    <w:rsid w:val="007B7460"/>
    <w:rsid w:val="007B75EB"/>
    <w:rsid w:val="007B78A4"/>
    <w:rsid w:val="007B7EF7"/>
    <w:rsid w:val="007C03DB"/>
    <w:rsid w:val="007C06BC"/>
    <w:rsid w:val="007C073E"/>
    <w:rsid w:val="007C232C"/>
    <w:rsid w:val="007C2A5A"/>
    <w:rsid w:val="007C36B5"/>
    <w:rsid w:val="007C3B69"/>
    <w:rsid w:val="007C3FD0"/>
    <w:rsid w:val="007C4558"/>
    <w:rsid w:val="007C47F7"/>
    <w:rsid w:val="007C52CB"/>
    <w:rsid w:val="007C5FDA"/>
    <w:rsid w:val="007C743C"/>
    <w:rsid w:val="007C77D5"/>
    <w:rsid w:val="007C7D4A"/>
    <w:rsid w:val="007D0B4A"/>
    <w:rsid w:val="007D1279"/>
    <w:rsid w:val="007D2455"/>
    <w:rsid w:val="007D2A16"/>
    <w:rsid w:val="007D360F"/>
    <w:rsid w:val="007D36A3"/>
    <w:rsid w:val="007D449D"/>
    <w:rsid w:val="007D4599"/>
    <w:rsid w:val="007D498E"/>
    <w:rsid w:val="007D4EFF"/>
    <w:rsid w:val="007D5332"/>
    <w:rsid w:val="007D5C47"/>
    <w:rsid w:val="007D6D2B"/>
    <w:rsid w:val="007E0CDF"/>
    <w:rsid w:val="007E0D00"/>
    <w:rsid w:val="007E2A5E"/>
    <w:rsid w:val="007E2CFA"/>
    <w:rsid w:val="007E3642"/>
    <w:rsid w:val="007E36D9"/>
    <w:rsid w:val="007E3D96"/>
    <w:rsid w:val="007E5C3A"/>
    <w:rsid w:val="007E69FB"/>
    <w:rsid w:val="007E6C01"/>
    <w:rsid w:val="007E6E3A"/>
    <w:rsid w:val="007E713A"/>
    <w:rsid w:val="007E7ABE"/>
    <w:rsid w:val="007E7EF7"/>
    <w:rsid w:val="007F05A5"/>
    <w:rsid w:val="007F0FC5"/>
    <w:rsid w:val="007F1403"/>
    <w:rsid w:val="007F1874"/>
    <w:rsid w:val="007F266D"/>
    <w:rsid w:val="007F2C5F"/>
    <w:rsid w:val="007F2E14"/>
    <w:rsid w:val="007F4850"/>
    <w:rsid w:val="007F5299"/>
    <w:rsid w:val="007F54E3"/>
    <w:rsid w:val="007F581B"/>
    <w:rsid w:val="007F5AEC"/>
    <w:rsid w:val="007F60A4"/>
    <w:rsid w:val="007F72C1"/>
    <w:rsid w:val="007F72F4"/>
    <w:rsid w:val="007F7961"/>
    <w:rsid w:val="007F7C46"/>
    <w:rsid w:val="0080099F"/>
    <w:rsid w:val="00801600"/>
    <w:rsid w:val="008018A2"/>
    <w:rsid w:val="00801BC1"/>
    <w:rsid w:val="00801C59"/>
    <w:rsid w:val="00801D36"/>
    <w:rsid w:val="00802251"/>
    <w:rsid w:val="00803A70"/>
    <w:rsid w:val="008041A3"/>
    <w:rsid w:val="00804F78"/>
    <w:rsid w:val="00805084"/>
    <w:rsid w:val="008053FC"/>
    <w:rsid w:val="00805CF5"/>
    <w:rsid w:val="00805F7A"/>
    <w:rsid w:val="00806796"/>
    <w:rsid w:val="00807F20"/>
    <w:rsid w:val="0081116C"/>
    <w:rsid w:val="008115DC"/>
    <w:rsid w:val="00811D8B"/>
    <w:rsid w:val="00811D99"/>
    <w:rsid w:val="008120E5"/>
    <w:rsid w:val="00812911"/>
    <w:rsid w:val="00812A76"/>
    <w:rsid w:val="00812C76"/>
    <w:rsid w:val="00812D47"/>
    <w:rsid w:val="00814276"/>
    <w:rsid w:val="008143AF"/>
    <w:rsid w:val="00814918"/>
    <w:rsid w:val="00814B0F"/>
    <w:rsid w:val="00814E31"/>
    <w:rsid w:val="00815169"/>
    <w:rsid w:val="008159E8"/>
    <w:rsid w:val="00815B58"/>
    <w:rsid w:val="00816003"/>
    <w:rsid w:val="008160CA"/>
    <w:rsid w:val="008160CF"/>
    <w:rsid w:val="0081617D"/>
    <w:rsid w:val="00816322"/>
    <w:rsid w:val="00816323"/>
    <w:rsid w:val="008163A7"/>
    <w:rsid w:val="008164BA"/>
    <w:rsid w:val="008166FF"/>
    <w:rsid w:val="00816B68"/>
    <w:rsid w:val="00816DAE"/>
    <w:rsid w:val="00816E1A"/>
    <w:rsid w:val="00816F4E"/>
    <w:rsid w:val="00816FDA"/>
    <w:rsid w:val="00817250"/>
    <w:rsid w:val="00817DF1"/>
    <w:rsid w:val="008206A0"/>
    <w:rsid w:val="00820F28"/>
    <w:rsid w:val="008214D0"/>
    <w:rsid w:val="00822114"/>
    <w:rsid w:val="0082251F"/>
    <w:rsid w:val="008226C4"/>
    <w:rsid w:val="00823125"/>
    <w:rsid w:val="00824159"/>
    <w:rsid w:val="00825016"/>
    <w:rsid w:val="0082502D"/>
    <w:rsid w:val="00825879"/>
    <w:rsid w:val="00826C85"/>
    <w:rsid w:val="0082709F"/>
    <w:rsid w:val="00830427"/>
    <w:rsid w:val="0083050E"/>
    <w:rsid w:val="00830A3D"/>
    <w:rsid w:val="0083107F"/>
    <w:rsid w:val="008319D3"/>
    <w:rsid w:val="00831F84"/>
    <w:rsid w:val="00832093"/>
    <w:rsid w:val="008323F2"/>
    <w:rsid w:val="00833132"/>
    <w:rsid w:val="00833BEA"/>
    <w:rsid w:val="008342FE"/>
    <w:rsid w:val="00834394"/>
    <w:rsid w:val="00834DD4"/>
    <w:rsid w:val="00835BF1"/>
    <w:rsid w:val="008361DD"/>
    <w:rsid w:val="0083623C"/>
    <w:rsid w:val="00836EBD"/>
    <w:rsid w:val="00840065"/>
    <w:rsid w:val="0084076E"/>
    <w:rsid w:val="00840997"/>
    <w:rsid w:val="00840D47"/>
    <w:rsid w:val="00841323"/>
    <w:rsid w:val="00841324"/>
    <w:rsid w:val="00841687"/>
    <w:rsid w:val="008428CA"/>
    <w:rsid w:val="00842A83"/>
    <w:rsid w:val="008445F6"/>
    <w:rsid w:val="008446C7"/>
    <w:rsid w:val="00844EEC"/>
    <w:rsid w:val="00845FA9"/>
    <w:rsid w:val="008473D1"/>
    <w:rsid w:val="008479B4"/>
    <w:rsid w:val="0085015C"/>
    <w:rsid w:val="00850242"/>
    <w:rsid w:val="00850A05"/>
    <w:rsid w:val="0085166A"/>
    <w:rsid w:val="008518A9"/>
    <w:rsid w:val="00851BAB"/>
    <w:rsid w:val="0085276F"/>
    <w:rsid w:val="0085395A"/>
    <w:rsid w:val="00853C2B"/>
    <w:rsid w:val="00854087"/>
    <w:rsid w:val="00854262"/>
    <w:rsid w:val="008549D6"/>
    <w:rsid w:val="008551A6"/>
    <w:rsid w:val="00855902"/>
    <w:rsid w:val="00855D6F"/>
    <w:rsid w:val="0085699A"/>
    <w:rsid w:val="00857C08"/>
    <w:rsid w:val="00857DD6"/>
    <w:rsid w:val="00860583"/>
    <w:rsid w:val="00860605"/>
    <w:rsid w:val="00860F82"/>
    <w:rsid w:val="008614CC"/>
    <w:rsid w:val="0086166B"/>
    <w:rsid w:val="008618ED"/>
    <w:rsid w:val="00861D71"/>
    <w:rsid w:val="00862113"/>
    <w:rsid w:val="00862BCA"/>
    <w:rsid w:val="00863C8D"/>
    <w:rsid w:val="00864214"/>
    <w:rsid w:val="00864480"/>
    <w:rsid w:val="00864E8D"/>
    <w:rsid w:val="00865265"/>
    <w:rsid w:val="008653FF"/>
    <w:rsid w:val="00865682"/>
    <w:rsid w:val="0086592B"/>
    <w:rsid w:val="0086592F"/>
    <w:rsid w:val="00865E05"/>
    <w:rsid w:val="0086632F"/>
    <w:rsid w:val="0086654F"/>
    <w:rsid w:val="00866D3F"/>
    <w:rsid w:val="008708A8"/>
    <w:rsid w:val="008713D8"/>
    <w:rsid w:val="0087161B"/>
    <w:rsid w:val="00871753"/>
    <w:rsid w:val="00871F8E"/>
    <w:rsid w:val="00872187"/>
    <w:rsid w:val="008725B4"/>
    <w:rsid w:val="00872B91"/>
    <w:rsid w:val="00872E08"/>
    <w:rsid w:val="0087343E"/>
    <w:rsid w:val="0087448E"/>
    <w:rsid w:val="00875651"/>
    <w:rsid w:val="00875699"/>
    <w:rsid w:val="00875E68"/>
    <w:rsid w:val="00876872"/>
    <w:rsid w:val="00877098"/>
    <w:rsid w:val="0088016A"/>
    <w:rsid w:val="00880864"/>
    <w:rsid w:val="00881644"/>
    <w:rsid w:val="00882DBE"/>
    <w:rsid w:val="008832B2"/>
    <w:rsid w:val="00883A63"/>
    <w:rsid w:val="00883ADC"/>
    <w:rsid w:val="008841A3"/>
    <w:rsid w:val="00884653"/>
    <w:rsid w:val="00884894"/>
    <w:rsid w:val="008852B1"/>
    <w:rsid w:val="0088533D"/>
    <w:rsid w:val="008856D7"/>
    <w:rsid w:val="008865EC"/>
    <w:rsid w:val="008870D0"/>
    <w:rsid w:val="00887640"/>
    <w:rsid w:val="00890B87"/>
    <w:rsid w:val="00891138"/>
    <w:rsid w:val="00891347"/>
    <w:rsid w:val="00891601"/>
    <w:rsid w:val="00891687"/>
    <w:rsid w:val="008933F6"/>
    <w:rsid w:val="0089341D"/>
    <w:rsid w:val="00894904"/>
    <w:rsid w:val="00895088"/>
    <w:rsid w:val="0089623E"/>
    <w:rsid w:val="008967A4"/>
    <w:rsid w:val="00896E95"/>
    <w:rsid w:val="008970F9"/>
    <w:rsid w:val="00897BDC"/>
    <w:rsid w:val="008A01B0"/>
    <w:rsid w:val="008A0785"/>
    <w:rsid w:val="008A13C4"/>
    <w:rsid w:val="008A1E9F"/>
    <w:rsid w:val="008A1EBF"/>
    <w:rsid w:val="008A2095"/>
    <w:rsid w:val="008A294B"/>
    <w:rsid w:val="008A2F52"/>
    <w:rsid w:val="008A34D3"/>
    <w:rsid w:val="008A3F4C"/>
    <w:rsid w:val="008A475F"/>
    <w:rsid w:val="008A4C43"/>
    <w:rsid w:val="008A4CA1"/>
    <w:rsid w:val="008A59B9"/>
    <w:rsid w:val="008A6F0E"/>
    <w:rsid w:val="008A78A9"/>
    <w:rsid w:val="008B041B"/>
    <w:rsid w:val="008B082F"/>
    <w:rsid w:val="008B0EB9"/>
    <w:rsid w:val="008B1E24"/>
    <w:rsid w:val="008B1E34"/>
    <w:rsid w:val="008B1F3F"/>
    <w:rsid w:val="008B1F99"/>
    <w:rsid w:val="008B21ED"/>
    <w:rsid w:val="008B22BD"/>
    <w:rsid w:val="008B238F"/>
    <w:rsid w:val="008B2A98"/>
    <w:rsid w:val="008B33E3"/>
    <w:rsid w:val="008B4BF8"/>
    <w:rsid w:val="008B6249"/>
    <w:rsid w:val="008B711D"/>
    <w:rsid w:val="008B7145"/>
    <w:rsid w:val="008B77EE"/>
    <w:rsid w:val="008B7B03"/>
    <w:rsid w:val="008B7D3D"/>
    <w:rsid w:val="008B7EDC"/>
    <w:rsid w:val="008C0DB1"/>
    <w:rsid w:val="008C0F38"/>
    <w:rsid w:val="008C1E05"/>
    <w:rsid w:val="008C2303"/>
    <w:rsid w:val="008C2C7D"/>
    <w:rsid w:val="008C3102"/>
    <w:rsid w:val="008C3681"/>
    <w:rsid w:val="008C40C6"/>
    <w:rsid w:val="008C42A3"/>
    <w:rsid w:val="008C5BA4"/>
    <w:rsid w:val="008C6AC6"/>
    <w:rsid w:val="008C6B02"/>
    <w:rsid w:val="008C78D4"/>
    <w:rsid w:val="008C7A49"/>
    <w:rsid w:val="008C7C88"/>
    <w:rsid w:val="008C7F9E"/>
    <w:rsid w:val="008D0A77"/>
    <w:rsid w:val="008D0D75"/>
    <w:rsid w:val="008D0FF2"/>
    <w:rsid w:val="008D11FD"/>
    <w:rsid w:val="008D1712"/>
    <w:rsid w:val="008D2563"/>
    <w:rsid w:val="008D27B7"/>
    <w:rsid w:val="008D291F"/>
    <w:rsid w:val="008D2BA1"/>
    <w:rsid w:val="008D3A0B"/>
    <w:rsid w:val="008D3C88"/>
    <w:rsid w:val="008D464F"/>
    <w:rsid w:val="008D4B72"/>
    <w:rsid w:val="008D4DE7"/>
    <w:rsid w:val="008D53BB"/>
    <w:rsid w:val="008D5549"/>
    <w:rsid w:val="008D586A"/>
    <w:rsid w:val="008D58C7"/>
    <w:rsid w:val="008D70EA"/>
    <w:rsid w:val="008D7662"/>
    <w:rsid w:val="008D7BBF"/>
    <w:rsid w:val="008D7C32"/>
    <w:rsid w:val="008E092C"/>
    <w:rsid w:val="008E13E4"/>
    <w:rsid w:val="008E1518"/>
    <w:rsid w:val="008E160F"/>
    <w:rsid w:val="008E1D41"/>
    <w:rsid w:val="008E22A9"/>
    <w:rsid w:val="008E2CEF"/>
    <w:rsid w:val="008E2FE0"/>
    <w:rsid w:val="008E322B"/>
    <w:rsid w:val="008E3BA9"/>
    <w:rsid w:val="008E3F69"/>
    <w:rsid w:val="008E4873"/>
    <w:rsid w:val="008E4E1D"/>
    <w:rsid w:val="008E5377"/>
    <w:rsid w:val="008E5D1A"/>
    <w:rsid w:val="008E604A"/>
    <w:rsid w:val="008E61E2"/>
    <w:rsid w:val="008E6497"/>
    <w:rsid w:val="008E6B99"/>
    <w:rsid w:val="008E7037"/>
    <w:rsid w:val="008E708C"/>
    <w:rsid w:val="008E7BC4"/>
    <w:rsid w:val="008F01A9"/>
    <w:rsid w:val="008F025E"/>
    <w:rsid w:val="008F037B"/>
    <w:rsid w:val="008F082B"/>
    <w:rsid w:val="008F170F"/>
    <w:rsid w:val="008F18D9"/>
    <w:rsid w:val="008F1F75"/>
    <w:rsid w:val="008F1FE2"/>
    <w:rsid w:val="008F26BF"/>
    <w:rsid w:val="008F2A8C"/>
    <w:rsid w:val="008F2B30"/>
    <w:rsid w:val="008F3138"/>
    <w:rsid w:val="008F4354"/>
    <w:rsid w:val="008F554C"/>
    <w:rsid w:val="008F5653"/>
    <w:rsid w:val="008F63C4"/>
    <w:rsid w:val="008F6620"/>
    <w:rsid w:val="008F6835"/>
    <w:rsid w:val="0090049D"/>
    <w:rsid w:val="009009E9"/>
    <w:rsid w:val="00900B76"/>
    <w:rsid w:val="009010DE"/>
    <w:rsid w:val="00901616"/>
    <w:rsid w:val="009016CE"/>
    <w:rsid w:val="00901F4F"/>
    <w:rsid w:val="009024B4"/>
    <w:rsid w:val="009029D9"/>
    <w:rsid w:val="009030C2"/>
    <w:rsid w:val="00903559"/>
    <w:rsid w:val="009039A3"/>
    <w:rsid w:val="009039B4"/>
    <w:rsid w:val="00903CB0"/>
    <w:rsid w:val="00903D18"/>
    <w:rsid w:val="009043FC"/>
    <w:rsid w:val="00904D02"/>
    <w:rsid w:val="00905519"/>
    <w:rsid w:val="0090565A"/>
    <w:rsid w:val="00905977"/>
    <w:rsid w:val="00906653"/>
    <w:rsid w:val="009072E5"/>
    <w:rsid w:val="009076BA"/>
    <w:rsid w:val="00907800"/>
    <w:rsid w:val="0090781A"/>
    <w:rsid w:val="00907CBB"/>
    <w:rsid w:val="0091019B"/>
    <w:rsid w:val="00910290"/>
    <w:rsid w:val="00910487"/>
    <w:rsid w:val="0091067E"/>
    <w:rsid w:val="0091081F"/>
    <w:rsid w:val="00910A9F"/>
    <w:rsid w:val="00910C01"/>
    <w:rsid w:val="0091191E"/>
    <w:rsid w:val="00911976"/>
    <w:rsid w:val="00911ABF"/>
    <w:rsid w:val="009120A0"/>
    <w:rsid w:val="00912B04"/>
    <w:rsid w:val="0091304A"/>
    <w:rsid w:val="00913DB7"/>
    <w:rsid w:val="009142DD"/>
    <w:rsid w:val="0091530A"/>
    <w:rsid w:val="00915331"/>
    <w:rsid w:val="00915D37"/>
    <w:rsid w:val="00915E7F"/>
    <w:rsid w:val="0091686E"/>
    <w:rsid w:val="00916EC2"/>
    <w:rsid w:val="00917F39"/>
    <w:rsid w:val="00920657"/>
    <w:rsid w:val="00920CCE"/>
    <w:rsid w:val="00921505"/>
    <w:rsid w:val="00921994"/>
    <w:rsid w:val="00921EF1"/>
    <w:rsid w:val="00922096"/>
    <w:rsid w:val="00922145"/>
    <w:rsid w:val="009222D4"/>
    <w:rsid w:val="009223A1"/>
    <w:rsid w:val="009223E0"/>
    <w:rsid w:val="00922926"/>
    <w:rsid w:val="0092433E"/>
    <w:rsid w:val="009245BD"/>
    <w:rsid w:val="0092462C"/>
    <w:rsid w:val="009246CF"/>
    <w:rsid w:val="0092516C"/>
    <w:rsid w:val="009252E3"/>
    <w:rsid w:val="0092551E"/>
    <w:rsid w:val="0092558A"/>
    <w:rsid w:val="00926306"/>
    <w:rsid w:val="0092752E"/>
    <w:rsid w:val="00927880"/>
    <w:rsid w:val="00927D87"/>
    <w:rsid w:val="00930014"/>
    <w:rsid w:val="0093118B"/>
    <w:rsid w:val="00932A2A"/>
    <w:rsid w:val="009331C7"/>
    <w:rsid w:val="0093340B"/>
    <w:rsid w:val="0093383D"/>
    <w:rsid w:val="00934E0B"/>
    <w:rsid w:val="00935010"/>
    <w:rsid w:val="00935DB2"/>
    <w:rsid w:val="009369B6"/>
    <w:rsid w:val="00937831"/>
    <w:rsid w:val="00937B0C"/>
    <w:rsid w:val="00937D00"/>
    <w:rsid w:val="0094010E"/>
    <w:rsid w:val="00940927"/>
    <w:rsid w:val="0094205E"/>
    <w:rsid w:val="00942235"/>
    <w:rsid w:val="009422DB"/>
    <w:rsid w:val="009430F4"/>
    <w:rsid w:val="00943F5A"/>
    <w:rsid w:val="00944256"/>
    <w:rsid w:val="00945291"/>
    <w:rsid w:val="0094546F"/>
    <w:rsid w:val="00945A25"/>
    <w:rsid w:val="00945C80"/>
    <w:rsid w:val="00945D53"/>
    <w:rsid w:val="00945F25"/>
    <w:rsid w:val="0094601A"/>
    <w:rsid w:val="00946437"/>
    <w:rsid w:val="009507D3"/>
    <w:rsid w:val="00950807"/>
    <w:rsid w:val="00951507"/>
    <w:rsid w:val="00951B04"/>
    <w:rsid w:val="009524CA"/>
    <w:rsid w:val="009527B3"/>
    <w:rsid w:val="009527CA"/>
    <w:rsid w:val="0095287A"/>
    <w:rsid w:val="00952A20"/>
    <w:rsid w:val="00952C68"/>
    <w:rsid w:val="009533D6"/>
    <w:rsid w:val="00953AFB"/>
    <w:rsid w:val="00953E91"/>
    <w:rsid w:val="009542E5"/>
    <w:rsid w:val="009545BD"/>
    <w:rsid w:val="0095460B"/>
    <w:rsid w:val="00954685"/>
    <w:rsid w:val="00954D25"/>
    <w:rsid w:val="009552A5"/>
    <w:rsid w:val="00956713"/>
    <w:rsid w:val="00956D22"/>
    <w:rsid w:val="00956D95"/>
    <w:rsid w:val="00956F4C"/>
    <w:rsid w:val="009574C2"/>
    <w:rsid w:val="00960288"/>
    <w:rsid w:val="0096056C"/>
    <w:rsid w:val="009614C7"/>
    <w:rsid w:val="00961A7F"/>
    <w:rsid w:val="00962246"/>
    <w:rsid w:val="00962B2B"/>
    <w:rsid w:val="0096328C"/>
    <w:rsid w:val="00963842"/>
    <w:rsid w:val="00963961"/>
    <w:rsid w:val="0096459E"/>
    <w:rsid w:val="00964EAA"/>
    <w:rsid w:val="009656C4"/>
    <w:rsid w:val="009659FE"/>
    <w:rsid w:val="00965D71"/>
    <w:rsid w:val="0096609C"/>
    <w:rsid w:val="0096669F"/>
    <w:rsid w:val="009666E4"/>
    <w:rsid w:val="009676FC"/>
    <w:rsid w:val="00967871"/>
    <w:rsid w:val="00967A9E"/>
    <w:rsid w:val="00967C08"/>
    <w:rsid w:val="00967E1A"/>
    <w:rsid w:val="00967FAF"/>
    <w:rsid w:val="00970824"/>
    <w:rsid w:val="00970A24"/>
    <w:rsid w:val="009710F2"/>
    <w:rsid w:val="00972448"/>
    <w:rsid w:val="00972500"/>
    <w:rsid w:val="00972BB7"/>
    <w:rsid w:val="00972FBB"/>
    <w:rsid w:val="0097365F"/>
    <w:rsid w:val="00974752"/>
    <w:rsid w:val="00975610"/>
    <w:rsid w:val="00975648"/>
    <w:rsid w:val="00975B6D"/>
    <w:rsid w:val="009763D5"/>
    <w:rsid w:val="00976B81"/>
    <w:rsid w:val="00977DA4"/>
    <w:rsid w:val="00977DE1"/>
    <w:rsid w:val="009803BA"/>
    <w:rsid w:val="0098058B"/>
    <w:rsid w:val="0098062A"/>
    <w:rsid w:val="00980E82"/>
    <w:rsid w:val="0098167D"/>
    <w:rsid w:val="009817EA"/>
    <w:rsid w:val="009819A7"/>
    <w:rsid w:val="00982157"/>
    <w:rsid w:val="009823C7"/>
    <w:rsid w:val="00983514"/>
    <w:rsid w:val="00983A3D"/>
    <w:rsid w:val="00984544"/>
    <w:rsid w:val="00984D3C"/>
    <w:rsid w:val="00984E7A"/>
    <w:rsid w:val="00986344"/>
    <w:rsid w:val="00986B47"/>
    <w:rsid w:val="00986EB3"/>
    <w:rsid w:val="00986F7C"/>
    <w:rsid w:val="0098787B"/>
    <w:rsid w:val="00987A36"/>
    <w:rsid w:val="00987BCD"/>
    <w:rsid w:val="00987BEA"/>
    <w:rsid w:val="00990D2A"/>
    <w:rsid w:val="00991455"/>
    <w:rsid w:val="009916A6"/>
    <w:rsid w:val="00991A47"/>
    <w:rsid w:val="00991B8A"/>
    <w:rsid w:val="00991F97"/>
    <w:rsid w:val="009924DC"/>
    <w:rsid w:val="00992876"/>
    <w:rsid w:val="00992D52"/>
    <w:rsid w:val="00993248"/>
    <w:rsid w:val="00993736"/>
    <w:rsid w:val="00993A11"/>
    <w:rsid w:val="0099485B"/>
    <w:rsid w:val="00994885"/>
    <w:rsid w:val="009948B3"/>
    <w:rsid w:val="00994980"/>
    <w:rsid w:val="00994F89"/>
    <w:rsid w:val="00995010"/>
    <w:rsid w:val="00995792"/>
    <w:rsid w:val="009959F9"/>
    <w:rsid w:val="00995DA8"/>
    <w:rsid w:val="009963D3"/>
    <w:rsid w:val="00996F08"/>
    <w:rsid w:val="00997336"/>
    <w:rsid w:val="00997851"/>
    <w:rsid w:val="00997CDD"/>
    <w:rsid w:val="00997E1F"/>
    <w:rsid w:val="009A0C67"/>
    <w:rsid w:val="009A1064"/>
    <w:rsid w:val="009A1155"/>
    <w:rsid w:val="009A12B8"/>
    <w:rsid w:val="009A1C9D"/>
    <w:rsid w:val="009A237B"/>
    <w:rsid w:val="009A47E9"/>
    <w:rsid w:val="009A4F30"/>
    <w:rsid w:val="009A53D2"/>
    <w:rsid w:val="009A5555"/>
    <w:rsid w:val="009A57AE"/>
    <w:rsid w:val="009A5A09"/>
    <w:rsid w:val="009A5B60"/>
    <w:rsid w:val="009A6C8C"/>
    <w:rsid w:val="009A6CF1"/>
    <w:rsid w:val="009A6F9E"/>
    <w:rsid w:val="009B07B1"/>
    <w:rsid w:val="009B14BE"/>
    <w:rsid w:val="009B1DD1"/>
    <w:rsid w:val="009B2987"/>
    <w:rsid w:val="009B2B7C"/>
    <w:rsid w:val="009B3391"/>
    <w:rsid w:val="009B36C8"/>
    <w:rsid w:val="009B4FFD"/>
    <w:rsid w:val="009B52D0"/>
    <w:rsid w:val="009B5444"/>
    <w:rsid w:val="009B5611"/>
    <w:rsid w:val="009B58B5"/>
    <w:rsid w:val="009B6780"/>
    <w:rsid w:val="009B6B4F"/>
    <w:rsid w:val="009C0BAD"/>
    <w:rsid w:val="009C0F2E"/>
    <w:rsid w:val="009C0FDD"/>
    <w:rsid w:val="009C125C"/>
    <w:rsid w:val="009C2F7A"/>
    <w:rsid w:val="009C34EA"/>
    <w:rsid w:val="009C4329"/>
    <w:rsid w:val="009C43DF"/>
    <w:rsid w:val="009C45EC"/>
    <w:rsid w:val="009C4FE0"/>
    <w:rsid w:val="009C56D9"/>
    <w:rsid w:val="009C7812"/>
    <w:rsid w:val="009C78FD"/>
    <w:rsid w:val="009C7C1B"/>
    <w:rsid w:val="009C7C20"/>
    <w:rsid w:val="009C7DCC"/>
    <w:rsid w:val="009D105B"/>
    <w:rsid w:val="009D1921"/>
    <w:rsid w:val="009D2118"/>
    <w:rsid w:val="009D22CC"/>
    <w:rsid w:val="009D2505"/>
    <w:rsid w:val="009D2672"/>
    <w:rsid w:val="009D29E0"/>
    <w:rsid w:val="009D2A0B"/>
    <w:rsid w:val="009D2B72"/>
    <w:rsid w:val="009D2F7F"/>
    <w:rsid w:val="009D39D0"/>
    <w:rsid w:val="009D42AC"/>
    <w:rsid w:val="009D43EB"/>
    <w:rsid w:val="009D45AC"/>
    <w:rsid w:val="009D4EB9"/>
    <w:rsid w:val="009D52ED"/>
    <w:rsid w:val="009D5A4F"/>
    <w:rsid w:val="009D5B0B"/>
    <w:rsid w:val="009D70A7"/>
    <w:rsid w:val="009D73C5"/>
    <w:rsid w:val="009D76E8"/>
    <w:rsid w:val="009D7BB8"/>
    <w:rsid w:val="009D7FD9"/>
    <w:rsid w:val="009E040D"/>
    <w:rsid w:val="009E0596"/>
    <w:rsid w:val="009E0910"/>
    <w:rsid w:val="009E13F3"/>
    <w:rsid w:val="009E2ADF"/>
    <w:rsid w:val="009E2DA2"/>
    <w:rsid w:val="009E3B6B"/>
    <w:rsid w:val="009E3F2F"/>
    <w:rsid w:val="009E4CF2"/>
    <w:rsid w:val="009E4DF6"/>
    <w:rsid w:val="009E5655"/>
    <w:rsid w:val="009E6216"/>
    <w:rsid w:val="009E6531"/>
    <w:rsid w:val="009E65CD"/>
    <w:rsid w:val="009E7659"/>
    <w:rsid w:val="009E7C18"/>
    <w:rsid w:val="009E7F5E"/>
    <w:rsid w:val="009F00ED"/>
    <w:rsid w:val="009F08FF"/>
    <w:rsid w:val="009F0D6B"/>
    <w:rsid w:val="009F0E94"/>
    <w:rsid w:val="009F0EFF"/>
    <w:rsid w:val="009F1851"/>
    <w:rsid w:val="009F218A"/>
    <w:rsid w:val="009F2E8E"/>
    <w:rsid w:val="009F383B"/>
    <w:rsid w:val="009F42AE"/>
    <w:rsid w:val="009F4CD5"/>
    <w:rsid w:val="009F4E16"/>
    <w:rsid w:val="009F509D"/>
    <w:rsid w:val="009F539A"/>
    <w:rsid w:val="009F5447"/>
    <w:rsid w:val="009F5A42"/>
    <w:rsid w:val="009F5ABA"/>
    <w:rsid w:val="009F5D58"/>
    <w:rsid w:val="009F5EA8"/>
    <w:rsid w:val="009F6B62"/>
    <w:rsid w:val="009F6F75"/>
    <w:rsid w:val="009F73D0"/>
    <w:rsid w:val="009F751F"/>
    <w:rsid w:val="009F78D2"/>
    <w:rsid w:val="00A00197"/>
    <w:rsid w:val="00A00288"/>
    <w:rsid w:val="00A00DA0"/>
    <w:rsid w:val="00A00FB6"/>
    <w:rsid w:val="00A0118E"/>
    <w:rsid w:val="00A045AA"/>
    <w:rsid w:val="00A04930"/>
    <w:rsid w:val="00A04DCF"/>
    <w:rsid w:val="00A05010"/>
    <w:rsid w:val="00A05A62"/>
    <w:rsid w:val="00A05BCD"/>
    <w:rsid w:val="00A05E7D"/>
    <w:rsid w:val="00A0652D"/>
    <w:rsid w:val="00A07070"/>
    <w:rsid w:val="00A07B6D"/>
    <w:rsid w:val="00A07CE5"/>
    <w:rsid w:val="00A07D9C"/>
    <w:rsid w:val="00A07FDA"/>
    <w:rsid w:val="00A10254"/>
    <w:rsid w:val="00A113C8"/>
    <w:rsid w:val="00A11892"/>
    <w:rsid w:val="00A123DC"/>
    <w:rsid w:val="00A124C9"/>
    <w:rsid w:val="00A124F1"/>
    <w:rsid w:val="00A1278F"/>
    <w:rsid w:val="00A12EB2"/>
    <w:rsid w:val="00A14820"/>
    <w:rsid w:val="00A14B16"/>
    <w:rsid w:val="00A152A3"/>
    <w:rsid w:val="00A152F1"/>
    <w:rsid w:val="00A15415"/>
    <w:rsid w:val="00A15957"/>
    <w:rsid w:val="00A15A8E"/>
    <w:rsid w:val="00A15CCB"/>
    <w:rsid w:val="00A15D50"/>
    <w:rsid w:val="00A162EE"/>
    <w:rsid w:val="00A16D4B"/>
    <w:rsid w:val="00A1707E"/>
    <w:rsid w:val="00A17925"/>
    <w:rsid w:val="00A17B32"/>
    <w:rsid w:val="00A20AA0"/>
    <w:rsid w:val="00A20BE9"/>
    <w:rsid w:val="00A2134D"/>
    <w:rsid w:val="00A21491"/>
    <w:rsid w:val="00A2199A"/>
    <w:rsid w:val="00A21ADF"/>
    <w:rsid w:val="00A21E7A"/>
    <w:rsid w:val="00A22145"/>
    <w:rsid w:val="00A22263"/>
    <w:rsid w:val="00A22597"/>
    <w:rsid w:val="00A22852"/>
    <w:rsid w:val="00A22E1F"/>
    <w:rsid w:val="00A23487"/>
    <w:rsid w:val="00A24051"/>
    <w:rsid w:val="00A24238"/>
    <w:rsid w:val="00A24692"/>
    <w:rsid w:val="00A24AB3"/>
    <w:rsid w:val="00A253DE"/>
    <w:rsid w:val="00A2557B"/>
    <w:rsid w:val="00A25FA8"/>
    <w:rsid w:val="00A261DF"/>
    <w:rsid w:val="00A262EE"/>
    <w:rsid w:val="00A269FA"/>
    <w:rsid w:val="00A27591"/>
    <w:rsid w:val="00A2797E"/>
    <w:rsid w:val="00A30CFC"/>
    <w:rsid w:val="00A30D2D"/>
    <w:rsid w:val="00A31692"/>
    <w:rsid w:val="00A3196D"/>
    <w:rsid w:val="00A31CCE"/>
    <w:rsid w:val="00A3286C"/>
    <w:rsid w:val="00A33337"/>
    <w:rsid w:val="00A33828"/>
    <w:rsid w:val="00A33CD1"/>
    <w:rsid w:val="00A33CE6"/>
    <w:rsid w:val="00A340DB"/>
    <w:rsid w:val="00A346BE"/>
    <w:rsid w:val="00A349F7"/>
    <w:rsid w:val="00A34AAC"/>
    <w:rsid w:val="00A34CAE"/>
    <w:rsid w:val="00A3577F"/>
    <w:rsid w:val="00A359D8"/>
    <w:rsid w:val="00A35A79"/>
    <w:rsid w:val="00A35BCE"/>
    <w:rsid w:val="00A37230"/>
    <w:rsid w:val="00A3752B"/>
    <w:rsid w:val="00A37632"/>
    <w:rsid w:val="00A40792"/>
    <w:rsid w:val="00A408F4"/>
    <w:rsid w:val="00A418C9"/>
    <w:rsid w:val="00A41A18"/>
    <w:rsid w:val="00A42645"/>
    <w:rsid w:val="00A42717"/>
    <w:rsid w:val="00A42947"/>
    <w:rsid w:val="00A42A19"/>
    <w:rsid w:val="00A4341A"/>
    <w:rsid w:val="00A4345A"/>
    <w:rsid w:val="00A43BA1"/>
    <w:rsid w:val="00A43EEA"/>
    <w:rsid w:val="00A44605"/>
    <w:rsid w:val="00A44AEA"/>
    <w:rsid w:val="00A4519C"/>
    <w:rsid w:val="00A453F4"/>
    <w:rsid w:val="00A458A8"/>
    <w:rsid w:val="00A45E25"/>
    <w:rsid w:val="00A4617F"/>
    <w:rsid w:val="00A461C6"/>
    <w:rsid w:val="00A462F2"/>
    <w:rsid w:val="00A466F0"/>
    <w:rsid w:val="00A479E3"/>
    <w:rsid w:val="00A47E91"/>
    <w:rsid w:val="00A5003C"/>
    <w:rsid w:val="00A50248"/>
    <w:rsid w:val="00A50550"/>
    <w:rsid w:val="00A50E13"/>
    <w:rsid w:val="00A50F2D"/>
    <w:rsid w:val="00A510D5"/>
    <w:rsid w:val="00A5157A"/>
    <w:rsid w:val="00A52506"/>
    <w:rsid w:val="00A52663"/>
    <w:rsid w:val="00A53D1A"/>
    <w:rsid w:val="00A53FD1"/>
    <w:rsid w:val="00A549F7"/>
    <w:rsid w:val="00A54BEB"/>
    <w:rsid w:val="00A55661"/>
    <w:rsid w:val="00A55E26"/>
    <w:rsid w:val="00A560AD"/>
    <w:rsid w:val="00A56109"/>
    <w:rsid w:val="00A561AF"/>
    <w:rsid w:val="00A5712B"/>
    <w:rsid w:val="00A578CE"/>
    <w:rsid w:val="00A57FF3"/>
    <w:rsid w:val="00A600A8"/>
    <w:rsid w:val="00A60832"/>
    <w:rsid w:val="00A60F1D"/>
    <w:rsid w:val="00A613C1"/>
    <w:rsid w:val="00A61EC3"/>
    <w:rsid w:val="00A6245E"/>
    <w:rsid w:val="00A6283D"/>
    <w:rsid w:val="00A62AB6"/>
    <w:rsid w:val="00A63916"/>
    <w:rsid w:val="00A63D57"/>
    <w:rsid w:val="00A63EC5"/>
    <w:rsid w:val="00A6454B"/>
    <w:rsid w:val="00A647E8"/>
    <w:rsid w:val="00A64BB8"/>
    <w:rsid w:val="00A6592C"/>
    <w:rsid w:val="00A65BAB"/>
    <w:rsid w:val="00A66018"/>
    <w:rsid w:val="00A662CF"/>
    <w:rsid w:val="00A66463"/>
    <w:rsid w:val="00A66868"/>
    <w:rsid w:val="00A66AA7"/>
    <w:rsid w:val="00A66DEE"/>
    <w:rsid w:val="00A671BB"/>
    <w:rsid w:val="00A67392"/>
    <w:rsid w:val="00A708D8"/>
    <w:rsid w:val="00A71468"/>
    <w:rsid w:val="00A72E1E"/>
    <w:rsid w:val="00A73E4B"/>
    <w:rsid w:val="00A73E72"/>
    <w:rsid w:val="00A73F6F"/>
    <w:rsid w:val="00A7401C"/>
    <w:rsid w:val="00A74292"/>
    <w:rsid w:val="00A74567"/>
    <w:rsid w:val="00A751EF"/>
    <w:rsid w:val="00A759B4"/>
    <w:rsid w:val="00A76218"/>
    <w:rsid w:val="00A7678A"/>
    <w:rsid w:val="00A7688B"/>
    <w:rsid w:val="00A775E3"/>
    <w:rsid w:val="00A77890"/>
    <w:rsid w:val="00A80222"/>
    <w:rsid w:val="00A8031C"/>
    <w:rsid w:val="00A803A1"/>
    <w:rsid w:val="00A805C9"/>
    <w:rsid w:val="00A80A20"/>
    <w:rsid w:val="00A80B5B"/>
    <w:rsid w:val="00A80D2D"/>
    <w:rsid w:val="00A80F62"/>
    <w:rsid w:val="00A820B9"/>
    <w:rsid w:val="00A82B64"/>
    <w:rsid w:val="00A82D2E"/>
    <w:rsid w:val="00A83617"/>
    <w:rsid w:val="00A8372C"/>
    <w:rsid w:val="00A84251"/>
    <w:rsid w:val="00A847AD"/>
    <w:rsid w:val="00A84A3A"/>
    <w:rsid w:val="00A84C1E"/>
    <w:rsid w:val="00A84C4C"/>
    <w:rsid w:val="00A84E34"/>
    <w:rsid w:val="00A8550D"/>
    <w:rsid w:val="00A85A9E"/>
    <w:rsid w:val="00A86036"/>
    <w:rsid w:val="00A8608B"/>
    <w:rsid w:val="00A86483"/>
    <w:rsid w:val="00A865BA"/>
    <w:rsid w:val="00A87CCD"/>
    <w:rsid w:val="00A909FC"/>
    <w:rsid w:val="00A90B49"/>
    <w:rsid w:val="00A91135"/>
    <w:rsid w:val="00A921B3"/>
    <w:rsid w:val="00A92A26"/>
    <w:rsid w:val="00A93465"/>
    <w:rsid w:val="00A93FB9"/>
    <w:rsid w:val="00A95117"/>
    <w:rsid w:val="00A9511B"/>
    <w:rsid w:val="00A954E5"/>
    <w:rsid w:val="00A95657"/>
    <w:rsid w:val="00A957B0"/>
    <w:rsid w:val="00A95EAA"/>
    <w:rsid w:val="00A96CD3"/>
    <w:rsid w:val="00A96FE8"/>
    <w:rsid w:val="00A97608"/>
    <w:rsid w:val="00A978DF"/>
    <w:rsid w:val="00A97DF0"/>
    <w:rsid w:val="00AA0CF9"/>
    <w:rsid w:val="00AA0F92"/>
    <w:rsid w:val="00AA1005"/>
    <w:rsid w:val="00AA1397"/>
    <w:rsid w:val="00AA18BA"/>
    <w:rsid w:val="00AA37B5"/>
    <w:rsid w:val="00AA3D24"/>
    <w:rsid w:val="00AA4F0E"/>
    <w:rsid w:val="00AA6115"/>
    <w:rsid w:val="00AA64EF"/>
    <w:rsid w:val="00AA65C9"/>
    <w:rsid w:val="00AA6A63"/>
    <w:rsid w:val="00AA702E"/>
    <w:rsid w:val="00AA79EB"/>
    <w:rsid w:val="00AA7D7C"/>
    <w:rsid w:val="00AB019C"/>
    <w:rsid w:val="00AB0BA8"/>
    <w:rsid w:val="00AB0F42"/>
    <w:rsid w:val="00AB142A"/>
    <w:rsid w:val="00AB1496"/>
    <w:rsid w:val="00AB14D2"/>
    <w:rsid w:val="00AB17DC"/>
    <w:rsid w:val="00AB1962"/>
    <w:rsid w:val="00AB1A64"/>
    <w:rsid w:val="00AB1F61"/>
    <w:rsid w:val="00AB2B35"/>
    <w:rsid w:val="00AB35C0"/>
    <w:rsid w:val="00AB3ADC"/>
    <w:rsid w:val="00AB41F4"/>
    <w:rsid w:val="00AB4346"/>
    <w:rsid w:val="00AB4B3E"/>
    <w:rsid w:val="00AB571F"/>
    <w:rsid w:val="00AB5BD4"/>
    <w:rsid w:val="00AB62D1"/>
    <w:rsid w:val="00AB66A4"/>
    <w:rsid w:val="00AB6745"/>
    <w:rsid w:val="00AB788D"/>
    <w:rsid w:val="00AB7CE9"/>
    <w:rsid w:val="00AC02FF"/>
    <w:rsid w:val="00AC14F2"/>
    <w:rsid w:val="00AC26B1"/>
    <w:rsid w:val="00AC33B7"/>
    <w:rsid w:val="00AC373E"/>
    <w:rsid w:val="00AC3758"/>
    <w:rsid w:val="00AC3C5C"/>
    <w:rsid w:val="00AC4C49"/>
    <w:rsid w:val="00AC5B95"/>
    <w:rsid w:val="00AC6B32"/>
    <w:rsid w:val="00AC6FFF"/>
    <w:rsid w:val="00AC717C"/>
    <w:rsid w:val="00AC7569"/>
    <w:rsid w:val="00AC7652"/>
    <w:rsid w:val="00AC7B02"/>
    <w:rsid w:val="00AC7EE4"/>
    <w:rsid w:val="00AD0697"/>
    <w:rsid w:val="00AD1F25"/>
    <w:rsid w:val="00AD2996"/>
    <w:rsid w:val="00AD2CCA"/>
    <w:rsid w:val="00AD2D22"/>
    <w:rsid w:val="00AD44AA"/>
    <w:rsid w:val="00AD5009"/>
    <w:rsid w:val="00AD5303"/>
    <w:rsid w:val="00AD5614"/>
    <w:rsid w:val="00AD6186"/>
    <w:rsid w:val="00AD644C"/>
    <w:rsid w:val="00AD6F3D"/>
    <w:rsid w:val="00AD6F93"/>
    <w:rsid w:val="00AD7260"/>
    <w:rsid w:val="00AD73D8"/>
    <w:rsid w:val="00AE04FF"/>
    <w:rsid w:val="00AE0B35"/>
    <w:rsid w:val="00AE18EB"/>
    <w:rsid w:val="00AE1951"/>
    <w:rsid w:val="00AE1A2D"/>
    <w:rsid w:val="00AE1BC2"/>
    <w:rsid w:val="00AE26E4"/>
    <w:rsid w:val="00AE3561"/>
    <w:rsid w:val="00AE3780"/>
    <w:rsid w:val="00AE3A11"/>
    <w:rsid w:val="00AE40BD"/>
    <w:rsid w:val="00AE411E"/>
    <w:rsid w:val="00AE4386"/>
    <w:rsid w:val="00AE4A94"/>
    <w:rsid w:val="00AE59CE"/>
    <w:rsid w:val="00AE6245"/>
    <w:rsid w:val="00AE6428"/>
    <w:rsid w:val="00AE6CCD"/>
    <w:rsid w:val="00AE70F8"/>
    <w:rsid w:val="00AE727E"/>
    <w:rsid w:val="00AE796F"/>
    <w:rsid w:val="00AE7FA3"/>
    <w:rsid w:val="00AE7FD8"/>
    <w:rsid w:val="00AF01BA"/>
    <w:rsid w:val="00AF064A"/>
    <w:rsid w:val="00AF083D"/>
    <w:rsid w:val="00AF0D41"/>
    <w:rsid w:val="00AF12BB"/>
    <w:rsid w:val="00AF13F1"/>
    <w:rsid w:val="00AF227F"/>
    <w:rsid w:val="00AF22DF"/>
    <w:rsid w:val="00AF250B"/>
    <w:rsid w:val="00AF3162"/>
    <w:rsid w:val="00AF3B9D"/>
    <w:rsid w:val="00AF41A6"/>
    <w:rsid w:val="00AF43A0"/>
    <w:rsid w:val="00AF4A43"/>
    <w:rsid w:val="00AF5B6C"/>
    <w:rsid w:val="00AF6329"/>
    <w:rsid w:val="00AF636F"/>
    <w:rsid w:val="00AF6507"/>
    <w:rsid w:val="00AF66B1"/>
    <w:rsid w:val="00AF71A0"/>
    <w:rsid w:val="00B00305"/>
    <w:rsid w:val="00B004E1"/>
    <w:rsid w:val="00B004F9"/>
    <w:rsid w:val="00B00A7B"/>
    <w:rsid w:val="00B00EA5"/>
    <w:rsid w:val="00B0104A"/>
    <w:rsid w:val="00B011DC"/>
    <w:rsid w:val="00B02089"/>
    <w:rsid w:val="00B0226F"/>
    <w:rsid w:val="00B0261E"/>
    <w:rsid w:val="00B03A4B"/>
    <w:rsid w:val="00B043B1"/>
    <w:rsid w:val="00B04A24"/>
    <w:rsid w:val="00B056F4"/>
    <w:rsid w:val="00B05B7C"/>
    <w:rsid w:val="00B05D5B"/>
    <w:rsid w:val="00B05DA7"/>
    <w:rsid w:val="00B06DFF"/>
    <w:rsid w:val="00B075C9"/>
    <w:rsid w:val="00B075E0"/>
    <w:rsid w:val="00B07654"/>
    <w:rsid w:val="00B077C6"/>
    <w:rsid w:val="00B07BE8"/>
    <w:rsid w:val="00B07E10"/>
    <w:rsid w:val="00B10278"/>
    <w:rsid w:val="00B10A4B"/>
    <w:rsid w:val="00B1232B"/>
    <w:rsid w:val="00B1239E"/>
    <w:rsid w:val="00B125A4"/>
    <w:rsid w:val="00B13B26"/>
    <w:rsid w:val="00B13CC2"/>
    <w:rsid w:val="00B149EB"/>
    <w:rsid w:val="00B14CC5"/>
    <w:rsid w:val="00B15683"/>
    <w:rsid w:val="00B157C5"/>
    <w:rsid w:val="00B15C27"/>
    <w:rsid w:val="00B16142"/>
    <w:rsid w:val="00B16ACA"/>
    <w:rsid w:val="00B174F4"/>
    <w:rsid w:val="00B17B41"/>
    <w:rsid w:val="00B17D82"/>
    <w:rsid w:val="00B17E71"/>
    <w:rsid w:val="00B20212"/>
    <w:rsid w:val="00B20A68"/>
    <w:rsid w:val="00B20C32"/>
    <w:rsid w:val="00B21622"/>
    <w:rsid w:val="00B22496"/>
    <w:rsid w:val="00B2250E"/>
    <w:rsid w:val="00B23ED8"/>
    <w:rsid w:val="00B24891"/>
    <w:rsid w:val="00B24B1C"/>
    <w:rsid w:val="00B256EB"/>
    <w:rsid w:val="00B256F0"/>
    <w:rsid w:val="00B25FDC"/>
    <w:rsid w:val="00B2643A"/>
    <w:rsid w:val="00B267E1"/>
    <w:rsid w:val="00B271A9"/>
    <w:rsid w:val="00B277C7"/>
    <w:rsid w:val="00B27A5C"/>
    <w:rsid w:val="00B27BE2"/>
    <w:rsid w:val="00B27DF6"/>
    <w:rsid w:val="00B27EB0"/>
    <w:rsid w:val="00B27F50"/>
    <w:rsid w:val="00B30706"/>
    <w:rsid w:val="00B30FBC"/>
    <w:rsid w:val="00B31F98"/>
    <w:rsid w:val="00B330C5"/>
    <w:rsid w:val="00B3405C"/>
    <w:rsid w:val="00B34329"/>
    <w:rsid w:val="00B3454F"/>
    <w:rsid w:val="00B34E64"/>
    <w:rsid w:val="00B35A61"/>
    <w:rsid w:val="00B3662B"/>
    <w:rsid w:val="00B3662F"/>
    <w:rsid w:val="00B36A7C"/>
    <w:rsid w:val="00B40B1B"/>
    <w:rsid w:val="00B4135C"/>
    <w:rsid w:val="00B4167B"/>
    <w:rsid w:val="00B423DD"/>
    <w:rsid w:val="00B42432"/>
    <w:rsid w:val="00B42C6C"/>
    <w:rsid w:val="00B4360D"/>
    <w:rsid w:val="00B436EA"/>
    <w:rsid w:val="00B43936"/>
    <w:rsid w:val="00B4466A"/>
    <w:rsid w:val="00B448D0"/>
    <w:rsid w:val="00B44D28"/>
    <w:rsid w:val="00B4525B"/>
    <w:rsid w:val="00B45DB2"/>
    <w:rsid w:val="00B45E6B"/>
    <w:rsid w:val="00B46556"/>
    <w:rsid w:val="00B46595"/>
    <w:rsid w:val="00B476B9"/>
    <w:rsid w:val="00B476F1"/>
    <w:rsid w:val="00B47B35"/>
    <w:rsid w:val="00B50125"/>
    <w:rsid w:val="00B502E3"/>
    <w:rsid w:val="00B50F7E"/>
    <w:rsid w:val="00B5130F"/>
    <w:rsid w:val="00B538EF"/>
    <w:rsid w:val="00B53B50"/>
    <w:rsid w:val="00B53C42"/>
    <w:rsid w:val="00B53D47"/>
    <w:rsid w:val="00B53E12"/>
    <w:rsid w:val="00B54C63"/>
    <w:rsid w:val="00B5567F"/>
    <w:rsid w:val="00B557E4"/>
    <w:rsid w:val="00B558AF"/>
    <w:rsid w:val="00B558C7"/>
    <w:rsid w:val="00B55900"/>
    <w:rsid w:val="00B56D4A"/>
    <w:rsid w:val="00B56D99"/>
    <w:rsid w:val="00B56E6C"/>
    <w:rsid w:val="00B57606"/>
    <w:rsid w:val="00B578F0"/>
    <w:rsid w:val="00B57A2C"/>
    <w:rsid w:val="00B57DC6"/>
    <w:rsid w:val="00B6088D"/>
    <w:rsid w:val="00B60AFB"/>
    <w:rsid w:val="00B60E73"/>
    <w:rsid w:val="00B610A2"/>
    <w:rsid w:val="00B619C5"/>
    <w:rsid w:val="00B6264B"/>
    <w:rsid w:val="00B63138"/>
    <w:rsid w:val="00B64404"/>
    <w:rsid w:val="00B64895"/>
    <w:rsid w:val="00B65124"/>
    <w:rsid w:val="00B6608A"/>
    <w:rsid w:val="00B66E33"/>
    <w:rsid w:val="00B67A95"/>
    <w:rsid w:val="00B67C6C"/>
    <w:rsid w:val="00B7132E"/>
    <w:rsid w:val="00B71D17"/>
    <w:rsid w:val="00B71E07"/>
    <w:rsid w:val="00B71E1B"/>
    <w:rsid w:val="00B71E3E"/>
    <w:rsid w:val="00B71F56"/>
    <w:rsid w:val="00B73331"/>
    <w:rsid w:val="00B735C8"/>
    <w:rsid w:val="00B73BF0"/>
    <w:rsid w:val="00B749CD"/>
    <w:rsid w:val="00B7602C"/>
    <w:rsid w:val="00B76701"/>
    <w:rsid w:val="00B76761"/>
    <w:rsid w:val="00B77DD2"/>
    <w:rsid w:val="00B77ECD"/>
    <w:rsid w:val="00B800AD"/>
    <w:rsid w:val="00B81122"/>
    <w:rsid w:val="00B81969"/>
    <w:rsid w:val="00B81D9D"/>
    <w:rsid w:val="00B81DA1"/>
    <w:rsid w:val="00B82217"/>
    <w:rsid w:val="00B82C22"/>
    <w:rsid w:val="00B83510"/>
    <w:rsid w:val="00B83625"/>
    <w:rsid w:val="00B842F0"/>
    <w:rsid w:val="00B8500E"/>
    <w:rsid w:val="00B85960"/>
    <w:rsid w:val="00B85A42"/>
    <w:rsid w:val="00B86500"/>
    <w:rsid w:val="00B8660D"/>
    <w:rsid w:val="00B90242"/>
    <w:rsid w:val="00B90A6F"/>
    <w:rsid w:val="00B90D17"/>
    <w:rsid w:val="00B90EB8"/>
    <w:rsid w:val="00B91C1A"/>
    <w:rsid w:val="00B923F1"/>
    <w:rsid w:val="00B9253D"/>
    <w:rsid w:val="00B93B96"/>
    <w:rsid w:val="00B93EC1"/>
    <w:rsid w:val="00B94095"/>
    <w:rsid w:val="00B942CB"/>
    <w:rsid w:val="00B94779"/>
    <w:rsid w:val="00B9489B"/>
    <w:rsid w:val="00B94BB9"/>
    <w:rsid w:val="00B94CEE"/>
    <w:rsid w:val="00B95589"/>
    <w:rsid w:val="00B95B91"/>
    <w:rsid w:val="00B95F33"/>
    <w:rsid w:val="00B9673B"/>
    <w:rsid w:val="00B96ACA"/>
    <w:rsid w:val="00B96D34"/>
    <w:rsid w:val="00B96E99"/>
    <w:rsid w:val="00B97EF0"/>
    <w:rsid w:val="00B97F20"/>
    <w:rsid w:val="00BA0298"/>
    <w:rsid w:val="00BA072E"/>
    <w:rsid w:val="00BA0B0C"/>
    <w:rsid w:val="00BA1648"/>
    <w:rsid w:val="00BA1C11"/>
    <w:rsid w:val="00BA1C87"/>
    <w:rsid w:val="00BA27A3"/>
    <w:rsid w:val="00BA2BB6"/>
    <w:rsid w:val="00BA35F1"/>
    <w:rsid w:val="00BA380A"/>
    <w:rsid w:val="00BA3D0C"/>
    <w:rsid w:val="00BA465E"/>
    <w:rsid w:val="00BA533F"/>
    <w:rsid w:val="00BA5A3A"/>
    <w:rsid w:val="00BA5F22"/>
    <w:rsid w:val="00BA65B3"/>
    <w:rsid w:val="00BA6A98"/>
    <w:rsid w:val="00BA77A1"/>
    <w:rsid w:val="00BA7C3D"/>
    <w:rsid w:val="00BA7F30"/>
    <w:rsid w:val="00BB0449"/>
    <w:rsid w:val="00BB1978"/>
    <w:rsid w:val="00BB2632"/>
    <w:rsid w:val="00BB2FCA"/>
    <w:rsid w:val="00BB31A4"/>
    <w:rsid w:val="00BB4484"/>
    <w:rsid w:val="00BB4581"/>
    <w:rsid w:val="00BB486B"/>
    <w:rsid w:val="00BB53D0"/>
    <w:rsid w:val="00BB56D7"/>
    <w:rsid w:val="00BB5FC0"/>
    <w:rsid w:val="00BB6021"/>
    <w:rsid w:val="00BB6639"/>
    <w:rsid w:val="00BB67A4"/>
    <w:rsid w:val="00BB6E88"/>
    <w:rsid w:val="00BB6FC1"/>
    <w:rsid w:val="00BB7466"/>
    <w:rsid w:val="00BB7B5A"/>
    <w:rsid w:val="00BC04A1"/>
    <w:rsid w:val="00BC07DC"/>
    <w:rsid w:val="00BC0982"/>
    <w:rsid w:val="00BC0CFF"/>
    <w:rsid w:val="00BC1488"/>
    <w:rsid w:val="00BC1589"/>
    <w:rsid w:val="00BC16C6"/>
    <w:rsid w:val="00BC173C"/>
    <w:rsid w:val="00BC198C"/>
    <w:rsid w:val="00BC1B16"/>
    <w:rsid w:val="00BC1B6F"/>
    <w:rsid w:val="00BC1EFA"/>
    <w:rsid w:val="00BC1F6B"/>
    <w:rsid w:val="00BC214E"/>
    <w:rsid w:val="00BC324B"/>
    <w:rsid w:val="00BC33A0"/>
    <w:rsid w:val="00BC3A5A"/>
    <w:rsid w:val="00BC4AC0"/>
    <w:rsid w:val="00BC4F1A"/>
    <w:rsid w:val="00BC5AC4"/>
    <w:rsid w:val="00BC5C4E"/>
    <w:rsid w:val="00BC6C40"/>
    <w:rsid w:val="00BC725A"/>
    <w:rsid w:val="00BD0548"/>
    <w:rsid w:val="00BD0B05"/>
    <w:rsid w:val="00BD1020"/>
    <w:rsid w:val="00BD10C1"/>
    <w:rsid w:val="00BD174E"/>
    <w:rsid w:val="00BD1855"/>
    <w:rsid w:val="00BD2300"/>
    <w:rsid w:val="00BD23F9"/>
    <w:rsid w:val="00BD27E4"/>
    <w:rsid w:val="00BD2A20"/>
    <w:rsid w:val="00BD2E10"/>
    <w:rsid w:val="00BD33E3"/>
    <w:rsid w:val="00BD3A44"/>
    <w:rsid w:val="00BD3B06"/>
    <w:rsid w:val="00BD3D1E"/>
    <w:rsid w:val="00BD44DD"/>
    <w:rsid w:val="00BD45CC"/>
    <w:rsid w:val="00BD46FB"/>
    <w:rsid w:val="00BD523D"/>
    <w:rsid w:val="00BD52BE"/>
    <w:rsid w:val="00BD61C9"/>
    <w:rsid w:val="00BD61FF"/>
    <w:rsid w:val="00BD69AB"/>
    <w:rsid w:val="00BD7292"/>
    <w:rsid w:val="00BD75A2"/>
    <w:rsid w:val="00BD7745"/>
    <w:rsid w:val="00BD7791"/>
    <w:rsid w:val="00BD7F41"/>
    <w:rsid w:val="00BE0428"/>
    <w:rsid w:val="00BE1041"/>
    <w:rsid w:val="00BE24C2"/>
    <w:rsid w:val="00BE2936"/>
    <w:rsid w:val="00BE3B25"/>
    <w:rsid w:val="00BE3C69"/>
    <w:rsid w:val="00BE4445"/>
    <w:rsid w:val="00BE499C"/>
    <w:rsid w:val="00BE56CC"/>
    <w:rsid w:val="00BE5849"/>
    <w:rsid w:val="00BE5939"/>
    <w:rsid w:val="00BE7E68"/>
    <w:rsid w:val="00BF0853"/>
    <w:rsid w:val="00BF10FF"/>
    <w:rsid w:val="00BF1698"/>
    <w:rsid w:val="00BF1EE0"/>
    <w:rsid w:val="00BF33E1"/>
    <w:rsid w:val="00BF3516"/>
    <w:rsid w:val="00BF392C"/>
    <w:rsid w:val="00BF3E8F"/>
    <w:rsid w:val="00BF4696"/>
    <w:rsid w:val="00BF5DF9"/>
    <w:rsid w:val="00BF6576"/>
    <w:rsid w:val="00BF6C00"/>
    <w:rsid w:val="00BF7BF1"/>
    <w:rsid w:val="00BF7C7D"/>
    <w:rsid w:val="00C0018B"/>
    <w:rsid w:val="00C00AFA"/>
    <w:rsid w:val="00C01AD3"/>
    <w:rsid w:val="00C02234"/>
    <w:rsid w:val="00C033AE"/>
    <w:rsid w:val="00C03E59"/>
    <w:rsid w:val="00C03FA3"/>
    <w:rsid w:val="00C043F5"/>
    <w:rsid w:val="00C04665"/>
    <w:rsid w:val="00C04956"/>
    <w:rsid w:val="00C05785"/>
    <w:rsid w:val="00C05A71"/>
    <w:rsid w:val="00C06579"/>
    <w:rsid w:val="00C06653"/>
    <w:rsid w:val="00C06E3E"/>
    <w:rsid w:val="00C0736C"/>
    <w:rsid w:val="00C07AAF"/>
    <w:rsid w:val="00C07CF6"/>
    <w:rsid w:val="00C07F58"/>
    <w:rsid w:val="00C11181"/>
    <w:rsid w:val="00C119FB"/>
    <w:rsid w:val="00C12370"/>
    <w:rsid w:val="00C13773"/>
    <w:rsid w:val="00C1393B"/>
    <w:rsid w:val="00C13DA8"/>
    <w:rsid w:val="00C15241"/>
    <w:rsid w:val="00C155A3"/>
    <w:rsid w:val="00C15773"/>
    <w:rsid w:val="00C15B40"/>
    <w:rsid w:val="00C15C29"/>
    <w:rsid w:val="00C165CE"/>
    <w:rsid w:val="00C172BB"/>
    <w:rsid w:val="00C173F2"/>
    <w:rsid w:val="00C17658"/>
    <w:rsid w:val="00C20218"/>
    <w:rsid w:val="00C20DA4"/>
    <w:rsid w:val="00C21321"/>
    <w:rsid w:val="00C219AB"/>
    <w:rsid w:val="00C22066"/>
    <w:rsid w:val="00C22231"/>
    <w:rsid w:val="00C22619"/>
    <w:rsid w:val="00C22B7E"/>
    <w:rsid w:val="00C22D30"/>
    <w:rsid w:val="00C22E34"/>
    <w:rsid w:val="00C22EBD"/>
    <w:rsid w:val="00C22F11"/>
    <w:rsid w:val="00C237BB"/>
    <w:rsid w:val="00C23830"/>
    <w:rsid w:val="00C23A65"/>
    <w:rsid w:val="00C23BF5"/>
    <w:rsid w:val="00C24124"/>
    <w:rsid w:val="00C242A8"/>
    <w:rsid w:val="00C244F0"/>
    <w:rsid w:val="00C24CDF"/>
    <w:rsid w:val="00C250D3"/>
    <w:rsid w:val="00C25110"/>
    <w:rsid w:val="00C26132"/>
    <w:rsid w:val="00C26B1C"/>
    <w:rsid w:val="00C2725D"/>
    <w:rsid w:val="00C279E9"/>
    <w:rsid w:val="00C301F9"/>
    <w:rsid w:val="00C30F96"/>
    <w:rsid w:val="00C316AF"/>
    <w:rsid w:val="00C3184A"/>
    <w:rsid w:val="00C31A6D"/>
    <w:rsid w:val="00C324B6"/>
    <w:rsid w:val="00C32B73"/>
    <w:rsid w:val="00C34285"/>
    <w:rsid w:val="00C3431B"/>
    <w:rsid w:val="00C34F96"/>
    <w:rsid w:val="00C35279"/>
    <w:rsid w:val="00C3534A"/>
    <w:rsid w:val="00C35536"/>
    <w:rsid w:val="00C3564A"/>
    <w:rsid w:val="00C35C7D"/>
    <w:rsid w:val="00C3618B"/>
    <w:rsid w:val="00C36FF2"/>
    <w:rsid w:val="00C37D76"/>
    <w:rsid w:val="00C40EAA"/>
    <w:rsid w:val="00C40F34"/>
    <w:rsid w:val="00C414F9"/>
    <w:rsid w:val="00C419D9"/>
    <w:rsid w:val="00C41C8D"/>
    <w:rsid w:val="00C41D35"/>
    <w:rsid w:val="00C42066"/>
    <w:rsid w:val="00C43922"/>
    <w:rsid w:val="00C44969"/>
    <w:rsid w:val="00C45A62"/>
    <w:rsid w:val="00C45FA7"/>
    <w:rsid w:val="00C46986"/>
    <w:rsid w:val="00C46A2A"/>
    <w:rsid w:val="00C476A9"/>
    <w:rsid w:val="00C47E21"/>
    <w:rsid w:val="00C50074"/>
    <w:rsid w:val="00C501FC"/>
    <w:rsid w:val="00C50558"/>
    <w:rsid w:val="00C50763"/>
    <w:rsid w:val="00C50EFE"/>
    <w:rsid w:val="00C51F86"/>
    <w:rsid w:val="00C520A4"/>
    <w:rsid w:val="00C52279"/>
    <w:rsid w:val="00C526C8"/>
    <w:rsid w:val="00C5272F"/>
    <w:rsid w:val="00C528C3"/>
    <w:rsid w:val="00C52BBE"/>
    <w:rsid w:val="00C5358E"/>
    <w:rsid w:val="00C5359C"/>
    <w:rsid w:val="00C54F02"/>
    <w:rsid w:val="00C55374"/>
    <w:rsid w:val="00C55A43"/>
    <w:rsid w:val="00C55AB7"/>
    <w:rsid w:val="00C56512"/>
    <w:rsid w:val="00C56D74"/>
    <w:rsid w:val="00C576AE"/>
    <w:rsid w:val="00C6052E"/>
    <w:rsid w:val="00C61464"/>
    <w:rsid w:val="00C619FB"/>
    <w:rsid w:val="00C61C75"/>
    <w:rsid w:val="00C61F2C"/>
    <w:rsid w:val="00C62A1F"/>
    <w:rsid w:val="00C62A8A"/>
    <w:rsid w:val="00C63D92"/>
    <w:rsid w:val="00C63E12"/>
    <w:rsid w:val="00C63ED7"/>
    <w:rsid w:val="00C64884"/>
    <w:rsid w:val="00C649DB"/>
    <w:rsid w:val="00C649FB"/>
    <w:rsid w:val="00C64D0B"/>
    <w:rsid w:val="00C659E4"/>
    <w:rsid w:val="00C679EF"/>
    <w:rsid w:val="00C67C81"/>
    <w:rsid w:val="00C71654"/>
    <w:rsid w:val="00C71AA0"/>
    <w:rsid w:val="00C724D4"/>
    <w:rsid w:val="00C72796"/>
    <w:rsid w:val="00C7347D"/>
    <w:rsid w:val="00C73C66"/>
    <w:rsid w:val="00C7426B"/>
    <w:rsid w:val="00C74C33"/>
    <w:rsid w:val="00C74D12"/>
    <w:rsid w:val="00C74DE3"/>
    <w:rsid w:val="00C7545C"/>
    <w:rsid w:val="00C75715"/>
    <w:rsid w:val="00C75F6F"/>
    <w:rsid w:val="00C76E49"/>
    <w:rsid w:val="00C76F55"/>
    <w:rsid w:val="00C81253"/>
    <w:rsid w:val="00C82381"/>
    <w:rsid w:val="00C82568"/>
    <w:rsid w:val="00C8280D"/>
    <w:rsid w:val="00C833D7"/>
    <w:rsid w:val="00C8384D"/>
    <w:rsid w:val="00C8387B"/>
    <w:rsid w:val="00C83B54"/>
    <w:rsid w:val="00C83BA5"/>
    <w:rsid w:val="00C83C4E"/>
    <w:rsid w:val="00C84084"/>
    <w:rsid w:val="00C84642"/>
    <w:rsid w:val="00C84A4C"/>
    <w:rsid w:val="00C859D9"/>
    <w:rsid w:val="00C86807"/>
    <w:rsid w:val="00C869A1"/>
    <w:rsid w:val="00C86B45"/>
    <w:rsid w:val="00C86B91"/>
    <w:rsid w:val="00C8704E"/>
    <w:rsid w:val="00C870B3"/>
    <w:rsid w:val="00C87589"/>
    <w:rsid w:val="00C9041B"/>
    <w:rsid w:val="00C908CB"/>
    <w:rsid w:val="00C90B48"/>
    <w:rsid w:val="00C9101E"/>
    <w:rsid w:val="00C916ED"/>
    <w:rsid w:val="00C91F8A"/>
    <w:rsid w:val="00C92019"/>
    <w:rsid w:val="00C92647"/>
    <w:rsid w:val="00C92849"/>
    <w:rsid w:val="00C943DA"/>
    <w:rsid w:val="00C9441D"/>
    <w:rsid w:val="00C9451F"/>
    <w:rsid w:val="00C949BA"/>
    <w:rsid w:val="00C94EDF"/>
    <w:rsid w:val="00C968FC"/>
    <w:rsid w:val="00C96ACA"/>
    <w:rsid w:val="00C96C9C"/>
    <w:rsid w:val="00C9708A"/>
    <w:rsid w:val="00C978FB"/>
    <w:rsid w:val="00C97D03"/>
    <w:rsid w:val="00CA0419"/>
    <w:rsid w:val="00CA046E"/>
    <w:rsid w:val="00CA0A74"/>
    <w:rsid w:val="00CA1336"/>
    <w:rsid w:val="00CA1D98"/>
    <w:rsid w:val="00CA1F28"/>
    <w:rsid w:val="00CA1FF5"/>
    <w:rsid w:val="00CA25B4"/>
    <w:rsid w:val="00CA289D"/>
    <w:rsid w:val="00CA3137"/>
    <w:rsid w:val="00CA4B24"/>
    <w:rsid w:val="00CA5213"/>
    <w:rsid w:val="00CA69E5"/>
    <w:rsid w:val="00CA6C16"/>
    <w:rsid w:val="00CA6CBD"/>
    <w:rsid w:val="00CA6F6B"/>
    <w:rsid w:val="00CA6F9D"/>
    <w:rsid w:val="00CB0460"/>
    <w:rsid w:val="00CB0866"/>
    <w:rsid w:val="00CB0FC6"/>
    <w:rsid w:val="00CB17D5"/>
    <w:rsid w:val="00CB216E"/>
    <w:rsid w:val="00CB22B1"/>
    <w:rsid w:val="00CB2E59"/>
    <w:rsid w:val="00CB3CE8"/>
    <w:rsid w:val="00CB4BEE"/>
    <w:rsid w:val="00CB5BF9"/>
    <w:rsid w:val="00CB631E"/>
    <w:rsid w:val="00CB73CB"/>
    <w:rsid w:val="00CB75FE"/>
    <w:rsid w:val="00CC0853"/>
    <w:rsid w:val="00CC0BB7"/>
    <w:rsid w:val="00CC18C5"/>
    <w:rsid w:val="00CC21AB"/>
    <w:rsid w:val="00CC2D6C"/>
    <w:rsid w:val="00CC305D"/>
    <w:rsid w:val="00CC3611"/>
    <w:rsid w:val="00CC4660"/>
    <w:rsid w:val="00CC48D8"/>
    <w:rsid w:val="00CC4FD1"/>
    <w:rsid w:val="00CC5AB1"/>
    <w:rsid w:val="00CC7077"/>
    <w:rsid w:val="00CC7F9A"/>
    <w:rsid w:val="00CD0015"/>
    <w:rsid w:val="00CD06AA"/>
    <w:rsid w:val="00CD09BD"/>
    <w:rsid w:val="00CD0F7A"/>
    <w:rsid w:val="00CD11EF"/>
    <w:rsid w:val="00CD1218"/>
    <w:rsid w:val="00CD1ED6"/>
    <w:rsid w:val="00CD1FC5"/>
    <w:rsid w:val="00CD2559"/>
    <w:rsid w:val="00CD280F"/>
    <w:rsid w:val="00CD2AAE"/>
    <w:rsid w:val="00CD3304"/>
    <w:rsid w:val="00CD35EB"/>
    <w:rsid w:val="00CD3686"/>
    <w:rsid w:val="00CD3770"/>
    <w:rsid w:val="00CD38E5"/>
    <w:rsid w:val="00CD437F"/>
    <w:rsid w:val="00CD48F7"/>
    <w:rsid w:val="00CD4F74"/>
    <w:rsid w:val="00CD5313"/>
    <w:rsid w:val="00CD6310"/>
    <w:rsid w:val="00CD6692"/>
    <w:rsid w:val="00CD6B81"/>
    <w:rsid w:val="00CD71E4"/>
    <w:rsid w:val="00CD7254"/>
    <w:rsid w:val="00CD7585"/>
    <w:rsid w:val="00CE0A42"/>
    <w:rsid w:val="00CE2457"/>
    <w:rsid w:val="00CE2474"/>
    <w:rsid w:val="00CE2C43"/>
    <w:rsid w:val="00CE3039"/>
    <w:rsid w:val="00CE3349"/>
    <w:rsid w:val="00CE35DB"/>
    <w:rsid w:val="00CE3944"/>
    <w:rsid w:val="00CE4CB3"/>
    <w:rsid w:val="00CE536F"/>
    <w:rsid w:val="00CE53DF"/>
    <w:rsid w:val="00CE619A"/>
    <w:rsid w:val="00CE7732"/>
    <w:rsid w:val="00CF0261"/>
    <w:rsid w:val="00CF119D"/>
    <w:rsid w:val="00CF29FF"/>
    <w:rsid w:val="00CF2D7B"/>
    <w:rsid w:val="00CF3219"/>
    <w:rsid w:val="00CF3258"/>
    <w:rsid w:val="00CF372F"/>
    <w:rsid w:val="00CF39C8"/>
    <w:rsid w:val="00CF3B77"/>
    <w:rsid w:val="00CF3C77"/>
    <w:rsid w:val="00CF4270"/>
    <w:rsid w:val="00CF4630"/>
    <w:rsid w:val="00CF4F89"/>
    <w:rsid w:val="00CF5D26"/>
    <w:rsid w:val="00CF5E4A"/>
    <w:rsid w:val="00CF5E56"/>
    <w:rsid w:val="00CF6ABB"/>
    <w:rsid w:val="00CF6BF8"/>
    <w:rsid w:val="00CF72F3"/>
    <w:rsid w:val="00CF7F51"/>
    <w:rsid w:val="00D0063E"/>
    <w:rsid w:val="00D007F0"/>
    <w:rsid w:val="00D00BC7"/>
    <w:rsid w:val="00D0115D"/>
    <w:rsid w:val="00D013AF"/>
    <w:rsid w:val="00D01406"/>
    <w:rsid w:val="00D017C5"/>
    <w:rsid w:val="00D01B7A"/>
    <w:rsid w:val="00D022F2"/>
    <w:rsid w:val="00D02476"/>
    <w:rsid w:val="00D02C98"/>
    <w:rsid w:val="00D02E84"/>
    <w:rsid w:val="00D032C1"/>
    <w:rsid w:val="00D03522"/>
    <w:rsid w:val="00D03AE4"/>
    <w:rsid w:val="00D03F84"/>
    <w:rsid w:val="00D046A6"/>
    <w:rsid w:val="00D04E5A"/>
    <w:rsid w:val="00D05395"/>
    <w:rsid w:val="00D0560A"/>
    <w:rsid w:val="00D0666F"/>
    <w:rsid w:val="00D06B72"/>
    <w:rsid w:val="00D07577"/>
    <w:rsid w:val="00D075AF"/>
    <w:rsid w:val="00D10E51"/>
    <w:rsid w:val="00D111A9"/>
    <w:rsid w:val="00D11281"/>
    <w:rsid w:val="00D12E96"/>
    <w:rsid w:val="00D12EF8"/>
    <w:rsid w:val="00D13374"/>
    <w:rsid w:val="00D13BCF"/>
    <w:rsid w:val="00D13BDE"/>
    <w:rsid w:val="00D15E8E"/>
    <w:rsid w:val="00D16532"/>
    <w:rsid w:val="00D16AD4"/>
    <w:rsid w:val="00D16C96"/>
    <w:rsid w:val="00D17453"/>
    <w:rsid w:val="00D17928"/>
    <w:rsid w:val="00D17B66"/>
    <w:rsid w:val="00D17C45"/>
    <w:rsid w:val="00D17D39"/>
    <w:rsid w:val="00D17FA5"/>
    <w:rsid w:val="00D20703"/>
    <w:rsid w:val="00D2154D"/>
    <w:rsid w:val="00D215BD"/>
    <w:rsid w:val="00D216C4"/>
    <w:rsid w:val="00D21D5F"/>
    <w:rsid w:val="00D21E26"/>
    <w:rsid w:val="00D2210B"/>
    <w:rsid w:val="00D2251D"/>
    <w:rsid w:val="00D22CE1"/>
    <w:rsid w:val="00D2305F"/>
    <w:rsid w:val="00D23F97"/>
    <w:rsid w:val="00D24F61"/>
    <w:rsid w:val="00D2546C"/>
    <w:rsid w:val="00D256C0"/>
    <w:rsid w:val="00D25B62"/>
    <w:rsid w:val="00D25F41"/>
    <w:rsid w:val="00D25F85"/>
    <w:rsid w:val="00D26248"/>
    <w:rsid w:val="00D26CA2"/>
    <w:rsid w:val="00D2728A"/>
    <w:rsid w:val="00D27349"/>
    <w:rsid w:val="00D275A4"/>
    <w:rsid w:val="00D2770F"/>
    <w:rsid w:val="00D27A8D"/>
    <w:rsid w:val="00D27B1F"/>
    <w:rsid w:val="00D27F1E"/>
    <w:rsid w:val="00D304E2"/>
    <w:rsid w:val="00D312DC"/>
    <w:rsid w:val="00D31F36"/>
    <w:rsid w:val="00D31FDF"/>
    <w:rsid w:val="00D32520"/>
    <w:rsid w:val="00D32CC1"/>
    <w:rsid w:val="00D32CFE"/>
    <w:rsid w:val="00D3350F"/>
    <w:rsid w:val="00D34D44"/>
    <w:rsid w:val="00D34E36"/>
    <w:rsid w:val="00D352EF"/>
    <w:rsid w:val="00D3588F"/>
    <w:rsid w:val="00D35A96"/>
    <w:rsid w:val="00D35FC8"/>
    <w:rsid w:val="00D35FEE"/>
    <w:rsid w:val="00D36277"/>
    <w:rsid w:val="00D3775C"/>
    <w:rsid w:val="00D377B2"/>
    <w:rsid w:val="00D37BD5"/>
    <w:rsid w:val="00D37F4A"/>
    <w:rsid w:val="00D37FC1"/>
    <w:rsid w:val="00D40764"/>
    <w:rsid w:val="00D411F5"/>
    <w:rsid w:val="00D428C9"/>
    <w:rsid w:val="00D445C6"/>
    <w:rsid w:val="00D4524E"/>
    <w:rsid w:val="00D4533D"/>
    <w:rsid w:val="00D46CD2"/>
    <w:rsid w:val="00D46DB0"/>
    <w:rsid w:val="00D472A7"/>
    <w:rsid w:val="00D47F51"/>
    <w:rsid w:val="00D5163F"/>
    <w:rsid w:val="00D52027"/>
    <w:rsid w:val="00D521C4"/>
    <w:rsid w:val="00D5241E"/>
    <w:rsid w:val="00D52489"/>
    <w:rsid w:val="00D527AD"/>
    <w:rsid w:val="00D52BCD"/>
    <w:rsid w:val="00D52CCA"/>
    <w:rsid w:val="00D53089"/>
    <w:rsid w:val="00D53E40"/>
    <w:rsid w:val="00D54513"/>
    <w:rsid w:val="00D551F3"/>
    <w:rsid w:val="00D5728A"/>
    <w:rsid w:val="00D57B63"/>
    <w:rsid w:val="00D57B6C"/>
    <w:rsid w:val="00D57F3C"/>
    <w:rsid w:val="00D60794"/>
    <w:rsid w:val="00D609CF"/>
    <w:rsid w:val="00D60E12"/>
    <w:rsid w:val="00D61A46"/>
    <w:rsid w:val="00D623FD"/>
    <w:rsid w:val="00D62557"/>
    <w:rsid w:val="00D625B4"/>
    <w:rsid w:val="00D626D9"/>
    <w:rsid w:val="00D62C98"/>
    <w:rsid w:val="00D631E5"/>
    <w:rsid w:val="00D636B0"/>
    <w:rsid w:val="00D63B86"/>
    <w:rsid w:val="00D640E1"/>
    <w:rsid w:val="00D6586D"/>
    <w:rsid w:val="00D65DE7"/>
    <w:rsid w:val="00D67830"/>
    <w:rsid w:val="00D701FA"/>
    <w:rsid w:val="00D70851"/>
    <w:rsid w:val="00D70AFF"/>
    <w:rsid w:val="00D70F20"/>
    <w:rsid w:val="00D71575"/>
    <w:rsid w:val="00D718EB"/>
    <w:rsid w:val="00D71E25"/>
    <w:rsid w:val="00D7210C"/>
    <w:rsid w:val="00D72358"/>
    <w:rsid w:val="00D729F7"/>
    <w:rsid w:val="00D73ABA"/>
    <w:rsid w:val="00D7430F"/>
    <w:rsid w:val="00D74A21"/>
    <w:rsid w:val="00D74F7E"/>
    <w:rsid w:val="00D766C7"/>
    <w:rsid w:val="00D772D3"/>
    <w:rsid w:val="00D80640"/>
    <w:rsid w:val="00D80F9F"/>
    <w:rsid w:val="00D813A0"/>
    <w:rsid w:val="00D82506"/>
    <w:rsid w:val="00D82FFB"/>
    <w:rsid w:val="00D83364"/>
    <w:rsid w:val="00D834CD"/>
    <w:rsid w:val="00D83805"/>
    <w:rsid w:val="00D83AF5"/>
    <w:rsid w:val="00D8417D"/>
    <w:rsid w:val="00D84515"/>
    <w:rsid w:val="00D854C9"/>
    <w:rsid w:val="00D858F2"/>
    <w:rsid w:val="00D85A1E"/>
    <w:rsid w:val="00D91297"/>
    <w:rsid w:val="00D91C36"/>
    <w:rsid w:val="00D92193"/>
    <w:rsid w:val="00D9242F"/>
    <w:rsid w:val="00D92568"/>
    <w:rsid w:val="00D927D2"/>
    <w:rsid w:val="00D92A8F"/>
    <w:rsid w:val="00D92B43"/>
    <w:rsid w:val="00D93160"/>
    <w:rsid w:val="00D9321A"/>
    <w:rsid w:val="00D936EA"/>
    <w:rsid w:val="00D937D6"/>
    <w:rsid w:val="00D941BA"/>
    <w:rsid w:val="00D94296"/>
    <w:rsid w:val="00D9637E"/>
    <w:rsid w:val="00D96CF0"/>
    <w:rsid w:val="00D96D93"/>
    <w:rsid w:val="00D97001"/>
    <w:rsid w:val="00D97737"/>
    <w:rsid w:val="00DA00C7"/>
    <w:rsid w:val="00DA02BB"/>
    <w:rsid w:val="00DA034C"/>
    <w:rsid w:val="00DA05B0"/>
    <w:rsid w:val="00DA0C8E"/>
    <w:rsid w:val="00DA159C"/>
    <w:rsid w:val="00DA1EFE"/>
    <w:rsid w:val="00DA21C7"/>
    <w:rsid w:val="00DA2D64"/>
    <w:rsid w:val="00DA3211"/>
    <w:rsid w:val="00DA323B"/>
    <w:rsid w:val="00DA3679"/>
    <w:rsid w:val="00DA3BBD"/>
    <w:rsid w:val="00DA4C9A"/>
    <w:rsid w:val="00DA52F1"/>
    <w:rsid w:val="00DA53A2"/>
    <w:rsid w:val="00DA5CAC"/>
    <w:rsid w:val="00DA5E1D"/>
    <w:rsid w:val="00DA644E"/>
    <w:rsid w:val="00DA686C"/>
    <w:rsid w:val="00DB03BF"/>
    <w:rsid w:val="00DB05A5"/>
    <w:rsid w:val="00DB129F"/>
    <w:rsid w:val="00DB2938"/>
    <w:rsid w:val="00DB338E"/>
    <w:rsid w:val="00DB34A8"/>
    <w:rsid w:val="00DB37C3"/>
    <w:rsid w:val="00DB3CF5"/>
    <w:rsid w:val="00DB3DA5"/>
    <w:rsid w:val="00DB4395"/>
    <w:rsid w:val="00DB5318"/>
    <w:rsid w:val="00DB574C"/>
    <w:rsid w:val="00DB58CD"/>
    <w:rsid w:val="00DB5A8A"/>
    <w:rsid w:val="00DB6118"/>
    <w:rsid w:val="00DB6195"/>
    <w:rsid w:val="00DB664E"/>
    <w:rsid w:val="00DB6C2C"/>
    <w:rsid w:val="00DB721A"/>
    <w:rsid w:val="00DB737C"/>
    <w:rsid w:val="00DB73EA"/>
    <w:rsid w:val="00DB7AE4"/>
    <w:rsid w:val="00DC1752"/>
    <w:rsid w:val="00DC1B9C"/>
    <w:rsid w:val="00DC257A"/>
    <w:rsid w:val="00DC27A9"/>
    <w:rsid w:val="00DC2A54"/>
    <w:rsid w:val="00DC3898"/>
    <w:rsid w:val="00DC38B2"/>
    <w:rsid w:val="00DC39D8"/>
    <w:rsid w:val="00DC3A28"/>
    <w:rsid w:val="00DC3F0C"/>
    <w:rsid w:val="00DC3FA3"/>
    <w:rsid w:val="00DC4488"/>
    <w:rsid w:val="00DC4803"/>
    <w:rsid w:val="00DC48AD"/>
    <w:rsid w:val="00DC4B32"/>
    <w:rsid w:val="00DC516D"/>
    <w:rsid w:val="00DC5772"/>
    <w:rsid w:val="00DC65A1"/>
    <w:rsid w:val="00DC7E36"/>
    <w:rsid w:val="00DD0E28"/>
    <w:rsid w:val="00DD0FC4"/>
    <w:rsid w:val="00DD2021"/>
    <w:rsid w:val="00DD2440"/>
    <w:rsid w:val="00DD25C3"/>
    <w:rsid w:val="00DD25CB"/>
    <w:rsid w:val="00DD2EED"/>
    <w:rsid w:val="00DD32AE"/>
    <w:rsid w:val="00DD3338"/>
    <w:rsid w:val="00DD351C"/>
    <w:rsid w:val="00DD3927"/>
    <w:rsid w:val="00DD39A9"/>
    <w:rsid w:val="00DD55CD"/>
    <w:rsid w:val="00DD609F"/>
    <w:rsid w:val="00DD700B"/>
    <w:rsid w:val="00DD7641"/>
    <w:rsid w:val="00DD7C48"/>
    <w:rsid w:val="00DE0161"/>
    <w:rsid w:val="00DE025C"/>
    <w:rsid w:val="00DE06AA"/>
    <w:rsid w:val="00DE25BE"/>
    <w:rsid w:val="00DE29E2"/>
    <w:rsid w:val="00DE2A2B"/>
    <w:rsid w:val="00DE347F"/>
    <w:rsid w:val="00DE3522"/>
    <w:rsid w:val="00DE4143"/>
    <w:rsid w:val="00DE41C1"/>
    <w:rsid w:val="00DE48AD"/>
    <w:rsid w:val="00DE4E16"/>
    <w:rsid w:val="00DE4FCC"/>
    <w:rsid w:val="00DE5FAA"/>
    <w:rsid w:val="00DE5FB1"/>
    <w:rsid w:val="00DE6019"/>
    <w:rsid w:val="00DE61C0"/>
    <w:rsid w:val="00DE6391"/>
    <w:rsid w:val="00DE64BE"/>
    <w:rsid w:val="00DE6740"/>
    <w:rsid w:val="00DE6E4D"/>
    <w:rsid w:val="00DE74FE"/>
    <w:rsid w:val="00DE7631"/>
    <w:rsid w:val="00DF13B7"/>
    <w:rsid w:val="00DF14C8"/>
    <w:rsid w:val="00DF1545"/>
    <w:rsid w:val="00DF1BDC"/>
    <w:rsid w:val="00DF1F98"/>
    <w:rsid w:val="00DF2101"/>
    <w:rsid w:val="00DF218F"/>
    <w:rsid w:val="00DF2EE1"/>
    <w:rsid w:val="00DF3326"/>
    <w:rsid w:val="00DF35C3"/>
    <w:rsid w:val="00DF4A08"/>
    <w:rsid w:val="00DF4DF2"/>
    <w:rsid w:val="00DF5783"/>
    <w:rsid w:val="00DF5B4E"/>
    <w:rsid w:val="00DF5D3F"/>
    <w:rsid w:val="00DF6F52"/>
    <w:rsid w:val="00DF7155"/>
    <w:rsid w:val="00DF75B7"/>
    <w:rsid w:val="00E009CD"/>
    <w:rsid w:val="00E01103"/>
    <w:rsid w:val="00E01680"/>
    <w:rsid w:val="00E01C6E"/>
    <w:rsid w:val="00E01F45"/>
    <w:rsid w:val="00E02359"/>
    <w:rsid w:val="00E02515"/>
    <w:rsid w:val="00E02CB0"/>
    <w:rsid w:val="00E03800"/>
    <w:rsid w:val="00E03E6D"/>
    <w:rsid w:val="00E046B3"/>
    <w:rsid w:val="00E04A68"/>
    <w:rsid w:val="00E04A6F"/>
    <w:rsid w:val="00E05286"/>
    <w:rsid w:val="00E05400"/>
    <w:rsid w:val="00E06235"/>
    <w:rsid w:val="00E069D4"/>
    <w:rsid w:val="00E11862"/>
    <w:rsid w:val="00E12133"/>
    <w:rsid w:val="00E122A7"/>
    <w:rsid w:val="00E1233A"/>
    <w:rsid w:val="00E12970"/>
    <w:rsid w:val="00E13122"/>
    <w:rsid w:val="00E13EAB"/>
    <w:rsid w:val="00E148DB"/>
    <w:rsid w:val="00E14AD1"/>
    <w:rsid w:val="00E15558"/>
    <w:rsid w:val="00E172EB"/>
    <w:rsid w:val="00E17C3D"/>
    <w:rsid w:val="00E20228"/>
    <w:rsid w:val="00E2035E"/>
    <w:rsid w:val="00E205E7"/>
    <w:rsid w:val="00E2076F"/>
    <w:rsid w:val="00E21CCC"/>
    <w:rsid w:val="00E22AE1"/>
    <w:rsid w:val="00E22BBF"/>
    <w:rsid w:val="00E22FF2"/>
    <w:rsid w:val="00E23070"/>
    <w:rsid w:val="00E24F71"/>
    <w:rsid w:val="00E25694"/>
    <w:rsid w:val="00E25918"/>
    <w:rsid w:val="00E25DB4"/>
    <w:rsid w:val="00E2649B"/>
    <w:rsid w:val="00E26B74"/>
    <w:rsid w:val="00E27677"/>
    <w:rsid w:val="00E27879"/>
    <w:rsid w:val="00E278A7"/>
    <w:rsid w:val="00E27F7D"/>
    <w:rsid w:val="00E30732"/>
    <w:rsid w:val="00E30948"/>
    <w:rsid w:val="00E30A47"/>
    <w:rsid w:val="00E30B6A"/>
    <w:rsid w:val="00E30C04"/>
    <w:rsid w:val="00E322AB"/>
    <w:rsid w:val="00E32372"/>
    <w:rsid w:val="00E32419"/>
    <w:rsid w:val="00E32D57"/>
    <w:rsid w:val="00E3363C"/>
    <w:rsid w:val="00E33779"/>
    <w:rsid w:val="00E33C48"/>
    <w:rsid w:val="00E33D22"/>
    <w:rsid w:val="00E34218"/>
    <w:rsid w:val="00E342EC"/>
    <w:rsid w:val="00E34395"/>
    <w:rsid w:val="00E344DC"/>
    <w:rsid w:val="00E35075"/>
    <w:rsid w:val="00E35853"/>
    <w:rsid w:val="00E36157"/>
    <w:rsid w:val="00E361B7"/>
    <w:rsid w:val="00E36F60"/>
    <w:rsid w:val="00E374D3"/>
    <w:rsid w:val="00E37909"/>
    <w:rsid w:val="00E40556"/>
    <w:rsid w:val="00E40904"/>
    <w:rsid w:val="00E40EF5"/>
    <w:rsid w:val="00E411B7"/>
    <w:rsid w:val="00E41533"/>
    <w:rsid w:val="00E41856"/>
    <w:rsid w:val="00E437AE"/>
    <w:rsid w:val="00E444C9"/>
    <w:rsid w:val="00E44567"/>
    <w:rsid w:val="00E4461C"/>
    <w:rsid w:val="00E44B40"/>
    <w:rsid w:val="00E44DB1"/>
    <w:rsid w:val="00E45433"/>
    <w:rsid w:val="00E4552B"/>
    <w:rsid w:val="00E45CF4"/>
    <w:rsid w:val="00E45DA4"/>
    <w:rsid w:val="00E46296"/>
    <w:rsid w:val="00E50067"/>
    <w:rsid w:val="00E50B94"/>
    <w:rsid w:val="00E51767"/>
    <w:rsid w:val="00E51BB9"/>
    <w:rsid w:val="00E5207F"/>
    <w:rsid w:val="00E52303"/>
    <w:rsid w:val="00E52FAC"/>
    <w:rsid w:val="00E535F4"/>
    <w:rsid w:val="00E53A9C"/>
    <w:rsid w:val="00E53E52"/>
    <w:rsid w:val="00E53F77"/>
    <w:rsid w:val="00E548E2"/>
    <w:rsid w:val="00E5540D"/>
    <w:rsid w:val="00E55742"/>
    <w:rsid w:val="00E55D79"/>
    <w:rsid w:val="00E5633E"/>
    <w:rsid w:val="00E56444"/>
    <w:rsid w:val="00E56883"/>
    <w:rsid w:val="00E56E8B"/>
    <w:rsid w:val="00E574ED"/>
    <w:rsid w:val="00E57C96"/>
    <w:rsid w:val="00E57DF1"/>
    <w:rsid w:val="00E605BE"/>
    <w:rsid w:val="00E60A46"/>
    <w:rsid w:val="00E60D9B"/>
    <w:rsid w:val="00E615B5"/>
    <w:rsid w:val="00E627FA"/>
    <w:rsid w:val="00E62A1B"/>
    <w:rsid w:val="00E62BA6"/>
    <w:rsid w:val="00E636D8"/>
    <w:rsid w:val="00E638FE"/>
    <w:rsid w:val="00E63C21"/>
    <w:rsid w:val="00E63D71"/>
    <w:rsid w:val="00E63E2A"/>
    <w:rsid w:val="00E64568"/>
    <w:rsid w:val="00E64D9B"/>
    <w:rsid w:val="00E65318"/>
    <w:rsid w:val="00E659BD"/>
    <w:rsid w:val="00E660D1"/>
    <w:rsid w:val="00E67600"/>
    <w:rsid w:val="00E67E78"/>
    <w:rsid w:val="00E67EDA"/>
    <w:rsid w:val="00E7056D"/>
    <w:rsid w:val="00E7163A"/>
    <w:rsid w:val="00E73B07"/>
    <w:rsid w:val="00E73B6A"/>
    <w:rsid w:val="00E74151"/>
    <w:rsid w:val="00E745B7"/>
    <w:rsid w:val="00E75166"/>
    <w:rsid w:val="00E75190"/>
    <w:rsid w:val="00E7550D"/>
    <w:rsid w:val="00E75B07"/>
    <w:rsid w:val="00E77B10"/>
    <w:rsid w:val="00E77C25"/>
    <w:rsid w:val="00E826F4"/>
    <w:rsid w:val="00E82812"/>
    <w:rsid w:val="00E8384E"/>
    <w:rsid w:val="00E83AB1"/>
    <w:rsid w:val="00E84353"/>
    <w:rsid w:val="00E843B1"/>
    <w:rsid w:val="00E85430"/>
    <w:rsid w:val="00E85F5C"/>
    <w:rsid w:val="00E86511"/>
    <w:rsid w:val="00E86630"/>
    <w:rsid w:val="00E866D3"/>
    <w:rsid w:val="00E869BD"/>
    <w:rsid w:val="00E9039E"/>
    <w:rsid w:val="00E906B9"/>
    <w:rsid w:val="00E908DA"/>
    <w:rsid w:val="00E90FF2"/>
    <w:rsid w:val="00E914EE"/>
    <w:rsid w:val="00E91572"/>
    <w:rsid w:val="00E91A9F"/>
    <w:rsid w:val="00E92A0F"/>
    <w:rsid w:val="00E92CBC"/>
    <w:rsid w:val="00E93481"/>
    <w:rsid w:val="00E9387E"/>
    <w:rsid w:val="00E9565C"/>
    <w:rsid w:val="00E9599E"/>
    <w:rsid w:val="00E96C21"/>
    <w:rsid w:val="00E96D52"/>
    <w:rsid w:val="00E97FBD"/>
    <w:rsid w:val="00EA026F"/>
    <w:rsid w:val="00EA02DD"/>
    <w:rsid w:val="00EA0CD9"/>
    <w:rsid w:val="00EA12B6"/>
    <w:rsid w:val="00EA12CE"/>
    <w:rsid w:val="00EA2757"/>
    <w:rsid w:val="00EA285F"/>
    <w:rsid w:val="00EA2EB7"/>
    <w:rsid w:val="00EA3D1B"/>
    <w:rsid w:val="00EA3E12"/>
    <w:rsid w:val="00EA4A6B"/>
    <w:rsid w:val="00EA584D"/>
    <w:rsid w:val="00EA5F24"/>
    <w:rsid w:val="00EA60D8"/>
    <w:rsid w:val="00EA65A5"/>
    <w:rsid w:val="00EA6BE6"/>
    <w:rsid w:val="00EA7377"/>
    <w:rsid w:val="00EA7499"/>
    <w:rsid w:val="00EA76E5"/>
    <w:rsid w:val="00EA79AB"/>
    <w:rsid w:val="00EA79AE"/>
    <w:rsid w:val="00EA7C67"/>
    <w:rsid w:val="00EA7E9A"/>
    <w:rsid w:val="00EB10A0"/>
    <w:rsid w:val="00EB1503"/>
    <w:rsid w:val="00EB174F"/>
    <w:rsid w:val="00EB1998"/>
    <w:rsid w:val="00EB1B15"/>
    <w:rsid w:val="00EB1D14"/>
    <w:rsid w:val="00EB23DE"/>
    <w:rsid w:val="00EB27ED"/>
    <w:rsid w:val="00EB2836"/>
    <w:rsid w:val="00EB2D3E"/>
    <w:rsid w:val="00EB4C08"/>
    <w:rsid w:val="00EB5135"/>
    <w:rsid w:val="00EB601B"/>
    <w:rsid w:val="00EC0D8F"/>
    <w:rsid w:val="00EC10BE"/>
    <w:rsid w:val="00EC10FC"/>
    <w:rsid w:val="00EC110C"/>
    <w:rsid w:val="00EC245E"/>
    <w:rsid w:val="00EC2A60"/>
    <w:rsid w:val="00EC2C4D"/>
    <w:rsid w:val="00EC2F2A"/>
    <w:rsid w:val="00EC35C5"/>
    <w:rsid w:val="00EC460C"/>
    <w:rsid w:val="00EC503C"/>
    <w:rsid w:val="00EC5C30"/>
    <w:rsid w:val="00EC603D"/>
    <w:rsid w:val="00EC60C1"/>
    <w:rsid w:val="00EC616A"/>
    <w:rsid w:val="00EC62C9"/>
    <w:rsid w:val="00EC645D"/>
    <w:rsid w:val="00EC649B"/>
    <w:rsid w:val="00EC66B8"/>
    <w:rsid w:val="00EC686D"/>
    <w:rsid w:val="00EC71F9"/>
    <w:rsid w:val="00ED0048"/>
    <w:rsid w:val="00ED06A7"/>
    <w:rsid w:val="00ED0E80"/>
    <w:rsid w:val="00ED0EA5"/>
    <w:rsid w:val="00ED18FB"/>
    <w:rsid w:val="00ED19FC"/>
    <w:rsid w:val="00ED1A2C"/>
    <w:rsid w:val="00ED1FCD"/>
    <w:rsid w:val="00ED2417"/>
    <w:rsid w:val="00ED2D6C"/>
    <w:rsid w:val="00ED3319"/>
    <w:rsid w:val="00ED373E"/>
    <w:rsid w:val="00ED3AC7"/>
    <w:rsid w:val="00ED3B4A"/>
    <w:rsid w:val="00ED3B52"/>
    <w:rsid w:val="00ED3E55"/>
    <w:rsid w:val="00ED3F68"/>
    <w:rsid w:val="00ED40E9"/>
    <w:rsid w:val="00ED4694"/>
    <w:rsid w:val="00ED4C13"/>
    <w:rsid w:val="00ED6458"/>
    <w:rsid w:val="00ED6501"/>
    <w:rsid w:val="00ED6C60"/>
    <w:rsid w:val="00ED6EBD"/>
    <w:rsid w:val="00ED742C"/>
    <w:rsid w:val="00ED7F30"/>
    <w:rsid w:val="00EE1395"/>
    <w:rsid w:val="00EE1686"/>
    <w:rsid w:val="00EE1D54"/>
    <w:rsid w:val="00EE219E"/>
    <w:rsid w:val="00EE2632"/>
    <w:rsid w:val="00EE2D6E"/>
    <w:rsid w:val="00EE4054"/>
    <w:rsid w:val="00EE48DD"/>
    <w:rsid w:val="00EE49EC"/>
    <w:rsid w:val="00EE4BE7"/>
    <w:rsid w:val="00EE5E88"/>
    <w:rsid w:val="00EE6079"/>
    <w:rsid w:val="00EE6FBC"/>
    <w:rsid w:val="00EE70C2"/>
    <w:rsid w:val="00EE72D8"/>
    <w:rsid w:val="00EE75FA"/>
    <w:rsid w:val="00EE76E6"/>
    <w:rsid w:val="00EE7811"/>
    <w:rsid w:val="00EE7B4E"/>
    <w:rsid w:val="00EF01D6"/>
    <w:rsid w:val="00EF0547"/>
    <w:rsid w:val="00EF0A0A"/>
    <w:rsid w:val="00EF0CA0"/>
    <w:rsid w:val="00EF124B"/>
    <w:rsid w:val="00EF135F"/>
    <w:rsid w:val="00EF16F8"/>
    <w:rsid w:val="00EF1932"/>
    <w:rsid w:val="00EF1942"/>
    <w:rsid w:val="00EF1DFE"/>
    <w:rsid w:val="00EF269D"/>
    <w:rsid w:val="00EF2929"/>
    <w:rsid w:val="00EF2C46"/>
    <w:rsid w:val="00EF2E4B"/>
    <w:rsid w:val="00EF3C3D"/>
    <w:rsid w:val="00EF413C"/>
    <w:rsid w:val="00EF4703"/>
    <w:rsid w:val="00EF6A92"/>
    <w:rsid w:val="00EF6FF5"/>
    <w:rsid w:val="00EF744D"/>
    <w:rsid w:val="00EF7C89"/>
    <w:rsid w:val="00EF7F7A"/>
    <w:rsid w:val="00F004BA"/>
    <w:rsid w:val="00F00A5A"/>
    <w:rsid w:val="00F00D12"/>
    <w:rsid w:val="00F00E15"/>
    <w:rsid w:val="00F010D3"/>
    <w:rsid w:val="00F02182"/>
    <w:rsid w:val="00F0225A"/>
    <w:rsid w:val="00F024F4"/>
    <w:rsid w:val="00F02A64"/>
    <w:rsid w:val="00F035D7"/>
    <w:rsid w:val="00F03C5F"/>
    <w:rsid w:val="00F04C70"/>
    <w:rsid w:val="00F05020"/>
    <w:rsid w:val="00F05C02"/>
    <w:rsid w:val="00F064FE"/>
    <w:rsid w:val="00F06500"/>
    <w:rsid w:val="00F068B9"/>
    <w:rsid w:val="00F07418"/>
    <w:rsid w:val="00F07C5C"/>
    <w:rsid w:val="00F07EA6"/>
    <w:rsid w:val="00F07F5A"/>
    <w:rsid w:val="00F107DC"/>
    <w:rsid w:val="00F1192B"/>
    <w:rsid w:val="00F12674"/>
    <w:rsid w:val="00F1280E"/>
    <w:rsid w:val="00F142DB"/>
    <w:rsid w:val="00F14A79"/>
    <w:rsid w:val="00F15520"/>
    <w:rsid w:val="00F17B62"/>
    <w:rsid w:val="00F17F75"/>
    <w:rsid w:val="00F17FB4"/>
    <w:rsid w:val="00F2033B"/>
    <w:rsid w:val="00F2111C"/>
    <w:rsid w:val="00F21257"/>
    <w:rsid w:val="00F21336"/>
    <w:rsid w:val="00F217BA"/>
    <w:rsid w:val="00F2180B"/>
    <w:rsid w:val="00F21BA6"/>
    <w:rsid w:val="00F22158"/>
    <w:rsid w:val="00F22254"/>
    <w:rsid w:val="00F227B2"/>
    <w:rsid w:val="00F22D2B"/>
    <w:rsid w:val="00F22DD8"/>
    <w:rsid w:val="00F22E9D"/>
    <w:rsid w:val="00F234A3"/>
    <w:rsid w:val="00F23B06"/>
    <w:rsid w:val="00F23BB2"/>
    <w:rsid w:val="00F23E78"/>
    <w:rsid w:val="00F23FEB"/>
    <w:rsid w:val="00F26556"/>
    <w:rsid w:val="00F26ABA"/>
    <w:rsid w:val="00F26CF8"/>
    <w:rsid w:val="00F27535"/>
    <w:rsid w:val="00F27E40"/>
    <w:rsid w:val="00F300B3"/>
    <w:rsid w:val="00F3040D"/>
    <w:rsid w:val="00F31353"/>
    <w:rsid w:val="00F31387"/>
    <w:rsid w:val="00F31552"/>
    <w:rsid w:val="00F31DDB"/>
    <w:rsid w:val="00F32953"/>
    <w:rsid w:val="00F33660"/>
    <w:rsid w:val="00F339A1"/>
    <w:rsid w:val="00F34D76"/>
    <w:rsid w:val="00F34EB1"/>
    <w:rsid w:val="00F35122"/>
    <w:rsid w:val="00F351E9"/>
    <w:rsid w:val="00F35891"/>
    <w:rsid w:val="00F35A10"/>
    <w:rsid w:val="00F3631C"/>
    <w:rsid w:val="00F3639F"/>
    <w:rsid w:val="00F36E98"/>
    <w:rsid w:val="00F370D2"/>
    <w:rsid w:val="00F37239"/>
    <w:rsid w:val="00F3766E"/>
    <w:rsid w:val="00F37942"/>
    <w:rsid w:val="00F37AA7"/>
    <w:rsid w:val="00F408E4"/>
    <w:rsid w:val="00F40912"/>
    <w:rsid w:val="00F41A2B"/>
    <w:rsid w:val="00F41BF5"/>
    <w:rsid w:val="00F42690"/>
    <w:rsid w:val="00F42A9C"/>
    <w:rsid w:val="00F4306C"/>
    <w:rsid w:val="00F43407"/>
    <w:rsid w:val="00F43C6F"/>
    <w:rsid w:val="00F43CE4"/>
    <w:rsid w:val="00F43FB9"/>
    <w:rsid w:val="00F44E53"/>
    <w:rsid w:val="00F44E9A"/>
    <w:rsid w:val="00F44F91"/>
    <w:rsid w:val="00F45533"/>
    <w:rsid w:val="00F45CAA"/>
    <w:rsid w:val="00F462F0"/>
    <w:rsid w:val="00F46450"/>
    <w:rsid w:val="00F46FAD"/>
    <w:rsid w:val="00F4724F"/>
    <w:rsid w:val="00F47818"/>
    <w:rsid w:val="00F47F24"/>
    <w:rsid w:val="00F50034"/>
    <w:rsid w:val="00F507A8"/>
    <w:rsid w:val="00F508A6"/>
    <w:rsid w:val="00F508D7"/>
    <w:rsid w:val="00F50C2C"/>
    <w:rsid w:val="00F51222"/>
    <w:rsid w:val="00F51464"/>
    <w:rsid w:val="00F517A1"/>
    <w:rsid w:val="00F5185D"/>
    <w:rsid w:val="00F519A9"/>
    <w:rsid w:val="00F51BBF"/>
    <w:rsid w:val="00F53E43"/>
    <w:rsid w:val="00F54B99"/>
    <w:rsid w:val="00F55DBC"/>
    <w:rsid w:val="00F567C7"/>
    <w:rsid w:val="00F56C78"/>
    <w:rsid w:val="00F56CEE"/>
    <w:rsid w:val="00F56D1F"/>
    <w:rsid w:val="00F56DA0"/>
    <w:rsid w:val="00F57B3D"/>
    <w:rsid w:val="00F6065B"/>
    <w:rsid w:val="00F6073A"/>
    <w:rsid w:val="00F6074C"/>
    <w:rsid w:val="00F607F6"/>
    <w:rsid w:val="00F609BD"/>
    <w:rsid w:val="00F61443"/>
    <w:rsid w:val="00F61BAF"/>
    <w:rsid w:val="00F62E83"/>
    <w:rsid w:val="00F64337"/>
    <w:rsid w:val="00F643DA"/>
    <w:rsid w:val="00F64A42"/>
    <w:rsid w:val="00F6590F"/>
    <w:rsid w:val="00F65DD9"/>
    <w:rsid w:val="00F6603A"/>
    <w:rsid w:val="00F66D82"/>
    <w:rsid w:val="00F672E4"/>
    <w:rsid w:val="00F70328"/>
    <w:rsid w:val="00F70564"/>
    <w:rsid w:val="00F707CA"/>
    <w:rsid w:val="00F70B7F"/>
    <w:rsid w:val="00F7104A"/>
    <w:rsid w:val="00F71A55"/>
    <w:rsid w:val="00F71F92"/>
    <w:rsid w:val="00F7308E"/>
    <w:rsid w:val="00F743F3"/>
    <w:rsid w:val="00F75849"/>
    <w:rsid w:val="00F76058"/>
    <w:rsid w:val="00F772AE"/>
    <w:rsid w:val="00F77C27"/>
    <w:rsid w:val="00F77FE2"/>
    <w:rsid w:val="00F80159"/>
    <w:rsid w:val="00F8089E"/>
    <w:rsid w:val="00F8158C"/>
    <w:rsid w:val="00F82B16"/>
    <w:rsid w:val="00F82C94"/>
    <w:rsid w:val="00F83098"/>
    <w:rsid w:val="00F830F2"/>
    <w:rsid w:val="00F8326B"/>
    <w:rsid w:val="00F832F4"/>
    <w:rsid w:val="00F83507"/>
    <w:rsid w:val="00F83C5A"/>
    <w:rsid w:val="00F83FCF"/>
    <w:rsid w:val="00F8451A"/>
    <w:rsid w:val="00F84629"/>
    <w:rsid w:val="00F84646"/>
    <w:rsid w:val="00F84A27"/>
    <w:rsid w:val="00F84F1C"/>
    <w:rsid w:val="00F8635A"/>
    <w:rsid w:val="00F86BF2"/>
    <w:rsid w:val="00F8712D"/>
    <w:rsid w:val="00F87B9C"/>
    <w:rsid w:val="00F87D1D"/>
    <w:rsid w:val="00F90032"/>
    <w:rsid w:val="00F90518"/>
    <w:rsid w:val="00F9092F"/>
    <w:rsid w:val="00F9096E"/>
    <w:rsid w:val="00F90A89"/>
    <w:rsid w:val="00F90B86"/>
    <w:rsid w:val="00F90C7E"/>
    <w:rsid w:val="00F91442"/>
    <w:rsid w:val="00F92B37"/>
    <w:rsid w:val="00F934D1"/>
    <w:rsid w:val="00F93661"/>
    <w:rsid w:val="00F938E1"/>
    <w:rsid w:val="00F94C0F"/>
    <w:rsid w:val="00F953A1"/>
    <w:rsid w:val="00F9627E"/>
    <w:rsid w:val="00F9629B"/>
    <w:rsid w:val="00F9630B"/>
    <w:rsid w:val="00F965A8"/>
    <w:rsid w:val="00F9693C"/>
    <w:rsid w:val="00F96BED"/>
    <w:rsid w:val="00F97AFA"/>
    <w:rsid w:val="00F97C72"/>
    <w:rsid w:val="00FA076C"/>
    <w:rsid w:val="00FA0F3B"/>
    <w:rsid w:val="00FA1CA8"/>
    <w:rsid w:val="00FA1D35"/>
    <w:rsid w:val="00FA1D6E"/>
    <w:rsid w:val="00FA37D7"/>
    <w:rsid w:val="00FA3905"/>
    <w:rsid w:val="00FA3CFE"/>
    <w:rsid w:val="00FA3FEE"/>
    <w:rsid w:val="00FA4A08"/>
    <w:rsid w:val="00FA54B4"/>
    <w:rsid w:val="00FA5604"/>
    <w:rsid w:val="00FA5FC0"/>
    <w:rsid w:val="00FA6271"/>
    <w:rsid w:val="00FA65C5"/>
    <w:rsid w:val="00FA66A9"/>
    <w:rsid w:val="00FA6919"/>
    <w:rsid w:val="00FA775F"/>
    <w:rsid w:val="00FA7DA8"/>
    <w:rsid w:val="00FB0D9C"/>
    <w:rsid w:val="00FB2125"/>
    <w:rsid w:val="00FB21E6"/>
    <w:rsid w:val="00FB2722"/>
    <w:rsid w:val="00FB2AF1"/>
    <w:rsid w:val="00FB3C6F"/>
    <w:rsid w:val="00FB3D87"/>
    <w:rsid w:val="00FB3FCC"/>
    <w:rsid w:val="00FB4453"/>
    <w:rsid w:val="00FB4E27"/>
    <w:rsid w:val="00FB557B"/>
    <w:rsid w:val="00FB55B4"/>
    <w:rsid w:val="00FB57C2"/>
    <w:rsid w:val="00FB5C2D"/>
    <w:rsid w:val="00FB5D60"/>
    <w:rsid w:val="00FB7F86"/>
    <w:rsid w:val="00FC0282"/>
    <w:rsid w:val="00FC07C5"/>
    <w:rsid w:val="00FC1B1F"/>
    <w:rsid w:val="00FC2253"/>
    <w:rsid w:val="00FC25B0"/>
    <w:rsid w:val="00FC3056"/>
    <w:rsid w:val="00FC3204"/>
    <w:rsid w:val="00FC3880"/>
    <w:rsid w:val="00FC3BCA"/>
    <w:rsid w:val="00FC3DB4"/>
    <w:rsid w:val="00FC41CD"/>
    <w:rsid w:val="00FC470D"/>
    <w:rsid w:val="00FC481F"/>
    <w:rsid w:val="00FC5DBA"/>
    <w:rsid w:val="00FC6D32"/>
    <w:rsid w:val="00FC6EBB"/>
    <w:rsid w:val="00FC78CD"/>
    <w:rsid w:val="00FD0540"/>
    <w:rsid w:val="00FD0776"/>
    <w:rsid w:val="00FD1E1E"/>
    <w:rsid w:val="00FD2CBE"/>
    <w:rsid w:val="00FD32BD"/>
    <w:rsid w:val="00FD35CC"/>
    <w:rsid w:val="00FD3934"/>
    <w:rsid w:val="00FD3E44"/>
    <w:rsid w:val="00FD44EB"/>
    <w:rsid w:val="00FD4836"/>
    <w:rsid w:val="00FD5553"/>
    <w:rsid w:val="00FD5E20"/>
    <w:rsid w:val="00FD6311"/>
    <w:rsid w:val="00FD68C6"/>
    <w:rsid w:val="00FD6943"/>
    <w:rsid w:val="00FD699A"/>
    <w:rsid w:val="00FD6A59"/>
    <w:rsid w:val="00FD6AAE"/>
    <w:rsid w:val="00FD73C5"/>
    <w:rsid w:val="00FD7430"/>
    <w:rsid w:val="00FD7B01"/>
    <w:rsid w:val="00FD7D25"/>
    <w:rsid w:val="00FE036D"/>
    <w:rsid w:val="00FE079A"/>
    <w:rsid w:val="00FE23F3"/>
    <w:rsid w:val="00FE2505"/>
    <w:rsid w:val="00FE29E2"/>
    <w:rsid w:val="00FE2A06"/>
    <w:rsid w:val="00FE3E9B"/>
    <w:rsid w:val="00FE4377"/>
    <w:rsid w:val="00FE4469"/>
    <w:rsid w:val="00FE4B53"/>
    <w:rsid w:val="00FE4BA1"/>
    <w:rsid w:val="00FE4CE1"/>
    <w:rsid w:val="00FE54A6"/>
    <w:rsid w:val="00FE54B9"/>
    <w:rsid w:val="00FE5CC5"/>
    <w:rsid w:val="00FE6884"/>
    <w:rsid w:val="00FE6C05"/>
    <w:rsid w:val="00FE7A7C"/>
    <w:rsid w:val="00FE7AD6"/>
    <w:rsid w:val="00FF0148"/>
    <w:rsid w:val="00FF0233"/>
    <w:rsid w:val="00FF1608"/>
    <w:rsid w:val="00FF22C8"/>
    <w:rsid w:val="00FF29AE"/>
    <w:rsid w:val="00FF2A43"/>
    <w:rsid w:val="00FF2DE7"/>
    <w:rsid w:val="00FF3CBA"/>
    <w:rsid w:val="00FF40C2"/>
    <w:rsid w:val="00FF4253"/>
    <w:rsid w:val="00FF46BC"/>
    <w:rsid w:val="00FF5C32"/>
    <w:rsid w:val="00FF5EF3"/>
    <w:rsid w:val="00FF60E1"/>
    <w:rsid w:val="00FF6513"/>
    <w:rsid w:val="00FF7375"/>
    <w:rsid w:val="02692983"/>
    <w:rsid w:val="04D57ACB"/>
    <w:rsid w:val="0862B2D8"/>
    <w:rsid w:val="0911AF71"/>
    <w:rsid w:val="0A384FC7"/>
    <w:rsid w:val="0A9AF306"/>
    <w:rsid w:val="0AF491C4"/>
    <w:rsid w:val="0DB9CED6"/>
    <w:rsid w:val="0ED2AA9E"/>
    <w:rsid w:val="16A44E9F"/>
    <w:rsid w:val="16AC22AA"/>
    <w:rsid w:val="17DDC99A"/>
    <w:rsid w:val="1A02A0A2"/>
    <w:rsid w:val="1B1B572E"/>
    <w:rsid w:val="1F9AF888"/>
    <w:rsid w:val="259ABAC6"/>
    <w:rsid w:val="26096BA6"/>
    <w:rsid w:val="274F3ED1"/>
    <w:rsid w:val="2A904668"/>
    <w:rsid w:val="2B989D36"/>
    <w:rsid w:val="2BD16E22"/>
    <w:rsid w:val="2C0C89E5"/>
    <w:rsid w:val="2F7AD084"/>
    <w:rsid w:val="3116A0E5"/>
    <w:rsid w:val="3767E92B"/>
    <w:rsid w:val="3A5CC733"/>
    <w:rsid w:val="3C0721AF"/>
    <w:rsid w:val="3C740259"/>
    <w:rsid w:val="4A55D065"/>
    <w:rsid w:val="4AEC1D4F"/>
    <w:rsid w:val="4AFD233A"/>
    <w:rsid w:val="4C2B61FB"/>
    <w:rsid w:val="4C743CB3"/>
    <w:rsid w:val="538ED1E1"/>
    <w:rsid w:val="56A6213C"/>
    <w:rsid w:val="5CF62D33"/>
    <w:rsid w:val="6033DB25"/>
    <w:rsid w:val="63018F87"/>
    <w:rsid w:val="6727CEB8"/>
    <w:rsid w:val="684BC60B"/>
    <w:rsid w:val="6990FFC7"/>
    <w:rsid w:val="6D4083B0"/>
    <w:rsid w:val="6FF13CC3"/>
    <w:rsid w:val="6FFB8521"/>
    <w:rsid w:val="70C4D42C"/>
    <w:rsid w:val="73D714E8"/>
    <w:rsid w:val="7642B75B"/>
    <w:rsid w:val="7679F3B5"/>
    <w:rsid w:val="79712419"/>
    <w:rsid w:val="7BE75F98"/>
    <w:rsid w:val="7CA82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F7F4E9D1-FFAE-4318-A2D9-CE9D1EED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3F"/>
    <w:pPr>
      <w:spacing w:line="288" w:lineRule="auto"/>
    </w:pPr>
    <w:rPr>
      <w:rFonts w:ascii="Verdana" w:hAnsi="Verdana"/>
    </w:rPr>
  </w:style>
  <w:style w:type="paragraph" w:styleId="Heading1">
    <w:name w:val="heading 1"/>
    <w:basedOn w:val="Normal"/>
    <w:next w:val="Normal"/>
    <w:link w:val="Heading1Char"/>
    <w:uiPriority w:val="9"/>
    <w:qFormat/>
    <w:rsid w:val="009A6C8C"/>
    <w:pPr>
      <w:keepNext/>
      <w:keepLines/>
      <w:numPr>
        <w:numId w:val="1"/>
      </w:numPr>
      <w:spacing w:before="240" w:line="480" w:lineRule="auto"/>
      <w:ind w:left="36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780FAD"/>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533F"/>
    <w:pPr>
      <w:keepNext/>
      <w:keepLines/>
      <w:spacing w:before="40" w:line="480" w:lineRule="auto"/>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qFormat/>
    <w:rsid w:val="008A4C43"/>
    <w:pPr>
      <w:ind w:left="720"/>
      <w:contextualSpacing/>
    </w:pPr>
  </w:style>
  <w:style w:type="character" w:customStyle="1" w:styleId="Heading1Char">
    <w:name w:val="Heading 1 Char"/>
    <w:basedOn w:val="DefaultParagraphFont"/>
    <w:link w:val="Heading1"/>
    <w:uiPriority w:val="9"/>
    <w:rsid w:val="009A6C8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780FAD"/>
    <w:rPr>
      <w:rFonts w:ascii="Verdana" w:eastAsiaTheme="majorEastAsia" w:hAnsi="Verdana" w:cstheme="majorBidi"/>
      <w:b/>
      <w:szCs w:val="26"/>
    </w:rPr>
  </w:style>
  <w:style w:type="character" w:customStyle="1" w:styleId="Heading3Char">
    <w:name w:val="Heading 3 Char"/>
    <w:basedOn w:val="DefaultParagraphFont"/>
    <w:link w:val="Heading3"/>
    <w:uiPriority w:val="9"/>
    <w:rsid w:val="00BA533F"/>
    <w:rPr>
      <w:rFonts w:ascii="Verdana" w:eastAsiaTheme="majorEastAsia" w:hAnsi="Verdana" w:cstheme="majorBidi"/>
      <w:b/>
    </w:rPr>
  </w:style>
  <w:style w:type="paragraph" w:styleId="TOCHeading">
    <w:name w:val="TOC Heading"/>
    <w:basedOn w:val="Heading1"/>
    <w:next w:val="Normal"/>
    <w:uiPriority w:val="39"/>
    <w:unhideWhenUsed/>
    <w:qFormat/>
    <w:rsid w:val="0096056C"/>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BF1EE0"/>
    <w:pPr>
      <w:tabs>
        <w:tab w:val="left" w:pos="880"/>
        <w:tab w:val="right" w:leader="dot" w:pos="9848"/>
      </w:tabs>
      <w:spacing w:after="100"/>
      <w:ind w:left="240"/>
    </w:pPr>
    <w:rPr>
      <w:noProof/>
    </w:rPr>
  </w:style>
  <w:style w:type="paragraph" w:styleId="TOC3">
    <w:name w:val="toc 3"/>
    <w:basedOn w:val="Normal"/>
    <w:next w:val="Normal"/>
    <w:autoRedefine/>
    <w:uiPriority w:val="39"/>
    <w:unhideWhenUsed/>
    <w:rsid w:val="00780FAD"/>
    <w:pPr>
      <w:tabs>
        <w:tab w:val="right" w:leader="dot" w:pos="9848"/>
      </w:tabs>
      <w:spacing w:after="100"/>
      <w:ind w:left="284"/>
    </w:pPr>
  </w:style>
  <w:style w:type="character" w:styleId="CommentReference">
    <w:name w:val="annotation reference"/>
    <w:basedOn w:val="DefaultParagraphFont"/>
    <w:uiPriority w:val="99"/>
    <w:semiHidden/>
    <w:unhideWhenUsed/>
    <w:rsid w:val="000A7CAC"/>
    <w:rPr>
      <w:sz w:val="16"/>
      <w:szCs w:val="16"/>
    </w:rPr>
  </w:style>
  <w:style w:type="paragraph" w:styleId="CommentText">
    <w:name w:val="annotation text"/>
    <w:basedOn w:val="Normal"/>
    <w:link w:val="CommentTextChar"/>
    <w:uiPriority w:val="99"/>
    <w:unhideWhenUsed/>
    <w:rsid w:val="000A7CAC"/>
    <w:pPr>
      <w:spacing w:line="240" w:lineRule="auto"/>
    </w:pPr>
    <w:rPr>
      <w:sz w:val="20"/>
      <w:szCs w:val="20"/>
    </w:rPr>
  </w:style>
  <w:style w:type="character" w:customStyle="1" w:styleId="CommentTextChar">
    <w:name w:val="Comment Text Char"/>
    <w:basedOn w:val="DefaultParagraphFont"/>
    <w:link w:val="CommentText"/>
    <w:uiPriority w:val="99"/>
    <w:rsid w:val="000A7C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7CAC"/>
    <w:rPr>
      <w:b/>
      <w:bCs/>
    </w:rPr>
  </w:style>
  <w:style w:type="character" w:customStyle="1" w:styleId="CommentSubjectChar">
    <w:name w:val="Comment Subject Char"/>
    <w:basedOn w:val="CommentTextChar"/>
    <w:link w:val="CommentSubject"/>
    <w:uiPriority w:val="99"/>
    <w:semiHidden/>
    <w:rsid w:val="000A7CAC"/>
    <w:rPr>
      <w:rFonts w:ascii="Verdana" w:hAnsi="Verdana"/>
      <w:b/>
      <w:bCs/>
      <w:sz w:val="20"/>
      <w:szCs w:val="20"/>
    </w:rPr>
  </w:style>
  <w:style w:type="paragraph" w:styleId="Quote">
    <w:name w:val="Quote"/>
    <w:basedOn w:val="Normal"/>
    <w:next w:val="Normal"/>
    <w:link w:val="QuoteChar"/>
    <w:uiPriority w:val="29"/>
    <w:qFormat/>
    <w:rsid w:val="009430F4"/>
    <w:pPr>
      <w:ind w:left="862" w:right="862"/>
      <w:jc w:val="both"/>
    </w:pPr>
    <w:rPr>
      <w:iCs/>
    </w:rPr>
  </w:style>
  <w:style w:type="character" w:customStyle="1" w:styleId="QuoteChar">
    <w:name w:val="Quote Char"/>
    <w:basedOn w:val="DefaultParagraphFont"/>
    <w:link w:val="Quote"/>
    <w:uiPriority w:val="29"/>
    <w:rsid w:val="009430F4"/>
    <w:rPr>
      <w:rFonts w:ascii="Verdana" w:hAnsi="Verdana"/>
      <w:iCs/>
    </w:rPr>
  </w:style>
  <w:style w:type="paragraph" w:styleId="Revision">
    <w:name w:val="Revision"/>
    <w:hidden/>
    <w:uiPriority w:val="99"/>
    <w:semiHidden/>
    <w:rsid w:val="00102665"/>
    <w:rPr>
      <w:rFonts w:ascii="Verdana" w:hAnsi="Verdana"/>
    </w:rPr>
  </w:style>
  <w:style w:type="character" w:styleId="UnresolvedMention">
    <w:name w:val="Unresolved Mention"/>
    <w:basedOn w:val="DefaultParagraphFont"/>
    <w:uiPriority w:val="99"/>
    <w:semiHidden/>
    <w:unhideWhenUsed/>
    <w:rsid w:val="00ED6C60"/>
    <w:rPr>
      <w:color w:val="605E5C"/>
      <w:shd w:val="clear" w:color="auto" w:fill="E1DFDD"/>
    </w:rPr>
  </w:style>
  <w:style w:type="character" w:styleId="FollowedHyperlink">
    <w:name w:val="FollowedHyperlink"/>
    <w:basedOn w:val="DefaultParagraphFont"/>
    <w:uiPriority w:val="99"/>
    <w:semiHidden/>
    <w:unhideWhenUsed/>
    <w:rsid w:val="00EF6A92"/>
    <w:rPr>
      <w:color w:val="800080" w:themeColor="followedHyperlink"/>
      <w:u w:val="single"/>
    </w:rPr>
  </w:style>
  <w:style w:type="character" w:customStyle="1" w:styleId="ui-provider">
    <w:name w:val="ui-provider"/>
    <w:basedOn w:val="DefaultParagraphFont"/>
    <w:rsid w:val="0033178E"/>
  </w:style>
  <w:style w:type="character" w:styleId="Strong">
    <w:name w:val="Strong"/>
    <w:basedOn w:val="DefaultParagraphFont"/>
    <w:uiPriority w:val="22"/>
    <w:qFormat/>
    <w:rsid w:val="00D3775C"/>
    <w:rPr>
      <w:b/>
      <w:bCs/>
    </w:rPr>
  </w:style>
  <w:style w:type="paragraph" w:styleId="TOC1">
    <w:name w:val="toc 1"/>
    <w:basedOn w:val="Normal"/>
    <w:next w:val="Normal"/>
    <w:autoRedefine/>
    <w:uiPriority w:val="39"/>
    <w:unhideWhenUsed/>
    <w:rsid w:val="00C324B6"/>
    <w:pPr>
      <w:tabs>
        <w:tab w:val="left" w:pos="660"/>
        <w:tab w:val="right" w:leader="dot" w:pos="9848"/>
      </w:tabs>
      <w:spacing w:after="100"/>
    </w:pPr>
    <w:rPr>
      <w:b/>
      <w:bCs/>
      <w:noProof/>
    </w:rPr>
  </w:style>
  <w:style w:type="character" w:customStyle="1" w:styleId="footnotereference0">
    <w:name w:val="footnotereference"/>
    <w:basedOn w:val="DefaultParagraphFont"/>
    <w:rsid w:val="005A02F9"/>
  </w:style>
  <w:style w:type="table" w:styleId="TableGrid">
    <w:name w:val="Table Grid"/>
    <w:basedOn w:val="TableNormal"/>
    <w:uiPriority w:val="59"/>
    <w:rsid w:val="00E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1394A"/>
    <w:pPr>
      <w:spacing w:after="160"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qFormat/>
    <w:locked/>
    <w:rsid w:val="006E24B6"/>
    <w:rPr>
      <w:rFonts w:ascii="Verdana" w:hAnsi="Verdana"/>
    </w:rPr>
  </w:style>
  <w:style w:type="paragraph" w:customStyle="1" w:styleId="Footnote">
    <w:name w:val="Footnote"/>
    <w:basedOn w:val="FootnoteText"/>
    <w:link w:val="FootnoteChar"/>
    <w:qFormat/>
    <w:rsid w:val="00CF29FF"/>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CF29FF"/>
    <w:rPr>
      <w:rFonts w:ascii="Verdana" w:eastAsia="Verdana" w:hAnsi="Verdana" w:cs="Verdana"/>
      <w:color w:val="77328A"/>
      <w:sz w:val="16"/>
      <w:szCs w:val="16"/>
      <w:lang w:eastAsia="en-GB"/>
    </w:rPr>
  </w:style>
  <w:style w:type="character" w:styleId="Mention">
    <w:name w:val="Mention"/>
    <w:basedOn w:val="DefaultParagraphFont"/>
    <w:uiPriority w:val="99"/>
    <w:unhideWhenUsed/>
    <w:rsid w:val="00EA60D8"/>
    <w:rPr>
      <w:color w:val="2B579A"/>
      <w:shd w:val="clear" w:color="auto" w:fill="E1DFDD"/>
    </w:rPr>
  </w:style>
  <w:style w:type="character" w:customStyle="1" w:styleId="BasicParagraphChar">
    <w:name w:val="[Basic Paragraph] Char"/>
    <w:basedOn w:val="DefaultParagraphFont"/>
    <w:link w:val="BasicParagraph"/>
    <w:uiPriority w:val="99"/>
    <w:rsid w:val="009A237B"/>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4580">
      <w:bodyDiv w:val="1"/>
      <w:marLeft w:val="0"/>
      <w:marRight w:val="0"/>
      <w:marTop w:val="0"/>
      <w:marBottom w:val="0"/>
      <w:divBdr>
        <w:top w:val="none" w:sz="0" w:space="0" w:color="auto"/>
        <w:left w:val="none" w:sz="0" w:space="0" w:color="auto"/>
        <w:bottom w:val="none" w:sz="0" w:space="0" w:color="auto"/>
        <w:right w:val="none" w:sz="0" w:space="0" w:color="auto"/>
      </w:divBdr>
    </w:div>
    <w:div w:id="223761693">
      <w:bodyDiv w:val="1"/>
      <w:marLeft w:val="0"/>
      <w:marRight w:val="0"/>
      <w:marTop w:val="0"/>
      <w:marBottom w:val="0"/>
      <w:divBdr>
        <w:top w:val="none" w:sz="0" w:space="0" w:color="auto"/>
        <w:left w:val="none" w:sz="0" w:space="0" w:color="auto"/>
        <w:bottom w:val="none" w:sz="0" w:space="0" w:color="auto"/>
        <w:right w:val="none" w:sz="0" w:space="0" w:color="auto"/>
      </w:divBdr>
    </w:div>
    <w:div w:id="246614691">
      <w:bodyDiv w:val="1"/>
      <w:marLeft w:val="0"/>
      <w:marRight w:val="0"/>
      <w:marTop w:val="0"/>
      <w:marBottom w:val="0"/>
      <w:divBdr>
        <w:top w:val="none" w:sz="0" w:space="0" w:color="auto"/>
        <w:left w:val="none" w:sz="0" w:space="0" w:color="auto"/>
        <w:bottom w:val="none" w:sz="0" w:space="0" w:color="auto"/>
        <w:right w:val="none" w:sz="0" w:space="0" w:color="auto"/>
      </w:divBdr>
    </w:div>
    <w:div w:id="307906229">
      <w:bodyDiv w:val="1"/>
      <w:marLeft w:val="0"/>
      <w:marRight w:val="0"/>
      <w:marTop w:val="0"/>
      <w:marBottom w:val="0"/>
      <w:divBdr>
        <w:top w:val="none" w:sz="0" w:space="0" w:color="auto"/>
        <w:left w:val="none" w:sz="0" w:space="0" w:color="auto"/>
        <w:bottom w:val="none" w:sz="0" w:space="0" w:color="auto"/>
        <w:right w:val="none" w:sz="0" w:space="0" w:color="auto"/>
      </w:divBdr>
    </w:div>
    <w:div w:id="363215639">
      <w:bodyDiv w:val="1"/>
      <w:marLeft w:val="0"/>
      <w:marRight w:val="0"/>
      <w:marTop w:val="0"/>
      <w:marBottom w:val="0"/>
      <w:divBdr>
        <w:top w:val="none" w:sz="0" w:space="0" w:color="auto"/>
        <w:left w:val="none" w:sz="0" w:space="0" w:color="auto"/>
        <w:bottom w:val="none" w:sz="0" w:space="0" w:color="auto"/>
        <w:right w:val="none" w:sz="0" w:space="0" w:color="auto"/>
      </w:divBdr>
    </w:div>
    <w:div w:id="379868561">
      <w:bodyDiv w:val="1"/>
      <w:marLeft w:val="0"/>
      <w:marRight w:val="0"/>
      <w:marTop w:val="0"/>
      <w:marBottom w:val="0"/>
      <w:divBdr>
        <w:top w:val="none" w:sz="0" w:space="0" w:color="auto"/>
        <w:left w:val="none" w:sz="0" w:space="0" w:color="auto"/>
        <w:bottom w:val="none" w:sz="0" w:space="0" w:color="auto"/>
        <w:right w:val="none" w:sz="0" w:space="0" w:color="auto"/>
      </w:divBdr>
    </w:div>
    <w:div w:id="396124529">
      <w:bodyDiv w:val="1"/>
      <w:marLeft w:val="0"/>
      <w:marRight w:val="0"/>
      <w:marTop w:val="0"/>
      <w:marBottom w:val="0"/>
      <w:divBdr>
        <w:top w:val="none" w:sz="0" w:space="0" w:color="auto"/>
        <w:left w:val="none" w:sz="0" w:space="0" w:color="auto"/>
        <w:bottom w:val="none" w:sz="0" w:space="0" w:color="auto"/>
        <w:right w:val="none" w:sz="0" w:space="0" w:color="auto"/>
      </w:divBdr>
    </w:div>
    <w:div w:id="489558663">
      <w:bodyDiv w:val="1"/>
      <w:marLeft w:val="0"/>
      <w:marRight w:val="0"/>
      <w:marTop w:val="0"/>
      <w:marBottom w:val="0"/>
      <w:divBdr>
        <w:top w:val="none" w:sz="0" w:space="0" w:color="auto"/>
        <w:left w:val="none" w:sz="0" w:space="0" w:color="auto"/>
        <w:bottom w:val="none" w:sz="0" w:space="0" w:color="auto"/>
        <w:right w:val="none" w:sz="0" w:space="0" w:color="auto"/>
      </w:divBdr>
    </w:div>
    <w:div w:id="565141035">
      <w:bodyDiv w:val="1"/>
      <w:marLeft w:val="0"/>
      <w:marRight w:val="0"/>
      <w:marTop w:val="0"/>
      <w:marBottom w:val="0"/>
      <w:divBdr>
        <w:top w:val="none" w:sz="0" w:space="0" w:color="auto"/>
        <w:left w:val="none" w:sz="0" w:space="0" w:color="auto"/>
        <w:bottom w:val="none" w:sz="0" w:space="0" w:color="auto"/>
        <w:right w:val="none" w:sz="0" w:space="0" w:color="auto"/>
      </w:divBdr>
    </w:div>
    <w:div w:id="594632797">
      <w:bodyDiv w:val="1"/>
      <w:marLeft w:val="0"/>
      <w:marRight w:val="0"/>
      <w:marTop w:val="0"/>
      <w:marBottom w:val="0"/>
      <w:divBdr>
        <w:top w:val="none" w:sz="0" w:space="0" w:color="auto"/>
        <w:left w:val="none" w:sz="0" w:space="0" w:color="auto"/>
        <w:bottom w:val="none" w:sz="0" w:space="0" w:color="auto"/>
        <w:right w:val="none" w:sz="0" w:space="0" w:color="auto"/>
      </w:divBdr>
      <w:divsChild>
        <w:div w:id="1073236951">
          <w:marLeft w:val="0"/>
          <w:marRight w:val="0"/>
          <w:marTop w:val="0"/>
          <w:marBottom w:val="0"/>
          <w:divBdr>
            <w:top w:val="none" w:sz="0" w:space="0" w:color="auto"/>
            <w:left w:val="none" w:sz="0" w:space="0" w:color="auto"/>
            <w:bottom w:val="none" w:sz="0" w:space="0" w:color="auto"/>
            <w:right w:val="none" w:sz="0" w:space="0" w:color="auto"/>
          </w:divBdr>
          <w:divsChild>
            <w:div w:id="1539581933">
              <w:marLeft w:val="0"/>
              <w:marRight w:val="0"/>
              <w:marTop w:val="0"/>
              <w:marBottom w:val="0"/>
              <w:divBdr>
                <w:top w:val="none" w:sz="0" w:space="0" w:color="auto"/>
                <w:left w:val="none" w:sz="0" w:space="0" w:color="auto"/>
                <w:bottom w:val="none" w:sz="0" w:space="0" w:color="auto"/>
                <w:right w:val="none" w:sz="0" w:space="0" w:color="auto"/>
              </w:divBdr>
            </w:div>
          </w:divsChild>
        </w:div>
        <w:div w:id="1395738688">
          <w:marLeft w:val="0"/>
          <w:marRight w:val="0"/>
          <w:marTop w:val="0"/>
          <w:marBottom w:val="0"/>
          <w:divBdr>
            <w:top w:val="none" w:sz="0" w:space="0" w:color="auto"/>
            <w:left w:val="none" w:sz="0" w:space="0" w:color="auto"/>
            <w:bottom w:val="none" w:sz="0" w:space="0" w:color="auto"/>
            <w:right w:val="none" w:sz="0" w:space="0" w:color="auto"/>
          </w:divBdr>
          <w:divsChild>
            <w:div w:id="1803572249">
              <w:marLeft w:val="0"/>
              <w:marRight w:val="0"/>
              <w:marTop w:val="0"/>
              <w:marBottom w:val="0"/>
              <w:divBdr>
                <w:top w:val="none" w:sz="0" w:space="0" w:color="auto"/>
                <w:left w:val="none" w:sz="0" w:space="0" w:color="auto"/>
                <w:bottom w:val="none" w:sz="0" w:space="0" w:color="auto"/>
                <w:right w:val="none" w:sz="0" w:space="0" w:color="auto"/>
              </w:divBdr>
            </w:div>
          </w:divsChild>
        </w:div>
        <w:div w:id="1484007122">
          <w:marLeft w:val="0"/>
          <w:marRight w:val="0"/>
          <w:marTop w:val="0"/>
          <w:marBottom w:val="0"/>
          <w:divBdr>
            <w:top w:val="none" w:sz="0" w:space="0" w:color="auto"/>
            <w:left w:val="none" w:sz="0" w:space="0" w:color="auto"/>
            <w:bottom w:val="none" w:sz="0" w:space="0" w:color="auto"/>
            <w:right w:val="none" w:sz="0" w:space="0" w:color="auto"/>
          </w:divBdr>
          <w:divsChild>
            <w:div w:id="73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4285">
      <w:bodyDiv w:val="1"/>
      <w:marLeft w:val="0"/>
      <w:marRight w:val="0"/>
      <w:marTop w:val="0"/>
      <w:marBottom w:val="0"/>
      <w:divBdr>
        <w:top w:val="none" w:sz="0" w:space="0" w:color="auto"/>
        <w:left w:val="none" w:sz="0" w:space="0" w:color="auto"/>
        <w:bottom w:val="none" w:sz="0" w:space="0" w:color="auto"/>
        <w:right w:val="none" w:sz="0" w:space="0" w:color="auto"/>
      </w:divBdr>
    </w:div>
    <w:div w:id="716779822">
      <w:bodyDiv w:val="1"/>
      <w:marLeft w:val="0"/>
      <w:marRight w:val="0"/>
      <w:marTop w:val="0"/>
      <w:marBottom w:val="0"/>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sChild>
            <w:div w:id="191917751">
              <w:marLeft w:val="0"/>
              <w:marRight w:val="0"/>
              <w:marTop w:val="0"/>
              <w:marBottom w:val="0"/>
              <w:divBdr>
                <w:top w:val="none" w:sz="0" w:space="0" w:color="auto"/>
                <w:left w:val="none" w:sz="0" w:space="0" w:color="auto"/>
                <w:bottom w:val="none" w:sz="0" w:space="0" w:color="auto"/>
                <w:right w:val="none" w:sz="0" w:space="0" w:color="auto"/>
              </w:divBdr>
            </w:div>
          </w:divsChild>
        </w:div>
        <w:div w:id="1919439041">
          <w:marLeft w:val="0"/>
          <w:marRight w:val="0"/>
          <w:marTop w:val="0"/>
          <w:marBottom w:val="0"/>
          <w:divBdr>
            <w:top w:val="none" w:sz="0" w:space="0" w:color="auto"/>
            <w:left w:val="none" w:sz="0" w:space="0" w:color="auto"/>
            <w:bottom w:val="none" w:sz="0" w:space="0" w:color="auto"/>
            <w:right w:val="none" w:sz="0" w:space="0" w:color="auto"/>
          </w:divBdr>
          <w:divsChild>
            <w:div w:id="1492914177">
              <w:marLeft w:val="0"/>
              <w:marRight w:val="0"/>
              <w:marTop w:val="0"/>
              <w:marBottom w:val="0"/>
              <w:divBdr>
                <w:top w:val="none" w:sz="0" w:space="0" w:color="auto"/>
                <w:left w:val="none" w:sz="0" w:space="0" w:color="auto"/>
                <w:bottom w:val="none" w:sz="0" w:space="0" w:color="auto"/>
                <w:right w:val="none" w:sz="0" w:space="0" w:color="auto"/>
              </w:divBdr>
            </w:div>
          </w:divsChild>
        </w:div>
        <w:div w:id="2057311284">
          <w:marLeft w:val="0"/>
          <w:marRight w:val="0"/>
          <w:marTop w:val="0"/>
          <w:marBottom w:val="0"/>
          <w:divBdr>
            <w:top w:val="none" w:sz="0" w:space="0" w:color="auto"/>
            <w:left w:val="none" w:sz="0" w:space="0" w:color="auto"/>
            <w:bottom w:val="none" w:sz="0" w:space="0" w:color="auto"/>
            <w:right w:val="none" w:sz="0" w:space="0" w:color="auto"/>
          </w:divBdr>
          <w:divsChild>
            <w:div w:id="3163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754">
      <w:bodyDiv w:val="1"/>
      <w:marLeft w:val="0"/>
      <w:marRight w:val="0"/>
      <w:marTop w:val="0"/>
      <w:marBottom w:val="0"/>
      <w:divBdr>
        <w:top w:val="none" w:sz="0" w:space="0" w:color="auto"/>
        <w:left w:val="none" w:sz="0" w:space="0" w:color="auto"/>
        <w:bottom w:val="none" w:sz="0" w:space="0" w:color="auto"/>
        <w:right w:val="none" w:sz="0" w:space="0" w:color="auto"/>
      </w:divBdr>
    </w:div>
    <w:div w:id="811213941">
      <w:bodyDiv w:val="1"/>
      <w:marLeft w:val="0"/>
      <w:marRight w:val="0"/>
      <w:marTop w:val="0"/>
      <w:marBottom w:val="0"/>
      <w:divBdr>
        <w:top w:val="none" w:sz="0" w:space="0" w:color="auto"/>
        <w:left w:val="none" w:sz="0" w:space="0" w:color="auto"/>
        <w:bottom w:val="none" w:sz="0" w:space="0" w:color="auto"/>
        <w:right w:val="none" w:sz="0" w:space="0" w:color="auto"/>
      </w:divBdr>
    </w:div>
    <w:div w:id="926767701">
      <w:bodyDiv w:val="1"/>
      <w:marLeft w:val="0"/>
      <w:marRight w:val="0"/>
      <w:marTop w:val="0"/>
      <w:marBottom w:val="0"/>
      <w:divBdr>
        <w:top w:val="none" w:sz="0" w:space="0" w:color="auto"/>
        <w:left w:val="none" w:sz="0" w:space="0" w:color="auto"/>
        <w:bottom w:val="none" w:sz="0" w:space="0" w:color="auto"/>
        <w:right w:val="none" w:sz="0" w:space="0" w:color="auto"/>
      </w:divBdr>
    </w:div>
    <w:div w:id="1005085177">
      <w:bodyDiv w:val="1"/>
      <w:marLeft w:val="0"/>
      <w:marRight w:val="0"/>
      <w:marTop w:val="0"/>
      <w:marBottom w:val="0"/>
      <w:divBdr>
        <w:top w:val="none" w:sz="0" w:space="0" w:color="auto"/>
        <w:left w:val="none" w:sz="0" w:space="0" w:color="auto"/>
        <w:bottom w:val="none" w:sz="0" w:space="0" w:color="auto"/>
        <w:right w:val="none" w:sz="0" w:space="0" w:color="auto"/>
      </w:divBdr>
    </w:div>
    <w:div w:id="1014919028">
      <w:bodyDiv w:val="1"/>
      <w:marLeft w:val="0"/>
      <w:marRight w:val="0"/>
      <w:marTop w:val="0"/>
      <w:marBottom w:val="0"/>
      <w:divBdr>
        <w:top w:val="none" w:sz="0" w:space="0" w:color="auto"/>
        <w:left w:val="none" w:sz="0" w:space="0" w:color="auto"/>
        <w:bottom w:val="none" w:sz="0" w:space="0" w:color="auto"/>
        <w:right w:val="none" w:sz="0" w:space="0" w:color="auto"/>
      </w:divBdr>
    </w:div>
    <w:div w:id="114570393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90953">
      <w:bodyDiv w:val="1"/>
      <w:marLeft w:val="0"/>
      <w:marRight w:val="0"/>
      <w:marTop w:val="0"/>
      <w:marBottom w:val="0"/>
      <w:divBdr>
        <w:top w:val="none" w:sz="0" w:space="0" w:color="auto"/>
        <w:left w:val="none" w:sz="0" w:space="0" w:color="auto"/>
        <w:bottom w:val="none" w:sz="0" w:space="0" w:color="auto"/>
        <w:right w:val="none" w:sz="0" w:space="0" w:color="auto"/>
      </w:divBdr>
    </w:div>
    <w:div w:id="1269695827">
      <w:bodyDiv w:val="1"/>
      <w:marLeft w:val="0"/>
      <w:marRight w:val="0"/>
      <w:marTop w:val="0"/>
      <w:marBottom w:val="0"/>
      <w:divBdr>
        <w:top w:val="none" w:sz="0" w:space="0" w:color="auto"/>
        <w:left w:val="none" w:sz="0" w:space="0" w:color="auto"/>
        <w:bottom w:val="none" w:sz="0" w:space="0" w:color="auto"/>
        <w:right w:val="none" w:sz="0" w:space="0" w:color="auto"/>
      </w:divBdr>
    </w:div>
    <w:div w:id="1367295022">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65483243">
      <w:bodyDiv w:val="1"/>
      <w:marLeft w:val="0"/>
      <w:marRight w:val="0"/>
      <w:marTop w:val="0"/>
      <w:marBottom w:val="0"/>
      <w:divBdr>
        <w:top w:val="none" w:sz="0" w:space="0" w:color="auto"/>
        <w:left w:val="none" w:sz="0" w:space="0" w:color="auto"/>
        <w:bottom w:val="none" w:sz="0" w:space="0" w:color="auto"/>
        <w:right w:val="none" w:sz="0" w:space="0" w:color="auto"/>
      </w:divBdr>
    </w:div>
    <w:div w:id="1698189198">
      <w:bodyDiv w:val="1"/>
      <w:marLeft w:val="0"/>
      <w:marRight w:val="0"/>
      <w:marTop w:val="0"/>
      <w:marBottom w:val="0"/>
      <w:divBdr>
        <w:top w:val="none" w:sz="0" w:space="0" w:color="auto"/>
        <w:left w:val="none" w:sz="0" w:space="0" w:color="auto"/>
        <w:bottom w:val="none" w:sz="0" w:space="0" w:color="auto"/>
        <w:right w:val="none" w:sz="0" w:space="0" w:color="auto"/>
      </w:divBdr>
    </w:div>
    <w:div w:id="1746023932">
      <w:bodyDiv w:val="1"/>
      <w:marLeft w:val="0"/>
      <w:marRight w:val="0"/>
      <w:marTop w:val="0"/>
      <w:marBottom w:val="0"/>
      <w:divBdr>
        <w:top w:val="none" w:sz="0" w:space="0" w:color="auto"/>
        <w:left w:val="none" w:sz="0" w:space="0" w:color="auto"/>
        <w:bottom w:val="none" w:sz="0" w:space="0" w:color="auto"/>
        <w:right w:val="none" w:sz="0" w:space="0" w:color="auto"/>
      </w:divBdr>
    </w:div>
    <w:div w:id="1888374378">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wsoc-ni.org/immigration-practitioners-list-law-society-of-northern-ireland" TargetMode="External"/><Relationship Id="rId2" Type="http://schemas.openxmlformats.org/officeDocument/2006/relationships/hyperlink" Target="https://www.lawsoc-ni.org/immigration-practitioners-list-law-society-of-northern-ireland" TargetMode="External"/><Relationship Id="rId1" Type="http://schemas.openxmlformats.org/officeDocument/2006/relationships/hyperlink" Target="https://www.coe.int/en/web/cdcj/activities/free-legal-aid" TargetMode="External"/><Relationship Id="rId4" Type="http://schemas.openxmlformats.org/officeDocument/2006/relationships/hyperlink" Target="https://www.justice-ni.gov.uk/consultations/review-civil-legal-aid-call-ev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Nada Ahmed</DisplayName>
        <AccountId>56</AccountId>
        <AccountType/>
      </UserInfo>
      <UserInfo>
        <DisplayName>Hannah Russell</DisplayName>
        <AccountId>19</AccountId>
        <AccountType/>
      </UserInfo>
      <UserInfo>
        <DisplayName>Colin Caughey</DisplayName>
        <AccountId>50</AccountId>
        <AccountType/>
      </UserInfo>
      <UserInfo>
        <DisplayName>Claire McCann</DisplayName>
        <AccountId>35</AccountId>
        <AccountType/>
      </UserInfo>
      <UserInfo>
        <DisplayName>Eilis Haughey</DisplayName>
        <AccountId>51</AccountId>
        <AccountType/>
      </UserInfo>
      <UserInfo>
        <DisplayName>Julia Buchanan</DisplayName>
        <AccountId>34</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923A-625F-47CC-B84A-9F974B6721F6}">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2.xml><?xml version="1.0" encoding="utf-8"?>
<ds:datastoreItem xmlns:ds="http://schemas.openxmlformats.org/officeDocument/2006/customXml" ds:itemID="{60454D1F-0489-4EC8-A988-5AFA3BE3D39B}">
  <ds:schemaRefs>
    <ds:schemaRef ds:uri="http://schemas.microsoft.com/sharepoint/v3/contenttype/forms"/>
  </ds:schemaRefs>
</ds:datastoreItem>
</file>

<file path=customXml/itemProps3.xml><?xml version="1.0" encoding="utf-8"?>
<ds:datastoreItem xmlns:ds="http://schemas.openxmlformats.org/officeDocument/2006/customXml" ds:itemID="{4EF4B48E-B095-4555-8369-D8DE398DA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8</TotalTime>
  <Pages>1</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Emily Mills</cp:lastModifiedBy>
  <cp:revision>3</cp:revision>
  <cp:lastPrinted>2018-04-20T11:30:00Z</cp:lastPrinted>
  <dcterms:created xsi:type="dcterms:W3CDTF">2024-06-25T09:44:00Z</dcterms:created>
  <dcterms:modified xsi:type="dcterms:W3CDTF">2024-06-25T09:45:00Z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