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0EA1" w14:textId="77777777" w:rsidR="001B4A8B" w:rsidRPr="00826CEB" w:rsidRDefault="001B4A8B" w:rsidP="001B4A8B"/>
    <w:p w14:paraId="2B1D0D2C" w14:textId="77777777" w:rsidR="00160E37" w:rsidRDefault="00160E37" w:rsidP="00905D26">
      <w:pPr>
        <w:spacing w:line="24" w:lineRule="atLeast"/>
        <w:rPr>
          <w:b/>
          <w:bCs/>
        </w:rPr>
      </w:pPr>
    </w:p>
    <w:p w14:paraId="3A916DA6" w14:textId="77777777" w:rsidR="008A4834" w:rsidRDefault="008A4834" w:rsidP="008A4834">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67E7323" wp14:editId="4C13DB2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8283A6A" w14:textId="77777777" w:rsidR="008A4834" w:rsidRPr="00EA12CE" w:rsidRDefault="008A4834" w:rsidP="008A4834">
      <w:pPr>
        <w:pStyle w:val="BasicParagraph"/>
        <w:suppressAutoHyphens/>
        <w:jc w:val="center"/>
        <w:rPr>
          <w:rFonts w:ascii="Verdana" w:hAnsi="Verdana" w:cs="Arial"/>
          <w:b/>
          <w:bCs/>
          <w:color w:val="734791"/>
          <w:sz w:val="36"/>
          <w:szCs w:val="36"/>
        </w:rPr>
      </w:pPr>
    </w:p>
    <w:p w14:paraId="3A55EECB" w14:textId="496DFCBA" w:rsidR="008A4834" w:rsidRPr="003B7D0E" w:rsidRDefault="008A4834" w:rsidP="008A4834">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Department of Justice </w:t>
      </w:r>
      <w:r w:rsidRPr="00A11AF3">
        <w:rPr>
          <w:rFonts w:ascii="Verdana" w:hAnsi="Verdana" w:cs="Arial"/>
          <w:b/>
          <w:bCs/>
          <w:color w:val="77328A"/>
          <w:sz w:val="36"/>
          <w:szCs w:val="36"/>
        </w:rPr>
        <w:t xml:space="preserve">Consultation on </w:t>
      </w:r>
      <w:r>
        <w:rPr>
          <w:rFonts w:ascii="Verdana" w:hAnsi="Verdana" w:cs="Arial"/>
          <w:b/>
          <w:bCs/>
          <w:color w:val="77328A"/>
          <w:sz w:val="36"/>
          <w:szCs w:val="36"/>
        </w:rPr>
        <w:t xml:space="preserve">the Draft </w:t>
      </w:r>
      <w:r w:rsidRPr="00A11AF3">
        <w:rPr>
          <w:rFonts w:ascii="Verdana" w:hAnsi="Verdana" w:cs="Arial"/>
          <w:b/>
          <w:bCs/>
          <w:color w:val="77328A"/>
          <w:sz w:val="36"/>
          <w:szCs w:val="36"/>
        </w:rPr>
        <w:t>Modern Slavery and Human Trafficking</w:t>
      </w:r>
      <w:r>
        <w:rPr>
          <w:rFonts w:ascii="Verdana" w:hAnsi="Verdana" w:cs="Arial"/>
          <w:b/>
          <w:bCs/>
          <w:color w:val="77328A"/>
          <w:sz w:val="36"/>
          <w:szCs w:val="36"/>
        </w:rPr>
        <w:t xml:space="preserve"> Strategy</w:t>
      </w:r>
    </w:p>
    <w:p w14:paraId="0DB6A602" w14:textId="77777777" w:rsidR="008A4834" w:rsidRPr="00331C61" w:rsidRDefault="008A4834" w:rsidP="008A4834">
      <w:pPr>
        <w:pStyle w:val="Default"/>
        <w:spacing w:line="288" w:lineRule="auto"/>
        <w:jc w:val="center"/>
        <w:rPr>
          <w:rFonts w:cs="Arial"/>
          <w:color w:val="232120"/>
          <w:sz w:val="36"/>
          <w:szCs w:val="36"/>
        </w:rPr>
      </w:pPr>
    </w:p>
    <w:p w14:paraId="6168CE77" w14:textId="77777777" w:rsidR="008A4834" w:rsidRDefault="008A4834" w:rsidP="00905D26">
      <w:pPr>
        <w:spacing w:line="24" w:lineRule="atLeast"/>
        <w:rPr>
          <w:b/>
          <w:bCs/>
        </w:rPr>
      </w:pPr>
    </w:p>
    <w:p w14:paraId="54BEB388" w14:textId="77777777" w:rsidR="008A4834" w:rsidRDefault="008A4834" w:rsidP="00905D26">
      <w:pPr>
        <w:spacing w:line="24" w:lineRule="atLeast"/>
        <w:rPr>
          <w:b/>
          <w:bCs/>
        </w:rPr>
      </w:pPr>
    </w:p>
    <w:p w14:paraId="37C6EB6C" w14:textId="77777777" w:rsidR="008A4834" w:rsidRDefault="008A4834" w:rsidP="00905D26">
      <w:pPr>
        <w:spacing w:line="24" w:lineRule="atLeast"/>
        <w:rPr>
          <w:b/>
          <w:bCs/>
        </w:rPr>
      </w:pPr>
    </w:p>
    <w:p w14:paraId="510B4BBB" w14:textId="35D8C65E" w:rsidR="008A4834" w:rsidRDefault="008A4834" w:rsidP="00905D26">
      <w:pPr>
        <w:spacing w:line="24" w:lineRule="atLeast"/>
        <w:rPr>
          <w:b/>
          <w:bCs/>
        </w:rPr>
      </w:pPr>
    </w:p>
    <w:p w14:paraId="583EE21B" w14:textId="35C174B2" w:rsidR="00242821" w:rsidRDefault="00242821" w:rsidP="00905D26">
      <w:pPr>
        <w:spacing w:line="24" w:lineRule="atLeast"/>
        <w:rPr>
          <w:b/>
          <w:bCs/>
        </w:rPr>
      </w:pPr>
    </w:p>
    <w:p w14:paraId="59A69A8B" w14:textId="6783A414" w:rsidR="00242821" w:rsidRDefault="00242821" w:rsidP="00905D26">
      <w:pPr>
        <w:spacing w:line="24" w:lineRule="atLeast"/>
        <w:rPr>
          <w:b/>
          <w:bCs/>
        </w:rPr>
      </w:pPr>
    </w:p>
    <w:p w14:paraId="403A8E73" w14:textId="21779CEF" w:rsidR="00242821" w:rsidRDefault="00242821" w:rsidP="00905D26">
      <w:pPr>
        <w:spacing w:line="24" w:lineRule="atLeast"/>
        <w:rPr>
          <w:b/>
          <w:bCs/>
        </w:rPr>
      </w:pPr>
    </w:p>
    <w:p w14:paraId="04CC376C" w14:textId="2976DF5C" w:rsidR="00242821" w:rsidRDefault="00242821" w:rsidP="00905D26">
      <w:pPr>
        <w:spacing w:line="24" w:lineRule="atLeast"/>
        <w:rPr>
          <w:b/>
          <w:bCs/>
        </w:rPr>
      </w:pPr>
    </w:p>
    <w:p w14:paraId="50639DF1" w14:textId="18AF185F" w:rsidR="00242821" w:rsidRDefault="00242821" w:rsidP="00905D26">
      <w:pPr>
        <w:spacing w:line="24" w:lineRule="atLeast"/>
        <w:rPr>
          <w:b/>
          <w:bCs/>
        </w:rPr>
      </w:pPr>
    </w:p>
    <w:p w14:paraId="1046A49E" w14:textId="1B3AA456" w:rsidR="00242821" w:rsidRDefault="00B92891" w:rsidP="00B21614">
      <w:pPr>
        <w:spacing w:line="24" w:lineRule="atLeast"/>
        <w:jc w:val="center"/>
        <w:rPr>
          <w:b/>
          <w:bCs/>
        </w:rPr>
      </w:pPr>
      <w:r>
        <w:rPr>
          <w:b/>
          <w:bCs/>
        </w:rPr>
        <w:t>January</w:t>
      </w:r>
      <w:r w:rsidR="00B21614">
        <w:rPr>
          <w:b/>
          <w:bCs/>
        </w:rPr>
        <w:t xml:space="preserve"> 202</w:t>
      </w:r>
      <w:r w:rsidR="007440E2">
        <w:rPr>
          <w:b/>
          <w:bCs/>
        </w:rPr>
        <w:t>3</w:t>
      </w:r>
    </w:p>
    <w:p w14:paraId="2BB69E71" w14:textId="77777777" w:rsidR="00242821" w:rsidRDefault="00242821" w:rsidP="00905D26">
      <w:pPr>
        <w:spacing w:line="24" w:lineRule="atLeast"/>
        <w:rPr>
          <w:b/>
          <w:bCs/>
        </w:rPr>
      </w:pPr>
    </w:p>
    <w:p w14:paraId="1C442D58" w14:textId="77777777" w:rsidR="008A4834" w:rsidRDefault="008A4834" w:rsidP="00905D26">
      <w:pPr>
        <w:spacing w:line="24" w:lineRule="atLeast"/>
        <w:rPr>
          <w:b/>
          <w:bCs/>
        </w:rPr>
      </w:pPr>
    </w:p>
    <w:p w14:paraId="38296443" w14:textId="77777777" w:rsidR="008A4834" w:rsidRDefault="008A4834" w:rsidP="00905D26">
      <w:pPr>
        <w:spacing w:line="24" w:lineRule="atLeast"/>
        <w:rPr>
          <w:b/>
          <w:bCs/>
        </w:rPr>
      </w:pPr>
    </w:p>
    <w:p w14:paraId="00639AB5" w14:textId="77777777" w:rsidR="001B4A8B" w:rsidRPr="00826CEB" w:rsidRDefault="001B4A8B" w:rsidP="00905D26">
      <w:pPr>
        <w:spacing w:line="24" w:lineRule="atLeast"/>
      </w:pPr>
    </w:p>
    <w:p w14:paraId="055A9970" w14:textId="77777777" w:rsidR="00DA0AF5" w:rsidRDefault="00DA0AF5" w:rsidP="00905D26">
      <w:pPr>
        <w:spacing w:line="24" w:lineRule="atLeast"/>
        <w:rPr>
          <w:rFonts w:cs="Times New Roman"/>
        </w:rPr>
      </w:pPr>
    </w:p>
    <w:p w14:paraId="5D469525" w14:textId="77777777" w:rsidR="00DA0AF5" w:rsidRDefault="00DA0AF5" w:rsidP="00905D26">
      <w:pPr>
        <w:spacing w:line="24" w:lineRule="atLeast"/>
        <w:rPr>
          <w:rFonts w:cs="Times New Roman"/>
        </w:rPr>
      </w:pPr>
    </w:p>
    <w:sdt>
      <w:sdtPr>
        <w:rPr>
          <w:rFonts w:eastAsiaTheme="minorEastAsia" w:cstheme="minorBidi"/>
          <w:b w:val="0"/>
          <w:color w:val="auto"/>
          <w:sz w:val="24"/>
          <w:szCs w:val="24"/>
          <w:lang w:val="en-GB"/>
        </w:rPr>
        <w:id w:val="-1439448478"/>
        <w:docPartObj>
          <w:docPartGallery w:val="Table of Contents"/>
          <w:docPartUnique/>
        </w:docPartObj>
      </w:sdtPr>
      <w:sdtEndPr>
        <w:rPr>
          <w:bCs/>
          <w:noProof/>
        </w:rPr>
      </w:sdtEndPr>
      <w:sdtContent>
        <w:p w14:paraId="7AFDC3FD" w14:textId="4F8850B0" w:rsidR="008E4F6B" w:rsidRDefault="008E4F6B" w:rsidP="002D4711">
          <w:pPr>
            <w:pStyle w:val="TOCHeading"/>
            <w:numPr>
              <w:ilvl w:val="0"/>
              <w:numId w:val="0"/>
            </w:numPr>
          </w:pPr>
          <w:r>
            <w:t>Table of Contents</w:t>
          </w:r>
        </w:p>
        <w:p w14:paraId="3B8C5F35" w14:textId="77777777" w:rsidR="008E4F6B" w:rsidRPr="008E4F6B" w:rsidRDefault="008E4F6B" w:rsidP="008E4F6B">
          <w:pPr>
            <w:rPr>
              <w:lang w:val="en-US"/>
            </w:rPr>
          </w:pPr>
        </w:p>
        <w:p w14:paraId="60904991" w14:textId="3B39EB66" w:rsidR="00B92891" w:rsidRDefault="008E4F6B">
          <w:pPr>
            <w:pStyle w:val="TOC1"/>
            <w:tabs>
              <w:tab w:val="right" w:leader="dot" w:pos="9016"/>
            </w:tabs>
            <w:rPr>
              <w:rFonts w:asciiTheme="minorHAnsi"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125375766" w:history="1">
            <w:r w:rsidR="00B92891" w:rsidRPr="008C019E">
              <w:rPr>
                <w:rStyle w:val="Hyperlink"/>
                <w:noProof/>
              </w:rPr>
              <w:t>Recommendations</w:t>
            </w:r>
            <w:r w:rsidR="00B92891">
              <w:rPr>
                <w:noProof/>
                <w:webHidden/>
              </w:rPr>
              <w:tab/>
            </w:r>
            <w:r w:rsidR="00B92891">
              <w:rPr>
                <w:noProof/>
                <w:webHidden/>
              </w:rPr>
              <w:fldChar w:fldCharType="begin"/>
            </w:r>
            <w:r w:rsidR="00B92891">
              <w:rPr>
                <w:noProof/>
                <w:webHidden/>
              </w:rPr>
              <w:instrText xml:space="preserve"> PAGEREF _Toc125375766 \h </w:instrText>
            </w:r>
            <w:r w:rsidR="00B92891">
              <w:rPr>
                <w:noProof/>
                <w:webHidden/>
              </w:rPr>
            </w:r>
            <w:r w:rsidR="00B92891">
              <w:rPr>
                <w:noProof/>
                <w:webHidden/>
              </w:rPr>
              <w:fldChar w:fldCharType="separate"/>
            </w:r>
            <w:r w:rsidR="00B92891">
              <w:rPr>
                <w:noProof/>
                <w:webHidden/>
              </w:rPr>
              <w:t>3</w:t>
            </w:r>
            <w:r w:rsidR="00B92891">
              <w:rPr>
                <w:noProof/>
                <w:webHidden/>
              </w:rPr>
              <w:fldChar w:fldCharType="end"/>
            </w:r>
          </w:hyperlink>
        </w:p>
        <w:p w14:paraId="1A63310B" w14:textId="7B75D28B" w:rsidR="00B92891" w:rsidRDefault="007440E2">
          <w:pPr>
            <w:pStyle w:val="TOC1"/>
            <w:tabs>
              <w:tab w:val="left" w:pos="660"/>
              <w:tab w:val="right" w:leader="dot" w:pos="9016"/>
            </w:tabs>
            <w:rPr>
              <w:rFonts w:asciiTheme="minorHAnsi" w:hAnsiTheme="minorHAnsi" w:cstheme="minorBidi"/>
              <w:b w:val="0"/>
              <w:bCs w:val="0"/>
              <w:noProof/>
              <w:sz w:val="22"/>
              <w:szCs w:val="22"/>
              <w:lang w:val="en-GB" w:eastAsia="en-GB"/>
            </w:rPr>
          </w:pPr>
          <w:hyperlink w:anchor="_Toc125375767" w:history="1">
            <w:r w:rsidR="00B92891" w:rsidRPr="008C019E">
              <w:rPr>
                <w:rStyle w:val="Hyperlink"/>
                <w:noProof/>
              </w:rPr>
              <w:t>1.0</w:t>
            </w:r>
            <w:r w:rsidR="00B92891">
              <w:rPr>
                <w:rFonts w:asciiTheme="minorHAnsi" w:hAnsiTheme="minorHAnsi" w:cstheme="minorBidi"/>
                <w:b w:val="0"/>
                <w:bCs w:val="0"/>
                <w:noProof/>
                <w:sz w:val="22"/>
                <w:szCs w:val="22"/>
                <w:lang w:val="en-GB" w:eastAsia="en-GB"/>
              </w:rPr>
              <w:tab/>
            </w:r>
            <w:r w:rsidR="00B92891" w:rsidRPr="008C019E">
              <w:rPr>
                <w:rStyle w:val="Hyperlink"/>
                <w:noProof/>
              </w:rPr>
              <w:t>Introduction</w:t>
            </w:r>
            <w:r w:rsidR="00B92891">
              <w:rPr>
                <w:noProof/>
                <w:webHidden/>
              </w:rPr>
              <w:tab/>
            </w:r>
            <w:r w:rsidR="00B92891">
              <w:rPr>
                <w:noProof/>
                <w:webHidden/>
              </w:rPr>
              <w:fldChar w:fldCharType="begin"/>
            </w:r>
            <w:r w:rsidR="00B92891">
              <w:rPr>
                <w:noProof/>
                <w:webHidden/>
              </w:rPr>
              <w:instrText xml:space="preserve"> PAGEREF _Toc125375767 \h </w:instrText>
            </w:r>
            <w:r w:rsidR="00B92891">
              <w:rPr>
                <w:noProof/>
                <w:webHidden/>
              </w:rPr>
            </w:r>
            <w:r w:rsidR="00B92891">
              <w:rPr>
                <w:noProof/>
                <w:webHidden/>
              </w:rPr>
              <w:fldChar w:fldCharType="separate"/>
            </w:r>
            <w:r w:rsidR="00B92891">
              <w:rPr>
                <w:noProof/>
                <w:webHidden/>
              </w:rPr>
              <w:t>5</w:t>
            </w:r>
            <w:r w:rsidR="00B92891">
              <w:rPr>
                <w:noProof/>
                <w:webHidden/>
              </w:rPr>
              <w:fldChar w:fldCharType="end"/>
            </w:r>
          </w:hyperlink>
        </w:p>
        <w:p w14:paraId="6A5D4604" w14:textId="0E8390D3" w:rsidR="00B92891" w:rsidRDefault="007440E2">
          <w:pPr>
            <w:pStyle w:val="TOC1"/>
            <w:tabs>
              <w:tab w:val="left" w:pos="660"/>
              <w:tab w:val="right" w:leader="dot" w:pos="9016"/>
            </w:tabs>
            <w:rPr>
              <w:rFonts w:asciiTheme="minorHAnsi" w:hAnsiTheme="minorHAnsi" w:cstheme="minorBidi"/>
              <w:b w:val="0"/>
              <w:bCs w:val="0"/>
              <w:noProof/>
              <w:sz w:val="22"/>
              <w:szCs w:val="22"/>
              <w:lang w:val="en-GB" w:eastAsia="en-GB"/>
            </w:rPr>
          </w:pPr>
          <w:hyperlink w:anchor="_Toc125375768" w:history="1">
            <w:r w:rsidR="00B92891" w:rsidRPr="008C019E">
              <w:rPr>
                <w:rStyle w:val="Hyperlink"/>
                <w:noProof/>
                <w:lang w:val="en" w:eastAsia="en-GB"/>
              </w:rPr>
              <w:t>2.0</w:t>
            </w:r>
            <w:r w:rsidR="00B92891">
              <w:rPr>
                <w:rFonts w:asciiTheme="minorHAnsi" w:hAnsiTheme="minorHAnsi" w:cstheme="minorBidi"/>
                <w:b w:val="0"/>
                <w:bCs w:val="0"/>
                <w:noProof/>
                <w:sz w:val="22"/>
                <w:szCs w:val="22"/>
                <w:lang w:val="en-GB" w:eastAsia="en-GB"/>
              </w:rPr>
              <w:tab/>
            </w:r>
            <w:r w:rsidR="00B92891" w:rsidRPr="008C019E">
              <w:rPr>
                <w:rStyle w:val="Hyperlink"/>
                <w:noProof/>
                <w:lang w:val="en" w:eastAsia="en-GB"/>
              </w:rPr>
              <w:t>General Comments</w:t>
            </w:r>
            <w:r w:rsidR="00B92891">
              <w:rPr>
                <w:noProof/>
                <w:webHidden/>
              </w:rPr>
              <w:tab/>
            </w:r>
            <w:r w:rsidR="00B92891">
              <w:rPr>
                <w:noProof/>
                <w:webHidden/>
              </w:rPr>
              <w:fldChar w:fldCharType="begin"/>
            </w:r>
            <w:r w:rsidR="00B92891">
              <w:rPr>
                <w:noProof/>
                <w:webHidden/>
              </w:rPr>
              <w:instrText xml:space="preserve"> PAGEREF _Toc125375768 \h </w:instrText>
            </w:r>
            <w:r w:rsidR="00B92891">
              <w:rPr>
                <w:noProof/>
                <w:webHidden/>
              </w:rPr>
            </w:r>
            <w:r w:rsidR="00B92891">
              <w:rPr>
                <w:noProof/>
                <w:webHidden/>
              </w:rPr>
              <w:fldChar w:fldCharType="separate"/>
            </w:r>
            <w:r w:rsidR="00B92891">
              <w:rPr>
                <w:noProof/>
                <w:webHidden/>
              </w:rPr>
              <w:t>7</w:t>
            </w:r>
            <w:r w:rsidR="00B92891">
              <w:rPr>
                <w:noProof/>
                <w:webHidden/>
              </w:rPr>
              <w:fldChar w:fldCharType="end"/>
            </w:r>
          </w:hyperlink>
        </w:p>
        <w:p w14:paraId="1753EB2F" w14:textId="65C65C33" w:rsidR="00B92891" w:rsidRDefault="007440E2">
          <w:pPr>
            <w:pStyle w:val="TOC1"/>
            <w:tabs>
              <w:tab w:val="left" w:pos="660"/>
              <w:tab w:val="right" w:leader="dot" w:pos="9016"/>
            </w:tabs>
            <w:rPr>
              <w:rFonts w:asciiTheme="minorHAnsi" w:hAnsiTheme="minorHAnsi" w:cstheme="minorBidi"/>
              <w:b w:val="0"/>
              <w:bCs w:val="0"/>
              <w:noProof/>
              <w:sz w:val="22"/>
              <w:szCs w:val="22"/>
              <w:lang w:val="en-GB" w:eastAsia="en-GB"/>
            </w:rPr>
          </w:pPr>
          <w:hyperlink w:anchor="_Toc125375769" w:history="1">
            <w:r w:rsidR="00B92891" w:rsidRPr="008C019E">
              <w:rPr>
                <w:rStyle w:val="Hyperlink"/>
                <w:noProof/>
              </w:rPr>
              <w:t>3.0</w:t>
            </w:r>
            <w:r w:rsidR="00B92891">
              <w:rPr>
                <w:rFonts w:asciiTheme="minorHAnsi" w:hAnsiTheme="minorHAnsi" w:cstheme="minorBidi"/>
                <w:b w:val="0"/>
                <w:bCs w:val="0"/>
                <w:noProof/>
                <w:sz w:val="22"/>
                <w:szCs w:val="22"/>
                <w:lang w:val="en-GB" w:eastAsia="en-GB"/>
              </w:rPr>
              <w:tab/>
            </w:r>
            <w:r w:rsidR="00B92891" w:rsidRPr="008C019E">
              <w:rPr>
                <w:rStyle w:val="Hyperlink"/>
                <w:noProof/>
              </w:rPr>
              <w:t>Strand 1 – PURSUE</w:t>
            </w:r>
            <w:r w:rsidR="00B92891">
              <w:rPr>
                <w:noProof/>
                <w:webHidden/>
              </w:rPr>
              <w:tab/>
            </w:r>
            <w:r w:rsidR="00B92891">
              <w:rPr>
                <w:noProof/>
                <w:webHidden/>
              </w:rPr>
              <w:fldChar w:fldCharType="begin"/>
            </w:r>
            <w:r w:rsidR="00B92891">
              <w:rPr>
                <w:noProof/>
                <w:webHidden/>
              </w:rPr>
              <w:instrText xml:space="preserve"> PAGEREF _Toc125375769 \h </w:instrText>
            </w:r>
            <w:r w:rsidR="00B92891">
              <w:rPr>
                <w:noProof/>
                <w:webHidden/>
              </w:rPr>
            </w:r>
            <w:r w:rsidR="00B92891">
              <w:rPr>
                <w:noProof/>
                <w:webHidden/>
              </w:rPr>
              <w:fldChar w:fldCharType="separate"/>
            </w:r>
            <w:r w:rsidR="00B92891">
              <w:rPr>
                <w:noProof/>
                <w:webHidden/>
              </w:rPr>
              <w:t>8</w:t>
            </w:r>
            <w:r w:rsidR="00B92891">
              <w:rPr>
                <w:noProof/>
                <w:webHidden/>
              </w:rPr>
              <w:fldChar w:fldCharType="end"/>
            </w:r>
          </w:hyperlink>
        </w:p>
        <w:p w14:paraId="09723ADA" w14:textId="1E3929C3" w:rsidR="00B92891" w:rsidRPr="00B92891" w:rsidRDefault="007440E2">
          <w:pPr>
            <w:pStyle w:val="TOC1"/>
            <w:tabs>
              <w:tab w:val="left" w:pos="660"/>
              <w:tab w:val="right" w:leader="dot" w:pos="9016"/>
            </w:tabs>
            <w:rPr>
              <w:rFonts w:cstheme="minorBidi"/>
              <w:b w:val="0"/>
              <w:bCs w:val="0"/>
              <w:noProof/>
              <w:sz w:val="22"/>
              <w:szCs w:val="22"/>
              <w:lang w:val="en-GB" w:eastAsia="en-GB"/>
            </w:rPr>
          </w:pPr>
          <w:hyperlink w:anchor="_Toc125375770" w:history="1">
            <w:r w:rsidR="00B92891" w:rsidRPr="00B92891">
              <w:rPr>
                <w:rStyle w:val="Hyperlink"/>
                <w:noProof/>
              </w:rPr>
              <w:t>4.0</w:t>
            </w:r>
            <w:r w:rsidR="00B92891" w:rsidRPr="00B92891">
              <w:rPr>
                <w:rFonts w:cstheme="minorBidi"/>
                <w:b w:val="0"/>
                <w:bCs w:val="0"/>
                <w:noProof/>
                <w:sz w:val="22"/>
                <w:szCs w:val="22"/>
                <w:lang w:val="en-GB" w:eastAsia="en-GB"/>
              </w:rPr>
              <w:tab/>
            </w:r>
            <w:r w:rsidR="00B92891" w:rsidRPr="00B92891">
              <w:rPr>
                <w:rStyle w:val="Hyperlink"/>
                <w:noProof/>
              </w:rPr>
              <w:t>Strand 2 – PROTECT</w:t>
            </w:r>
            <w:r w:rsidR="00B92891" w:rsidRPr="00B92891">
              <w:rPr>
                <w:noProof/>
                <w:webHidden/>
              </w:rPr>
              <w:tab/>
            </w:r>
            <w:r w:rsidR="00B92891" w:rsidRPr="00B92891">
              <w:rPr>
                <w:noProof/>
                <w:webHidden/>
              </w:rPr>
              <w:fldChar w:fldCharType="begin"/>
            </w:r>
            <w:r w:rsidR="00B92891" w:rsidRPr="00B92891">
              <w:rPr>
                <w:noProof/>
                <w:webHidden/>
              </w:rPr>
              <w:instrText xml:space="preserve"> PAGEREF _Toc125375770 \h </w:instrText>
            </w:r>
            <w:r w:rsidR="00B92891" w:rsidRPr="00B92891">
              <w:rPr>
                <w:noProof/>
                <w:webHidden/>
              </w:rPr>
            </w:r>
            <w:r w:rsidR="00B92891" w:rsidRPr="00B92891">
              <w:rPr>
                <w:noProof/>
                <w:webHidden/>
              </w:rPr>
              <w:fldChar w:fldCharType="separate"/>
            </w:r>
            <w:r w:rsidR="00B92891" w:rsidRPr="00B92891">
              <w:rPr>
                <w:noProof/>
                <w:webHidden/>
              </w:rPr>
              <w:t>9</w:t>
            </w:r>
            <w:r w:rsidR="00B92891" w:rsidRPr="00B92891">
              <w:rPr>
                <w:noProof/>
                <w:webHidden/>
              </w:rPr>
              <w:fldChar w:fldCharType="end"/>
            </w:r>
          </w:hyperlink>
        </w:p>
        <w:p w14:paraId="7E486953" w14:textId="08A35BEB" w:rsidR="00B92891" w:rsidRPr="00B92891" w:rsidRDefault="007440E2">
          <w:pPr>
            <w:pStyle w:val="TOC2"/>
            <w:tabs>
              <w:tab w:val="right" w:leader="dot" w:pos="9016"/>
            </w:tabs>
            <w:rPr>
              <w:rFonts w:ascii="Verdana" w:hAnsi="Verdana" w:cstheme="minorBidi"/>
              <w:noProof/>
              <w:lang w:val="en-GB" w:eastAsia="en-GB"/>
            </w:rPr>
          </w:pPr>
          <w:hyperlink w:anchor="_Toc125375771" w:history="1">
            <w:r w:rsidR="00B92891" w:rsidRPr="00B92891">
              <w:rPr>
                <w:rStyle w:val="Hyperlink"/>
                <w:rFonts w:ascii="Verdana" w:hAnsi="Verdana"/>
                <w:noProof/>
              </w:rPr>
              <w:t>Child victims</w:t>
            </w:r>
            <w:r w:rsidR="00B92891" w:rsidRPr="00B92891">
              <w:rPr>
                <w:rFonts w:ascii="Verdana" w:hAnsi="Verdana"/>
                <w:noProof/>
                <w:webHidden/>
              </w:rPr>
              <w:tab/>
            </w:r>
            <w:r w:rsidR="00B92891" w:rsidRPr="00B92891">
              <w:rPr>
                <w:rFonts w:ascii="Verdana" w:hAnsi="Verdana"/>
                <w:noProof/>
                <w:webHidden/>
              </w:rPr>
              <w:fldChar w:fldCharType="begin"/>
            </w:r>
            <w:r w:rsidR="00B92891" w:rsidRPr="00B92891">
              <w:rPr>
                <w:rFonts w:ascii="Verdana" w:hAnsi="Verdana"/>
                <w:noProof/>
                <w:webHidden/>
              </w:rPr>
              <w:instrText xml:space="preserve"> PAGEREF _Toc125375771 \h </w:instrText>
            </w:r>
            <w:r w:rsidR="00B92891" w:rsidRPr="00B92891">
              <w:rPr>
                <w:rFonts w:ascii="Verdana" w:hAnsi="Verdana"/>
                <w:noProof/>
                <w:webHidden/>
              </w:rPr>
            </w:r>
            <w:r w:rsidR="00B92891" w:rsidRPr="00B92891">
              <w:rPr>
                <w:rFonts w:ascii="Verdana" w:hAnsi="Verdana"/>
                <w:noProof/>
                <w:webHidden/>
              </w:rPr>
              <w:fldChar w:fldCharType="separate"/>
            </w:r>
            <w:r w:rsidR="00B92891" w:rsidRPr="00B92891">
              <w:rPr>
                <w:rFonts w:ascii="Verdana" w:hAnsi="Verdana"/>
                <w:noProof/>
                <w:webHidden/>
              </w:rPr>
              <w:t>13</w:t>
            </w:r>
            <w:r w:rsidR="00B92891" w:rsidRPr="00B92891">
              <w:rPr>
                <w:rFonts w:ascii="Verdana" w:hAnsi="Verdana"/>
                <w:noProof/>
                <w:webHidden/>
              </w:rPr>
              <w:fldChar w:fldCharType="end"/>
            </w:r>
          </w:hyperlink>
        </w:p>
        <w:p w14:paraId="3AFD94D5" w14:textId="05FA768B" w:rsidR="00B92891" w:rsidRPr="00B92891" w:rsidRDefault="007440E2">
          <w:pPr>
            <w:pStyle w:val="TOC2"/>
            <w:tabs>
              <w:tab w:val="right" w:leader="dot" w:pos="9016"/>
            </w:tabs>
            <w:rPr>
              <w:rFonts w:ascii="Verdana" w:hAnsi="Verdana" w:cstheme="minorBidi"/>
              <w:noProof/>
              <w:lang w:val="en-GB" w:eastAsia="en-GB"/>
            </w:rPr>
          </w:pPr>
          <w:hyperlink w:anchor="_Toc125375772" w:history="1">
            <w:r w:rsidR="00B92891" w:rsidRPr="00B92891">
              <w:rPr>
                <w:rStyle w:val="Hyperlink"/>
                <w:rFonts w:ascii="Verdana" w:hAnsi="Verdana"/>
                <w:noProof/>
              </w:rPr>
              <w:t>Nationality and Borders Act</w:t>
            </w:r>
            <w:r w:rsidR="00B92891" w:rsidRPr="00B92891">
              <w:rPr>
                <w:rFonts w:ascii="Verdana" w:hAnsi="Verdana"/>
                <w:noProof/>
                <w:webHidden/>
              </w:rPr>
              <w:tab/>
            </w:r>
            <w:r w:rsidR="00B92891" w:rsidRPr="00B92891">
              <w:rPr>
                <w:rFonts w:ascii="Verdana" w:hAnsi="Verdana"/>
                <w:noProof/>
                <w:webHidden/>
              </w:rPr>
              <w:fldChar w:fldCharType="begin"/>
            </w:r>
            <w:r w:rsidR="00B92891" w:rsidRPr="00B92891">
              <w:rPr>
                <w:rFonts w:ascii="Verdana" w:hAnsi="Verdana"/>
                <w:noProof/>
                <w:webHidden/>
              </w:rPr>
              <w:instrText xml:space="preserve"> PAGEREF _Toc125375772 \h </w:instrText>
            </w:r>
            <w:r w:rsidR="00B92891" w:rsidRPr="00B92891">
              <w:rPr>
                <w:rFonts w:ascii="Verdana" w:hAnsi="Verdana"/>
                <w:noProof/>
                <w:webHidden/>
              </w:rPr>
            </w:r>
            <w:r w:rsidR="00B92891" w:rsidRPr="00B92891">
              <w:rPr>
                <w:rFonts w:ascii="Verdana" w:hAnsi="Verdana"/>
                <w:noProof/>
                <w:webHidden/>
              </w:rPr>
              <w:fldChar w:fldCharType="separate"/>
            </w:r>
            <w:r w:rsidR="00B92891" w:rsidRPr="00B92891">
              <w:rPr>
                <w:rFonts w:ascii="Verdana" w:hAnsi="Verdana"/>
                <w:noProof/>
                <w:webHidden/>
              </w:rPr>
              <w:t>15</w:t>
            </w:r>
            <w:r w:rsidR="00B92891" w:rsidRPr="00B92891">
              <w:rPr>
                <w:rFonts w:ascii="Verdana" w:hAnsi="Verdana"/>
                <w:noProof/>
                <w:webHidden/>
              </w:rPr>
              <w:fldChar w:fldCharType="end"/>
            </w:r>
          </w:hyperlink>
        </w:p>
        <w:p w14:paraId="2D4376A3" w14:textId="01B73BCF" w:rsidR="00B92891" w:rsidRPr="00B92891" w:rsidRDefault="007440E2">
          <w:pPr>
            <w:pStyle w:val="TOC1"/>
            <w:tabs>
              <w:tab w:val="left" w:pos="660"/>
              <w:tab w:val="right" w:leader="dot" w:pos="9016"/>
            </w:tabs>
            <w:rPr>
              <w:rFonts w:cstheme="minorBidi"/>
              <w:b w:val="0"/>
              <w:bCs w:val="0"/>
              <w:noProof/>
              <w:sz w:val="22"/>
              <w:szCs w:val="22"/>
              <w:lang w:val="en-GB" w:eastAsia="en-GB"/>
            </w:rPr>
          </w:pPr>
          <w:hyperlink w:anchor="_Toc125375773" w:history="1">
            <w:r w:rsidR="00B92891" w:rsidRPr="00B92891">
              <w:rPr>
                <w:rStyle w:val="Hyperlink"/>
                <w:noProof/>
              </w:rPr>
              <w:t>5.0</w:t>
            </w:r>
            <w:r w:rsidR="00B92891" w:rsidRPr="00B92891">
              <w:rPr>
                <w:rFonts w:cstheme="minorBidi"/>
                <w:b w:val="0"/>
                <w:bCs w:val="0"/>
                <w:noProof/>
                <w:sz w:val="22"/>
                <w:szCs w:val="22"/>
                <w:lang w:val="en-GB" w:eastAsia="en-GB"/>
              </w:rPr>
              <w:tab/>
            </w:r>
            <w:r w:rsidR="00B92891" w:rsidRPr="00B92891">
              <w:rPr>
                <w:rStyle w:val="Hyperlink"/>
                <w:noProof/>
              </w:rPr>
              <w:t>Strand 3 – PREVENT</w:t>
            </w:r>
            <w:r w:rsidR="00B92891" w:rsidRPr="00B92891">
              <w:rPr>
                <w:noProof/>
                <w:webHidden/>
              </w:rPr>
              <w:tab/>
            </w:r>
            <w:r w:rsidR="00B92891" w:rsidRPr="00B92891">
              <w:rPr>
                <w:noProof/>
                <w:webHidden/>
              </w:rPr>
              <w:fldChar w:fldCharType="begin"/>
            </w:r>
            <w:r w:rsidR="00B92891" w:rsidRPr="00B92891">
              <w:rPr>
                <w:noProof/>
                <w:webHidden/>
              </w:rPr>
              <w:instrText xml:space="preserve"> PAGEREF _Toc125375773 \h </w:instrText>
            </w:r>
            <w:r w:rsidR="00B92891" w:rsidRPr="00B92891">
              <w:rPr>
                <w:noProof/>
                <w:webHidden/>
              </w:rPr>
            </w:r>
            <w:r w:rsidR="00B92891" w:rsidRPr="00B92891">
              <w:rPr>
                <w:noProof/>
                <w:webHidden/>
              </w:rPr>
              <w:fldChar w:fldCharType="separate"/>
            </w:r>
            <w:r w:rsidR="00B92891" w:rsidRPr="00B92891">
              <w:rPr>
                <w:noProof/>
                <w:webHidden/>
              </w:rPr>
              <w:t>16</w:t>
            </w:r>
            <w:r w:rsidR="00B92891" w:rsidRPr="00B92891">
              <w:rPr>
                <w:noProof/>
                <w:webHidden/>
              </w:rPr>
              <w:fldChar w:fldCharType="end"/>
            </w:r>
          </w:hyperlink>
        </w:p>
        <w:p w14:paraId="7454AD41" w14:textId="102B1B17" w:rsidR="008E4F6B" w:rsidRDefault="008E4F6B">
          <w:r>
            <w:rPr>
              <w:b/>
              <w:bCs/>
              <w:noProof/>
            </w:rPr>
            <w:fldChar w:fldCharType="end"/>
          </w:r>
        </w:p>
      </w:sdtContent>
    </w:sdt>
    <w:p w14:paraId="622DCDEB" w14:textId="04EEEEAA" w:rsidR="00DA0AF5" w:rsidRDefault="00DA0AF5" w:rsidP="00905D26">
      <w:pPr>
        <w:spacing w:line="24" w:lineRule="atLeast"/>
        <w:rPr>
          <w:rFonts w:cs="Times New Roman"/>
        </w:rPr>
      </w:pPr>
    </w:p>
    <w:p w14:paraId="08C999DE" w14:textId="77777777" w:rsidR="00DA0AF5" w:rsidRDefault="00DA0AF5" w:rsidP="00905D26">
      <w:pPr>
        <w:spacing w:line="24" w:lineRule="atLeast"/>
        <w:rPr>
          <w:rFonts w:cs="Times New Roman"/>
        </w:rPr>
      </w:pPr>
    </w:p>
    <w:p w14:paraId="511FCF0D" w14:textId="77777777" w:rsidR="00DA0AF5" w:rsidRDefault="00DA0AF5" w:rsidP="00905D26">
      <w:pPr>
        <w:spacing w:line="24" w:lineRule="atLeast"/>
        <w:rPr>
          <w:rFonts w:cs="Times New Roman"/>
        </w:rPr>
      </w:pPr>
    </w:p>
    <w:p w14:paraId="68B5B556" w14:textId="77777777" w:rsidR="00DA0AF5" w:rsidRDefault="00DA0AF5" w:rsidP="00905D26">
      <w:pPr>
        <w:spacing w:line="24" w:lineRule="atLeast"/>
        <w:rPr>
          <w:rFonts w:cs="Times New Roman"/>
        </w:rPr>
      </w:pPr>
    </w:p>
    <w:p w14:paraId="46E0B4D5" w14:textId="77777777" w:rsidR="00DA0AF5" w:rsidRDefault="00DA0AF5" w:rsidP="00905D26">
      <w:pPr>
        <w:spacing w:line="24" w:lineRule="atLeast"/>
        <w:rPr>
          <w:rFonts w:cs="Times New Roman"/>
        </w:rPr>
      </w:pPr>
    </w:p>
    <w:p w14:paraId="357D40E8" w14:textId="77777777" w:rsidR="00DA0AF5" w:rsidRDefault="00DA0AF5" w:rsidP="00905D26">
      <w:pPr>
        <w:spacing w:line="24" w:lineRule="atLeast"/>
        <w:rPr>
          <w:rFonts w:cs="Times New Roman"/>
        </w:rPr>
      </w:pPr>
    </w:p>
    <w:p w14:paraId="35637032" w14:textId="77777777" w:rsidR="00DA0AF5" w:rsidRDefault="00DA0AF5" w:rsidP="00905D26">
      <w:pPr>
        <w:spacing w:line="24" w:lineRule="atLeast"/>
        <w:rPr>
          <w:rFonts w:cs="Times New Roman"/>
        </w:rPr>
      </w:pPr>
    </w:p>
    <w:p w14:paraId="598F6A04" w14:textId="77777777" w:rsidR="00DA0AF5" w:rsidRDefault="00DA0AF5" w:rsidP="00905D26">
      <w:pPr>
        <w:spacing w:line="24" w:lineRule="atLeast"/>
        <w:rPr>
          <w:rFonts w:cs="Times New Roman"/>
        </w:rPr>
      </w:pPr>
    </w:p>
    <w:p w14:paraId="41F829F9" w14:textId="77777777" w:rsidR="00DA0AF5" w:rsidRDefault="00DA0AF5" w:rsidP="00905D26">
      <w:pPr>
        <w:spacing w:line="24" w:lineRule="atLeast"/>
        <w:rPr>
          <w:rFonts w:cs="Times New Roman"/>
        </w:rPr>
      </w:pPr>
    </w:p>
    <w:p w14:paraId="3ED21F2A" w14:textId="77777777" w:rsidR="00DA0AF5" w:rsidRDefault="00DA0AF5" w:rsidP="00905D26">
      <w:pPr>
        <w:spacing w:line="24" w:lineRule="atLeast"/>
        <w:rPr>
          <w:rFonts w:cs="Times New Roman"/>
        </w:rPr>
      </w:pPr>
    </w:p>
    <w:p w14:paraId="1C132A07" w14:textId="77777777" w:rsidR="00DA0AF5" w:rsidRDefault="00DA0AF5" w:rsidP="00905D26">
      <w:pPr>
        <w:spacing w:line="24" w:lineRule="atLeast"/>
        <w:rPr>
          <w:rFonts w:cs="Times New Roman"/>
        </w:rPr>
      </w:pPr>
    </w:p>
    <w:p w14:paraId="5978F360" w14:textId="77777777" w:rsidR="00DA0AF5" w:rsidRDefault="00DA0AF5" w:rsidP="00905D26">
      <w:pPr>
        <w:spacing w:line="24" w:lineRule="atLeast"/>
        <w:rPr>
          <w:rFonts w:cs="Times New Roman"/>
        </w:rPr>
      </w:pPr>
    </w:p>
    <w:p w14:paraId="3BA2BBB0" w14:textId="77777777" w:rsidR="00DA0AF5" w:rsidRDefault="00DA0AF5" w:rsidP="00905D26">
      <w:pPr>
        <w:spacing w:line="24" w:lineRule="atLeast"/>
        <w:rPr>
          <w:rFonts w:cs="Times New Roman"/>
        </w:rPr>
      </w:pPr>
    </w:p>
    <w:p w14:paraId="30D84B10" w14:textId="77777777" w:rsidR="00DA0AF5" w:rsidRDefault="00DA0AF5" w:rsidP="00905D26">
      <w:pPr>
        <w:spacing w:line="24" w:lineRule="atLeast"/>
        <w:rPr>
          <w:rFonts w:cs="Times New Roman"/>
        </w:rPr>
      </w:pPr>
    </w:p>
    <w:p w14:paraId="16AAA88D" w14:textId="77777777" w:rsidR="00DA0AF5" w:rsidRDefault="00DA0AF5" w:rsidP="00905D26">
      <w:pPr>
        <w:spacing w:line="24" w:lineRule="atLeast"/>
        <w:rPr>
          <w:rFonts w:cs="Times New Roman"/>
        </w:rPr>
      </w:pPr>
    </w:p>
    <w:p w14:paraId="57371D74" w14:textId="77777777" w:rsidR="00DA0AF5" w:rsidRDefault="00DA0AF5" w:rsidP="00905D26">
      <w:pPr>
        <w:spacing w:line="24" w:lineRule="atLeast"/>
        <w:rPr>
          <w:rFonts w:cs="Times New Roman"/>
        </w:rPr>
      </w:pPr>
    </w:p>
    <w:p w14:paraId="4DE35518" w14:textId="77777777" w:rsidR="00DA0AF5" w:rsidRDefault="00DA0AF5" w:rsidP="00905D26">
      <w:pPr>
        <w:spacing w:line="24" w:lineRule="atLeast"/>
        <w:rPr>
          <w:rFonts w:cs="Times New Roman"/>
        </w:rPr>
      </w:pPr>
    </w:p>
    <w:p w14:paraId="06133DE0" w14:textId="77777777" w:rsidR="00DA0AF5" w:rsidRDefault="00DA0AF5" w:rsidP="00905D26">
      <w:pPr>
        <w:spacing w:line="24" w:lineRule="atLeast"/>
        <w:rPr>
          <w:rFonts w:cs="Times New Roman"/>
        </w:rPr>
      </w:pPr>
    </w:p>
    <w:p w14:paraId="29B9CE0F" w14:textId="77777777" w:rsidR="00DA0AF5" w:rsidRDefault="00DA0AF5" w:rsidP="00905D26">
      <w:pPr>
        <w:spacing w:line="24" w:lineRule="atLeast"/>
        <w:rPr>
          <w:rFonts w:cs="Times New Roman"/>
        </w:rPr>
      </w:pPr>
    </w:p>
    <w:p w14:paraId="2E5DBB38" w14:textId="77777777" w:rsidR="00DA0AF5" w:rsidRDefault="00DA0AF5" w:rsidP="00905D26">
      <w:pPr>
        <w:spacing w:line="24" w:lineRule="atLeast"/>
        <w:rPr>
          <w:rFonts w:cs="Times New Roman"/>
        </w:rPr>
      </w:pPr>
    </w:p>
    <w:p w14:paraId="6546FF8B" w14:textId="77777777" w:rsidR="00DA0AF5" w:rsidRDefault="00DA0AF5" w:rsidP="00905D26">
      <w:pPr>
        <w:spacing w:line="24" w:lineRule="atLeast"/>
        <w:rPr>
          <w:rFonts w:cs="Times New Roman"/>
        </w:rPr>
      </w:pPr>
    </w:p>
    <w:p w14:paraId="2F28BB9C" w14:textId="77777777" w:rsidR="00DA0AF5" w:rsidRDefault="00DA0AF5" w:rsidP="00905D26">
      <w:pPr>
        <w:spacing w:line="24" w:lineRule="atLeast"/>
        <w:rPr>
          <w:rFonts w:cs="Times New Roman"/>
        </w:rPr>
      </w:pPr>
    </w:p>
    <w:p w14:paraId="7F7EBF82" w14:textId="77777777" w:rsidR="00DA0AF5" w:rsidRDefault="00DA0AF5" w:rsidP="00905D26">
      <w:pPr>
        <w:spacing w:line="24" w:lineRule="atLeast"/>
        <w:rPr>
          <w:rFonts w:cs="Times New Roman"/>
        </w:rPr>
      </w:pPr>
    </w:p>
    <w:p w14:paraId="7C971122" w14:textId="77777777" w:rsidR="00DA0AF5" w:rsidRDefault="00DA0AF5" w:rsidP="00905D26">
      <w:pPr>
        <w:spacing w:line="24" w:lineRule="atLeast"/>
        <w:rPr>
          <w:rFonts w:cs="Times New Roman"/>
        </w:rPr>
      </w:pPr>
    </w:p>
    <w:p w14:paraId="760EACF1" w14:textId="77777777" w:rsidR="00DA0AF5" w:rsidRDefault="00DA0AF5" w:rsidP="00905D26">
      <w:pPr>
        <w:spacing w:line="24" w:lineRule="atLeast"/>
        <w:rPr>
          <w:rFonts w:cs="Times New Roman"/>
        </w:rPr>
      </w:pPr>
    </w:p>
    <w:p w14:paraId="2D638ED2" w14:textId="77777777" w:rsidR="00DA0AF5" w:rsidRDefault="00DA0AF5" w:rsidP="00905D26">
      <w:pPr>
        <w:spacing w:line="24" w:lineRule="atLeast"/>
        <w:rPr>
          <w:rFonts w:cs="Times New Roman"/>
        </w:rPr>
      </w:pPr>
    </w:p>
    <w:p w14:paraId="60FFA89D" w14:textId="77777777" w:rsidR="00DA0AF5" w:rsidRDefault="00DA0AF5" w:rsidP="00905D26">
      <w:pPr>
        <w:spacing w:line="24" w:lineRule="atLeast"/>
        <w:rPr>
          <w:rFonts w:cs="Times New Roman"/>
        </w:rPr>
      </w:pPr>
    </w:p>
    <w:p w14:paraId="67939B6C" w14:textId="77777777" w:rsidR="00DA0AF5" w:rsidRDefault="00DA0AF5" w:rsidP="00905D26">
      <w:pPr>
        <w:spacing w:line="24" w:lineRule="atLeast"/>
        <w:rPr>
          <w:rFonts w:cs="Times New Roman"/>
        </w:rPr>
      </w:pPr>
    </w:p>
    <w:p w14:paraId="38646379" w14:textId="77777777" w:rsidR="00DA0AF5" w:rsidRDefault="00DA0AF5" w:rsidP="00905D26">
      <w:pPr>
        <w:spacing w:line="24" w:lineRule="atLeast"/>
        <w:rPr>
          <w:rFonts w:cs="Times New Roman"/>
        </w:rPr>
      </w:pPr>
    </w:p>
    <w:p w14:paraId="088221FE" w14:textId="77777777" w:rsidR="00DA0AF5" w:rsidRDefault="00DA0AF5" w:rsidP="00905D26">
      <w:pPr>
        <w:spacing w:line="24" w:lineRule="atLeast"/>
        <w:rPr>
          <w:rFonts w:cs="Times New Roman"/>
        </w:rPr>
      </w:pPr>
    </w:p>
    <w:p w14:paraId="087835F2" w14:textId="77777777" w:rsidR="00DA0AF5" w:rsidRDefault="00DA0AF5" w:rsidP="00905D26">
      <w:pPr>
        <w:spacing w:line="24" w:lineRule="atLeast"/>
        <w:rPr>
          <w:rFonts w:cs="Times New Roman"/>
        </w:rPr>
      </w:pPr>
    </w:p>
    <w:p w14:paraId="68BA01BC" w14:textId="575C99FF" w:rsidR="00DA0AF5" w:rsidRDefault="00DA0AF5" w:rsidP="00F26542">
      <w:pPr>
        <w:pStyle w:val="Heading1"/>
        <w:numPr>
          <w:ilvl w:val="0"/>
          <w:numId w:val="0"/>
        </w:numPr>
      </w:pPr>
      <w:bookmarkStart w:id="0" w:name="_Toc125375766"/>
      <w:r>
        <w:lastRenderedPageBreak/>
        <w:t>Recommendations</w:t>
      </w:r>
      <w:bookmarkEnd w:id="0"/>
    </w:p>
    <w:p w14:paraId="3E35D731" w14:textId="77777777" w:rsidR="00DA0AF5" w:rsidRDefault="00DA0AF5" w:rsidP="00905D26">
      <w:pPr>
        <w:spacing w:line="24" w:lineRule="atLeast"/>
        <w:rPr>
          <w:rFonts w:cs="Times New Roman"/>
        </w:rPr>
      </w:pPr>
    </w:p>
    <w:p w14:paraId="304AE49D" w14:textId="419DC7E7" w:rsidR="00DA0AF5" w:rsidRDefault="00B92891" w:rsidP="00905D26">
      <w:pPr>
        <w:spacing w:line="24" w:lineRule="atLeast"/>
        <w:rPr>
          <w:rFonts w:cs="Times New Roman"/>
        </w:rPr>
      </w:pPr>
      <w:r>
        <w:rPr>
          <w:rFonts w:cs="Times New Roman"/>
        </w:rPr>
        <w:t xml:space="preserve">The NI Human Rights Commission: </w:t>
      </w:r>
    </w:p>
    <w:p w14:paraId="28E05807" w14:textId="77777777" w:rsidR="00B92891" w:rsidRDefault="00B92891" w:rsidP="00905D26">
      <w:pPr>
        <w:spacing w:line="24" w:lineRule="atLeast"/>
        <w:rPr>
          <w:rFonts w:cs="Times New Roman"/>
        </w:rPr>
      </w:pPr>
    </w:p>
    <w:p w14:paraId="582DF483" w14:textId="795726AE" w:rsidR="00DA0AF5" w:rsidRPr="00B92891" w:rsidRDefault="00B92891" w:rsidP="00B92891">
      <w:pPr>
        <w:spacing w:line="24" w:lineRule="atLeast"/>
        <w:ind w:left="720" w:hanging="720"/>
        <w:rPr>
          <w:rFonts w:cs="Times New Roman"/>
          <w:b/>
          <w:bCs/>
        </w:rPr>
      </w:pPr>
      <w:r w:rsidRPr="00B92891">
        <w:rPr>
          <w:rFonts w:cs="Times New Roman"/>
          <w:b/>
          <w:bCs/>
        </w:rPr>
        <w:t>2.4</w:t>
      </w:r>
      <w:r w:rsidRPr="00B92891">
        <w:rPr>
          <w:rFonts w:cs="Times New Roman"/>
          <w:b/>
          <w:bCs/>
        </w:rPr>
        <w:tab/>
        <w:t>recommends that the Department of Justice ensure that Protocol Article 2 is built into and considered actively during the development and implementation of legislation and policy on modern slavery and human trafficking, to ensure there is no diminution to the rights and safeguards which fall within its scope.</w:t>
      </w:r>
    </w:p>
    <w:p w14:paraId="219F47C2" w14:textId="77777777" w:rsidR="00DA0AF5" w:rsidRPr="00B92891" w:rsidRDefault="00DA0AF5" w:rsidP="00905D26">
      <w:pPr>
        <w:spacing w:line="24" w:lineRule="atLeast"/>
        <w:rPr>
          <w:rFonts w:cs="Times New Roman"/>
          <w:b/>
          <w:bCs/>
        </w:rPr>
      </w:pPr>
    </w:p>
    <w:p w14:paraId="054CF839" w14:textId="1F73E803" w:rsidR="00DA0AF5" w:rsidRPr="00B92891" w:rsidRDefault="00B92891" w:rsidP="00B92891">
      <w:pPr>
        <w:spacing w:line="24" w:lineRule="atLeast"/>
        <w:ind w:left="720" w:hanging="720"/>
        <w:rPr>
          <w:rFonts w:cs="Times New Roman"/>
          <w:b/>
          <w:bCs/>
        </w:rPr>
      </w:pPr>
      <w:r w:rsidRPr="00B92891">
        <w:rPr>
          <w:rFonts w:cs="Times New Roman"/>
          <w:b/>
          <w:bCs/>
        </w:rPr>
        <w:t>3.4</w:t>
      </w:r>
      <w:r w:rsidRPr="00B92891">
        <w:rPr>
          <w:rFonts w:cs="Times New Roman"/>
          <w:b/>
          <w:bCs/>
        </w:rPr>
        <w:tab/>
        <w:t>welcomes the objectives under the PURSUE Strand and recommends that the Department of Justice prioritises legislation providing for Slavery and Trafficking Risk Orders and the Duty to Notify for prompt consideration by an incoming NI Executive.</w:t>
      </w:r>
    </w:p>
    <w:p w14:paraId="09C6E829" w14:textId="77777777" w:rsidR="00DA0AF5" w:rsidRPr="00B92891" w:rsidRDefault="00DA0AF5" w:rsidP="00905D26">
      <w:pPr>
        <w:spacing w:line="24" w:lineRule="atLeast"/>
        <w:rPr>
          <w:rFonts w:cs="Times New Roman"/>
          <w:b/>
          <w:bCs/>
        </w:rPr>
      </w:pPr>
    </w:p>
    <w:p w14:paraId="084C0D7E" w14:textId="3C987CCD" w:rsidR="00B92891" w:rsidRPr="00B92891" w:rsidRDefault="00B92891" w:rsidP="00B92891">
      <w:pPr>
        <w:spacing w:line="24" w:lineRule="atLeast"/>
        <w:ind w:left="720" w:hanging="720"/>
        <w:rPr>
          <w:rFonts w:cs="Times New Roman"/>
          <w:b/>
          <w:bCs/>
        </w:rPr>
      </w:pPr>
      <w:r w:rsidRPr="00B92891">
        <w:rPr>
          <w:rFonts w:cs="Times New Roman"/>
          <w:b/>
          <w:bCs/>
        </w:rPr>
        <w:t>4.8</w:t>
      </w:r>
      <w:r w:rsidRPr="00B92891">
        <w:rPr>
          <w:rFonts w:cs="Times New Roman"/>
          <w:b/>
          <w:bCs/>
        </w:rPr>
        <w:tab/>
        <w:t xml:space="preserve">recommends that the commitments under Strand 2 explicitly ensure the provision of specialist support is available for all victims of modern slavery and human trafficking, and is appropriately tailored to take account of age, gender and culture. </w:t>
      </w:r>
    </w:p>
    <w:p w14:paraId="68AE578A" w14:textId="77777777" w:rsidR="00B92891" w:rsidRPr="00B92891" w:rsidRDefault="00B92891" w:rsidP="00B92891">
      <w:pPr>
        <w:spacing w:line="24" w:lineRule="atLeast"/>
        <w:rPr>
          <w:rFonts w:cs="Times New Roman"/>
          <w:b/>
          <w:bCs/>
        </w:rPr>
      </w:pPr>
    </w:p>
    <w:p w14:paraId="2010F043" w14:textId="40F8A9C7" w:rsidR="00DA0AF5" w:rsidRPr="00B92891" w:rsidRDefault="00B92891" w:rsidP="00B92891">
      <w:pPr>
        <w:spacing w:line="24" w:lineRule="atLeast"/>
        <w:ind w:left="720" w:hanging="720"/>
        <w:rPr>
          <w:rFonts w:cs="Times New Roman"/>
          <w:b/>
          <w:bCs/>
        </w:rPr>
      </w:pPr>
      <w:r w:rsidRPr="00B92891">
        <w:rPr>
          <w:rFonts w:cs="Times New Roman"/>
          <w:b/>
          <w:bCs/>
        </w:rPr>
        <w:t>4.9</w:t>
      </w:r>
      <w:r w:rsidRPr="00B92891">
        <w:rPr>
          <w:rFonts w:cs="Times New Roman"/>
          <w:b/>
          <w:bCs/>
        </w:rPr>
        <w:tab/>
        <w:t>recommends that the commitments under Strand 2 specify that the compulsory training and guidance provided to practitioners is trauma-informed and appropriately tailored to take account of age, gender and culture.</w:t>
      </w:r>
    </w:p>
    <w:p w14:paraId="26455DCE" w14:textId="77777777" w:rsidR="00CE3F99" w:rsidRPr="00B92891" w:rsidRDefault="00CE3F99" w:rsidP="00905D26">
      <w:pPr>
        <w:spacing w:line="24" w:lineRule="atLeast"/>
        <w:rPr>
          <w:rFonts w:cs="Times New Roman"/>
          <w:b/>
          <w:bCs/>
        </w:rPr>
      </w:pPr>
    </w:p>
    <w:p w14:paraId="554C148F" w14:textId="1E9600F3" w:rsidR="00CE3F99" w:rsidRPr="00B92891" w:rsidRDefault="00B92891" w:rsidP="00B92891">
      <w:pPr>
        <w:spacing w:line="24" w:lineRule="atLeast"/>
        <w:ind w:left="720" w:hanging="720"/>
        <w:rPr>
          <w:rFonts w:cs="Times New Roman"/>
          <w:b/>
          <w:bCs/>
        </w:rPr>
      </w:pPr>
      <w:r w:rsidRPr="00B92891">
        <w:rPr>
          <w:rFonts w:cs="Times New Roman"/>
          <w:b/>
          <w:bCs/>
        </w:rPr>
        <w:t>4.11</w:t>
      </w:r>
      <w:r w:rsidRPr="00B92891">
        <w:rPr>
          <w:rFonts w:cs="Times New Roman"/>
          <w:b/>
          <w:bCs/>
        </w:rPr>
        <w:tab/>
        <w:t>recommends that Strand 2 includes actions to ensure that all communications targeted at victims of modern slavery and human trafficking are fully accessible and aimed at reducing fear and improving engagement. This should include regular consultation with victims, through representative organisations where appropriate, to improve understanding about what barriers victims face and what victims’ specific protection needs are.</w:t>
      </w:r>
    </w:p>
    <w:p w14:paraId="73F9E674" w14:textId="77777777" w:rsidR="00CE3F99" w:rsidRPr="00B92891" w:rsidRDefault="00CE3F99" w:rsidP="00905D26">
      <w:pPr>
        <w:spacing w:line="24" w:lineRule="atLeast"/>
        <w:rPr>
          <w:rFonts w:cs="Times New Roman"/>
          <w:b/>
          <w:bCs/>
        </w:rPr>
      </w:pPr>
    </w:p>
    <w:p w14:paraId="7EA0031E" w14:textId="7BAF32F4" w:rsidR="00CE3F99" w:rsidRPr="00B92891" w:rsidRDefault="00B92891" w:rsidP="00B92891">
      <w:pPr>
        <w:spacing w:line="24" w:lineRule="atLeast"/>
        <w:ind w:left="720" w:hanging="720"/>
        <w:rPr>
          <w:rFonts w:cs="Times New Roman"/>
          <w:b/>
          <w:bCs/>
        </w:rPr>
      </w:pPr>
      <w:r w:rsidRPr="00B92891">
        <w:rPr>
          <w:rFonts w:cs="Times New Roman"/>
          <w:b/>
          <w:bCs/>
        </w:rPr>
        <w:t>4.13</w:t>
      </w:r>
      <w:r w:rsidRPr="00B92891">
        <w:rPr>
          <w:rFonts w:cs="Times New Roman"/>
          <w:b/>
          <w:bCs/>
        </w:rPr>
        <w:tab/>
        <w:t>recommends that Strand 2 includes specific cross-departmental actions to ensure victims of modern slavery and human trafficking have effective access to employment, education, housing and social security, in order to build their resilience and reduce the likelihood of re-trafficking.</w:t>
      </w:r>
    </w:p>
    <w:p w14:paraId="1E10DD32" w14:textId="77777777" w:rsidR="00CE3F99" w:rsidRPr="00B92891" w:rsidRDefault="00CE3F99" w:rsidP="00905D26">
      <w:pPr>
        <w:spacing w:line="24" w:lineRule="atLeast"/>
        <w:rPr>
          <w:rFonts w:cs="Times New Roman"/>
          <w:b/>
          <w:bCs/>
        </w:rPr>
      </w:pPr>
    </w:p>
    <w:p w14:paraId="1443D379" w14:textId="0B42C230" w:rsidR="00B92891" w:rsidRPr="00B92891" w:rsidRDefault="00B92891" w:rsidP="00B92891">
      <w:pPr>
        <w:spacing w:line="24" w:lineRule="atLeast"/>
        <w:ind w:left="720" w:hanging="720"/>
        <w:rPr>
          <w:rFonts w:cs="Times New Roman"/>
          <w:b/>
          <w:bCs/>
        </w:rPr>
      </w:pPr>
      <w:r w:rsidRPr="00B92891">
        <w:rPr>
          <w:rFonts w:cs="Times New Roman"/>
          <w:b/>
          <w:bCs/>
        </w:rPr>
        <w:t>4.19</w:t>
      </w:r>
      <w:r w:rsidRPr="00B92891">
        <w:rPr>
          <w:rFonts w:cs="Times New Roman"/>
          <w:b/>
          <w:bCs/>
        </w:rPr>
        <w:tab/>
        <w:t xml:space="preserve">recommends that Strand 2 includes specific actions aimed at improving the understanding and identification of child victims and potential victims of modern slavery and trafficking in all its forms in NI. This includes ensuring an </w:t>
      </w:r>
      <w:r w:rsidRPr="00B92891">
        <w:rPr>
          <w:rFonts w:cs="Times New Roman"/>
          <w:b/>
          <w:bCs/>
        </w:rPr>
        <w:lastRenderedPageBreak/>
        <w:t>awareness of the specific safeguarding interventions in accordance with a victim’s identified needs.</w:t>
      </w:r>
    </w:p>
    <w:p w14:paraId="09149457" w14:textId="77777777" w:rsidR="00B92891" w:rsidRPr="00B92891" w:rsidRDefault="00B92891" w:rsidP="00B92891">
      <w:pPr>
        <w:spacing w:line="24" w:lineRule="atLeast"/>
        <w:rPr>
          <w:rFonts w:cs="Times New Roman"/>
          <w:b/>
          <w:bCs/>
        </w:rPr>
      </w:pPr>
    </w:p>
    <w:p w14:paraId="758B76BD" w14:textId="1B20758B" w:rsidR="00B92891" w:rsidRPr="00B92891" w:rsidRDefault="00B92891" w:rsidP="00B92891">
      <w:pPr>
        <w:spacing w:line="24" w:lineRule="atLeast"/>
        <w:ind w:left="720" w:hanging="720"/>
        <w:rPr>
          <w:rFonts w:cs="Times New Roman"/>
          <w:b/>
          <w:bCs/>
        </w:rPr>
      </w:pPr>
      <w:r w:rsidRPr="00B92891">
        <w:rPr>
          <w:rFonts w:cs="Times New Roman"/>
          <w:b/>
          <w:bCs/>
        </w:rPr>
        <w:t>4.20</w:t>
      </w:r>
      <w:r w:rsidRPr="00B92891">
        <w:rPr>
          <w:rFonts w:cs="Times New Roman"/>
          <w:b/>
          <w:bCs/>
        </w:rPr>
        <w:tab/>
        <w:t xml:space="preserve">recommends that Strand 2 includes a specific commitment on supporting the recovery of a child victim of human trafficking and modern slavery, to ensure that all affected children have access to necessary supports, such as specialist mental health services, education, and accommodation. </w:t>
      </w:r>
    </w:p>
    <w:p w14:paraId="02572627" w14:textId="77777777" w:rsidR="00B92891" w:rsidRPr="00B92891" w:rsidRDefault="00B92891" w:rsidP="00B92891">
      <w:pPr>
        <w:spacing w:line="24" w:lineRule="atLeast"/>
        <w:rPr>
          <w:rFonts w:cs="Times New Roman"/>
          <w:b/>
          <w:bCs/>
        </w:rPr>
      </w:pPr>
    </w:p>
    <w:p w14:paraId="32C0A8D9" w14:textId="474A21A0" w:rsidR="00CE3F99" w:rsidRPr="00B92891" w:rsidRDefault="00B92891" w:rsidP="00B92891">
      <w:pPr>
        <w:spacing w:line="24" w:lineRule="atLeast"/>
        <w:ind w:left="720" w:hanging="720"/>
        <w:rPr>
          <w:rFonts w:cs="Times New Roman"/>
          <w:b/>
          <w:bCs/>
        </w:rPr>
      </w:pPr>
      <w:r w:rsidRPr="00B92891">
        <w:rPr>
          <w:rFonts w:cs="Times New Roman"/>
          <w:b/>
          <w:bCs/>
        </w:rPr>
        <w:t>4.21</w:t>
      </w:r>
      <w:r w:rsidRPr="00B92891">
        <w:rPr>
          <w:rFonts w:cs="Times New Roman"/>
          <w:b/>
          <w:bCs/>
        </w:rPr>
        <w:tab/>
        <w:t>recommends that the Department of Justice closely considers the findings of the NI Affairs Committee inquiry into paramilitary activity and organised crime in NI and monitors any relevant recommendations through the annual reports to ensure child trafficking concerns are subject to multi-agency discussion and co-ordination.</w:t>
      </w:r>
    </w:p>
    <w:p w14:paraId="04B2CD5D" w14:textId="77777777" w:rsidR="00CE3F99" w:rsidRPr="00B92891" w:rsidRDefault="00CE3F99" w:rsidP="00905D26">
      <w:pPr>
        <w:spacing w:line="24" w:lineRule="atLeast"/>
        <w:rPr>
          <w:rFonts w:cs="Times New Roman"/>
          <w:b/>
          <w:bCs/>
        </w:rPr>
      </w:pPr>
    </w:p>
    <w:p w14:paraId="07B4BBE7" w14:textId="01F8BF96" w:rsidR="00CE3F99" w:rsidRPr="00B92891" w:rsidRDefault="00B92891" w:rsidP="00B92891">
      <w:pPr>
        <w:spacing w:line="24" w:lineRule="atLeast"/>
        <w:ind w:left="720" w:hanging="720"/>
        <w:rPr>
          <w:rFonts w:cs="Times New Roman"/>
          <w:b/>
          <w:bCs/>
        </w:rPr>
      </w:pPr>
      <w:r w:rsidRPr="00B92891">
        <w:rPr>
          <w:rFonts w:cs="Times New Roman"/>
          <w:b/>
          <w:bCs/>
        </w:rPr>
        <w:t>4.26</w:t>
      </w:r>
      <w:r w:rsidRPr="00B92891">
        <w:rPr>
          <w:rFonts w:cs="Times New Roman"/>
          <w:b/>
          <w:bCs/>
        </w:rPr>
        <w:tab/>
        <w:t>recommends that the Department of Justice continue to assess the implications of the Nationality and Borders Act and ensure that it prioritises a victim-centred and trauma-informed approach to tackling modern slavery and human trafficking in NI.</w:t>
      </w:r>
    </w:p>
    <w:p w14:paraId="2AD0195B" w14:textId="77777777" w:rsidR="00B92891" w:rsidRPr="00B92891" w:rsidRDefault="00B92891" w:rsidP="00B92891">
      <w:pPr>
        <w:spacing w:line="24" w:lineRule="atLeast"/>
        <w:rPr>
          <w:rFonts w:cs="Times New Roman"/>
          <w:b/>
          <w:bCs/>
        </w:rPr>
      </w:pPr>
    </w:p>
    <w:p w14:paraId="0833ACB2" w14:textId="3EDA8368" w:rsidR="00CE3F99" w:rsidRPr="00B92891" w:rsidRDefault="00B92891" w:rsidP="00B92891">
      <w:pPr>
        <w:spacing w:line="24" w:lineRule="atLeast"/>
        <w:ind w:left="720" w:hanging="720"/>
        <w:rPr>
          <w:rFonts w:cs="Times New Roman"/>
          <w:b/>
          <w:bCs/>
        </w:rPr>
      </w:pPr>
      <w:r w:rsidRPr="00B92891">
        <w:rPr>
          <w:rFonts w:cs="Times New Roman"/>
          <w:b/>
          <w:bCs/>
        </w:rPr>
        <w:t>5.6</w:t>
      </w:r>
      <w:r w:rsidRPr="00B92891">
        <w:rPr>
          <w:rFonts w:cs="Times New Roman"/>
          <w:b/>
          <w:bCs/>
        </w:rPr>
        <w:tab/>
        <w:t xml:space="preserve">recommends that Strand 3 includes explicit actions for preventative measures that target those most at risk of modern slavery and human trafficking. This includes ensuring that other NI Executive strategies and initiatives aimed at tackling the causes of poverty and inequality, including gender inequality, take account of modern slavery and human trafficking.  </w:t>
      </w:r>
    </w:p>
    <w:p w14:paraId="10B25B25" w14:textId="77777777" w:rsidR="00CE3F99" w:rsidRDefault="00CE3F99" w:rsidP="00905D26">
      <w:pPr>
        <w:spacing w:line="24" w:lineRule="atLeast"/>
        <w:rPr>
          <w:rFonts w:cs="Times New Roman"/>
        </w:rPr>
      </w:pPr>
    </w:p>
    <w:p w14:paraId="5B040909" w14:textId="77777777" w:rsidR="00CE3F99" w:rsidRDefault="00CE3F99" w:rsidP="00905D26">
      <w:pPr>
        <w:spacing w:line="24" w:lineRule="atLeast"/>
        <w:rPr>
          <w:rFonts w:cs="Times New Roman"/>
        </w:rPr>
      </w:pPr>
    </w:p>
    <w:p w14:paraId="27BB9F85" w14:textId="77777777" w:rsidR="00CE3F99" w:rsidRDefault="00CE3F99" w:rsidP="00905D26">
      <w:pPr>
        <w:spacing w:line="24" w:lineRule="atLeast"/>
        <w:rPr>
          <w:rFonts w:cs="Times New Roman"/>
        </w:rPr>
      </w:pPr>
    </w:p>
    <w:p w14:paraId="3165ACEF" w14:textId="77777777" w:rsidR="00CE3F99" w:rsidRDefault="00CE3F99" w:rsidP="00905D26">
      <w:pPr>
        <w:spacing w:line="24" w:lineRule="atLeast"/>
        <w:rPr>
          <w:rFonts w:cs="Times New Roman"/>
        </w:rPr>
      </w:pPr>
    </w:p>
    <w:p w14:paraId="5CC35293" w14:textId="46659DD2" w:rsidR="00CE3F99" w:rsidRDefault="00CE3F99" w:rsidP="00905D26">
      <w:pPr>
        <w:spacing w:line="24" w:lineRule="atLeast"/>
        <w:rPr>
          <w:rFonts w:cs="Times New Roman"/>
        </w:rPr>
      </w:pPr>
    </w:p>
    <w:p w14:paraId="4364622C" w14:textId="77777777" w:rsidR="00B92891" w:rsidRDefault="00B92891" w:rsidP="00905D26">
      <w:pPr>
        <w:spacing w:line="24" w:lineRule="atLeast"/>
        <w:rPr>
          <w:rFonts w:cs="Times New Roman"/>
        </w:rPr>
      </w:pPr>
    </w:p>
    <w:p w14:paraId="69F0087B" w14:textId="1B841CA2" w:rsidR="00CE3F99" w:rsidRDefault="00CE3F99" w:rsidP="00905D26">
      <w:pPr>
        <w:spacing w:line="24" w:lineRule="atLeast"/>
        <w:rPr>
          <w:rFonts w:cs="Times New Roman"/>
        </w:rPr>
      </w:pPr>
    </w:p>
    <w:p w14:paraId="364B3085" w14:textId="7D912499" w:rsidR="002D4711" w:rsidRDefault="002D4711" w:rsidP="00905D26">
      <w:pPr>
        <w:spacing w:line="24" w:lineRule="atLeast"/>
        <w:rPr>
          <w:rFonts w:cs="Times New Roman"/>
        </w:rPr>
      </w:pPr>
    </w:p>
    <w:p w14:paraId="4435E9F5" w14:textId="635D36E4" w:rsidR="002D4711" w:rsidRDefault="002D4711" w:rsidP="00905D26">
      <w:pPr>
        <w:spacing w:line="24" w:lineRule="atLeast"/>
        <w:rPr>
          <w:rFonts w:cs="Times New Roman"/>
        </w:rPr>
      </w:pPr>
    </w:p>
    <w:p w14:paraId="0A0FAF55" w14:textId="16C615F1" w:rsidR="002D4711" w:rsidRDefault="002D4711" w:rsidP="00905D26">
      <w:pPr>
        <w:spacing w:line="24" w:lineRule="atLeast"/>
        <w:rPr>
          <w:rFonts w:cs="Times New Roman"/>
        </w:rPr>
      </w:pPr>
    </w:p>
    <w:p w14:paraId="48446BA8" w14:textId="03E2F336" w:rsidR="002D4711" w:rsidRDefault="002D4711" w:rsidP="00905D26">
      <w:pPr>
        <w:spacing w:line="24" w:lineRule="atLeast"/>
        <w:rPr>
          <w:rFonts w:cs="Times New Roman"/>
        </w:rPr>
      </w:pPr>
    </w:p>
    <w:p w14:paraId="349916AA" w14:textId="70074C80" w:rsidR="002D4711" w:rsidRDefault="002D4711" w:rsidP="00905D26">
      <w:pPr>
        <w:spacing w:line="24" w:lineRule="atLeast"/>
        <w:rPr>
          <w:rFonts w:cs="Times New Roman"/>
        </w:rPr>
      </w:pPr>
    </w:p>
    <w:p w14:paraId="630EB50C" w14:textId="77777777" w:rsidR="002D4711" w:rsidRDefault="002D4711" w:rsidP="00905D26">
      <w:pPr>
        <w:spacing w:line="24" w:lineRule="atLeast"/>
        <w:rPr>
          <w:rFonts w:cs="Times New Roman"/>
        </w:rPr>
      </w:pPr>
    </w:p>
    <w:p w14:paraId="5DAB3B78" w14:textId="77777777" w:rsidR="00CE3F99" w:rsidRDefault="00CE3F99" w:rsidP="00905D26">
      <w:pPr>
        <w:spacing w:line="24" w:lineRule="atLeast"/>
        <w:rPr>
          <w:rFonts w:cs="Times New Roman"/>
        </w:rPr>
      </w:pPr>
    </w:p>
    <w:p w14:paraId="7ADF7267" w14:textId="77777777" w:rsidR="00CE3F99" w:rsidRDefault="00CE3F99" w:rsidP="00905D26">
      <w:pPr>
        <w:spacing w:line="24" w:lineRule="atLeast"/>
        <w:rPr>
          <w:rFonts w:cs="Times New Roman"/>
        </w:rPr>
      </w:pPr>
    </w:p>
    <w:p w14:paraId="4F28DCB6" w14:textId="03A10840" w:rsidR="00CE3F99" w:rsidRDefault="00CE3F99" w:rsidP="00547E58">
      <w:pPr>
        <w:pStyle w:val="Heading1"/>
        <w:numPr>
          <w:ilvl w:val="0"/>
          <w:numId w:val="12"/>
        </w:numPr>
        <w:ind w:hanging="720"/>
      </w:pPr>
      <w:bookmarkStart w:id="1" w:name="_Toc125375767"/>
      <w:r>
        <w:lastRenderedPageBreak/>
        <w:t>Introduction</w:t>
      </w:r>
      <w:bookmarkEnd w:id="1"/>
    </w:p>
    <w:p w14:paraId="3FC13BF1" w14:textId="77777777" w:rsidR="00547E58" w:rsidRDefault="00547E58" w:rsidP="00547E58">
      <w:pPr>
        <w:spacing w:line="24" w:lineRule="atLeast"/>
        <w:rPr>
          <w:rFonts w:cs="Segoe UI"/>
          <w:lang w:val="en" w:eastAsia="en-GB"/>
        </w:rPr>
      </w:pPr>
    </w:p>
    <w:p w14:paraId="4CD164F5" w14:textId="5D0D326F" w:rsidR="00547E58" w:rsidRDefault="001B4A8B" w:rsidP="00962C1B">
      <w:pPr>
        <w:pStyle w:val="ListParagraph"/>
        <w:numPr>
          <w:ilvl w:val="1"/>
          <w:numId w:val="13"/>
        </w:numPr>
        <w:spacing w:line="288" w:lineRule="auto"/>
        <w:ind w:left="709"/>
        <w:rPr>
          <w:rFonts w:cs="Segoe UI"/>
          <w:lang w:val="en" w:eastAsia="en-GB"/>
        </w:rPr>
      </w:pPr>
      <w:r w:rsidRPr="00547E58">
        <w:rPr>
          <w:rFonts w:cs="Segoe UI"/>
          <w:lang w:val="en" w:eastAsia="en-GB"/>
        </w:rPr>
        <w:t xml:space="preserve">The </w:t>
      </w:r>
      <w:r w:rsidR="0049699E">
        <w:rPr>
          <w:rFonts w:cs="Segoe UI"/>
          <w:lang w:val="en" w:eastAsia="en-GB"/>
        </w:rPr>
        <w:t>NI Human Rights Commission (NIHRC)</w:t>
      </w:r>
      <w:r w:rsidRPr="00547E58">
        <w:rPr>
          <w:rFonts w:cs="Segoe UI"/>
          <w:lang w:val="en" w:eastAsia="en-GB"/>
        </w:rPr>
        <w:t xml:space="preserve">, pursuant to Section 69(1) of the Northern Ireland Act 1998, reviews the adequacy and effectiveness of law and practice relating to the protection of human rights. Further, the </w:t>
      </w:r>
      <w:r w:rsidR="0049699E">
        <w:rPr>
          <w:rFonts w:cs="Segoe UI"/>
          <w:lang w:val="en" w:eastAsia="en-GB"/>
        </w:rPr>
        <w:t>NIHRC</w:t>
      </w:r>
      <w:r w:rsidRPr="00547E58">
        <w:rPr>
          <w:rFonts w:cs="Segoe UI"/>
          <w:lang w:val="en" w:eastAsia="en-GB"/>
        </w:rPr>
        <w:t xml:space="preserve">, pursuant to Section 78A(1) of the Northern Ireland Act 1998, must monitor the implementation of </w:t>
      </w:r>
      <w:bookmarkStart w:id="2" w:name="_Hlk90368887"/>
      <w:r w:rsidRPr="00547E58">
        <w:rPr>
          <w:rFonts w:cs="Segoe UI"/>
          <w:lang w:val="en" w:eastAsia="en-GB"/>
        </w:rPr>
        <w:t xml:space="preserve">Article 2 of the Ireland/Northern Ireland Protocol </w:t>
      </w:r>
      <w:bookmarkEnd w:id="2"/>
      <w:r w:rsidRPr="00547E58">
        <w:rPr>
          <w:rFonts w:cs="Segoe UI"/>
          <w:lang w:val="en" w:eastAsia="en-GB"/>
        </w:rPr>
        <w:t>(Protocol Article 2). In accordance with these functions, the following advice is submitted to the Department of Justice</w:t>
      </w:r>
      <w:r w:rsidR="00394DC5" w:rsidRPr="00547E58">
        <w:rPr>
          <w:rFonts w:cs="Segoe UI"/>
          <w:lang w:val="en" w:eastAsia="en-GB"/>
        </w:rPr>
        <w:t xml:space="preserve"> to inform the new </w:t>
      </w:r>
      <w:r w:rsidR="00394DC5" w:rsidRPr="00826CEB">
        <w:t>draft modern slavery and human trafficking strategy.</w:t>
      </w:r>
      <w:r w:rsidR="00394DC5" w:rsidRPr="00547E58">
        <w:rPr>
          <w:rFonts w:cs="Segoe UI"/>
          <w:lang w:val="en" w:eastAsia="en-GB"/>
        </w:rPr>
        <w:t xml:space="preserve"> </w:t>
      </w:r>
    </w:p>
    <w:p w14:paraId="22255A29" w14:textId="77777777" w:rsidR="00547E58" w:rsidRDefault="00547E58" w:rsidP="00962C1B">
      <w:pPr>
        <w:pStyle w:val="ListParagraph"/>
        <w:spacing w:line="288" w:lineRule="auto"/>
        <w:ind w:left="709"/>
        <w:rPr>
          <w:rFonts w:cs="Segoe UI"/>
          <w:lang w:val="en" w:eastAsia="en-GB"/>
        </w:rPr>
      </w:pPr>
    </w:p>
    <w:p w14:paraId="766F1338" w14:textId="6C0FC7FA" w:rsidR="00962C1B" w:rsidRDefault="00547E58" w:rsidP="00962C1B">
      <w:pPr>
        <w:pStyle w:val="ListParagraph"/>
        <w:numPr>
          <w:ilvl w:val="1"/>
          <w:numId w:val="13"/>
        </w:numPr>
        <w:spacing w:after="240" w:line="288" w:lineRule="auto"/>
        <w:ind w:left="709"/>
      </w:pPr>
      <w:r w:rsidRPr="00A11AF3">
        <w:t xml:space="preserve">The </w:t>
      </w:r>
      <w:r>
        <w:t>NIHRC</w:t>
      </w:r>
      <w:r w:rsidRPr="00A11AF3">
        <w:t xml:space="preserve">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4F0840EA" w14:textId="77777777" w:rsidR="00962C1B" w:rsidRPr="00962C1B" w:rsidRDefault="00962C1B" w:rsidP="00962C1B">
      <w:pPr>
        <w:pStyle w:val="ListParagraph"/>
        <w:spacing w:before="240" w:line="288" w:lineRule="auto"/>
        <w:ind w:left="1440"/>
        <w:rPr>
          <w:sz w:val="16"/>
          <w:szCs w:val="16"/>
        </w:rPr>
      </w:pPr>
    </w:p>
    <w:p w14:paraId="1930ACE7" w14:textId="53EA18A9" w:rsidR="00547E58" w:rsidRPr="00CA1DDD" w:rsidRDefault="00547E58" w:rsidP="00962C1B">
      <w:pPr>
        <w:pStyle w:val="ListParagraph"/>
        <w:numPr>
          <w:ilvl w:val="0"/>
          <w:numId w:val="14"/>
        </w:numPr>
        <w:spacing w:before="240" w:line="288" w:lineRule="auto"/>
      </w:pPr>
      <w:r w:rsidRPr="000A1D37">
        <w:rPr>
          <w:rFonts w:cs="Arial"/>
          <w:lang w:val="en-US"/>
        </w:rPr>
        <w:t>European Convention on Human Rights (ECHR);</w:t>
      </w:r>
      <w:r w:rsidRPr="000A1D37">
        <w:rPr>
          <w:rFonts w:cs="Arial"/>
          <w:vertAlign w:val="superscript"/>
          <w:lang w:val="en-US"/>
        </w:rPr>
        <w:footnoteReference w:id="2"/>
      </w:r>
    </w:p>
    <w:p w14:paraId="56C0F7BD" w14:textId="4A8F46D3" w:rsidR="00CA1DDD" w:rsidRPr="00166A7F" w:rsidRDefault="00CA1DDD" w:rsidP="00962C1B">
      <w:pPr>
        <w:pStyle w:val="ListParagraph"/>
        <w:numPr>
          <w:ilvl w:val="0"/>
          <w:numId w:val="14"/>
        </w:numPr>
        <w:spacing w:before="240" w:line="288" w:lineRule="auto"/>
      </w:pPr>
      <w:r>
        <w:rPr>
          <w:rFonts w:cs="Arial"/>
          <w:lang w:val="en-US"/>
        </w:rPr>
        <w:t xml:space="preserve">Universal Declaration of </w:t>
      </w:r>
      <w:r w:rsidR="007F64F0">
        <w:rPr>
          <w:rFonts w:cs="Arial"/>
          <w:lang w:val="en-US"/>
        </w:rPr>
        <w:t>Human Rights (UDHR);</w:t>
      </w:r>
      <w:r w:rsidR="007F64F0">
        <w:rPr>
          <w:rStyle w:val="FootnoteReference"/>
          <w:rFonts w:cs="Arial"/>
          <w:lang w:val="en-US"/>
        </w:rPr>
        <w:footnoteReference w:id="3"/>
      </w:r>
    </w:p>
    <w:p w14:paraId="759CE810" w14:textId="2CB054B4" w:rsidR="00166A7F" w:rsidRPr="00547E58" w:rsidRDefault="00166A7F" w:rsidP="00962C1B">
      <w:pPr>
        <w:pStyle w:val="ListParagraph"/>
        <w:numPr>
          <w:ilvl w:val="0"/>
          <w:numId w:val="14"/>
        </w:numPr>
        <w:spacing w:before="240" w:line="288" w:lineRule="auto"/>
      </w:pPr>
      <w:r>
        <w:rPr>
          <w:rFonts w:cs="Arial"/>
          <w:lang w:val="en-US"/>
        </w:rPr>
        <w:t>International Covenant on Civil and Political Rights (ICCPR);</w:t>
      </w:r>
      <w:r>
        <w:rPr>
          <w:rStyle w:val="FootnoteReference"/>
          <w:rFonts w:cs="Arial"/>
          <w:lang w:val="en-US"/>
        </w:rPr>
        <w:footnoteReference w:id="4"/>
      </w:r>
    </w:p>
    <w:p w14:paraId="13B95A39" w14:textId="159FB0E4" w:rsidR="00547E58" w:rsidRPr="00F81EDC" w:rsidRDefault="00547E58" w:rsidP="00962C1B">
      <w:pPr>
        <w:pStyle w:val="ListParagraph"/>
        <w:numPr>
          <w:ilvl w:val="0"/>
          <w:numId w:val="14"/>
        </w:numPr>
        <w:spacing w:line="288" w:lineRule="auto"/>
      </w:pPr>
      <w:r>
        <w:rPr>
          <w:rFonts w:cs="Arial"/>
          <w:lang w:val="en-US"/>
        </w:rPr>
        <w:t xml:space="preserve">UN </w:t>
      </w:r>
      <w:r w:rsidRPr="000A1D37">
        <w:rPr>
          <w:rFonts w:cs="Verdana"/>
          <w:color w:val="000000"/>
          <w:lang w:val="en-US"/>
        </w:rPr>
        <w:t>Convention on Elimination of Discrimination against Women (UN CEDAW);</w:t>
      </w:r>
      <w:r w:rsidRPr="000A1D37">
        <w:rPr>
          <w:rFonts w:cs="Verdana"/>
          <w:color w:val="000000"/>
          <w:vertAlign w:val="superscript"/>
          <w:lang w:val="en-US"/>
        </w:rPr>
        <w:footnoteReference w:id="5"/>
      </w:r>
    </w:p>
    <w:p w14:paraId="2A51E77B" w14:textId="232A2C8E" w:rsidR="00F81EDC" w:rsidRPr="00352C47" w:rsidRDefault="00F81EDC" w:rsidP="00962C1B">
      <w:pPr>
        <w:pStyle w:val="ListParagraph"/>
        <w:numPr>
          <w:ilvl w:val="0"/>
          <w:numId w:val="14"/>
        </w:numPr>
        <w:spacing w:line="288" w:lineRule="auto"/>
      </w:pPr>
      <w:r w:rsidRPr="00502F51">
        <w:t>UN Protocol to Prevent, Suppress and Punish Trafficking in Persons, particularly women and children (</w:t>
      </w:r>
      <w:r>
        <w:t xml:space="preserve">UN </w:t>
      </w:r>
      <w:r w:rsidRPr="00502F51">
        <w:t>Palermo Protocol);</w:t>
      </w:r>
      <w:r>
        <w:rPr>
          <w:rStyle w:val="FootnoteReference"/>
          <w:rFonts w:cs="Arial"/>
          <w:bCs/>
        </w:rPr>
        <w:footnoteReference w:id="6"/>
      </w:r>
    </w:p>
    <w:p w14:paraId="7450A025" w14:textId="77777777" w:rsidR="00352C47" w:rsidRPr="000A1D37" w:rsidRDefault="00352C47" w:rsidP="00962C1B">
      <w:pPr>
        <w:widowControl w:val="0"/>
        <w:numPr>
          <w:ilvl w:val="0"/>
          <w:numId w:val="14"/>
        </w:numPr>
        <w:autoSpaceDE w:val="0"/>
        <w:autoSpaceDN w:val="0"/>
        <w:adjustRightInd w:val="0"/>
        <w:spacing w:line="288" w:lineRule="auto"/>
        <w:rPr>
          <w:rFonts w:cs="Arial"/>
          <w:lang w:val="en-US"/>
        </w:rPr>
      </w:pPr>
      <w:r w:rsidRPr="000A1D37">
        <w:rPr>
          <w:rFonts w:cs="Verdana"/>
          <w:color w:val="000000"/>
          <w:lang w:val="en-US"/>
        </w:rPr>
        <w:t>UN Convention against Torture (UN CAT);</w:t>
      </w:r>
      <w:r w:rsidRPr="000A1D37">
        <w:rPr>
          <w:rFonts w:cs="Verdana"/>
          <w:color w:val="000000"/>
          <w:vertAlign w:val="superscript"/>
          <w:lang w:val="en-US"/>
        </w:rPr>
        <w:footnoteReference w:id="7"/>
      </w:r>
    </w:p>
    <w:p w14:paraId="541C941E" w14:textId="7C73BD10" w:rsidR="00352C47" w:rsidRPr="00032D1B" w:rsidRDefault="00352C47" w:rsidP="00962C1B">
      <w:pPr>
        <w:widowControl w:val="0"/>
        <w:numPr>
          <w:ilvl w:val="0"/>
          <w:numId w:val="14"/>
        </w:numPr>
        <w:autoSpaceDE w:val="0"/>
        <w:autoSpaceDN w:val="0"/>
        <w:adjustRightInd w:val="0"/>
        <w:spacing w:line="288" w:lineRule="auto"/>
        <w:rPr>
          <w:rFonts w:cs="Arial"/>
          <w:lang w:val="en-US"/>
        </w:rPr>
      </w:pPr>
      <w:r w:rsidRPr="000A1D37">
        <w:rPr>
          <w:rFonts w:cs="Verdana"/>
          <w:color w:val="000000"/>
          <w:lang w:val="en-US"/>
        </w:rPr>
        <w:t>UN Convention on the Rights of the Child (UN CRC);</w:t>
      </w:r>
      <w:r w:rsidRPr="000A1D37">
        <w:rPr>
          <w:rFonts w:cs="Verdana"/>
          <w:color w:val="000000"/>
          <w:vertAlign w:val="superscript"/>
          <w:lang w:val="en-US"/>
        </w:rPr>
        <w:footnoteReference w:id="8"/>
      </w:r>
      <w:r w:rsidR="00B21614">
        <w:rPr>
          <w:rFonts w:cs="Verdana"/>
          <w:color w:val="000000"/>
          <w:lang w:val="en-US"/>
        </w:rPr>
        <w:t xml:space="preserve"> and</w:t>
      </w:r>
    </w:p>
    <w:p w14:paraId="51D6CDAC" w14:textId="77777777" w:rsidR="00352C47" w:rsidRPr="005D73FD" w:rsidRDefault="00352C47" w:rsidP="00962C1B">
      <w:pPr>
        <w:numPr>
          <w:ilvl w:val="0"/>
          <w:numId w:val="14"/>
        </w:numPr>
        <w:autoSpaceDE w:val="0"/>
        <w:autoSpaceDN w:val="0"/>
        <w:adjustRightInd w:val="0"/>
        <w:spacing w:line="288" w:lineRule="auto"/>
        <w:contextualSpacing/>
        <w:rPr>
          <w:rFonts w:cs="ZurichBT-LightCondensed"/>
        </w:rPr>
      </w:pPr>
      <w:r>
        <w:rPr>
          <w:rFonts w:cs="ZurichBT-LightCondensed"/>
        </w:rPr>
        <w:t xml:space="preserve">CoE </w:t>
      </w:r>
      <w:r w:rsidRPr="00034569">
        <w:rPr>
          <w:rFonts w:cs="ZurichBT-LightCondensed"/>
        </w:rPr>
        <w:t xml:space="preserve">Convention on Action against Trafficking in Human </w:t>
      </w:r>
      <w:r>
        <w:rPr>
          <w:rFonts w:cs="ZurichBT-LightCondensed"/>
        </w:rPr>
        <w:t>Beings</w:t>
      </w:r>
      <w:r w:rsidRPr="00034569">
        <w:rPr>
          <w:rFonts w:cs="ZurichBT-LightCondensed"/>
        </w:rPr>
        <w:t>;</w:t>
      </w:r>
      <w:r w:rsidRPr="00034569">
        <w:rPr>
          <w:rStyle w:val="FootnoteReference"/>
          <w:rFonts w:cs="ZurichBT-LightCondensed"/>
        </w:rPr>
        <w:footnoteReference w:id="9"/>
      </w:r>
    </w:p>
    <w:p w14:paraId="45BDB0B3" w14:textId="77777777" w:rsidR="00547E58" w:rsidRPr="00084B1A" w:rsidRDefault="00547E58" w:rsidP="00962C1B">
      <w:pPr>
        <w:spacing w:line="288" w:lineRule="auto"/>
      </w:pPr>
    </w:p>
    <w:p w14:paraId="786B095F" w14:textId="33EB4B9C" w:rsidR="00352C47" w:rsidRPr="00350B4D" w:rsidRDefault="00352C47" w:rsidP="00962C1B">
      <w:pPr>
        <w:pStyle w:val="BasicParagraph"/>
        <w:numPr>
          <w:ilvl w:val="1"/>
          <w:numId w:val="13"/>
        </w:numPr>
        <w:suppressAutoHyphens/>
        <w:spacing w:after="240"/>
        <w:ind w:left="709"/>
        <w:rPr>
          <w:rFonts w:ascii="Verdana" w:hAnsi="Verdana" w:cs="Arial"/>
          <w:bCs/>
          <w:color w:val="auto"/>
        </w:rPr>
      </w:pPr>
      <w:r w:rsidRPr="00A11AF3">
        <w:rPr>
          <w:rFonts w:ascii="Verdana" w:hAnsi="Verdana"/>
        </w:rPr>
        <w:t xml:space="preserve">In addition to these treaty standards, </w:t>
      </w:r>
      <w:r w:rsidR="00935383">
        <w:rPr>
          <w:rFonts w:ascii="Verdana" w:hAnsi="Verdana"/>
        </w:rPr>
        <w:t>the following</w:t>
      </w:r>
      <w:r w:rsidRPr="00A11AF3">
        <w:rPr>
          <w:rFonts w:ascii="Verdana" w:hAnsi="Verdana"/>
        </w:rPr>
        <w:t xml:space="preserve"> declarations and </w:t>
      </w:r>
      <w:r w:rsidRPr="00A11AF3">
        <w:rPr>
          <w:rFonts w:ascii="Verdana" w:hAnsi="Verdana"/>
        </w:rPr>
        <w:lastRenderedPageBreak/>
        <w:t>principles provide further guidance in respect of specific areas:</w:t>
      </w:r>
    </w:p>
    <w:p w14:paraId="3D53865C" w14:textId="77777777" w:rsidR="00352C47" w:rsidRPr="005E050C" w:rsidRDefault="00352C47" w:rsidP="00962C1B">
      <w:pPr>
        <w:pStyle w:val="BasicParagraph"/>
        <w:numPr>
          <w:ilvl w:val="0"/>
          <w:numId w:val="15"/>
        </w:numPr>
        <w:suppressAutoHyphens/>
        <w:rPr>
          <w:rFonts w:ascii="Verdana" w:hAnsi="Verdana" w:cs="Arial"/>
          <w:b/>
          <w:color w:val="auto"/>
        </w:rPr>
      </w:pPr>
      <w:r w:rsidRPr="00417D15">
        <w:rPr>
          <w:rFonts w:ascii="Verdana" w:hAnsi="Verdana"/>
          <w:color w:val="auto"/>
        </w:rPr>
        <w:t>O</w:t>
      </w:r>
      <w:r>
        <w:rPr>
          <w:rFonts w:ascii="Verdana" w:hAnsi="Verdana"/>
          <w:color w:val="auto"/>
        </w:rPr>
        <w:t xml:space="preserve">ffice of UN </w:t>
      </w:r>
      <w:r w:rsidRPr="00417D15">
        <w:rPr>
          <w:rFonts w:ascii="Verdana" w:hAnsi="Verdana"/>
          <w:color w:val="auto"/>
        </w:rPr>
        <w:t>H</w:t>
      </w:r>
      <w:r>
        <w:rPr>
          <w:rFonts w:ascii="Verdana" w:hAnsi="Verdana"/>
          <w:color w:val="auto"/>
        </w:rPr>
        <w:t xml:space="preserve">igh </w:t>
      </w:r>
      <w:r w:rsidRPr="00417D15">
        <w:rPr>
          <w:rFonts w:ascii="Verdana" w:hAnsi="Verdana"/>
          <w:color w:val="auto"/>
        </w:rPr>
        <w:t>C</w:t>
      </w:r>
      <w:r>
        <w:rPr>
          <w:rFonts w:ascii="Verdana" w:hAnsi="Verdana"/>
          <w:color w:val="auto"/>
        </w:rPr>
        <w:t xml:space="preserve">ommissioner for </w:t>
      </w:r>
      <w:r w:rsidRPr="00417D15">
        <w:rPr>
          <w:rFonts w:ascii="Verdana" w:hAnsi="Verdana"/>
          <w:color w:val="auto"/>
        </w:rPr>
        <w:t>H</w:t>
      </w:r>
      <w:r>
        <w:rPr>
          <w:rFonts w:ascii="Verdana" w:hAnsi="Verdana"/>
          <w:color w:val="auto"/>
        </w:rPr>
        <w:t xml:space="preserve">uman </w:t>
      </w:r>
      <w:r w:rsidRPr="00417D15">
        <w:rPr>
          <w:rFonts w:ascii="Verdana" w:hAnsi="Verdana"/>
          <w:color w:val="auto"/>
        </w:rPr>
        <w:t>R</w:t>
      </w:r>
      <w:r>
        <w:rPr>
          <w:rFonts w:ascii="Verdana" w:hAnsi="Verdana"/>
          <w:color w:val="auto"/>
        </w:rPr>
        <w:t>ights</w:t>
      </w:r>
      <w:r w:rsidRPr="00417D15">
        <w:rPr>
          <w:rFonts w:ascii="Verdana" w:hAnsi="Verdana"/>
          <w:color w:val="auto"/>
        </w:rPr>
        <w:t xml:space="preserve"> Recommended Principles and Guidelines on Human Rights and Human Trafficking</w:t>
      </w:r>
      <w:r>
        <w:rPr>
          <w:rFonts w:ascii="Verdana" w:hAnsi="Verdana"/>
          <w:color w:val="auto"/>
        </w:rPr>
        <w:t>;</w:t>
      </w:r>
      <w:r>
        <w:rPr>
          <w:rStyle w:val="FootnoteReference"/>
          <w:color w:val="auto"/>
        </w:rPr>
        <w:footnoteReference w:id="10"/>
      </w:r>
    </w:p>
    <w:p w14:paraId="48565335" w14:textId="24A0A4DC" w:rsidR="00352C47" w:rsidRPr="009771A2" w:rsidRDefault="00352C47" w:rsidP="00962C1B">
      <w:pPr>
        <w:pStyle w:val="BasicParagraph"/>
        <w:numPr>
          <w:ilvl w:val="0"/>
          <w:numId w:val="15"/>
        </w:numPr>
        <w:suppressAutoHyphens/>
        <w:rPr>
          <w:rFonts w:ascii="Verdana" w:hAnsi="Verdana" w:cs="Arial"/>
          <w:b/>
          <w:color w:val="auto"/>
        </w:rPr>
      </w:pPr>
      <w:r>
        <w:rPr>
          <w:rFonts w:ascii="Verdana" w:hAnsi="Verdana"/>
          <w:color w:val="auto"/>
        </w:rPr>
        <w:t>UN CEDAW Committee’s Concluding Observations 2019;</w:t>
      </w:r>
      <w:r>
        <w:rPr>
          <w:rStyle w:val="FootnoteReference"/>
          <w:color w:val="auto"/>
        </w:rPr>
        <w:footnoteReference w:id="11"/>
      </w:r>
      <w:r w:rsidR="00B21614">
        <w:rPr>
          <w:rFonts w:ascii="Verdana" w:hAnsi="Verdana"/>
          <w:color w:val="auto"/>
        </w:rPr>
        <w:t xml:space="preserve"> and</w:t>
      </w:r>
    </w:p>
    <w:p w14:paraId="5EE30979" w14:textId="615B31C0" w:rsidR="00352C47" w:rsidRPr="00014A05" w:rsidRDefault="00352C47" w:rsidP="00DE2F81">
      <w:pPr>
        <w:pStyle w:val="BasicParagraph"/>
        <w:numPr>
          <w:ilvl w:val="0"/>
          <w:numId w:val="15"/>
        </w:numPr>
        <w:suppressAutoHyphens/>
        <w:rPr>
          <w:rFonts w:ascii="Verdana" w:hAnsi="Verdana" w:cs="Arial"/>
          <w:b/>
          <w:color w:val="auto"/>
        </w:rPr>
      </w:pPr>
      <w:r>
        <w:rPr>
          <w:rFonts w:ascii="Verdana" w:hAnsi="Verdana"/>
          <w:color w:val="auto"/>
        </w:rPr>
        <w:t>UN CAT Committee’s Concluding Observations 2019.</w:t>
      </w:r>
      <w:r>
        <w:rPr>
          <w:rStyle w:val="FootnoteReference"/>
          <w:color w:val="auto"/>
        </w:rPr>
        <w:footnoteReference w:id="12"/>
      </w:r>
    </w:p>
    <w:p w14:paraId="02906EFE" w14:textId="26F96345" w:rsidR="00F93D82" w:rsidRDefault="00F93D82" w:rsidP="00F93D82">
      <w:pPr>
        <w:pStyle w:val="BasicParagraph"/>
        <w:suppressAutoHyphens/>
        <w:rPr>
          <w:rFonts w:ascii="Verdana" w:hAnsi="Verdana"/>
          <w:color w:val="auto"/>
        </w:rPr>
      </w:pPr>
    </w:p>
    <w:p w14:paraId="486219BE" w14:textId="0FDF8AD3" w:rsidR="00F93D82" w:rsidRDefault="00F93D82" w:rsidP="00645DC7">
      <w:pPr>
        <w:pStyle w:val="BasicParagraph"/>
        <w:suppressAutoHyphens/>
        <w:spacing w:after="240"/>
        <w:ind w:left="720" w:hanging="720"/>
        <w:rPr>
          <w:rFonts w:ascii="Verdana" w:hAnsi="Verdana"/>
          <w:color w:val="auto"/>
        </w:rPr>
      </w:pPr>
      <w:r>
        <w:rPr>
          <w:rFonts w:ascii="Verdana" w:hAnsi="Verdana"/>
          <w:color w:val="auto"/>
        </w:rPr>
        <w:t>1.4</w:t>
      </w:r>
      <w:r>
        <w:rPr>
          <w:rFonts w:ascii="Verdana" w:hAnsi="Verdana"/>
          <w:color w:val="auto"/>
        </w:rPr>
        <w:tab/>
      </w:r>
      <w:r w:rsidRPr="00F93D82">
        <w:rPr>
          <w:rFonts w:ascii="Verdana" w:hAnsi="Verdana"/>
          <w:color w:val="auto"/>
        </w:rPr>
        <w:t>The NIHRC further advises on the UK Government’s commitment (in Protocol Article 2)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NI Act 1998 prohibits the NI Assembly from making any law which is incompatible with Protocol Article 2. Section 24 of the 1998 Act also requires all acts of NI Ministers and NI Departments to be compatible with Protocol Article 2.  The relevant EU measures in this context include:</w:t>
      </w:r>
    </w:p>
    <w:p w14:paraId="60EECA8B" w14:textId="77777777" w:rsidR="00DE6EF9" w:rsidRDefault="00DE6EF9" w:rsidP="00DE6EF9">
      <w:pPr>
        <w:pStyle w:val="ListParagraph"/>
        <w:numPr>
          <w:ilvl w:val="0"/>
          <w:numId w:val="14"/>
        </w:numPr>
        <w:autoSpaceDE w:val="0"/>
        <w:autoSpaceDN w:val="0"/>
        <w:adjustRightInd w:val="0"/>
        <w:spacing w:line="288" w:lineRule="auto"/>
        <w:rPr>
          <w:rFonts w:cs="ZurichBT-LightCondensed"/>
        </w:rPr>
      </w:pPr>
      <w:r w:rsidRPr="00034569">
        <w:rPr>
          <w:rFonts w:cs="ZurichBT-LightCondensed"/>
        </w:rPr>
        <w:t xml:space="preserve">EU Directive on </w:t>
      </w:r>
      <w:r>
        <w:rPr>
          <w:rFonts w:cs="ZurichBT-LightCondensed"/>
        </w:rPr>
        <w:t>E</w:t>
      </w:r>
      <w:r w:rsidRPr="00034569">
        <w:rPr>
          <w:rFonts w:cs="ZurichBT-LightCondensed"/>
        </w:rPr>
        <w:t>stablishing Minimum Standards on the Rights, Support and Protection of Victims of Crime</w:t>
      </w:r>
      <w:r>
        <w:rPr>
          <w:rFonts w:cs="ZurichBT-LightCondensed"/>
        </w:rPr>
        <w:t>;</w:t>
      </w:r>
      <w:r w:rsidRPr="00034569">
        <w:rPr>
          <w:rStyle w:val="FootnoteReference"/>
          <w:rFonts w:cs="ZurichBT-LightCondensed"/>
        </w:rPr>
        <w:footnoteReference w:id="13"/>
      </w:r>
    </w:p>
    <w:p w14:paraId="43DD30A1" w14:textId="660E4EC9" w:rsidR="00DE6EF9" w:rsidRPr="00E70664" w:rsidRDefault="00DE6EF9" w:rsidP="00DE6EF9">
      <w:pPr>
        <w:pStyle w:val="ListParagraph"/>
        <w:numPr>
          <w:ilvl w:val="0"/>
          <w:numId w:val="14"/>
        </w:numPr>
        <w:autoSpaceDE w:val="0"/>
        <w:autoSpaceDN w:val="0"/>
        <w:adjustRightInd w:val="0"/>
        <w:spacing w:line="288" w:lineRule="auto"/>
        <w:rPr>
          <w:rFonts w:cs="ZurichBT-LightCondensed"/>
        </w:rPr>
      </w:pPr>
      <w:r>
        <w:t xml:space="preserve">EU </w:t>
      </w:r>
      <w:r w:rsidRPr="00821B4E">
        <w:t xml:space="preserve">Directive on </w:t>
      </w:r>
      <w:r>
        <w:t>P</w:t>
      </w:r>
      <w:r w:rsidRPr="00821B4E">
        <w:t xml:space="preserve">reventing and </w:t>
      </w:r>
      <w:r>
        <w:t>C</w:t>
      </w:r>
      <w:r w:rsidRPr="00821B4E">
        <w:t xml:space="preserve">ombatting </w:t>
      </w:r>
      <w:r>
        <w:t>T</w:t>
      </w:r>
      <w:r w:rsidRPr="00821B4E">
        <w:t xml:space="preserve">rafficking in </w:t>
      </w:r>
      <w:r>
        <w:t>H</w:t>
      </w:r>
      <w:r w:rsidRPr="00821B4E">
        <w:t xml:space="preserve">uman </w:t>
      </w:r>
      <w:r>
        <w:t>B</w:t>
      </w:r>
      <w:r w:rsidRPr="00821B4E">
        <w:t xml:space="preserve">eings and </w:t>
      </w:r>
      <w:r>
        <w:t>P</w:t>
      </w:r>
      <w:r w:rsidRPr="00821B4E">
        <w:t xml:space="preserve">rotecting its </w:t>
      </w:r>
      <w:r>
        <w:t>V</w:t>
      </w:r>
      <w:r w:rsidRPr="00821B4E">
        <w:t>ictims</w:t>
      </w:r>
      <w:r>
        <w:t>;</w:t>
      </w:r>
      <w:r>
        <w:rPr>
          <w:rStyle w:val="FootnoteReference"/>
        </w:rPr>
        <w:footnoteReference w:id="14"/>
      </w:r>
      <w:r w:rsidR="00B21614">
        <w:t xml:space="preserve"> and</w:t>
      </w:r>
    </w:p>
    <w:p w14:paraId="179F6D2D" w14:textId="77777777" w:rsidR="00DE6EF9" w:rsidRPr="00E70664" w:rsidRDefault="00DE6EF9" w:rsidP="00DE6EF9">
      <w:pPr>
        <w:pStyle w:val="ListParagraph"/>
        <w:numPr>
          <w:ilvl w:val="0"/>
          <w:numId w:val="14"/>
        </w:numPr>
        <w:autoSpaceDE w:val="0"/>
        <w:autoSpaceDN w:val="0"/>
        <w:adjustRightInd w:val="0"/>
        <w:spacing w:line="288" w:lineRule="auto"/>
        <w:rPr>
          <w:rFonts w:cs="ZurichBT-LightCondensed"/>
        </w:rPr>
      </w:pPr>
      <w:r w:rsidRPr="00034569">
        <w:t xml:space="preserve">EU Directive on </w:t>
      </w:r>
      <w:r>
        <w:t>C</w:t>
      </w:r>
      <w:r w:rsidRPr="00034569">
        <w:t>ombating the Sexual Abuse and Sexual Exploitation of Children and Child Pornography</w:t>
      </w:r>
      <w:r>
        <w:t>.</w:t>
      </w:r>
      <w:r w:rsidRPr="00034569">
        <w:rPr>
          <w:rStyle w:val="FootnoteReference"/>
        </w:rPr>
        <w:footnoteReference w:id="15"/>
      </w:r>
    </w:p>
    <w:p w14:paraId="5191927C" w14:textId="77777777" w:rsidR="00DE6EF9" w:rsidRDefault="00DE6EF9" w:rsidP="00DE6EF9">
      <w:pPr>
        <w:pStyle w:val="BasicParagraph"/>
        <w:suppressAutoHyphens/>
        <w:ind w:left="720" w:hanging="720"/>
        <w:rPr>
          <w:rFonts w:ascii="Verdana" w:hAnsi="Verdana" w:cs="Arial"/>
          <w:b/>
          <w:color w:val="auto"/>
        </w:rPr>
      </w:pPr>
    </w:p>
    <w:p w14:paraId="7FEC5566" w14:textId="77777777" w:rsidR="00683FC1" w:rsidRDefault="00683FC1" w:rsidP="00DE6EF9">
      <w:pPr>
        <w:pStyle w:val="BasicParagraph"/>
        <w:suppressAutoHyphens/>
        <w:ind w:left="720" w:hanging="720"/>
        <w:rPr>
          <w:rFonts w:ascii="Verdana" w:hAnsi="Verdana" w:cs="Arial"/>
          <w:b/>
          <w:color w:val="auto"/>
        </w:rPr>
      </w:pPr>
    </w:p>
    <w:p w14:paraId="7C6F0423" w14:textId="77777777" w:rsidR="00683FC1" w:rsidRPr="00DE2F81" w:rsidRDefault="00683FC1" w:rsidP="00DE6EF9">
      <w:pPr>
        <w:pStyle w:val="BasicParagraph"/>
        <w:suppressAutoHyphens/>
        <w:ind w:left="720" w:hanging="720"/>
        <w:rPr>
          <w:rFonts w:ascii="Verdana" w:hAnsi="Verdana" w:cs="Arial"/>
          <w:b/>
          <w:color w:val="auto"/>
        </w:rPr>
      </w:pPr>
    </w:p>
    <w:p w14:paraId="741A59F5" w14:textId="7611D599" w:rsidR="00352C47" w:rsidRPr="00352C47" w:rsidRDefault="00DE2F81" w:rsidP="00962C1B">
      <w:pPr>
        <w:pStyle w:val="Heading1"/>
        <w:spacing w:line="288" w:lineRule="auto"/>
        <w:ind w:hanging="720"/>
        <w:rPr>
          <w:lang w:val="en" w:eastAsia="en-GB"/>
        </w:rPr>
      </w:pPr>
      <w:bookmarkStart w:id="3" w:name="_Toc125375768"/>
      <w:r>
        <w:rPr>
          <w:lang w:val="en" w:eastAsia="en-GB"/>
        </w:rPr>
        <w:lastRenderedPageBreak/>
        <w:t>General Comments</w:t>
      </w:r>
      <w:bookmarkEnd w:id="3"/>
      <w:r>
        <w:rPr>
          <w:lang w:val="en" w:eastAsia="en-GB"/>
        </w:rPr>
        <w:t xml:space="preserve"> </w:t>
      </w:r>
    </w:p>
    <w:p w14:paraId="5B0A678C" w14:textId="77777777" w:rsidR="001E3B8F" w:rsidRDefault="001E3B8F" w:rsidP="001E3B8F">
      <w:pPr>
        <w:spacing w:line="288" w:lineRule="auto"/>
      </w:pPr>
    </w:p>
    <w:p w14:paraId="65F09349" w14:textId="149134AB" w:rsidR="00DE2F81" w:rsidRPr="001E3B8F" w:rsidRDefault="00DE2F81" w:rsidP="001E3B8F">
      <w:pPr>
        <w:pStyle w:val="ListParagraph"/>
        <w:numPr>
          <w:ilvl w:val="1"/>
          <w:numId w:val="19"/>
        </w:numPr>
        <w:spacing w:line="288" w:lineRule="auto"/>
        <w:rPr>
          <w:rFonts w:cs="Segoe UI"/>
          <w:lang w:val="en" w:eastAsia="en-GB"/>
        </w:rPr>
      </w:pPr>
      <w:r>
        <w:t>T</w:t>
      </w:r>
      <w:r w:rsidRPr="00826CEB">
        <w:t xml:space="preserve">he </w:t>
      </w:r>
      <w:r>
        <w:t xml:space="preserve">NIHRC </w:t>
      </w:r>
      <w:r w:rsidRPr="00826CEB">
        <w:t xml:space="preserve">welcomes the </w:t>
      </w:r>
      <w:r>
        <w:t xml:space="preserve">new </w:t>
      </w:r>
      <w:r w:rsidRPr="00826CEB">
        <w:t>draft</w:t>
      </w:r>
      <w:r>
        <w:t xml:space="preserve"> modern slavery and human trafficking</w:t>
      </w:r>
      <w:r w:rsidRPr="00826CEB">
        <w:t xml:space="preserve"> strategy and</w:t>
      </w:r>
      <w:r>
        <w:t xml:space="preserve"> </w:t>
      </w:r>
      <w:r w:rsidRPr="00826CEB">
        <w:t>considers</w:t>
      </w:r>
      <w:r>
        <w:t xml:space="preserve"> that</w:t>
      </w:r>
      <w:r w:rsidRPr="00826CEB">
        <w:t xml:space="preserve"> the new three-year framework, in combination with </w:t>
      </w:r>
      <w:r>
        <w:t xml:space="preserve">the </w:t>
      </w:r>
      <w:r w:rsidRPr="00826CEB">
        <w:t>annual progress reports, better equip</w:t>
      </w:r>
      <w:r>
        <w:t>s</w:t>
      </w:r>
      <w:r w:rsidRPr="00826CEB">
        <w:t xml:space="preserve"> the Department </w:t>
      </w:r>
      <w:r>
        <w:t xml:space="preserve">of Justice </w:t>
      </w:r>
      <w:r w:rsidRPr="00826CEB">
        <w:t>to respond to the nature and scale of modern slavery and human trafficking in NI.</w:t>
      </w:r>
      <w:r>
        <w:t xml:space="preserve"> The NIHRC </w:t>
      </w:r>
      <w:r w:rsidR="42A21968">
        <w:t>welcomes the commitment to</w:t>
      </w:r>
      <w:r w:rsidR="4EEB9FAB">
        <w:t xml:space="preserve"> progres</w:t>
      </w:r>
      <w:r w:rsidR="65896645">
        <w:t>s</w:t>
      </w:r>
      <w:r>
        <w:t xml:space="preserve"> recommendations from the Independent Anti-Slavery Commissioner, the Criminal Justice Inspection NI and the Group of Experts on Action against Trafficking in Human Beings.</w:t>
      </w:r>
    </w:p>
    <w:p w14:paraId="594F3AB9" w14:textId="77777777" w:rsidR="00DE2F81" w:rsidRPr="00352C47" w:rsidRDefault="00DE2F81" w:rsidP="00DE2F81">
      <w:pPr>
        <w:pStyle w:val="ListParagraph"/>
        <w:spacing w:line="288" w:lineRule="auto"/>
        <w:ind w:left="709"/>
        <w:rPr>
          <w:rFonts w:cs="Segoe UI"/>
          <w:lang w:val="en" w:eastAsia="en-GB"/>
        </w:rPr>
      </w:pPr>
    </w:p>
    <w:p w14:paraId="3AD4B8E5" w14:textId="6018F600" w:rsidR="00DE2F81" w:rsidRPr="00DE2F81" w:rsidRDefault="00DE2F81" w:rsidP="001E3B8F">
      <w:pPr>
        <w:pStyle w:val="ListParagraph"/>
        <w:numPr>
          <w:ilvl w:val="1"/>
          <w:numId w:val="19"/>
        </w:numPr>
        <w:spacing w:line="288" w:lineRule="auto"/>
        <w:ind w:left="709"/>
        <w:rPr>
          <w:rFonts w:cs="Segoe UI"/>
          <w:lang w:val="en" w:eastAsia="en-GB"/>
        </w:rPr>
      </w:pPr>
      <w:r>
        <w:t>The NIHRC welcomes the reference to the</w:t>
      </w:r>
      <w:r w:rsidRPr="0014714C">
        <w:t xml:space="preserve"> </w:t>
      </w:r>
      <w:r>
        <w:t>right to freedom from slavery, human trafficking and other forms of forced labour and exploitation (Article 4, ECHR; Article 4, UDHR</w:t>
      </w:r>
      <w:r w:rsidR="00166A7F">
        <w:t>; Article 8, ICCPR</w:t>
      </w:r>
      <w:r>
        <w:t>), however it reiterates the importance of framing the strategy within the full range of the UK’s international commitments relating to this issue and the relevant EU Directives falling within scope of Protocol Article 2 as set out at paragraph 1.</w:t>
      </w:r>
      <w:r w:rsidR="00F646CE">
        <w:t>4</w:t>
      </w:r>
      <w:r>
        <w:t>.</w:t>
      </w:r>
    </w:p>
    <w:p w14:paraId="49D706C1" w14:textId="77777777" w:rsidR="00DE2F81" w:rsidRPr="00DE2F81" w:rsidRDefault="00DE2F81" w:rsidP="00DE2F81">
      <w:pPr>
        <w:spacing w:line="288" w:lineRule="auto"/>
        <w:rPr>
          <w:rFonts w:cs="Segoe UI"/>
          <w:lang w:val="en" w:eastAsia="en-GB"/>
        </w:rPr>
      </w:pPr>
    </w:p>
    <w:p w14:paraId="1C9ADB34" w14:textId="66D1C68F" w:rsidR="00DE2F81" w:rsidRPr="00352C47" w:rsidRDefault="00DE2F81" w:rsidP="001E3B8F">
      <w:pPr>
        <w:pStyle w:val="ListParagraph"/>
        <w:numPr>
          <w:ilvl w:val="1"/>
          <w:numId w:val="19"/>
        </w:numPr>
        <w:spacing w:line="288" w:lineRule="auto"/>
        <w:ind w:left="709"/>
        <w:rPr>
          <w:rFonts w:cs="Segoe UI"/>
          <w:lang w:val="en" w:eastAsia="en-GB"/>
        </w:rPr>
      </w:pPr>
      <w:r>
        <w:t>To avoid duplication, t</w:t>
      </w:r>
      <w:r w:rsidRPr="0025300B">
        <w:t xml:space="preserve">he </w:t>
      </w:r>
      <w:r>
        <w:t xml:space="preserve">NIHRC </w:t>
      </w:r>
      <w:r w:rsidRPr="0025300B">
        <w:t>encourage</w:t>
      </w:r>
      <w:r>
        <w:t>s the Department of Justice to review its previous submission,</w:t>
      </w:r>
      <w:r>
        <w:rPr>
          <w:rStyle w:val="FootnoteReference"/>
        </w:rPr>
        <w:footnoteReference w:id="16"/>
      </w:r>
      <w:r>
        <w:t xml:space="preserve"> which sets out in detail the importance of ensuring that Protocol Article 2 is built into and considered actively during the development and implementation of all legislation </w:t>
      </w:r>
      <w:r w:rsidR="00166A7F">
        <w:t>and</w:t>
      </w:r>
      <w:r>
        <w:t xml:space="preserve"> policy on modern slavery and human trafficking.</w:t>
      </w:r>
      <w:r>
        <w:rPr>
          <w:rStyle w:val="FootnoteReference"/>
        </w:rPr>
        <w:footnoteReference w:id="17"/>
      </w:r>
      <w:r>
        <w:t xml:space="preserve"> </w:t>
      </w:r>
      <w:r w:rsidRPr="0083440B">
        <w:t xml:space="preserve">It is disappointing this has not been explicitly considered in the context of the current consultation despite the </w:t>
      </w:r>
      <w:r>
        <w:t>NIHRC</w:t>
      </w:r>
      <w:r w:rsidRPr="0083440B">
        <w:t>’s previous advice, particularly as the draft strategy sets the Department’s strategic approach for the next three years.</w:t>
      </w:r>
    </w:p>
    <w:p w14:paraId="43B084A7" w14:textId="77777777" w:rsidR="00166A7F" w:rsidRPr="00166A7F" w:rsidRDefault="00166A7F" w:rsidP="00166A7F">
      <w:pPr>
        <w:pStyle w:val="ListParagraph"/>
        <w:rPr>
          <w:rFonts w:cs="Segoe UI"/>
          <w:b/>
          <w:lang w:val="en" w:eastAsia="en-GB"/>
        </w:rPr>
      </w:pPr>
    </w:p>
    <w:p w14:paraId="3AF7AA2A" w14:textId="6D007299" w:rsidR="00AD690F" w:rsidRPr="004D449A" w:rsidRDefault="00166A7F" w:rsidP="00AD690F">
      <w:pPr>
        <w:pStyle w:val="ListParagraph"/>
        <w:numPr>
          <w:ilvl w:val="1"/>
          <w:numId w:val="19"/>
        </w:numPr>
        <w:spacing w:line="288" w:lineRule="auto"/>
        <w:ind w:left="709"/>
        <w:rPr>
          <w:rFonts w:cs="Segoe UI"/>
          <w:b/>
          <w:lang w:val="en" w:eastAsia="en-GB"/>
        </w:rPr>
      </w:pPr>
      <w:bookmarkStart w:id="4" w:name="_Hlk125375490"/>
      <w:r>
        <w:rPr>
          <w:rFonts w:cs="Segoe UI"/>
          <w:b/>
          <w:lang w:val="en" w:eastAsia="en-GB"/>
        </w:rPr>
        <w:t xml:space="preserve">The </w:t>
      </w:r>
      <w:r w:rsidR="00DE2F81" w:rsidRPr="003F63A2">
        <w:rPr>
          <w:rFonts w:cs="Segoe UI"/>
          <w:b/>
          <w:lang w:val="en" w:eastAsia="en-GB"/>
        </w:rPr>
        <w:t>NIHRC</w:t>
      </w:r>
      <w:r>
        <w:rPr>
          <w:rFonts w:cs="Segoe UI"/>
          <w:b/>
          <w:lang w:val="en" w:eastAsia="en-GB"/>
        </w:rPr>
        <w:t xml:space="preserve"> </w:t>
      </w:r>
      <w:r w:rsidR="00DE2F81" w:rsidRPr="003F63A2">
        <w:rPr>
          <w:rFonts w:cs="Segoe UI"/>
          <w:b/>
          <w:lang w:val="en" w:eastAsia="en-GB"/>
        </w:rPr>
        <w:t>recommends that the Department of Justice ensure that Protocol Article 2 is built into and considered actively during the development and implementation of legislation and policy on modern slavery and human trafficking, to ensure there is no diminution to the rights and safeguards which fall within its scope.</w:t>
      </w:r>
    </w:p>
    <w:p w14:paraId="269BD2B5" w14:textId="3D911D8E" w:rsidR="00F81EDC" w:rsidRDefault="00F81EDC" w:rsidP="00962C1B">
      <w:pPr>
        <w:pStyle w:val="Heading1"/>
        <w:spacing w:line="288" w:lineRule="auto"/>
        <w:ind w:hanging="720"/>
      </w:pPr>
      <w:bookmarkStart w:id="5" w:name="_Toc125375769"/>
      <w:bookmarkEnd w:id="4"/>
      <w:r>
        <w:lastRenderedPageBreak/>
        <w:t xml:space="preserve">Strand 1 – </w:t>
      </w:r>
      <w:r w:rsidR="00DE2F81">
        <w:t>PURSUE</w:t>
      </w:r>
      <w:bookmarkEnd w:id="5"/>
    </w:p>
    <w:p w14:paraId="1515BC71" w14:textId="77777777" w:rsidR="00F81EDC" w:rsidRPr="00F81EDC" w:rsidRDefault="00F81EDC" w:rsidP="00962C1B">
      <w:pPr>
        <w:spacing w:line="288" w:lineRule="auto"/>
      </w:pPr>
    </w:p>
    <w:p w14:paraId="00950472" w14:textId="77777777" w:rsidR="00F81EDC" w:rsidRPr="00F81EDC" w:rsidRDefault="00F81EDC" w:rsidP="001E3B8F">
      <w:pPr>
        <w:pStyle w:val="ListParagraph"/>
        <w:numPr>
          <w:ilvl w:val="0"/>
          <w:numId w:val="19"/>
        </w:numPr>
        <w:spacing w:line="288" w:lineRule="auto"/>
        <w:rPr>
          <w:vanish/>
        </w:rPr>
      </w:pPr>
    </w:p>
    <w:p w14:paraId="5F6C5F94" w14:textId="5B9B99F7" w:rsidR="00F81EDC" w:rsidRDefault="006A4C98" w:rsidP="001E3B8F">
      <w:pPr>
        <w:pStyle w:val="ListParagraph"/>
        <w:numPr>
          <w:ilvl w:val="1"/>
          <w:numId w:val="19"/>
        </w:numPr>
        <w:suppressAutoHyphens/>
        <w:spacing w:line="288" w:lineRule="auto"/>
        <w:ind w:left="709"/>
      </w:pPr>
      <w:r w:rsidRPr="00F81EDC">
        <w:t>T</w:t>
      </w:r>
      <w:r w:rsidR="00647DC4" w:rsidRPr="00F81EDC">
        <w:t>he provision of adequate investigative powers and techniques to law enforcement for the effective investigation and prosecution of suspected traffickers</w:t>
      </w:r>
      <w:r w:rsidR="000D71C1" w:rsidRPr="00F81EDC">
        <w:t xml:space="preserve"> is </w:t>
      </w:r>
      <w:r w:rsidR="00426AC9" w:rsidRPr="00F81EDC">
        <w:t xml:space="preserve">essential for meeting </w:t>
      </w:r>
      <w:r w:rsidR="007E6896" w:rsidRPr="00F81EDC">
        <w:t>obligations under</w:t>
      </w:r>
      <w:r w:rsidR="00E45813" w:rsidRPr="00F81EDC">
        <w:t xml:space="preserve"> the </w:t>
      </w:r>
      <w:r w:rsidR="00F1215A" w:rsidRPr="00F81EDC">
        <w:rPr>
          <w:rFonts w:cs="Arial"/>
          <w:bCs/>
        </w:rPr>
        <w:t>UN Palermo Protocol</w:t>
      </w:r>
      <w:r w:rsidR="00E45813" w:rsidRPr="00F81EDC">
        <w:t xml:space="preserve"> and the </w:t>
      </w:r>
      <w:r w:rsidR="00E45813" w:rsidRPr="00F81EDC">
        <w:rPr>
          <w:rFonts w:cs="ZurichBT-LightCondensed"/>
        </w:rPr>
        <w:t>CoE Convention on Action against Trafficking in Human Beings</w:t>
      </w:r>
      <w:r w:rsidR="003C7205" w:rsidRPr="00F81EDC">
        <w:rPr>
          <w:rFonts w:cs="ZurichBT-LightCondensed"/>
        </w:rPr>
        <w:t xml:space="preserve">. </w:t>
      </w:r>
      <w:r w:rsidR="00D32E28" w:rsidRPr="00F81EDC">
        <w:t>T</w:t>
      </w:r>
      <w:r w:rsidR="003C5F0C" w:rsidRPr="00F81EDC">
        <w:t xml:space="preserve">he European Court of Human Rights </w:t>
      </w:r>
      <w:r w:rsidR="00CE7DAB" w:rsidRPr="00F81EDC">
        <w:t xml:space="preserve">(ECtHR) </w:t>
      </w:r>
      <w:r w:rsidR="00045B41" w:rsidRPr="00F81EDC">
        <w:t xml:space="preserve">previously </w:t>
      </w:r>
      <w:r w:rsidR="00CE7DAB" w:rsidRPr="00F81EDC">
        <w:t>found that, i</w:t>
      </w:r>
      <w:r w:rsidR="001A66BC" w:rsidRPr="00F81EDC">
        <w:t>n addition to criminal law measures to deter and punish, there must be a spectrum of adequate safeguards in domestic legislation</w:t>
      </w:r>
      <w:r w:rsidR="00644527" w:rsidRPr="00F81EDC">
        <w:t xml:space="preserve"> that are both </w:t>
      </w:r>
      <w:r w:rsidR="001A66BC" w:rsidRPr="00F81EDC">
        <w:t>practical and effective.</w:t>
      </w:r>
      <w:r w:rsidR="001A66BC">
        <w:rPr>
          <w:rStyle w:val="FootnoteReference"/>
        </w:rPr>
        <w:footnoteReference w:id="18"/>
      </w:r>
      <w:r w:rsidR="001A66BC" w:rsidRPr="00F81EDC">
        <w:t xml:space="preserve">  </w:t>
      </w:r>
    </w:p>
    <w:p w14:paraId="7B6E7377" w14:textId="77777777" w:rsidR="00F81EDC" w:rsidRDefault="00F81EDC" w:rsidP="00962C1B">
      <w:pPr>
        <w:pStyle w:val="ListParagraph"/>
        <w:suppressAutoHyphens/>
        <w:spacing w:line="288" w:lineRule="auto"/>
        <w:ind w:left="709"/>
      </w:pPr>
    </w:p>
    <w:p w14:paraId="50ED7F17" w14:textId="16945B9A" w:rsidR="00F81EDC" w:rsidRDefault="00525772" w:rsidP="001E3B8F">
      <w:pPr>
        <w:pStyle w:val="ListParagraph"/>
        <w:numPr>
          <w:ilvl w:val="1"/>
          <w:numId w:val="19"/>
        </w:numPr>
        <w:suppressAutoHyphens/>
        <w:spacing w:line="288" w:lineRule="auto"/>
        <w:ind w:left="709"/>
      </w:pPr>
      <w:r w:rsidRPr="00F81EDC">
        <w:t>In 2019, the UN CAT Committee recommended that the UK Government and NI Executive enhance its efforts to investigate claims of human trafficking</w:t>
      </w:r>
      <w:r w:rsidR="32723F39" w:rsidRPr="00F81EDC">
        <w:t>,</w:t>
      </w:r>
      <w:r w:rsidRPr="00F81EDC">
        <w:t xml:space="preserve"> prosecute perpetrators and ensure that victims of trafficking obtain compensation</w:t>
      </w:r>
      <w:r w:rsidR="00466D4A" w:rsidRPr="00F81EDC">
        <w:t>.</w:t>
      </w:r>
      <w:r w:rsidR="00D20CDF" w:rsidRPr="00545389">
        <w:rPr>
          <w:rStyle w:val="FootnoteReference"/>
        </w:rPr>
        <w:footnoteReference w:id="19"/>
      </w:r>
      <w:r w:rsidR="00545389" w:rsidRPr="00F81EDC">
        <w:t xml:space="preserve"> </w:t>
      </w:r>
      <w:r w:rsidR="00964C4C" w:rsidRPr="00F81EDC">
        <w:t>In 2020, the Criminal Justice Inspection</w:t>
      </w:r>
      <w:r w:rsidR="002127D9" w:rsidRPr="00F81EDC">
        <w:t xml:space="preserve"> </w:t>
      </w:r>
      <w:r w:rsidR="00964C4C" w:rsidRPr="00F81EDC">
        <w:t xml:space="preserve">NI </w:t>
      </w:r>
      <w:r w:rsidR="00F96167" w:rsidRPr="00F81EDC">
        <w:t>highlight</w:t>
      </w:r>
      <w:r w:rsidR="007171B1" w:rsidRPr="00F81EDC">
        <w:t>ed</w:t>
      </w:r>
      <w:r w:rsidR="00964C4C" w:rsidRPr="00F81EDC">
        <w:t xml:space="preserve"> th</w:t>
      </w:r>
      <w:r w:rsidR="00014DA5" w:rsidRPr="00F81EDC">
        <w:t xml:space="preserve">e discrepancy in the range of enforcement powers available in NI compared to the rest of the UK, </w:t>
      </w:r>
      <w:r w:rsidR="001F575F" w:rsidRPr="00F81EDC">
        <w:t>such as Slavery and Trafficking Risk Orders and the Duty to Notify.</w:t>
      </w:r>
      <w:r w:rsidR="00964C4C" w:rsidRPr="00545389">
        <w:rPr>
          <w:rStyle w:val="FootnoteReference"/>
        </w:rPr>
        <w:footnoteReference w:id="20"/>
      </w:r>
      <w:r w:rsidR="00964C4C">
        <w:t xml:space="preserve"> </w:t>
      </w:r>
    </w:p>
    <w:p w14:paraId="42316873" w14:textId="77777777" w:rsidR="00F81EDC" w:rsidRPr="00F81EDC" w:rsidRDefault="00F81EDC" w:rsidP="00962C1B">
      <w:pPr>
        <w:pStyle w:val="ListParagraph"/>
        <w:spacing w:line="288" w:lineRule="auto"/>
        <w:rPr>
          <w:color w:val="000000"/>
        </w:rPr>
      </w:pPr>
    </w:p>
    <w:p w14:paraId="5F1C2FD7" w14:textId="0362F478" w:rsidR="007227E5" w:rsidRDefault="00C3193D" w:rsidP="001E3B8F">
      <w:pPr>
        <w:pStyle w:val="ListParagraph"/>
        <w:numPr>
          <w:ilvl w:val="1"/>
          <w:numId w:val="19"/>
        </w:numPr>
        <w:suppressAutoHyphens/>
        <w:spacing w:line="288" w:lineRule="auto"/>
        <w:ind w:left="709"/>
      </w:pPr>
      <w:r>
        <w:rPr>
          <w:color w:val="000000"/>
        </w:rPr>
        <w:t>The</w:t>
      </w:r>
      <w:r w:rsidR="00E841AF" w:rsidRPr="00F81EDC">
        <w:rPr>
          <w:color w:val="000000"/>
        </w:rPr>
        <w:t xml:space="preserve"> Commission welcomes the</w:t>
      </w:r>
      <w:r w:rsidR="00F40239" w:rsidRPr="00F81EDC">
        <w:rPr>
          <w:color w:val="000000"/>
        </w:rPr>
        <w:t xml:space="preserve"> </w:t>
      </w:r>
      <w:r w:rsidR="003D5E6A" w:rsidRPr="00F81EDC">
        <w:rPr>
          <w:color w:val="000000"/>
        </w:rPr>
        <w:t>objectives</w:t>
      </w:r>
      <w:r w:rsidR="00F40239" w:rsidRPr="00F81EDC">
        <w:rPr>
          <w:color w:val="000000"/>
        </w:rPr>
        <w:t xml:space="preserve"> under the</w:t>
      </w:r>
      <w:r w:rsidR="00E841AF" w:rsidRPr="00F81EDC">
        <w:rPr>
          <w:color w:val="000000"/>
        </w:rPr>
        <w:t xml:space="preserve"> PURSUE Strand </w:t>
      </w:r>
      <w:r w:rsidR="005B4AF8" w:rsidRPr="00F81EDC">
        <w:rPr>
          <w:color w:val="000000"/>
        </w:rPr>
        <w:t>which</w:t>
      </w:r>
      <w:r w:rsidR="00E841AF" w:rsidRPr="00F81EDC">
        <w:rPr>
          <w:color w:val="000000"/>
        </w:rPr>
        <w:t xml:space="preserve"> focus on </w:t>
      </w:r>
      <w:r w:rsidR="005B4AF8" w:rsidRPr="00F81EDC">
        <w:rPr>
          <w:color w:val="000000"/>
        </w:rPr>
        <w:t xml:space="preserve">improving the </w:t>
      </w:r>
      <w:r w:rsidR="00E841AF">
        <w:t>disrupti</w:t>
      </w:r>
      <w:r w:rsidR="005B4AF8">
        <w:t>o</w:t>
      </w:r>
      <w:r w:rsidR="00E841AF">
        <w:t>n</w:t>
      </w:r>
      <w:r w:rsidR="005B4AF8">
        <w:t xml:space="preserve"> </w:t>
      </w:r>
      <w:r w:rsidR="00C31C5F">
        <w:t>of</w:t>
      </w:r>
      <w:r w:rsidR="00E841AF">
        <w:t xml:space="preserve"> modern slavery and human trafficking and </w:t>
      </w:r>
      <w:r w:rsidR="00C31C5F">
        <w:t xml:space="preserve">the </w:t>
      </w:r>
      <w:r w:rsidR="00E841AF">
        <w:t>prosecuti</w:t>
      </w:r>
      <w:r w:rsidR="00C31C5F">
        <w:t>o</w:t>
      </w:r>
      <w:r w:rsidR="00E841AF">
        <w:t>n</w:t>
      </w:r>
      <w:r w:rsidR="00C31C5F">
        <w:t xml:space="preserve"> of</w:t>
      </w:r>
      <w:r w:rsidR="00E841AF">
        <w:t xml:space="preserve"> offenders. </w:t>
      </w:r>
      <w:r w:rsidR="008109B9">
        <w:t xml:space="preserve">However, </w:t>
      </w:r>
      <w:r w:rsidR="003927FE">
        <w:t>the NIHRC is concerned</w:t>
      </w:r>
      <w:r w:rsidR="00964C4C" w:rsidRPr="00097795">
        <w:t xml:space="preserve"> that the</w:t>
      </w:r>
      <w:r w:rsidR="00787FE2">
        <w:t xml:space="preserve"> sustained</w:t>
      </w:r>
      <w:r w:rsidR="00964C4C" w:rsidRPr="00097795">
        <w:t xml:space="preserve"> lack of </w:t>
      </w:r>
      <w:r w:rsidR="00964C4C">
        <w:t xml:space="preserve">an </w:t>
      </w:r>
      <w:r w:rsidR="00964C4C" w:rsidRPr="00097795">
        <w:t xml:space="preserve">NI Executive and NI Assembly </w:t>
      </w:r>
      <w:r w:rsidR="00787FE2">
        <w:t>continue</w:t>
      </w:r>
      <w:r w:rsidR="003927FE">
        <w:t>s</w:t>
      </w:r>
      <w:r w:rsidR="00787FE2">
        <w:t xml:space="preserve"> to</w:t>
      </w:r>
      <w:r w:rsidR="00964C4C">
        <w:t xml:space="preserve"> delay</w:t>
      </w:r>
      <w:r w:rsidR="00964C4C" w:rsidRPr="00097795">
        <w:t xml:space="preserve"> legislative progress</w:t>
      </w:r>
      <w:r w:rsidR="000A535B">
        <w:t xml:space="preserve"> on </w:t>
      </w:r>
      <w:r w:rsidR="003112EB">
        <w:t>key</w:t>
      </w:r>
      <w:r w:rsidR="008E5F50">
        <w:t xml:space="preserve"> </w:t>
      </w:r>
      <w:r w:rsidR="003D5E6A">
        <w:t>commitments</w:t>
      </w:r>
      <w:r w:rsidR="008E5F50">
        <w:t xml:space="preserve"> set out </w:t>
      </w:r>
      <w:r w:rsidR="00A41AA2">
        <w:t>under Strand 1</w:t>
      </w:r>
      <w:r w:rsidR="00C00DB8">
        <w:t xml:space="preserve">. </w:t>
      </w:r>
    </w:p>
    <w:p w14:paraId="57642CBC" w14:textId="77777777" w:rsidR="007227E5" w:rsidRDefault="007227E5" w:rsidP="007227E5">
      <w:pPr>
        <w:pStyle w:val="ListParagraph"/>
      </w:pPr>
    </w:p>
    <w:p w14:paraId="2FD0CC17" w14:textId="24E7C4A2" w:rsidR="00F81EDC" w:rsidRPr="007227E5" w:rsidRDefault="000244B6" w:rsidP="001E3B8F">
      <w:pPr>
        <w:pStyle w:val="ListParagraph"/>
        <w:numPr>
          <w:ilvl w:val="1"/>
          <w:numId w:val="19"/>
        </w:numPr>
        <w:suppressAutoHyphens/>
        <w:spacing w:line="288" w:lineRule="auto"/>
        <w:ind w:left="709"/>
        <w:rPr>
          <w:b/>
          <w:bCs/>
        </w:rPr>
      </w:pPr>
      <w:bookmarkStart w:id="6" w:name="_Hlk125375513"/>
      <w:r w:rsidRPr="007227E5">
        <w:rPr>
          <w:b/>
          <w:bCs/>
        </w:rPr>
        <w:t xml:space="preserve">The </w:t>
      </w:r>
      <w:r w:rsidR="002770D7">
        <w:rPr>
          <w:b/>
          <w:bCs/>
        </w:rPr>
        <w:t xml:space="preserve">NIHRC </w:t>
      </w:r>
      <w:r w:rsidR="0024028D" w:rsidRPr="0024028D">
        <w:rPr>
          <w:b/>
          <w:bCs/>
          <w:color w:val="000000"/>
        </w:rPr>
        <w:t>welcomes the objectives under the PURSUE Strand</w:t>
      </w:r>
      <w:r w:rsidR="0024028D" w:rsidRPr="00F81EDC">
        <w:rPr>
          <w:color w:val="000000"/>
        </w:rPr>
        <w:t xml:space="preserve"> </w:t>
      </w:r>
      <w:r w:rsidR="0024028D" w:rsidRPr="0024028D">
        <w:rPr>
          <w:b/>
          <w:bCs/>
          <w:color w:val="000000"/>
        </w:rPr>
        <w:t xml:space="preserve">and </w:t>
      </w:r>
      <w:r w:rsidRPr="007227E5">
        <w:rPr>
          <w:b/>
          <w:bCs/>
        </w:rPr>
        <w:t xml:space="preserve">recommends that </w:t>
      </w:r>
      <w:r w:rsidR="00520B17" w:rsidRPr="007227E5">
        <w:rPr>
          <w:b/>
          <w:bCs/>
        </w:rPr>
        <w:t>the Department</w:t>
      </w:r>
      <w:r w:rsidR="00384733">
        <w:rPr>
          <w:b/>
          <w:bCs/>
        </w:rPr>
        <w:t xml:space="preserve"> of Justice prioritises</w:t>
      </w:r>
      <w:r w:rsidR="00926730">
        <w:rPr>
          <w:b/>
          <w:bCs/>
        </w:rPr>
        <w:t xml:space="preserve"> legislation </w:t>
      </w:r>
      <w:r w:rsidR="00107EB5">
        <w:rPr>
          <w:b/>
          <w:bCs/>
        </w:rPr>
        <w:t xml:space="preserve">providing for </w:t>
      </w:r>
      <w:r w:rsidR="00107EB5" w:rsidRPr="00107EB5">
        <w:rPr>
          <w:b/>
          <w:bCs/>
        </w:rPr>
        <w:t>Slavery and Trafficking Risk Orders and the Duty to Notify</w:t>
      </w:r>
      <w:r w:rsidR="00702B78">
        <w:rPr>
          <w:b/>
          <w:bCs/>
        </w:rPr>
        <w:t xml:space="preserve"> for</w:t>
      </w:r>
      <w:r w:rsidR="00107EB5">
        <w:rPr>
          <w:b/>
          <w:bCs/>
        </w:rPr>
        <w:t xml:space="preserve"> </w:t>
      </w:r>
      <w:r w:rsidR="00702B78">
        <w:rPr>
          <w:b/>
          <w:bCs/>
        </w:rPr>
        <w:t xml:space="preserve">prompt </w:t>
      </w:r>
      <w:r w:rsidR="00E23562">
        <w:rPr>
          <w:b/>
          <w:bCs/>
        </w:rPr>
        <w:t xml:space="preserve">consideration by </w:t>
      </w:r>
      <w:r w:rsidR="003F0115">
        <w:rPr>
          <w:b/>
          <w:bCs/>
        </w:rPr>
        <w:t>an incoming NI</w:t>
      </w:r>
      <w:r w:rsidR="00E23562">
        <w:rPr>
          <w:b/>
          <w:bCs/>
        </w:rPr>
        <w:t xml:space="preserve"> Executive</w:t>
      </w:r>
      <w:r w:rsidR="00545389" w:rsidRPr="007227E5">
        <w:rPr>
          <w:b/>
          <w:bCs/>
        </w:rPr>
        <w:t xml:space="preserve">. </w:t>
      </w:r>
    </w:p>
    <w:bookmarkEnd w:id="6"/>
    <w:p w14:paraId="4EDA452D" w14:textId="269CA511" w:rsidR="00F81EDC" w:rsidRDefault="00F81EDC" w:rsidP="00962C1B">
      <w:pPr>
        <w:spacing w:line="288" w:lineRule="auto"/>
      </w:pPr>
    </w:p>
    <w:p w14:paraId="12CC3F24" w14:textId="2C173A9C" w:rsidR="00F81EDC" w:rsidRPr="00F81EDC" w:rsidRDefault="00F81EDC" w:rsidP="00962C1B">
      <w:pPr>
        <w:pStyle w:val="Heading1"/>
        <w:spacing w:line="288" w:lineRule="auto"/>
        <w:ind w:hanging="720"/>
      </w:pPr>
      <w:bookmarkStart w:id="7" w:name="_Toc125375770"/>
      <w:r>
        <w:lastRenderedPageBreak/>
        <w:t>Strand 2 – P</w:t>
      </w:r>
      <w:r w:rsidR="00DE2F81">
        <w:t>ROTECT</w:t>
      </w:r>
      <w:bookmarkEnd w:id="7"/>
    </w:p>
    <w:p w14:paraId="59AA8E17" w14:textId="77777777" w:rsidR="00F81EDC" w:rsidRPr="00F81EDC" w:rsidRDefault="00F81EDC" w:rsidP="001E3B8F">
      <w:pPr>
        <w:pStyle w:val="ListParagraph"/>
        <w:numPr>
          <w:ilvl w:val="0"/>
          <w:numId w:val="19"/>
        </w:numPr>
        <w:suppressAutoHyphens/>
        <w:spacing w:line="288" w:lineRule="auto"/>
        <w:rPr>
          <w:vanish/>
        </w:rPr>
      </w:pPr>
    </w:p>
    <w:p w14:paraId="2F3A8AAA" w14:textId="77777777" w:rsidR="00E552A1" w:rsidRPr="00166A7F" w:rsidRDefault="00E552A1" w:rsidP="00166A7F">
      <w:pPr>
        <w:pStyle w:val="ListParagraph"/>
        <w:suppressAutoHyphens/>
        <w:spacing w:after="240" w:line="288" w:lineRule="auto"/>
        <w:rPr>
          <w:spacing w:val="4"/>
        </w:rPr>
      </w:pPr>
    </w:p>
    <w:p w14:paraId="59F2140B" w14:textId="77777777" w:rsidR="00155939" w:rsidRDefault="00155939" w:rsidP="001E3B8F">
      <w:pPr>
        <w:pStyle w:val="ListParagraph"/>
        <w:numPr>
          <w:ilvl w:val="1"/>
          <w:numId w:val="19"/>
        </w:numPr>
        <w:suppressAutoHyphens/>
        <w:spacing w:after="240" w:line="288" w:lineRule="auto"/>
        <w:ind w:left="709"/>
      </w:pPr>
      <w:r w:rsidRPr="0082121B">
        <w:t xml:space="preserve">In 2019, the </w:t>
      </w:r>
      <w:r>
        <w:t xml:space="preserve">UN CAT </w:t>
      </w:r>
      <w:r w:rsidRPr="0082121B">
        <w:t>Committee</w:t>
      </w:r>
      <w:r>
        <w:t xml:space="preserve"> </w:t>
      </w:r>
      <w:r w:rsidRPr="0082121B">
        <w:t>recommended that the UK Government and NI Executive:</w:t>
      </w:r>
    </w:p>
    <w:p w14:paraId="36F7CD80" w14:textId="77777777" w:rsidR="00155939" w:rsidRDefault="00155939" w:rsidP="00155939">
      <w:pPr>
        <w:pStyle w:val="ListParagraph"/>
        <w:spacing w:line="288" w:lineRule="auto"/>
      </w:pPr>
    </w:p>
    <w:p w14:paraId="5B9389BB" w14:textId="77777777" w:rsidR="00155939" w:rsidRDefault="00155939" w:rsidP="00155939">
      <w:pPr>
        <w:pStyle w:val="Quote"/>
      </w:pPr>
      <w:r>
        <w:t>ensure access to sufficient protection and support for all victims of trafficking, and particularly ensure that the State party’s establishment of a child trafficking protection fund results in improving the availability of specialist care and support for child victims of trafficking; [and]</w:t>
      </w:r>
    </w:p>
    <w:p w14:paraId="4617A9CB" w14:textId="77777777" w:rsidR="00155939" w:rsidRPr="00E058D6" w:rsidRDefault="00155939" w:rsidP="00155939"/>
    <w:p w14:paraId="24C5DC25" w14:textId="4195B3D2" w:rsidR="00155939" w:rsidRDefault="00155939" w:rsidP="00155939">
      <w:pPr>
        <w:pStyle w:val="Quote"/>
      </w:pPr>
      <w:r>
        <w:t>i</w:t>
      </w:r>
      <w:r w:rsidRPr="009D37F9">
        <w:t>mprove the training of law enforcement officers, prison personnel and other first responders to include statutory training into the identification of potential victims of human trafficking and modern slavery, and continue developing specialised training programmes for support workers and those providing foster care.</w:t>
      </w:r>
      <w:r>
        <w:rPr>
          <w:rStyle w:val="FootnoteReference"/>
        </w:rPr>
        <w:footnoteReference w:id="21"/>
      </w:r>
    </w:p>
    <w:p w14:paraId="0FD48AB8" w14:textId="77777777" w:rsidR="007915D1" w:rsidRDefault="007915D1" w:rsidP="007915D1">
      <w:pPr>
        <w:pStyle w:val="Quote"/>
        <w:ind w:left="0"/>
      </w:pPr>
    </w:p>
    <w:p w14:paraId="3024C409" w14:textId="2517CCCC" w:rsidR="00765D56" w:rsidRDefault="00765D56" w:rsidP="001E3B8F">
      <w:pPr>
        <w:pStyle w:val="ListParagraph"/>
        <w:numPr>
          <w:ilvl w:val="1"/>
          <w:numId w:val="19"/>
        </w:numPr>
        <w:suppressAutoHyphens/>
        <w:spacing w:after="240" w:line="288" w:lineRule="auto"/>
        <w:ind w:left="709"/>
      </w:pPr>
      <w:r w:rsidRPr="00765D56">
        <w:t>In 2019, the UN CEDAW Committee recommended that the UK Government and NI Executive:</w:t>
      </w:r>
      <w:r w:rsidR="00504A3C">
        <w:t xml:space="preserve"> </w:t>
      </w:r>
    </w:p>
    <w:p w14:paraId="204EDAD4" w14:textId="77777777" w:rsidR="007915D1" w:rsidRDefault="007915D1" w:rsidP="007915D1">
      <w:pPr>
        <w:pStyle w:val="Quote"/>
        <w:numPr>
          <w:ilvl w:val="0"/>
          <w:numId w:val="18"/>
        </w:numPr>
      </w:pPr>
      <w:r>
        <w:t>ensure that the definition of human trafficking in its domestic legislation is in line with the internationally agreed definition as set out in the Protocol to Prevent, Suppress and Punish Trafficking in Persons, Especially Women and Children, supplementing the UN Convention against Transnational Organised Crime (the Palermo Protocol);</w:t>
      </w:r>
    </w:p>
    <w:p w14:paraId="0C2DC89E" w14:textId="77777777" w:rsidR="007915D1" w:rsidRDefault="007915D1" w:rsidP="007915D1">
      <w:pPr>
        <w:pStyle w:val="Quote"/>
        <w:ind w:left="1222"/>
      </w:pPr>
    </w:p>
    <w:p w14:paraId="53760175" w14:textId="77777777" w:rsidR="007915D1" w:rsidRDefault="007915D1" w:rsidP="007915D1">
      <w:pPr>
        <w:pStyle w:val="Quote"/>
        <w:numPr>
          <w:ilvl w:val="0"/>
          <w:numId w:val="18"/>
        </w:numPr>
      </w:pPr>
      <w:r>
        <w:t>adopt a comprehensive national strategy to combat trafficking in women and girls, as previously recommended; [and]</w:t>
      </w:r>
    </w:p>
    <w:p w14:paraId="7122B7D9" w14:textId="77777777" w:rsidR="007915D1" w:rsidRPr="0069298F" w:rsidRDefault="007915D1" w:rsidP="007915D1"/>
    <w:p w14:paraId="5BF3F192" w14:textId="77777777" w:rsidR="007915D1" w:rsidRDefault="007915D1" w:rsidP="007915D1">
      <w:pPr>
        <w:pStyle w:val="Quote"/>
        <w:numPr>
          <w:ilvl w:val="0"/>
          <w:numId w:val="18"/>
        </w:numPr>
      </w:pPr>
      <w:r>
        <w:t xml:space="preserve">continue to improve the National Referral Mechanism, including by implementing the reform package announced in October 2017, to ensure that victims of </w:t>
      </w:r>
      <w:r>
        <w:lastRenderedPageBreak/>
        <w:t>trafficking are properly identified and adequately protected and supported.</w:t>
      </w:r>
      <w:r>
        <w:rPr>
          <w:rStyle w:val="FootnoteReference"/>
        </w:rPr>
        <w:footnoteReference w:id="22"/>
      </w:r>
    </w:p>
    <w:p w14:paraId="7BE1AAD1" w14:textId="77777777" w:rsidR="00F81EDC" w:rsidRPr="00155939" w:rsidRDefault="00F81EDC" w:rsidP="00155939">
      <w:pPr>
        <w:spacing w:line="288" w:lineRule="auto"/>
        <w:rPr>
          <w:bCs/>
        </w:rPr>
      </w:pPr>
    </w:p>
    <w:p w14:paraId="2E7BE29F" w14:textId="5A054D82" w:rsidR="00E947B3" w:rsidRPr="00E947B3" w:rsidRDefault="007847FE" w:rsidP="001E3B8F">
      <w:pPr>
        <w:pStyle w:val="ListParagraph"/>
        <w:numPr>
          <w:ilvl w:val="1"/>
          <w:numId w:val="19"/>
        </w:numPr>
        <w:suppressAutoHyphens/>
        <w:spacing w:after="240" w:line="288" w:lineRule="auto"/>
        <w:ind w:left="709"/>
      </w:pPr>
      <w:r>
        <w:rPr>
          <w:bCs/>
        </w:rPr>
        <w:t xml:space="preserve">Article 6 of UN CEDAW requires States to take all appropriate measures to </w:t>
      </w:r>
      <w:r w:rsidR="00E947B3">
        <w:rPr>
          <w:bCs/>
        </w:rPr>
        <w:t>“</w:t>
      </w:r>
      <w:r>
        <w:rPr>
          <w:bCs/>
        </w:rPr>
        <w:t>s</w:t>
      </w:r>
      <w:r w:rsidR="00E947B3">
        <w:rPr>
          <w:bCs/>
        </w:rPr>
        <w:t>uppress all forms of traffic in women and exploitation of prostitution of women”. In 2019</w:t>
      </w:r>
      <w:r w:rsidR="009152C0">
        <w:rPr>
          <w:bCs/>
        </w:rPr>
        <w:t xml:space="preserve">, the UN CEDAW Committee </w:t>
      </w:r>
      <w:r w:rsidR="000B7899" w:rsidRPr="000B7899">
        <w:rPr>
          <w:bCs/>
        </w:rPr>
        <w:t>recommended that the UK Government and NI Executive:</w:t>
      </w:r>
    </w:p>
    <w:p w14:paraId="3FF6F091" w14:textId="632E398F" w:rsidR="00112FCA" w:rsidRDefault="00112FCA" w:rsidP="003D1BA6">
      <w:pPr>
        <w:pStyle w:val="Quote"/>
        <w:numPr>
          <w:ilvl w:val="0"/>
          <w:numId w:val="16"/>
        </w:numPr>
      </w:pPr>
      <w:r>
        <w:t>take effective measures to ensure that women in vulnerable situations have effective access to employment opportunities, housing and social security so that they do not need to resort to prostitution or “sex for rent”;</w:t>
      </w:r>
    </w:p>
    <w:p w14:paraId="7F77D419" w14:textId="77777777" w:rsidR="00112FCA" w:rsidRPr="0069298F" w:rsidRDefault="00112FCA" w:rsidP="00112FCA"/>
    <w:p w14:paraId="3310B2BA" w14:textId="77777777" w:rsidR="00112FCA" w:rsidRDefault="00112FCA" w:rsidP="00112FCA">
      <w:pPr>
        <w:pStyle w:val="Quote"/>
        <w:numPr>
          <w:ilvl w:val="0"/>
          <w:numId w:val="16"/>
        </w:numPr>
      </w:pPr>
      <w:r>
        <w:t>take effective measures to reduce demand for commercial sex, including by carrying out educational and awareness-raising measures targeted at men and boys and focused on combating all notions of subordination and objectification of women;</w:t>
      </w:r>
    </w:p>
    <w:p w14:paraId="22A555ED" w14:textId="77777777" w:rsidR="00112FCA" w:rsidRPr="0069298F" w:rsidRDefault="00112FCA" w:rsidP="00112FCA"/>
    <w:p w14:paraId="3BDE1C18" w14:textId="77777777" w:rsidR="00112FCA" w:rsidRDefault="00112FCA" w:rsidP="00112FCA">
      <w:pPr>
        <w:pStyle w:val="Quote"/>
        <w:numPr>
          <w:ilvl w:val="0"/>
          <w:numId w:val="16"/>
        </w:numPr>
      </w:pPr>
      <w:r>
        <w:t>revise legislation to decriminalise women in prostitution and clear the criminal records of women who have been convicted for offences related to prostitution to enable them to seek alternative forms of employment;</w:t>
      </w:r>
    </w:p>
    <w:p w14:paraId="52E8AAFF" w14:textId="77777777" w:rsidR="00112FCA" w:rsidRPr="0069298F" w:rsidRDefault="00112FCA" w:rsidP="00112FCA"/>
    <w:p w14:paraId="42F4D027" w14:textId="77777777" w:rsidR="00112FCA" w:rsidRDefault="00112FCA" w:rsidP="00112FCA">
      <w:pPr>
        <w:pStyle w:val="Quote"/>
        <w:numPr>
          <w:ilvl w:val="0"/>
          <w:numId w:val="16"/>
        </w:numPr>
      </w:pPr>
      <w:r>
        <w:t>ensure the availability of specialist services, which are adequately funded, inclusive and accessible, to assist women and girls to exit prostitution;</w:t>
      </w:r>
    </w:p>
    <w:p w14:paraId="44E24800" w14:textId="77777777" w:rsidR="00112FCA" w:rsidRPr="0069298F" w:rsidRDefault="00112FCA" w:rsidP="00112FCA"/>
    <w:p w14:paraId="37F10E0E" w14:textId="77777777" w:rsidR="00112FCA" w:rsidRDefault="00112FCA" w:rsidP="00112FCA">
      <w:pPr>
        <w:pStyle w:val="Quote"/>
        <w:numPr>
          <w:ilvl w:val="0"/>
          <w:numId w:val="16"/>
        </w:numPr>
      </w:pPr>
      <w:r>
        <w:t>create educational and employment opportunities for women who wish to exit prostitution; [and]</w:t>
      </w:r>
    </w:p>
    <w:p w14:paraId="35B4F1B3" w14:textId="77777777" w:rsidR="00112FCA" w:rsidRPr="0069298F" w:rsidRDefault="00112FCA" w:rsidP="00112FCA"/>
    <w:p w14:paraId="79A925DB" w14:textId="77777777" w:rsidR="00112FCA" w:rsidRDefault="00112FCA" w:rsidP="00112FCA">
      <w:pPr>
        <w:pStyle w:val="Quote"/>
        <w:numPr>
          <w:ilvl w:val="0"/>
          <w:numId w:val="16"/>
        </w:numPr>
      </w:pPr>
      <w:r>
        <w:t>undertake research into the prevalence and nature of prostitution in Scotland and NI, in addition to the research that is currently underway in England and Wales, to identify necessary changes to legislation and policy.</w:t>
      </w:r>
      <w:r>
        <w:rPr>
          <w:rStyle w:val="FootnoteReference"/>
        </w:rPr>
        <w:footnoteReference w:id="23"/>
      </w:r>
    </w:p>
    <w:p w14:paraId="797D308F" w14:textId="77777777" w:rsidR="00E947B3" w:rsidRPr="00E947B3" w:rsidRDefault="00E947B3" w:rsidP="00E947B3">
      <w:pPr>
        <w:pStyle w:val="ListParagraph"/>
        <w:suppressAutoHyphens/>
        <w:spacing w:after="240" w:line="288" w:lineRule="auto"/>
        <w:ind w:left="709"/>
      </w:pPr>
    </w:p>
    <w:p w14:paraId="541FD7DF" w14:textId="0F042E96" w:rsidR="00F81EDC" w:rsidRPr="00E552A1" w:rsidRDefault="004C3CE7" w:rsidP="001E3B8F">
      <w:pPr>
        <w:pStyle w:val="ListParagraph"/>
        <w:numPr>
          <w:ilvl w:val="1"/>
          <w:numId w:val="19"/>
        </w:numPr>
        <w:suppressAutoHyphens/>
        <w:spacing w:after="240" w:line="288" w:lineRule="auto"/>
        <w:ind w:left="709"/>
      </w:pPr>
      <w:r w:rsidRPr="00F81EDC">
        <w:rPr>
          <w:bCs/>
        </w:rPr>
        <w:lastRenderedPageBreak/>
        <w:t>Article 18(3) of the EU Trafficking Directive requires States to promote regular training for officials likely to come into contact with victims of human trafficking.</w:t>
      </w:r>
      <w:r>
        <w:rPr>
          <w:rStyle w:val="FootnoteReference"/>
          <w:bCs/>
        </w:rPr>
        <w:footnoteReference w:id="24"/>
      </w:r>
      <w:r w:rsidR="00DE2F81">
        <w:rPr>
          <w:bCs/>
        </w:rPr>
        <w:t xml:space="preserve"> It also </w:t>
      </w:r>
      <w:r w:rsidR="00DE2F81" w:rsidRPr="00F81EDC">
        <w:rPr>
          <w:rFonts w:cs="Arial"/>
          <w:bCs/>
        </w:rPr>
        <w:t>recognises the gender-specific nature of modern slavery and human trafficking and the need for gender-specific assistance and support measures and preventative measures where appropriate.</w:t>
      </w:r>
      <w:r w:rsidR="00DE2F81" w:rsidRPr="00C31B3D">
        <w:rPr>
          <w:rStyle w:val="FootnoteReference"/>
          <w:rFonts w:cs="Arial"/>
          <w:bCs/>
        </w:rPr>
        <w:footnoteReference w:id="25"/>
      </w:r>
    </w:p>
    <w:p w14:paraId="6FB76FE1" w14:textId="77777777" w:rsidR="00E552A1" w:rsidRDefault="00E552A1" w:rsidP="00E552A1">
      <w:pPr>
        <w:pStyle w:val="ListParagraph"/>
        <w:suppressAutoHyphens/>
        <w:spacing w:after="240" w:line="288" w:lineRule="auto"/>
        <w:ind w:left="709"/>
      </w:pPr>
    </w:p>
    <w:p w14:paraId="7568FF37" w14:textId="5585585A" w:rsidR="00155939" w:rsidRPr="00155939" w:rsidRDefault="003172D5" w:rsidP="001E3B8F">
      <w:pPr>
        <w:pStyle w:val="ListParagraph"/>
        <w:numPr>
          <w:ilvl w:val="1"/>
          <w:numId w:val="19"/>
        </w:numPr>
        <w:suppressAutoHyphens/>
        <w:spacing w:line="288" w:lineRule="auto"/>
        <w:ind w:left="709"/>
        <w:rPr>
          <w:rFonts w:cs="Arial"/>
          <w:bCs/>
        </w:rPr>
      </w:pPr>
      <w:r>
        <w:t>Article</w:t>
      </w:r>
      <w:r w:rsidR="00EC7D0B">
        <w:t>s 6 and</w:t>
      </w:r>
      <w:r>
        <w:t xml:space="preserve"> 10 of the UN Palermo Protocol </w:t>
      </w:r>
      <w:r w:rsidRPr="00F81EDC">
        <w:rPr>
          <w:spacing w:val="4"/>
        </w:rPr>
        <w:t xml:space="preserve">stipulate that </w:t>
      </w:r>
      <w:r w:rsidR="005F722F" w:rsidRPr="00F81EDC">
        <w:rPr>
          <w:spacing w:val="4"/>
        </w:rPr>
        <w:t xml:space="preserve">measures </w:t>
      </w:r>
      <w:r w:rsidR="005E018B" w:rsidRPr="00F81EDC">
        <w:rPr>
          <w:spacing w:val="4"/>
        </w:rPr>
        <w:t xml:space="preserve">designed </w:t>
      </w:r>
      <w:r w:rsidR="005F722F" w:rsidRPr="00F81EDC">
        <w:rPr>
          <w:spacing w:val="4"/>
        </w:rPr>
        <w:t xml:space="preserve">to assist and protect victims </w:t>
      </w:r>
      <w:r w:rsidR="007915D1">
        <w:rPr>
          <w:spacing w:val="4"/>
        </w:rPr>
        <w:t xml:space="preserve">of human trafficking </w:t>
      </w:r>
      <w:r w:rsidRPr="00F81EDC">
        <w:rPr>
          <w:spacing w:val="4"/>
        </w:rPr>
        <w:t xml:space="preserve">should take into account </w:t>
      </w:r>
      <w:r w:rsidR="00EC42B3" w:rsidRPr="00F81EDC">
        <w:rPr>
          <w:spacing w:val="4"/>
        </w:rPr>
        <w:t xml:space="preserve">age, gender and </w:t>
      </w:r>
      <w:r w:rsidR="003854CD" w:rsidRPr="00F81EDC">
        <w:rPr>
          <w:spacing w:val="4"/>
        </w:rPr>
        <w:t xml:space="preserve">special needs of victims. </w:t>
      </w:r>
      <w:r w:rsidR="00155939">
        <w:t>In General Recommendation No.38, the UN CEDAW Committee makes a series of recommendations reiterating the need for “trauma-informed, culturally specific, gender-sensitive and age-sensitive” support for and protection of trafficking victims.</w:t>
      </w:r>
      <w:r w:rsidR="00155939">
        <w:rPr>
          <w:rStyle w:val="FootnoteReference"/>
        </w:rPr>
        <w:footnoteReference w:id="26"/>
      </w:r>
      <w:r w:rsidR="00155939">
        <w:t xml:space="preserve">    </w:t>
      </w:r>
    </w:p>
    <w:p w14:paraId="5813C921" w14:textId="77777777" w:rsidR="00155939" w:rsidRPr="00155939" w:rsidRDefault="00155939" w:rsidP="00155939">
      <w:pPr>
        <w:pStyle w:val="ListParagraph"/>
        <w:rPr>
          <w:rFonts w:cs="Arial"/>
          <w:bCs/>
        </w:rPr>
      </w:pPr>
    </w:p>
    <w:p w14:paraId="24115009" w14:textId="5124EC68" w:rsidR="00155939" w:rsidRPr="00FB4604" w:rsidRDefault="00155939" w:rsidP="001E3B8F">
      <w:pPr>
        <w:pStyle w:val="ListParagraph"/>
        <w:numPr>
          <w:ilvl w:val="1"/>
          <w:numId w:val="19"/>
        </w:numPr>
        <w:suppressAutoHyphens/>
        <w:spacing w:line="288" w:lineRule="auto"/>
        <w:ind w:left="709"/>
        <w:rPr>
          <w:rFonts w:cs="Arial"/>
          <w:bCs/>
        </w:rPr>
      </w:pPr>
      <w:r>
        <w:rPr>
          <w:rFonts w:cs="Arial"/>
          <w:bCs/>
        </w:rPr>
        <w:t>In 2021,</w:t>
      </w:r>
      <w:r w:rsidRPr="00F81EDC">
        <w:rPr>
          <w:rFonts w:cs="Arial"/>
          <w:bCs/>
        </w:rPr>
        <w:t xml:space="preserve"> GRETA identified that access to justice and effective remedies for victims of human trafficking should be guaranteed in a gender and age-sensitive manner.</w:t>
      </w:r>
      <w:r w:rsidRPr="00C31B3D">
        <w:rPr>
          <w:rStyle w:val="FootnoteReference"/>
          <w:rFonts w:cs="Arial"/>
          <w:bCs/>
        </w:rPr>
        <w:footnoteReference w:id="27"/>
      </w:r>
      <w:r w:rsidR="00015645">
        <w:rPr>
          <w:rFonts w:cs="Arial"/>
          <w:bCs/>
        </w:rPr>
        <w:t xml:space="preserve"> In addition, the</w:t>
      </w:r>
      <w:r>
        <w:rPr>
          <w:rFonts w:cs="Arial"/>
          <w:bCs/>
        </w:rPr>
        <w:t xml:space="preserve"> Independent Anti-Slavery Commissioner for the UK has reiterated the importance of ensuring </w:t>
      </w:r>
      <w:r>
        <w:t>cultural sensitivity within support for victims and survivors of modern slavery and human trafficking</w:t>
      </w:r>
      <w:r>
        <w:rPr>
          <w:rFonts w:cs="Arial"/>
          <w:bCs/>
        </w:rPr>
        <w:t>.</w:t>
      </w:r>
      <w:r>
        <w:rPr>
          <w:rStyle w:val="FootnoteReference"/>
          <w:rFonts w:cs="Arial"/>
          <w:bCs/>
        </w:rPr>
        <w:footnoteReference w:id="28"/>
      </w:r>
    </w:p>
    <w:p w14:paraId="7C6EB0D9" w14:textId="11DF4C65" w:rsidR="00F81EDC" w:rsidRDefault="00F81EDC" w:rsidP="00155939">
      <w:pPr>
        <w:spacing w:line="288" w:lineRule="auto"/>
      </w:pPr>
    </w:p>
    <w:p w14:paraId="28D98553" w14:textId="1511F7B2" w:rsidR="009E562F" w:rsidRPr="003A3201" w:rsidRDefault="002F5599" w:rsidP="001F54B8">
      <w:pPr>
        <w:pStyle w:val="ListParagraph"/>
        <w:numPr>
          <w:ilvl w:val="1"/>
          <w:numId w:val="19"/>
        </w:numPr>
        <w:suppressAutoHyphens/>
        <w:spacing w:line="288" w:lineRule="auto"/>
        <w:ind w:left="709"/>
      </w:pPr>
      <w:r>
        <w:t>The NIHRC welcomes the</w:t>
      </w:r>
      <w:r w:rsidRPr="156B2B11">
        <w:rPr>
          <w:color w:val="000000" w:themeColor="text1"/>
        </w:rPr>
        <w:t xml:space="preserve"> commitments under the </w:t>
      </w:r>
      <w:r>
        <w:t xml:space="preserve">PROTECT Strand which focus on the identification and support of victims and potential victims through training, awareness raising and working in partnership. However, closer </w:t>
      </w:r>
      <w:r w:rsidR="00513E29">
        <w:t>reflection</w:t>
      </w:r>
      <w:r>
        <w:t xml:space="preserve"> of the international human rights framework would ensure the actions committed to under Strand 2 are thoroughly victim centred and effectively meet a range of protection needs.</w:t>
      </w:r>
      <w:r w:rsidR="00494D7A">
        <w:t xml:space="preserve"> </w:t>
      </w:r>
      <w:r w:rsidR="00155939" w:rsidRPr="005D4E99">
        <w:rPr>
          <w:rFonts w:cs="Arial"/>
          <w:bCs/>
        </w:rPr>
        <w:t xml:space="preserve">For example, the current draft strategy is gender neutral. Yet, a gender-sensitive policy approach to tackling modern slavery and human trafficking is consistent with a human-rights based approach and can better address the specific societal </w:t>
      </w:r>
      <w:r w:rsidR="00155939" w:rsidRPr="005D4E99">
        <w:rPr>
          <w:rFonts w:cs="Arial"/>
          <w:bCs/>
        </w:rPr>
        <w:lastRenderedPageBreak/>
        <w:t>factors that affect men and women victims of human trafficking</w:t>
      </w:r>
      <w:r w:rsidR="06E3CCBD" w:rsidRPr="005D4E99">
        <w:rPr>
          <w:rFonts w:cs="Arial"/>
        </w:rPr>
        <w:t xml:space="preserve"> in different ways</w:t>
      </w:r>
      <w:r w:rsidR="00624DE6" w:rsidRPr="005D4E99">
        <w:rPr>
          <w:rFonts w:cs="Arial"/>
          <w:bCs/>
        </w:rPr>
        <w:t xml:space="preserve">. </w:t>
      </w:r>
    </w:p>
    <w:p w14:paraId="26F53AB2" w14:textId="77777777" w:rsidR="009E562F" w:rsidRDefault="009E562F" w:rsidP="00491F64">
      <w:pPr>
        <w:suppressAutoHyphens/>
        <w:spacing w:line="288" w:lineRule="auto"/>
      </w:pPr>
    </w:p>
    <w:p w14:paraId="10D6B226" w14:textId="47EF90A9" w:rsidR="00462152" w:rsidRPr="00462152" w:rsidRDefault="00F81EDC" w:rsidP="001E3B8F">
      <w:pPr>
        <w:pStyle w:val="ListParagraph"/>
        <w:numPr>
          <w:ilvl w:val="1"/>
          <w:numId w:val="19"/>
        </w:numPr>
        <w:suppressAutoHyphens/>
        <w:spacing w:after="240" w:line="288" w:lineRule="auto"/>
        <w:ind w:left="709"/>
        <w:rPr>
          <w:b/>
          <w:bCs/>
          <w:spacing w:val="4"/>
        </w:rPr>
      </w:pPr>
      <w:bookmarkStart w:id="8" w:name="_Hlk125375561"/>
      <w:r w:rsidRPr="0073110C">
        <w:rPr>
          <w:b/>
          <w:bCs/>
        </w:rPr>
        <w:t>T</w:t>
      </w:r>
      <w:r w:rsidR="008211F9" w:rsidRPr="0073110C">
        <w:rPr>
          <w:b/>
          <w:bCs/>
        </w:rPr>
        <w:t xml:space="preserve">he </w:t>
      </w:r>
      <w:r w:rsidR="0073110C" w:rsidRPr="0073110C">
        <w:rPr>
          <w:b/>
          <w:bCs/>
        </w:rPr>
        <w:t>NIHRC</w:t>
      </w:r>
      <w:r w:rsidR="008211F9" w:rsidRPr="0073110C">
        <w:rPr>
          <w:b/>
          <w:bCs/>
        </w:rPr>
        <w:t xml:space="preserve"> recommends that </w:t>
      </w:r>
      <w:r w:rsidR="00155939">
        <w:rPr>
          <w:b/>
          <w:bCs/>
        </w:rPr>
        <w:t xml:space="preserve">the commitments under </w:t>
      </w:r>
      <w:r w:rsidR="008211F9" w:rsidRPr="0073110C">
        <w:rPr>
          <w:b/>
          <w:bCs/>
        </w:rPr>
        <w:t xml:space="preserve">Strand 2 </w:t>
      </w:r>
      <w:r w:rsidR="008E6C55">
        <w:rPr>
          <w:b/>
          <w:bCs/>
        </w:rPr>
        <w:t xml:space="preserve">explicitly ensure </w:t>
      </w:r>
      <w:r w:rsidR="007317BF" w:rsidRPr="0073110C">
        <w:rPr>
          <w:b/>
          <w:bCs/>
        </w:rPr>
        <w:t xml:space="preserve">the provision of </w:t>
      </w:r>
      <w:r w:rsidR="008E6C55">
        <w:rPr>
          <w:b/>
          <w:bCs/>
        </w:rPr>
        <w:t xml:space="preserve">specialist </w:t>
      </w:r>
      <w:r w:rsidR="0020143F" w:rsidRPr="0073110C">
        <w:rPr>
          <w:b/>
          <w:bCs/>
        </w:rPr>
        <w:t xml:space="preserve">support </w:t>
      </w:r>
      <w:r w:rsidR="008E6C55">
        <w:rPr>
          <w:b/>
          <w:bCs/>
        </w:rPr>
        <w:t xml:space="preserve">is available </w:t>
      </w:r>
      <w:r w:rsidR="0020143F" w:rsidRPr="0073110C">
        <w:rPr>
          <w:b/>
          <w:bCs/>
        </w:rPr>
        <w:t>for all</w:t>
      </w:r>
      <w:r w:rsidR="009E2A62" w:rsidRPr="0073110C">
        <w:rPr>
          <w:b/>
          <w:bCs/>
        </w:rPr>
        <w:t xml:space="preserve"> </w:t>
      </w:r>
      <w:r w:rsidR="0020143F" w:rsidRPr="0073110C">
        <w:rPr>
          <w:b/>
          <w:bCs/>
        </w:rPr>
        <w:t xml:space="preserve">victims </w:t>
      </w:r>
      <w:r w:rsidR="002F5599">
        <w:rPr>
          <w:b/>
          <w:bCs/>
        </w:rPr>
        <w:t>of modern slavery and human trafficking</w:t>
      </w:r>
      <w:r w:rsidR="008E6C55">
        <w:rPr>
          <w:b/>
          <w:bCs/>
        </w:rPr>
        <w:t xml:space="preserve">, and is </w:t>
      </w:r>
      <w:r w:rsidR="0013316A" w:rsidRPr="0073110C">
        <w:rPr>
          <w:b/>
          <w:bCs/>
        </w:rPr>
        <w:t xml:space="preserve">appropriately </w:t>
      </w:r>
      <w:r w:rsidR="009E2A62" w:rsidRPr="0073110C">
        <w:rPr>
          <w:b/>
          <w:bCs/>
        </w:rPr>
        <w:t>tai</w:t>
      </w:r>
      <w:r w:rsidR="00AC4723" w:rsidRPr="0073110C">
        <w:rPr>
          <w:b/>
          <w:bCs/>
        </w:rPr>
        <w:t>lored to take account of</w:t>
      </w:r>
      <w:r w:rsidR="0020143F" w:rsidRPr="0073110C">
        <w:rPr>
          <w:b/>
          <w:bCs/>
        </w:rPr>
        <w:t xml:space="preserve"> age, gender and culture</w:t>
      </w:r>
      <w:r w:rsidR="00AC4723" w:rsidRPr="0073110C">
        <w:rPr>
          <w:b/>
          <w:bCs/>
        </w:rPr>
        <w:t xml:space="preserve">. </w:t>
      </w:r>
    </w:p>
    <w:p w14:paraId="177D12E1" w14:textId="77777777" w:rsidR="00462152" w:rsidRPr="00462152" w:rsidRDefault="00462152" w:rsidP="00462152">
      <w:pPr>
        <w:pStyle w:val="ListParagraph"/>
        <w:rPr>
          <w:b/>
          <w:bCs/>
        </w:rPr>
      </w:pPr>
    </w:p>
    <w:p w14:paraId="09A17E8E" w14:textId="4C8D6DCC" w:rsidR="00F81EDC" w:rsidRPr="008E6C55" w:rsidRDefault="007915D1" w:rsidP="001E3B8F">
      <w:pPr>
        <w:pStyle w:val="ListParagraph"/>
        <w:numPr>
          <w:ilvl w:val="1"/>
          <w:numId w:val="19"/>
        </w:numPr>
        <w:suppressAutoHyphens/>
        <w:spacing w:after="240" w:line="288" w:lineRule="auto"/>
        <w:ind w:left="709"/>
        <w:rPr>
          <w:b/>
          <w:bCs/>
          <w:spacing w:val="4"/>
        </w:rPr>
      </w:pPr>
      <w:r>
        <w:rPr>
          <w:b/>
          <w:bCs/>
        </w:rPr>
        <w:t xml:space="preserve">The NIHRC recommends that the commitments under Strand 2 specify that </w:t>
      </w:r>
      <w:r w:rsidR="00867C59">
        <w:rPr>
          <w:b/>
          <w:bCs/>
        </w:rPr>
        <w:t xml:space="preserve">the </w:t>
      </w:r>
      <w:r>
        <w:rPr>
          <w:b/>
          <w:bCs/>
        </w:rPr>
        <w:t>compulsory</w:t>
      </w:r>
      <w:r w:rsidR="002F5599" w:rsidRPr="008E6C55">
        <w:rPr>
          <w:b/>
          <w:bCs/>
        </w:rPr>
        <w:t xml:space="preserve"> </w:t>
      </w:r>
      <w:r w:rsidR="00867C59">
        <w:rPr>
          <w:b/>
          <w:bCs/>
        </w:rPr>
        <w:t xml:space="preserve">training and guidance provided to </w:t>
      </w:r>
      <w:r w:rsidR="008E6C55" w:rsidRPr="008E6C55">
        <w:rPr>
          <w:b/>
          <w:bCs/>
        </w:rPr>
        <w:t>practitioner</w:t>
      </w:r>
      <w:r w:rsidR="00867C59">
        <w:rPr>
          <w:b/>
          <w:bCs/>
        </w:rPr>
        <w:t xml:space="preserve">s is trauma-informed and </w:t>
      </w:r>
      <w:r w:rsidR="00867C59" w:rsidRPr="0073110C">
        <w:rPr>
          <w:b/>
          <w:bCs/>
        </w:rPr>
        <w:t>appropriately tailored to take account of age, gender and culture</w:t>
      </w:r>
      <w:r w:rsidR="008E6C55" w:rsidRPr="008E6C55">
        <w:rPr>
          <w:b/>
          <w:bCs/>
        </w:rPr>
        <w:t>.</w:t>
      </w:r>
    </w:p>
    <w:bookmarkEnd w:id="8"/>
    <w:p w14:paraId="1380CD94" w14:textId="77777777" w:rsidR="00F81EDC" w:rsidRPr="00F81EDC" w:rsidRDefault="00F81EDC" w:rsidP="00962C1B">
      <w:pPr>
        <w:pStyle w:val="ListParagraph"/>
        <w:spacing w:line="288" w:lineRule="auto"/>
        <w:rPr>
          <w:spacing w:val="4"/>
        </w:rPr>
      </w:pPr>
    </w:p>
    <w:p w14:paraId="77472D90" w14:textId="6BE9B4D9" w:rsidR="00C61E56" w:rsidRPr="00C61E56" w:rsidRDefault="00853350" w:rsidP="001E3B8F">
      <w:pPr>
        <w:pStyle w:val="ListParagraph"/>
        <w:numPr>
          <w:ilvl w:val="1"/>
          <w:numId w:val="19"/>
        </w:numPr>
        <w:suppressAutoHyphens/>
        <w:spacing w:line="288" w:lineRule="auto"/>
        <w:ind w:left="709"/>
      </w:pPr>
      <w:r w:rsidRPr="00F81EDC">
        <w:rPr>
          <w:spacing w:val="4"/>
        </w:rPr>
        <w:t xml:space="preserve">Article 9 of the UN Palermo Protocol </w:t>
      </w:r>
      <w:r w:rsidR="007B5D3C" w:rsidRPr="00F81EDC">
        <w:rPr>
          <w:spacing w:val="4"/>
        </w:rPr>
        <w:t xml:space="preserve">requires States to </w:t>
      </w:r>
      <w:r w:rsidR="00AE7468" w:rsidRPr="00F81EDC">
        <w:rPr>
          <w:spacing w:val="4"/>
        </w:rPr>
        <w:t>establish measures that pro</w:t>
      </w:r>
      <w:r w:rsidR="00F0150A" w:rsidRPr="00F81EDC">
        <w:rPr>
          <w:spacing w:val="4"/>
        </w:rPr>
        <w:t xml:space="preserve">tect </w:t>
      </w:r>
      <w:r w:rsidR="00AD725B" w:rsidRPr="00F81EDC">
        <w:rPr>
          <w:spacing w:val="4"/>
        </w:rPr>
        <w:t xml:space="preserve">victims of trafficking from </w:t>
      </w:r>
      <w:r w:rsidR="00BE24BC" w:rsidRPr="00F81EDC">
        <w:rPr>
          <w:spacing w:val="4"/>
        </w:rPr>
        <w:t>re-victimisation.</w:t>
      </w:r>
      <w:r w:rsidR="004D54D4" w:rsidRPr="00F81EDC">
        <w:rPr>
          <w:spacing w:val="4"/>
        </w:rPr>
        <w:t xml:space="preserve"> </w:t>
      </w:r>
      <w:r w:rsidR="00BE24BC" w:rsidRPr="00F81EDC">
        <w:rPr>
          <w:spacing w:val="4"/>
        </w:rPr>
        <w:t>Similarly,</w:t>
      </w:r>
      <w:r w:rsidR="004D54D4" w:rsidRPr="00F81EDC">
        <w:rPr>
          <w:spacing w:val="4"/>
        </w:rPr>
        <w:t xml:space="preserve"> the</w:t>
      </w:r>
      <w:r w:rsidR="0097017E" w:rsidRPr="00F81EDC">
        <w:rPr>
          <w:spacing w:val="4"/>
        </w:rPr>
        <w:t xml:space="preserve"> EU Victims Directive and the EU Trafficking Directive </w:t>
      </w:r>
      <w:r w:rsidR="00FA5580" w:rsidRPr="00F81EDC">
        <w:rPr>
          <w:spacing w:val="4"/>
        </w:rPr>
        <w:t xml:space="preserve">highlight that </w:t>
      </w:r>
      <w:r w:rsidR="00E20FBC" w:rsidRPr="00F81EDC">
        <w:rPr>
          <w:spacing w:val="4"/>
        </w:rPr>
        <w:t>many victims of modern slavery and human trafficking</w:t>
      </w:r>
      <w:r w:rsidR="00E65570" w:rsidRPr="00F81EDC">
        <w:rPr>
          <w:spacing w:val="4"/>
        </w:rPr>
        <w:t xml:space="preserve"> experience secondary or repeat victimisation </w:t>
      </w:r>
      <w:r w:rsidR="00616BA1" w:rsidRPr="00F81EDC">
        <w:rPr>
          <w:spacing w:val="4"/>
        </w:rPr>
        <w:t>on account of their vulnerability and</w:t>
      </w:r>
      <w:r w:rsidR="00E20FBC" w:rsidRPr="00F81EDC">
        <w:rPr>
          <w:spacing w:val="4"/>
        </w:rPr>
        <w:t xml:space="preserve"> traumatis</w:t>
      </w:r>
      <w:r w:rsidR="00616BA1" w:rsidRPr="00F81EDC">
        <w:rPr>
          <w:spacing w:val="4"/>
        </w:rPr>
        <w:t>ation.</w:t>
      </w:r>
      <w:r w:rsidR="00107F85">
        <w:rPr>
          <w:rStyle w:val="FootnoteReference"/>
          <w:spacing w:val="4"/>
        </w:rPr>
        <w:footnoteReference w:id="29"/>
      </w:r>
      <w:r w:rsidR="00E20FBC" w:rsidRPr="00F81EDC">
        <w:rPr>
          <w:spacing w:val="4"/>
        </w:rPr>
        <w:t xml:space="preserve"> Consequently, it </w:t>
      </w:r>
      <w:r w:rsidR="00E65570" w:rsidRPr="00F81EDC">
        <w:rPr>
          <w:spacing w:val="4"/>
        </w:rPr>
        <w:t>is often</w:t>
      </w:r>
      <w:r w:rsidR="00E20FBC" w:rsidRPr="00F81EDC">
        <w:rPr>
          <w:spacing w:val="4"/>
        </w:rPr>
        <w:t xml:space="preserve"> very difficult for them to come forward and </w:t>
      </w:r>
      <w:r w:rsidR="00E65570" w:rsidRPr="00F81EDC">
        <w:rPr>
          <w:spacing w:val="4"/>
        </w:rPr>
        <w:t xml:space="preserve">to trust and </w:t>
      </w:r>
      <w:r w:rsidR="00E20FBC" w:rsidRPr="00F81EDC">
        <w:rPr>
          <w:spacing w:val="4"/>
        </w:rPr>
        <w:t>speak to authorities openly about their experiences.</w:t>
      </w:r>
    </w:p>
    <w:p w14:paraId="44BA9300" w14:textId="77777777" w:rsidR="00C61E56" w:rsidRDefault="00C61E56" w:rsidP="00C61E56">
      <w:pPr>
        <w:suppressAutoHyphens/>
        <w:spacing w:line="288" w:lineRule="auto"/>
      </w:pPr>
    </w:p>
    <w:p w14:paraId="7198EB3A" w14:textId="4249917E" w:rsidR="00F81EDC" w:rsidRPr="008C6C21" w:rsidRDefault="00CA6DB0" w:rsidP="001E3B8F">
      <w:pPr>
        <w:pStyle w:val="ListParagraph"/>
        <w:numPr>
          <w:ilvl w:val="1"/>
          <w:numId w:val="19"/>
        </w:numPr>
        <w:suppressAutoHyphens/>
        <w:spacing w:after="240" w:line="288" w:lineRule="auto"/>
        <w:ind w:left="709"/>
        <w:rPr>
          <w:b/>
          <w:bCs/>
        </w:rPr>
      </w:pPr>
      <w:r w:rsidRPr="008C6C21">
        <w:rPr>
          <w:b/>
          <w:bCs/>
        </w:rPr>
        <w:t xml:space="preserve">The </w:t>
      </w:r>
      <w:r w:rsidR="00871D1E" w:rsidRPr="008C6C21">
        <w:rPr>
          <w:b/>
          <w:bCs/>
        </w:rPr>
        <w:t>NIHRC</w:t>
      </w:r>
      <w:r w:rsidR="001577E4" w:rsidRPr="008C6C21">
        <w:rPr>
          <w:b/>
          <w:bCs/>
        </w:rPr>
        <w:t xml:space="preserve"> recommends</w:t>
      </w:r>
      <w:r w:rsidRPr="008C6C21">
        <w:rPr>
          <w:b/>
          <w:bCs/>
        </w:rPr>
        <w:t xml:space="preserve"> that </w:t>
      </w:r>
      <w:r w:rsidR="00853350" w:rsidRPr="008C6C21">
        <w:rPr>
          <w:b/>
          <w:bCs/>
        </w:rPr>
        <w:t>Strand 2 include</w:t>
      </w:r>
      <w:r w:rsidR="00462152">
        <w:rPr>
          <w:b/>
          <w:bCs/>
        </w:rPr>
        <w:t>s</w:t>
      </w:r>
      <w:r w:rsidR="00853350" w:rsidRPr="008C6C21">
        <w:rPr>
          <w:b/>
          <w:bCs/>
        </w:rPr>
        <w:t xml:space="preserve"> actions to </w:t>
      </w:r>
      <w:r w:rsidR="001E7385" w:rsidRPr="008C6C21">
        <w:rPr>
          <w:b/>
          <w:bCs/>
        </w:rPr>
        <w:t>ensur</w:t>
      </w:r>
      <w:r w:rsidR="00107F85" w:rsidRPr="008C6C21">
        <w:rPr>
          <w:b/>
          <w:bCs/>
        </w:rPr>
        <w:t xml:space="preserve">e </w:t>
      </w:r>
      <w:r w:rsidR="001E7385" w:rsidRPr="008C6C21">
        <w:rPr>
          <w:b/>
          <w:bCs/>
        </w:rPr>
        <w:t>that</w:t>
      </w:r>
      <w:r w:rsidR="00762CD7" w:rsidRPr="008C6C21">
        <w:rPr>
          <w:b/>
          <w:bCs/>
        </w:rPr>
        <w:t xml:space="preserve"> </w:t>
      </w:r>
      <w:r w:rsidR="00B44878" w:rsidRPr="008C6C21">
        <w:rPr>
          <w:b/>
          <w:bCs/>
        </w:rPr>
        <w:t xml:space="preserve">all </w:t>
      </w:r>
      <w:r w:rsidR="00FD5FD1" w:rsidRPr="008C6C21">
        <w:rPr>
          <w:b/>
          <w:bCs/>
        </w:rPr>
        <w:t>c</w:t>
      </w:r>
      <w:r w:rsidR="005F2FF6" w:rsidRPr="008C6C21">
        <w:rPr>
          <w:b/>
          <w:bCs/>
        </w:rPr>
        <w:t xml:space="preserve">ommunications </w:t>
      </w:r>
      <w:r w:rsidR="00F31BE3" w:rsidRPr="008C6C21">
        <w:rPr>
          <w:b/>
          <w:bCs/>
        </w:rPr>
        <w:t>targeted at</w:t>
      </w:r>
      <w:r w:rsidR="005F2FF6" w:rsidRPr="008C6C21">
        <w:rPr>
          <w:b/>
          <w:bCs/>
        </w:rPr>
        <w:t xml:space="preserve"> victims </w:t>
      </w:r>
      <w:r w:rsidR="00462152">
        <w:rPr>
          <w:b/>
          <w:bCs/>
        </w:rPr>
        <w:t xml:space="preserve">of modern slavery and human trafficking </w:t>
      </w:r>
      <w:r w:rsidR="005F2FF6" w:rsidRPr="008C6C21">
        <w:rPr>
          <w:b/>
          <w:bCs/>
        </w:rPr>
        <w:t xml:space="preserve">are </w:t>
      </w:r>
      <w:r w:rsidR="00696D34">
        <w:rPr>
          <w:b/>
          <w:bCs/>
        </w:rPr>
        <w:t xml:space="preserve">fully </w:t>
      </w:r>
      <w:r w:rsidR="005F2FF6" w:rsidRPr="008C6C21">
        <w:rPr>
          <w:b/>
          <w:bCs/>
        </w:rPr>
        <w:t xml:space="preserve">accessible </w:t>
      </w:r>
      <w:r w:rsidR="00F31BE3" w:rsidRPr="008C6C21">
        <w:rPr>
          <w:b/>
          <w:bCs/>
        </w:rPr>
        <w:t>and aimed at reducing</w:t>
      </w:r>
      <w:r w:rsidR="005F2FF6" w:rsidRPr="008C6C21">
        <w:rPr>
          <w:b/>
          <w:bCs/>
        </w:rPr>
        <w:t xml:space="preserve"> fear</w:t>
      </w:r>
      <w:r w:rsidR="00FD5FD1" w:rsidRPr="008C6C21">
        <w:rPr>
          <w:b/>
          <w:bCs/>
        </w:rPr>
        <w:t xml:space="preserve"> </w:t>
      </w:r>
      <w:r w:rsidR="00B44878" w:rsidRPr="008C6C21">
        <w:rPr>
          <w:b/>
          <w:bCs/>
        </w:rPr>
        <w:t>and</w:t>
      </w:r>
      <w:r w:rsidR="00FD5FD1" w:rsidRPr="008C6C21">
        <w:rPr>
          <w:b/>
          <w:bCs/>
        </w:rPr>
        <w:t xml:space="preserve"> improv</w:t>
      </w:r>
      <w:r w:rsidR="00F31BE3" w:rsidRPr="008C6C21">
        <w:rPr>
          <w:b/>
          <w:bCs/>
        </w:rPr>
        <w:t>ing</w:t>
      </w:r>
      <w:r w:rsidR="00FD5FD1" w:rsidRPr="008C6C21">
        <w:rPr>
          <w:b/>
          <w:bCs/>
        </w:rPr>
        <w:t xml:space="preserve"> engagement.</w:t>
      </w:r>
      <w:r w:rsidR="006A6918" w:rsidRPr="008C6C21">
        <w:rPr>
          <w:b/>
          <w:bCs/>
        </w:rPr>
        <w:t xml:space="preserve"> </w:t>
      </w:r>
      <w:r w:rsidR="000D3AF4" w:rsidRPr="008C6C21">
        <w:rPr>
          <w:b/>
          <w:bCs/>
        </w:rPr>
        <w:t xml:space="preserve">This should include </w:t>
      </w:r>
      <w:r w:rsidR="00A444D3" w:rsidRPr="008C6C21">
        <w:rPr>
          <w:b/>
          <w:bCs/>
        </w:rPr>
        <w:t>regular</w:t>
      </w:r>
      <w:r w:rsidR="00516F8E">
        <w:rPr>
          <w:b/>
          <w:bCs/>
        </w:rPr>
        <w:t xml:space="preserve"> </w:t>
      </w:r>
      <w:r w:rsidR="00A444D3" w:rsidRPr="008C6C21">
        <w:rPr>
          <w:b/>
          <w:bCs/>
        </w:rPr>
        <w:t>consult</w:t>
      </w:r>
      <w:r w:rsidR="00516F8E">
        <w:rPr>
          <w:b/>
          <w:bCs/>
        </w:rPr>
        <w:t>ation</w:t>
      </w:r>
      <w:r w:rsidR="000D3AF4" w:rsidRPr="008C6C21">
        <w:rPr>
          <w:b/>
          <w:bCs/>
        </w:rPr>
        <w:t xml:space="preserve"> with</w:t>
      </w:r>
      <w:r w:rsidR="00A444D3" w:rsidRPr="008C6C21">
        <w:rPr>
          <w:b/>
          <w:bCs/>
        </w:rPr>
        <w:t xml:space="preserve"> </w:t>
      </w:r>
      <w:r w:rsidR="006A6918" w:rsidRPr="008C6C21">
        <w:rPr>
          <w:b/>
          <w:bCs/>
        </w:rPr>
        <w:t xml:space="preserve">victims, through </w:t>
      </w:r>
      <w:r w:rsidR="00696D34">
        <w:rPr>
          <w:b/>
          <w:bCs/>
        </w:rPr>
        <w:t>representative</w:t>
      </w:r>
      <w:r w:rsidR="000A275A" w:rsidRPr="008C6C21">
        <w:rPr>
          <w:b/>
          <w:bCs/>
        </w:rPr>
        <w:t xml:space="preserve"> organisations where appropriate, to improve</w:t>
      </w:r>
      <w:r w:rsidR="008D37E9" w:rsidRPr="008C6C21">
        <w:rPr>
          <w:b/>
          <w:bCs/>
        </w:rPr>
        <w:t xml:space="preserve"> </w:t>
      </w:r>
      <w:r w:rsidR="000A275A" w:rsidRPr="008C6C21">
        <w:rPr>
          <w:b/>
          <w:bCs/>
        </w:rPr>
        <w:t xml:space="preserve">understanding </w:t>
      </w:r>
      <w:r w:rsidR="00D6057B" w:rsidRPr="008C6C21">
        <w:rPr>
          <w:b/>
          <w:bCs/>
        </w:rPr>
        <w:t xml:space="preserve">about what barriers </w:t>
      </w:r>
      <w:r w:rsidR="00696D34">
        <w:rPr>
          <w:b/>
          <w:bCs/>
        </w:rPr>
        <w:t>victims</w:t>
      </w:r>
      <w:r w:rsidR="00696D34" w:rsidRPr="008C6C21">
        <w:rPr>
          <w:b/>
          <w:bCs/>
        </w:rPr>
        <w:t xml:space="preserve"> </w:t>
      </w:r>
      <w:r w:rsidR="00D6057B" w:rsidRPr="008C6C21">
        <w:rPr>
          <w:b/>
          <w:bCs/>
        </w:rPr>
        <w:t>face</w:t>
      </w:r>
      <w:r w:rsidR="00DD72D8" w:rsidRPr="008C6C21">
        <w:rPr>
          <w:b/>
          <w:bCs/>
        </w:rPr>
        <w:t xml:space="preserve"> and</w:t>
      </w:r>
      <w:r w:rsidR="00D6057B" w:rsidRPr="008C6C21">
        <w:rPr>
          <w:b/>
          <w:bCs/>
        </w:rPr>
        <w:t xml:space="preserve"> what </w:t>
      </w:r>
      <w:r w:rsidR="00696D34">
        <w:rPr>
          <w:b/>
          <w:bCs/>
        </w:rPr>
        <w:t>victims’</w:t>
      </w:r>
      <w:r w:rsidR="00696D34" w:rsidRPr="008C6C21">
        <w:rPr>
          <w:b/>
          <w:bCs/>
        </w:rPr>
        <w:t xml:space="preserve"> </w:t>
      </w:r>
      <w:r w:rsidR="000A275A" w:rsidRPr="008C6C21">
        <w:rPr>
          <w:b/>
          <w:bCs/>
        </w:rPr>
        <w:t>specific protection</w:t>
      </w:r>
      <w:r w:rsidR="00D6057B" w:rsidRPr="008C6C21">
        <w:rPr>
          <w:b/>
          <w:bCs/>
        </w:rPr>
        <w:t xml:space="preserve"> need</w:t>
      </w:r>
      <w:r w:rsidR="000A275A" w:rsidRPr="008C6C21">
        <w:rPr>
          <w:b/>
          <w:bCs/>
        </w:rPr>
        <w:t>s are</w:t>
      </w:r>
      <w:r w:rsidR="00DD72D8" w:rsidRPr="008C6C21">
        <w:rPr>
          <w:b/>
          <w:bCs/>
        </w:rPr>
        <w:t xml:space="preserve">. </w:t>
      </w:r>
    </w:p>
    <w:p w14:paraId="12850B8E" w14:textId="77777777" w:rsidR="00F81EDC" w:rsidRDefault="00F81EDC" w:rsidP="00962C1B">
      <w:pPr>
        <w:pStyle w:val="ListParagraph"/>
        <w:spacing w:line="288" w:lineRule="auto"/>
      </w:pPr>
    </w:p>
    <w:p w14:paraId="09AFD58B" w14:textId="77777777" w:rsidR="00F81EDC" w:rsidRDefault="00B74FA3" w:rsidP="001E3B8F">
      <w:pPr>
        <w:pStyle w:val="ListParagraph"/>
        <w:numPr>
          <w:ilvl w:val="1"/>
          <w:numId w:val="19"/>
        </w:numPr>
        <w:suppressAutoHyphens/>
        <w:spacing w:after="240" w:line="288" w:lineRule="auto"/>
        <w:ind w:left="709"/>
      </w:pPr>
      <w:r>
        <w:t xml:space="preserve">In 2022, the Independent Anti-Slavery Commissioner advised that </w:t>
      </w:r>
      <w:r w:rsidR="000D5AEB">
        <w:t xml:space="preserve">important steps need to be taken </w:t>
      </w:r>
      <w:r w:rsidR="00B11408">
        <w:t xml:space="preserve">across the UK </w:t>
      </w:r>
      <w:r w:rsidR="000D5AEB">
        <w:t xml:space="preserve">to prevent re-trafficking </w:t>
      </w:r>
      <w:r w:rsidR="00244F83">
        <w:t>and further harm</w:t>
      </w:r>
      <w:r w:rsidR="006D5CA3">
        <w:t xml:space="preserve">, highlighting that </w:t>
      </w:r>
      <w:r w:rsidR="00C33221">
        <w:t>“</w:t>
      </w:r>
      <w:r w:rsidR="006D5CA3">
        <w:t xml:space="preserve">access to </w:t>
      </w:r>
      <w:r w:rsidR="00C33221" w:rsidRPr="00C33221">
        <w:t xml:space="preserve">decent employment, training, and education to gain knowledge and skills, </w:t>
      </w:r>
      <w:r w:rsidR="00C33221" w:rsidRPr="00C33221">
        <w:lastRenderedPageBreak/>
        <w:t>as well as stable accommodation, are all fundamental components of sustainable independence for survivors</w:t>
      </w:r>
      <w:r w:rsidR="00C33221">
        <w:t>”.</w:t>
      </w:r>
      <w:r w:rsidR="003B259C">
        <w:rPr>
          <w:rStyle w:val="FootnoteReference"/>
        </w:rPr>
        <w:footnoteReference w:id="30"/>
      </w:r>
      <w:r w:rsidR="00C33221" w:rsidRPr="00C33221">
        <w:t xml:space="preserve"> </w:t>
      </w:r>
      <w:r w:rsidR="006D5CA3">
        <w:t xml:space="preserve"> </w:t>
      </w:r>
    </w:p>
    <w:p w14:paraId="399FF0C4" w14:textId="77777777" w:rsidR="00F81EDC" w:rsidRDefault="00F81EDC" w:rsidP="00962C1B">
      <w:pPr>
        <w:pStyle w:val="ListParagraph"/>
        <w:spacing w:line="288" w:lineRule="auto"/>
      </w:pPr>
    </w:p>
    <w:p w14:paraId="066EE6ED" w14:textId="03E27607" w:rsidR="00B67EBD" w:rsidRDefault="008D37E9" w:rsidP="001E3B8F">
      <w:pPr>
        <w:pStyle w:val="ListParagraph"/>
        <w:numPr>
          <w:ilvl w:val="1"/>
          <w:numId w:val="19"/>
        </w:numPr>
        <w:suppressAutoHyphens/>
        <w:spacing w:line="288" w:lineRule="auto"/>
        <w:ind w:left="709"/>
        <w:rPr>
          <w:b/>
          <w:bCs/>
        </w:rPr>
      </w:pPr>
      <w:r w:rsidRPr="00A61E39">
        <w:rPr>
          <w:b/>
          <w:bCs/>
        </w:rPr>
        <w:t xml:space="preserve">The </w:t>
      </w:r>
      <w:r w:rsidR="00871D1E" w:rsidRPr="00A61E39">
        <w:rPr>
          <w:b/>
          <w:bCs/>
        </w:rPr>
        <w:t>NIHRC</w:t>
      </w:r>
      <w:r w:rsidRPr="00A61E39">
        <w:rPr>
          <w:b/>
          <w:bCs/>
        </w:rPr>
        <w:t xml:space="preserve"> recommends that Strand 2 </w:t>
      </w:r>
      <w:r w:rsidR="00E27F67" w:rsidRPr="00A61E39">
        <w:rPr>
          <w:b/>
          <w:bCs/>
        </w:rPr>
        <w:t>include</w:t>
      </w:r>
      <w:r w:rsidR="00462152">
        <w:rPr>
          <w:b/>
          <w:bCs/>
        </w:rPr>
        <w:t>s</w:t>
      </w:r>
      <w:r w:rsidRPr="00A61E39">
        <w:rPr>
          <w:b/>
          <w:bCs/>
        </w:rPr>
        <w:t xml:space="preserve"> </w:t>
      </w:r>
      <w:r w:rsidR="00A61E39">
        <w:rPr>
          <w:b/>
          <w:bCs/>
        </w:rPr>
        <w:t xml:space="preserve">specific </w:t>
      </w:r>
      <w:r w:rsidR="00241935" w:rsidRPr="00A61E39">
        <w:rPr>
          <w:b/>
          <w:bCs/>
        </w:rPr>
        <w:t xml:space="preserve">cross-departmental </w:t>
      </w:r>
      <w:r w:rsidR="007A2C22" w:rsidRPr="00A61E39">
        <w:rPr>
          <w:b/>
          <w:bCs/>
        </w:rPr>
        <w:t>actions</w:t>
      </w:r>
      <w:r w:rsidR="00241935" w:rsidRPr="00A61E39">
        <w:rPr>
          <w:b/>
          <w:bCs/>
        </w:rPr>
        <w:t xml:space="preserve"> </w:t>
      </w:r>
      <w:r w:rsidR="00ED4552" w:rsidRPr="00A61E39">
        <w:rPr>
          <w:b/>
          <w:bCs/>
        </w:rPr>
        <w:t>to</w:t>
      </w:r>
      <w:r w:rsidR="001F2561" w:rsidRPr="00A61E39">
        <w:rPr>
          <w:b/>
          <w:bCs/>
        </w:rPr>
        <w:t xml:space="preserve"> </w:t>
      </w:r>
      <w:r w:rsidR="00B07A0A" w:rsidRPr="00A61E39">
        <w:rPr>
          <w:b/>
          <w:bCs/>
        </w:rPr>
        <w:t xml:space="preserve">ensure victims </w:t>
      </w:r>
      <w:r w:rsidR="00462152">
        <w:rPr>
          <w:b/>
          <w:bCs/>
        </w:rPr>
        <w:t xml:space="preserve">of modern slavery and human trafficking </w:t>
      </w:r>
      <w:r w:rsidR="00B07A0A" w:rsidRPr="00A61E39">
        <w:rPr>
          <w:b/>
          <w:bCs/>
        </w:rPr>
        <w:t>have</w:t>
      </w:r>
      <w:r w:rsidR="00B07A0A" w:rsidRPr="00B07A0A">
        <w:t xml:space="preserve"> </w:t>
      </w:r>
      <w:r w:rsidR="00B07A0A" w:rsidRPr="00A61E39">
        <w:rPr>
          <w:b/>
          <w:bCs/>
        </w:rPr>
        <w:t>effective access to employment</w:t>
      </w:r>
      <w:r w:rsidR="00A61E39">
        <w:rPr>
          <w:b/>
          <w:bCs/>
        </w:rPr>
        <w:t>, education,</w:t>
      </w:r>
      <w:r w:rsidR="00B07A0A" w:rsidRPr="00A61E39">
        <w:rPr>
          <w:b/>
          <w:bCs/>
        </w:rPr>
        <w:t xml:space="preserve"> housing and social security</w:t>
      </w:r>
      <w:r w:rsidR="00A61E39" w:rsidRPr="00A61E39">
        <w:rPr>
          <w:b/>
          <w:bCs/>
        </w:rPr>
        <w:t xml:space="preserve">, in order to </w:t>
      </w:r>
      <w:r w:rsidR="001F2561" w:rsidRPr="00A61E39">
        <w:rPr>
          <w:b/>
          <w:bCs/>
        </w:rPr>
        <w:t>build their resilience and reduce the likelihood of re-trafficking</w:t>
      </w:r>
      <w:r w:rsidR="00A61E39">
        <w:rPr>
          <w:b/>
          <w:bCs/>
        </w:rPr>
        <w:t>.</w:t>
      </w:r>
    </w:p>
    <w:p w14:paraId="6401D0CD" w14:textId="77777777" w:rsidR="00A13A46" w:rsidRPr="00C61E56" w:rsidRDefault="00A13A46" w:rsidP="00C61E56">
      <w:pPr>
        <w:suppressAutoHyphens/>
        <w:spacing w:line="288" w:lineRule="auto"/>
        <w:rPr>
          <w:b/>
          <w:bCs/>
        </w:rPr>
      </w:pPr>
    </w:p>
    <w:p w14:paraId="5A80D53A" w14:textId="77777777" w:rsidR="00F81EDC" w:rsidRPr="00894F76" w:rsidRDefault="00F81EDC" w:rsidP="00962C1B">
      <w:pPr>
        <w:pStyle w:val="Heading2"/>
      </w:pPr>
      <w:bookmarkStart w:id="9" w:name="_Toc125375771"/>
      <w:r w:rsidRPr="00894F76">
        <w:t>Child victims</w:t>
      </w:r>
      <w:bookmarkEnd w:id="9"/>
    </w:p>
    <w:p w14:paraId="0BE4904F" w14:textId="77777777" w:rsidR="00F81EDC" w:rsidRPr="00F81EDC" w:rsidRDefault="00F81EDC" w:rsidP="00962C1B">
      <w:pPr>
        <w:spacing w:line="288" w:lineRule="auto"/>
        <w:rPr>
          <w:rFonts w:cs="Arial"/>
          <w:bCs/>
        </w:rPr>
      </w:pPr>
    </w:p>
    <w:p w14:paraId="10A8B536" w14:textId="77777777" w:rsidR="00F81EDC" w:rsidRDefault="006A0BA9" w:rsidP="001E3B8F">
      <w:pPr>
        <w:pStyle w:val="ListParagraph"/>
        <w:numPr>
          <w:ilvl w:val="1"/>
          <w:numId w:val="19"/>
        </w:numPr>
        <w:suppressAutoHyphens/>
        <w:spacing w:after="240" w:line="288" w:lineRule="auto"/>
        <w:ind w:left="709"/>
      </w:pPr>
      <w:r w:rsidRPr="00F81EDC">
        <w:rPr>
          <w:rFonts w:cs="Arial"/>
          <w:bCs/>
        </w:rPr>
        <w:t xml:space="preserve">Specific international </w:t>
      </w:r>
      <w:r w:rsidRPr="00B82E56">
        <w:t xml:space="preserve">obligations are placed on </w:t>
      </w:r>
      <w:r>
        <w:t>States</w:t>
      </w:r>
      <w:r w:rsidRPr="00B82E56">
        <w:t xml:space="preserve"> in the context of combating </w:t>
      </w:r>
      <w:r w:rsidR="00B469CE">
        <w:t>the</w:t>
      </w:r>
      <w:r w:rsidRPr="00B82E56">
        <w:t xml:space="preserve"> trafficking and exploitation of children</w:t>
      </w:r>
      <w:r w:rsidR="00B469CE">
        <w:t>.</w:t>
      </w:r>
      <w:r w:rsidR="00E63514">
        <w:rPr>
          <w:rStyle w:val="FootnoteReference"/>
        </w:rPr>
        <w:footnoteReference w:id="31"/>
      </w:r>
      <w:r>
        <w:t xml:space="preserve"> </w:t>
      </w:r>
      <w:r w:rsidR="00B469CE">
        <w:t xml:space="preserve">Children are particularly </w:t>
      </w:r>
      <w:r w:rsidR="00F13FBF">
        <w:t>vulnerability</w:t>
      </w:r>
      <w:r>
        <w:t xml:space="preserve"> to </w:t>
      </w:r>
      <w:r w:rsidR="007E13D1">
        <w:t xml:space="preserve">coercion and abuse </w:t>
      </w:r>
      <w:r w:rsidR="00E76358">
        <w:t>on account of</w:t>
      </w:r>
      <w:r w:rsidR="007E13D1">
        <w:t xml:space="preserve"> their age and dependency on others for care.</w:t>
      </w:r>
      <w:r w:rsidR="005B6065">
        <w:t xml:space="preserve"> Therefore, </w:t>
      </w:r>
      <w:r w:rsidR="00257A92">
        <w:t xml:space="preserve">the range </w:t>
      </w:r>
      <w:r w:rsidR="00A63BC4">
        <w:t xml:space="preserve">of situations in which children could be subject to trafficking and exploitation </w:t>
      </w:r>
      <w:r w:rsidR="007B7350">
        <w:t>may differ to that of adults</w:t>
      </w:r>
      <w:r w:rsidR="00CD0B26">
        <w:t xml:space="preserve">. </w:t>
      </w:r>
    </w:p>
    <w:p w14:paraId="33A6941A" w14:textId="77777777" w:rsidR="00F81EDC" w:rsidRDefault="00F81EDC" w:rsidP="00962C1B">
      <w:pPr>
        <w:pStyle w:val="ListParagraph"/>
        <w:suppressAutoHyphens/>
        <w:spacing w:after="240" w:line="288" w:lineRule="auto"/>
        <w:ind w:left="709"/>
      </w:pPr>
    </w:p>
    <w:p w14:paraId="17F09D63" w14:textId="19300CDC" w:rsidR="006B4859" w:rsidRDefault="004939CA" w:rsidP="004C57F1">
      <w:pPr>
        <w:pStyle w:val="ListParagraph"/>
        <w:numPr>
          <w:ilvl w:val="1"/>
          <w:numId w:val="19"/>
        </w:numPr>
        <w:suppressAutoHyphens/>
        <w:spacing w:line="288" w:lineRule="auto"/>
        <w:ind w:left="709"/>
      </w:pPr>
      <w:r>
        <w:t xml:space="preserve">In 2020, the Criminal Justice Inspection NI highlighted </w:t>
      </w:r>
      <w:r w:rsidR="00AA1CB2">
        <w:t>that, in respect of child trafficking,</w:t>
      </w:r>
      <w:r>
        <w:t xml:space="preserve"> “greater awareness of the potential for internal trafficking was required”.</w:t>
      </w:r>
      <w:r>
        <w:rPr>
          <w:rStyle w:val="FootnoteReference"/>
        </w:rPr>
        <w:footnoteReference w:id="32"/>
      </w:r>
      <w:r>
        <w:t xml:space="preserve"> The </w:t>
      </w:r>
      <w:r w:rsidR="006E2145">
        <w:t>Criminal Justice</w:t>
      </w:r>
      <w:r>
        <w:t xml:space="preserve"> Inspection </w:t>
      </w:r>
      <w:r w:rsidR="008C41AA">
        <w:t>highlighted</w:t>
      </w:r>
      <w:r w:rsidR="00B31055">
        <w:t xml:space="preserve"> </w:t>
      </w:r>
      <w:r w:rsidR="0093329F">
        <w:t xml:space="preserve">the </w:t>
      </w:r>
      <w:r w:rsidR="00876502">
        <w:t>links to child sexual exploitation</w:t>
      </w:r>
      <w:r w:rsidR="004678C4">
        <w:t>, including child</w:t>
      </w:r>
      <w:r w:rsidR="00886991">
        <w:t xml:space="preserve">ren </w:t>
      </w:r>
      <w:r w:rsidR="004678C4">
        <w:t xml:space="preserve">who </w:t>
      </w:r>
      <w:r w:rsidR="00FD1CA2">
        <w:t>are trafficked from one part of NI to another</w:t>
      </w:r>
      <w:r w:rsidR="00966286">
        <w:t>.</w:t>
      </w:r>
      <w:r w:rsidR="00DE0D83">
        <w:rPr>
          <w:rStyle w:val="FootnoteReference"/>
        </w:rPr>
        <w:footnoteReference w:id="33"/>
      </w:r>
      <w:r w:rsidR="00966286">
        <w:t xml:space="preserve"> </w:t>
      </w:r>
      <w:r w:rsidR="00F43C03">
        <w:t xml:space="preserve">It also </w:t>
      </w:r>
      <w:r w:rsidR="00AD62DC">
        <w:t>emphasised</w:t>
      </w:r>
      <w:r w:rsidR="00F43C03">
        <w:t xml:space="preserve"> the</w:t>
      </w:r>
      <w:r w:rsidR="00AD62DC">
        <w:t xml:space="preserve"> high</w:t>
      </w:r>
      <w:r w:rsidR="00F43C03">
        <w:t xml:space="preserve"> </w:t>
      </w:r>
      <w:r>
        <w:t>risk that child victims and potential child victims of trafficking may go missing</w:t>
      </w:r>
      <w:r w:rsidR="004B6B09">
        <w:t>,</w:t>
      </w:r>
      <w:r w:rsidR="00407A74">
        <w:t xml:space="preserve"> which should form part of</w:t>
      </w:r>
      <w:r w:rsidR="00277FE6">
        <w:t xml:space="preserve"> th</w:t>
      </w:r>
      <w:r w:rsidR="00CE1699">
        <w:t>e</w:t>
      </w:r>
      <w:r w:rsidR="00407A74">
        <w:t xml:space="preserve"> </w:t>
      </w:r>
      <w:r w:rsidR="00247241">
        <w:t>risk assessment</w:t>
      </w:r>
      <w:r w:rsidR="00CE1699">
        <w:t xml:space="preserve"> and identification p</w:t>
      </w:r>
      <w:r w:rsidR="00DC1A29">
        <w:t>rocedures</w:t>
      </w:r>
      <w:r w:rsidR="0096759D">
        <w:t>.</w:t>
      </w:r>
      <w:r w:rsidR="006B4859">
        <w:rPr>
          <w:rStyle w:val="FootnoteReference"/>
        </w:rPr>
        <w:footnoteReference w:id="34"/>
      </w:r>
      <w:r w:rsidR="004B6B09">
        <w:t xml:space="preserve"> </w:t>
      </w:r>
    </w:p>
    <w:p w14:paraId="4C1DF1D2" w14:textId="77777777" w:rsidR="007B5F05" w:rsidRDefault="007B5F05" w:rsidP="00340348"/>
    <w:p w14:paraId="068F8187" w14:textId="68290F5A" w:rsidR="004C57F1" w:rsidRDefault="003B1917" w:rsidP="00587708">
      <w:pPr>
        <w:pStyle w:val="ListParagraph"/>
        <w:numPr>
          <w:ilvl w:val="1"/>
          <w:numId w:val="19"/>
        </w:numPr>
        <w:suppressAutoHyphens/>
        <w:spacing w:line="288" w:lineRule="auto"/>
        <w:ind w:left="709"/>
      </w:pPr>
      <w:r>
        <w:t>The NIHRC notes</w:t>
      </w:r>
      <w:r w:rsidR="00601FA4">
        <w:t xml:space="preserve"> emerging </w:t>
      </w:r>
      <w:r w:rsidR="0096714A">
        <w:t>concerns</w:t>
      </w:r>
      <w:r w:rsidR="00601FA4">
        <w:t xml:space="preserve"> </w:t>
      </w:r>
      <w:r w:rsidR="006F3934">
        <w:t>regarding</w:t>
      </w:r>
      <w:r w:rsidR="00190A15">
        <w:t xml:space="preserve"> </w:t>
      </w:r>
      <w:r w:rsidR="006F3934">
        <w:t xml:space="preserve">the </w:t>
      </w:r>
      <w:r w:rsidR="000912CD">
        <w:t>exploitation</w:t>
      </w:r>
      <w:r w:rsidR="006F3934">
        <w:t xml:space="preserve"> of children</w:t>
      </w:r>
      <w:r w:rsidR="000912CD">
        <w:t xml:space="preserve"> by criminal or paramilitary g</w:t>
      </w:r>
      <w:r w:rsidR="00C317A0">
        <w:t>roup</w:t>
      </w:r>
      <w:r w:rsidR="000912CD">
        <w:t>s</w:t>
      </w:r>
      <w:r w:rsidR="00196245">
        <w:t xml:space="preserve"> in NI</w:t>
      </w:r>
      <w:r w:rsidR="00190A15">
        <w:t>.</w:t>
      </w:r>
      <w:r w:rsidR="00190A15">
        <w:rPr>
          <w:rStyle w:val="FootnoteReference"/>
        </w:rPr>
        <w:footnoteReference w:id="35"/>
      </w:r>
      <w:r w:rsidR="0096714A">
        <w:t xml:space="preserve"> </w:t>
      </w:r>
      <w:r w:rsidR="00BE0F61">
        <w:t xml:space="preserve">The </w:t>
      </w:r>
      <w:r w:rsidR="009A104A">
        <w:t>House of Commons</w:t>
      </w:r>
      <w:r w:rsidR="00BE0F61">
        <w:t xml:space="preserve"> NI Affairs Committee is </w:t>
      </w:r>
      <w:r w:rsidR="0038323A">
        <w:t xml:space="preserve">currently </w:t>
      </w:r>
      <w:r w:rsidR="00BE0F61">
        <w:t xml:space="preserve">conducting an inquiry </w:t>
      </w:r>
      <w:r w:rsidR="00BE0F61">
        <w:lastRenderedPageBreak/>
        <w:t xml:space="preserve">into the effect of </w:t>
      </w:r>
      <w:r w:rsidR="00340348" w:rsidRPr="00340348">
        <w:t>paramilitary activity and organised crime on society</w:t>
      </w:r>
      <w:r w:rsidR="00A355F8">
        <w:t xml:space="preserve"> in N</w:t>
      </w:r>
      <w:r w:rsidR="00063FBF">
        <w:t xml:space="preserve">I, including </w:t>
      </w:r>
      <w:r w:rsidR="00A355F8" w:rsidRPr="00A355F8">
        <w:t>the effectiveness of current measures</w:t>
      </w:r>
      <w:r w:rsidR="003A4381">
        <w:t xml:space="preserve"> aimed at tackling it</w:t>
      </w:r>
      <w:r w:rsidR="007C4BBA">
        <w:t>.</w:t>
      </w:r>
      <w:r w:rsidR="00A803BA">
        <w:rPr>
          <w:rStyle w:val="FootnoteReference"/>
        </w:rPr>
        <w:footnoteReference w:id="36"/>
      </w:r>
      <w:r w:rsidR="007C4BBA">
        <w:t xml:space="preserve"> </w:t>
      </w:r>
    </w:p>
    <w:p w14:paraId="0A3EE1D1" w14:textId="77777777" w:rsidR="002C3BF7" w:rsidRDefault="002C3BF7" w:rsidP="002C3BF7">
      <w:pPr>
        <w:suppressAutoHyphens/>
        <w:spacing w:line="288" w:lineRule="auto"/>
      </w:pPr>
    </w:p>
    <w:p w14:paraId="785C5C9C" w14:textId="0F67E36B" w:rsidR="00F81EDC" w:rsidRDefault="00A665BB" w:rsidP="001E3B8F">
      <w:pPr>
        <w:pStyle w:val="ListParagraph"/>
        <w:numPr>
          <w:ilvl w:val="1"/>
          <w:numId w:val="19"/>
        </w:numPr>
        <w:suppressAutoHyphens/>
        <w:spacing w:after="240" w:line="288" w:lineRule="auto"/>
        <w:ind w:left="709"/>
      </w:pPr>
      <w:r>
        <w:t xml:space="preserve">In 2021, the Independent Anti-Slavery Commissioner </w:t>
      </w:r>
      <w:r w:rsidR="00AB7E04">
        <w:t xml:space="preserve">and EPCAT UK published a snapshot report of </w:t>
      </w:r>
      <w:r w:rsidR="009D7E7A">
        <w:t xml:space="preserve">child trafficking in the UK. </w:t>
      </w:r>
      <w:r w:rsidR="00075639">
        <w:t>It</w:t>
      </w:r>
      <w:r w:rsidR="00853500">
        <w:t xml:space="preserve"> highlighted concerns </w:t>
      </w:r>
      <w:r w:rsidR="00CD1D1A">
        <w:t xml:space="preserve">raised by </w:t>
      </w:r>
      <w:r w:rsidR="00853500">
        <w:t>the Independent Guardian Service regarding, “the lack of non-governmental organisations in NI with expertise in child trafficking designated as NRM First Responders, as well as appropriate provisions for mental health support, access to adequate education and appropriate placements for children”.</w:t>
      </w:r>
      <w:r w:rsidR="00843224">
        <w:rPr>
          <w:rStyle w:val="FootnoteReference"/>
        </w:rPr>
        <w:footnoteReference w:id="37"/>
      </w:r>
      <w:r w:rsidR="00853500">
        <w:t xml:space="preserve"> </w:t>
      </w:r>
    </w:p>
    <w:p w14:paraId="611EE90E" w14:textId="77777777" w:rsidR="00984FFB" w:rsidRDefault="00984FFB" w:rsidP="00984FFB">
      <w:pPr>
        <w:pStyle w:val="ListParagraph"/>
      </w:pPr>
    </w:p>
    <w:p w14:paraId="1F8C36CC" w14:textId="37F25956" w:rsidR="00984FFB" w:rsidRDefault="00984FFB" w:rsidP="001E3B8F">
      <w:pPr>
        <w:pStyle w:val="ListParagraph"/>
        <w:numPr>
          <w:ilvl w:val="1"/>
          <w:numId w:val="19"/>
        </w:numPr>
        <w:suppressAutoHyphens/>
        <w:spacing w:after="240" w:line="288" w:lineRule="auto"/>
        <w:ind w:left="709"/>
      </w:pPr>
      <w:r>
        <w:t>Therefore, the NIHRC welcomes the inclusion of more child specific measures within the new strategy and particularly the</w:t>
      </w:r>
      <w:r w:rsidR="00FD0122">
        <w:t xml:space="preserve"> commitment to expanding the </w:t>
      </w:r>
      <w:r w:rsidR="0066732A">
        <w:t xml:space="preserve">list of </w:t>
      </w:r>
      <w:r w:rsidR="00FD0122">
        <w:t>First Responder</w:t>
      </w:r>
      <w:r w:rsidR="00E404DA">
        <w:t xml:space="preserve"> organisations to </w:t>
      </w:r>
      <w:r w:rsidR="00782BFA">
        <w:t>include youth work representatives. However, the NIHRC</w:t>
      </w:r>
      <w:r w:rsidR="00445658">
        <w:t xml:space="preserve"> </w:t>
      </w:r>
      <w:r w:rsidR="007F7F45">
        <w:t>reiterates the importance of ensuring</w:t>
      </w:r>
      <w:r w:rsidR="0072741E">
        <w:t xml:space="preserve"> practitioners </w:t>
      </w:r>
      <w:r w:rsidR="001668FE">
        <w:t>are a</w:t>
      </w:r>
      <w:r w:rsidR="00CC7275">
        <w:t xml:space="preserve">ware of and able to identify where the modern slavery and human trafficking of children </w:t>
      </w:r>
      <w:r w:rsidR="00E00C4A">
        <w:t>might be happening in all its forms in NI</w:t>
      </w:r>
      <w:r w:rsidR="007F7F45">
        <w:t>.</w:t>
      </w:r>
      <w:r w:rsidR="00B34DF8">
        <w:t xml:space="preserve"> </w:t>
      </w:r>
      <w:r w:rsidR="00E00C4A" w:rsidRPr="00E00C4A">
        <w:t>This includes highlighting the links with child sexual exploitation, missing children, child criminal exploitation, online exploitation, forced marriage, forced labour and domestic servitude</w:t>
      </w:r>
      <w:r w:rsidR="00E00C4A">
        <w:t>.</w:t>
      </w:r>
    </w:p>
    <w:p w14:paraId="0A59C84F" w14:textId="77777777" w:rsidR="00F81EDC" w:rsidRDefault="00F81EDC" w:rsidP="00962C1B">
      <w:pPr>
        <w:pStyle w:val="ListParagraph"/>
        <w:spacing w:line="288" w:lineRule="auto"/>
      </w:pPr>
    </w:p>
    <w:p w14:paraId="0B340058" w14:textId="660399FE" w:rsidR="00F81EDC" w:rsidRPr="00124CDA" w:rsidRDefault="007502BB" w:rsidP="001E3B8F">
      <w:pPr>
        <w:pStyle w:val="ListParagraph"/>
        <w:numPr>
          <w:ilvl w:val="1"/>
          <w:numId w:val="19"/>
        </w:numPr>
        <w:suppressAutoHyphens/>
        <w:spacing w:after="240" w:line="288" w:lineRule="auto"/>
        <w:ind w:left="709"/>
        <w:rPr>
          <w:b/>
          <w:bCs/>
        </w:rPr>
      </w:pPr>
      <w:r w:rsidRPr="00124CDA">
        <w:rPr>
          <w:b/>
          <w:bCs/>
        </w:rPr>
        <w:t>The</w:t>
      </w:r>
      <w:r w:rsidR="00B469CE" w:rsidRPr="00124CDA">
        <w:rPr>
          <w:b/>
          <w:bCs/>
        </w:rPr>
        <w:t xml:space="preserve"> </w:t>
      </w:r>
      <w:r w:rsidR="00C61E56">
        <w:rPr>
          <w:b/>
          <w:bCs/>
        </w:rPr>
        <w:t>NIHRC</w:t>
      </w:r>
      <w:r w:rsidR="00B469CE" w:rsidRPr="00124CDA">
        <w:rPr>
          <w:b/>
          <w:bCs/>
        </w:rPr>
        <w:t xml:space="preserve"> </w:t>
      </w:r>
      <w:r w:rsidR="004E7A80" w:rsidRPr="00124CDA">
        <w:rPr>
          <w:b/>
          <w:bCs/>
        </w:rPr>
        <w:t>recommends</w:t>
      </w:r>
      <w:r w:rsidR="00B469CE" w:rsidRPr="00124CDA">
        <w:rPr>
          <w:b/>
          <w:bCs/>
        </w:rPr>
        <w:t xml:space="preserve"> </w:t>
      </w:r>
      <w:r w:rsidR="002B62F4">
        <w:rPr>
          <w:b/>
          <w:bCs/>
        </w:rPr>
        <w:t>that</w:t>
      </w:r>
      <w:r w:rsidR="004E7A80" w:rsidRPr="00124CDA">
        <w:rPr>
          <w:b/>
          <w:bCs/>
        </w:rPr>
        <w:t xml:space="preserve"> Strand 2 include</w:t>
      </w:r>
      <w:r w:rsidR="002B62F4">
        <w:rPr>
          <w:b/>
          <w:bCs/>
        </w:rPr>
        <w:t>s</w:t>
      </w:r>
      <w:r w:rsidR="004E7A80" w:rsidRPr="00124CDA">
        <w:rPr>
          <w:b/>
          <w:bCs/>
        </w:rPr>
        <w:t xml:space="preserve"> </w:t>
      </w:r>
      <w:r w:rsidR="00B9314A">
        <w:rPr>
          <w:b/>
          <w:bCs/>
        </w:rPr>
        <w:t>specific</w:t>
      </w:r>
      <w:r w:rsidR="004E7A80" w:rsidRPr="00124CDA">
        <w:rPr>
          <w:b/>
          <w:bCs/>
        </w:rPr>
        <w:t xml:space="preserve"> actions</w:t>
      </w:r>
      <w:r w:rsidR="00C546CF" w:rsidRPr="00124CDA">
        <w:rPr>
          <w:b/>
          <w:bCs/>
        </w:rPr>
        <w:t xml:space="preserve"> aimed at improving the</w:t>
      </w:r>
      <w:r w:rsidR="00EC6743">
        <w:rPr>
          <w:b/>
          <w:bCs/>
        </w:rPr>
        <w:t xml:space="preserve"> understanding and</w:t>
      </w:r>
      <w:r w:rsidR="00C546CF" w:rsidRPr="00124CDA">
        <w:rPr>
          <w:b/>
          <w:bCs/>
        </w:rPr>
        <w:t xml:space="preserve"> identification of</w:t>
      </w:r>
      <w:r w:rsidR="00304364" w:rsidRPr="00124CDA">
        <w:rPr>
          <w:b/>
          <w:bCs/>
        </w:rPr>
        <w:t xml:space="preserve"> </w:t>
      </w:r>
      <w:r w:rsidR="00B73560" w:rsidRPr="00124CDA">
        <w:rPr>
          <w:b/>
          <w:bCs/>
        </w:rPr>
        <w:t xml:space="preserve">child victims and potential victims of </w:t>
      </w:r>
      <w:r w:rsidR="00AF1A5C">
        <w:rPr>
          <w:b/>
          <w:bCs/>
        </w:rPr>
        <w:t xml:space="preserve">modern slavery and </w:t>
      </w:r>
      <w:r w:rsidR="00B73560" w:rsidRPr="00124CDA">
        <w:rPr>
          <w:b/>
          <w:bCs/>
        </w:rPr>
        <w:t xml:space="preserve">trafficking in </w:t>
      </w:r>
      <w:r w:rsidR="00AE38E5" w:rsidRPr="00124CDA">
        <w:rPr>
          <w:b/>
          <w:bCs/>
        </w:rPr>
        <w:t xml:space="preserve">all </w:t>
      </w:r>
      <w:r w:rsidR="00B73560" w:rsidRPr="00124CDA">
        <w:rPr>
          <w:b/>
          <w:bCs/>
        </w:rPr>
        <w:t xml:space="preserve">its </w:t>
      </w:r>
      <w:r w:rsidR="00AE38E5" w:rsidRPr="00124CDA">
        <w:rPr>
          <w:b/>
          <w:bCs/>
        </w:rPr>
        <w:t>forms</w:t>
      </w:r>
      <w:r w:rsidR="009C0EA7">
        <w:rPr>
          <w:b/>
          <w:bCs/>
        </w:rPr>
        <w:t xml:space="preserve"> in NI</w:t>
      </w:r>
      <w:r w:rsidR="00A33BC7">
        <w:rPr>
          <w:b/>
          <w:bCs/>
        </w:rPr>
        <w:t xml:space="preserve">. This includes ensuring </w:t>
      </w:r>
      <w:r w:rsidR="00F74996">
        <w:rPr>
          <w:b/>
          <w:bCs/>
        </w:rPr>
        <w:t xml:space="preserve">an </w:t>
      </w:r>
      <w:r w:rsidR="009C0EA7">
        <w:rPr>
          <w:b/>
          <w:bCs/>
        </w:rPr>
        <w:t xml:space="preserve">awareness of </w:t>
      </w:r>
      <w:r w:rsidR="00D008FB">
        <w:rPr>
          <w:b/>
          <w:bCs/>
        </w:rPr>
        <w:t xml:space="preserve">the </w:t>
      </w:r>
      <w:r w:rsidR="009E0F2C">
        <w:rPr>
          <w:b/>
          <w:bCs/>
        </w:rPr>
        <w:t>specific safeguarding intervention</w:t>
      </w:r>
      <w:r w:rsidR="00196245">
        <w:rPr>
          <w:b/>
          <w:bCs/>
        </w:rPr>
        <w:t>s</w:t>
      </w:r>
      <w:r w:rsidR="00D008FB">
        <w:rPr>
          <w:b/>
          <w:bCs/>
        </w:rPr>
        <w:t xml:space="preserve"> </w:t>
      </w:r>
      <w:r w:rsidR="0019413B">
        <w:rPr>
          <w:b/>
          <w:bCs/>
        </w:rPr>
        <w:t>in accordance with</w:t>
      </w:r>
      <w:r w:rsidR="00AC0F8F">
        <w:rPr>
          <w:b/>
          <w:bCs/>
        </w:rPr>
        <w:t xml:space="preserve"> </w:t>
      </w:r>
      <w:r w:rsidR="006711C7">
        <w:rPr>
          <w:b/>
          <w:bCs/>
        </w:rPr>
        <w:t>a victim</w:t>
      </w:r>
      <w:r w:rsidR="00C22D2E">
        <w:rPr>
          <w:b/>
          <w:bCs/>
        </w:rPr>
        <w:t>’</w:t>
      </w:r>
      <w:r w:rsidR="006711C7">
        <w:rPr>
          <w:b/>
          <w:bCs/>
        </w:rPr>
        <w:t xml:space="preserve">s </w:t>
      </w:r>
      <w:r w:rsidR="00C22D2E">
        <w:rPr>
          <w:b/>
          <w:bCs/>
        </w:rPr>
        <w:t>identified</w:t>
      </w:r>
      <w:r w:rsidR="00AF1A5C">
        <w:rPr>
          <w:b/>
          <w:bCs/>
        </w:rPr>
        <w:t xml:space="preserve"> needs</w:t>
      </w:r>
      <w:r w:rsidR="00ED16A1" w:rsidRPr="00124CDA">
        <w:rPr>
          <w:b/>
          <w:bCs/>
        </w:rPr>
        <w:t>.</w:t>
      </w:r>
    </w:p>
    <w:p w14:paraId="64FDD80E" w14:textId="77777777" w:rsidR="00F81EDC" w:rsidRDefault="00F81EDC" w:rsidP="00962C1B">
      <w:pPr>
        <w:pStyle w:val="ListParagraph"/>
        <w:spacing w:line="288" w:lineRule="auto"/>
      </w:pPr>
    </w:p>
    <w:p w14:paraId="20ED9CD3" w14:textId="5F2BCB26" w:rsidR="00124CDA" w:rsidRDefault="008A0558" w:rsidP="001E3B8F">
      <w:pPr>
        <w:pStyle w:val="ListParagraph"/>
        <w:numPr>
          <w:ilvl w:val="1"/>
          <w:numId w:val="19"/>
        </w:numPr>
        <w:suppressAutoHyphens/>
        <w:spacing w:after="240" w:line="288" w:lineRule="auto"/>
        <w:ind w:left="709"/>
        <w:rPr>
          <w:b/>
          <w:bCs/>
        </w:rPr>
      </w:pPr>
      <w:r w:rsidRPr="00124CDA">
        <w:rPr>
          <w:b/>
          <w:bCs/>
        </w:rPr>
        <w:t xml:space="preserve">The </w:t>
      </w:r>
      <w:r w:rsidR="00462152">
        <w:rPr>
          <w:b/>
          <w:bCs/>
        </w:rPr>
        <w:t>NIHRC</w:t>
      </w:r>
      <w:r w:rsidRPr="00124CDA">
        <w:rPr>
          <w:b/>
          <w:bCs/>
        </w:rPr>
        <w:t xml:space="preserve"> recommends that</w:t>
      </w:r>
      <w:r w:rsidR="00462152">
        <w:rPr>
          <w:b/>
          <w:bCs/>
        </w:rPr>
        <w:t xml:space="preserve"> Strand 2 includes a</w:t>
      </w:r>
      <w:r w:rsidRPr="00124CDA">
        <w:rPr>
          <w:b/>
          <w:bCs/>
        </w:rPr>
        <w:t xml:space="preserve"> </w:t>
      </w:r>
      <w:r w:rsidR="001E4797" w:rsidRPr="00124CDA">
        <w:rPr>
          <w:b/>
          <w:bCs/>
        </w:rPr>
        <w:t xml:space="preserve">specific commitment </w:t>
      </w:r>
      <w:r w:rsidR="00326C42" w:rsidRPr="00124CDA">
        <w:rPr>
          <w:b/>
          <w:bCs/>
        </w:rPr>
        <w:t xml:space="preserve">on </w:t>
      </w:r>
      <w:r w:rsidR="001E4797" w:rsidRPr="00124CDA">
        <w:rPr>
          <w:b/>
          <w:bCs/>
        </w:rPr>
        <w:t xml:space="preserve">supporting </w:t>
      </w:r>
      <w:r w:rsidR="00AF1A5C">
        <w:rPr>
          <w:b/>
          <w:bCs/>
        </w:rPr>
        <w:t>the</w:t>
      </w:r>
      <w:r w:rsidR="00CA2D76" w:rsidRPr="00124CDA">
        <w:rPr>
          <w:b/>
          <w:bCs/>
        </w:rPr>
        <w:t xml:space="preserve"> </w:t>
      </w:r>
      <w:r w:rsidR="001E4797" w:rsidRPr="00124CDA">
        <w:rPr>
          <w:b/>
          <w:bCs/>
        </w:rPr>
        <w:t>recovery</w:t>
      </w:r>
      <w:r w:rsidR="00AF1A5C">
        <w:rPr>
          <w:b/>
          <w:bCs/>
        </w:rPr>
        <w:t xml:space="preserve"> of a child victim of human trafficking and modern slavery</w:t>
      </w:r>
      <w:r w:rsidR="00462152">
        <w:rPr>
          <w:b/>
          <w:bCs/>
        </w:rPr>
        <w:t xml:space="preserve">, </w:t>
      </w:r>
      <w:r w:rsidR="006B4401" w:rsidRPr="00124CDA">
        <w:rPr>
          <w:b/>
          <w:bCs/>
        </w:rPr>
        <w:t xml:space="preserve">to </w:t>
      </w:r>
      <w:r w:rsidR="008F0945" w:rsidRPr="00124CDA">
        <w:rPr>
          <w:b/>
          <w:bCs/>
        </w:rPr>
        <w:t xml:space="preserve">ensure that </w:t>
      </w:r>
      <w:r w:rsidR="006B4401" w:rsidRPr="00124CDA">
        <w:rPr>
          <w:b/>
          <w:bCs/>
        </w:rPr>
        <w:t xml:space="preserve">all </w:t>
      </w:r>
      <w:r w:rsidR="00AF1A5C">
        <w:rPr>
          <w:b/>
          <w:bCs/>
        </w:rPr>
        <w:t xml:space="preserve">affected </w:t>
      </w:r>
      <w:r w:rsidR="008F0945" w:rsidRPr="00124CDA">
        <w:rPr>
          <w:b/>
          <w:bCs/>
        </w:rPr>
        <w:t>child</w:t>
      </w:r>
      <w:r w:rsidR="006B4401" w:rsidRPr="00124CDA">
        <w:rPr>
          <w:b/>
          <w:bCs/>
        </w:rPr>
        <w:t>ren</w:t>
      </w:r>
      <w:r w:rsidR="008F0945" w:rsidRPr="00124CDA">
        <w:rPr>
          <w:b/>
          <w:bCs/>
        </w:rPr>
        <w:t xml:space="preserve"> have access to </w:t>
      </w:r>
      <w:r w:rsidR="00DA460F">
        <w:rPr>
          <w:b/>
          <w:bCs/>
        </w:rPr>
        <w:t xml:space="preserve">necessary </w:t>
      </w:r>
      <w:r w:rsidR="00DA460F" w:rsidRPr="00124CDA">
        <w:rPr>
          <w:b/>
          <w:bCs/>
        </w:rPr>
        <w:t>supports</w:t>
      </w:r>
      <w:r w:rsidR="00DA460F">
        <w:rPr>
          <w:b/>
          <w:bCs/>
        </w:rPr>
        <w:t xml:space="preserve">, such as </w:t>
      </w:r>
      <w:r w:rsidR="008F0945" w:rsidRPr="00124CDA">
        <w:rPr>
          <w:b/>
          <w:bCs/>
        </w:rPr>
        <w:t>specialist mental health services</w:t>
      </w:r>
      <w:r w:rsidR="00EF3A6D">
        <w:rPr>
          <w:b/>
          <w:bCs/>
        </w:rPr>
        <w:t>, e</w:t>
      </w:r>
      <w:r w:rsidR="00DA460F">
        <w:rPr>
          <w:b/>
          <w:bCs/>
        </w:rPr>
        <w:t>ducation, and accommodation</w:t>
      </w:r>
      <w:r w:rsidR="00D5316C" w:rsidRPr="00124CDA">
        <w:rPr>
          <w:b/>
          <w:bCs/>
        </w:rPr>
        <w:t>.</w:t>
      </w:r>
      <w:r w:rsidR="00660689" w:rsidRPr="00124CDA">
        <w:rPr>
          <w:b/>
          <w:bCs/>
        </w:rPr>
        <w:t xml:space="preserve"> </w:t>
      </w:r>
    </w:p>
    <w:p w14:paraId="36DEF56E" w14:textId="77777777" w:rsidR="002C3BF7" w:rsidRPr="002C3BF7" w:rsidRDefault="002C3BF7" w:rsidP="002C3BF7">
      <w:pPr>
        <w:pStyle w:val="ListParagraph"/>
        <w:rPr>
          <w:b/>
          <w:bCs/>
        </w:rPr>
      </w:pPr>
    </w:p>
    <w:p w14:paraId="40538890" w14:textId="353BE5B1" w:rsidR="002C3BF7" w:rsidRPr="002C3BF7" w:rsidRDefault="002C3BF7" w:rsidP="002C3BF7">
      <w:pPr>
        <w:pStyle w:val="ListParagraph"/>
        <w:numPr>
          <w:ilvl w:val="1"/>
          <w:numId w:val="19"/>
        </w:numPr>
        <w:suppressAutoHyphens/>
        <w:spacing w:line="288" w:lineRule="auto"/>
        <w:ind w:left="709"/>
        <w:rPr>
          <w:b/>
          <w:bCs/>
        </w:rPr>
      </w:pPr>
      <w:r w:rsidRPr="002C3BF7">
        <w:rPr>
          <w:b/>
          <w:bCs/>
        </w:rPr>
        <w:t xml:space="preserve">The NIHRC </w:t>
      </w:r>
      <w:r w:rsidR="000719AC">
        <w:rPr>
          <w:b/>
          <w:bCs/>
        </w:rPr>
        <w:t>recommends</w:t>
      </w:r>
      <w:r w:rsidRPr="002C3BF7">
        <w:rPr>
          <w:b/>
          <w:bCs/>
        </w:rPr>
        <w:t xml:space="preserve"> that the Department of Justice</w:t>
      </w:r>
      <w:r w:rsidR="000541E7">
        <w:rPr>
          <w:b/>
          <w:bCs/>
        </w:rPr>
        <w:t xml:space="preserve"> </w:t>
      </w:r>
      <w:r w:rsidR="00C64BAC">
        <w:rPr>
          <w:b/>
          <w:bCs/>
        </w:rPr>
        <w:t xml:space="preserve">closely </w:t>
      </w:r>
      <w:r w:rsidRPr="002C3BF7">
        <w:rPr>
          <w:b/>
          <w:bCs/>
        </w:rPr>
        <w:t>consider</w:t>
      </w:r>
      <w:r w:rsidR="00E9062F">
        <w:rPr>
          <w:b/>
          <w:bCs/>
        </w:rPr>
        <w:t>s the</w:t>
      </w:r>
      <w:r w:rsidRPr="002C3BF7">
        <w:rPr>
          <w:b/>
          <w:bCs/>
        </w:rPr>
        <w:t xml:space="preserve"> findings </w:t>
      </w:r>
      <w:r w:rsidR="00E9062F">
        <w:rPr>
          <w:b/>
          <w:bCs/>
        </w:rPr>
        <w:t xml:space="preserve">of the </w:t>
      </w:r>
      <w:r w:rsidR="00E9062F" w:rsidRPr="00E9062F">
        <w:rPr>
          <w:b/>
          <w:bCs/>
        </w:rPr>
        <w:t xml:space="preserve">NI Affairs Committee </w:t>
      </w:r>
      <w:r w:rsidR="00E9062F">
        <w:rPr>
          <w:b/>
          <w:bCs/>
        </w:rPr>
        <w:t>inquiry</w:t>
      </w:r>
      <w:r w:rsidR="000541E7" w:rsidRPr="000541E7">
        <w:rPr>
          <w:b/>
          <w:bCs/>
        </w:rPr>
        <w:t xml:space="preserve"> </w:t>
      </w:r>
      <w:r w:rsidR="00C41EA2">
        <w:rPr>
          <w:b/>
          <w:bCs/>
        </w:rPr>
        <w:t xml:space="preserve">into </w:t>
      </w:r>
      <w:r w:rsidR="00C41EA2" w:rsidRPr="00C41EA2">
        <w:rPr>
          <w:b/>
          <w:bCs/>
        </w:rPr>
        <w:t>paramilitary activity and organised crime in NI</w:t>
      </w:r>
      <w:r w:rsidR="00C41EA2">
        <w:t xml:space="preserve"> </w:t>
      </w:r>
      <w:r w:rsidR="00705EE7">
        <w:rPr>
          <w:b/>
          <w:bCs/>
        </w:rPr>
        <w:t xml:space="preserve">and </w:t>
      </w:r>
      <w:r w:rsidR="004E684C">
        <w:rPr>
          <w:b/>
          <w:bCs/>
        </w:rPr>
        <w:t xml:space="preserve">monitors </w:t>
      </w:r>
      <w:r w:rsidR="00C857EB">
        <w:rPr>
          <w:b/>
          <w:bCs/>
        </w:rPr>
        <w:t xml:space="preserve">any relevant recommendations </w:t>
      </w:r>
      <w:r w:rsidR="000A3F22">
        <w:rPr>
          <w:b/>
          <w:bCs/>
        </w:rPr>
        <w:t>through the annual</w:t>
      </w:r>
      <w:r w:rsidRPr="002C3BF7">
        <w:rPr>
          <w:b/>
          <w:bCs/>
        </w:rPr>
        <w:t xml:space="preserve"> reports to ensure child trafficking concerns are subject to multi-agency discussion and co-ordination.</w:t>
      </w:r>
    </w:p>
    <w:p w14:paraId="2E1D58A8" w14:textId="77777777" w:rsidR="002C3BF7" w:rsidRPr="002C3BF7" w:rsidRDefault="002C3BF7" w:rsidP="002C3BF7">
      <w:pPr>
        <w:suppressAutoHyphens/>
        <w:spacing w:after="240" w:line="288" w:lineRule="auto"/>
        <w:rPr>
          <w:b/>
          <w:bCs/>
        </w:rPr>
      </w:pPr>
    </w:p>
    <w:p w14:paraId="01C902C7" w14:textId="30253C64" w:rsidR="00F81EDC" w:rsidRDefault="006354AC" w:rsidP="00124CDA">
      <w:pPr>
        <w:pStyle w:val="Heading2"/>
      </w:pPr>
      <w:bookmarkStart w:id="10" w:name="_Toc125375772"/>
      <w:r>
        <w:t>Nationality and Borders Act</w:t>
      </w:r>
      <w:bookmarkEnd w:id="10"/>
      <w:r>
        <w:t xml:space="preserve"> </w:t>
      </w:r>
    </w:p>
    <w:p w14:paraId="1F8A8E50" w14:textId="77777777" w:rsidR="006354AC" w:rsidRDefault="006354AC" w:rsidP="006354AC">
      <w:pPr>
        <w:spacing w:line="288" w:lineRule="auto"/>
      </w:pPr>
    </w:p>
    <w:p w14:paraId="58C29B3D" w14:textId="0ED5E116" w:rsidR="00F81EDC" w:rsidRDefault="0044147C" w:rsidP="001E3B8F">
      <w:pPr>
        <w:pStyle w:val="ListParagraph"/>
        <w:numPr>
          <w:ilvl w:val="1"/>
          <w:numId w:val="19"/>
        </w:numPr>
        <w:suppressAutoHyphens/>
        <w:spacing w:after="240" w:line="288" w:lineRule="auto"/>
        <w:ind w:left="709"/>
      </w:pPr>
      <w:r w:rsidRPr="000E64E5">
        <w:t xml:space="preserve">The </w:t>
      </w:r>
      <w:r w:rsidR="00462152">
        <w:t>NIHRC</w:t>
      </w:r>
      <w:r w:rsidRPr="000E64E5">
        <w:t xml:space="preserve"> addressed concerns with the Nationality and Borders Act </w:t>
      </w:r>
      <w:r w:rsidR="00B811A5" w:rsidRPr="000E64E5">
        <w:t xml:space="preserve">2022 </w:t>
      </w:r>
      <w:r w:rsidRPr="000E64E5">
        <w:t>in its previous submission on modern slavery and human trafficking to the Department.</w:t>
      </w:r>
      <w:r w:rsidR="00C951EB" w:rsidRPr="000E64E5">
        <w:rPr>
          <w:rStyle w:val="FootnoteReference"/>
        </w:rPr>
        <w:footnoteReference w:id="38"/>
      </w:r>
      <w:r w:rsidR="00A701E1" w:rsidRPr="000E64E5">
        <w:t xml:space="preserve"> </w:t>
      </w:r>
      <w:r w:rsidR="00227C81" w:rsidRPr="000E64E5">
        <w:t>T</w:t>
      </w:r>
      <w:r w:rsidR="00B56FCE" w:rsidRPr="000E64E5">
        <w:t xml:space="preserve">he draft strategy acknowledges that immigration policy is a reserved matter for the UK Government, but that </w:t>
      </w:r>
      <w:r w:rsidR="002A084B" w:rsidRPr="000E64E5">
        <w:t>current immigration policy can make as</w:t>
      </w:r>
      <w:r w:rsidR="005E398D" w:rsidRPr="000E64E5">
        <w:t>ylum seekers more vulnerable to criminal exploitation.</w:t>
      </w:r>
      <w:r w:rsidR="006C0C84" w:rsidRPr="000E64E5">
        <w:rPr>
          <w:rStyle w:val="FootnoteReference"/>
        </w:rPr>
        <w:footnoteReference w:id="39"/>
      </w:r>
      <w:r w:rsidR="00094366" w:rsidRPr="000E64E5">
        <w:t xml:space="preserve"> However, the </w:t>
      </w:r>
      <w:r w:rsidR="00B811A5" w:rsidRPr="000E64E5">
        <w:t>2022</w:t>
      </w:r>
      <w:r w:rsidR="00094366" w:rsidRPr="000E64E5">
        <w:t xml:space="preserve"> Act creates a number of provisions in relation to modern slavery and human </w:t>
      </w:r>
      <w:r w:rsidR="00E24BA8" w:rsidRPr="000E64E5">
        <w:t xml:space="preserve">trafficking that may impact on devolved </w:t>
      </w:r>
      <w:r w:rsidR="00331CB7" w:rsidRPr="000E64E5">
        <w:t>m</w:t>
      </w:r>
      <w:r w:rsidR="008C0BA3" w:rsidRPr="000E64E5">
        <w:t>atters</w:t>
      </w:r>
      <w:r w:rsidR="000111F4" w:rsidRPr="000E64E5">
        <w:t xml:space="preserve">. </w:t>
      </w:r>
    </w:p>
    <w:p w14:paraId="3CCA5EE8" w14:textId="77777777" w:rsidR="00F81EDC" w:rsidRDefault="00F81EDC" w:rsidP="00962C1B">
      <w:pPr>
        <w:pStyle w:val="ListParagraph"/>
        <w:spacing w:line="288" w:lineRule="auto"/>
      </w:pPr>
    </w:p>
    <w:p w14:paraId="0EB84259" w14:textId="46CF5132" w:rsidR="00860ED2" w:rsidRDefault="00D87E76" w:rsidP="001E3B8F">
      <w:pPr>
        <w:pStyle w:val="ListParagraph"/>
        <w:numPr>
          <w:ilvl w:val="1"/>
          <w:numId w:val="19"/>
        </w:numPr>
        <w:suppressAutoHyphens/>
        <w:spacing w:after="240" w:line="288" w:lineRule="auto"/>
        <w:ind w:left="709"/>
      </w:pPr>
      <w:r w:rsidRPr="000E64E5">
        <w:t xml:space="preserve">The </w:t>
      </w:r>
      <w:r w:rsidR="00922AEE">
        <w:t xml:space="preserve">2022 </w:t>
      </w:r>
      <w:r w:rsidRPr="000E64E5">
        <w:t>Act introduces Trafficking Information Notices, which must be c</w:t>
      </w:r>
      <w:r w:rsidR="00565D5B" w:rsidRPr="000E64E5">
        <w:t>omplied with by a specific date</w:t>
      </w:r>
      <w:r w:rsidR="00602A9E" w:rsidRPr="000E64E5">
        <w:t>. Late compliance with a notice must be taken as damaging an individual’s credibility</w:t>
      </w:r>
      <w:r w:rsidR="00565D5B" w:rsidRPr="000E64E5">
        <w:t xml:space="preserve"> unless there is a valid reason for late complianc</w:t>
      </w:r>
      <w:r w:rsidR="00602A9E" w:rsidRPr="000E64E5">
        <w:t>e.</w:t>
      </w:r>
      <w:r w:rsidR="00602A9E" w:rsidRPr="000E64E5">
        <w:rPr>
          <w:rStyle w:val="FootnoteReference"/>
        </w:rPr>
        <w:footnoteReference w:id="40"/>
      </w:r>
      <w:r w:rsidR="00965AD3" w:rsidRPr="000E64E5">
        <w:t xml:space="preserve"> </w:t>
      </w:r>
      <w:r w:rsidR="00C45173" w:rsidRPr="000E64E5">
        <w:t xml:space="preserve">The </w:t>
      </w:r>
      <w:r w:rsidR="00922AEE">
        <w:t xml:space="preserve">2022 </w:t>
      </w:r>
      <w:r w:rsidR="00C45173" w:rsidRPr="000E64E5">
        <w:t xml:space="preserve">Act </w:t>
      </w:r>
      <w:r w:rsidR="002B5850" w:rsidRPr="000E64E5">
        <w:t xml:space="preserve">additionally makes </w:t>
      </w:r>
      <w:r w:rsidR="00BC6658" w:rsidRPr="000E64E5">
        <w:t>provisions to withhold support from v</w:t>
      </w:r>
      <w:r w:rsidR="007C6FC4" w:rsidRPr="000E64E5">
        <w:t>ictims on public order grounds.</w:t>
      </w:r>
      <w:r w:rsidR="003E58F2" w:rsidRPr="000E64E5">
        <w:rPr>
          <w:rStyle w:val="FootnoteReference"/>
        </w:rPr>
        <w:footnoteReference w:id="41"/>
      </w:r>
      <w:r w:rsidR="007C6FC4" w:rsidRPr="000E64E5">
        <w:t xml:space="preserve"> </w:t>
      </w:r>
      <w:r w:rsidR="00557600" w:rsidRPr="000E64E5">
        <w:t>The Human Trafficking and Exploitation (NI) Act</w:t>
      </w:r>
      <w:r w:rsidR="00DD0C1D">
        <w:t xml:space="preserve"> 2015</w:t>
      </w:r>
      <w:r w:rsidR="00557600" w:rsidRPr="000E64E5">
        <w:t xml:space="preserve"> does not make any corresponding provisions for disqualification. The Independent Anti-Slavery Commissioner has raised concerns that this “casts a wide net”, potentially preventing a considerable number of potential victims from being able to access a recovery period.</w:t>
      </w:r>
      <w:r w:rsidR="00D47446" w:rsidRPr="000E64E5">
        <w:rPr>
          <w:rStyle w:val="FootnoteReference"/>
        </w:rPr>
        <w:footnoteReference w:id="42"/>
      </w:r>
    </w:p>
    <w:p w14:paraId="4DD61A70" w14:textId="77777777" w:rsidR="00860ED2" w:rsidRDefault="00860ED2" w:rsidP="00860ED2">
      <w:pPr>
        <w:pStyle w:val="ListParagraph"/>
      </w:pPr>
    </w:p>
    <w:p w14:paraId="65F035B6" w14:textId="63EF4774" w:rsidR="00F81EDC" w:rsidRDefault="00863EC7" w:rsidP="001E3B8F">
      <w:pPr>
        <w:pStyle w:val="ListParagraph"/>
        <w:numPr>
          <w:ilvl w:val="1"/>
          <w:numId w:val="19"/>
        </w:numPr>
        <w:suppressAutoHyphens/>
        <w:spacing w:after="240" w:line="288" w:lineRule="auto"/>
        <w:ind w:left="709"/>
      </w:pPr>
      <w:r w:rsidRPr="000E64E5">
        <w:lastRenderedPageBreak/>
        <w:t>Section 68 of the</w:t>
      </w:r>
      <w:r w:rsidR="00DD0C1D">
        <w:t xml:space="preserve"> </w:t>
      </w:r>
      <w:r w:rsidR="00DD0C1D" w:rsidRPr="000E64E5">
        <w:t>Nationality and Borders Act</w:t>
      </w:r>
      <w:r w:rsidR="00DD0C1D">
        <w:t xml:space="preserve"> 2022</w:t>
      </w:r>
      <w:r w:rsidRPr="000E64E5">
        <w:t xml:space="preserve"> Act disapplies th</w:t>
      </w:r>
      <w:r w:rsidR="00270859" w:rsidRPr="000E64E5">
        <w:t xml:space="preserve">e EU Trafficking Directive </w:t>
      </w:r>
      <w:r w:rsidR="00D346D6" w:rsidRPr="000E64E5">
        <w:t>where it is incompatible with a provision of the</w:t>
      </w:r>
      <w:r w:rsidR="00183C10">
        <w:t xml:space="preserve"> Act</w:t>
      </w:r>
      <w:r w:rsidR="00D346D6" w:rsidRPr="000E64E5">
        <w:t xml:space="preserve">. The </w:t>
      </w:r>
      <w:r w:rsidR="00462152">
        <w:t>NIHRC</w:t>
      </w:r>
      <w:r w:rsidR="00D346D6" w:rsidRPr="000E64E5">
        <w:t xml:space="preserve"> has raised concerns that</w:t>
      </w:r>
      <w:r w:rsidR="007530B6" w:rsidRPr="000E64E5">
        <w:t xml:space="preserve"> the non-diminution commitment in </w:t>
      </w:r>
      <w:r w:rsidR="00D346D6" w:rsidRPr="000E64E5">
        <w:t xml:space="preserve">Protocol Article 2 was not effectively considered within this </w:t>
      </w:r>
      <w:r w:rsidR="00860ED2" w:rsidRPr="000E64E5">
        <w:t>provision. The</w:t>
      </w:r>
      <w:r w:rsidR="00605BB8" w:rsidRPr="000E64E5">
        <w:t xml:space="preserve"> </w:t>
      </w:r>
      <w:r w:rsidR="00DD0C1D">
        <w:t xml:space="preserve">2022 </w:t>
      </w:r>
      <w:r w:rsidR="00605BB8" w:rsidRPr="000E64E5">
        <w:t>Act makes no specific</w:t>
      </w:r>
      <w:r w:rsidR="005D5978" w:rsidRPr="000E64E5">
        <w:t xml:space="preserve"> </w:t>
      </w:r>
      <w:r w:rsidR="00F20E3C" w:rsidRPr="000E64E5">
        <w:t>provision or guidance on how it will impact on</w:t>
      </w:r>
      <w:r w:rsidR="005B62F5" w:rsidRPr="000E64E5">
        <w:t xml:space="preserve"> child victims of modern slavery</w:t>
      </w:r>
      <w:r w:rsidR="00F20E3C" w:rsidRPr="000E64E5">
        <w:t>.</w:t>
      </w:r>
    </w:p>
    <w:p w14:paraId="4B497230" w14:textId="77777777" w:rsidR="00F81EDC" w:rsidRDefault="00F81EDC" w:rsidP="00962C1B">
      <w:pPr>
        <w:pStyle w:val="ListParagraph"/>
        <w:spacing w:line="288" w:lineRule="auto"/>
      </w:pPr>
    </w:p>
    <w:p w14:paraId="7C87087C" w14:textId="37E42A3F" w:rsidR="00B97E86" w:rsidRDefault="00EF248F" w:rsidP="001E3B8F">
      <w:pPr>
        <w:pStyle w:val="ListParagraph"/>
        <w:numPr>
          <w:ilvl w:val="1"/>
          <w:numId w:val="19"/>
        </w:numPr>
        <w:suppressAutoHyphens/>
        <w:spacing w:after="240" w:line="288" w:lineRule="auto"/>
        <w:ind w:left="709"/>
      </w:pPr>
      <w:r>
        <w:t>The</w:t>
      </w:r>
      <w:r w:rsidR="00596351">
        <w:t xml:space="preserve"> NIHRC</w:t>
      </w:r>
      <w:r w:rsidR="00132AAE">
        <w:t xml:space="preserve"> </w:t>
      </w:r>
      <w:r w:rsidR="008A7C98">
        <w:t xml:space="preserve">notes its concern that the </w:t>
      </w:r>
      <w:r w:rsidR="00F429CC">
        <w:t>implementation</w:t>
      </w:r>
      <w:r w:rsidR="008A7C98">
        <w:t xml:space="preserve"> of </w:t>
      </w:r>
      <w:r w:rsidR="00EB043B">
        <w:t xml:space="preserve">the </w:t>
      </w:r>
      <w:r w:rsidR="008A7C98">
        <w:t xml:space="preserve">longer-term strategy </w:t>
      </w:r>
      <w:r w:rsidR="00E27C2A">
        <w:t xml:space="preserve">will </w:t>
      </w:r>
      <w:r w:rsidR="008A7C98">
        <w:t>be informed by Home Office policy developme</w:t>
      </w:r>
      <w:r w:rsidR="00F429CC">
        <w:t>n</w:t>
      </w:r>
      <w:r w:rsidR="008A7C98">
        <w:t>ts in relation to the immigration</w:t>
      </w:r>
      <w:r w:rsidR="00F429CC">
        <w:t xml:space="preserve"> framework</w:t>
      </w:r>
      <w:r w:rsidR="00E27C2A">
        <w:t xml:space="preserve"> and potentially reduce </w:t>
      </w:r>
      <w:r w:rsidR="00875613">
        <w:t>protections currently in place in NI.</w:t>
      </w:r>
      <w:r w:rsidR="00DE2A8A">
        <w:t xml:space="preserve"> </w:t>
      </w:r>
      <w:r w:rsidR="000E51EF">
        <w:t>The NIHRC</w:t>
      </w:r>
      <w:r w:rsidR="00C47901">
        <w:t xml:space="preserve"> </w:t>
      </w:r>
      <w:r w:rsidR="000F77D5">
        <w:t xml:space="preserve">would </w:t>
      </w:r>
      <w:r w:rsidR="00C47901">
        <w:t>highlight the Scottish Government</w:t>
      </w:r>
      <w:r w:rsidR="000F77D5">
        <w:t>’s commitment</w:t>
      </w:r>
      <w:r w:rsidR="00EC43B5">
        <w:t xml:space="preserve"> </w:t>
      </w:r>
      <w:r w:rsidR="00AF09F8">
        <w:t>i</w:t>
      </w:r>
      <w:r w:rsidR="0068495E" w:rsidRPr="000E64E5">
        <w:t>n its f</w:t>
      </w:r>
      <w:r w:rsidR="009E05DF" w:rsidRPr="000E64E5">
        <w:t xml:space="preserve">ourth annual progress report on its </w:t>
      </w:r>
      <w:r w:rsidR="00922AEE">
        <w:t>t</w:t>
      </w:r>
      <w:r w:rsidR="009E05DF" w:rsidRPr="000E64E5">
        <w:t xml:space="preserve">rafficking and </w:t>
      </w:r>
      <w:r w:rsidR="00922AEE">
        <w:t>e</w:t>
      </w:r>
      <w:r w:rsidR="009E05DF" w:rsidRPr="000E64E5">
        <w:t>xploitation strategy</w:t>
      </w:r>
      <w:r w:rsidR="009522C2">
        <w:t xml:space="preserve"> </w:t>
      </w:r>
      <w:r w:rsidR="00B1330B" w:rsidRPr="000E64E5">
        <w:t xml:space="preserve">to </w:t>
      </w:r>
      <w:r w:rsidR="00E91B28">
        <w:t>continue to</w:t>
      </w:r>
      <w:r w:rsidR="00B1330B" w:rsidRPr="000E64E5">
        <w:t xml:space="preserve"> assess the then Nationality and Borders Bill</w:t>
      </w:r>
      <w:r w:rsidR="006E7838" w:rsidRPr="000E64E5">
        <w:t xml:space="preserve"> and</w:t>
      </w:r>
      <w:r w:rsidR="00B1330B" w:rsidRPr="000E64E5">
        <w:t xml:space="preserve"> </w:t>
      </w:r>
      <w:r w:rsidR="00F46738">
        <w:t xml:space="preserve">ensure </w:t>
      </w:r>
      <w:r w:rsidR="00DF7AC0" w:rsidRPr="000E64E5">
        <w:t>“</w:t>
      </w:r>
      <w:r w:rsidR="005B314F" w:rsidRPr="000E64E5">
        <w:t>a victim-</w:t>
      </w:r>
      <w:r w:rsidR="00DF7AC0" w:rsidRPr="000E64E5">
        <w:t>centred and trauma-informed approach to identification and support”</w:t>
      </w:r>
      <w:r w:rsidR="00F46738">
        <w:t xml:space="preserve"> is maintained</w:t>
      </w:r>
      <w:r w:rsidR="002C031F">
        <w:t>.</w:t>
      </w:r>
    </w:p>
    <w:p w14:paraId="635D7348" w14:textId="77777777" w:rsidR="00B97E86" w:rsidRDefault="00B97E86" w:rsidP="00B97E86">
      <w:pPr>
        <w:pStyle w:val="ListParagraph"/>
      </w:pPr>
    </w:p>
    <w:p w14:paraId="1047E7F8" w14:textId="5C6CA76E" w:rsidR="00D910FC" w:rsidRPr="00D910FC" w:rsidRDefault="006E7838" w:rsidP="001E3B8F">
      <w:pPr>
        <w:pStyle w:val="ListParagraph"/>
        <w:numPr>
          <w:ilvl w:val="1"/>
          <w:numId w:val="19"/>
        </w:numPr>
        <w:suppressAutoHyphens/>
        <w:spacing w:after="240" w:line="288" w:lineRule="auto"/>
        <w:ind w:left="709"/>
        <w:rPr>
          <w:b/>
          <w:bCs/>
        </w:rPr>
      </w:pPr>
      <w:r w:rsidRPr="00D910FC">
        <w:rPr>
          <w:b/>
          <w:bCs/>
        </w:rPr>
        <w:t xml:space="preserve">The </w:t>
      </w:r>
      <w:r w:rsidR="00462152">
        <w:rPr>
          <w:b/>
          <w:bCs/>
        </w:rPr>
        <w:t>NIHRC</w:t>
      </w:r>
      <w:r w:rsidRPr="00D910FC">
        <w:rPr>
          <w:b/>
          <w:bCs/>
        </w:rPr>
        <w:t xml:space="preserve"> </w:t>
      </w:r>
      <w:r w:rsidR="00B97E86" w:rsidRPr="00D910FC">
        <w:rPr>
          <w:b/>
          <w:bCs/>
        </w:rPr>
        <w:t xml:space="preserve">recommends </w:t>
      </w:r>
      <w:r w:rsidRPr="00D910FC">
        <w:rPr>
          <w:b/>
          <w:bCs/>
        </w:rPr>
        <w:t xml:space="preserve">that the Department of Justice </w:t>
      </w:r>
      <w:r w:rsidR="00201922" w:rsidRPr="00D910FC">
        <w:rPr>
          <w:b/>
          <w:bCs/>
        </w:rPr>
        <w:t xml:space="preserve">continue to assess the </w:t>
      </w:r>
      <w:r w:rsidR="00D910FC" w:rsidRPr="00D910FC">
        <w:rPr>
          <w:b/>
          <w:bCs/>
        </w:rPr>
        <w:t>implications</w:t>
      </w:r>
      <w:r w:rsidR="0085061D" w:rsidRPr="00D910FC">
        <w:rPr>
          <w:b/>
          <w:bCs/>
        </w:rPr>
        <w:t xml:space="preserve"> of the</w:t>
      </w:r>
      <w:r w:rsidR="00B831A7" w:rsidRPr="00D910FC">
        <w:rPr>
          <w:b/>
          <w:bCs/>
        </w:rPr>
        <w:t xml:space="preserve"> Nationality and Borders Act and ensure that it prioritises a victim-centred and trauma-informed approach to tackling modern slavery and human trafficking</w:t>
      </w:r>
      <w:r w:rsidR="00462152">
        <w:rPr>
          <w:b/>
          <w:bCs/>
        </w:rPr>
        <w:t xml:space="preserve"> in NI.</w:t>
      </w:r>
    </w:p>
    <w:p w14:paraId="10523CE5" w14:textId="65089417" w:rsidR="00F81EDC" w:rsidRPr="00F81EDC" w:rsidRDefault="00F81EDC" w:rsidP="00962C1B">
      <w:pPr>
        <w:pStyle w:val="Heading1"/>
        <w:spacing w:line="288" w:lineRule="auto"/>
        <w:ind w:hanging="720"/>
      </w:pPr>
      <w:bookmarkStart w:id="11" w:name="_Toc125375773"/>
      <w:r>
        <w:t>Strand 3 – P</w:t>
      </w:r>
      <w:r w:rsidR="008E4F6B">
        <w:t>REVENT</w:t>
      </w:r>
      <w:bookmarkEnd w:id="11"/>
    </w:p>
    <w:p w14:paraId="02FD17A3" w14:textId="77777777" w:rsidR="00F81EDC" w:rsidRPr="00F81EDC" w:rsidRDefault="00F81EDC" w:rsidP="001E3B8F">
      <w:pPr>
        <w:pStyle w:val="ListParagraph"/>
        <w:numPr>
          <w:ilvl w:val="0"/>
          <w:numId w:val="19"/>
        </w:numPr>
        <w:suppressAutoHyphens/>
        <w:spacing w:after="240" w:line="288" w:lineRule="auto"/>
        <w:rPr>
          <w:vanish/>
        </w:rPr>
      </w:pPr>
    </w:p>
    <w:p w14:paraId="580E17E2" w14:textId="77777777" w:rsidR="00F81EDC" w:rsidRPr="00F81EDC" w:rsidRDefault="00F81EDC" w:rsidP="00962C1B">
      <w:pPr>
        <w:pStyle w:val="ListParagraph"/>
        <w:suppressAutoHyphens/>
        <w:spacing w:after="240" w:line="288" w:lineRule="auto"/>
        <w:ind w:left="709"/>
        <w:rPr>
          <w:rFonts w:cs="Arial"/>
          <w:bCs/>
        </w:rPr>
      </w:pPr>
    </w:p>
    <w:p w14:paraId="2E319F05" w14:textId="5989FC44" w:rsidR="00F81EDC" w:rsidRDefault="00905D26" w:rsidP="001E3B8F">
      <w:pPr>
        <w:pStyle w:val="ListParagraph"/>
        <w:numPr>
          <w:ilvl w:val="1"/>
          <w:numId w:val="19"/>
        </w:numPr>
        <w:suppressAutoHyphens/>
        <w:spacing w:after="240" w:line="288" w:lineRule="auto"/>
        <w:ind w:left="709"/>
        <w:rPr>
          <w:rFonts w:cs="Arial"/>
          <w:bCs/>
        </w:rPr>
      </w:pPr>
      <w:r w:rsidRPr="00F81EDC">
        <w:rPr>
          <w:rFonts w:cs="Arial"/>
          <w:bCs/>
        </w:rPr>
        <w:t>Article 9 of the UN Palermo Protocol stipulates that States should take proactive measures to alleviate the factors that make persons, especially women and children, vulnerable to trafficking, such as poverty, underdevelopment and lack of equal opportunity. This includes strengthening legislative, educational, social and cultural measures to discourage the demand that fosters all forms of exploitation of persons, especially women and children, that leads to trafficking.</w:t>
      </w:r>
    </w:p>
    <w:p w14:paraId="40AE4C79" w14:textId="77777777" w:rsidR="00F81EDC" w:rsidRPr="00F81EDC" w:rsidRDefault="00F81EDC" w:rsidP="00962C1B">
      <w:pPr>
        <w:pStyle w:val="ListParagraph"/>
        <w:spacing w:line="288" w:lineRule="auto"/>
        <w:rPr>
          <w:rFonts w:cs="Arial"/>
          <w:bCs/>
        </w:rPr>
      </w:pPr>
    </w:p>
    <w:p w14:paraId="12C8C85B" w14:textId="06511F43" w:rsidR="00462152" w:rsidRDefault="00462152" w:rsidP="001E3B8F">
      <w:pPr>
        <w:pStyle w:val="ListParagraph"/>
        <w:numPr>
          <w:ilvl w:val="1"/>
          <w:numId w:val="19"/>
        </w:numPr>
        <w:suppressAutoHyphens/>
        <w:spacing w:line="288" w:lineRule="auto"/>
        <w:ind w:left="709"/>
      </w:pPr>
      <w:r w:rsidRPr="00F81EDC">
        <w:rPr>
          <w:rFonts w:cs="Arial"/>
          <w:bCs/>
        </w:rPr>
        <w:t xml:space="preserve">Guideline 7 of the UN </w:t>
      </w:r>
      <w:r w:rsidRPr="00F81EDC">
        <w:t>Recommended Principles and Guidelines on Human Rights and Human Trafficking</w:t>
      </w:r>
      <w:r w:rsidRPr="00F81EDC">
        <w:rPr>
          <w:bCs/>
          <w:bdr w:val="none" w:sz="0" w:space="0" w:color="auto" w:frame="1"/>
          <w:shd w:val="clear" w:color="auto" w:fill="FFFFFF"/>
        </w:rPr>
        <w:t xml:space="preserve"> recommends</w:t>
      </w:r>
      <w:r w:rsidRPr="00F81EDC">
        <w:t xml:space="preserve"> “reviewing and modifying policies that may compel people to resort to irregular and vulnerable labour migration. This process should include examining </w:t>
      </w:r>
      <w:r w:rsidRPr="00F81EDC">
        <w:lastRenderedPageBreak/>
        <w:t>the effect on women of repressive and/or discriminatory nationality, property, immigration, emigration and migrant labour laws.”</w:t>
      </w:r>
    </w:p>
    <w:p w14:paraId="4E86571D" w14:textId="77777777" w:rsidR="00462152" w:rsidRPr="00F81EDC" w:rsidRDefault="00462152" w:rsidP="00462152">
      <w:pPr>
        <w:pStyle w:val="ListParagraph"/>
        <w:suppressAutoHyphens/>
        <w:spacing w:line="288" w:lineRule="auto"/>
        <w:ind w:left="709"/>
      </w:pPr>
    </w:p>
    <w:p w14:paraId="5FEFBF96" w14:textId="77777777" w:rsidR="00564EA2" w:rsidRDefault="00AD7387" w:rsidP="001E3B8F">
      <w:pPr>
        <w:pStyle w:val="ListParagraph"/>
        <w:numPr>
          <w:ilvl w:val="1"/>
          <w:numId w:val="19"/>
        </w:numPr>
        <w:suppressAutoHyphens/>
        <w:spacing w:after="240" w:line="288" w:lineRule="auto"/>
        <w:ind w:left="709"/>
        <w:rPr>
          <w:rFonts w:cs="Arial"/>
          <w:bCs/>
        </w:rPr>
      </w:pPr>
      <w:r>
        <w:rPr>
          <w:rFonts w:cs="Arial"/>
          <w:bCs/>
        </w:rPr>
        <w:t xml:space="preserve">In 2022, the </w:t>
      </w:r>
      <w:r w:rsidR="00127574" w:rsidRPr="00F81EDC">
        <w:rPr>
          <w:rFonts w:cs="Arial"/>
          <w:bCs/>
        </w:rPr>
        <w:t>Independent Anti-Slavery Commissioner</w:t>
      </w:r>
      <w:r w:rsidR="008C09D9">
        <w:rPr>
          <w:rFonts w:cs="Arial"/>
          <w:bCs/>
        </w:rPr>
        <w:t xml:space="preserve"> highlighted </w:t>
      </w:r>
      <w:r w:rsidR="004E4695">
        <w:rPr>
          <w:rFonts w:cs="Arial"/>
          <w:bCs/>
        </w:rPr>
        <w:t xml:space="preserve">that it is essential that prevention efforts </w:t>
      </w:r>
      <w:r w:rsidR="00F62032">
        <w:rPr>
          <w:rFonts w:cs="Arial"/>
          <w:bCs/>
        </w:rPr>
        <w:t>“address the economic, structural and cultural conditions which allow slavery to flourish</w:t>
      </w:r>
      <w:r w:rsidR="00862D2B">
        <w:rPr>
          <w:rFonts w:cs="Arial"/>
          <w:bCs/>
        </w:rPr>
        <w:t>”</w:t>
      </w:r>
      <w:r w:rsidR="00056E83">
        <w:rPr>
          <w:rFonts w:cs="Arial"/>
          <w:bCs/>
        </w:rPr>
        <w:t xml:space="preserve"> and </w:t>
      </w:r>
      <w:r w:rsidR="00A6430E">
        <w:rPr>
          <w:rFonts w:cs="Arial"/>
          <w:bCs/>
        </w:rPr>
        <w:t>that</w:t>
      </w:r>
      <w:r w:rsidR="00581B9B">
        <w:rPr>
          <w:rFonts w:cs="Arial"/>
          <w:bCs/>
        </w:rPr>
        <w:t xml:space="preserve"> </w:t>
      </w:r>
      <w:r w:rsidR="00632944">
        <w:rPr>
          <w:rFonts w:cs="Arial"/>
          <w:bCs/>
        </w:rPr>
        <w:t xml:space="preserve">the development of </w:t>
      </w:r>
      <w:r w:rsidR="00581B9B">
        <w:rPr>
          <w:rFonts w:cs="Arial"/>
          <w:bCs/>
        </w:rPr>
        <w:t xml:space="preserve">government strategy provides an excellent opportunity </w:t>
      </w:r>
      <w:r w:rsidR="00632944">
        <w:rPr>
          <w:rFonts w:cs="Arial"/>
          <w:bCs/>
        </w:rPr>
        <w:t xml:space="preserve">“to join up policy and delivery in order to make impact for survivors </w:t>
      </w:r>
      <w:r w:rsidR="00632944" w:rsidRPr="00632944">
        <w:t>but</w:t>
      </w:r>
      <w:r w:rsidR="00632944">
        <w:t xml:space="preserve"> also to address the underlying causes which create vulnerability and criminal opportunity”.</w:t>
      </w:r>
      <w:r w:rsidR="00632944">
        <w:rPr>
          <w:rStyle w:val="FootnoteReference"/>
          <w:rFonts w:cs="Arial"/>
          <w:bCs/>
        </w:rPr>
        <w:footnoteReference w:id="43"/>
      </w:r>
      <w:r w:rsidR="001B23E8">
        <w:t xml:space="preserve"> </w:t>
      </w:r>
      <w:r w:rsidR="00632944" w:rsidRPr="001B23E8">
        <w:rPr>
          <w:rFonts w:cs="Arial"/>
          <w:bCs/>
        </w:rPr>
        <w:t>For example, t</w:t>
      </w:r>
      <w:r w:rsidR="00CC3AA0" w:rsidRPr="001B23E8">
        <w:rPr>
          <w:rFonts w:cs="Arial"/>
          <w:bCs/>
        </w:rPr>
        <w:t>he Independent Anti-Slavery Commissioner</w:t>
      </w:r>
      <w:r w:rsidR="00894DED" w:rsidRPr="001B23E8">
        <w:rPr>
          <w:rFonts w:cs="Arial"/>
          <w:bCs/>
        </w:rPr>
        <w:t xml:space="preserve"> </w:t>
      </w:r>
      <w:r w:rsidR="00E841D4" w:rsidRPr="001B23E8">
        <w:rPr>
          <w:rFonts w:cs="Arial"/>
          <w:bCs/>
        </w:rPr>
        <w:t xml:space="preserve">previously </w:t>
      </w:r>
      <w:r w:rsidR="00894DED" w:rsidRPr="001B23E8">
        <w:rPr>
          <w:rFonts w:cs="Arial"/>
          <w:bCs/>
        </w:rPr>
        <w:t>recomm</w:t>
      </w:r>
      <w:r w:rsidR="004F10CB" w:rsidRPr="001B23E8">
        <w:rPr>
          <w:rFonts w:cs="Arial"/>
          <w:bCs/>
        </w:rPr>
        <w:t xml:space="preserve">ended to the UK Government that reference to modern slavery and human trafficking in all its forms, including sexual exploitation, is included </w:t>
      </w:r>
      <w:r w:rsidR="002E1102" w:rsidRPr="001B23E8">
        <w:rPr>
          <w:rFonts w:cs="Arial"/>
          <w:bCs/>
        </w:rPr>
        <w:t>within the updated Violence against Women and Girls strategy.</w:t>
      </w:r>
      <w:r w:rsidR="002E1102" w:rsidRPr="00C31B3D">
        <w:rPr>
          <w:rStyle w:val="FootnoteReference"/>
          <w:rFonts w:cs="Arial"/>
          <w:bCs/>
        </w:rPr>
        <w:footnoteReference w:id="44"/>
      </w:r>
      <w:r w:rsidR="00752B11" w:rsidRPr="001B23E8">
        <w:rPr>
          <w:rFonts w:cs="Arial"/>
          <w:bCs/>
        </w:rPr>
        <w:t xml:space="preserve"> </w:t>
      </w:r>
    </w:p>
    <w:p w14:paraId="512FC464" w14:textId="77777777" w:rsidR="00564EA2" w:rsidRPr="00564EA2" w:rsidRDefault="00564EA2" w:rsidP="00564EA2">
      <w:pPr>
        <w:pStyle w:val="ListParagraph"/>
        <w:rPr>
          <w:rFonts w:cs="Arial"/>
          <w:bCs/>
        </w:rPr>
      </w:pPr>
    </w:p>
    <w:p w14:paraId="751CDA09" w14:textId="70BAD52B" w:rsidR="00234D7B" w:rsidRDefault="003E5C83" w:rsidP="001E3B8F">
      <w:pPr>
        <w:pStyle w:val="ListParagraph"/>
        <w:numPr>
          <w:ilvl w:val="1"/>
          <w:numId w:val="19"/>
        </w:numPr>
        <w:suppressAutoHyphens/>
        <w:spacing w:after="240" w:line="288" w:lineRule="auto"/>
        <w:ind w:left="709"/>
        <w:rPr>
          <w:rFonts w:cs="Arial"/>
          <w:bCs/>
        </w:rPr>
      </w:pPr>
      <w:r>
        <w:rPr>
          <w:rFonts w:cs="Arial"/>
          <w:bCs/>
        </w:rPr>
        <w:t>Article 1 of the Istanbul Convention identifies that the purpose of the Convention is to elimination all forms of violence and discrimination against women</w:t>
      </w:r>
      <w:r w:rsidR="00B96615">
        <w:rPr>
          <w:rFonts w:cs="Arial"/>
          <w:bCs/>
        </w:rPr>
        <w:t xml:space="preserve"> and promote substantive equality between men and women. </w:t>
      </w:r>
      <w:r w:rsidR="00C73380">
        <w:rPr>
          <w:rFonts w:cs="Arial"/>
          <w:bCs/>
        </w:rPr>
        <w:t xml:space="preserve">Article 6 of the Convention </w:t>
      </w:r>
      <w:r w:rsidR="00F81ABE">
        <w:rPr>
          <w:rFonts w:cs="Arial"/>
          <w:bCs/>
        </w:rPr>
        <w:t>provi</w:t>
      </w:r>
      <w:r w:rsidR="0078304B">
        <w:rPr>
          <w:rFonts w:cs="Arial"/>
          <w:bCs/>
        </w:rPr>
        <w:t xml:space="preserve">des that State Parties should undertake to include a gender perspective in the implementation and </w:t>
      </w:r>
      <w:r w:rsidR="005C5DDB">
        <w:rPr>
          <w:rFonts w:cs="Arial"/>
          <w:bCs/>
        </w:rPr>
        <w:t>evaluation</w:t>
      </w:r>
      <w:r w:rsidR="0078304B">
        <w:rPr>
          <w:rFonts w:cs="Arial"/>
          <w:bCs/>
        </w:rPr>
        <w:t xml:space="preserve"> of </w:t>
      </w:r>
      <w:r w:rsidR="0043655B">
        <w:rPr>
          <w:rFonts w:cs="Arial"/>
          <w:bCs/>
        </w:rPr>
        <w:t xml:space="preserve">provisions of </w:t>
      </w:r>
      <w:r w:rsidR="0078304B">
        <w:rPr>
          <w:rFonts w:cs="Arial"/>
          <w:bCs/>
        </w:rPr>
        <w:t xml:space="preserve">the </w:t>
      </w:r>
      <w:r w:rsidR="0043655B">
        <w:rPr>
          <w:rFonts w:cs="Arial"/>
          <w:bCs/>
        </w:rPr>
        <w:t>Convention.</w:t>
      </w:r>
      <w:r w:rsidR="0078304B">
        <w:rPr>
          <w:rFonts w:cs="Arial"/>
          <w:bCs/>
        </w:rPr>
        <w:t xml:space="preserve"> </w:t>
      </w:r>
      <w:r w:rsidR="00451984">
        <w:rPr>
          <w:rFonts w:cs="Arial"/>
          <w:bCs/>
        </w:rPr>
        <w:t>Given t</w:t>
      </w:r>
      <w:r w:rsidR="00234D7B" w:rsidRPr="00FA298D">
        <w:rPr>
          <w:rFonts w:cs="Arial"/>
          <w:bCs/>
        </w:rPr>
        <w:t>he</w:t>
      </w:r>
      <w:r w:rsidR="00234D7B">
        <w:rPr>
          <w:rFonts w:cs="Arial"/>
          <w:bCs/>
        </w:rPr>
        <w:t xml:space="preserve"> Executive Office are </w:t>
      </w:r>
      <w:r w:rsidR="00951A44">
        <w:rPr>
          <w:rFonts w:cs="Arial"/>
          <w:bCs/>
        </w:rPr>
        <w:t xml:space="preserve">currently </w:t>
      </w:r>
      <w:r w:rsidR="000402EF">
        <w:rPr>
          <w:rFonts w:cs="Arial"/>
          <w:bCs/>
        </w:rPr>
        <w:t>working on a Violence against Women and Girls Strategy</w:t>
      </w:r>
      <w:r w:rsidR="00451984">
        <w:rPr>
          <w:rFonts w:cs="Arial"/>
          <w:bCs/>
        </w:rPr>
        <w:t>, t</w:t>
      </w:r>
      <w:r w:rsidR="006B1906">
        <w:rPr>
          <w:rFonts w:cs="Arial"/>
          <w:bCs/>
        </w:rPr>
        <w:t>he Commission advises that this strategy could highlight the gendered impact of modern slavery and human trafficking as well.</w:t>
      </w:r>
    </w:p>
    <w:p w14:paraId="361F19C1" w14:textId="3D218962" w:rsidR="00F81EDC" w:rsidRDefault="00F81EDC" w:rsidP="00962C1B">
      <w:pPr>
        <w:pStyle w:val="ListParagraph"/>
        <w:spacing w:line="288" w:lineRule="auto"/>
        <w:rPr>
          <w:rFonts w:cs="Arial"/>
          <w:bCs/>
        </w:rPr>
      </w:pPr>
    </w:p>
    <w:p w14:paraId="6DBE08CE" w14:textId="1660815C" w:rsidR="00155939" w:rsidRPr="005D65CE" w:rsidRDefault="00DE787D" w:rsidP="001E3B8F">
      <w:pPr>
        <w:pStyle w:val="ListParagraph"/>
        <w:numPr>
          <w:ilvl w:val="1"/>
          <w:numId w:val="19"/>
        </w:numPr>
        <w:suppressAutoHyphens/>
        <w:spacing w:line="288" w:lineRule="auto"/>
        <w:ind w:left="709"/>
        <w:rPr>
          <w:rFonts w:cs="Arial"/>
          <w:bCs/>
        </w:rPr>
      </w:pPr>
      <w:r>
        <w:t xml:space="preserve">The </w:t>
      </w:r>
      <w:r w:rsidR="00462152">
        <w:t>NIHRC</w:t>
      </w:r>
      <w:r>
        <w:t xml:space="preserve"> welcomes the PREVENT Strand and reiterates that, in order to tackle modern slavery and human trafficking effectively, it is imperative to address the wider factors and conditions that foster trafficking, modern slavery and exploitation in NI. </w:t>
      </w:r>
      <w:r w:rsidR="00EF3B78">
        <w:t xml:space="preserve">Embedding </w:t>
      </w:r>
      <w:r w:rsidR="00EF1AE3">
        <w:t>a holistic</w:t>
      </w:r>
      <w:r w:rsidR="00EF3B78">
        <w:t xml:space="preserve"> and </w:t>
      </w:r>
      <w:r w:rsidR="004A444C">
        <w:t>rights-based</w:t>
      </w:r>
      <w:r w:rsidR="00EF1AE3">
        <w:t xml:space="preserve"> approach</w:t>
      </w:r>
      <w:r w:rsidR="008A0AA6">
        <w:t xml:space="preserve"> to tackling modern slavery and human trafficking </w:t>
      </w:r>
      <w:r w:rsidR="00EF1AE3">
        <w:t xml:space="preserve">would </w:t>
      </w:r>
      <w:r>
        <w:t xml:space="preserve">strengthen the actions committed to under Strand 3. </w:t>
      </w:r>
    </w:p>
    <w:p w14:paraId="259BA736" w14:textId="77777777" w:rsidR="005D65CE" w:rsidRPr="005D65CE" w:rsidRDefault="005D65CE" w:rsidP="005D65CE">
      <w:pPr>
        <w:pStyle w:val="ListParagraph"/>
        <w:rPr>
          <w:rFonts w:cs="Arial"/>
          <w:bCs/>
        </w:rPr>
      </w:pPr>
    </w:p>
    <w:p w14:paraId="6EBB6196" w14:textId="36644759" w:rsidR="005D65CE" w:rsidRDefault="005D65CE" w:rsidP="001E3B8F">
      <w:pPr>
        <w:pStyle w:val="ListParagraph"/>
        <w:numPr>
          <w:ilvl w:val="1"/>
          <w:numId w:val="19"/>
        </w:numPr>
        <w:suppressAutoHyphens/>
        <w:spacing w:after="240" w:line="288" w:lineRule="auto"/>
        <w:ind w:left="709"/>
        <w:rPr>
          <w:b/>
          <w:bCs/>
        </w:rPr>
      </w:pPr>
      <w:r w:rsidRPr="00124CDA">
        <w:rPr>
          <w:b/>
          <w:bCs/>
        </w:rPr>
        <w:lastRenderedPageBreak/>
        <w:t xml:space="preserve">The </w:t>
      </w:r>
      <w:r>
        <w:rPr>
          <w:b/>
          <w:bCs/>
        </w:rPr>
        <w:t>NIHRC</w:t>
      </w:r>
      <w:r w:rsidRPr="00124CDA">
        <w:rPr>
          <w:b/>
          <w:bCs/>
        </w:rPr>
        <w:t xml:space="preserve"> recommends </w:t>
      </w:r>
      <w:r>
        <w:rPr>
          <w:b/>
          <w:bCs/>
        </w:rPr>
        <w:t>that</w:t>
      </w:r>
      <w:r w:rsidRPr="00124CDA">
        <w:rPr>
          <w:b/>
          <w:bCs/>
        </w:rPr>
        <w:t xml:space="preserve"> Strand </w:t>
      </w:r>
      <w:r>
        <w:rPr>
          <w:b/>
          <w:bCs/>
        </w:rPr>
        <w:t>3</w:t>
      </w:r>
      <w:r w:rsidRPr="00124CDA">
        <w:rPr>
          <w:b/>
          <w:bCs/>
        </w:rPr>
        <w:t xml:space="preserve"> include</w:t>
      </w:r>
      <w:r>
        <w:rPr>
          <w:b/>
          <w:bCs/>
        </w:rPr>
        <w:t>s</w:t>
      </w:r>
      <w:r w:rsidRPr="00124CDA">
        <w:rPr>
          <w:b/>
          <w:bCs/>
        </w:rPr>
        <w:t xml:space="preserve"> explicit</w:t>
      </w:r>
      <w:r w:rsidR="00B674FB">
        <w:rPr>
          <w:b/>
          <w:bCs/>
        </w:rPr>
        <w:t xml:space="preserve"> </w:t>
      </w:r>
      <w:r w:rsidRPr="00124CDA">
        <w:rPr>
          <w:b/>
          <w:bCs/>
        </w:rPr>
        <w:t xml:space="preserve">actions </w:t>
      </w:r>
      <w:r w:rsidR="00430A32">
        <w:rPr>
          <w:b/>
          <w:bCs/>
        </w:rPr>
        <w:t xml:space="preserve">for </w:t>
      </w:r>
      <w:r w:rsidR="004330F9">
        <w:rPr>
          <w:b/>
          <w:bCs/>
        </w:rPr>
        <w:t>preventative measures</w:t>
      </w:r>
      <w:r w:rsidR="00E00109">
        <w:rPr>
          <w:b/>
          <w:bCs/>
        </w:rPr>
        <w:t xml:space="preserve"> </w:t>
      </w:r>
      <w:r w:rsidR="00717917">
        <w:rPr>
          <w:b/>
          <w:bCs/>
        </w:rPr>
        <w:t xml:space="preserve">that target </w:t>
      </w:r>
      <w:r w:rsidR="00972827">
        <w:rPr>
          <w:b/>
          <w:bCs/>
        </w:rPr>
        <w:t>those</w:t>
      </w:r>
      <w:r w:rsidR="00430A32">
        <w:rPr>
          <w:b/>
          <w:bCs/>
        </w:rPr>
        <w:t xml:space="preserve"> most at risk </w:t>
      </w:r>
      <w:r w:rsidR="00EE4782">
        <w:rPr>
          <w:b/>
          <w:bCs/>
        </w:rPr>
        <w:t>of modern slavery and human trafficking</w:t>
      </w:r>
      <w:r w:rsidR="00AB2E98">
        <w:rPr>
          <w:b/>
          <w:bCs/>
        </w:rPr>
        <w:t>. This includes</w:t>
      </w:r>
      <w:r w:rsidR="00141B00">
        <w:rPr>
          <w:b/>
          <w:bCs/>
        </w:rPr>
        <w:t xml:space="preserve"> </w:t>
      </w:r>
      <w:r w:rsidR="003962E0">
        <w:rPr>
          <w:b/>
          <w:bCs/>
        </w:rPr>
        <w:t>ensuring that other NI Executive strategies and initiatives</w:t>
      </w:r>
      <w:r w:rsidR="009C2284">
        <w:rPr>
          <w:b/>
          <w:bCs/>
        </w:rPr>
        <w:t xml:space="preserve"> aimed at</w:t>
      </w:r>
      <w:r w:rsidR="00F148E4" w:rsidRPr="00F148E4">
        <w:rPr>
          <w:b/>
          <w:bCs/>
        </w:rPr>
        <w:t xml:space="preserve"> tackl</w:t>
      </w:r>
      <w:r w:rsidR="00F148E4">
        <w:rPr>
          <w:b/>
          <w:bCs/>
        </w:rPr>
        <w:t>ing</w:t>
      </w:r>
      <w:r w:rsidR="00F148E4" w:rsidRPr="00F148E4">
        <w:rPr>
          <w:b/>
          <w:bCs/>
        </w:rPr>
        <w:t xml:space="preserve"> the causes of poverty and inequality, including gender inequality,</w:t>
      </w:r>
      <w:r w:rsidR="0040045F">
        <w:rPr>
          <w:b/>
          <w:bCs/>
        </w:rPr>
        <w:t xml:space="preserve"> </w:t>
      </w:r>
      <w:r w:rsidR="009C2284">
        <w:rPr>
          <w:b/>
          <w:bCs/>
        </w:rPr>
        <w:t xml:space="preserve">take account of modern slavery and human trafficking. </w:t>
      </w:r>
      <w:r w:rsidR="00FB68B3">
        <w:rPr>
          <w:b/>
          <w:bCs/>
        </w:rPr>
        <w:t xml:space="preserve"> </w:t>
      </w:r>
    </w:p>
    <w:p w14:paraId="0C22C111" w14:textId="77777777" w:rsidR="001F14AC" w:rsidRPr="001F14AC" w:rsidRDefault="001F14AC" w:rsidP="001F14AC">
      <w:pPr>
        <w:pStyle w:val="ListParagraph"/>
        <w:rPr>
          <w:b/>
          <w:bCs/>
        </w:rPr>
      </w:pPr>
    </w:p>
    <w:p w14:paraId="114A79BF" w14:textId="6526CF93" w:rsidR="00FC5231" w:rsidRDefault="00FC5231" w:rsidP="00962C1B">
      <w:pPr>
        <w:spacing w:line="288" w:lineRule="auto"/>
      </w:pPr>
    </w:p>
    <w:p w14:paraId="1CF61D76" w14:textId="28D4F04A" w:rsidR="00A72039" w:rsidRDefault="00A72039" w:rsidP="00962C1B">
      <w:pPr>
        <w:spacing w:line="288" w:lineRule="auto"/>
      </w:pPr>
    </w:p>
    <w:p w14:paraId="0C13181C" w14:textId="539099C0" w:rsidR="00A72039" w:rsidRDefault="00A72039" w:rsidP="00962C1B">
      <w:pPr>
        <w:spacing w:line="288" w:lineRule="auto"/>
      </w:pPr>
    </w:p>
    <w:p w14:paraId="6D6741B3" w14:textId="2D505FE6" w:rsidR="00A72039" w:rsidRDefault="00A72039" w:rsidP="00962C1B">
      <w:pPr>
        <w:spacing w:line="288" w:lineRule="auto"/>
      </w:pPr>
    </w:p>
    <w:p w14:paraId="7F7BB55F" w14:textId="47E9EDE7" w:rsidR="00A72039" w:rsidRDefault="00A72039" w:rsidP="00962C1B">
      <w:pPr>
        <w:spacing w:line="288" w:lineRule="auto"/>
      </w:pPr>
    </w:p>
    <w:p w14:paraId="7458A270" w14:textId="075C95A2" w:rsidR="00A72039" w:rsidRDefault="00A72039" w:rsidP="00962C1B">
      <w:pPr>
        <w:spacing w:line="288" w:lineRule="auto"/>
      </w:pPr>
    </w:p>
    <w:p w14:paraId="05E50D8B" w14:textId="3F454EFC" w:rsidR="00A72039" w:rsidRDefault="00A72039" w:rsidP="00962C1B">
      <w:pPr>
        <w:spacing w:line="288" w:lineRule="auto"/>
      </w:pPr>
    </w:p>
    <w:p w14:paraId="60F3E9F1" w14:textId="0862BEEF" w:rsidR="00A72039" w:rsidRDefault="00A72039" w:rsidP="00962C1B">
      <w:pPr>
        <w:spacing w:line="288" w:lineRule="auto"/>
      </w:pPr>
    </w:p>
    <w:p w14:paraId="4F439E61" w14:textId="701FDAFC" w:rsidR="00A72039" w:rsidRDefault="00A72039" w:rsidP="00962C1B">
      <w:pPr>
        <w:spacing w:line="288" w:lineRule="auto"/>
      </w:pPr>
    </w:p>
    <w:p w14:paraId="1120D708" w14:textId="33E60D85" w:rsidR="00A72039" w:rsidRDefault="00A72039" w:rsidP="00962C1B">
      <w:pPr>
        <w:spacing w:line="288" w:lineRule="auto"/>
      </w:pPr>
    </w:p>
    <w:p w14:paraId="1BA18953" w14:textId="1F1DFF1C" w:rsidR="00A72039" w:rsidRDefault="00A72039" w:rsidP="00962C1B">
      <w:pPr>
        <w:spacing w:line="288" w:lineRule="auto"/>
      </w:pPr>
    </w:p>
    <w:p w14:paraId="5CD0935C" w14:textId="48B2277C" w:rsidR="00A72039" w:rsidRDefault="00A72039" w:rsidP="00962C1B">
      <w:pPr>
        <w:spacing w:line="288" w:lineRule="auto"/>
      </w:pPr>
    </w:p>
    <w:p w14:paraId="75A18B92" w14:textId="517463D6" w:rsidR="00A72039" w:rsidRDefault="00A72039" w:rsidP="00962C1B">
      <w:pPr>
        <w:spacing w:line="288" w:lineRule="auto"/>
      </w:pPr>
    </w:p>
    <w:p w14:paraId="7926F60F" w14:textId="77777777" w:rsidR="00A72039" w:rsidRDefault="00A72039" w:rsidP="00962C1B">
      <w:pPr>
        <w:spacing w:line="288" w:lineRule="auto"/>
      </w:pPr>
    </w:p>
    <w:p w14:paraId="0E07FF98" w14:textId="0864CE88" w:rsidR="00F81EDC" w:rsidRDefault="00F81EDC" w:rsidP="00962C1B">
      <w:pPr>
        <w:spacing w:line="288" w:lineRule="auto"/>
      </w:pPr>
    </w:p>
    <w:p w14:paraId="1E53FB98" w14:textId="69B39A7D" w:rsidR="00F81EDC" w:rsidRDefault="00F81EDC" w:rsidP="00962C1B">
      <w:pPr>
        <w:spacing w:line="288" w:lineRule="auto"/>
      </w:pPr>
    </w:p>
    <w:p w14:paraId="2A3AA85E" w14:textId="1EEDAFE7" w:rsidR="00F81EDC" w:rsidRDefault="00F81EDC" w:rsidP="00962C1B">
      <w:pPr>
        <w:spacing w:line="288" w:lineRule="auto"/>
      </w:pPr>
    </w:p>
    <w:p w14:paraId="4C11DFFF" w14:textId="77777777" w:rsidR="00F81EDC" w:rsidRDefault="00F81EDC" w:rsidP="005711BC">
      <w:pPr>
        <w:pStyle w:val="BasicParagraph"/>
        <w:suppressAutoHyphens/>
        <w:rPr>
          <w:rFonts w:ascii="Verdana" w:hAnsi="Verdana" w:cs="Arial"/>
          <w:b/>
          <w:bCs/>
          <w:color w:val="77328A"/>
          <w:sz w:val="36"/>
          <w:szCs w:val="36"/>
        </w:rPr>
      </w:pPr>
    </w:p>
    <w:p w14:paraId="360A7444" w14:textId="77777777" w:rsidR="005711BC" w:rsidRDefault="005711BC" w:rsidP="005711BC">
      <w:pPr>
        <w:pStyle w:val="BasicParagraph"/>
        <w:suppressAutoHyphens/>
        <w:rPr>
          <w:rFonts w:ascii="Verdana" w:hAnsi="Verdana" w:cs="Arial"/>
          <w:b/>
          <w:bCs/>
          <w:color w:val="77328A"/>
          <w:sz w:val="36"/>
          <w:szCs w:val="36"/>
        </w:rPr>
      </w:pPr>
    </w:p>
    <w:p w14:paraId="611B19EF" w14:textId="77777777" w:rsidR="00F81EDC" w:rsidRDefault="00F81EDC" w:rsidP="00F81EDC">
      <w:pPr>
        <w:pStyle w:val="BasicParagraph"/>
        <w:suppressAutoHyphens/>
        <w:jc w:val="center"/>
        <w:rPr>
          <w:rFonts w:ascii="Verdana" w:hAnsi="Verdana" w:cs="Arial"/>
          <w:b/>
          <w:bCs/>
          <w:color w:val="77328A"/>
          <w:sz w:val="36"/>
          <w:szCs w:val="36"/>
        </w:rPr>
      </w:pPr>
    </w:p>
    <w:p w14:paraId="4831D92F" w14:textId="64CB2A1A" w:rsidR="00F81EDC" w:rsidRPr="00A11AF3" w:rsidRDefault="00F81EDC" w:rsidP="00F81EDC">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ntact us</w:t>
      </w:r>
    </w:p>
    <w:p w14:paraId="3B65B199" w14:textId="77777777" w:rsidR="00F81EDC" w:rsidRPr="00331C61" w:rsidRDefault="00F81EDC" w:rsidP="00F81EDC">
      <w:pPr>
        <w:spacing w:line="288" w:lineRule="auto"/>
        <w:jc w:val="center"/>
        <w:rPr>
          <w:rFonts w:cs="Arial"/>
          <w:b/>
          <w:color w:val="232120"/>
          <w:sz w:val="30"/>
          <w:szCs w:val="30"/>
        </w:rPr>
      </w:pPr>
    </w:p>
    <w:p w14:paraId="475B0609" w14:textId="77777777" w:rsidR="00F81EDC" w:rsidRPr="00331C61" w:rsidRDefault="007440E2" w:rsidP="00F81EDC">
      <w:pPr>
        <w:spacing w:line="288" w:lineRule="auto"/>
        <w:jc w:val="center"/>
        <w:rPr>
          <w:rFonts w:cs="Arial"/>
          <w:color w:val="232120"/>
          <w:sz w:val="28"/>
          <w:szCs w:val="28"/>
        </w:rPr>
      </w:pPr>
      <w:hyperlink r:id="rId12" w:history="1">
        <w:r w:rsidR="00F81EDC" w:rsidRPr="00331C61">
          <w:rPr>
            <w:rStyle w:val="Hyperlink"/>
            <w:rFonts w:cs="Arial"/>
            <w:color w:val="232120"/>
            <w:sz w:val="28"/>
            <w:szCs w:val="28"/>
            <w:lang w:val="en-US"/>
          </w:rPr>
          <w:t>www.nihrc.org</w:t>
        </w:r>
      </w:hyperlink>
      <w:r w:rsidR="00F81EDC" w:rsidRPr="00331C61">
        <w:rPr>
          <w:rFonts w:cs="Arial"/>
          <w:color w:val="232120"/>
          <w:sz w:val="28"/>
          <w:szCs w:val="28"/>
          <w:lang w:val="en-US"/>
        </w:rPr>
        <w:t xml:space="preserve">  |  </w:t>
      </w:r>
      <w:hyperlink r:id="rId13" w:history="1">
        <w:r w:rsidR="00F81EDC" w:rsidRPr="00331C61">
          <w:rPr>
            <w:rStyle w:val="Hyperlink"/>
            <w:rFonts w:cs="Arial"/>
            <w:color w:val="232120"/>
            <w:sz w:val="28"/>
            <w:szCs w:val="28"/>
            <w:lang w:val="en-US"/>
          </w:rPr>
          <w:t>info@nihrc.org</w:t>
        </w:r>
      </w:hyperlink>
      <w:r w:rsidR="00F81EDC" w:rsidRPr="00331C61">
        <w:rPr>
          <w:rFonts w:cs="Arial"/>
          <w:color w:val="232120"/>
          <w:sz w:val="28"/>
          <w:szCs w:val="28"/>
          <w:lang w:val="en-US"/>
        </w:rPr>
        <w:t xml:space="preserve">  |  +44 (0)28 9024 3987</w:t>
      </w:r>
    </w:p>
    <w:p w14:paraId="0A035DBE" w14:textId="77777777" w:rsidR="00F81EDC" w:rsidRPr="00331C61" w:rsidRDefault="00F81EDC" w:rsidP="00F81EDC">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3E2FE6AA" w14:textId="77777777" w:rsidR="00F81EDC" w:rsidRPr="00331C61" w:rsidRDefault="00F81EDC" w:rsidP="00F81EDC">
      <w:pPr>
        <w:spacing w:line="288" w:lineRule="auto"/>
        <w:jc w:val="center"/>
        <w:rPr>
          <w:rFonts w:cs="Arial"/>
          <w:b/>
          <w:color w:val="232120"/>
          <w:sz w:val="28"/>
          <w:szCs w:val="28"/>
        </w:rPr>
      </w:pPr>
    </w:p>
    <w:p w14:paraId="4EB0DAC7" w14:textId="77777777" w:rsidR="00F81EDC" w:rsidRPr="00331C61" w:rsidRDefault="00F81EDC" w:rsidP="00F81EDC">
      <w:pPr>
        <w:spacing w:line="288" w:lineRule="auto"/>
        <w:jc w:val="center"/>
        <w:rPr>
          <w:rFonts w:cs="Arial"/>
          <w:color w:val="232120"/>
          <w:sz w:val="20"/>
          <w:szCs w:val="20"/>
        </w:rPr>
      </w:pPr>
    </w:p>
    <w:p w14:paraId="1F8201C5" w14:textId="71C5E805" w:rsidR="00F81EDC" w:rsidRDefault="00F81EDC" w:rsidP="00F81EDC">
      <w:pPr>
        <w:jc w:val="center"/>
      </w:pPr>
      <w:r w:rsidRPr="00331C61">
        <w:rPr>
          <w:rFonts w:cs="Arial"/>
          <w:noProof/>
          <w:color w:val="232120"/>
          <w:sz w:val="28"/>
          <w:szCs w:val="28"/>
          <w:lang w:eastAsia="en-GB"/>
        </w:rPr>
        <w:drawing>
          <wp:inline distT="0" distB="0" distL="0" distR="0" wp14:anchorId="5062FEF4" wp14:editId="00DBA94A">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F81EDC" w:rsidSect="006945C7">
      <w:headerReference w:type="default" r:id="rId15"/>
      <w:footerReference w:type="default" r:id="rId16"/>
      <w:pgSz w:w="11906" w:h="16838"/>
      <w:pgMar w:top="1440" w:right="1440" w:bottom="1440" w:left="1440" w:header="10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4F3B" w14:textId="77777777" w:rsidR="0063473A" w:rsidRDefault="0063473A" w:rsidP="00996CFC">
      <w:r>
        <w:separator/>
      </w:r>
    </w:p>
  </w:endnote>
  <w:endnote w:type="continuationSeparator" w:id="0">
    <w:p w14:paraId="12267366" w14:textId="77777777" w:rsidR="0063473A" w:rsidRDefault="0063473A" w:rsidP="00996CFC">
      <w:r>
        <w:continuationSeparator/>
      </w:r>
    </w:p>
  </w:endnote>
  <w:endnote w:type="continuationNotice" w:id="1">
    <w:p w14:paraId="0ECD676C" w14:textId="77777777" w:rsidR="0063473A" w:rsidRDefault="00634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47125"/>
      <w:docPartObj>
        <w:docPartGallery w:val="Page Numbers (Bottom of Page)"/>
        <w:docPartUnique/>
      </w:docPartObj>
    </w:sdtPr>
    <w:sdtEndPr>
      <w:rPr>
        <w:noProof/>
      </w:rPr>
    </w:sdtEndPr>
    <w:sdtContent>
      <w:p w14:paraId="3CFC929E" w14:textId="12AB2630" w:rsidR="00B019CF" w:rsidRDefault="00B019CF">
        <w:pPr>
          <w:pStyle w:val="Footer"/>
          <w:jc w:val="right"/>
        </w:pPr>
        <w:r>
          <w:fldChar w:fldCharType="begin"/>
        </w:r>
        <w:r>
          <w:instrText xml:space="preserve"> PAGE   \* MERGEFORMAT </w:instrText>
        </w:r>
        <w:r>
          <w:fldChar w:fldCharType="separate"/>
        </w:r>
        <w:r w:rsidR="00C832BF">
          <w:rPr>
            <w:noProof/>
          </w:rPr>
          <w:t>2</w:t>
        </w:r>
        <w:r>
          <w:fldChar w:fldCharType="end"/>
        </w:r>
      </w:p>
    </w:sdtContent>
  </w:sdt>
  <w:p w14:paraId="14565181" w14:textId="77777777" w:rsidR="00B019CF" w:rsidRDefault="00B0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53D7" w14:textId="77777777" w:rsidR="0063473A" w:rsidRDefault="0063473A" w:rsidP="00996CFC">
      <w:r>
        <w:separator/>
      </w:r>
    </w:p>
  </w:footnote>
  <w:footnote w:type="continuationSeparator" w:id="0">
    <w:p w14:paraId="373603E3" w14:textId="77777777" w:rsidR="0063473A" w:rsidRDefault="0063473A" w:rsidP="00996CFC">
      <w:r>
        <w:continuationSeparator/>
      </w:r>
    </w:p>
  </w:footnote>
  <w:footnote w:type="continuationNotice" w:id="1">
    <w:p w14:paraId="6650C767" w14:textId="77777777" w:rsidR="0063473A" w:rsidRDefault="0063473A"/>
  </w:footnote>
  <w:footnote w:id="2">
    <w:p w14:paraId="59C63209" w14:textId="1F80CB9F" w:rsidR="00547E58" w:rsidRPr="00FB4AB2" w:rsidRDefault="00547E58" w:rsidP="00547E58">
      <w:pPr>
        <w:pStyle w:val="FootnoteText"/>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1951. Further guidance is also taken from the body of case law from the European Court of Human</w:t>
      </w:r>
      <w:r w:rsidR="00166A7F">
        <w:rPr>
          <w:color w:val="77328A"/>
          <w:sz w:val="16"/>
          <w:szCs w:val="16"/>
        </w:rPr>
        <w:t xml:space="preserve"> </w:t>
      </w:r>
      <w:r w:rsidRPr="00FB4AB2">
        <w:rPr>
          <w:color w:val="77328A"/>
          <w:sz w:val="16"/>
          <w:szCs w:val="16"/>
        </w:rPr>
        <w:t>Rights (ECtHR).</w:t>
      </w:r>
    </w:p>
  </w:footnote>
  <w:footnote w:id="3">
    <w:p w14:paraId="5AE9F9CD" w14:textId="425E9FF5" w:rsidR="007F64F0" w:rsidRPr="007F64F0" w:rsidRDefault="007F64F0">
      <w:pPr>
        <w:pStyle w:val="FootnoteText"/>
        <w:rPr>
          <w:sz w:val="16"/>
          <w:szCs w:val="16"/>
        </w:rPr>
      </w:pPr>
      <w:r w:rsidRPr="007F64F0">
        <w:rPr>
          <w:rStyle w:val="FootnoteReference"/>
          <w:color w:val="77328A"/>
          <w:sz w:val="16"/>
          <w:szCs w:val="16"/>
        </w:rPr>
        <w:footnoteRef/>
      </w:r>
      <w:r w:rsidRPr="007F64F0">
        <w:rPr>
          <w:color w:val="77328A"/>
          <w:sz w:val="16"/>
          <w:szCs w:val="16"/>
        </w:rPr>
        <w:t xml:space="preserve"> Ratified by the UK 1951.</w:t>
      </w:r>
    </w:p>
  </w:footnote>
  <w:footnote w:id="4">
    <w:p w14:paraId="03AE58A8" w14:textId="4E28750B" w:rsidR="00166A7F" w:rsidRPr="00166A7F" w:rsidRDefault="00166A7F">
      <w:pPr>
        <w:pStyle w:val="FootnoteText"/>
        <w:rPr>
          <w:sz w:val="16"/>
          <w:szCs w:val="16"/>
        </w:rPr>
      </w:pPr>
      <w:r w:rsidRPr="00166A7F">
        <w:rPr>
          <w:rStyle w:val="FootnoteReference"/>
          <w:color w:val="77328A"/>
          <w:sz w:val="16"/>
          <w:szCs w:val="16"/>
        </w:rPr>
        <w:footnoteRef/>
      </w:r>
      <w:r w:rsidRPr="00166A7F">
        <w:rPr>
          <w:color w:val="77328A"/>
          <w:sz w:val="16"/>
          <w:szCs w:val="16"/>
        </w:rPr>
        <w:t xml:space="preserve"> Ratified by the UK 1976.</w:t>
      </w:r>
    </w:p>
  </w:footnote>
  <w:footnote w:id="5">
    <w:p w14:paraId="6953AE99" w14:textId="77777777" w:rsidR="00547E58" w:rsidRPr="00FB4AB2" w:rsidRDefault="00547E58" w:rsidP="00547E58">
      <w:pPr>
        <w:pStyle w:val="FootnoteText"/>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1986.</w:t>
      </w:r>
    </w:p>
  </w:footnote>
  <w:footnote w:id="6">
    <w:p w14:paraId="23FC1962" w14:textId="77777777" w:rsidR="00F81EDC" w:rsidRPr="00FB4AB2" w:rsidRDefault="00F81EDC" w:rsidP="00F81EDC">
      <w:pPr>
        <w:pStyle w:val="FootnoteText"/>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in 2006.</w:t>
      </w:r>
    </w:p>
  </w:footnote>
  <w:footnote w:id="7">
    <w:p w14:paraId="676B134B" w14:textId="77777777" w:rsidR="00352C47" w:rsidRPr="00FB4AB2" w:rsidRDefault="00352C47" w:rsidP="00352C47">
      <w:pPr>
        <w:pStyle w:val="FootnoteText"/>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1988. </w:t>
      </w:r>
    </w:p>
  </w:footnote>
  <w:footnote w:id="8">
    <w:p w14:paraId="11D020A1" w14:textId="77777777" w:rsidR="00352C47" w:rsidRPr="00FB4AB2" w:rsidRDefault="00352C47" w:rsidP="00352C47">
      <w:pPr>
        <w:pStyle w:val="FootnoteText"/>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1989.</w:t>
      </w:r>
    </w:p>
  </w:footnote>
  <w:footnote w:id="9">
    <w:p w14:paraId="389D1128" w14:textId="77777777" w:rsidR="00352C47" w:rsidRPr="00FB4AB2" w:rsidRDefault="00352C47" w:rsidP="00352C47">
      <w:pPr>
        <w:pStyle w:val="NIHRCFootnotes"/>
      </w:pPr>
      <w:r w:rsidRPr="00FB4AB2">
        <w:rPr>
          <w:rStyle w:val="FootnoteReference"/>
        </w:rPr>
        <w:footnoteRef/>
      </w:r>
      <w:r w:rsidRPr="00FB4AB2">
        <w:t xml:space="preserve"> Ratified by the UK in 2007. </w:t>
      </w:r>
    </w:p>
  </w:footnote>
  <w:footnote w:id="10">
    <w:p w14:paraId="7EBC92A2" w14:textId="77777777" w:rsidR="00352C47" w:rsidRDefault="00352C47" w:rsidP="00352C47">
      <w:pPr>
        <w:pStyle w:val="NIHRCFootnotes"/>
      </w:pPr>
      <w:r>
        <w:rPr>
          <w:rStyle w:val="FootnoteReference"/>
        </w:rPr>
        <w:footnoteRef/>
      </w:r>
      <w:r>
        <w:t xml:space="preserve"> E/2002/68/Add.1, ‘</w:t>
      </w:r>
      <w:r w:rsidRPr="00A40A6F">
        <w:t xml:space="preserve">Recommended Principles and Guidelines on Human Rights and Human Trafficking: </w:t>
      </w:r>
      <w:r>
        <w:t>R</w:t>
      </w:r>
      <w:r w:rsidRPr="00A40A6F">
        <w:t xml:space="preserve">eport of the United Nations High Commissioner for Human Rights to the Economic and Social Council: </w:t>
      </w:r>
      <w:r>
        <w:t>A</w:t>
      </w:r>
      <w:r w:rsidRPr="00A40A6F">
        <w:t>ddendum</w:t>
      </w:r>
      <w:r>
        <w:t>’, 20 May 2002.</w:t>
      </w:r>
    </w:p>
  </w:footnote>
  <w:footnote w:id="11">
    <w:p w14:paraId="23524F2F" w14:textId="77777777" w:rsidR="00352C47" w:rsidRPr="00FB4AB2" w:rsidRDefault="00352C47" w:rsidP="00352C47">
      <w:pPr>
        <w:pStyle w:val="NIHRCFootnotes"/>
      </w:pPr>
      <w:r w:rsidRPr="00FB4AB2">
        <w:rPr>
          <w:rStyle w:val="FootnoteReference"/>
        </w:rPr>
        <w:footnoteRef/>
      </w:r>
      <w:r w:rsidRPr="00FB4AB2">
        <w:t xml:space="preserve"> CEDAW/C/GBR/CO/8, 'UN CEDAW Committee Concluding Observations on the Eighth Periodic Report of the UK of Great Britain and NI', 14 March 2019.</w:t>
      </w:r>
    </w:p>
  </w:footnote>
  <w:footnote w:id="12">
    <w:p w14:paraId="27B47B25" w14:textId="77777777" w:rsidR="00352C47" w:rsidRPr="00FB4AB2" w:rsidRDefault="00352C47" w:rsidP="00352C47">
      <w:pPr>
        <w:pStyle w:val="NIHRCFootnotes"/>
      </w:pPr>
      <w:r w:rsidRPr="00FB4AB2">
        <w:rPr>
          <w:rStyle w:val="FootnoteReference"/>
        </w:rPr>
        <w:footnoteRef/>
      </w:r>
      <w:r w:rsidRPr="00FB4AB2">
        <w:t xml:space="preserve"> </w:t>
      </w:r>
      <w:r w:rsidRPr="00FB4AB2">
        <w:rPr>
          <w:shd w:val="clear" w:color="auto" w:fill="FFFFFF"/>
        </w:rPr>
        <w:t xml:space="preserve">CAT/C/GBR/CO/6, ‘UN CAT Committee Concluding </w:t>
      </w:r>
      <w:r>
        <w:rPr>
          <w:shd w:val="clear" w:color="auto" w:fill="FFFFFF"/>
        </w:rPr>
        <w:t>O</w:t>
      </w:r>
      <w:r w:rsidRPr="00FB4AB2">
        <w:rPr>
          <w:shd w:val="clear" w:color="auto" w:fill="FFFFFF"/>
        </w:rPr>
        <w:t xml:space="preserve">bservations on the </w:t>
      </w:r>
      <w:r>
        <w:rPr>
          <w:shd w:val="clear" w:color="auto" w:fill="FFFFFF"/>
        </w:rPr>
        <w:t>Sixth</w:t>
      </w:r>
      <w:r w:rsidRPr="00FB4AB2">
        <w:rPr>
          <w:shd w:val="clear" w:color="auto" w:fill="FFFFFF"/>
        </w:rPr>
        <w:t xml:space="preserve"> </w:t>
      </w:r>
      <w:r>
        <w:rPr>
          <w:shd w:val="clear" w:color="auto" w:fill="FFFFFF"/>
        </w:rPr>
        <w:t>P</w:t>
      </w:r>
      <w:r w:rsidRPr="00FB4AB2">
        <w:rPr>
          <w:shd w:val="clear" w:color="auto" w:fill="FFFFFF"/>
        </w:rPr>
        <w:t xml:space="preserve">eriodic </w:t>
      </w:r>
      <w:r>
        <w:rPr>
          <w:shd w:val="clear" w:color="auto" w:fill="FFFFFF"/>
        </w:rPr>
        <w:t>R</w:t>
      </w:r>
      <w:r w:rsidRPr="00FB4AB2">
        <w:rPr>
          <w:shd w:val="clear" w:color="auto" w:fill="FFFFFF"/>
        </w:rPr>
        <w:t xml:space="preserve">eport of the </w:t>
      </w:r>
      <w:r>
        <w:rPr>
          <w:shd w:val="clear" w:color="auto" w:fill="FFFFFF"/>
        </w:rPr>
        <w:t>UK</w:t>
      </w:r>
      <w:r w:rsidRPr="00FB4AB2">
        <w:rPr>
          <w:shd w:val="clear" w:color="auto" w:fill="FFFFFF"/>
        </w:rPr>
        <w:t xml:space="preserve"> of Great Britain and </w:t>
      </w:r>
      <w:r>
        <w:rPr>
          <w:shd w:val="clear" w:color="auto" w:fill="FFFFFF"/>
        </w:rPr>
        <w:t>NI</w:t>
      </w:r>
      <w:r w:rsidRPr="00FB4AB2">
        <w:rPr>
          <w:shd w:val="clear" w:color="auto" w:fill="FFFFFF"/>
        </w:rPr>
        <w:t>’</w:t>
      </w:r>
      <w:r>
        <w:rPr>
          <w:shd w:val="clear" w:color="auto" w:fill="FFFFFF"/>
        </w:rPr>
        <w:t>,</w:t>
      </w:r>
      <w:r w:rsidRPr="00FB4AB2">
        <w:rPr>
          <w:shd w:val="clear" w:color="auto" w:fill="FFFFFF"/>
        </w:rPr>
        <w:t xml:space="preserve"> 7 June 2019.</w:t>
      </w:r>
    </w:p>
  </w:footnote>
  <w:footnote w:id="13">
    <w:p w14:paraId="5A2C2546" w14:textId="77777777" w:rsidR="00DE6EF9" w:rsidRPr="00FB4AB2" w:rsidRDefault="00DE6EF9" w:rsidP="00DE6EF9">
      <w:pPr>
        <w:pStyle w:val="NIHRCFootnotes"/>
      </w:pPr>
      <w:r w:rsidRPr="00FB4AB2">
        <w:rPr>
          <w:rStyle w:val="FootnoteReference"/>
        </w:rPr>
        <w:footnoteRef/>
      </w:r>
      <w:r w:rsidRPr="00FB4AB2">
        <w:t xml:space="preserve"> EU Directive 2012/29/EU of the European </w:t>
      </w:r>
      <w:r w:rsidRPr="007F64F0">
        <w:t>Parliament and of the Council of 25 October 2012 establishing minimum standards on the rights, support and protection</w:t>
      </w:r>
      <w:r w:rsidRPr="00FB4AB2">
        <w:t xml:space="preserve"> of victims of crime.</w:t>
      </w:r>
    </w:p>
  </w:footnote>
  <w:footnote w:id="14">
    <w:p w14:paraId="6A9EC4AB" w14:textId="77777777" w:rsidR="00DE6EF9" w:rsidRPr="00FB4AB2" w:rsidRDefault="00DE6EF9" w:rsidP="00DE6EF9">
      <w:pPr>
        <w:pStyle w:val="FootnoteText"/>
        <w:rPr>
          <w:color w:val="77328A"/>
          <w:sz w:val="16"/>
          <w:szCs w:val="16"/>
        </w:rPr>
      </w:pPr>
      <w:r w:rsidRPr="00FB4AB2">
        <w:rPr>
          <w:rStyle w:val="FootnoteReference"/>
          <w:color w:val="77328A"/>
          <w:sz w:val="16"/>
          <w:szCs w:val="16"/>
        </w:rPr>
        <w:footnoteRef/>
      </w:r>
      <w:r w:rsidRPr="00FB4AB2">
        <w:rPr>
          <w:color w:val="77328A"/>
          <w:sz w:val="16"/>
          <w:szCs w:val="16"/>
        </w:rPr>
        <w:t xml:space="preserve"> EU Directive 2011/36/EU of the European Parliament and of the Council of 5 April 2011 on preventing and combatting trafficking in human beings and protecting its victims.</w:t>
      </w:r>
    </w:p>
  </w:footnote>
  <w:footnote w:id="15">
    <w:p w14:paraId="67EBD6F2" w14:textId="77777777" w:rsidR="00DE6EF9" w:rsidRPr="00FB4AB2" w:rsidRDefault="00DE6EF9" w:rsidP="00DE6EF9">
      <w:pPr>
        <w:pStyle w:val="NIHRCFootnotes"/>
      </w:pPr>
      <w:r w:rsidRPr="00FB4AB2">
        <w:rPr>
          <w:rStyle w:val="FootnoteReference"/>
        </w:rPr>
        <w:footnoteRef/>
      </w:r>
      <w:r w:rsidRPr="00FB4AB2">
        <w:t xml:space="preserve"> EU Directive 2011/93/EU of the European Parliament and of the Council of 13 December 2011 on combating the sexual abuse and sexual exploitation of children and child pornography, and replacing Council Framework Decision 2004/68/JHA.</w:t>
      </w:r>
    </w:p>
  </w:footnote>
  <w:footnote w:id="16">
    <w:p w14:paraId="1CE0C7EF" w14:textId="77777777" w:rsidR="00DE2F81" w:rsidRPr="0098157D" w:rsidRDefault="00DE2F81" w:rsidP="00DE2F81">
      <w:pPr>
        <w:pStyle w:val="FootnoteText"/>
        <w:rPr>
          <w:color w:val="77328A"/>
          <w:sz w:val="16"/>
          <w:szCs w:val="16"/>
        </w:rPr>
      </w:pPr>
      <w:r w:rsidRPr="0098157D">
        <w:rPr>
          <w:rStyle w:val="FootnoteReference"/>
          <w:color w:val="77328A"/>
          <w:sz w:val="16"/>
          <w:szCs w:val="16"/>
        </w:rPr>
        <w:footnoteRef/>
      </w:r>
      <w:r w:rsidRPr="0098157D">
        <w:rPr>
          <w:color w:val="77328A"/>
          <w:sz w:val="16"/>
          <w:szCs w:val="16"/>
        </w:rPr>
        <w:t xml:space="preserve"> NI Human Rights Commission, ‘Submission to Department of Justice Consultation on Measures to Strengthen the Response to Modern Slavery and Human Trafficking’, (NIHRC, 2022).</w:t>
      </w:r>
    </w:p>
  </w:footnote>
  <w:footnote w:id="17">
    <w:p w14:paraId="13CE66F4" w14:textId="77777777" w:rsidR="00DE2F81" w:rsidRPr="0098157D" w:rsidRDefault="00DE2F81" w:rsidP="00DE2F81">
      <w:pPr>
        <w:pStyle w:val="FootnoteText"/>
        <w:rPr>
          <w:color w:val="77328A"/>
          <w:sz w:val="16"/>
          <w:szCs w:val="16"/>
        </w:rPr>
      </w:pPr>
      <w:r w:rsidRPr="0098157D">
        <w:rPr>
          <w:rStyle w:val="FootnoteReference"/>
          <w:color w:val="77328A"/>
          <w:sz w:val="16"/>
          <w:szCs w:val="16"/>
        </w:rPr>
        <w:footnoteRef/>
      </w:r>
      <w:r w:rsidRPr="0098157D">
        <w:rPr>
          <w:color w:val="77328A"/>
          <w:sz w:val="16"/>
          <w:szCs w:val="16"/>
        </w:rPr>
        <w:t xml:space="preserve"> NI Human Rights Commission, ‘Submission to Department of Justice Consultation on Measures to Strengthen the Response to Modern Slavery and Human Trafficking’, (NIHRC, 2022).</w:t>
      </w:r>
    </w:p>
  </w:footnote>
  <w:footnote w:id="18">
    <w:p w14:paraId="41E349FA" w14:textId="77777777" w:rsidR="001A66BC" w:rsidRPr="00FB4AB2" w:rsidRDefault="001A66BC" w:rsidP="001A66BC">
      <w:pPr>
        <w:pStyle w:val="NIHRCFootnotes"/>
      </w:pPr>
      <w:r w:rsidRPr="00756E3B">
        <w:rPr>
          <w:rStyle w:val="FootnoteReference"/>
        </w:rPr>
        <w:footnoteRef/>
      </w:r>
      <w:r w:rsidRPr="00756E3B">
        <w:t xml:space="preserve"> </w:t>
      </w:r>
      <w:r w:rsidRPr="0069043D">
        <w:rPr>
          <w:i/>
          <w:iCs/>
        </w:rPr>
        <w:t>Rantsev v Cyprus and Russia</w:t>
      </w:r>
      <w:r>
        <w:t xml:space="preserve"> (2010) ECHR 22, </w:t>
      </w:r>
      <w:r w:rsidRPr="00756E3B">
        <w:t>at para 284</w:t>
      </w:r>
      <w:r>
        <w:t>.</w:t>
      </w:r>
    </w:p>
  </w:footnote>
  <w:footnote w:id="19">
    <w:p w14:paraId="2FC44155" w14:textId="77777777" w:rsidR="00D20CDF" w:rsidRPr="00367D9A" w:rsidRDefault="00D20CDF" w:rsidP="00D20CDF">
      <w:pPr>
        <w:pStyle w:val="FootnoteText"/>
        <w:rPr>
          <w:color w:val="77328A"/>
          <w:sz w:val="16"/>
          <w:szCs w:val="16"/>
        </w:rPr>
      </w:pPr>
      <w:r w:rsidRPr="00367D9A">
        <w:rPr>
          <w:rStyle w:val="FootnoteReference"/>
          <w:color w:val="77328A"/>
          <w:sz w:val="16"/>
          <w:szCs w:val="16"/>
        </w:rPr>
        <w:footnoteRef/>
      </w:r>
      <w:r w:rsidRPr="00367D9A">
        <w:rPr>
          <w:color w:val="77328A"/>
          <w:sz w:val="16"/>
          <w:szCs w:val="16"/>
        </w:rPr>
        <w:t xml:space="preserve"> CAT/C/GBR/CO/6, 'UN Committee against Torture, Concluding Observations on the Sixth Periodic Report of the United Kingdom of Great Britain and Northern Ireland', 7 June 2019, at para 59.</w:t>
      </w:r>
    </w:p>
  </w:footnote>
  <w:footnote w:id="20">
    <w:p w14:paraId="4F824342" w14:textId="6993A889" w:rsidR="00964C4C" w:rsidRPr="00367D9A" w:rsidRDefault="00964C4C" w:rsidP="00964C4C">
      <w:pPr>
        <w:pStyle w:val="FootnoteText"/>
        <w:rPr>
          <w:color w:val="77328A"/>
        </w:rPr>
      </w:pPr>
      <w:r w:rsidRPr="00367D9A">
        <w:rPr>
          <w:rStyle w:val="FootnoteReference"/>
          <w:color w:val="77328A"/>
          <w:sz w:val="16"/>
          <w:szCs w:val="16"/>
        </w:rPr>
        <w:footnoteRef/>
      </w:r>
      <w:r w:rsidRPr="00367D9A">
        <w:rPr>
          <w:color w:val="77328A"/>
          <w:sz w:val="16"/>
          <w:szCs w:val="16"/>
        </w:rPr>
        <w:t xml:space="preserve"> Criminal Justice Inspection NI, ‘Modern Slavery and Human Trafficking: An Inspection of How the Criminal Justice System Deals with Modern Slavery and </w:t>
      </w:r>
      <w:r w:rsidRPr="0098157D">
        <w:rPr>
          <w:color w:val="77328A"/>
          <w:sz w:val="16"/>
          <w:szCs w:val="16"/>
        </w:rPr>
        <w:t xml:space="preserve">Human Trafficking in NI’, </w:t>
      </w:r>
      <w:r w:rsidR="00190A15">
        <w:rPr>
          <w:color w:val="77328A"/>
          <w:sz w:val="16"/>
          <w:szCs w:val="16"/>
        </w:rPr>
        <w:t xml:space="preserve">(CJI, </w:t>
      </w:r>
      <w:r w:rsidRPr="0098157D">
        <w:rPr>
          <w:color w:val="77328A"/>
          <w:sz w:val="16"/>
          <w:szCs w:val="16"/>
        </w:rPr>
        <w:t>2020</w:t>
      </w:r>
      <w:r w:rsidR="00190A15">
        <w:rPr>
          <w:color w:val="77328A"/>
          <w:sz w:val="16"/>
          <w:szCs w:val="16"/>
        </w:rPr>
        <w:t>)</w:t>
      </w:r>
      <w:r w:rsidRPr="0098157D">
        <w:rPr>
          <w:color w:val="77328A"/>
          <w:sz w:val="16"/>
          <w:szCs w:val="16"/>
        </w:rPr>
        <w:t>.</w:t>
      </w:r>
    </w:p>
  </w:footnote>
  <w:footnote w:id="21">
    <w:p w14:paraId="7D32D101" w14:textId="77777777" w:rsidR="00155939" w:rsidRPr="00FB4AB2" w:rsidRDefault="00155939" w:rsidP="00155939">
      <w:pPr>
        <w:pStyle w:val="NIHRCFootnotes"/>
      </w:pPr>
      <w:r w:rsidRPr="00FB4AB2">
        <w:rPr>
          <w:rStyle w:val="FootnoteReference"/>
        </w:rPr>
        <w:footnoteRef/>
      </w:r>
      <w:r w:rsidRPr="00FB4AB2">
        <w:t xml:space="preserve"> </w:t>
      </w:r>
      <w:r w:rsidRPr="00FB4AB2">
        <w:rPr>
          <w:shd w:val="clear" w:color="auto" w:fill="FFFFFF"/>
        </w:rPr>
        <w:t xml:space="preserve">CAT/C/GBR/CO/6, ‘UN CAT Committee Concluding </w:t>
      </w:r>
      <w:r>
        <w:rPr>
          <w:shd w:val="clear" w:color="auto" w:fill="FFFFFF"/>
        </w:rPr>
        <w:t>O</w:t>
      </w:r>
      <w:r w:rsidRPr="00FB4AB2">
        <w:rPr>
          <w:shd w:val="clear" w:color="auto" w:fill="FFFFFF"/>
        </w:rPr>
        <w:t xml:space="preserve">bservations on the </w:t>
      </w:r>
      <w:r>
        <w:rPr>
          <w:shd w:val="clear" w:color="auto" w:fill="FFFFFF"/>
        </w:rPr>
        <w:t>Sixth</w:t>
      </w:r>
      <w:r w:rsidRPr="00FB4AB2">
        <w:rPr>
          <w:shd w:val="clear" w:color="auto" w:fill="FFFFFF"/>
        </w:rPr>
        <w:t xml:space="preserve"> </w:t>
      </w:r>
      <w:r>
        <w:rPr>
          <w:shd w:val="clear" w:color="auto" w:fill="FFFFFF"/>
        </w:rPr>
        <w:t>P</w:t>
      </w:r>
      <w:r w:rsidRPr="00FB4AB2">
        <w:rPr>
          <w:shd w:val="clear" w:color="auto" w:fill="FFFFFF"/>
        </w:rPr>
        <w:t xml:space="preserve">eriodic </w:t>
      </w:r>
      <w:r>
        <w:rPr>
          <w:shd w:val="clear" w:color="auto" w:fill="FFFFFF"/>
        </w:rPr>
        <w:t>R</w:t>
      </w:r>
      <w:r w:rsidRPr="00FB4AB2">
        <w:rPr>
          <w:shd w:val="clear" w:color="auto" w:fill="FFFFFF"/>
        </w:rPr>
        <w:t xml:space="preserve">eport of the </w:t>
      </w:r>
      <w:r>
        <w:rPr>
          <w:shd w:val="clear" w:color="auto" w:fill="FFFFFF"/>
        </w:rPr>
        <w:t>UK</w:t>
      </w:r>
      <w:r w:rsidRPr="00FB4AB2">
        <w:rPr>
          <w:shd w:val="clear" w:color="auto" w:fill="FFFFFF"/>
        </w:rPr>
        <w:t xml:space="preserve"> of Great Britain and </w:t>
      </w:r>
      <w:r>
        <w:rPr>
          <w:shd w:val="clear" w:color="auto" w:fill="FFFFFF"/>
        </w:rPr>
        <w:t>NI</w:t>
      </w:r>
      <w:r w:rsidRPr="00FB4AB2">
        <w:rPr>
          <w:shd w:val="clear" w:color="auto" w:fill="FFFFFF"/>
        </w:rPr>
        <w:t>’</w:t>
      </w:r>
      <w:r>
        <w:rPr>
          <w:shd w:val="clear" w:color="auto" w:fill="FFFFFF"/>
        </w:rPr>
        <w:t>,</w:t>
      </w:r>
      <w:r w:rsidRPr="00FB4AB2">
        <w:rPr>
          <w:shd w:val="clear" w:color="auto" w:fill="FFFFFF"/>
        </w:rPr>
        <w:t xml:space="preserve"> 7 June 2019, at para 59.</w:t>
      </w:r>
    </w:p>
  </w:footnote>
  <w:footnote w:id="22">
    <w:p w14:paraId="3887640D" w14:textId="77777777" w:rsidR="007915D1" w:rsidRPr="00654887" w:rsidRDefault="007915D1" w:rsidP="007915D1">
      <w:pPr>
        <w:pStyle w:val="NIHRCFootnotes"/>
      </w:pPr>
      <w:r w:rsidRPr="00654887">
        <w:rPr>
          <w:rStyle w:val="FootnoteReference"/>
        </w:rPr>
        <w:footnoteRef/>
      </w:r>
      <w:r w:rsidRPr="00654887">
        <w:t xml:space="preserve"> CEDAW/C/GBR/CO/8, 'UN CEDAW Committee Concluding Observations on the Eighth Periodic Report of the UK of Great Britain and NI', 14 March 2019.</w:t>
      </w:r>
    </w:p>
  </w:footnote>
  <w:footnote w:id="23">
    <w:p w14:paraId="691E4DD9" w14:textId="77777777" w:rsidR="00112FCA" w:rsidRPr="00654887" w:rsidRDefault="00112FCA" w:rsidP="00112FCA">
      <w:pPr>
        <w:pStyle w:val="NIHRCFootnotes"/>
      </w:pPr>
      <w:r w:rsidRPr="00654887">
        <w:rPr>
          <w:rStyle w:val="FootnoteReference"/>
        </w:rPr>
        <w:footnoteRef/>
      </w:r>
      <w:r w:rsidRPr="00654887">
        <w:t xml:space="preserve"> Ibid.</w:t>
      </w:r>
    </w:p>
  </w:footnote>
  <w:footnote w:id="24">
    <w:p w14:paraId="14401CC0" w14:textId="77777777" w:rsidR="004C3CE7" w:rsidRPr="00FF567C" w:rsidRDefault="004C3CE7" w:rsidP="004C3CE7">
      <w:pPr>
        <w:pStyle w:val="FootnoteText"/>
        <w:rPr>
          <w:sz w:val="16"/>
          <w:szCs w:val="16"/>
        </w:rPr>
      </w:pPr>
      <w:r w:rsidRPr="00FF567C">
        <w:rPr>
          <w:rStyle w:val="FootnoteReference"/>
          <w:color w:val="77328A"/>
          <w:sz w:val="16"/>
          <w:szCs w:val="16"/>
        </w:rPr>
        <w:footnoteRef/>
      </w:r>
      <w:r w:rsidRPr="00FF567C">
        <w:rPr>
          <w:color w:val="77328A"/>
          <w:sz w:val="16"/>
          <w:szCs w:val="16"/>
        </w:rPr>
        <w:t xml:space="preserve"> </w:t>
      </w:r>
      <w:r>
        <w:rPr>
          <w:color w:val="77328A"/>
          <w:sz w:val="16"/>
          <w:szCs w:val="16"/>
        </w:rPr>
        <w:t xml:space="preserve">Article 18(3), </w:t>
      </w:r>
      <w:r w:rsidRPr="00FF567C">
        <w:rPr>
          <w:color w:val="77328A"/>
          <w:sz w:val="16"/>
          <w:szCs w:val="16"/>
        </w:rPr>
        <w:t>Directive 2011/36/EU of the European Parliament and of the Council of 5 April 2011 on preventing and combatting trafficking in human beings and protecting its victims, and replacing Council Framework Decision 2002/629/JHA</w:t>
      </w:r>
      <w:r>
        <w:rPr>
          <w:color w:val="77328A"/>
          <w:sz w:val="16"/>
          <w:szCs w:val="16"/>
        </w:rPr>
        <w:t>.</w:t>
      </w:r>
    </w:p>
  </w:footnote>
  <w:footnote w:id="25">
    <w:p w14:paraId="6D171B63" w14:textId="77777777" w:rsidR="00DE2F81" w:rsidRDefault="00DE2F81" w:rsidP="00DE2F81">
      <w:pPr>
        <w:pStyle w:val="NIHRCFootnotes"/>
      </w:pPr>
      <w:r>
        <w:rPr>
          <w:rStyle w:val="FootnoteReference"/>
        </w:rPr>
        <w:footnoteRef/>
      </w:r>
      <w:r>
        <w:t xml:space="preserve"> Article 1 and Recitals 3 and 25, Directive 2011/36/EU, ‘EU Council Directive on preventing and combating trafficking in human beings and protecting its victims’, 5 April 2011.</w:t>
      </w:r>
    </w:p>
  </w:footnote>
  <w:footnote w:id="26">
    <w:p w14:paraId="43DE46F9" w14:textId="77777777" w:rsidR="00155939" w:rsidRPr="00BD289C" w:rsidRDefault="00155939" w:rsidP="00155939">
      <w:pPr>
        <w:pStyle w:val="FootnoteText"/>
        <w:rPr>
          <w:sz w:val="16"/>
          <w:szCs w:val="16"/>
        </w:rPr>
      </w:pPr>
      <w:r w:rsidRPr="00BD289C">
        <w:rPr>
          <w:rStyle w:val="FootnoteReference"/>
          <w:color w:val="77328A"/>
          <w:sz w:val="16"/>
          <w:szCs w:val="16"/>
        </w:rPr>
        <w:footnoteRef/>
      </w:r>
      <w:r w:rsidRPr="00BD289C">
        <w:rPr>
          <w:color w:val="77328A"/>
          <w:sz w:val="16"/>
          <w:szCs w:val="16"/>
        </w:rPr>
        <w:t xml:space="preserve"> CEDAW/C/GC/38, ‘UN CEDAW Committee General Recommendation No.38 on trafficking in women and girls in the context of global migration’ 20 November 2020, at paras </w:t>
      </w:r>
      <w:r>
        <w:rPr>
          <w:color w:val="77328A"/>
          <w:sz w:val="16"/>
          <w:szCs w:val="16"/>
        </w:rPr>
        <w:t>40, 102 and 106.</w:t>
      </w:r>
    </w:p>
  </w:footnote>
  <w:footnote w:id="27">
    <w:p w14:paraId="6609D53A" w14:textId="77777777" w:rsidR="00155939" w:rsidRDefault="00155939" w:rsidP="00155939">
      <w:pPr>
        <w:pStyle w:val="NIHRCFootnotes"/>
      </w:pPr>
      <w:r>
        <w:rPr>
          <w:rStyle w:val="FootnoteReference"/>
        </w:rPr>
        <w:footnoteRef/>
      </w:r>
      <w:r>
        <w:t xml:space="preserve"> GRETA(2021)12, Evaluation Report UK: Third evaluation round, access to justice and effective remedies for victims of trafficking in human beings’, 20 October 2021, at 21.</w:t>
      </w:r>
    </w:p>
  </w:footnote>
  <w:footnote w:id="28">
    <w:p w14:paraId="22460A8F" w14:textId="77777777" w:rsidR="00155939" w:rsidRPr="00817311" w:rsidRDefault="00155939" w:rsidP="00155939">
      <w:pPr>
        <w:pStyle w:val="FootnoteText"/>
        <w:rPr>
          <w:sz w:val="16"/>
          <w:szCs w:val="16"/>
        </w:rPr>
      </w:pPr>
      <w:r w:rsidRPr="00817311">
        <w:rPr>
          <w:rStyle w:val="FootnoteReference"/>
          <w:color w:val="77328A"/>
          <w:sz w:val="16"/>
          <w:szCs w:val="16"/>
        </w:rPr>
        <w:footnoteRef/>
      </w:r>
      <w:r w:rsidRPr="00817311">
        <w:rPr>
          <w:color w:val="77328A"/>
          <w:sz w:val="16"/>
          <w:szCs w:val="16"/>
        </w:rPr>
        <w:t xml:space="preserve"> Independent Anti-Slavery Commissioner, ‘Annual Report 2021 - 2022’ (Gov.UK, 2022) at 1.3.2 and 1.6.5; Independent Anti-Slavery Commissioner and EPCAT UK, ‘Child trafficking in the UK 2021: a snapshot’, (IASC, 2021)</w:t>
      </w:r>
      <w:r>
        <w:rPr>
          <w:color w:val="77328A"/>
          <w:sz w:val="16"/>
          <w:szCs w:val="16"/>
        </w:rPr>
        <w:t xml:space="preserve"> at 38.</w:t>
      </w:r>
    </w:p>
  </w:footnote>
  <w:footnote w:id="29">
    <w:p w14:paraId="35E23412" w14:textId="34984D75" w:rsidR="00107F85" w:rsidRDefault="00107F85">
      <w:pPr>
        <w:pStyle w:val="FootnoteText"/>
      </w:pPr>
      <w:r w:rsidRPr="007A2CCB">
        <w:rPr>
          <w:rStyle w:val="FootnoteReference"/>
          <w:color w:val="77328A"/>
          <w:sz w:val="16"/>
          <w:szCs w:val="16"/>
        </w:rPr>
        <w:footnoteRef/>
      </w:r>
      <w:r w:rsidR="007A2CCB" w:rsidRPr="007A2CCB">
        <w:rPr>
          <w:color w:val="77328A"/>
          <w:sz w:val="16"/>
          <w:szCs w:val="16"/>
        </w:rPr>
        <w:t xml:space="preserve"> NI Human Rights Commission, ‘Submission to Department of Justice Consultation on Measures to Strengthen the Response to Modern Slavery and Human Trafficking’, (NIHRC, 2022).</w:t>
      </w:r>
      <w:r w:rsidRPr="007A2CCB">
        <w:rPr>
          <w:color w:val="77328A"/>
          <w:sz w:val="16"/>
          <w:szCs w:val="16"/>
        </w:rPr>
        <w:t xml:space="preserve"> </w:t>
      </w:r>
      <w:r w:rsidR="00074E2B" w:rsidRPr="007A2CCB">
        <w:rPr>
          <w:color w:val="77328A"/>
          <w:sz w:val="16"/>
          <w:szCs w:val="16"/>
        </w:rPr>
        <w:t xml:space="preserve">3.12 – 3.15 </w:t>
      </w:r>
      <w:r w:rsidR="004D54D4" w:rsidRPr="007A2CCB">
        <w:rPr>
          <w:color w:val="77328A"/>
          <w:sz w:val="16"/>
          <w:szCs w:val="16"/>
        </w:rPr>
        <w:t>and 4.6 – 4.14.</w:t>
      </w:r>
    </w:p>
  </w:footnote>
  <w:footnote w:id="30">
    <w:p w14:paraId="1439AF12" w14:textId="11A1FE3B" w:rsidR="003B259C" w:rsidRPr="00C53E45" w:rsidRDefault="003B259C">
      <w:pPr>
        <w:pStyle w:val="FootnoteText"/>
        <w:rPr>
          <w:sz w:val="16"/>
          <w:szCs w:val="16"/>
        </w:rPr>
      </w:pPr>
      <w:r w:rsidRPr="00C53E45">
        <w:rPr>
          <w:rStyle w:val="FootnoteReference"/>
          <w:color w:val="77328A"/>
          <w:sz w:val="16"/>
          <w:szCs w:val="16"/>
        </w:rPr>
        <w:footnoteRef/>
      </w:r>
      <w:r w:rsidRPr="00C53E45">
        <w:rPr>
          <w:color w:val="77328A"/>
          <w:sz w:val="16"/>
          <w:szCs w:val="16"/>
        </w:rPr>
        <w:t xml:space="preserve"> </w:t>
      </w:r>
      <w:r w:rsidR="00176611" w:rsidRPr="00C53E45">
        <w:rPr>
          <w:color w:val="77328A"/>
          <w:sz w:val="16"/>
          <w:szCs w:val="16"/>
        </w:rPr>
        <w:t>Independent Anti-Slavery Commissioner</w:t>
      </w:r>
      <w:r w:rsidR="000E4AD0" w:rsidRPr="00C53E45">
        <w:rPr>
          <w:color w:val="77328A"/>
          <w:sz w:val="16"/>
          <w:szCs w:val="16"/>
        </w:rPr>
        <w:t>, ‘</w:t>
      </w:r>
      <w:r w:rsidR="007A4DEA" w:rsidRPr="00C53E45">
        <w:rPr>
          <w:color w:val="77328A"/>
          <w:sz w:val="16"/>
          <w:szCs w:val="16"/>
        </w:rPr>
        <w:t xml:space="preserve">Annual Report 2021 </w:t>
      </w:r>
      <w:r w:rsidR="000E4AD0" w:rsidRPr="00C53E45">
        <w:rPr>
          <w:color w:val="77328A"/>
          <w:sz w:val="16"/>
          <w:szCs w:val="16"/>
        </w:rPr>
        <w:t>-</w:t>
      </w:r>
      <w:r w:rsidR="007A4DEA" w:rsidRPr="00C53E45">
        <w:rPr>
          <w:color w:val="77328A"/>
          <w:sz w:val="16"/>
          <w:szCs w:val="16"/>
        </w:rPr>
        <w:t xml:space="preserve"> 2022’</w:t>
      </w:r>
      <w:r w:rsidR="00D422D8" w:rsidRPr="00C53E45">
        <w:rPr>
          <w:color w:val="77328A"/>
          <w:sz w:val="16"/>
          <w:szCs w:val="16"/>
        </w:rPr>
        <w:t xml:space="preserve"> (Gov.UK, 2022)</w:t>
      </w:r>
      <w:r w:rsidR="003C63C4" w:rsidRPr="00C53E45">
        <w:rPr>
          <w:color w:val="77328A"/>
          <w:sz w:val="16"/>
          <w:szCs w:val="16"/>
        </w:rPr>
        <w:t xml:space="preserve"> at </w:t>
      </w:r>
      <w:r w:rsidR="00296502" w:rsidRPr="00C53E45">
        <w:rPr>
          <w:color w:val="77328A"/>
          <w:sz w:val="16"/>
          <w:szCs w:val="16"/>
        </w:rPr>
        <w:t xml:space="preserve">1.1.2 </w:t>
      </w:r>
      <w:r w:rsidR="00C53E45" w:rsidRPr="00C53E45">
        <w:rPr>
          <w:color w:val="77328A"/>
          <w:sz w:val="16"/>
          <w:szCs w:val="16"/>
        </w:rPr>
        <w:t>– 1.1.4.</w:t>
      </w:r>
    </w:p>
  </w:footnote>
  <w:footnote w:id="31">
    <w:p w14:paraId="64114E75" w14:textId="08761A51" w:rsidR="00E63514" w:rsidRPr="00DE0D83" w:rsidRDefault="00E63514" w:rsidP="00FC5B92">
      <w:pPr>
        <w:pStyle w:val="FootnoteText"/>
        <w:rPr>
          <w:color w:val="77328A"/>
          <w:sz w:val="16"/>
          <w:szCs w:val="16"/>
        </w:rPr>
      </w:pPr>
      <w:r w:rsidRPr="00FC5B92">
        <w:rPr>
          <w:rStyle w:val="FootnoteReference"/>
          <w:color w:val="77328A"/>
          <w:sz w:val="16"/>
          <w:szCs w:val="16"/>
        </w:rPr>
        <w:footnoteRef/>
      </w:r>
      <w:r w:rsidRPr="00FC5B92">
        <w:rPr>
          <w:color w:val="77328A"/>
          <w:sz w:val="16"/>
          <w:szCs w:val="16"/>
        </w:rPr>
        <w:t xml:space="preserve"> </w:t>
      </w:r>
      <w:r w:rsidR="00FC5B92" w:rsidRPr="00FC5B92">
        <w:rPr>
          <w:i/>
          <w:iCs/>
          <w:color w:val="77328A"/>
          <w:sz w:val="16"/>
          <w:szCs w:val="16"/>
        </w:rPr>
        <w:t>See</w:t>
      </w:r>
      <w:r w:rsidR="00FC5B92" w:rsidRPr="00FC5B92">
        <w:rPr>
          <w:color w:val="77328A"/>
          <w:sz w:val="16"/>
          <w:szCs w:val="16"/>
        </w:rPr>
        <w:t xml:space="preserve"> </w:t>
      </w:r>
      <w:r w:rsidR="009505A2" w:rsidRPr="00FC5B92">
        <w:rPr>
          <w:color w:val="77328A"/>
          <w:sz w:val="16"/>
          <w:szCs w:val="16"/>
        </w:rPr>
        <w:t>Article</w:t>
      </w:r>
      <w:r w:rsidR="00FC5B92" w:rsidRPr="00FC5B92">
        <w:rPr>
          <w:color w:val="77328A"/>
          <w:sz w:val="16"/>
          <w:szCs w:val="16"/>
        </w:rPr>
        <w:t>s</w:t>
      </w:r>
      <w:r w:rsidR="009505A2" w:rsidRPr="00FC5B92">
        <w:rPr>
          <w:color w:val="77328A"/>
          <w:sz w:val="16"/>
          <w:szCs w:val="16"/>
        </w:rPr>
        <w:t xml:space="preserve"> 34 and 35, UN CRC</w:t>
      </w:r>
      <w:r w:rsidR="00FC5B92" w:rsidRPr="00FC5B92">
        <w:rPr>
          <w:color w:val="77328A"/>
          <w:sz w:val="16"/>
          <w:szCs w:val="16"/>
        </w:rPr>
        <w:t>; and A/RES/54/263 ‘Optional Protocol to the Convention on the Rights of the Child on the Sale of Childr</w:t>
      </w:r>
      <w:r w:rsidR="00FC5B92" w:rsidRPr="00DE0D83">
        <w:rPr>
          <w:color w:val="77328A"/>
          <w:sz w:val="16"/>
          <w:szCs w:val="16"/>
        </w:rPr>
        <w:t>en, Child Prostitution and Child Pornography’ 25 May 2000.</w:t>
      </w:r>
    </w:p>
  </w:footnote>
  <w:footnote w:id="32">
    <w:p w14:paraId="510C39FB" w14:textId="63C14D99" w:rsidR="004939CA" w:rsidRDefault="004939CA" w:rsidP="004939CA">
      <w:pPr>
        <w:pStyle w:val="FootnoteText"/>
      </w:pPr>
      <w:r w:rsidRPr="00DE0D83">
        <w:rPr>
          <w:rStyle w:val="FootnoteReference"/>
          <w:color w:val="77328A"/>
          <w:sz w:val="16"/>
          <w:szCs w:val="16"/>
        </w:rPr>
        <w:footnoteRef/>
      </w:r>
      <w:r w:rsidRPr="00DE0D83">
        <w:rPr>
          <w:color w:val="77328A"/>
          <w:sz w:val="16"/>
          <w:szCs w:val="16"/>
        </w:rPr>
        <w:t xml:space="preserve"> </w:t>
      </w:r>
      <w:r w:rsidR="00190A15" w:rsidRPr="00DE0D83">
        <w:rPr>
          <w:color w:val="77328A"/>
          <w:sz w:val="16"/>
          <w:szCs w:val="16"/>
        </w:rPr>
        <w:t>Criminal Justice Inspection NI, ‘Modern</w:t>
      </w:r>
      <w:r w:rsidR="00190A15" w:rsidRPr="00367D9A">
        <w:rPr>
          <w:color w:val="77328A"/>
          <w:sz w:val="16"/>
          <w:szCs w:val="16"/>
        </w:rPr>
        <w:t xml:space="preserve"> Slavery and Human Trafficking: An Inspection of How the Criminal Justice System Deals with Modern Slavery and </w:t>
      </w:r>
      <w:r w:rsidR="00190A15" w:rsidRPr="0098157D">
        <w:rPr>
          <w:color w:val="77328A"/>
          <w:sz w:val="16"/>
          <w:szCs w:val="16"/>
        </w:rPr>
        <w:t xml:space="preserve">Human Trafficking in NI’, </w:t>
      </w:r>
      <w:r w:rsidR="00190A15">
        <w:rPr>
          <w:color w:val="77328A"/>
          <w:sz w:val="16"/>
          <w:szCs w:val="16"/>
        </w:rPr>
        <w:t xml:space="preserve">(CJI, </w:t>
      </w:r>
      <w:r w:rsidR="00190A15" w:rsidRPr="0098157D">
        <w:rPr>
          <w:color w:val="77328A"/>
          <w:sz w:val="16"/>
          <w:szCs w:val="16"/>
        </w:rPr>
        <w:t>2020</w:t>
      </w:r>
      <w:r w:rsidR="00190A15">
        <w:rPr>
          <w:color w:val="77328A"/>
          <w:sz w:val="16"/>
          <w:szCs w:val="16"/>
        </w:rPr>
        <w:t>), a</w:t>
      </w:r>
      <w:r w:rsidRPr="00FC5B92">
        <w:rPr>
          <w:color w:val="77328A"/>
          <w:sz w:val="16"/>
          <w:szCs w:val="16"/>
        </w:rPr>
        <w:t>t 3.6</w:t>
      </w:r>
      <w:r w:rsidR="007464AF">
        <w:rPr>
          <w:color w:val="77328A"/>
          <w:sz w:val="16"/>
          <w:szCs w:val="16"/>
        </w:rPr>
        <w:t>5 and 3.137.</w:t>
      </w:r>
      <w:r w:rsidRPr="00FC5B92">
        <w:rPr>
          <w:color w:val="77328A"/>
        </w:rPr>
        <w:t xml:space="preserve"> </w:t>
      </w:r>
    </w:p>
  </w:footnote>
  <w:footnote w:id="33">
    <w:p w14:paraId="3C63FA6E" w14:textId="245DF6C2" w:rsidR="00DE0D83" w:rsidRPr="00013588" w:rsidRDefault="00DE0D83">
      <w:pPr>
        <w:pStyle w:val="FootnoteText"/>
        <w:rPr>
          <w:sz w:val="16"/>
          <w:szCs w:val="16"/>
        </w:rPr>
      </w:pPr>
      <w:r w:rsidRPr="00013588">
        <w:rPr>
          <w:rStyle w:val="FootnoteReference"/>
          <w:color w:val="77328A"/>
          <w:sz w:val="16"/>
          <w:szCs w:val="16"/>
        </w:rPr>
        <w:footnoteRef/>
      </w:r>
      <w:r w:rsidRPr="00013588">
        <w:rPr>
          <w:color w:val="77328A"/>
          <w:sz w:val="16"/>
          <w:szCs w:val="16"/>
        </w:rPr>
        <w:t xml:space="preserve"> </w:t>
      </w:r>
      <w:r w:rsidR="00013588" w:rsidRPr="00013588">
        <w:rPr>
          <w:color w:val="77328A"/>
          <w:sz w:val="16"/>
          <w:szCs w:val="16"/>
        </w:rPr>
        <w:t>Ibid at 4.</w:t>
      </w:r>
    </w:p>
  </w:footnote>
  <w:footnote w:id="34">
    <w:p w14:paraId="6E5E7BA8" w14:textId="4794414A" w:rsidR="006B4859" w:rsidRPr="00DE0D83" w:rsidRDefault="006B4859">
      <w:pPr>
        <w:pStyle w:val="FootnoteText"/>
        <w:rPr>
          <w:sz w:val="16"/>
          <w:szCs w:val="16"/>
        </w:rPr>
      </w:pPr>
      <w:r w:rsidRPr="00DE0D83">
        <w:rPr>
          <w:rStyle w:val="FootnoteReference"/>
          <w:color w:val="77328A"/>
          <w:sz w:val="16"/>
          <w:szCs w:val="16"/>
        </w:rPr>
        <w:footnoteRef/>
      </w:r>
      <w:r w:rsidRPr="00DE0D83">
        <w:rPr>
          <w:color w:val="77328A"/>
          <w:sz w:val="16"/>
          <w:szCs w:val="16"/>
        </w:rPr>
        <w:t xml:space="preserve"> </w:t>
      </w:r>
      <w:r w:rsidR="00DE0D83" w:rsidRPr="00DE0D83">
        <w:rPr>
          <w:color w:val="77328A"/>
          <w:sz w:val="16"/>
          <w:szCs w:val="16"/>
        </w:rPr>
        <w:t>Ibid at 3.74</w:t>
      </w:r>
      <w:r w:rsidR="00013588">
        <w:rPr>
          <w:color w:val="77328A"/>
          <w:sz w:val="16"/>
          <w:szCs w:val="16"/>
        </w:rPr>
        <w:t>.</w:t>
      </w:r>
    </w:p>
  </w:footnote>
  <w:footnote w:id="35">
    <w:p w14:paraId="24E0D9AD" w14:textId="33704B5F" w:rsidR="00190A15" w:rsidRPr="0074101A" w:rsidRDefault="00190A15" w:rsidP="0074101A">
      <w:pPr>
        <w:pStyle w:val="FootnoteText"/>
        <w:rPr>
          <w:color w:val="77328A"/>
          <w:sz w:val="16"/>
          <w:szCs w:val="16"/>
        </w:rPr>
      </w:pPr>
      <w:r w:rsidRPr="00F85BF9">
        <w:rPr>
          <w:rStyle w:val="FootnoteReference"/>
          <w:color w:val="77328A"/>
          <w:sz w:val="16"/>
          <w:szCs w:val="16"/>
        </w:rPr>
        <w:footnoteRef/>
      </w:r>
      <w:r w:rsidRPr="00F85BF9">
        <w:rPr>
          <w:color w:val="77328A"/>
          <w:sz w:val="16"/>
          <w:szCs w:val="16"/>
        </w:rPr>
        <w:t xml:space="preserve"> </w:t>
      </w:r>
      <w:r w:rsidR="00206D5E">
        <w:rPr>
          <w:color w:val="77328A"/>
          <w:sz w:val="16"/>
          <w:szCs w:val="16"/>
        </w:rPr>
        <w:t>NI Commissioner for Children and Young People</w:t>
      </w:r>
      <w:r w:rsidR="00C60FE0">
        <w:rPr>
          <w:color w:val="77328A"/>
          <w:sz w:val="16"/>
          <w:szCs w:val="16"/>
        </w:rPr>
        <w:t>, ‘</w:t>
      </w:r>
      <w:r w:rsidR="0074101A" w:rsidRPr="0074101A">
        <w:rPr>
          <w:color w:val="77328A"/>
          <w:sz w:val="16"/>
          <w:szCs w:val="16"/>
        </w:rPr>
        <w:t>Written evidence submitted by the Northern Ireland Commissioner for Children and</w:t>
      </w:r>
      <w:r w:rsidR="0074101A">
        <w:rPr>
          <w:color w:val="77328A"/>
          <w:sz w:val="16"/>
          <w:szCs w:val="16"/>
        </w:rPr>
        <w:t xml:space="preserve"> </w:t>
      </w:r>
      <w:r w:rsidR="0074101A" w:rsidRPr="0074101A">
        <w:rPr>
          <w:color w:val="77328A"/>
          <w:sz w:val="16"/>
          <w:szCs w:val="16"/>
        </w:rPr>
        <w:t>Young People</w:t>
      </w:r>
      <w:r w:rsidR="0074101A">
        <w:rPr>
          <w:color w:val="77328A"/>
          <w:sz w:val="16"/>
          <w:szCs w:val="16"/>
        </w:rPr>
        <w:t xml:space="preserve"> </w:t>
      </w:r>
      <w:r w:rsidR="0074101A" w:rsidRPr="0074101A">
        <w:rPr>
          <w:color w:val="77328A"/>
          <w:sz w:val="16"/>
          <w:szCs w:val="16"/>
        </w:rPr>
        <w:t>related to the effect of paramilitaries on society in Northern</w:t>
      </w:r>
      <w:r w:rsidR="0074101A">
        <w:rPr>
          <w:color w:val="77328A"/>
          <w:sz w:val="16"/>
          <w:szCs w:val="16"/>
        </w:rPr>
        <w:t xml:space="preserve"> </w:t>
      </w:r>
      <w:r w:rsidR="0074101A" w:rsidRPr="0074101A">
        <w:rPr>
          <w:color w:val="77328A"/>
          <w:sz w:val="16"/>
          <w:szCs w:val="16"/>
        </w:rPr>
        <w:t>Ireland inquiry</w:t>
      </w:r>
      <w:r w:rsidR="0074101A">
        <w:rPr>
          <w:color w:val="77328A"/>
          <w:sz w:val="16"/>
          <w:szCs w:val="16"/>
        </w:rPr>
        <w:t xml:space="preserve"> - </w:t>
      </w:r>
      <w:r w:rsidR="0074101A" w:rsidRPr="0074101A">
        <w:rPr>
          <w:color w:val="77328A"/>
          <w:sz w:val="16"/>
          <w:szCs w:val="16"/>
        </w:rPr>
        <w:t>PNI0016</w:t>
      </w:r>
      <w:r w:rsidR="0074101A">
        <w:rPr>
          <w:color w:val="77328A"/>
          <w:sz w:val="16"/>
          <w:szCs w:val="16"/>
        </w:rPr>
        <w:t>’</w:t>
      </w:r>
      <w:r w:rsidR="00206D5E">
        <w:rPr>
          <w:color w:val="77328A"/>
          <w:sz w:val="16"/>
          <w:szCs w:val="16"/>
        </w:rPr>
        <w:t>. Available at:</w:t>
      </w:r>
      <w:r w:rsidR="009A1E50">
        <w:rPr>
          <w:color w:val="77328A"/>
          <w:sz w:val="16"/>
          <w:szCs w:val="16"/>
        </w:rPr>
        <w:t xml:space="preserve"> </w:t>
      </w:r>
      <w:r w:rsidR="009A1E50" w:rsidRPr="009A1E50">
        <w:rPr>
          <w:color w:val="77328A"/>
          <w:sz w:val="16"/>
          <w:szCs w:val="16"/>
        </w:rPr>
        <w:t>https://committees.parliament.uk/work/6630/the-effect-of-paramilitary-activity-and-organised-crime-on-society-in-northern-ireland/publications/</w:t>
      </w:r>
      <w:r w:rsidR="009A1E50">
        <w:rPr>
          <w:color w:val="77328A"/>
          <w:sz w:val="16"/>
          <w:szCs w:val="16"/>
        </w:rPr>
        <w:t>;</w:t>
      </w:r>
      <w:r w:rsidR="00CD491E">
        <w:rPr>
          <w:color w:val="77328A"/>
          <w:sz w:val="16"/>
          <w:szCs w:val="16"/>
        </w:rPr>
        <w:t xml:space="preserve"> </w:t>
      </w:r>
      <w:r w:rsidR="006874D4" w:rsidRPr="00DE0D83">
        <w:rPr>
          <w:color w:val="77328A"/>
          <w:sz w:val="16"/>
          <w:szCs w:val="16"/>
        </w:rPr>
        <w:t>Criminal Justice Inspection NI, ‘Modern</w:t>
      </w:r>
      <w:r w:rsidR="006874D4" w:rsidRPr="00367D9A">
        <w:rPr>
          <w:color w:val="77328A"/>
          <w:sz w:val="16"/>
          <w:szCs w:val="16"/>
        </w:rPr>
        <w:t xml:space="preserve"> Slavery and Human Trafficking: An Inspection of How the Criminal Justice System Deals with Modern Slavery and </w:t>
      </w:r>
      <w:r w:rsidR="006874D4" w:rsidRPr="0098157D">
        <w:rPr>
          <w:color w:val="77328A"/>
          <w:sz w:val="16"/>
          <w:szCs w:val="16"/>
        </w:rPr>
        <w:t xml:space="preserve">Human Trafficking in NI’, </w:t>
      </w:r>
      <w:r w:rsidR="006874D4">
        <w:rPr>
          <w:color w:val="77328A"/>
          <w:sz w:val="16"/>
          <w:szCs w:val="16"/>
        </w:rPr>
        <w:t xml:space="preserve">(CJI, </w:t>
      </w:r>
      <w:r w:rsidR="006874D4" w:rsidRPr="0098157D">
        <w:rPr>
          <w:color w:val="77328A"/>
          <w:sz w:val="16"/>
          <w:szCs w:val="16"/>
        </w:rPr>
        <w:t>2020</w:t>
      </w:r>
      <w:r w:rsidR="006874D4">
        <w:rPr>
          <w:color w:val="77328A"/>
          <w:sz w:val="16"/>
          <w:szCs w:val="16"/>
        </w:rPr>
        <w:t xml:space="preserve">) </w:t>
      </w:r>
      <w:r w:rsidR="007464AF" w:rsidRPr="00F85BF9">
        <w:rPr>
          <w:color w:val="77328A"/>
          <w:sz w:val="16"/>
          <w:szCs w:val="16"/>
        </w:rPr>
        <w:t xml:space="preserve">at </w:t>
      </w:r>
      <w:r w:rsidR="00F85BF9" w:rsidRPr="00F85BF9">
        <w:rPr>
          <w:color w:val="77328A"/>
          <w:sz w:val="16"/>
          <w:szCs w:val="16"/>
        </w:rPr>
        <w:t xml:space="preserve">3.74 and </w:t>
      </w:r>
      <w:r w:rsidR="007464AF" w:rsidRPr="00F85BF9">
        <w:rPr>
          <w:color w:val="77328A"/>
          <w:sz w:val="16"/>
          <w:szCs w:val="16"/>
        </w:rPr>
        <w:t>3.137.</w:t>
      </w:r>
    </w:p>
  </w:footnote>
  <w:footnote w:id="36">
    <w:p w14:paraId="78F04823" w14:textId="49F65687" w:rsidR="00A803BA" w:rsidRPr="00AF6C8A" w:rsidRDefault="00A803BA">
      <w:pPr>
        <w:pStyle w:val="FootnoteText"/>
        <w:rPr>
          <w:sz w:val="16"/>
          <w:szCs w:val="16"/>
        </w:rPr>
      </w:pPr>
      <w:r w:rsidRPr="00AF6C8A">
        <w:rPr>
          <w:rStyle w:val="FootnoteReference"/>
          <w:color w:val="77328A"/>
          <w:sz w:val="16"/>
          <w:szCs w:val="16"/>
        </w:rPr>
        <w:footnoteRef/>
      </w:r>
      <w:r w:rsidRPr="00AF6C8A">
        <w:rPr>
          <w:color w:val="77328A"/>
          <w:sz w:val="16"/>
          <w:szCs w:val="16"/>
        </w:rPr>
        <w:t xml:space="preserve"> UK Parliament, ‘NI Affairs Committee</w:t>
      </w:r>
      <w:r w:rsidR="00743EA5" w:rsidRPr="00AF6C8A">
        <w:rPr>
          <w:color w:val="77328A"/>
          <w:sz w:val="16"/>
          <w:szCs w:val="16"/>
        </w:rPr>
        <w:t xml:space="preserve"> – Inquiry: The effect of paramilitary activity and organised crime on society in Northern Ireland’</w:t>
      </w:r>
      <w:r w:rsidR="00AF6C8A" w:rsidRPr="00AF6C8A">
        <w:rPr>
          <w:color w:val="77328A"/>
          <w:sz w:val="16"/>
          <w:szCs w:val="16"/>
        </w:rPr>
        <w:t xml:space="preserve">. Available at: </w:t>
      </w:r>
      <w:r w:rsidR="00222FCB" w:rsidRPr="00222FCB">
        <w:rPr>
          <w:color w:val="77328A"/>
          <w:sz w:val="16"/>
          <w:szCs w:val="16"/>
        </w:rPr>
        <w:t>https://committees.parliament.uk/work/6630/the-effect-of-paramilitary-activity-and-organised-crime-on-society-in-northern-ireland/</w:t>
      </w:r>
    </w:p>
  </w:footnote>
  <w:footnote w:id="37">
    <w:p w14:paraId="5A2B9F4D" w14:textId="73139119" w:rsidR="00843224" w:rsidRPr="00843224" w:rsidRDefault="00843224">
      <w:pPr>
        <w:pStyle w:val="FootnoteText"/>
        <w:rPr>
          <w:sz w:val="16"/>
          <w:szCs w:val="16"/>
        </w:rPr>
      </w:pPr>
      <w:r w:rsidRPr="00843224">
        <w:rPr>
          <w:rStyle w:val="FootnoteReference"/>
          <w:color w:val="77328A"/>
          <w:sz w:val="16"/>
          <w:szCs w:val="16"/>
        </w:rPr>
        <w:footnoteRef/>
      </w:r>
      <w:r w:rsidRPr="00843224">
        <w:rPr>
          <w:color w:val="77328A"/>
          <w:sz w:val="16"/>
          <w:szCs w:val="16"/>
        </w:rPr>
        <w:t xml:space="preserve"> Independent Anti-Slavery Commissioner</w:t>
      </w:r>
      <w:r>
        <w:rPr>
          <w:color w:val="77328A"/>
          <w:sz w:val="16"/>
          <w:szCs w:val="16"/>
        </w:rPr>
        <w:t xml:space="preserve"> and EPCAT UK</w:t>
      </w:r>
      <w:r w:rsidRPr="00843224">
        <w:rPr>
          <w:color w:val="77328A"/>
          <w:sz w:val="16"/>
          <w:szCs w:val="16"/>
        </w:rPr>
        <w:t>, ‘Child trafficking in the UK 2021: a snapshot’, (IASC, 2021).</w:t>
      </w:r>
    </w:p>
  </w:footnote>
  <w:footnote w:id="38">
    <w:p w14:paraId="31EA7905" w14:textId="4916B740" w:rsidR="00C951EB" w:rsidRDefault="00C951EB" w:rsidP="00C951EB">
      <w:pPr>
        <w:pStyle w:val="NIHRCFootnotes"/>
      </w:pPr>
      <w:r>
        <w:rPr>
          <w:rStyle w:val="FootnoteReference"/>
        </w:rPr>
        <w:footnoteRef/>
      </w:r>
      <w:r>
        <w:t xml:space="preserve"> NI Human Rights Commission, ‘Submission to Department of Justice on Measures to Strengthen the Response to Modern Slavery and Human Trafficking’, (NIHRC, 2022).</w:t>
      </w:r>
    </w:p>
  </w:footnote>
  <w:footnote w:id="39">
    <w:p w14:paraId="4A43B155" w14:textId="182BF6AE" w:rsidR="006C0C84" w:rsidRDefault="006C0C84" w:rsidP="00C951EB">
      <w:pPr>
        <w:pStyle w:val="NIHRCFootnotes"/>
      </w:pPr>
      <w:r>
        <w:rPr>
          <w:rStyle w:val="FootnoteReference"/>
        </w:rPr>
        <w:footnoteRef/>
      </w:r>
      <w:r>
        <w:t xml:space="preserve"> </w:t>
      </w:r>
      <w:r w:rsidR="00913795">
        <w:t>Department of Justice, ‘NI Draft Modern Slavery and Human Trafficking Strategy’, (DoJ, 2022), at</w:t>
      </w:r>
      <w:r w:rsidR="00245EC5">
        <w:t xml:space="preserve"> 12.</w:t>
      </w:r>
    </w:p>
  </w:footnote>
  <w:footnote w:id="40">
    <w:p w14:paraId="07641F92" w14:textId="55B56703" w:rsidR="00602A9E" w:rsidRDefault="00602A9E" w:rsidP="003E58F2">
      <w:pPr>
        <w:pStyle w:val="NIHRCFootnotes"/>
      </w:pPr>
      <w:r>
        <w:rPr>
          <w:rStyle w:val="FootnoteReference"/>
        </w:rPr>
        <w:footnoteRef/>
      </w:r>
      <w:r w:rsidR="003E58F2">
        <w:t xml:space="preserve"> Sections</w:t>
      </w:r>
      <w:r>
        <w:t xml:space="preserve"> 58-59, Nationality and Borders Act 2022.</w:t>
      </w:r>
    </w:p>
  </w:footnote>
  <w:footnote w:id="41">
    <w:p w14:paraId="40D19BDE" w14:textId="1E9A71F5" w:rsidR="003E58F2" w:rsidRDefault="003E58F2" w:rsidP="003E58F2">
      <w:pPr>
        <w:pStyle w:val="NIHRCFootnotes"/>
      </w:pPr>
      <w:r>
        <w:rPr>
          <w:rStyle w:val="FootnoteReference"/>
        </w:rPr>
        <w:footnoteRef/>
      </w:r>
      <w:r>
        <w:t xml:space="preserve"> Section 63, Nationality and Borders Act 2022.</w:t>
      </w:r>
    </w:p>
  </w:footnote>
  <w:footnote w:id="42">
    <w:p w14:paraId="02C54653" w14:textId="07030C62" w:rsidR="00D47446" w:rsidRDefault="00D47446" w:rsidP="00947BCB">
      <w:pPr>
        <w:pStyle w:val="NIHRCFootnotes"/>
      </w:pPr>
      <w:r>
        <w:rPr>
          <w:rStyle w:val="FootnoteReference"/>
        </w:rPr>
        <w:footnoteRef/>
      </w:r>
      <w:r>
        <w:t xml:space="preserve"> </w:t>
      </w:r>
      <w:r w:rsidR="00947BCB">
        <w:t>Independent Anti-Slavery Commissioner, ‘IASC response to the Nationality and Borders Bill’. Available at: Independent Anti-Slavery Commissioner - Home (antislaverycommissioner.co.uk)</w:t>
      </w:r>
      <w:r w:rsidR="00F62032">
        <w:t>.</w:t>
      </w:r>
    </w:p>
  </w:footnote>
  <w:footnote w:id="43">
    <w:p w14:paraId="5AD41951" w14:textId="77777777" w:rsidR="00632944" w:rsidRPr="00F62032" w:rsidRDefault="00632944" w:rsidP="00632944">
      <w:pPr>
        <w:pStyle w:val="FootnoteText"/>
        <w:rPr>
          <w:sz w:val="16"/>
          <w:szCs w:val="16"/>
        </w:rPr>
      </w:pPr>
      <w:r w:rsidRPr="00F62032">
        <w:rPr>
          <w:rStyle w:val="FootnoteReference"/>
          <w:color w:val="77328A"/>
          <w:sz w:val="16"/>
          <w:szCs w:val="16"/>
        </w:rPr>
        <w:footnoteRef/>
      </w:r>
      <w:r w:rsidRPr="00F62032">
        <w:rPr>
          <w:color w:val="77328A"/>
          <w:sz w:val="16"/>
          <w:szCs w:val="16"/>
        </w:rPr>
        <w:t xml:space="preserve"> Independent Anti-Slavery Commissioner, ‘Annual Report 2021 - 2022’ (Gov.UK, 2022) at</w:t>
      </w:r>
      <w:r>
        <w:rPr>
          <w:color w:val="77328A"/>
          <w:sz w:val="16"/>
          <w:szCs w:val="16"/>
        </w:rPr>
        <w:t xml:space="preserve"> 6.</w:t>
      </w:r>
    </w:p>
  </w:footnote>
  <w:footnote w:id="44">
    <w:p w14:paraId="15DC1AA9" w14:textId="77777777" w:rsidR="002E1102" w:rsidRDefault="002E1102" w:rsidP="00E776BB">
      <w:pPr>
        <w:pStyle w:val="NIHRCFootnotes"/>
      </w:pPr>
      <w:r>
        <w:rPr>
          <w:rStyle w:val="FootnoteReference"/>
        </w:rPr>
        <w:footnoteRef/>
      </w:r>
      <w:r>
        <w:t xml:space="preserve"> </w:t>
      </w:r>
      <w:r w:rsidR="00096912">
        <w:t xml:space="preserve">Letter from the Independent Anti-Slavery Commissioner to the </w:t>
      </w:r>
      <w:r w:rsidR="00065AFD">
        <w:t>Violence Against Women and Girls Team</w:t>
      </w:r>
      <w:r w:rsidR="00E776BB">
        <w:t>, 18 February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3897" w14:textId="01E3E055" w:rsidR="0047257D" w:rsidRDefault="008D7AA1" w:rsidP="008D7AA1">
    <w:pPr>
      <w:pStyle w:val="Header"/>
      <w:tabs>
        <w:tab w:val="clear" w:pos="4513"/>
        <w:tab w:val="clear" w:pos="9026"/>
        <w:tab w:val="left" w:pos="397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C7"/>
    <w:multiLevelType w:val="multilevel"/>
    <w:tmpl w:val="1C8ECDD0"/>
    <w:lvl w:ilvl="0">
      <w:start w:val="4"/>
      <w:numFmt w:val="decimal"/>
      <w:lvlText w:val="%1.0"/>
      <w:lvlJc w:val="left"/>
      <w:pPr>
        <w:ind w:left="720" w:hanging="72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 w15:restartNumberingAfterBreak="0">
    <w:nsid w:val="02290036"/>
    <w:multiLevelType w:val="multilevel"/>
    <w:tmpl w:val="1C8ECDD0"/>
    <w:lvl w:ilvl="0">
      <w:start w:val="4"/>
      <w:numFmt w:val="decimal"/>
      <w:lvlText w:val="%1.0"/>
      <w:lvlJc w:val="left"/>
      <w:pPr>
        <w:ind w:left="720" w:hanging="72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 w15:restartNumberingAfterBreak="0">
    <w:nsid w:val="03DF22C4"/>
    <w:multiLevelType w:val="multilevel"/>
    <w:tmpl w:val="D35AA25A"/>
    <w:lvl w:ilvl="0">
      <w:start w:val="2"/>
      <w:numFmt w:val="decimal"/>
      <w:lvlText w:val="%1"/>
      <w:lvlJc w:val="left"/>
      <w:pPr>
        <w:ind w:left="390" w:hanging="39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1080" w:hanging="108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800" w:hanging="1800"/>
      </w:pPr>
      <w:rPr>
        <w:rFonts w:cstheme="minorBidi" w:hint="default"/>
      </w:rPr>
    </w:lvl>
    <w:lvl w:ilvl="6">
      <w:start w:val="1"/>
      <w:numFmt w:val="decimal"/>
      <w:lvlText w:val="%1.%2.%3.%4.%5.%6.%7"/>
      <w:lvlJc w:val="left"/>
      <w:pPr>
        <w:ind w:left="2160" w:hanging="2160"/>
      </w:pPr>
      <w:rPr>
        <w:rFonts w:cstheme="minorBidi" w:hint="default"/>
      </w:rPr>
    </w:lvl>
    <w:lvl w:ilvl="7">
      <w:start w:val="1"/>
      <w:numFmt w:val="decimal"/>
      <w:lvlText w:val="%1.%2.%3.%4.%5.%6.%7.%8"/>
      <w:lvlJc w:val="left"/>
      <w:pPr>
        <w:ind w:left="2520" w:hanging="2520"/>
      </w:pPr>
      <w:rPr>
        <w:rFonts w:cstheme="minorBidi" w:hint="default"/>
      </w:rPr>
    </w:lvl>
    <w:lvl w:ilvl="8">
      <w:start w:val="1"/>
      <w:numFmt w:val="decimal"/>
      <w:lvlText w:val="%1.%2.%3.%4.%5.%6.%7.%8.%9"/>
      <w:lvlJc w:val="left"/>
      <w:pPr>
        <w:ind w:left="2520" w:hanging="2520"/>
      </w:pPr>
      <w:rPr>
        <w:rFonts w:cstheme="minorBidi" w:hint="default"/>
      </w:rPr>
    </w:lvl>
  </w:abstractNum>
  <w:abstractNum w:abstractNumId="3" w15:restartNumberingAfterBreak="0">
    <w:nsid w:val="0B016175"/>
    <w:multiLevelType w:val="hybridMultilevel"/>
    <w:tmpl w:val="0C80D2DC"/>
    <w:lvl w:ilvl="0" w:tplc="107E090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13D74158"/>
    <w:multiLevelType w:val="hybridMultilevel"/>
    <w:tmpl w:val="D2F45DE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6AB4B96"/>
    <w:multiLevelType w:val="multilevel"/>
    <w:tmpl w:val="2B6C3D3A"/>
    <w:lvl w:ilvl="0">
      <w:start w:val="5"/>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7A2AED"/>
    <w:multiLevelType w:val="hybridMultilevel"/>
    <w:tmpl w:val="F6B05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5874F0"/>
    <w:multiLevelType w:val="multilevel"/>
    <w:tmpl w:val="3D485C02"/>
    <w:lvl w:ilvl="0">
      <w:start w:val="3"/>
      <w:numFmt w:val="decimal"/>
      <w:lvlText w:val="%1.0"/>
      <w:lvlJc w:val="left"/>
      <w:pPr>
        <w:ind w:left="720" w:hanging="720"/>
      </w:pPr>
      <w:rPr>
        <w:rFonts w:hint="default"/>
        <w:color w:val="auto"/>
      </w:rPr>
    </w:lvl>
    <w:lvl w:ilvl="1">
      <w:start w:val="1"/>
      <w:numFmt w:val="decimal"/>
      <w:lvlText w:val="%1.%2"/>
      <w:lvlJc w:val="left"/>
      <w:pPr>
        <w:ind w:left="720" w:hanging="720"/>
      </w:pPr>
      <w:rPr>
        <w:rFonts w:ascii="Verdana" w:hAnsi="Verdana" w:hint="default"/>
        <w:b w:val="0"/>
        <w:color w:val="auto"/>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2A261FD4"/>
    <w:multiLevelType w:val="multilevel"/>
    <w:tmpl w:val="3BF6C3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CAD13F1"/>
    <w:multiLevelType w:val="hybridMultilevel"/>
    <w:tmpl w:val="5AA4B1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3853652"/>
    <w:multiLevelType w:val="hybridMultilevel"/>
    <w:tmpl w:val="4F76CC54"/>
    <w:lvl w:ilvl="0" w:tplc="19D8F11C">
      <w:start w:val="1"/>
      <w:numFmt w:val="decimal"/>
      <w:pStyle w:val="Heading1"/>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300C0"/>
    <w:multiLevelType w:val="hybridMultilevel"/>
    <w:tmpl w:val="49B4F428"/>
    <w:lvl w:ilvl="0" w:tplc="89F274F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36E83059"/>
    <w:multiLevelType w:val="multilevel"/>
    <w:tmpl w:val="AC688F98"/>
    <w:numStyleLink w:val="Style2"/>
  </w:abstractNum>
  <w:abstractNum w:abstractNumId="13" w15:restartNumberingAfterBreak="0">
    <w:nsid w:val="3F881207"/>
    <w:multiLevelType w:val="multilevel"/>
    <w:tmpl w:val="AC688F98"/>
    <w:styleLink w:val="Style2"/>
    <w:lvl w:ilvl="0">
      <w:start w:val="1"/>
      <w:numFmt w:val="decimal"/>
      <w:lvlText w:val="%1.1"/>
      <w:lvlJc w:val="left"/>
      <w:pPr>
        <w:ind w:left="510" w:hanging="510"/>
      </w:pPr>
      <w:rPr>
        <w:rFonts w:hint="default"/>
      </w:rPr>
    </w:lvl>
    <w:lvl w:ilvl="1">
      <w:start w:val="1"/>
      <w:numFmt w:val="none"/>
      <w:lvlText w:val="1.2"/>
      <w:lvlJc w:val="left"/>
      <w:pPr>
        <w:ind w:left="510" w:hanging="510"/>
      </w:pPr>
      <w:rPr>
        <w:rFonts w:hint="default"/>
      </w:rPr>
    </w:lvl>
    <w:lvl w:ilvl="2">
      <w:start w:val="1"/>
      <w:numFmt w:val="none"/>
      <w:lvlText w:val="1.3"/>
      <w:lvlJc w:val="left"/>
      <w:pPr>
        <w:ind w:left="510" w:hanging="510"/>
      </w:pPr>
      <w:rPr>
        <w:rFonts w:hint="default"/>
      </w:rPr>
    </w:lvl>
    <w:lvl w:ilvl="3">
      <w:start w:val="1"/>
      <w:numFmt w:val="none"/>
      <w:lvlText w:val="1.4"/>
      <w:lvlJc w:val="left"/>
      <w:pPr>
        <w:ind w:left="510" w:hanging="510"/>
      </w:pPr>
      <w:rPr>
        <w:rFonts w:hint="default"/>
      </w:rPr>
    </w:lvl>
    <w:lvl w:ilvl="4">
      <w:start w:val="1"/>
      <w:numFmt w:val="none"/>
      <w:lvlText w:val="1.5"/>
      <w:lvlJc w:val="left"/>
      <w:pPr>
        <w:ind w:left="510" w:hanging="510"/>
      </w:pPr>
      <w:rPr>
        <w:rFonts w:hint="default"/>
      </w:rPr>
    </w:lvl>
    <w:lvl w:ilvl="5">
      <w:start w:val="1"/>
      <w:numFmt w:val="none"/>
      <w:lvlText w:val="1.6"/>
      <w:lvlJc w:val="left"/>
      <w:pPr>
        <w:ind w:left="510" w:hanging="510"/>
      </w:pPr>
      <w:rPr>
        <w:rFonts w:hint="default"/>
      </w:rPr>
    </w:lvl>
    <w:lvl w:ilvl="6">
      <w:start w:val="1"/>
      <w:numFmt w:val="decimal"/>
      <w:lvlText w:val="%7.7"/>
      <w:lvlJc w:val="left"/>
      <w:pPr>
        <w:ind w:left="510" w:hanging="510"/>
      </w:pPr>
      <w:rPr>
        <w:rFonts w:hint="default"/>
      </w:rPr>
    </w:lvl>
    <w:lvl w:ilvl="7">
      <w:start w:val="1"/>
      <w:numFmt w:val="none"/>
      <w:lvlText w:val="1.8"/>
      <w:lvlJc w:val="left"/>
      <w:pPr>
        <w:ind w:left="510" w:hanging="510"/>
      </w:pPr>
      <w:rPr>
        <w:rFonts w:hint="default"/>
      </w:rPr>
    </w:lvl>
    <w:lvl w:ilvl="8">
      <w:start w:val="1"/>
      <w:numFmt w:val="none"/>
      <w:lvlText w:val="1.9"/>
      <w:lvlJc w:val="left"/>
      <w:pPr>
        <w:ind w:left="510" w:hanging="510"/>
      </w:pPr>
      <w:rPr>
        <w:rFonts w:hint="default"/>
      </w:rPr>
    </w:lvl>
  </w:abstractNum>
  <w:abstractNum w:abstractNumId="14" w15:restartNumberingAfterBreak="0">
    <w:nsid w:val="44B4636F"/>
    <w:multiLevelType w:val="hybridMultilevel"/>
    <w:tmpl w:val="459267E0"/>
    <w:lvl w:ilvl="0" w:tplc="331E86A0">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5" w15:restartNumberingAfterBreak="0">
    <w:nsid w:val="62B46654"/>
    <w:multiLevelType w:val="multilevel"/>
    <w:tmpl w:val="EF88CB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63DE79C2"/>
    <w:multiLevelType w:val="multilevel"/>
    <w:tmpl w:val="AC688F98"/>
    <w:numStyleLink w:val="Style2"/>
  </w:abstractNum>
  <w:abstractNum w:abstractNumId="17" w15:restartNumberingAfterBreak="0">
    <w:nsid w:val="71BC7688"/>
    <w:multiLevelType w:val="multilevel"/>
    <w:tmpl w:val="278A41DA"/>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sz w:val="24"/>
        <w:szCs w:val="24"/>
      </w:rPr>
    </w:lvl>
    <w:lvl w:ilvl="2">
      <w:start w:val="1"/>
      <w:numFmt w:val="bullet"/>
      <w:lvlText w:val=""/>
      <w:lvlJc w:val="left"/>
      <w:pPr>
        <w:ind w:left="2520" w:hanging="108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289358988">
    <w:abstractNumId w:val="13"/>
  </w:num>
  <w:num w:numId="2" w16cid:durableId="793057602">
    <w:abstractNumId w:val="0"/>
  </w:num>
  <w:num w:numId="3" w16cid:durableId="984704578">
    <w:abstractNumId w:val="17"/>
  </w:num>
  <w:num w:numId="4" w16cid:durableId="347483787">
    <w:abstractNumId w:val="5"/>
  </w:num>
  <w:num w:numId="5" w16cid:durableId="1347512283">
    <w:abstractNumId w:val="7"/>
  </w:num>
  <w:num w:numId="6" w16cid:durableId="43991151">
    <w:abstractNumId w:val="4"/>
  </w:num>
  <w:num w:numId="7" w16cid:durableId="1647393065">
    <w:abstractNumId w:val="8"/>
  </w:num>
  <w:num w:numId="8" w16cid:durableId="1676569551">
    <w:abstractNumId w:val="10"/>
  </w:num>
  <w:num w:numId="9" w16cid:durableId="250435971">
    <w:abstractNumId w:val="16"/>
  </w:num>
  <w:num w:numId="10" w16cid:durableId="1820883661">
    <w:abstractNumId w:val="12"/>
    <w:lvlOverride w:ilvl="0">
      <w:lvl w:ilvl="0">
        <w:start w:val="1"/>
        <w:numFmt w:val="decimal"/>
        <w:lvlText w:val="%1.1"/>
        <w:lvlJc w:val="left"/>
        <w:pPr>
          <w:ind w:left="510" w:hanging="510"/>
        </w:pPr>
        <w:rPr>
          <w:rFonts w:hint="default"/>
          <w:b w:val="0"/>
        </w:rPr>
      </w:lvl>
    </w:lvlOverride>
    <w:lvlOverride w:ilvl="1">
      <w:lvl w:ilvl="1">
        <w:start w:val="1"/>
        <w:numFmt w:val="none"/>
        <w:lvlText w:val="1.2"/>
        <w:lvlJc w:val="left"/>
        <w:pPr>
          <w:ind w:left="510" w:hanging="510"/>
        </w:pPr>
        <w:rPr>
          <w:rFonts w:hint="default"/>
        </w:rPr>
      </w:lvl>
    </w:lvlOverride>
    <w:lvlOverride w:ilvl="2">
      <w:lvl w:ilvl="2">
        <w:start w:val="1"/>
        <w:numFmt w:val="none"/>
        <w:lvlText w:val="1.3"/>
        <w:lvlJc w:val="left"/>
        <w:pPr>
          <w:ind w:left="510" w:hanging="510"/>
        </w:pPr>
        <w:rPr>
          <w:rFonts w:hint="default"/>
        </w:rPr>
      </w:lvl>
    </w:lvlOverride>
    <w:lvlOverride w:ilvl="3">
      <w:lvl w:ilvl="3">
        <w:start w:val="1"/>
        <w:numFmt w:val="none"/>
        <w:lvlText w:val="1.4"/>
        <w:lvlJc w:val="left"/>
        <w:pPr>
          <w:ind w:left="510" w:hanging="510"/>
        </w:pPr>
        <w:rPr>
          <w:rFonts w:hint="default"/>
        </w:rPr>
      </w:lvl>
    </w:lvlOverride>
    <w:lvlOverride w:ilvl="4">
      <w:lvl w:ilvl="4">
        <w:start w:val="1"/>
        <w:numFmt w:val="none"/>
        <w:lvlText w:val="1.5"/>
        <w:lvlJc w:val="left"/>
        <w:pPr>
          <w:ind w:left="510" w:hanging="510"/>
        </w:pPr>
        <w:rPr>
          <w:rFonts w:hint="default"/>
        </w:rPr>
      </w:lvl>
    </w:lvlOverride>
    <w:lvlOverride w:ilvl="5">
      <w:lvl w:ilvl="5">
        <w:start w:val="1"/>
        <w:numFmt w:val="none"/>
        <w:lvlText w:val="1.6"/>
        <w:lvlJc w:val="left"/>
        <w:pPr>
          <w:ind w:left="510" w:hanging="510"/>
        </w:pPr>
        <w:rPr>
          <w:rFonts w:hint="default"/>
        </w:rPr>
      </w:lvl>
    </w:lvlOverride>
    <w:lvlOverride w:ilvl="6">
      <w:lvl w:ilvl="6">
        <w:start w:val="1"/>
        <w:numFmt w:val="decimal"/>
        <w:lvlText w:val="%7.7"/>
        <w:lvlJc w:val="left"/>
        <w:pPr>
          <w:ind w:left="510" w:hanging="510"/>
        </w:pPr>
        <w:rPr>
          <w:rFonts w:hint="default"/>
        </w:rPr>
      </w:lvl>
    </w:lvlOverride>
    <w:lvlOverride w:ilvl="7">
      <w:lvl w:ilvl="7">
        <w:start w:val="1"/>
        <w:numFmt w:val="none"/>
        <w:lvlText w:val="1.8"/>
        <w:lvlJc w:val="left"/>
        <w:pPr>
          <w:ind w:left="510" w:hanging="510"/>
        </w:pPr>
        <w:rPr>
          <w:rFonts w:hint="default"/>
        </w:rPr>
      </w:lvl>
    </w:lvlOverride>
    <w:lvlOverride w:ilvl="8">
      <w:lvl w:ilvl="8">
        <w:start w:val="1"/>
        <w:numFmt w:val="none"/>
        <w:lvlText w:val="1.9"/>
        <w:lvlJc w:val="left"/>
        <w:pPr>
          <w:ind w:left="510" w:hanging="510"/>
        </w:pPr>
        <w:rPr>
          <w:rFonts w:hint="default"/>
        </w:rPr>
      </w:lvl>
    </w:lvlOverride>
  </w:num>
  <w:num w:numId="11" w16cid:durableId="2075735904">
    <w:abstractNumId w:val="1"/>
  </w:num>
  <w:num w:numId="12" w16cid:durableId="514536721">
    <w:abstractNumId w:val="10"/>
    <w:lvlOverride w:ilvl="0">
      <w:startOverride w:val="1"/>
    </w:lvlOverride>
  </w:num>
  <w:num w:numId="13" w16cid:durableId="1865512463">
    <w:abstractNumId w:val="15"/>
  </w:num>
  <w:num w:numId="14" w16cid:durableId="1901015984">
    <w:abstractNumId w:val="6"/>
  </w:num>
  <w:num w:numId="15" w16cid:durableId="1806004581">
    <w:abstractNumId w:val="9"/>
  </w:num>
  <w:num w:numId="16" w16cid:durableId="1241525559">
    <w:abstractNumId w:val="11"/>
  </w:num>
  <w:num w:numId="17" w16cid:durableId="1972442033">
    <w:abstractNumId w:val="14"/>
  </w:num>
  <w:num w:numId="18" w16cid:durableId="1823351398">
    <w:abstractNumId w:val="3"/>
  </w:num>
  <w:num w:numId="19" w16cid:durableId="2144617645">
    <w:abstractNumId w:val="2"/>
  </w:num>
  <w:num w:numId="20" w16cid:durableId="363672594">
    <w:abstractNumId w:val="12"/>
    <w:lvlOverride w:ilvl="0">
      <w:lvl w:ilvl="0">
        <w:start w:val="1"/>
        <w:numFmt w:val="decimal"/>
        <w:lvlText w:val="%1.1"/>
        <w:lvlJc w:val="left"/>
        <w:pPr>
          <w:ind w:left="510" w:hanging="510"/>
        </w:pPr>
        <w:rPr>
          <w:rFonts w:hint="default"/>
          <w:b w:val="0"/>
        </w:rPr>
      </w:lvl>
    </w:lvlOverride>
    <w:lvlOverride w:ilvl="1">
      <w:lvl w:ilvl="1">
        <w:start w:val="1"/>
        <w:numFmt w:val="none"/>
        <w:lvlText w:val="1.2"/>
        <w:lvlJc w:val="left"/>
        <w:pPr>
          <w:ind w:left="510" w:hanging="510"/>
        </w:pPr>
        <w:rPr>
          <w:rFonts w:hint="default"/>
        </w:rPr>
      </w:lvl>
    </w:lvlOverride>
    <w:lvlOverride w:ilvl="2">
      <w:lvl w:ilvl="2">
        <w:start w:val="1"/>
        <w:numFmt w:val="none"/>
        <w:lvlText w:val="1.3"/>
        <w:lvlJc w:val="left"/>
        <w:pPr>
          <w:ind w:left="510" w:hanging="510"/>
        </w:pPr>
        <w:rPr>
          <w:rFonts w:hint="default"/>
        </w:rPr>
      </w:lvl>
    </w:lvlOverride>
    <w:lvlOverride w:ilvl="3">
      <w:lvl w:ilvl="3">
        <w:start w:val="1"/>
        <w:numFmt w:val="none"/>
        <w:lvlText w:val="1.4"/>
        <w:lvlJc w:val="left"/>
        <w:pPr>
          <w:ind w:left="510" w:hanging="510"/>
        </w:pPr>
        <w:rPr>
          <w:rFonts w:hint="default"/>
        </w:rPr>
      </w:lvl>
    </w:lvlOverride>
    <w:lvlOverride w:ilvl="4">
      <w:lvl w:ilvl="4">
        <w:start w:val="1"/>
        <w:numFmt w:val="none"/>
        <w:lvlText w:val="1.5"/>
        <w:lvlJc w:val="left"/>
        <w:pPr>
          <w:ind w:left="510" w:hanging="510"/>
        </w:pPr>
        <w:rPr>
          <w:rFonts w:hint="default"/>
        </w:rPr>
      </w:lvl>
    </w:lvlOverride>
    <w:lvlOverride w:ilvl="5">
      <w:lvl w:ilvl="5">
        <w:start w:val="1"/>
        <w:numFmt w:val="none"/>
        <w:lvlText w:val="1.6"/>
        <w:lvlJc w:val="left"/>
        <w:pPr>
          <w:ind w:left="510" w:hanging="510"/>
        </w:pPr>
        <w:rPr>
          <w:rFonts w:hint="default"/>
        </w:rPr>
      </w:lvl>
    </w:lvlOverride>
    <w:lvlOverride w:ilvl="6">
      <w:lvl w:ilvl="6">
        <w:start w:val="1"/>
        <w:numFmt w:val="decimal"/>
        <w:lvlText w:val="%7.7"/>
        <w:lvlJc w:val="left"/>
        <w:pPr>
          <w:ind w:left="510" w:hanging="510"/>
        </w:pPr>
        <w:rPr>
          <w:rFonts w:hint="default"/>
        </w:rPr>
      </w:lvl>
    </w:lvlOverride>
    <w:lvlOverride w:ilvl="7">
      <w:lvl w:ilvl="7">
        <w:start w:val="1"/>
        <w:numFmt w:val="none"/>
        <w:lvlText w:val="1.8"/>
        <w:lvlJc w:val="left"/>
        <w:pPr>
          <w:ind w:left="510" w:hanging="510"/>
        </w:pPr>
        <w:rPr>
          <w:rFonts w:hint="default"/>
        </w:rPr>
      </w:lvl>
    </w:lvlOverride>
    <w:lvlOverride w:ilvl="8">
      <w:lvl w:ilvl="8">
        <w:start w:val="1"/>
        <w:numFmt w:val="none"/>
        <w:lvlText w:val="1.9"/>
        <w:lvlJc w:val="left"/>
        <w:pPr>
          <w:ind w:left="510" w:hanging="51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27"/>
    <w:rsid w:val="00000F8E"/>
    <w:rsid w:val="00001547"/>
    <w:rsid w:val="00002104"/>
    <w:rsid w:val="00002DF5"/>
    <w:rsid w:val="00004884"/>
    <w:rsid w:val="00004A48"/>
    <w:rsid w:val="00005F67"/>
    <w:rsid w:val="00006E90"/>
    <w:rsid w:val="00006F58"/>
    <w:rsid w:val="000106CE"/>
    <w:rsid w:val="000111F4"/>
    <w:rsid w:val="000113C9"/>
    <w:rsid w:val="00011845"/>
    <w:rsid w:val="00011A5B"/>
    <w:rsid w:val="00013250"/>
    <w:rsid w:val="00013588"/>
    <w:rsid w:val="00014DA5"/>
    <w:rsid w:val="00015645"/>
    <w:rsid w:val="00016777"/>
    <w:rsid w:val="00016AF7"/>
    <w:rsid w:val="00020A3D"/>
    <w:rsid w:val="000216BB"/>
    <w:rsid w:val="000244B6"/>
    <w:rsid w:val="00024EE0"/>
    <w:rsid w:val="00025BC0"/>
    <w:rsid w:val="0002623F"/>
    <w:rsid w:val="00026B60"/>
    <w:rsid w:val="00026E2E"/>
    <w:rsid w:val="00026E48"/>
    <w:rsid w:val="00030EC2"/>
    <w:rsid w:val="000315B3"/>
    <w:rsid w:val="00032059"/>
    <w:rsid w:val="00034116"/>
    <w:rsid w:val="00034725"/>
    <w:rsid w:val="00040091"/>
    <w:rsid w:val="000402EF"/>
    <w:rsid w:val="000408F1"/>
    <w:rsid w:val="00043DAE"/>
    <w:rsid w:val="00045B41"/>
    <w:rsid w:val="00046B3F"/>
    <w:rsid w:val="000471BC"/>
    <w:rsid w:val="000472B2"/>
    <w:rsid w:val="00051314"/>
    <w:rsid w:val="0005166B"/>
    <w:rsid w:val="00052FB0"/>
    <w:rsid w:val="000541E7"/>
    <w:rsid w:val="00056E83"/>
    <w:rsid w:val="00057981"/>
    <w:rsid w:val="00057D57"/>
    <w:rsid w:val="000615DD"/>
    <w:rsid w:val="00062AB4"/>
    <w:rsid w:val="00063FBF"/>
    <w:rsid w:val="0006455C"/>
    <w:rsid w:val="000649A8"/>
    <w:rsid w:val="0006537A"/>
    <w:rsid w:val="0006537D"/>
    <w:rsid w:val="0006556E"/>
    <w:rsid w:val="00065AFD"/>
    <w:rsid w:val="00065BD0"/>
    <w:rsid w:val="000674D0"/>
    <w:rsid w:val="00070D01"/>
    <w:rsid w:val="000719AC"/>
    <w:rsid w:val="00072942"/>
    <w:rsid w:val="00074573"/>
    <w:rsid w:val="00074E2B"/>
    <w:rsid w:val="00074E72"/>
    <w:rsid w:val="00075639"/>
    <w:rsid w:val="0007786E"/>
    <w:rsid w:val="00077AF1"/>
    <w:rsid w:val="00081F6C"/>
    <w:rsid w:val="0008206D"/>
    <w:rsid w:val="000823C1"/>
    <w:rsid w:val="00083402"/>
    <w:rsid w:val="00085565"/>
    <w:rsid w:val="00086886"/>
    <w:rsid w:val="00090C0B"/>
    <w:rsid w:val="00090D60"/>
    <w:rsid w:val="000912CD"/>
    <w:rsid w:val="00091ABA"/>
    <w:rsid w:val="0009217B"/>
    <w:rsid w:val="0009268F"/>
    <w:rsid w:val="00093331"/>
    <w:rsid w:val="00094366"/>
    <w:rsid w:val="00096912"/>
    <w:rsid w:val="000A150D"/>
    <w:rsid w:val="000A275A"/>
    <w:rsid w:val="000A3AD3"/>
    <w:rsid w:val="000A3F22"/>
    <w:rsid w:val="000A4D25"/>
    <w:rsid w:val="000A535B"/>
    <w:rsid w:val="000A5CA9"/>
    <w:rsid w:val="000A6E1F"/>
    <w:rsid w:val="000A7D42"/>
    <w:rsid w:val="000B21E3"/>
    <w:rsid w:val="000B2F7D"/>
    <w:rsid w:val="000B44FC"/>
    <w:rsid w:val="000B480A"/>
    <w:rsid w:val="000B4837"/>
    <w:rsid w:val="000B598C"/>
    <w:rsid w:val="000B62B8"/>
    <w:rsid w:val="000B7899"/>
    <w:rsid w:val="000C1EB3"/>
    <w:rsid w:val="000C2957"/>
    <w:rsid w:val="000C29A3"/>
    <w:rsid w:val="000C54E2"/>
    <w:rsid w:val="000C5867"/>
    <w:rsid w:val="000C5D1D"/>
    <w:rsid w:val="000C65A8"/>
    <w:rsid w:val="000C6FAB"/>
    <w:rsid w:val="000C7C55"/>
    <w:rsid w:val="000C7DC9"/>
    <w:rsid w:val="000D0796"/>
    <w:rsid w:val="000D0B90"/>
    <w:rsid w:val="000D0C9D"/>
    <w:rsid w:val="000D1402"/>
    <w:rsid w:val="000D1C57"/>
    <w:rsid w:val="000D226A"/>
    <w:rsid w:val="000D3AF4"/>
    <w:rsid w:val="000D3B3F"/>
    <w:rsid w:val="000D45DD"/>
    <w:rsid w:val="000D5AEB"/>
    <w:rsid w:val="000D62C3"/>
    <w:rsid w:val="000D71C1"/>
    <w:rsid w:val="000E0068"/>
    <w:rsid w:val="000E173A"/>
    <w:rsid w:val="000E2E95"/>
    <w:rsid w:val="000E397F"/>
    <w:rsid w:val="000E4AD0"/>
    <w:rsid w:val="000E51EF"/>
    <w:rsid w:val="000E64E5"/>
    <w:rsid w:val="000F1AAE"/>
    <w:rsid w:val="000F1F32"/>
    <w:rsid w:val="000F2228"/>
    <w:rsid w:val="000F23C6"/>
    <w:rsid w:val="000F4965"/>
    <w:rsid w:val="000F4D8D"/>
    <w:rsid w:val="000F653E"/>
    <w:rsid w:val="000F72C8"/>
    <w:rsid w:val="000F7777"/>
    <w:rsid w:val="000F77D5"/>
    <w:rsid w:val="00100886"/>
    <w:rsid w:val="0010197A"/>
    <w:rsid w:val="00101E3D"/>
    <w:rsid w:val="00103AEC"/>
    <w:rsid w:val="00103CCB"/>
    <w:rsid w:val="00105089"/>
    <w:rsid w:val="00106CF2"/>
    <w:rsid w:val="00107EB5"/>
    <w:rsid w:val="00107F85"/>
    <w:rsid w:val="00112FCA"/>
    <w:rsid w:val="0011389B"/>
    <w:rsid w:val="0011395B"/>
    <w:rsid w:val="00114F08"/>
    <w:rsid w:val="00114FB2"/>
    <w:rsid w:val="00115F13"/>
    <w:rsid w:val="00116A14"/>
    <w:rsid w:val="00120C69"/>
    <w:rsid w:val="001211BC"/>
    <w:rsid w:val="00124CDA"/>
    <w:rsid w:val="00125455"/>
    <w:rsid w:val="00127574"/>
    <w:rsid w:val="001278B4"/>
    <w:rsid w:val="00130BA7"/>
    <w:rsid w:val="00132AAE"/>
    <w:rsid w:val="0013316A"/>
    <w:rsid w:val="001342E2"/>
    <w:rsid w:val="00134BA6"/>
    <w:rsid w:val="001354F9"/>
    <w:rsid w:val="0013626A"/>
    <w:rsid w:val="00136329"/>
    <w:rsid w:val="00137B29"/>
    <w:rsid w:val="00141876"/>
    <w:rsid w:val="00141B00"/>
    <w:rsid w:val="00142E1F"/>
    <w:rsid w:val="0014439A"/>
    <w:rsid w:val="001455F1"/>
    <w:rsid w:val="00145741"/>
    <w:rsid w:val="001459D0"/>
    <w:rsid w:val="001467A8"/>
    <w:rsid w:val="0014714C"/>
    <w:rsid w:val="00153093"/>
    <w:rsid w:val="00154668"/>
    <w:rsid w:val="00155939"/>
    <w:rsid w:val="00157107"/>
    <w:rsid w:val="00157753"/>
    <w:rsid w:val="001577E4"/>
    <w:rsid w:val="00160E37"/>
    <w:rsid w:val="00162419"/>
    <w:rsid w:val="001629C5"/>
    <w:rsid w:val="00162FE0"/>
    <w:rsid w:val="00163230"/>
    <w:rsid w:val="00165A9C"/>
    <w:rsid w:val="00165D89"/>
    <w:rsid w:val="001668FE"/>
    <w:rsid w:val="00166A7F"/>
    <w:rsid w:val="00167781"/>
    <w:rsid w:val="0016790C"/>
    <w:rsid w:val="00175AEB"/>
    <w:rsid w:val="00175B8C"/>
    <w:rsid w:val="00176611"/>
    <w:rsid w:val="00177552"/>
    <w:rsid w:val="00177D02"/>
    <w:rsid w:val="001806DD"/>
    <w:rsid w:val="00180BE3"/>
    <w:rsid w:val="00181037"/>
    <w:rsid w:val="00181CE7"/>
    <w:rsid w:val="001824F0"/>
    <w:rsid w:val="001833B9"/>
    <w:rsid w:val="00183C10"/>
    <w:rsid w:val="0018455E"/>
    <w:rsid w:val="00185A52"/>
    <w:rsid w:val="00186792"/>
    <w:rsid w:val="001867F4"/>
    <w:rsid w:val="001878D4"/>
    <w:rsid w:val="00190670"/>
    <w:rsid w:val="00190A15"/>
    <w:rsid w:val="00190F07"/>
    <w:rsid w:val="00192E1E"/>
    <w:rsid w:val="001936BA"/>
    <w:rsid w:val="0019413B"/>
    <w:rsid w:val="00194383"/>
    <w:rsid w:val="001943F6"/>
    <w:rsid w:val="00196245"/>
    <w:rsid w:val="001973A2"/>
    <w:rsid w:val="001A0B71"/>
    <w:rsid w:val="001A0B7A"/>
    <w:rsid w:val="001A40A5"/>
    <w:rsid w:val="001A66BC"/>
    <w:rsid w:val="001A72A9"/>
    <w:rsid w:val="001B18A6"/>
    <w:rsid w:val="001B23E8"/>
    <w:rsid w:val="001B4A8B"/>
    <w:rsid w:val="001B4E22"/>
    <w:rsid w:val="001C0323"/>
    <w:rsid w:val="001C0A6D"/>
    <w:rsid w:val="001C0C0E"/>
    <w:rsid w:val="001C1A68"/>
    <w:rsid w:val="001C215C"/>
    <w:rsid w:val="001C2C50"/>
    <w:rsid w:val="001C36B6"/>
    <w:rsid w:val="001C3B4C"/>
    <w:rsid w:val="001C41F6"/>
    <w:rsid w:val="001C46E7"/>
    <w:rsid w:val="001C599F"/>
    <w:rsid w:val="001C654E"/>
    <w:rsid w:val="001D42D6"/>
    <w:rsid w:val="001D45EA"/>
    <w:rsid w:val="001D468A"/>
    <w:rsid w:val="001D4F0D"/>
    <w:rsid w:val="001D6C3C"/>
    <w:rsid w:val="001D70C0"/>
    <w:rsid w:val="001E2D4F"/>
    <w:rsid w:val="001E34E4"/>
    <w:rsid w:val="001E35B6"/>
    <w:rsid w:val="001E3B8F"/>
    <w:rsid w:val="001E43B5"/>
    <w:rsid w:val="001E4797"/>
    <w:rsid w:val="001E66A4"/>
    <w:rsid w:val="001E7385"/>
    <w:rsid w:val="001F04FA"/>
    <w:rsid w:val="001F117F"/>
    <w:rsid w:val="001F129D"/>
    <w:rsid w:val="001F14AC"/>
    <w:rsid w:val="001F1E36"/>
    <w:rsid w:val="001F2561"/>
    <w:rsid w:val="001F2A03"/>
    <w:rsid w:val="001F3BE3"/>
    <w:rsid w:val="001F54B8"/>
    <w:rsid w:val="001F575F"/>
    <w:rsid w:val="001F642A"/>
    <w:rsid w:val="001F6F93"/>
    <w:rsid w:val="0020143F"/>
    <w:rsid w:val="00201922"/>
    <w:rsid w:val="002024C8"/>
    <w:rsid w:val="002030F0"/>
    <w:rsid w:val="0020325D"/>
    <w:rsid w:val="0020329D"/>
    <w:rsid w:val="002033F3"/>
    <w:rsid w:val="00203E74"/>
    <w:rsid w:val="00204309"/>
    <w:rsid w:val="002047D4"/>
    <w:rsid w:val="002068EB"/>
    <w:rsid w:val="00206D5E"/>
    <w:rsid w:val="0020721F"/>
    <w:rsid w:val="00207568"/>
    <w:rsid w:val="002079DF"/>
    <w:rsid w:val="00211C35"/>
    <w:rsid w:val="00212385"/>
    <w:rsid w:val="002127D9"/>
    <w:rsid w:val="0021335A"/>
    <w:rsid w:val="00213C2D"/>
    <w:rsid w:val="00216952"/>
    <w:rsid w:val="00221482"/>
    <w:rsid w:val="00222F9A"/>
    <w:rsid w:val="00222FCB"/>
    <w:rsid w:val="00223865"/>
    <w:rsid w:val="0022489F"/>
    <w:rsid w:val="00224A49"/>
    <w:rsid w:val="00227823"/>
    <w:rsid w:val="00227C81"/>
    <w:rsid w:val="00230DE9"/>
    <w:rsid w:val="00231511"/>
    <w:rsid w:val="002317CC"/>
    <w:rsid w:val="00231879"/>
    <w:rsid w:val="00233B5F"/>
    <w:rsid w:val="002345D8"/>
    <w:rsid w:val="00234D7B"/>
    <w:rsid w:val="0024028D"/>
    <w:rsid w:val="00240F4C"/>
    <w:rsid w:val="00241935"/>
    <w:rsid w:val="00241B98"/>
    <w:rsid w:val="00242821"/>
    <w:rsid w:val="002436CA"/>
    <w:rsid w:val="00244F83"/>
    <w:rsid w:val="00245EC5"/>
    <w:rsid w:val="00247241"/>
    <w:rsid w:val="00251B1B"/>
    <w:rsid w:val="00252613"/>
    <w:rsid w:val="002528CE"/>
    <w:rsid w:val="00252F72"/>
    <w:rsid w:val="0025300B"/>
    <w:rsid w:val="0025302F"/>
    <w:rsid w:val="002536D8"/>
    <w:rsid w:val="002545B0"/>
    <w:rsid w:val="00255B9B"/>
    <w:rsid w:val="002563D7"/>
    <w:rsid w:val="00257A92"/>
    <w:rsid w:val="002635A2"/>
    <w:rsid w:val="002659D4"/>
    <w:rsid w:val="00266805"/>
    <w:rsid w:val="00270859"/>
    <w:rsid w:val="002727F8"/>
    <w:rsid w:val="00273785"/>
    <w:rsid w:val="002766FE"/>
    <w:rsid w:val="002770D7"/>
    <w:rsid w:val="002777F7"/>
    <w:rsid w:val="00277FE6"/>
    <w:rsid w:val="0028081E"/>
    <w:rsid w:val="00280DF0"/>
    <w:rsid w:val="00282DCE"/>
    <w:rsid w:val="0028400B"/>
    <w:rsid w:val="0028422F"/>
    <w:rsid w:val="002845CB"/>
    <w:rsid w:val="002872CB"/>
    <w:rsid w:val="00296502"/>
    <w:rsid w:val="002976AB"/>
    <w:rsid w:val="002976BF"/>
    <w:rsid w:val="002A061D"/>
    <w:rsid w:val="002A084B"/>
    <w:rsid w:val="002A1E72"/>
    <w:rsid w:val="002A2355"/>
    <w:rsid w:val="002A3741"/>
    <w:rsid w:val="002A5EBD"/>
    <w:rsid w:val="002A711A"/>
    <w:rsid w:val="002A7BAD"/>
    <w:rsid w:val="002B0C99"/>
    <w:rsid w:val="002B0F7C"/>
    <w:rsid w:val="002B18BD"/>
    <w:rsid w:val="002B5850"/>
    <w:rsid w:val="002B62F4"/>
    <w:rsid w:val="002B6565"/>
    <w:rsid w:val="002C031F"/>
    <w:rsid w:val="002C19AA"/>
    <w:rsid w:val="002C1F05"/>
    <w:rsid w:val="002C2FDE"/>
    <w:rsid w:val="002C3BF7"/>
    <w:rsid w:val="002C3F52"/>
    <w:rsid w:val="002C5046"/>
    <w:rsid w:val="002C6197"/>
    <w:rsid w:val="002D0484"/>
    <w:rsid w:val="002D24EF"/>
    <w:rsid w:val="002D39D2"/>
    <w:rsid w:val="002D4711"/>
    <w:rsid w:val="002D6593"/>
    <w:rsid w:val="002E1102"/>
    <w:rsid w:val="002E6F33"/>
    <w:rsid w:val="002F0028"/>
    <w:rsid w:val="002F0510"/>
    <w:rsid w:val="002F1593"/>
    <w:rsid w:val="002F1FEB"/>
    <w:rsid w:val="002F210D"/>
    <w:rsid w:val="002F3046"/>
    <w:rsid w:val="002F3047"/>
    <w:rsid w:val="002F3D13"/>
    <w:rsid w:val="002F5599"/>
    <w:rsid w:val="002F61F3"/>
    <w:rsid w:val="002F7DC4"/>
    <w:rsid w:val="0030235F"/>
    <w:rsid w:val="003025CF"/>
    <w:rsid w:val="00304256"/>
    <w:rsid w:val="00304364"/>
    <w:rsid w:val="0030531F"/>
    <w:rsid w:val="003079D9"/>
    <w:rsid w:val="003112EB"/>
    <w:rsid w:val="00311B74"/>
    <w:rsid w:val="00312571"/>
    <w:rsid w:val="00314B2C"/>
    <w:rsid w:val="00315F45"/>
    <w:rsid w:val="003172D5"/>
    <w:rsid w:val="003204E2"/>
    <w:rsid w:val="00320E05"/>
    <w:rsid w:val="003225EF"/>
    <w:rsid w:val="00322A17"/>
    <w:rsid w:val="00323F14"/>
    <w:rsid w:val="003243FA"/>
    <w:rsid w:val="00324A97"/>
    <w:rsid w:val="00326C42"/>
    <w:rsid w:val="003278A1"/>
    <w:rsid w:val="00331CB7"/>
    <w:rsid w:val="003328BA"/>
    <w:rsid w:val="003330E2"/>
    <w:rsid w:val="003348F0"/>
    <w:rsid w:val="00334D07"/>
    <w:rsid w:val="0033634A"/>
    <w:rsid w:val="00336C1B"/>
    <w:rsid w:val="00340348"/>
    <w:rsid w:val="00340642"/>
    <w:rsid w:val="00343768"/>
    <w:rsid w:val="003459F7"/>
    <w:rsid w:val="00350539"/>
    <w:rsid w:val="00352C47"/>
    <w:rsid w:val="00352F0D"/>
    <w:rsid w:val="00353810"/>
    <w:rsid w:val="0035404A"/>
    <w:rsid w:val="003547BF"/>
    <w:rsid w:val="003563F2"/>
    <w:rsid w:val="00363AF3"/>
    <w:rsid w:val="00364DB5"/>
    <w:rsid w:val="0036697A"/>
    <w:rsid w:val="00367D9A"/>
    <w:rsid w:val="00370371"/>
    <w:rsid w:val="00370379"/>
    <w:rsid w:val="00371AA3"/>
    <w:rsid w:val="003748DD"/>
    <w:rsid w:val="00375F16"/>
    <w:rsid w:val="00377C6D"/>
    <w:rsid w:val="00377DA4"/>
    <w:rsid w:val="00380954"/>
    <w:rsid w:val="0038202D"/>
    <w:rsid w:val="0038323A"/>
    <w:rsid w:val="0038337E"/>
    <w:rsid w:val="00383FC7"/>
    <w:rsid w:val="00384733"/>
    <w:rsid w:val="003854CD"/>
    <w:rsid w:val="00385D62"/>
    <w:rsid w:val="00391435"/>
    <w:rsid w:val="003927FE"/>
    <w:rsid w:val="00392B57"/>
    <w:rsid w:val="00394DC5"/>
    <w:rsid w:val="00395E3D"/>
    <w:rsid w:val="003962E0"/>
    <w:rsid w:val="003965E4"/>
    <w:rsid w:val="003A0027"/>
    <w:rsid w:val="003A3201"/>
    <w:rsid w:val="003A3B1B"/>
    <w:rsid w:val="003A4381"/>
    <w:rsid w:val="003A6C06"/>
    <w:rsid w:val="003A75C9"/>
    <w:rsid w:val="003B0EC8"/>
    <w:rsid w:val="003B1698"/>
    <w:rsid w:val="003B1917"/>
    <w:rsid w:val="003B259C"/>
    <w:rsid w:val="003B2F9E"/>
    <w:rsid w:val="003B3D07"/>
    <w:rsid w:val="003B4E6E"/>
    <w:rsid w:val="003B553E"/>
    <w:rsid w:val="003C0694"/>
    <w:rsid w:val="003C1B42"/>
    <w:rsid w:val="003C530C"/>
    <w:rsid w:val="003C5D03"/>
    <w:rsid w:val="003C5F0C"/>
    <w:rsid w:val="003C63C4"/>
    <w:rsid w:val="003C6790"/>
    <w:rsid w:val="003C6CAB"/>
    <w:rsid w:val="003C7205"/>
    <w:rsid w:val="003C7D3D"/>
    <w:rsid w:val="003D02BB"/>
    <w:rsid w:val="003D0B22"/>
    <w:rsid w:val="003D1BA6"/>
    <w:rsid w:val="003D20A0"/>
    <w:rsid w:val="003D2344"/>
    <w:rsid w:val="003D52FE"/>
    <w:rsid w:val="003D5E6A"/>
    <w:rsid w:val="003D6F8A"/>
    <w:rsid w:val="003D7587"/>
    <w:rsid w:val="003D7A6A"/>
    <w:rsid w:val="003E07B7"/>
    <w:rsid w:val="003E0F03"/>
    <w:rsid w:val="003E3B21"/>
    <w:rsid w:val="003E557E"/>
    <w:rsid w:val="003E58F2"/>
    <w:rsid w:val="003E5C83"/>
    <w:rsid w:val="003E6CC9"/>
    <w:rsid w:val="003E76D6"/>
    <w:rsid w:val="003F0115"/>
    <w:rsid w:val="003F013A"/>
    <w:rsid w:val="003F0558"/>
    <w:rsid w:val="003F100C"/>
    <w:rsid w:val="003F1117"/>
    <w:rsid w:val="003F131C"/>
    <w:rsid w:val="003F1A26"/>
    <w:rsid w:val="003F1EBC"/>
    <w:rsid w:val="003F2650"/>
    <w:rsid w:val="003F28B9"/>
    <w:rsid w:val="003F4FCC"/>
    <w:rsid w:val="003F63A2"/>
    <w:rsid w:val="003F798C"/>
    <w:rsid w:val="0040045F"/>
    <w:rsid w:val="00400C63"/>
    <w:rsid w:val="00401385"/>
    <w:rsid w:val="00402434"/>
    <w:rsid w:val="00402E7F"/>
    <w:rsid w:val="00407A74"/>
    <w:rsid w:val="00407EFE"/>
    <w:rsid w:val="004128BC"/>
    <w:rsid w:val="004148FD"/>
    <w:rsid w:val="0041737A"/>
    <w:rsid w:val="00417546"/>
    <w:rsid w:val="00421332"/>
    <w:rsid w:val="00422475"/>
    <w:rsid w:val="004234D9"/>
    <w:rsid w:val="00426AC9"/>
    <w:rsid w:val="00427A84"/>
    <w:rsid w:val="00430A32"/>
    <w:rsid w:val="00430F7F"/>
    <w:rsid w:val="004330F9"/>
    <w:rsid w:val="00435005"/>
    <w:rsid w:val="00435A76"/>
    <w:rsid w:val="0043655B"/>
    <w:rsid w:val="00436614"/>
    <w:rsid w:val="004368E4"/>
    <w:rsid w:val="00437389"/>
    <w:rsid w:val="00437CD2"/>
    <w:rsid w:val="0044095E"/>
    <w:rsid w:val="00441244"/>
    <w:rsid w:val="0044147C"/>
    <w:rsid w:val="00441CA4"/>
    <w:rsid w:val="00442AE5"/>
    <w:rsid w:val="0044369E"/>
    <w:rsid w:val="00443E25"/>
    <w:rsid w:val="00445658"/>
    <w:rsid w:val="00451645"/>
    <w:rsid w:val="004518E6"/>
    <w:rsid w:val="00451951"/>
    <w:rsid w:val="00451984"/>
    <w:rsid w:val="004533A0"/>
    <w:rsid w:val="00453516"/>
    <w:rsid w:val="00453910"/>
    <w:rsid w:val="00455E95"/>
    <w:rsid w:val="00457BC7"/>
    <w:rsid w:val="004615DB"/>
    <w:rsid w:val="00461D08"/>
    <w:rsid w:val="00461D2A"/>
    <w:rsid w:val="00462152"/>
    <w:rsid w:val="00463320"/>
    <w:rsid w:val="00465257"/>
    <w:rsid w:val="00465AFA"/>
    <w:rsid w:val="00466872"/>
    <w:rsid w:val="00466D4A"/>
    <w:rsid w:val="004678C4"/>
    <w:rsid w:val="0047257D"/>
    <w:rsid w:val="00472600"/>
    <w:rsid w:val="004748BF"/>
    <w:rsid w:val="00481295"/>
    <w:rsid w:val="004831AF"/>
    <w:rsid w:val="0048446A"/>
    <w:rsid w:val="004869AE"/>
    <w:rsid w:val="00486A35"/>
    <w:rsid w:val="0048706B"/>
    <w:rsid w:val="00491F64"/>
    <w:rsid w:val="00492414"/>
    <w:rsid w:val="00492671"/>
    <w:rsid w:val="004939CA"/>
    <w:rsid w:val="004940A4"/>
    <w:rsid w:val="00494D7A"/>
    <w:rsid w:val="00495CAE"/>
    <w:rsid w:val="0049699E"/>
    <w:rsid w:val="004A0E30"/>
    <w:rsid w:val="004A2113"/>
    <w:rsid w:val="004A23F2"/>
    <w:rsid w:val="004A3AB7"/>
    <w:rsid w:val="004A444C"/>
    <w:rsid w:val="004A49F0"/>
    <w:rsid w:val="004B6B09"/>
    <w:rsid w:val="004C06FD"/>
    <w:rsid w:val="004C1341"/>
    <w:rsid w:val="004C1803"/>
    <w:rsid w:val="004C1E80"/>
    <w:rsid w:val="004C23F7"/>
    <w:rsid w:val="004C3900"/>
    <w:rsid w:val="004C3CE7"/>
    <w:rsid w:val="004C448E"/>
    <w:rsid w:val="004C57F1"/>
    <w:rsid w:val="004D0EC1"/>
    <w:rsid w:val="004D18F8"/>
    <w:rsid w:val="004D449A"/>
    <w:rsid w:val="004D52E7"/>
    <w:rsid w:val="004D54D4"/>
    <w:rsid w:val="004D6D61"/>
    <w:rsid w:val="004D6F66"/>
    <w:rsid w:val="004E0089"/>
    <w:rsid w:val="004E0469"/>
    <w:rsid w:val="004E2A90"/>
    <w:rsid w:val="004E2F4D"/>
    <w:rsid w:val="004E3D43"/>
    <w:rsid w:val="004E4695"/>
    <w:rsid w:val="004E5CC4"/>
    <w:rsid w:val="004E684C"/>
    <w:rsid w:val="004E6BE7"/>
    <w:rsid w:val="004E754E"/>
    <w:rsid w:val="004E790C"/>
    <w:rsid w:val="004E7A80"/>
    <w:rsid w:val="004F06FE"/>
    <w:rsid w:val="004F10CB"/>
    <w:rsid w:val="004F269D"/>
    <w:rsid w:val="004F39D7"/>
    <w:rsid w:val="004F61FB"/>
    <w:rsid w:val="004F78A5"/>
    <w:rsid w:val="00500299"/>
    <w:rsid w:val="0050075A"/>
    <w:rsid w:val="00501DA6"/>
    <w:rsid w:val="00502F51"/>
    <w:rsid w:val="00504611"/>
    <w:rsid w:val="005049BE"/>
    <w:rsid w:val="00504A3C"/>
    <w:rsid w:val="00510362"/>
    <w:rsid w:val="005132FA"/>
    <w:rsid w:val="00513CD5"/>
    <w:rsid w:val="00513E29"/>
    <w:rsid w:val="005144F7"/>
    <w:rsid w:val="0051462B"/>
    <w:rsid w:val="00515992"/>
    <w:rsid w:val="00516F2F"/>
    <w:rsid w:val="00516F8E"/>
    <w:rsid w:val="0051709F"/>
    <w:rsid w:val="005176CC"/>
    <w:rsid w:val="00520B17"/>
    <w:rsid w:val="00520D92"/>
    <w:rsid w:val="00520E58"/>
    <w:rsid w:val="005217B8"/>
    <w:rsid w:val="00521840"/>
    <w:rsid w:val="00523CA0"/>
    <w:rsid w:val="00523F00"/>
    <w:rsid w:val="00525772"/>
    <w:rsid w:val="00537517"/>
    <w:rsid w:val="0053769F"/>
    <w:rsid w:val="00537DC8"/>
    <w:rsid w:val="0054078E"/>
    <w:rsid w:val="005443DA"/>
    <w:rsid w:val="005444AE"/>
    <w:rsid w:val="00544A69"/>
    <w:rsid w:val="00544ECF"/>
    <w:rsid w:val="00545389"/>
    <w:rsid w:val="00545D78"/>
    <w:rsid w:val="00546143"/>
    <w:rsid w:val="00546445"/>
    <w:rsid w:val="00546CA8"/>
    <w:rsid w:val="00546CA9"/>
    <w:rsid w:val="00547305"/>
    <w:rsid w:val="00547E58"/>
    <w:rsid w:val="005506CA"/>
    <w:rsid w:val="00551D37"/>
    <w:rsid w:val="00552994"/>
    <w:rsid w:val="00552BA5"/>
    <w:rsid w:val="005532DC"/>
    <w:rsid w:val="00554AB1"/>
    <w:rsid w:val="005552DB"/>
    <w:rsid w:val="00557600"/>
    <w:rsid w:val="00564CA6"/>
    <w:rsid w:val="00564D2A"/>
    <w:rsid w:val="00564EA2"/>
    <w:rsid w:val="00565D5B"/>
    <w:rsid w:val="0056607B"/>
    <w:rsid w:val="00567378"/>
    <w:rsid w:val="005702CD"/>
    <w:rsid w:val="005711BC"/>
    <w:rsid w:val="00572AD2"/>
    <w:rsid w:val="00573165"/>
    <w:rsid w:val="005745F7"/>
    <w:rsid w:val="005759E7"/>
    <w:rsid w:val="00577F66"/>
    <w:rsid w:val="00581798"/>
    <w:rsid w:val="00581B9B"/>
    <w:rsid w:val="0058207C"/>
    <w:rsid w:val="00582A86"/>
    <w:rsid w:val="00584300"/>
    <w:rsid w:val="0058465F"/>
    <w:rsid w:val="005854A6"/>
    <w:rsid w:val="00585502"/>
    <w:rsid w:val="00585E25"/>
    <w:rsid w:val="005866B3"/>
    <w:rsid w:val="00587110"/>
    <w:rsid w:val="0058780A"/>
    <w:rsid w:val="00587F61"/>
    <w:rsid w:val="0059250D"/>
    <w:rsid w:val="0059312E"/>
    <w:rsid w:val="00595105"/>
    <w:rsid w:val="005955A9"/>
    <w:rsid w:val="00595A8E"/>
    <w:rsid w:val="00596050"/>
    <w:rsid w:val="00596351"/>
    <w:rsid w:val="0059644E"/>
    <w:rsid w:val="005968EF"/>
    <w:rsid w:val="00597B6E"/>
    <w:rsid w:val="00597BD7"/>
    <w:rsid w:val="00597DDC"/>
    <w:rsid w:val="005A0EEE"/>
    <w:rsid w:val="005A225A"/>
    <w:rsid w:val="005A2D30"/>
    <w:rsid w:val="005A653E"/>
    <w:rsid w:val="005B314F"/>
    <w:rsid w:val="005B35B2"/>
    <w:rsid w:val="005B3732"/>
    <w:rsid w:val="005B38C0"/>
    <w:rsid w:val="005B4255"/>
    <w:rsid w:val="005B4681"/>
    <w:rsid w:val="005B4AD4"/>
    <w:rsid w:val="005B4AF8"/>
    <w:rsid w:val="005B4C31"/>
    <w:rsid w:val="005B5116"/>
    <w:rsid w:val="005B543F"/>
    <w:rsid w:val="005B6065"/>
    <w:rsid w:val="005B62F5"/>
    <w:rsid w:val="005B65C5"/>
    <w:rsid w:val="005B7CE5"/>
    <w:rsid w:val="005B7D6B"/>
    <w:rsid w:val="005C0644"/>
    <w:rsid w:val="005C0C92"/>
    <w:rsid w:val="005C135A"/>
    <w:rsid w:val="005C206A"/>
    <w:rsid w:val="005C2E8A"/>
    <w:rsid w:val="005C2E9B"/>
    <w:rsid w:val="005C3050"/>
    <w:rsid w:val="005C30AB"/>
    <w:rsid w:val="005C38D3"/>
    <w:rsid w:val="005C5BD3"/>
    <w:rsid w:val="005C5DDB"/>
    <w:rsid w:val="005C76DF"/>
    <w:rsid w:val="005C7F3C"/>
    <w:rsid w:val="005D0836"/>
    <w:rsid w:val="005D0A8E"/>
    <w:rsid w:val="005D1154"/>
    <w:rsid w:val="005D1D1F"/>
    <w:rsid w:val="005D2479"/>
    <w:rsid w:val="005D2F57"/>
    <w:rsid w:val="005D30EA"/>
    <w:rsid w:val="005D4E99"/>
    <w:rsid w:val="005D500A"/>
    <w:rsid w:val="005D5128"/>
    <w:rsid w:val="005D5319"/>
    <w:rsid w:val="005D5978"/>
    <w:rsid w:val="005D5A58"/>
    <w:rsid w:val="005D65CE"/>
    <w:rsid w:val="005E018B"/>
    <w:rsid w:val="005E02C4"/>
    <w:rsid w:val="005E27B8"/>
    <w:rsid w:val="005E398D"/>
    <w:rsid w:val="005E53A3"/>
    <w:rsid w:val="005E5E95"/>
    <w:rsid w:val="005E61A8"/>
    <w:rsid w:val="005F0548"/>
    <w:rsid w:val="005F0EE0"/>
    <w:rsid w:val="005F209A"/>
    <w:rsid w:val="005F2666"/>
    <w:rsid w:val="005F2B39"/>
    <w:rsid w:val="005F2FF6"/>
    <w:rsid w:val="005F54D3"/>
    <w:rsid w:val="005F59E4"/>
    <w:rsid w:val="005F722F"/>
    <w:rsid w:val="00600AED"/>
    <w:rsid w:val="006016A7"/>
    <w:rsid w:val="00601FA4"/>
    <w:rsid w:val="00602A9E"/>
    <w:rsid w:val="00605965"/>
    <w:rsid w:val="00605A12"/>
    <w:rsid w:val="00605BB8"/>
    <w:rsid w:val="00611C27"/>
    <w:rsid w:val="00613F2B"/>
    <w:rsid w:val="00614B27"/>
    <w:rsid w:val="00616BA1"/>
    <w:rsid w:val="0062103C"/>
    <w:rsid w:val="00622AD4"/>
    <w:rsid w:val="00623F32"/>
    <w:rsid w:val="0062436A"/>
    <w:rsid w:val="00624DE6"/>
    <w:rsid w:val="00630074"/>
    <w:rsid w:val="00630959"/>
    <w:rsid w:val="00631C0B"/>
    <w:rsid w:val="00632944"/>
    <w:rsid w:val="0063473A"/>
    <w:rsid w:val="00634879"/>
    <w:rsid w:val="006354AC"/>
    <w:rsid w:val="00635F3D"/>
    <w:rsid w:val="00637293"/>
    <w:rsid w:val="006416D5"/>
    <w:rsid w:val="00642CC5"/>
    <w:rsid w:val="00643C35"/>
    <w:rsid w:val="00644527"/>
    <w:rsid w:val="00644A61"/>
    <w:rsid w:val="00645DC7"/>
    <w:rsid w:val="00646990"/>
    <w:rsid w:val="006478C7"/>
    <w:rsid w:val="00647D62"/>
    <w:rsid w:val="00647DC4"/>
    <w:rsid w:val="0065093F"/>
    <w:rsid w:val="0065140B"/>
    <w:rsid w:val="00652ED9"/>
    <w:rsid w:val="00653933"/>
    <w:rsid w:val="006552E3"/>
    <w:rsid w:val="006554A4"/>
    <w:rsid w:val="00656088"/>
    <w:rsid w:val="0065741C"/>
    <w:rsid w:val="00657C24"/>
    <w:rsid w:val="006605F8"/>
    <w:rsid w:val="00660689"/>
    <w:rsid w:val="00660E25"/>
    <w:rsid w:val="00661063"/>
    <w:rsid w:val="0066189B"/>
    <w:rsid w:val="00664028"/>
    <w:rsid w:val="00664B13"/>
    <w:rsid w:val="00665812"/>
    <w:rsid w:val="006671D2"/>
    <w:rsid w:val="0066732A"/>
    <w:rsid w:val="00670101"/>
    <w:rsid w:val="006711C7"/>
    <w:rsid w:val="00677F45"/>
    <w:rsid w:val="00680B9E"/>
    <w:rsid w:val="006822E2"/>
    <w:rsid w:val="00683FC1"/>
    <w:rsid w:val="006843D0"/>
    <w:rsid w:val="0068495E"/>
    <w:rsid w:val="006849D4"/>
    <w:rsid w:val="00684FD2"/>
    <w:rsid w:val="006851B1"/>
    <w:rsid w:val="00686AD3"/>
    <w:rsid w:val="006874D4"/>
    <w:rsid w:val="00691B41"/>
    <w:rsid w:val="00692DBD"/>
    <w:rsid w:val="006945C7"/>
    <w:rsid w:val="00695C5D"/>
    <w:rsid w:val="00696758"/>
    <w:rsid w:val="00696A24"/>
    <w:rsid w:val="00696D34"/>
    <w:rsid w:val="006A0BA9"/>
    <w:rsid w:val="006A12A3"/>
    <w:rsid w:val="006A1A5D"/>
    <w:rsid w:val="006A2686"/>
    <w:rsid w:val="006A2F9D"/>
    <w:rsid w:val="006A4335"/>
    <w:rsid w:val="006A4363"/>
    <w:rsid w:val="006A4BD4"/>
    <w:rsid w:val="006A4C98"/>
    <w:rsid w:val="006A5578"/>
    <w:rsid w:val="006A6918"/>
    <w:rsid w:val="006A6924"/>
    <w:rsid w:val="006A69EB"/>
    <w:rsid w:val="006B1906"/>
    <w:rsid w:val="006B31D4"/>
    <w:rsid w:val="006B31F2"/>
    <w:rsid w:val="006B34FA"/>
    <w:rsid w:val="006B3BEF"/>
    <w:rsid w:val="006B3F7A"/>
    <w:rsid w:val="006B43D9"/>
    <w:rsid w:val="006B4401"/>
    <w:rsid w:val="006B4859"/>
    <w:rsid w:val="006B52ED"/>
    <w:rsid w:val="006B5657"/>
    <w:rsid w:val="006B5CEF"/>
    <w:rsid w:val="006B5FF8"/>
    <w:rsid w:val="006B694B"/>
    <w:rsid w:val="006C0C84"/>
    <w:rsid w:val="006C1D20"/>
    <w:rsid w:val="006C26A6"/>
    <w:rsid w:val="006C3A8B"/>
    <w:rsid w:val="006C4035"/>
    <w:rsid w:val="006C4637"/>
    <w:rsid w:val="006C4CE6"/>
    <w:rsid w:val="006C5A3A"/>
    <w:rsid w:val="006C5DCD"/>
    <w:rsid w:val="006C665F"/>
    <w:rsid w:val="006C713C"/>
    <w:rsid w:val="006D0EE0"/>
    <w:rsid w:val="006D2D20"/>
    <w:rsid w:val="006D5CA3"/>
    <w:rsid w:val="006D6179"/>
    <w:rsid w:val="006E0A06"/>
    <w:rsid w:val="006E2145"/>
    <w:rsid w:val="006E2E8D"/>
    <w:rsid w:val="006E2F0F"/>
    <w:rsid w:val="006E47EC"/>
    <w:rsid w:val="006E5808"/>
    <w:rsid w:val="006E58EC"/>
    <w:rsid w:val="006E6205"/>
    <w:rsid w:val="006E7838"/>
    <w:rsid w:val="006F1367"/>
    <w:rsid w:val="006F1ADE"/>
    <w:rsid w:val="006F3934"/>
    <w:rsid w:val="006F5E30"/>
    <w:rsid w:val="00700B58"/>
    <w:rsid w:val="00702B78"/>
    <w:rsid w:val="00704450"/>
    <w:rsid w:val="007049BF"/>
    <w:rsid w:val="0070551D"/>
    <w:rsid w:val="00705EE7"/>
    <w:rsid w:val="00711266"/>
    <w:rsid w:val="00711C73"/>
    <w:rsid w:val="00712154"/>
    <w:rsid w:val="0071586F"/>
    <w:rsid w:val="007160DD"/>
    <w:rsid w:val="007165E8"/>
    <w:rsid w:val="00716BBA"/>
    <w:rsid w:val="007171B1"/>
    <w:rsid w:val="00717917"/>
    <w:rsid w:val="00720115"/>
    <w:rsid w:val="00720AEB"/>
    <w:rsid w:val="007227E5"/>
    <w:rsid w:val="00724A99"/>
    <w:rsid w:val="007260F3"/>
    <w:rsid w:val="0072741E"/>
    <w:rsid w:val="0073008D"/>
    <w:rsid w:val="00730C1D"/>
    <w:rsid w:val="0073110C"/>
    <w:rsid w:val="007317BF"/>
    <w:rsid w:val="0073329D"/>
    <w:rsid w:val="00733C70"/>
    <w:rsid w:val="00733CA4"/>
    <w:rsid w:val="00734117"/>
    <w:rsid w:val="00735307"/>
    <w:rsid w:val="00735E3D"/>
    <w:rsid w:val="00736160"/>
    <w:rsid w:val="007407D9"/>
    <w:rsid w:val="0074101A"/>
    <w:rsid w:val="0074134C"/>
    <w:rsid w:val="00741CFB"/>
    <w:rsid w:val="0074217F"/>
    <w:rsid w:val="00742950"/>
    <w:rsid w:val="00742A41"/>
    <w:rsid w:val="00743B49"/>
    <w:rsid w:val="00743EA5"/>
    <w:rsid w:val="007440DE"/>
    <w:rsid w:val="007440E2"/>
    <w:rsid w:val="0074570B"/>
    <w:rsid w:val="00745B27"/>
    <w:rsid w:val="00746240"/>
    <w:rsid w:val="007464AF"/>
    <w:rsid w:val="007468A7"/>
    <w:rsid w:val="00746C01"/>
    <w:rsid w:val="0074758F"/>
    <w:rsid w:val="007502BB"/>
    <w:rsid w:val="007515D9"/>
    <w:rsid w:val="00751A0F"/>
    <w:rsid w:val="00752B11"/>
    <w:rsid w:val="007530B6"/>
    <w:rsid w:val="00760E75"/>
    <w:rsid w:val="00762CD7"/>
    <w:rsid w:val="00765D56"/>
    <w:rsid w:val="00766834"/>
    <w:rsid w:val="007675CC"/>
    <w:rsid w:val="00767707"/>
    <w:rsid w:val="00771DE2"/>
    <w:rsid w:val="0077228F"/>
    <w:rsid w:val="00774F90"/>
    <w:rsid w:val="00777F72"/>
    <w:rsid w:val="007801E6"/>
    <w:rsid w:val="007820B7"/>
    <w:rsid w:val="00782BFA"/>
    <w:rsid w:val="0078304B"/>
    <w:rsid w:val="00784198"/>
    <w:rsid w:val="007841D6"/>
    <w:rsid w:val="00784248"/>
    <w:rsid w:val="007847FE"/>
    <w:rsid w:val="00786316"/>
    <w:rsid w:val="007879AB"/>
    <w:rsid w:val="00787FE2"/>
    <w:rsid w:val="00790587"/>
    <w:rsid w:val="00791574"/>
    <w:rsid w:val="007915D1"/>
    <w:rsid w:val="00792B00"/>
    <w:rsid w:val="00793F60"/>
    <w:rsid w:val="007954C6"/>
    <w:rsid w:val="0079699A"/>
    <w:rsid w:val="007A1214"/>
    <w:rsid w:val="007A2C22"/>
    <w:rsid w:val="007A2CCB"/>
    <w:rsid w:val="007A2DE5"/>
    <w:rsid w:val="007A4780"/>
    <w:rsid w:val="007A4842"/>
    <w:rsid w:val="007A4DEA"/>
    <w:rsid w:val="007A6FB3"/>
    <w:rsid w:val="007B3142"/>
    <w:rsid w:val="007B3AE9"/>
    <w:rsid w:val="007B574D"/>
    <w:rsid w:val="007B5D3C"/>
    <w:rsid w:val="007B5F05"/>
    <w:rsid w:val="007B6586"/>
    <w:rsid w:val="007B6A13"/>
    <w:rsid w:val="007B7350"/>
    <w:rsid w:val="007C0EC9"/>
    <w:rsid w:val="007C299D"/>
    <w:rsid w:val="007C4403"/>
    <w:rsid w:val="007C4BBA"/>
    <w:rsid w:val="007C4E7A"/>
    <w:rsid w:val="007C5F3F"/>
    <w:rsid w:val="007C6FC4"/>
    <w:rsid w:val="007C6FF3"/>
    <w:rsid w:val="007D165E"/>
    <w:rsid w:val="007D2445"/>
    <w:rsid w:val="007D2C22"/>
    <w:rsid w:val="007D35BC"/>
    <w:rsid w:val="007D3A0D"/>
    <w:rsid w:val="007D4CC7"/>
    <w:rsid w:val="007D4D71"/>
    <w:rsid w:val="007D4EB8"/>
    <w:rsid w:val="007D4F83"/>
    <w:rsid w:val="007D5318"/>
    <w:rsid w:val="007D574D"/>
    <w:rsid w:val="007E0EDF"/>
    <w:rsid w:val="007E13D1"/>
    <w:rsid w:val="007E15F2"/>
    <w:rsid w:val="007E1D6B"/>
    <w:rsid w:val="007E3C87"/>
    <w:rsid w:val="007E54D3"/>
    <w:rsid w:val="007E6896"/>
    <w:rsid w:val="007E6A27"/>
    <w:rsid w:val="007E6E78"/>
    <w:rsid w:val="007E75E7"/>
    <w:rsid w:val="007F184A"/>
    <w:rsid w:val="007F3778"/>
    <w:rsid w:val="007F3CF2"/>
    <w:rsid w:val="007F4CBF"/>
    <w:rsid w:val="007F4E00"/>
    <w:rsid w:val="007F543D"/>
    <w:rsid w:val="007F6489"/>
    <w:rsid w:val="007F64F0"/>
    <w:rsid w:val="007F70F9"/>
    <w:rsid w:val="007F7F45"/>
    <w:rsid w:val="00801405"/>
    <w:rsid w:val="00801934"/>
    <w:rsid w:val="00802237"/>
    <w:rsid w:val="0080433C"/>
    <w:rsid w:val="00805336"/>
    <w:rsid w:val="008109B9"/>
    <w:rsid w:val="008123AC"/>
    <w:rsid w:val="00813DB9"/>
    <w:rsid w:val="00813FC2"/>
    <w:rsid w:val="00814F13"/>
    <w:rsid w:val="00816A3B"/>
    <w:rsid w:val="008211F9"/>
    <w:rsid w:val="00821486"/>
    <w:rsid w:val="00823B56"/>
    <w:rsid w:val="00826CEB"/>
    <w:rsid w:val="00827D73"/>
    <w:rsid w:val="00831033"/>
    <w:rsid w:val="00831C5E"/>
    <w:rsid w:val="0083440B"/>
    <w:rsid w:val="008346FF"/>
    <w:rsid w:val="00835E75"/>
    <w:rsid w:val="00835F46"/>
    <w:rsid w:val="0083617D"/>
    <w:rsid w:val="00836FAF"/>
    <w:rsid w:val="00837D08"/>
    <w:rsid w:val="00843224"/>
    <w:rsid w:val="008438AA"/>
    <w:rsid w:val="008438B1"/>
    <w:rsid w:val="00843A4B"/>
    <w:rsid w:val="008462D4"/>
    <w:rsid w:val="00846A16"/>
    <w:rsid w:val="00847342"/>
    <w:rsid w:val="00847433"/>
    <w:rsid w:val="0085061D"/>
    <w:rsid w:val="00852F84"/>
    <w:rsid w:val="00853350"/>
    <w:rsid w:val="00853406"/>
    <w:rsid w:val="00853500"/>
    <w:rsid w:val="00853F2A"/>
    <w:rsid w:val="008545C7"/>
    <w:rsid w:val="008548D3"/>
    <w:rsid w:val="00860DBC"/>
    <w:rsid w:val="00860ED2"/>
    <w:rsid w:val="00862B0E"/>
    <w:rsid w:val="00862D2B"/>
    <w:rsid w:val="008635BE"/>
    <w:rsid w:val="0086397F"/>
    <w:rsid w:val="00863E25"/>
    <w:rsid w:val="00863EC7"/>
    <w:rsid w:val="00864418"/>
    <w:rsid w:val="0086646F"/>
    <w:rsid w:val="00867C59"/>
    <w:rsid w:val="0087000D"/>
    <w:rsid w:val="00871D1E"/>
    <w:rsid w:val="0087280B"/>
    <w:rsid w:val="00872DF1"/>
    <w:rsid w:val="008733E9"/>
    <w:rsid w:val="00873EDF"/>
    <w:rsid w:val="00875613"/>
    <w:rsid w:val="00876502"/>
    <w:rsid w:val="00880C78"/>
    <w:rsid w:val="008813B0"/>
    <w:rsid w:val="00883B1A"/>
    <w:rsid w:val="0088473B"/>
    <w:rsid w:val="00885949"/>
    <w:rsid w:val="00886991"/>
    <w:rsid w:val="00887088"/>
    <w:rsid w:val="00890315"/>
    <w:rsid w:val="00891243"/>
    <w:rsid w:val="00894DED"/>
    <w:rsid w:val="00894F76"/>
    <w:rsid w:val="008955B4"/>
    <w:rsid w:val="008956ED"/>
    <w:rsid w:val="008A0558"/>
    <w:rsid w:val="008A0AA6"/>
    <w:rsid w:val="008A2224"/>
    <w:rsid w:val="008A2CB0"/>
    <w:rsid w:val="008A3528"/>
    <w:rsid w:val="008A35EE"/>
    <w:rsid w:val="008A3EE3"/>
    <w:rsid w:val="008A42D6"/>
    <w:rsid w:val="008A4834"/>
    <w:rsid w:val="008A7293"/>
    <w:rsid w:val="008A7C98"/>
    <w:rsid w:val="008B01EE"/>
    <w:rsid w:val="008B0525"/>
    <w:rsid w:val="008B13EF"/>
    <w:rsid w:val="008B16A8"/>
    <w:rsid w:val="008B3BE7"/>
    <w:rsid w:val="008B3E03"/>
    <w:rsid w:val="008B42CE"/>
    <w:rsid w:val="008B4507"/>
    <w:rsid w:val="008B7F32"/>
    <w:rsid w:val="008C09D9"/>
    <w:rsid w:val="008C0BA3"/>
    <w:rsid w:val="008C18D8"/>
    <w:rsid w:val="008C21C4"/>
    <w:rsid w:val="008C27A5"/>
    <w:rsid w:val="008C30CE"/>
    <w:rsid w:val="008C41AA"/>
    <w:rsid w:val="008C51B3"/>
    <w:rsid w:val="008C5253"/>
    <w:rsid w:val="008C6AFC"/>
    <w:rsid w:val="008C6C21"/>
    <w:rsid w:val="008C7E33"/>
    <w:rsid w:val="008D023D"/>
    <w:rsid w:val="008D06B5"/>
    <w:rsid w:val="008D0CAF"/>
    <w:rsid w:val="008D2116"/>
    <w:rsid w:val="008D29CC"/>
    <w:rsid w:val="008D3260"/>
    <w:rsid w:val="008D37E9"/>
    <w:rsid w:val="008D41DD"/>
    <w:rsid w:val="008D48DF"/>
    <w:rsid w:val="008D6E79"/>
    <w:rsid w:val="008D7AA1"/>
    <w:rsid w:val="008E040A"/>
    <w:rsid w:val="008E3003"/>
    <w:rsid w:val="008E4F6B"/>
    <w:rsid w:val="008E5F50"/>
    <w:rsid w:val="008E650A"/>
    <w:rsid w:val="008E6C55"/>
    <w:rsid w:val="008F0945"/>
    <w:rsid w:val="008F0F11"/>
    <w:rsid w:val="008F11B7"/>
    <w:rsid w:val="008F14A7"/>
    <w:rsid w:val="008F2221"/>
    <w:rsid w:val="008F5F60"/>
    <w:rsid w:val="008F5FCD"/>
    <w:rsid w:val="008F6AD9"/>
    <w:rsid w:val="00900007"/>
    <w:rsid w:val="009002A8"/>
    <w:rsid w:val="00900862"/>
    <w:rsid w:val="00900991"/>
    <w:rsid w:val="00900C9A"/>
    <w:rsid w:val="00902A61"/>
    <w:rsid w:val="00903DF0"/>
    <w:rsid w:val="00904D87"/>
    <w:rsid w:val="00905D26"/>
    <w:rsid w:val="00905D28"/>
    <w:rsid w:val="009065BA"/>
    <w:rsid w:val="0090664B"/>
    <w:rsid w:val="00911C4D"/>
    <w:rsid w:val="00913795"/>
    <w:rsid w:val="009137BB"/>
    <w:rsid w:val="009152C0"/>
    <w:rsid w:val="00916669"/>
    <w:rsid w:val="009167CF"/>
    <w:rsid w:val="00920391"/>
    <w:rsid w:val="00921050"/>
    <w:rsid w:val="00922ACD"/>
    <w:rsid w:val="00922AEE"/>
    <w:rsid w:val="00923399"/>
    <w:rsid w:val="00924190"/>
    <w:rsid w:val="009252ED"/>
    <w:rsid w:val="009253AB"/>
    <w:rsid w:val="00925D03"/>
    <w:rsid w:val="00926730"/>
    <w:rsid w:val="00926A75"/>
    <w:rsid w:val="00926E66"/>
    <w:rsid w:val="00931FDF"/>
    <w:rsid w:val="0093329F"/>
    <w:rsid w:val="00933606"/>
    <w:rsid w:val="00935383"/>
    <w:rsid w:val="009413C0"/>
    <w:rsid w:val="00942CC7"/>
    <w:rsid w:val="00943087"/>
    <w:rsid w:val="009435C7"/>
    <w:rsid w:val="009451E7"/>
    <w:rsid w:val="009475FA"/>
    <w:rsid w:val="00947BCB"/>
    <w:rsid w:val="009505A2"/>
    <w:rsid w:val="00951718"/>
    <w:rsid w:val="00951A44"/>
    <w:rsid w:val="009522C2"/>
    <w:rsid w:val="00954DE7"/>
    <w:rsid w:val="009612E7"/>
    <w:rsid w:val="00962845"/>
    <w:rsid w:val="00962B5C"/>
    <w:rsid w:val="00962C1B"/>
    <w:rsid w:val="0096480D"/>
    <w:rsid w:val="00964847"/>
    <w:rsid w:val="00964C4C"/>
    <w:rsid w:val="00965A2A"/>
    <w:rsid w:val="00965AD3"/>
    <w:rsid w:val="00966286"/>
    <w:rsid w:val="00966DC8"/>
    <w:rsid w:val="0096710E"/>
    <w:rsid w:val="0096714A"/>
    <w:rsid w:val="0096759D"/>
    <w:rsid w:val="0097017E"/>
    <w:rsid w:val="00972827"/>
    <w:rsid w:val="0097315C"/>
    <w:rsid w:val="00976E5E"/>
    <w:rsid w:val="0098157D"/>
    <w:rsid w:val="009835C2"/>
    <w:rsid w:val="00984FFB"/>
    <w:rsid w:val="0098540C"/>
    <w:rsid w:val="00985519"/>
    <w:rsid w:val="009905B0"/>
    <w:rsid w:val="00990917"/>
    <w:rsid w:val="00991B5D"/>
    <w:rsid w:val="00995072"/>
    <w:rsid w:val="00996460"/>
    <w:rsid w:val="00996CFC"/>
    <w:rsid w:val="009A066C"/>
    <w:rsid w:val="009A104A"/>
    <w:rsid w:val="009A18A4"/>
    <w:rsid w:val="009A1E50"/>
    <w:rsid w:val="009A4597"/>
    <w:rsid w:val="009A5BB1"/>
    <w:rsid w:val="009B014D"/>
    <w:rsid w:val="009B242F"/>
    <w:rsid w:val="009B2709"/>
    <w:rsid w:val="009B39E5"/>
    <w:rsid w:val="009B3AA6"/>
    <w:rsid w:val="009B43A5"/>
    <w:rsid w:val="009B750C"/>
    <w:rsid w:val="009C035F"/>
    <w:rsid w:val="009C0EA7"/>
    <w:rsid w:val="009C2284"/>
    <w:rsid w:val="009C4C39"/>
    <w:rsid w:val="009C799B"/>
    <w:rsid w:val="009D07EF"/>
    <w:rsid w:val="009D4E27"/>
    <w:rsid w:val="009D5A65"/>
    <w:rsid w:val="009D6CF8"/>
    <w:rsid w:val="009D6EF8"/>
    <w:rsid w:val="009D7CBC"/>
    <w:rsid w:val="009D7E7A"/>
    <w:rsid w:val="009E05DF"/>
    <w:rsid w:val="009E0996"/>
    <w:rsid w:val="009E0F2C"/>
    <w:rsid w:val="009E10D2"/>
    <w:rsid w:val="009E13F0"/>
    <w:rsid w:val="009E205D"/>
    <w:rsid w:val="009E2A62"/>
    <w:rsid w:val="009E3625"/>
    <w:rsid w:val="009E365B"/>
    <w:rsid w:val="009E37AA"/>
    <w:rsid w:val="009E4B7F"/>
    <w:rsid w:val="009E562F"/>
    <w:rsid w:val="009E60A5"/>
    <w:rsid w:val="009E6AB9"/>
    <w:rsid w:val="009E745E"/>
    <w:rsid w:val="009F25EB"/>
    <w:rsid w:val="009F2EE2"/>
    <w:rsid w:val="009F5C1A"/>
    <w:rsid w:val="00A00E05"/>
    <w:rsid w:val="00A01279"/>
    <w:rsid w:val="00A0135F"/>
    <w:rsid w:val="00A0176E"/>
    <w:rsid w:val="00A0215E"/>
    <w:rsid w:val="00A02528"/>
    <w:rsid w:val="00A02B7A"/>
    <w:rsid w:val="00A03F5D"/>
    <w:rsid w:val="00A06540"/>
    <w:rsid w:val="00A074CA"/>
    <w:rsid w:val="00A07A03"/>
    <w:rsid w:val="00A101ED"/>
    <w:rsid w:val="00A10CE2"/>
    <w:rsid w:val="00A117D9"/>
    <w:rsid w:val="00A13A46"/>
    <w:rsid w:val="00A149FD"/>
    <w:rsid w:val="00A16F93"/>
    <w:rsid w:val="00A206AC"/>
    <w:rsid w:val="00A219E2"/>
    <w:rsid w:val="00A234B3"/>
    <w:rsid w:val="00A23BE4"/>
    <w:rsid w:val="00A267F2"/>
    <w:rsid w:val="00A2788B"/>
    <w:rsid w:val="00A32A76"/>
    <w:rsid w:val="00A33613"/>
    <w:rsid w:val="00A33860"/>
    <w:rsid w:val="00A33BC7"/>
    <w:rsid w:val="00A3471F"/>
    <w:rsid w:val="00A34DE5"/>
    <w:rsid w:val="00A355DC"/>
    <w:rsid w:val="00A355F8"/>
    <w:rsid w:val="00A358E5"/>
    <w:rsid w:val="00A363E4"/>
    <w:rsid w:val="00A370E2"/>
    <w:rsid w:val="00A406B2"/>
    <w:rsid w:val="00A4164F"/>
    <w:rsid w:val="00A41AA2"/>
    <w:rsid w:val="00A424BB"/>
    <w:rsid w:val="00A441B2"/>
    <w:rsid w:val="00A444D3"/>
    <w:rsid w:val="00A44CA8"/>
    <w:rsid w:val="00A455E7"/>
    <w:rsid w:val="00A52066"/>
    <w:rsid w:val="00A523B8"/>
    <w:rsid w:val="00A5451E"/>
    <w:rsid w:val="00A553E3"/>
    <w:rsid w:val="00A55C5F"/>
    <w:rsid w:val="00A55CC6"/>
    <w:rsid w:val="00A5677B"/>
    <w:rsid w:val="00A609A1"/>
    <w:rsid w:val="00A61E39"/>
    <w:rsid w:val="00A63BC4"/>
    <w:rsid w:val="00A63ECF"/>
    <w:rsid w:val="00A6430E"/>
    <w:rsid w:val="00A665BB"/>
    <w:rsid w:val="00A700A1"/>
    <w:rsid w:val="00A701E1"/>
    <w:rsid w:val="00A716A3"/>
    <w:rsid w:val="00A72039"/>
    <w:rsid w:val="00A73F63"/>
    <w:rsid w:val="00A744E7"/>
    <w:rsid w:val="00A7463A"/>
    <w:rsid w:val="00A74FF0"/>
    <w:rsid w:val="00A76649"/>
    <w:rsid w:val="00A76AF3"/>
    <w:rsid w:val="00A803BA"/>
    <w:rsid w:val="00A84672"/>
    <w:rsid w:val="00A85A16"/>
    <w:rsid w:val="00A86261"/>
    <w:rsid w:val="00A867F1"/>
    <w:rsid w:val="00A86CE9"/>
    <w:rsid w:val="00A8723A"/>
    <w:rsid w:val="00A8737F"/>
    <w:rsid w:val="00A8755B"/>
    <w:rsid w:val="00A9081E"/>
    <w:rsid w:val="00A90D41"/>
    <w:rsid w:val="00A94D86"/>
    <w:rsid w:val="00A95E88"/>
    <w:rsid w:val="00A96E1F"/>
    <w:rsid w:val="00A97A2C"/>
    <w:rsid w:val="00AA1009"/>
    <w:rsid w:val="00AA1AA3"/>
    <w:rsid w:val="00AA1CB2"/>
    <w:rsid w:val="00AA1E28"/>
    <w:rsid w:val="00AA2520"/>
    <w:rsid w:val="00AA2675"/>
    <w:rsid w:val="00AA2CD4"/>
    <w:rsid w:val="00AA3189"/>
    <w:rsid w:val="00AA4C22"/>
    <w:rsid w:val="00AA51B4"/>
    <w:rsid w:val="00AA728B"/>
    <w:rsid w:val="00AA7F61"/>
    <w:rsid w:val="00AB0051"/>
    <w:rsid w:val="00AB11BD"/>
    <w:rsid w:val="00AB16DD"/>
    <w:rsid w:val="00AB1C99"/>
    <w:rsid w:val="00AB2E98"/>
    <w:rsid w:val="00AB2F4D"/>
    <w:rsid w:val="00AB3080"/>
    <w:rsid w:val="00AB39A5"/>
    <w:rsid w:val="00AB3C81"/>
    <w:rsid w:val="00AB6B6E"/>
    <w:rsid w:val="00AB7E04"/>
    <w:rsid w:val="00AC0B88"/>
    <w:rsid w:val="00AC0F8F"/>
    <w:rsid w:val="00AC1DA3"/>
    <w:rsid w:val="00AC4723"/>
    <w:rsid w:val="00AC55E1"/>
    <w:rsid w:val="00AC5E21"/>
    <w:rsid w:val="00AC6050"/>
    <w:rsid w:val="00AC726C"/>
    <w:rsid w:val="00AD088C"/>
    <w:rsid w:val="00AD476D"/>
    <w:rsid w:val="00AD52D1"/>
    <w:rsid w:val="00AD62DC"/>
    <w:rsid w:val="00AD690F"/>
    <w:rsid w:val="00AD725B"/>
    <w:rsid w:val="00AD7387"/>
    <w:rsid w:val="00AE06E3"/>
    <w:rsid w:val="00AE2A48"/>
    <w:rsid w:val="00AE3519"/>
    <w:rsid w:val="00AE38E5"/>
    <w:rsid w:val="00AE44F1"/>
    <w:rsid w:val="00AE7468"/>
    <w:rsid w:val="00AE7B94"/>
    <w:rsid w:val="00AF09F8"/>
    <w:rsid w:val="00AF18BF"/>
    <w:rsid w:val="00AF1A5C"/>
    <w:rsid w:val="00AF1FA0"/>
    <w:rsid w:val="00AF20D5"/>
    <w:rsid w:val="00AF258D"/>
    <w:rsid w:val="00AF4850"/>
    <w:rsid w:val="00AF4B03"/>
    <w:rsid w:val="00AF4CAF"/>
    <w:rsid w:val="00AF537E"/>
    <w:rsid w:val="00AF6C8A"/>
    <w:rsid w:val="00AF778A"/>
    <w:rsid w:val="00AF79FF"/>
    <w:rsid w:val="00B00CDC"/>
    <w:rsid w:val="00B019CF"/>
    <w:rsid w:val="00B0242B"/>
    <w:rsid w:val="00B04272"/>
    <w:rsid w:val="00B05CD2"/>
    <w:rsid w:val="00B05D6E"/>
    <w:rsid w:val="00B06D00"/>
    <w:rsid w:val="00B07A0A"/>
    <w:rsid w:val="00B108C5"/>
    <w:rsid w:val="00B11294"/>
    <w:rsid w:val="00B11408"/>
    <w:rsid w:val="00B12046"/>
    <w:rsid w:val="00B123D4"/>
    <w:rsid w:val="00B1330B"/>
    <w:rsid w:val="00B1547E"/>
    <w:rsid w:val="00B17F08"/>
    <w:rsid w:val="00B20758"/>
    <w:rsid w:val="00B2123D"/>
    <w:rsid w:val="00B21614"/>
    <w:rsid w:val="00B2374D"/>
    <w:rsid w:val="00B237F4"/>
    <w:rsid w:val="00B265CF"/>
    <w:rsid w:val="00B31055"/>
    <w:rsid w:val="00B319BD"/>
    <w:rsid w:val="00B31B8A"/>
    <w:rsid w:val="00B3300A"/>
    <w:rsid w:val="00B33360"/>
    <w:rsid w:val="00B34048"/>
    <w:rsid w:val="00B34302"/>
    <w:rsid w:val="00B34DF8"/>
    <w:rsid w:val="00B35F06"/>
    <w:rsid w:val="00B36616"/>
    <w:rsid w:val="00B37AF3"/>
    <w:rsid w:val="00B40689"/>
    <w:rsid w:val="00B4196F"/>
    <w:rsid w:val="00B434E9"/>
    <w:rsid w:val="00B44878"/>
    <w:rsid w:val="00B45C04"/>
    <w:rsid w:val="00B45C1B"/>
    <w:rsid w:val="00B469CE"/>
    <w:rsid w:val="00B46B78"/>
    <w:rsid w:val="00B50D5D"/>
    <w:rsid w:val="00B50E98"/>
    <w:rsid w:val="00B53D58"/>
    <w:rsid w:val="00B54A6D"/>
    <w:rsid w:val="00B56FCE"/>
    <w:rsid w:val="00B57266"/>
    <w:rsid w:val="00B63D28"/>
    <w:rsid w:val="00B6737C"/>
    <w:rsid w:val="00B674FB"/>
    <w:rsid w:val="00B67EBD"/>
    <w:rsid w:val="00B70C96"/>
    <w:rsid w:val="00B73560"/>
    <w:rsid w:val="00B735F7"/>
    <w:rsid w:val="00B73B63"/>
    <w:rsid w:val="00B74FA3"/>
    <w:rsid w:val="00B75E12"/>
    <w:rsid w:val="00B774BB"/>
    <w:rsid w:val="00B77B62"/>
    <w:rsid w:val="00B811A5"/>
    <w:rsid w:val="00B831A7"/>
    <w:rsid w:val="00B83371"/>
    <w:rsid w:val="00B86744"/>
    <w:rsid w:val="00B872B3"/>
    <w:rsid w:val="00B922AD"/>
    <w:rsid w:val="00B92891"/>
    <w:rsid w:val="00B9314A"/>
    <w:rsid w:val="00B9590F"/>
    <w:rsid w:val="00B96615"/>
    <w:rsid w:val="00B97E86"/>
    <w:rsid w:val="00BA6AB1"/>
    <w:rsid w:val="00BA7843"/>
    <w:rsid w:val="00BB0CE1"/>
    <w:rsid w:val="00BB0D58"/>
    <w:rsid w:val="00BB159C"/>
    <w:rsid w:val="00BB3350"/>
    <w:rsid w:val="00BB6AF7"/>
    <w:rsid w:val="00BB6BC2"/>
    <w:rsid w:val="00BC1E31"/>
    <w:rsid w:val="00BC1F82"/>
    <w:rsid w:val="00BC4D6D"/>
    <w:rsid w:val="00BC6658"/>
    <w:rsid w:val="00BC713A"/>
    <w:rsid w:val="00BD048E"/>
    <w:rsid w:val="00BD2375"/>
    <w:rsid w:val="00BD408A"/>
    <w:rsid w:val="00BD5F1A"/>
    <w:rsid w:val="00BD7A8D"/>
    <w:rsid w:val="00BE0F61"/>
    <w:rsid w:val="00BE1166"/>
    <w:rsid w:val="00BE1B94"/>
    <w:rsid w:val="00BE24BC"/>
    <w:rsid w:val="00BE41FA"/>
    <w:rsid w:val="00BE49D3"/>
    <w:rsid w:val="00BE52D1"/>
    <w:rsid w:val="00BE6AE3"/>
    <w:rsid w:val="00BE6E84"/>
    <w:rsid w:val="00BF0CAF"/>
    <w:rsid w:val="00BF1CE9"/>
    <w:rsid w:val="00BF20A5"/>
    <w:rsid w:val="00BF291E"/>
    <w:rsid w:val="00BF3FB6"/>
    <w:rsid w:val="00BF4129"/>
    <w:rsid w:val="00BF5AE1"/>
    <w:rsid w:val="00BF6752"/>
    <w:rsid w:val="00BF7FE6"/>
    <w:rsid w:val="00C00DB8"/>
    <w:rsid w:val="00C01939"/>
    <w:rsid w:val="00C01D7A"/>
    <w:rsid w:val="00C047A3"/>
    <w:rsid w:val="00C0612B"/>
    <w:rsid w:val="00C07348"/>
    <w:rsid w:val="00C07711"/>
    <w:rsid w:val="00C125A0"/>
    <w:rsid w:val="00C13C29"/>
    <w:rsid w:val="00C14520"/>
    <w:rsid w:val="00C15EC3"/>
    <w:rsid w:val="00C165A3"/>
    <w:rsid w:val="00C203C0"/>
    <w:rsid w:val="00C211BE"/>
    <w:rsid w:val="00C21D18"/>
    <w:rsid w:val="00C22D2E"/>
    <w:rsid w:val="00C2348A"/>
    <w:rsid w:val="00C25031"/>
    <w:rsid w:val="00C253E1"/>
    <w:rsid w:val="00C25DD9"/>
    <w:rsid w:val="00C27467"/>
    <w:rsid w:val="00C317A0"/>
    <w:rsid w:val="00C3193D"/>
    <w:rsid w:val="00C31B3D"/>
    <w:rsid w:val="00C31C5F"/>
    <w:rsid w:val="00C33221"/>
    <w:rsid w:val="00C3381D"/>
    <w:rsid w:val="00C346A4"/>
    <w:rsid w:val="00C34B95"/>
    <w:rsid w:val="00C3614E"/>
    <w:rsid w:val="00C3751A"/>
    <w:rsid w:val="00C40146"/>
    <w:rsid w:val="00C41EA2"/>
    <w:rsid w:val="00C44957"/>
    <w:rsid w:val="00C45173"/>
    <w:rsid w:val="00C45251"/>
    <w:rsid w:val="00C4528E"/>
    <w:rsid w:val="00C45327"/>
    <w:rsid w:val="00C47901"/>
    <w:rsid w:val="00C53BAC"/>
    <w:rsid w:val="00C53E45"/>
    <w:rsid w:val="00C5453C"/>
    <w:rsid w:val="00C546CF"/>
    <w:rsid w:val="00C556DC"/>
    <w:rsid w:val="00C55E7F"/>
    <w:rsid w:val="00C60FE0"/>
    <w:rsid w:val="00C61E56"/>
    <w:rsid w:val="00C62892"/>
    <w:rsid w:val="00C64BAC"/>
    <w:rsid w:val="00C673B3"/>
    <w:rsid w:val="00C709BE"/>
    <w:rsid w:val="00C71BEE"/>
    <w:rsid w:val="00C72AF5"/>
    <w:rsid w:val="00C73380"/>
    <w:rsid w:val="00C73C67"/>
    <w:rsid w:val="00C748CC"/>
    <w:rsid w:val="00C748D1"/>
    <w:rsid w:val="00C76789"/>
    <w:rsid w:val="00C805F3"/>
    <w:rsid w:val="00C8188D"/>
    <w:rsid w:val="00C82B63"/>
    <w:rsid w:val="00C832BF"/>
    <w:rsid w:val="00C8436E"/>
    <w:rsid w:val="00C84AEB"/>
    <w:rsid w:val="00C84E59"/>
    <w:rsid w:val="00C857EB"/>
    <w:rsid w:val="00C92F69"/>
    <w:rsid w:val="00C931EE"/>
    <w:rsid w:val="00C93EA8"/>
    <w:rsid w:val="00C94576"/>
    <w:rsid w:val="00C94BB5"/>
    <w:rsid w:val="00C951EB"/>
    <w:rsid w:val="00C9765E"/>
    <w:rsid w:val="00CA03C2"/>
    <w:rsid w:val="00CA1DDD"/>
    <w:rsid w:val="00CA2D76"/>
    <w:rsid w:val="00CA32B6"/>
    <w:rsid w:val="00CA3730"/>
    <w:rsid w:val="00CA387A"/>
    <w:rsid w:val="00CA4DDF"/>
    <w:rsid w:val="00CA5305"/>
    <w:rsid w:val="00CA56CB"/>
    <w:rsid w:val="00CA64EE"/>
    <w:rsid w:val="00CA6B40"/>
    <w:rsid w:val="00CA6DB0"/>
    <w:rsid w:val="00CB009C"/>
    <w:rsid w:val="00CB2C33"/>
    <w:rsid w:val="00CB60AA"/>
    <w:rsid w:val="00CB6EB5"/>
    <w:rsid w:val="00CB79AA"/>
    <w:rsid w:val="00CC0996"/>
    <w:rsid w:val="00CC0FFB"/>
    <w:rsid w:val="00CC108A"/>
    <w:rsid w:val="00CC1A84"/>
    <w:rsid w:val="00CC1B32"/>
    <w:rsid w:val="00CC3584"/>
    <w:rsid w:val="00CC3AA0"/>
    <w:rsid w:val="00CC5F2A"/>
    <w:rsid w:val="00CC7073"/>
    <w:rsid w:val="00CC7275"/>
    <w:rsid w:val="00CD0B26"/>
    <w:rsid w:val="00CD14B0"/>
    <w:rsid w:val="00CD194A"/>
    <w:rsid w:val="00CD1D1A"/>
    <w:rsid w:val="00CD2E7D"/>
    <w:rsid w:val="00CD3126"/>
    <w:rsid w:val="00CD3BFE"/>
    <w:rsid w:val="00CD491E"/>
    <w:rsid w:val="00CD528D"/>
    <w:rsid w:val="00CD6EB3"/>
    <w:rsid w:val="00CD7552"/>
    <w:rsid w:val="00CE0260"/>
    <w:rsid w:val="00CE1699"/>
    <w:rsid w:val="00CE2D1F"/>
    <w:rsid w:val="00CE3F99"/>
    <w:rsid w:val="00CE3FC9"/>
    <w:rsid w:val="00CE41C0"/>
    <w:rsid w:val="00CE4453"/>
    <w:rsid w:val="00CE44C5"/>
    <w:rsid w:val="00CE4ADB"/>
    <w:rsid w:val="00CE5ABD"/>
    <w:rsid w:val="00CE7DAB"/>
    <w:rsid w:val="00CF141F"/>
    <w:rsid w:val="00CF177B"/>
    <w:rsid w:val="00CF1BE1"/>
    <w:rsid w:val="00CF2741"/>
    <w:rsid w:val="00CF3F2D"/>
    <w:rsid w:val="00CF5E1E"/>
    <w:rsid w:val="00CF66BA"/>
    <w:rsid w:val="00D008FB"/>
    <w:rsid w:val="00D0142D"/>
    <w:rsid w:val="00D039FA"/>
    <w:rsid w:val="00D03A4C"/>
    <w:rsid w:val="00D04379"/>
    <w:rsid w:val="00D047AA"/>
    <w:rsid w:val="00D04F93"/>
    <w:rsid w:val="00D06349"/>
    <w:rsid w:val="00D0725F"/>
    <w:rsid w:val="00D10F35"/>
    <w:rsid w:val="00D11643"/>
    <w:rsid w:val="00D12368"/>
    <w:rsid w:val="00D136B7"/>
    <w:rsid w:val="00D1373A"/>
    <w:rsid w:val="00D13AA0"/>
    <w:rsid w:val="00D14BFB"/>
    <w:rsid w:val="00D17AD2"/>
    <w:rsid w:val="00D20CDF"/>
    <w:rsid w:val="00D2364B"/>
    <w:rsid w:val="00D239E7"/>
    <w:rsid w:val="00D258A4"/>
    <w:rsid w:val="00D261DD"/>
    <w:rsid w:val="00D30892"/>
    <w:rsid w:val="00D329E8"/>
    <w:rsid w:val="00D32E28"/>
    <w:rsid w:val="00D33053"/>
    <w:rsid w:val="00D346D6"/>
    <w:rsid w:val="00D370F2"/>
    <w:rsid w:val="00D40DA4"/>
    <w:rsid w:val="00D422D8"/>
    <w:rsid w:val="00D44B56"/>
    <w:rsid w:val="00D44D36"/>
    <w:rsid w:val="00D44E55"/>
    <w:rsid w:val="00D45353"/>
    <w:rsid w:val="00D45F1F"/>
    <w:rsid w:val="00D46E1D"/>
    <w:rsid w:val="00D47446"/>
    <w:rsid w:val="00D500A7"/>
    <w:rsid w:val="00D50F13"/>
    <w:rsid w:val="00D5316C"/>
    <w:rsid w:val="00D53734"/>
    <w:rsid w:val="00D53FDE"/>
    <w:rsid w:val="00D5692E"/>
    <w:rsid w:val="00D6057B"/>
    <w:rsid w:val="00D6093B"/>
    <w:rsid w:val="00D61264"/>
    <w:rsid w:val="00D62245"/>
    <w:rsid w:val="00D6494D"/>
    <w:rsid w:val="00D64FD6"/>
    <w:rsid w:val="00D67458"/>
    <w:rsid w:val="00D67A4B"/>
    <w:rsid w:val="00D67F93"/>
    <w:rsid w:val="00D72352"/>
    <w:rsid w:val="00D754E7"/>
    <w:rsid w:val="00D83567"/>
    <w:rsid w:val="00D855C8"/>
    <w:rsid w:val="00D855FA"/>
    <w:rsid w:val="00D862DA"/>
    <w:rsid w:val="00D87DD6"/>
    <w:rsid w:val="00D87E76"/>
    <w:rsid w:val="00D90268"/>
    <w:rsid w:val="00D910D9"/>
    <w:rsid w:val="00D910FC"/>
    <w:rsid w:val="00D926F0"/>
    <w:rsid w:val="00D9276E"/>
    <w:rsid w:val="00D927A6"/>
    <w:rsid w:val="00D93E37"/>
    <w:rsid w:val="00D9413F"/>
    <w:rsid w:val="00D9442E"/>
    <w:rsid w:val="00DA0AF5"/>
    <w:rsid w:val="00DA21FA"/>
    <w:rsid w:val="00DA460F"/>
    <w:rsid w:val="00DA4919"/>
    <w:rsid w:val="00DA59A3"/>
    <w:rsid w:val="00DA618C"/>
    <w:rsid w:val="00DA7B5A"/>
    <w:rsid w:val="00DB45E0"/>
    <w:rsid w:val="00DB4D3B"/>
    <w:rsid w:val="00DB5513"/>
    <w:rsid w:val="00DB587E"/>
    <w:rsid w:val="00DB75A2"/>
    <w:rsid w:val="00DB7F8C"/>
    <w:rsid w:val="00DC0AA5"/>
    <w:rsid w:val="00DC1A29"/>
    <w:rsid w:val="00DC22AE"/>
    <w:rsid w:val="00DC2377"/>
    <w:rsid w:val="00DC23FF"/>
    <w:rsid w:val="00DC2D21"/>
    <w:rsid w:val="00DD0C1D"/>
    <w:rsid w:val="00DD5836"/>
    <w:rsid w:val="00DD72D8"/>
    <w:rsid w:val="00DE07CF"/>
    <w:rsid w:val="00DE0D83"/>
    <w:rsid w:val="00DE174A"/>
    <w:rsid w:val="00DE26C8"/>
    <w:rsid w:val="00DE2A8A"/>
    <w:rsid w:val="00DE2F81"/>
    <w:rsid w:val="00DE3CDE"/>
    <w:rsid w:val="00DE40BF"/>
    <w:rsid w:val="00DE44F5"/>
    <w:rsid w:val="00DE6EF9"/>
    <w:rsid w:val="00DE787D"/>
    <w:rsid w:val="00DF0695"/>
    <w:rsid w:val="00DF0996"/>
    <w:rsid w:val="00DF3F0A"/>
    <w:rsid w:val="00DF451C"/>
    <w:rsid w:val="00DF5DB3"/>
    <w:rsid w:val="00DF6180"/>
    <w:rsid w:val="00DF666C"/>
    <w:rsid w:val="00DF77A5"/>
    <w:rsid w:val="00DF7AC0"/>
    <w:rsid w:val="00E00109"/>
    <w:rsid w:val="00E00C4A"/>
    <w:rsid w:val="00E00F41"/>
    <w:rsid w:val="00E01152"/>
    <w:rsid w:val="00E02AD7"/>
    <w:rsid w:val="00E050FD"/>
    <w:rsid w:val="00E0512C"/>
    <w:rsid w:val="00E058D6"/>
    <w:rsid w:val="00E06F86"/>
    <w:rsid w:val="00E07AB1"/>
    <w:rsid w:val="00E118A0"/>
    <w:rsid w:val="00E13392"/>
    <w:rsid w:val="00E14A50"/>
    <w:rsid w:val="00E17416"/>
    <w:rsid w:val="00E20918"/>
    <w:rsid w:val="00E20FBC"/>
    <w:rsid w:val="00E23043"/>
    <w:rsid w:val="00E234A7"/>
    <w:rsid w:val="00E23562"/>
    <w:rsid w:val="00E2357D"/>
    <w:rsid w:val="00E239A6"/>
    <w:rsid w:val="00E245EE"/>
    <w:rsid w:val="00E24BA8"/>
    <w:rsid w:val="00E2516E"/>
    <w:rsid w:val="00E25A38"/>
    <w:rsid w:val="00E27C2A"/>
    <w:rsid w:val="00E27F67"/>
    <w:rsid w:val="00E306EC"/>
    <w:rsid w:val="00E31E44"/>
    <w:rsid w:val="00E3261C"/>
    <w:rsid w:val="00E33002"/>
    <w:rsid w:val="00E33BDD"/>
    <w:rsid w:val="00E348D9"/>
    <w:rsid w:val="00E36D02"/>
    <w:rsid w:val="00E404DA"/>
    <w:rsid w:val="00E406B4"/>
    <w:rsid w:val="00E40F9A"/>
    <w:rsid w:val="00E413CE"/>
    <w:rsid w:val="00E41D5A"/>
    <w:rsid w:val="00E42619"/>
    <w:rsid w:val="00E4330E"/>
    <w:rsid w:val="00E44057"/>
    <w:rsid w:val="00E445D4"/>
    <w:rsid w:val="00E44C30"/>
    <w:rsid w:val="00E4526F"/>
    <w:rsid w:val="00E455E8"/>
    <w:rsid w:val="00E45813"/>
    <w:rsid w:val="00E46FC2"/>
    <w:rsid w:val="00E501F3"/>
    <w:rsid w:val="00E51479"/>
    <w:rsid w:val="00E51718"/>
    <w:rsid w:val="00E526E6"/>
    <w:rsid w:val="00E53DBA"/>
    <w:rsid w:val="00E552A1"/>
    <w:rsid w:val="00E56EA5"/>
    <w:rsid w:val="00E609FD"/>
    <w:rsid w:val="00E63514"/>
    <w:rsid w:val="00E63CF1"/>
    <w:rsid w:val="00E65570"/>
    <w:rsid w:val="00E66287"/>
    <w:rsid w:val="00E665E8"/>
    <w:rsid w:val="00E66FBF"/>
    <w:rsid w:val="00E67CBF"/>
    <w:rsid w:val="00E701DD"/>
    <w:rsid w:val="00E7042E"/>
    <w:rsid w:val="00E7088E"/>
    <w:rsid w:val="00E7298C"/>
    <w:rsid w:val="00E73B88"/>
    <w:rsid w:val="00E74259"/>
    <w:rsid w:val="00E7446D"/>
    <w:rsid w:val="00E76358"/>
    <w:rsid w:val="00E776BB"/>
    <w:rsid w:val="00E80967"/>
    <w:rsid w:val="00E80F15"/>
    <w:rsid w:val="00E81DB1"/>
    <w:rsid w:val="00E82EBD"/>
    <w:rsid w:val="00E841AF"/>
    <w:rsid w:val="00E841D4"/>
    <w:rsid w:val="00E84932"/>
    <w:rsid w:val="00E8779B"/>
    <w:rsid w:val="00E877C3"/>
    <w:rsid w:val="00E87AC6"/>
    <w:rsid w:val="00E90096"/>
    <w:rsid w:val="00E9062F"/>
    <w:rsid w:val="00E91B28"/>
    <w:rsid w:val="00E922EF"/>
    <w:rsid w:val="00E92681"/>
    <w:rsid w:val="00E92761"/>
    <w:rsid w:val="00E9444A"/>
    <w:rsid w:val="00E947B3"/>
    <w:rsid w:val="00E9526E"/>
    <w:rsid w:val="00E96EAB"/>
    <w:rsid w:val="00EA1362"/>
    <w:rsid w:val="00EA3E60"/>
    <w:rsid w:val="00EA4D25"/>
    <w:rsid w:val="00EA65FC"/>
    <w:rsid w:val="00EA6F53"/>
    <w:rsid w:val="00EB043B"/>
    <w:rsid w:val="00EB08F1"/>
    <w:rsid w:val="00EB2B15"/>
    <w:rsid w:val="00EB79D9"/>
    <w:rsid w:val="00EC1DAB"/>
    <w:rsid w:val="00EC356E"/>
    <w:rsid w:val="00EC3CBC"/>
    <w:rsid w:val="00EC3CBD"/>
    <w:rsid w:val="00EC3F1C"/>
    <w:rsid w:val="00EC42B3"/>
    <w:rsid w:val="00EC43B5"/>
    <w:rsid w:val="00EC6743"/>
    <w:rsid w:val="00EC6E3C"/>
    <w:rsid w:val="00EC780A"/>
    <w:rsid w:val="00EC7D0B"/>
    <w:rsid w:val="00EC7D58"/>
    <w:rsid w:val="00ED01AA"/>
    <w:rsid w:val="00ED16A1"/>
    <w:rsid w:val="00ED18E1"/>
    <w:rsid w:val="00ED4552"/>
    <w:rsid w:val="00ED4A94"/>
    <w:rsid w:val="00ED530F"/>
    <w:rsid w:val="00ED5465"/>
    <w:rsid w:val="00ED750D"/>
    <w:rsid w:val="00EE3525"/>
    <w:rsid w:val="00EE4782"/>
    <w:rsid w:val="00EE5087"/>
    <w:rsid w:val="00EE5842"/>
    <w:rsid w:val="00EE72DA"/>
    <w:rsid w:val="00EF0889"/>
    <w:rsid w:val="00EF1AE3"/>
    <w:rsid w:val="00EF248F"/>
    <w:rsid w:val="00EF2E71"/>
    <w:rsid w:val="00EF304B"/>
    <w:rsid w:val="00EF3A6D"/>
    <w:rsid w:val="00EF3B78"/>
    <w:rsid w:val="00EF4B3A"/>
    <w:rsid w:val="00F0150A"/>
    <w:rsid w:val="00F0395B"/>
    <w:rsid w:val="00F05436"/>
    <w:rsid w:val="00F05437"/>
    <w:rsid w:val="00F06F6C"/>
    <w:rsid w:val="00F1215A"/>
    <w:rsid w:val="00F12884"/>
    <w:rsid w:val="00F12E3A"/>
    <w:rsid w:val="00F134AB"/>
    <w:rsid w:val="00F1355E"/>
    <w:rsid w:val="00F13FBF"/>
    <w:rsid w:val="00F148E4"/>
    <w:rsid w:val="00F149AA"/>
    <w:rsid w:val="00F16E68"/>
    <w:rsid w:val="00F176E9"/>
    <w:rsid w:val="00F20E3C"/>
    <w:rsid w:val="00F20FD0"/>
    <w:rsid w:val="00F213A4"/>
    <w:rsid w:val="00F219DF"/>
    <w:rsid w:val="00F23B8B"/>
    <w:rsid w:val="00F23C0B"/>
    <w:rsid w:val="00F23EE1"/>
    <w:rsid w:val="00F24315"/>
    <w:rsid w:val="00F24320"/>
    <w:rsid w:val="00F24786"/>
    <w:rsid w:val="00F25B8C"/>
    <w:rsid w:val="00F26542"/>
    <w:rsid w:val="00F269D6"/>
    <w:rsid w:val="00F26BE4"/>
    <w:rsid w:val="00F31BE3"/>
    <w:rsid w:val="00F33494"/>
    <w:rsid w:val="00F33EAB"/>
    <w:rsid w:val="00F358FE"/>
    <w:rsid w:val="00F36850"/>
    <w:rsid w:val="00F37ECC"/>
    <w:rsid w:val="00F40239"/>
    <w:rsid w:val="00F41526"/>
    <w:rsid w:val="00F4254F"/>
    <w:rsid w:val="00F429CC"/>
    <w:rsid w:val="00F43C03"/>
    <w:rsid w:val="00F43ED2"/>
    <w:rsid w:val="00F442CC"/>
    <w:rsid w:val="00F442E2"/>
    <w:rsid w:val="00F45614"/>
    <w:rsid w:val="00F46738"/>
    <w:rsid w:val="00F46828"/>
    <w:rsid w:val="00F4773E"/>
    <w:rsid w:val="00F478C0"/>
    <w:rsid w:val="00F5008E"/>
    <w:rsid w:val="00F50F6A"/>
    <w:rsid w:val="00F521A8"/>
    <w:rsid w:val="00F5229F"/>
    <w:rsid w:val="00F527D5"/>
    <w:rsid w:val="00F533A0"/>
    <w:rsid w:val="00F56556"/>
    <w:rsid w:val="00F57746"/>
    <w:rsid w:val="00F62032"/>
    <w:rsid w:val="00F62B15"/>
    <w:rsid w:val="00F646CE"/>
    <w:rsid w:val="00F65098"/>
    <w:rsid w:val="00F65670"/>
    <w:rsid w:val="00F6622E"/>
    <w:rsid w:val="00F66AA4"/>
    <w:rsid w:val="00F71A55"/>
    <w:rsid w:val="00F7318C"/>
    <w:rsid w:val="00F745C2"/>
    <w:rsid w:val="00F74996"/>
    <w:rsid w:val="00F756B6"/>
    <w:rsid w:val="00F762A4"/>
    <w:rsid w:val="00F81ABE"/>
    <w:rsid w:val="00F81EDC"/>
    <w:rsid w:val="00F852F9"/>
    <w:rsid w:val="00F85AB0"/>
    <w:rsid w:val="00F85BF9"/>
    <w:rsid w:val="00F87D22"/>
    <w:rsid w:val="00F87EA0"/>
    <w:rsid w:val="00F9089A"/>
    <w:rsid w:val="00F92546"/>
    <w:rsid w:val="00F93C20"/>
    <w:rsid w:val="00F93D82"/>
    <w:rsid w:val="00F94320"/>
    <w:rsid w:val="00F94786"/>
    <w:rsid w:val="00F950F6"/>
    <w:rsid w:val="00F95F71"/>
    <w:rsid w:val="00F96167"/>
    <w:rsid w:val="00F964F7"/>
    <w:rsid w:val="00F97BD2"/>
    <w:rsid w:val="00FA0FED"/>
    <w:rsid w:val="00FA134D"/>
    <w:rsid w:val="00FA1B50"/>
    <w:rsid w:val="00FA298D"/>
    <w:rsid w:val="00FA3997"/>
    <w:rsid w:val="00FA5580"/>
    <w:rsid w:val="00FB124F"/>
    <w:rsid w:val="00FB1648"/>
    <w:rsid w:val="00FB2FF3"/>
    <w:rsid w:val="00FB49C7"/>
    <w:rsid w:val="00FB5A22"/>
    <w:rsid w:val="00FB5F03"/>
    <w:rsid w:val="00FB68B3"/>
    <w:rsid w:val="00FB70F1"/>
    <w:rsid w:val="00FC10A4"/>
    <w:rsid w:val="00FC1AAA"/>
    <w:rsid w:val="00FC38D9"/>
    <w:rsid w:val="00FC4D41"/>
    <w:rsid w:val="00FC5231"/>
    <w:rsid w:val="00FC5425"/>
    <w:rsid w:val="00FC56F9"/>
    <w:rsid w:val="00FC5B92"/>
    <w:rsid w:val="00FD0122"/>
    <w:rsid w:val="00FD0CE2"/>
    <w:rsid w:val="00FD1C05"/>
    <w:rsid w:val="00FD1CA2"/>
    <w:rsid w:val="00FD214C"/>
    <w:rsid w:val="00FD22B8"/>
    <w:rsid w:val="00FD51FD"/>
    <w:rsid w:val="00FD5FD1"/>
    <w:rsid w:val="00FD637B"/>
    <w:rsid w:val="00FD6486"/>
    <w:rsid w:val="00FD6994"/>
    <w:rsid w:val="00FE07B6"/>
    <w:rsid w:val="00FE14D1"/>
    <w:rsid w:val="00FE4EFA"/>
    <w:rsid w:val="00FE5622"/>
    <w:rsid w:val="00FE5C83"/>
    <w:rsid w:val="00FE676D"/>
    <w:rsid w:val="00FE6B27"/>
    <w:rsid w:val="00FE6D55"/>
    <w:rsid w:val="00FE7751"/>
    <w:rsid w:val="00FF0864"/>
    <w:rsid w:val="00FF1419"/>
    <w:rsid w:val="00FF1E34"/>
    <w:rsid w:val="00FF3DFE"/>
    <w:rsid w:val="00FF3EE9"/>
    <w:rsid w:val="00FF47A3"/>
    <w:rsid w:val="00FF71CF"/>
    <w:rsid w:val="00FF7C04"/>
    <w:rsid w:val="0604A4D0"/>
    <w:rsid w:val="06E3CCBD"/>
    <w:rsid w:val="070D055F"/>
    <w:rsid w:val="0B55656E"/>
    <w:rsid w:val="0D2CF891"/>
    <w:rsid w:val="0F4FEAC9"/>
    <w:rsid w:val="1046BA7A"/>
    <w:rsid w:val="104A38E9"/>
    <w:rsid w:val="10A4550F"/>
    <w:rsid w:val="156B2B11"/>
    <w:rsid w:val="15B89658"/>
    <w:rsid w:val="182A5549"/>
    <w:rsid w:val="18E1F7BF"/>
    <w:rsid w:val="1C1C18AA"/>
    <w:rsid w:val="1E448A4B"/>
    <w:rsid w:val="2551B70B"/>
    <w:rsid w:val="27471DC9"/>
    <w:rsid w:val="280050D0"/>
    <w:rsid w:val="29506469"/>
    <w:rsid w:val="296201B7"/>
    <w:rsid w:val="2C29E1C4"/>
    <w:rsid w:val="2C5C1A6C"/>
    <w:rsid w:val="2E366E86"/>
    <w:rsid w:val="317A3C21"/>
    <w:rsid w:val="32723F39"/>
    <w:rsid w:val="340E85FD"/>
    <w:rsid w:val="345E86EC"/>
    <w:rsid w:val="375370D0"/>
    <w:rsid w:val="3A79C1BA"/>
    <w:rsid w:val="3A9E46C2"/>
    <w:rsid w:val="3DAE4945"/>
    <w:rsid w:val="42A21968"/>
    <w:rsid w:val="4408EDE2"/>
    <w:rsid w:val="4443B4D9"/>
    <w:rsid w:val="44E92EB8"/>
    <w:rsid w:val="46ABA3CD"/>
    <w:rsid w:val="4B7207FE"/>
    <w:rsid w:val="4D0848B9"/>
    <w:rsid w:val="4EEB9FAB"/>
    <w:rsid w:val="50A461BB"/>
    <w:rsid w:val="51DFE5AE"/>
    <w:rsid w:val="56C00624"/>
    <w:rsid w:val="56EC6739"/>
    <w:rsid w:val="5730C67F"/>
    <w:rsid w:val="5A2407FB"/>
    <w:rsid w:val="5FA4333F"/>
    <w:rsid w:val="607FD68B"/>
    <w:rsid w:val="60E601EF"/>
    <w:rsid w:val="65896645"/>
    <w:rsid w:val="67119429"/>
    <w:rsid w:val="68E010D0"/>
    <w:rsid w:val="6A3CE4C5"/>
    <w:rsid w:val="6AD1EF3F"/>
    <w:rsid w:val="6D15B4E1"/>
    <w:rsid w:val="6D484512"/>
    <w:rsid w:val="6DC223B6"/>
    <w:rsid w:val="6DDA7DC4"/>
    <w:rsid w:val="711F78B1"/>
    <w:rsid w:val="72D88A81"/>
    <w:rsid w:val="73A9CFAF"/>
    <w:rsid w:val="73DC840F"/>
    <w:rsid w:val="73EF7C78"/>
    <w:rsid w:val="76A86C7D"/>
    <w:rsid w:val="79D5805F"/>
    <w:rsid w:val="7A3A12A2"/>
    <w:rsid w:val="7AA5F30C"/>
    <w:rsid w:val="7FA11BCD"/>
    <w:rsid w:val="7FAFE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1CB14"/>
  <w15:chartTrackingRefBased/>
  <w15:docId w15:val="{DAA0E3BF-6E19-4D1C-8EBC-F84291B3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93"/>
    <w:pPr>
      <w:spacing w:after="0" w:line="240"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F26542"/>
    <w:pPr>
      <w:keepNext/>
      <w:keepLines/>
      <w:numPr>
        <w:numId w:val="8"/>
      </w:numPr>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F81EDC"/>
    <w:pPr>
      <w:keepNext/>
      <w:keepLines/>
      <w:spacing w:before="40" w:line="288"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81E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3F013A"/>
    <w:pPr>
      <w:numPr>
        <w:numId w:val="1"/>
      </w:numPr>
    </w:pPr>
  </w:style>
  <w:style w:type="character" w:customStyle="1" w:styleId="Heading2Char">
    <w:name w:val="Heading 2 Char"/>
    <w:basedOn w:val="DefaultParagraphFont"/>
    <w:link w:val="Heading2"/>
    <w:uiPriority w:val="9"/>
    <w:rsid w:val="00F81EDC"/>
    <w:rPr>
      <w:rFonts w:ascii="Verdana" w:eastAsiaTheme="majorEastAsia" w:hAnsi="Verdana" w:cstheme="majorBidi"/>
      <w:b/>
      <w:sz w:val="24"/>
      <w:szCs w:val="26"/>
    </w:rPr>
  </w:style>
  <w:style w:type="paragraph" w:customStyle="1" w:styleId="BasicParagraph">
    <w:name w:val="[Basic Paragraph]"/>
    <w:basedOn w:val="Normal"/>
    <w:link w:val="BasicParagraphChar"/>
    <w:uiPriority w:val="99"/>
    <w:rsid w:val="001B4A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3B2F9E"/>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3B2F9E"/>
    <w:rPr>
      <w:rFonts w:ascii="Verdana" w:eastAsiaTheme="minorEastAsia" w:hAnsi="Verdana"/>
      <w:sz w:val="20"/>
      <w:szCs w:val="20"/>
    </w:rPr>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
    <w:basedOn w:val="DefaultParagraphFont"/>
    <w:link w:val="4GChar"/>
    <w:uiPriority w:val="99"/>
    <w:unhideWhenUsed/>
    <w:qFormat/>
    <w:rsid w:val="003B2F9E"/>
    <w:rPr>
      <w:vertAlign w:val="superscript"/>
    </w:rPr>
  </w:style>
  <w:style w:type="paragraph" w:customStyle="1" w:styleId="Style1">
    <w:name w:val="Style1"/>
    <w:basedOn w:val="BasicParagraph"/>
    <w:link w:val="Style1Char"/>
    <w:qFormat/>
    <w:rsid w:val="000F72C8"/>
    <w:pPr>
      <w:suppressAutoHyphens/>
    </w:pPr>
    <w:rPr>
      <w:rFonts w:ascii="Verdana" w:hAnsi="Verdana" w:cs="Arial"/>
      <w:b/>
      <w:color w:val="77328A"/>
      <w:sz w:val="30"/>
      <w:szCs w:val="30"/>
    </w:rPr>
  </w:style>
  <w:style w:type="character" w:customStyle="1" w:styleId="Style1Char">
    <w:name w:val="Style1 Char"/>
    <w:basedOn w:val="DefaultParagraphFont"/>
    <w:link w:val="Style1"/>
    <w:rsid w:val="000F72C8"/>
    <w:rPr>
      <w:rFonts w:ascii="Verdana" w:eastAsiaTheme="minorEastAsia" w:hAnsi="Verdana" w:cs="Arial"/>
      <w:b/>
      <w:color w:val="77328A"/>
      <w:sz w:val="30"/>
      <w:szCs w:val="30"/>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0F72C8"/>
    <w:pPr>
      <w:spacing w:line="240" w:lineRule="exact"/>
      <w:jc w:val="both"/>
    </w:pPr>
    <w:rPr>
      <w:rFonts w:asciiTheme="minorHAnsi" w:eastAsiaTheme="minorHAnsi" w:hAnsiTheme="minorHAnsi"/>
      <w:sz w:val="22"/>
      <w:szCs w:val="22"/>
      <w:vertAlign w:val="superscript"/>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CB009C"/>
    <w:pPr>
      <w:spacing w:line="360" w:lineRule="auto"/>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CB009C"/>
    <w:rPr>
      <w:rFonts w:ascii="Verdana" w:eastAsiaTheme="minorEastAsia" w:hAnsi="Verdana"/>
      <w:sz w:val="24"/>
      <w:szCs w:val="24"/>
    </w:rPr>
  </w:style>
  <w:style w:type="character" w:styleId="Hyperlink">
    <w:name w:val="Hyperlink"/>
    <w:basedOn w:val="DefaultParagraphFont"/>
    <w:uiPriority w:val="99"/>
    <w:unhideWhenUsed/>
    <w:rsid w:val="00160E37"/>
    <w:rPr>
      <w:color w:val="0563C1" w:themeColor="hyperlink"/>
      <w:u w:val="single"/>
    </w:rPr>
  </w:style>
  <w:style w:type="character" w:styleId="FollowedHyperlink">
    <w:name w:val="FollowedHyperlink"/>
    <w:basedOn w:val="DefaultParagraphFont"/>
    <w:uiPriority w:val="99"/>
    <w:semiHidden/>
    <w:unhideWhenUsed/>
    <w:rsid w:val="00A370E2"/>
    <w:rPr>
      <w:color w:val="954F72" w:themeColor="followedHyperlink"/>
      <w:u w:val="single"/>
    </w:rPr>
  </w:style>
  <w:style w:type="paragraph" w:styleId="Header">
    <w:name w:val="header"/>
    <w:basedOn w:val="Normal"/>
    <w:link w:val="HeaderChar"/>
    <w:uiPriority w:val="99"/>
    <w:unhideWhenUsed/>
    <w:rsid w:val="0047257D"/>
    <w:pPr>
      <w:tabs>
        <w:tab w:val="center" w:pos="4513"/>
        <w:tab w:val="right" w:pos="9026"/>
      </w:tabs>
    </w:pPr>
  </w:style>
  <w:style w:type="character" w:customStyle="1" w:styleId="HeaderChar">
    <w:name w:val="Header Char"/>
    <w:basedOn w:val="DefaultParagraphFont"/>
    <w:link w:val="Header"/>
    <w:uiPriority w:val="99"/>
    <w:rsid w:val="0047257D"/>
    <w:rPr>
      <w:rFonts w:ascii="Verdana" w:eastAsiaTheme="minorEastAsia" w:hAnsi="Verdana"/>
      <w:sz w:val="24"/>
      <w:szCs w:val="24"/>
    </w:rPr>
  </w:style>
  <w:style w:type="paragraph" w:styleId="Footer">
    <w:name w:val="footer"/>
    <w:basedOn w:val="Normal"/>
    <w:link w:val="FooterChar"/>
    <w:uiPriority w:val="99"/>
    <w:unhideWhenUsed/>
    <w:rsid w:val="0047257D"/>
    <w:pPr>
      <w:tabs>
        <w:tab w:val="center" w:pos="4513"/>
        <w:tab w:val="right" w:pos="9026"/>
      </w:tabs>
    </w:pPr>
  </w:style>
  <w:style w:type="character" w:customStyle="1" w:styleId="FooterChar">
    <w:name w:val="Footer Char"/>
    <w:basedOn w:val="DefaultParagraphFont"/>
    <w:link w:val="Footer"/>
    <w:uiPriority w:val="99"/>
    <w:rsid w:val="0047257D"/>
    <w:rPr>
      <w:rFonts w:ascii="Verdana" w:eastAsiaTheme="minorEastAsia" w:hAnsi="Verdana"/>
      <w:sz w:val="24"/>
      <w:szCs w:val="24"/>
    </w:rPr>
  </w:style>
  <w:style w:type="character" w:customStyle="1" w:styleId="BasicParagraphChar">
    <w:name w:val="[Basic Paragraph] Char"/>
    <w:basedOn w:val="DefaultParagraphFont"/>
    <w:link w:val="BasicParagraph"/>
    <w:uiPriority w:val="99"/>
    <w:rsid w:val="00905D26"/>
    <w:rPr>
      <w:rFonts w:ascii="MinionPro-Regular" w:eastAsiaTheme="minorEastAsia" w:hAnsi="MinionPro-Regular" w:cs="MinionPro-Regular"/>
      <w:color w:val="000000"/>
      <w:sz w:val="24"/>
      <w:szCs w:val="24"/>
    </w:rPr>
  </w:style>
  <w:style w:type="character" w:styleId="CommentReference">
    <w:name w:val="annotation reference"/>
    <w:basedOn w:val="DefaultParagraphFont"/>
    <w:uiPriority w:val="99"/>
    <w:semiHidden/>
    <w:unhideWhenUsed/>
    <w:rsid w:val="003D2344"/>
    <w:rPr>
      <w:sz w:val="16"/>
      <w:szCs w:val="16"/>
    </w:rPr>
  </w:style>
  <w:style w:type="paragraph" w:styleId="CommentText">
    <w:name w:val="annotation text"/>
    <w:basedOn w:val="Normal"/>
    <w:link w:val="CommentTextChar"/>
    <w:uiPriority w:val="99"/>
    <w:unhideWhenUsed/>
    <w:rsid w:val="003D2344"/>
    <w:rPr>
      <w:sz w:val="20"/>
      <w:szCs w:val="20"/>
    </w:rPr>
  </w:style>
  <w:style w:type="character" w:customStyle="1" w:styleId="CommentTextChar">
    <w:name w:val="Comment Text Char"/>
    <w:basedOn w:val="DefaultParagraphFont"/>
    <w:link w:val="CommentText"/>
    <w:uiPriority w:val="99"/>
    <w:rsid w:val="003D2344"/>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3D2344"/>
    <w:rPr>
      <w:b/>
      <w:bCs/>
    </w:rPr>
  </w:style>
  <w:style w:type="character" w:customStyle="1" w:styleId="CommentSubjectChar">
    <w:name w:val="Comment Subject Char"/>
    <w:basedOn w:val="CommentTextChar"/>
    <w:link w:val="CommentSubject"/>
    <w:uiPriority w:val="99"/>
    <w:semiHidden/>
    <w:rsid w:val="003D2344"/>
    <w:rPr>
      <w:rFonts w:ascii="Verdana" w:eastAsiaTheme="minorEastAsia" w:hAnsi="Verdana"/>
      <w:b/>
      <w:bCs/>
      <w:sz w:val="20"/>
      <w:szCs w:val="20"/>
    </w:rPr>
  </w:style>
  <w:style w:type="paragraph" w:customStyle="1" w:styleId="NIHRCFootnotes">
    <w:name w:val="NIHRC Footnotes"/>
    <w:basedOn w:val="Normal"/>
    <w:qFormat/>
    <w:rsid w:val="00746240"/>
    <w:pPr>
      <w:tabs>
        <w:tab w:val="left" w:pos="284"/>
      </w:tabs>
    </w:pPr>
    <w:rPr>
      <w:rFonts w:cs="Arial"/>
      <w:color w:val="77328A"/>
      <w:sz w:val="16"/>
      <w:szCs w:val="16"/>
    </w:rPr>
  </w:style>
  <w:style w:type="paragraph" w:styleId="Quote">
    <w:name w:val="Quote"/>
    <w:basedOn w:val="Normal"/>
    <w:next w:val="Normal"/>
    <w:link w:val="QuoteChar"/>
    <w:uiPriority w:val="29"/>
    <w:qFormat/>
    <w:rsid w:val="00034725"/>
    <w:pPr>
      <w:spacing w:line="288" w:lineRule="auto"/>
      <w:ind w:left="862" w:right="862"/>
    </w:pPr>
    <w:rPr>
      <w:iCs/>
    </w:rPr>
  </w:style>
  <w:style w:type="character" w:customStyle="1" w:styleId="QuoteChar">
    <w:name w:val="Quote Char"/>
    <w:basedOn w:val="DefaultParagraphFont"/>
    <w:link w:val="Quote"/>
    <w:uiPriority w:val="29"/>
    <w:rsid w:val="00034725"/>
    <w:rPr>
      <w:rFonts w:ascii="Verdana" w:eastAsiaTheme="minorEastAsia" w:hAnsi="Verdana"/>
      <w:iCs/>
      <w:sz w:val="24"/>
      <w:szCs w:val="24"/>
    </w:rPr>
  </w:style>
  <w:style w:type="paragraph" w:styleId="BalloonText">
    <w:name w:val="Balloon Text"/>
    <w:basedOn w:val="Normal"/>
    <w:link w:val="BalloonTextChar"/>
    <w:uiPriority w:val="99"/>
    <w:semiHidden/>
    <w:unhideWhenUsed/>
    <w:rsid w:val="003C5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0C"/>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F4254F"/>
    <w:rPr>
      <w:color w:val="605E5C"/>
      <w:shd w:val="clear" w:color="auto" w:fill="E1DFDD"/>
    </w:rPr>
  </w:style>
  <w:style w:type="paragraph" w:customStyle="1" w:styleId="Default">
    <w:name w:val="Default"/>
    <w:rsid w:val="008A4834"/>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F26542"/>
    <w:rPr>
      <w:rFonts w:ascii="Verdana" w:eastAsiaTheme="majorEastAsia" w:hAnsi="Verdana" w:cstheme="majorBidi"/>
      <w:b/>
      <w:color w:val="77328A"/>
      <w:sz w:val="30"/>
      <w:szCs w:val="32"/>
    </w:rPr>
  </w:style>
  <w:style w:type="paragraph" w:styleId="TOCHeading">
    <w:name w:val="TOC Heading"/>
    <w:basedOn w:val="Heading1"/>
    <w:next w:val="Normal"/>
    <w:uiPriority w:val="39"/>
    <w:unhideWhenUsed/>
    <w:qFormat/>
    <w:rsid w:val="00DA0AF5"/>
    <w:pPr>
      <w:spacing w:line="259" w:lineRule="auto"/>
      <w:outlineLvl w:val="9"/>
    </w:pPr>
    <w:rPr>
      <w:lang w:val="en-US"/>
    </w:rPr>
  </w:style>
  <w:style w:type="paragraph" w:styleId="TOC2">
    <w:name w:val="toc 2"/>
    <w:basedOn w:val="Normal"/>
    <w:next w:val="Normal"/>
    <w:autoRedefine/>
    <w:uiPriority w:val="39"/>
    <w:unhideWhenUsed/>
    <w:rsid w:val="00DA0AF5"/>
    <w:pPr>
      <w:spacing w:after="100" w:line="259" w:lineRule="auto"/>
      <w:ind w:left="220"/>
    </w:pPr>
    <w:rPr>
      <w:rFonts w:asciiTheme="minorHAnsi" w:hAnsiTheme="minorHAnsi" w:cs="Times New Roman"/>
      <w:sz w:val="22"/>
      <w:szCs w:val="22"/>
      <w:lang w:val="en-US"/>
    </w:rPr>
  </w:style>
  <w:style w:type="paragraph" w:styleId="TOC1">
    <w:name w:val="toc 1"/>
    <w:basedOn w:val="Normal"/>
    <w:next w:val="Normal"/>
    <w:autoRedefine/>
    <w:uiPriority w:val="39"/>
    <w:unhideWhenUsed/>
    <w:rsid w:val="00A101ED"/>
    <w:pPr>
      <w:spacing w:after="100" w:line="259" w:lineRule="auto"/>
    </w:pPr>
    <w:rPr>
      <w:rFonts w:cs="Times New Roman"/>
      <w:b/>
      <w:bCs/>
      <w:lang w:val="en-US"/>
    </w:rPr>
  </w:style>
  <w:style w:type="paragraph" w:styleId="TOC3">
    <w:name w:val="toc 3"/>
    <w:basedOn w:val="Normal"/>
    <w:next w:val="Normal"/>
    <w:autoRedefine/>
    <w:uiPriority w:val="39"/>
    <w:unhideWhenUsed/>
    <w:rsid w:val="00DA0AF5"/>
    <w:pPr>
      <w:spacing w:after="100" w:line="259" w:lineRule="auto"/>
      <w:ind w:left="440"/>
    </w:pPr>
    <w:rPr>
      <w:rFonts w:asciiTheme="minorHAnsi" w:hAnsiTheme="minorHAnsi" w:cs="Times New Roman"/>
      <w:sz w:val="22"/>
      <w:szCs w:val="22"/>
      <w:lang w:val="en-US"/>
    </w:rPr>
  </w:style>
  <w:style w:type="character" w:customStyle="1" w:styleId="Heading3Char">
    <w:name w:val="Heading 3 Char"/>
    <w:basedOn w:val="DefaultParagraphFont"/>
    <w:link w:val="Heading3"/>
    <w:uiPriority w:val="9"/>
    <w:rsid w:val="00F81ED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935383"/>
    <w:pPr>
      <w:spacing w:after="0" w:line="240" w:lineRule="auto"/>
    </w:pPr>
    <w:rPr>
      <w:rFonts w:ascii="Verdana" w:eastAsiaTheme="minorEastAsia" w:hAnsi="Verdana"/>
      <w:sz w:val="24"/>
      <w:szCs w:val="24"/>
    </w:rPr>
  </w:style>
  <w:style w:type="character" w:styleId="UnresolvedMention">
    <w:name w:val="Unresolved Mention"/>
    <w:basedOn w:val="DefaultParagraphFont"/>
    <w:uiPriority w:val="99"/>
    <w:semiHidden/>
    <w:unhideWhenUsed/>
    <w:rsid w:val="009A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957">
      <w:bodyDiv w:val="1"/>
      <w:marLeft w:val="0"/>
      <w:marRight w:val="0"/>
      <w:marTop w:val="0"/>
      <w:marBottom w:val="0"/>
      <w:divBdr>
        <w:top w:val="none" w:sz="0" w:space="0" w:color="auto"/>
        <w:left w:val="none" w:sz="0" w:space="0" w:color="auto"/>
        <w:bottom w:val="none" w:sz="0" w:space="0" w:color="auto"/>
        <w:right w:val="none" w:sz="0" w:space="0" w:color="auto"/>
      </w:divBdr>
    </w:div>
    <w:div w:id="856118495">
      <w:bodyDiv w:val="1"/>
      <w:marLeft w:val="0"/>
      <w:marRight w:val="0"/>
      <w:marTop w:val="0"/>
      <w:marBottom w:val="0"/>
      <w:divBdr>
        <w:top w:val="none" w:sz="0" w:space="0" w:color="auto"/>
        <w:left w:val="none" w:sz="0" w:space="0" w:color="auto"/>
        <w:bottom w:val="none" w:sz="0" w:space="0" w:color="auto"/>
        <w:right w:val="none" w:sz="0" w:space="0" w:color="auto"/>
      </w:divBdr>
    </w:div>
    <w:div w:id="1016156546">
      <w:bodyDiv w:val="1"/>
      <w:marLeft w:val="0"/>
      <w:marRight w:val="0"/>
      <w:marTop w:val="0"/>
      <w:marBottom w:val="0"/>
      <w:divBdr>
        <w:top w:val="none" w:sz="0" w:space="0" w:color="auto"/>
        <w:left w:val="none" w:sz="0" w:space="0" w:color="auto"/>
        <w:bottom w:val="none" w:sz="0" w:space="0" w:color="auto"/>
        <w:right w:val="none" w:sz="0" w:space="0" w:color="auto"/>
      </w:divBdr>
    </w:div>
    <w:div w:id="1084761918">
      <w:bodyDiv w:val="1"/>
      <w:marLeft w:val="0"/>
      <w:marRight w:val="0"/>
      <w:marTop w:val="0"/>
      <w:marBottom w:val="0"/>
      <w:divBdr>
        <w:top w:val="none" w:sz="0" w:space="0" w:color="auto"/>
        <w:left w:val="none" w:sz="0" w:space="0" w:color="auto"/>
        <w:bottom w:val="none" w:sz="0" w:space="0" w:color="auto"/>
        <w:right w:val="none" w:sz="0" w:space="0" w:color="auto"/>
      </w:divBdr>
    </w:div>
    <w:div w:id="1129278017">
      <w:bodyDiv w:val="1"/>
      <w:marLeft w:val="0"/>
      <w:marRight w:val="0"/>
      <w:marTop w:val="0"/>
      <w:marBottom w:val="0"/>
      <w:divBdr>
        <w:top w:val="none" w:sz="0" w:space="0" w:color="auto"/>
        <w:left w:val="none" w:sz="0" w:space="0" w:color="auto"/>
        <w:bottom w:val="none" w:sz="0" w:space="0" w:color="auto"/>
        <w:right w:val="none" w:sz="0" w:space="0" w:color="auto"/>
      </w:divBdr>
    </w:div>
    <w:div w:id="1247492536">
      <w:bodyDiv w:val="1"/>
      <w:marLeft w:val="0"/>
      <w:marRight w:val="0"/>
      <w:marTop w:val="0"/>
      <w:marBottom w:val="0"/>
      <w:divBdr>
        <w:top w:val="none" w:sz="0" w:space="0" w:color="auto"/>
        <w:left w:val="none" w:sz="0" w:space="0" w:color="auto"/>
        <w:bottom w:val="none" w:sz="0" w:space="0" w:color="auto"/>
        <w:right w:val="none" w:sz="0" w:space="0" w:color="auto"/>
      </w:divBdr>
    </w:div>
    <w:div w:id="1468471582">
      <w:bodyDiv w:val="1"/>
      <w:marLeft w:val="0"/>
      <w:marRight w:val="0"/>
      <w:marTop w:val="0"/>
      <w:marBottom w:val="0"/>
      <w:divBdr>
        <w:top w:val="none" w:sz="0" w:space="0" w:color="auto"/>
        <w:left w:val="none" w:sz="0" w:space="0" w:color="auto"/>
        <w:bottom w:val="none" w:sz="0" w:space="0" w:color="auto"/>
        <w:right w:val="none" w:sz="0" w:space="0" w:color="auto"/>
      </w:divBdr>
    </w:div>
    <w:div w:id="1977372450">
      <w:bodyDiv w:val="1"/>
      <w:marLeft w:val="0"/>
      <w:marRight w:val="0"/>
      <w:marTop w:val="0"/>
      <w:marBottom w:val="0"/>
      <w:divBdr>
        <w:top w:val="none" w:sz="0" w:space="0" w:color="auto"/>
        <w:left w:val="none" w:sz="0" w:space="0" w:color="auto"/>
        <w:bottom w:val="none" w:sz="0" w:space="0" w:color="auto"/>
        <w:right w:val="none" w:sz="0" w:space="0" w:color="auto"/>
      </w:divBdr>
    </w:div>
    <w:div w:id="20872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6" ma:contentTypeDescription="Create a new document." ma:contentTypeScope="" ma:versionID="3ba56c4172e140a3b08fad018e3f479d">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40395f25741d40b7fffcfa094237fac8"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3E7A-97EF-48ED-83BD-3A79AA2CE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7A6533-6A10-4286-B971-B95C76DD4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58F7E-FB0A-42A5-BC83-18CEC9532889}">
  <ds:schemaRefs>
    <ds:schemaRef ds:uri="http://schemas.microsoft.com/sharepoint/v3/contenttype/forms"/>
  </ds:schemaRefs>
</ds:datastoreItem>
</file>

<file path=customXml/itemProps4.xml><?xml version="1.0" encoding="utf-8"?>
<ds:datastoreItem xmlns:ds="http://schemas.openxmlformats.org/officeDocument/2006/customXml" ds:itemID="{612F256D-C037-4949-A732-DDFF83EF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3949</Words>
  <Characters>22515</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26412</CharactersWithSpaces>
  <SharedDoc>false</SharedDoc>
  <HLinks>
    <vt:vector size="66" baseType="variant">
      <vt:variant>
        <vt:i4>6946881</vt:i4>
      </vt:variant>
      <vt:variant>
        <vt:i4>54</vt:i4>
      </vt:variant>
      <vt:variant>
        <vt:i4>0</vt:i4>
      </vt:variant>
      <vt:variant>
        <vt:i4>5</vt:i4>
      </vt:variant>
      <vt:variant>
        <vt:lpwstr>mailto:info@nihrc.org</vt:lpwstr>
      </vt:variant>
      <vt:variant>
        <vt:lpwstr/>
      </vt:variant>
      <vt:variant>
        <vt:i4>4587543</vt:i4>
      </vt:variant>
      <vt:variant>
        <vt:i4>51</vt:i4>
      </vt:variant>
      <vt:variant>
        <vt:i4>0</vt:i4>
      </vt:variant>
      <vt:variant>
        <vt:i4>5</vt:i4>
      </vt:variant>
      <vt:variant>
        <vt:lpwstr>http://www.nihrc.org/</vt:lpwstr>
      </vt:variant>
      <vt:variant>
        <vt:lpwstr/>
      </vt:variant>
      <vt:variant>
        <vt:i4>1507391</vt:i4>
      </vt:variant>
      <vt:variant>
        <vt:i4>44</vt:i4>
      </vt:variant>
      <vt:variant>
        <vt:i4>0</vt:i4>
      </vt:variant>
      <vt:variant>
        <vt:i4>5</vt:i4>
      </vt:variant>
      <vt:variant>
        <vt:lpwstr/>
      </vt:variant>
      <vt:variant>
        <vt:lpwstr>_Toc120787624</vt:lpwstr>
      </vt:variant>
      <vt:variant>
        <vt:i4>1507391</vt:i4>
      </vt:variant>
      <vt:variant>
        <vt:i4>38</vt:i4>
      </vt:variant>
      <vt:variant>
        <vt:i4>0</vt:i4>
      </vt:variant>
      <vt:variant>
        <vt:i4>5</vt:i4>
      </vt:variant>
      <vt:variant>
        <vt:lpwstr/>
      </vt:variant>
      <vt:variant>
        <vt:lpwstr>_Toc120787623</vt:lpwstr>
      </vt:variant>
      <vt:variant>
        <vt:i4>1507391</vt:i4>
      </vt:variant>
      <vt:variant>
        <vt:i4>32</vt:i4>
      </vt:variant>
      <vt:variant>
        <vt:i4>0</vt:i4>
      </vt:variant>
      <vt:variant>
        <vt:i4>5</vt:i4>
      </vt:variant>
      <vt:variant>
        <vt:lpwstr/>
      </vt:variant>
      <vt:variant>
        <vt:lpwstr>_Toc120787622</vt:lpwstr>
      </vt:variant>
      <vt:variant>
        <vt:i4>1507391</vt:i4>
      </vt:variant>
      <vt:variant>
        <vt:i4>26</vt:i4>
      </vt:variant>
      <vt:variant>
        <vt:i4>0</vt:i4>
      </vt:variant>
      <vt:variant>
        <vt:i4>5</vt:i4>
      </vt:variant>
      <vt:variant>
        <vt:lpwstr/>
      </vt:variant>
      <vt:variant>
        <vt:lpwstr>_Toc120787621</vt:lpwstr>
      </vt:variant>
      <vt:variant>
        <vt:i4>1507391</vt:i4>
      </vt:variant>
      <vt:variant>
        <vt:i4>20</vt:i4>
      </vt:variant>
      <vt:variant>
        <vt:i4>0</vt:i4>
      </vt:variant>
      <vt:variant>
        <vt:i4>5</vt:i4>
      </vt:variant>
      <vt:variant>
        <vt:lpwstr/>
      </vt:variant>
      <vt:variant>
        <vt:lpwstr>_Toc120787620</vt:lpwstr>
      </vt:variant>
      <vt:variant>
        <vt:i4>1310783</vt:i4>
      </vt:variant>
      <vt:variant>
        <vt:i4>14</vt:i4>
      </vt:variant>
      <vt:variant>
        <vt:i4>0</vt:i4>
      </vt:variant>
      <vt:variant>
        <vt:i4>5</vt:i4>
      </vt:variant>
      <vt:variant>
        <vt:lpwstr/>
      </vt:variant>
      <vt:variant>
        <vt:lpwstr>_Toc120787619</vt:lpwstr>
      </vt:variant>
      <vt:variant>
        <vt:i4>1310783</vt:i4>
      </vt:variant>
      <vt:variant>
        <vt:i4>8</vt:i4>
      </vt:variant>
      <vt:variant>
        <vt:i4>0</vt:i4>
      </vt:variant>
      <vt:variant>
        <vt:i4>5</vt:i4>
      </vt:variant>
      <vt:variant>
        <vt:lpwstr/>
      </vt:variant>
      <vt:variant>
        <vt:lpwstr>_Toc120787618</vt:lpwstr>
      </vt:variant>
      <vt:variant>
        <vt:i4>1310783</vt:i4>
      </vt:variant>
      <vt:variant>
        <vt:i4>2</vt:i4>
      </vt:variant>
      <vt:variant>
        <vt:i4>0</vt:i4>
      </vt:variant>
      <vt:variant>
        <vt:i4>5</vt:i4>
      </vt:variant>
      <vt:variant>
        <vt:lpwstr/>
      </vt:variant>
      <vt:variant>
        <vt:lpwstr>_Toc120787617</vt:lpwstr>
      </vt:variant>
      <vt:variant>
        <vt:i4>1507407</vt:i4>
      </vt:variant>
      <vt:variant>
        <vt:i4>0</vt:i4>
      </vt:variant>
      <vt:variant>
        <vt:i4>0</vt:i4>
      </vt:variant>
      <vt:variant>
        <vt:i4>5</vt:i4>
      </vt:variant>
      <vt:variant>
        <vt:lpwstr>https://www.belfastlive.co.uk/news/northern-ireland/paramilitaries-subjecting-young-people-coercion-25472855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Mills</dc:creator>
  <cp:keywords/>
  <dc:description/>
  <cp:lastModifiedBy>Emily Mills</cp:lastModifiedBy>
  <cp:revision>2</cp:revision>
  <dcterms:created xsi:type="dcterms:W3CDTF">2023-01-24T09:18:00Z</dcterms:created>
  <dcterms:modified xsi:type="dcterms:W3CDTF">2023-01-24T09:18:00Z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